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4F4A" w:rsidR="00BB48B9" w:rsidP="00764F4A" w:rsidRDefault="00D0560F" w14:paraId="07DEC158" w14:textId="77777777">
      <w:pPr>
        <w:pStyle w:val="naisf"/>
        <w:spacing w:before="0" w:after="0"/>
        <w:ind w:firstLine="0"/>
        <w:jc w:val="center"/>
        <w:rPr>
          <w:b/>
          <w:sz w:val="22"/>
          <w:szCs w:val="22"/>
        </w:rPr>
      </w:pPr>
      <w:r w:rsidRPr="00764F4A">
        <w:rPr>
          <w:b/>
          <w:sz w:val="22"/>
          <w:szCs w:val="22"/>
        </w:rPr>
        <w:t>Izziņa par atzinumos sniegtajiem iebildumiem</w:t>
      </w:r>
    </w:p>
    <w:p w:rsidRPr="00764F4A" w:rsidR="00554D2F" w:rsidP="00764F4A" w:rsidRDefault="00D0560F" w14:paraId="07AC047F" w14:textId="77777777">
      <w:pPr>
        <w:pStyle w:val="Nosaukums"/>
        <w:ind w:right="-1"/>
        <w:outlineLvl w:val="0"/>
        <w:rPr>
          <w:b/>
          <w:bCs/>
          <w:sz w:val="22"/>
          <w:szCs w:val="22"/>
        </w:rPr>
      </w:pPr>
      <w:r w:rsidRPr="00764F4A">
        <w:rPr>
          <w:b/>
          <w:bCs/>
          <w:sz w:val="22"/>
          <w:szCs w:val="22"/>
        </w:rPr>
        <w:t>par</w:t>
      </w:r>
      <w:r w:rsidRPr="00764F4A" w:rsidR="00185DB3">
        <w:rPr>
          <w:b/>
          <w:sz w:val="22"/>
          <w:szCs w:val="22"/>
        </w:rPr>
        <w:t xml:space="preserve"> </w:t>
      </w:r>
      <w:r w:rsidRPr="00764F4A" w:rsidR="009F57A0">
        <w:rPr>
          <w:b/>
          <w:sz w:val="22"/>
          <w:szCs w:val="22"/>
        </w:rPr>
        <w:t>konceptuālo</w:t>
      </w:r>
      <w:r w:rsidRPr="00764F4A" w:rsidR="00185DB3">
        <w:rPr>
          <w:b/>
          <w:sz w:val="22"/>
          <w:szCs w:val="22"/>
        </w:rPr>
        <w:t xml:space="preserve"> ziņojumu </w:t>
      </w:r>
      <w:r w:rsidRPr="00764F4A" w:rsidR="00554D2F">
        <w:rPr>
          <w:b/>
          <w:sz w:val="22"/>
          <w:szCs w:val="22"/>
        </w:rPr>
        <w:t>„Par Latvijas Nacionālā arhīva ēku kritisko stāvokli un turpmāko rīcību”</w:t>
      </w:r>
    </w:p>
    <w:p w:rsidRPr="00764F4A" w:rsidR="00185DB3" w:rsidP="00764F4A" w:rsidRDefault="00185DB3" w14:paraId="6D35201A" w14:textId="77777777">
      <w:pPr>
        <w:rPr>
          <w:bCs/>
          <w:sz w:val="22"/>
          <w:szCs w:val="22"/>
        </w:rPr>
      </w:pPr>
    </w:p>
    <w:p w:rsidRPr="00764F4A" w:rsidR="001E31AF" w:rsidP="00764F4A" w:rsidRDefault="001E31AF" w14:paraId="2A1D667B" w14:textId="77777777">
      <w:pPr>
        <w:pStyle w:val="naisf"/>
        <w:spacing w:before="0" w:after="0"/>
        <w:ind w:firstLine="0"/>
        <w:jc w:val="center"/>
        <w:rPr>
          <w:b/>
          <w:sz w:val="22"/>
          <w:szCs w:val="22"/>
        </w:rPr>
      </w:pPr>
      <w:r w:rsidRPr="00764F4A">
        <w:rPr>
          <w:b/>
          <w:sz w:val="22"/>
          <w:szCs w:val="22"/>
        </w:rPr>
        <w:t>I. Jautājumi, par kuriem saskaņošanā vienošanās nav panākta</w:t>
      </w:r>
    </w:p>
    <w:p w:rsidRPr="00764F4A" w:rsidR="001E31AF" w:rsidP="00764F4A" w:rsidRDefault="001E31AF" w14:paraId="44F138DA" w14:textId="77777777">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94"/>
        <w:gridCol w:w="3025"/>
        <w:gridCol w:w="3058"/>
        <w:gridCol w:w="2918"/>
        <w:gridCol w:w="2412"/>
        <w:gridCol w:w="1883"/>
      </w:tblGrid>
      <w:tr w:rsidRPr="00764F4A" w:rsidR="001E31AF" w:rsidTr="006F1048" w14:paraId="1ED0FA38" w14:textId="77777777">
        <w:tc>
          <w:tcPr>
            <w:tcW w:w="248" w:type="pct"/>
            <w:tcBorders>
              <w:top w:val="single" w:color="000000" w:sz="6" w:space="0"/>
              <w:left w:val="single" w:color="000000" w:sz="6" w:space="0"/>
              <w:bottom w:val="single" w:color="000000" w:sz="6" w:space="0"/>
              <w:right w:val="single" w:color="000000" w:sz="6" w:space="0"/>
            </w:tcBorders>
            <w:vAlign w:val="center"/>
          </w:tcPr>
          <w:p w:rsidRPr="00764F4A" w:rsidR="001E31AF" w:rsidP="00764F4A" w:rsidRDefault="001E31AF" w14:paraId="751ED790" w14:textId="77777777">
            <w:pPr>
              <w:pStyle w:val="naisc"/>
              <w:spacing w:before="0" w:after="0"/>
              <w:rPr>
                <w:sz w:val="22"/>
                <w:szCs w:val="22"/>
              </w:rPr>
            </w:pPr>
            <w:r w:rsidRPr="00764F4A">
              <w:rPr>
                <w:sz w:val="22"/>
                <w:szCs w:val="22"/>
              </w:rPr>
              <w:t>Nr. p.k.</w:t>
            </w:r>
          </w:p>
        </w:tc>
        <w:tc>
          <w:tcPr>
            <w:tcW w:w="1081" w:type="pct"/>
            <w:tcBorders>
              <w:top w:val="single" w:color="000000" w:sz="6" w:space="0"/>
              <w:left w:val="single" w:color="000000" w:sz="6" w:space="0"/>
              <w:bottom w:val="single" w:color="000000" w:sz="6" w:space="0"/>
              <w:right w:val="single" w:color="000000" w:sz="6" w:space="0"/>
            </w:tcBorders>
            <w:vAlign w:val="center"/>
          </w:tcPr>
          <w:p w:rsidRPr="00764F4A" w:rsidR="001E31AF" w:rsidP="00764F4A" w:rsidRDefault="001E31AF" w14:paraId="3B409D62" w14:textId="77777777">
            <w:pPr>
              <w:pStyle w:val="naisc"/>
              <w:spacing w:before="0" w:after="0"/>
              <w:ind w:firstLine="12"/>
              <w:rPr>
                <w:sz w:val="22"/>
                <w:szCs w:val="22"/>
              </w:rPr>
            </w:pPr>
            <w:r w:rsidRPr="00764F4A">
              <w:rPr>
                <w:sz w:val="22"/>
                <w:szCs w:val="22"/>
              </w:rPr>
              <w:t>Saskaņošanai nosūtītā projekta redakcija (konkrēta punkta (panta) redakcija)</w:t>
            </w:r>
          </w:p>
        </w:tc>
        <w:tc>
          <w:tcPr>
            <w:tcW w:w="1093" w:type="pct"/>
            <w:tcBorders>
              <w:top w:val="single" w:color="000000" w:sz="6" w:space="0"/>
              <w:left w:val="single" w:color="000000" w:sz="6" w:space="0"/>
              <w:bottom w:val="single" w:color="000000" w:sz="6" w:space="0"/>
              <w:right w:val="single" w:color="000000" w:sz="6" w:space="0"/>
            </w:tcBorders>
            <w:vAlign w:val="center"/>
          </w:tcPr>
          <w:p w:rsidRPr="00764F4A" w:rsidR="001E31AF" w:rsidP="00764F4A" w:rsidRDefault="001E31AF" w14:paraId="38E28BFF" w14:textId="77777777">
            <w:pPr>
              <w:pStyle w:val="naisc"/>
              <w:spacing w:before="0" w:after="0"/>
              <w:ind w:right="3"/>
              <w:rPr>
                <w:sz w:val="22"/>
                <w:szCs w:val="22"/>
              </w:rPr>
            </w:pPr>
            <w:r w:rsidRPr="00764F4A">
              <w:rPr>
                <w:sz w:val="22"/>
                <w:szCs w:val="22"/>
              </w:rPr>
              <w:t>Atzinumā norādītais ministrijas (citas institūcijas) iebildums, kā arī saskaņošanā papildus izteiktais iebildums par projekta konkrēto punktu (pantu)</w:t>
            </w:r>
          </w:p>
        </w:tc>
        <w:tc>
          <w:tcPr>
            <w:tcW w:w="1043" w:type="pct"/>
            <w:tcBorders>
              <w:top w:val="single" w:color="000000" w:sz="6" w:space="0"/>
              <w:left w:val="single" w:color="000000" w:sz="6" w:space="0"/>
              <w:bottom w:val="single" w:color="000000" w:sz="6" w:space="0"/>
              <w:right w:val="single" w:color="000000" w:sz="6" w:space="0"/>
            </w:tcBorders>
            <w:vAlign w:val="center"/>
          </w:tcPr>
          <w:p w:rsidRPr="00764F4A" w:rsidR="001E31AF" w:rsidP="00764F4A" w:rsidRDefault="001E31AF" w14:paraId="662195D8" w14:textId="77777777">
            <w:pPr>
              <w:pStyle w:val="naisc"/>
              <w:spacing w:before="0" w:after="0"/>
              <w:ind w:firstLine="21"/>
              <w:rPr>
                <w:sz w:val="22"/>
                <w:szCs w:val="22"/>
              </w:rPr>
            </w:pPr>
            <w:r w:rsidRPr="00764F4A">
              <w:rPr>
                <w:sz w:val="22"/>
                <w:szCs w:val="22"/>
              </w:rPr>
              <w:t>Atbildīgās ministrijas pamatojums iebilduma noraidījumam</w:t>
            </w:r>
          </w:p>
        </w:tc>
        <w:tc>
          <w:tcPr>
            <w:tcW w:w="862" w:type="pct"/>
            <w:tcBorders>
              <w:top w:val="single" w:color="auto" w:sz="4" w:space="0"/>
              <w:left w:val="single" w:color="auto" w:sz="4" w:space="0"/>
              <w:bottom w:val="single" w:color="auto" w:sz="4" w:space="0"/>
              <w:right w:val="single" w:color="auto" w:sz="4" w:space="0"/>
            </w:tcBorders>
            <w:vAlign w:val="center"/>
          </w:tcPr>
          <w:p w:rsidRPr="00764F4A" w:rsidR="001E31AF" w:rsidP="00764F4A" w:rsidRDefault="001E31AF" w14:paraId="317E6200" w14:textId="77777777">
            <w:pPr>
              <w:jc w:val="center"/>
              <w:rPr>
                <w:sz w:val="22"/>
                <w:szCs w:val="22"/>
              </w:rPr>
            </w:pPr>
            <w:r w:rsidRPr="00764F4A">
              <w:rPr>
                <w:sz w:val="22"/>
                <w:szCs w:val="22"/>
              </w:rPr>
              <w:t>Atzinuma sniedzēja uzturētais iebildums, ja tas atšķiras no atzinumā norādītā iebilduma pamatojuma</w:t>
            </w:r>
          </w:p>
        </w:tc>
        <w:tc>
          <w:tcPr>
            <w:tcW w:w="673" w:type="pct"/>
            <w:tcBorders>
              <w:top w:val="single" w:color="auto" w:sz="4" w:space="0"/>
              <w:left w:val="single" w:color="auto" w:sz="4" w:space="0"/>
              <w:bottom w:val="single" w:color="auto" w:sz="4" w:space="0"/>
            </w:tcBorders>
            <w:vAlign w:val="center"/>
          </w:tcPr>
          <w:p w:rsidRPr="00764F4A" w:rsidR="001E31AF" w:rsidP="00764F4A" w:rsidRDefault="001E31AF" w14:paraId="58826E5E" w14:textId="77777777">
            <w:pPr>
              <w:jc w:val="center"/>
              <w:rPr>
                <w:sz w:val="22"/>
                <w:szCs w:val="22"/>
              </w:rPr>
            </w:pPr>
            <w:r w:rsidRPr="00764F4A">
              <w:rPr>
                <w:sz w:val="22"/>
                <w:szCs w:val="22"/>
              </w:rPr>
              <w:t>Projekta attiecīgā punkta (panta) galīgā redakcija</w:t>
            </w:r>
          </w:p>
        </w:tc>
      </w:tr>
      <w:tr w:rsidRPr="00764F4A" w:rsidR="001E31AF" w:rsidTr="006F1048" w14:paraId="06147F67" w14:textId="77777777">
        <w:tc>
          <w:tcPr>
            <w:tcW w:w="248" w:type="pct"/>
            <w:tcBorders>
              <w:top w:val="single" w:color="000000" w:sz="6" w:space="0"/>
              <w:left w:val="single" w:color="000000" w:sz="6" w:space="0"/>
              <w:bottom w:val="single" w:color="000000" w:sz="6" w:space="0"/>
              <w:right w:val="single" w:color="000000" w:sz="6" w:space="0"/>
            </w:tcBorders>
          </w:tcPr>
          <w:p w:rsidRPr="00764F4A" w:rsidR="001E31AF" w:rsidP="00764F4A" w:rsidRDefault="001E31AF" w14:paraId="521C09AA" w14:textId="77777777">
            <w:pPr>
              <w:pStyle w:val="naisc"/>
              <w:spacing w:before="0" w:after="0"/>
              <w:rPr>
                <w:sz w:val="22"/>
                <w:szCs w:val="22"/>
              </w:rPr>
            </w:pPr>
            <w:r w:rsidRPr="00764F4A">
              <w:rPr>
                <w:sz w:val="22"/>
                <w:szCs w:val="22"/>
              </w:rPr>
              <w:t>1</w:t>
            </w:r>
          </w:p>
        </w:tc>
        <w:tc>
          <w:tcPr>
            <w:tcW w:w="1081" w:type="pct"/>
            <w:tcBorders>
              <w:top w:val="single" w:color="000000" w:sz="6" w:space="0"/>
              <w:left w:val="single" w:color="000000" w:sz="6" w:space="0"/>
              <w:bottom w:val="single" w:color="000000" w:sz="6" w:space="0"/>
              <w:right w:val="single" w:color="000000" w:sz="6" w:space="0"/>
            </w:tcBorders>
          </w:tcPr>
          <w:p w:rsidRPr="00764F4A" w:rsidR="001E31AF" w:rsidP="00764F4A" w:rsidRDefault="001E31AF" w14:paraId="18AB9800" w14:textId="77777777">
            <w:pPr>
              <w:pStyle w:val="naisc"/>
              <w:spacing w:before="0" w:after="0"/>
              <w:ind w:firstLine="720"/>
              <w:rPr>
                <w:sz w:val="22"/>
                <w:szCs w:val="22"/>
              </w:rPr>
            </w:pPr>
            <w:r w:rsidRPr="00764F4A">
              <w:rPr>
                <w:sz w:val="22"/>
                <w:szCs w:val="22"/>
              </w:rPr>
              <w:t>2</w:t>
            </w:r>
          </w:p>
        </w:tc>
        <w:tc>
          <w:tcPr>
            <w:tcW w:w="1093" w:type="pct"/>
            <w:tcBorders>
              <w:top w:val="single" w:color="000000" w:sz="6" w:space="0"/>
              <w:left w:val="single" w:color="000000" w:sz="6" w:space="0"/>
              <w:bottom w:val="single" w:color="000000" w:sz="6" w:space="0"/>
              <w:right w:val="single" w:color="000000" w:sz="6" w:space="0"/>
            </w:tcBorders>
          </w:tcPr>
          <w:p w:rsidRPr="00764F4A" w:rsidR="001E31AF" w:rsidP="00764F4A" w:rsidRDefault="001E31AF" w14:paraId="09F2F84B" w14:textId="77777777">
            <w:pPr>
              <w:pStyle w:val="naisc"/>
              <w:spacing w:before="0" w:after="0"/>
              <w:ind w:firstLine="720"/>
              <w:rPr>
                <w:sz w:val="22"/>
                <w:szCs w:val="22"/>
              </w:rPr>
            </w:pPr>
            <w:r w:rsidRPr="00764F4A">
              <w:rPr>
                <w:sz w:val="22"/>
                <w:szCs w:val="22"/>
              </w:rPr>
              <w:t>3</w:t>
            </w:r>
          </w:p>
        </w:tc>
        <w:tc>
          <w:tcPr>
            <w:tcW w:w="1043" w:type="pct"/>
            <w:tcBorders>
              <w:top w:val="single" w:color="000000" w:sz="6" w:space="0"/>
              <w:left w:val="single" w:color="000000" w:sz="6" w:space="0"/>
              <w:bottom w:val="single" w:color="000000" w:sz="6" w:space="0"/>
              <w:right w:val="single" w:color="000000" w:sz="6" w:space="0"/>
            </w:tcBorders>
          </w:tcPr>
          <w:p w:rsidRPr="00764F4A" w:rsidR="001E31AF" w:rsidP="00764F4A" w:rsidRDefault="001E31AF" w14:paraId="492C02E1" w14:textId="77777777">
            <w:pPr>
              <w:pStyle w:val="naisc"/>
              <w:spacing w:before="0" w:after="0"/>
              <w:ind w:firstLine="720"/>
              <w:rPr>
                <w:sz w:val="22"/>
                <w:szCs w:val="22"/>
              </w:rPr>
            </w:pPr>
            <w:r w:rsidRPr="00764F4A">
              <w:rPr>
                <w:sz w:val="22"/>
                <w:szCs w:val="22"/>
              </w:rPr>
              <w:t>4</w:t>
            </w:r>
          </w:p>
        </w:tc>
        <w:tc>
          <w:tcPr>
            <w:tcW w:w="862" w:type="pct"/>
            <w:tcBorders>
              <w:top w:val="single" w:color="auto" w:sz="4" w:space="0"/>
              <w:left w:val="single" w:color="auto" w:sz="4" w:space="0"/>
              <w:bottom w:val="single" w:color="auto" w:sz="4" w:space="0"/>
              <w:right w:val="single" w:color="auto" w:sz="4" w:space="0"/>
            </w:tcBorders>
          </w:tcPr>
          <w:p w:rsidRPr="00764F4A" w:rsidR="001E31AF" w:rsidP="00764F4A" w:rsidRDefault="001E31AF" w14:paraId="38773CF8" w14:textId="77777777">
            <w:pPr>
              <w:jc w:val="center"/>
              <w:rPr>
                <w:sz w:val="22"/>
                <w:szCs w:val="22"/>
              </w:rPr>
            </w:pPr>
            <w:r w:rsidRPr="00764F4A">
              <w:rPr>
                <w:sz w:val="22"/>
                <w:szCs w:val="22"/>
              </w:rPr>
              <w:t>5</w:t>
            </w:r>
          </w:p>
        </w:tc>
        <w:tc>
          <w:tcPr>
            <w:tcW w:w="673" w:type="pct"/>
            <w:tcBorders>
              <w:top w:val="single" w:color="auto" w:sz="4" w:space="0"/>
              <w:left w:val="single" w:color="auto" w:sz="4" w:space="0"/>
              <w:bottom w:val="single" w:color="auto" w:sz="4" w:space="0"/>
            </w:tcBorders>
          </w:tcPr>
          <w:p w:rsidRPr="00764F4A" w:rsidR="001E31AF" w:rsidP="00764F4A" w:rsidRDefault="001E31AF" w14:paraId="516AB7A8" w14:textId="77777777">
            <w:pPr>
              <w:jc w:val="center"/>
              <w:rPr>
                <w:sz w:val="22"/>
                <w:szCs w:val="22"/>
              </w:rPr>
            </w:pPr>
            <w:r w:rsidRPr="00764F4A">
              <w:rPr>
                <w:sz w:val="22"/>
                <w:szCs w:val="22"/>
              </w:rPr>
              <w:t>6</w:t>
            </w:r>
          </w:p>
        </w:tc>
      </w:tr>
      <w:tr w:rsidRPr="00764F4A" w:rsidR="001E31AF" w:rsidTr="006F1048" w14:paraId="272D5B3D" w14:textId="77777777">
        <w:tc>
          <w:tcPr>
            <w:tcW w:w="248" w:type="pct"/>
            <w:tcBorders>
              <w:left w:val="single" w:color="000000" w:sz="6" w:space="0"/>
              <w:bottom w:val="single" w:color="auto" w:sz="4" w:space="0"/>
              <w:right w:val="single" w:color="000000" w:sz="6" w:space="0"/>
            </w:tcBorders>
          </w:tcPr>
          <w:p w:rsidRPr="00764F4A" w:rsidR="001E31AF" w:rsidP="00764F4A" w:rsidRDefault="001E31AF" w14:paraId="5B683DF3" w14:textId="77777777">
            <w:pPr>
              <w:pStyle w:val="naisc"/>
              <w:spacing w:before="0" w:after="0"/>
              <w:ind w:firstLine="720"/>
              <w:rPr>
                <w:sz w:val="22"/>
                <w:szCs w:val="22"/>
              </w:rPr>
            </w:pPr>
          </w:p>
        </w:tc>
        <w:tc>
          <w:tcPr>
            <w:tcW w:w="1081" w:type="pct"/>
            <w:tcBorders>
              <w:left w:val="single" w:color="000000" w:sz="6" w:space="0"/>
              <w:bottom w:val="single" w:color="auto" w:sz="4" w:space="0"/>
              <w:right w:val="single" w:color="000000" w:sz="6" w:space="0"/>
            </w:tcBorders>
          </w:tcPr>
          <w:p w:rsidRPr="00764F4A" w:rsidR="001E31AF" w:rsidP="00764F4A" w:rsidRDefault="001E31AF" w14:paraId="491D8192" w14:textId="77777777">
            <w:pPr>
              <w:pStyle w:val="naisc"/>
              <w:spacing w:before="0" w:after="0"/>
              <w:ind w:firstLine="720"/>
              <w:rPr>
                <w:sz w:val="22"/>
                <w:szCs w:val="22"/>
              </w:rPr>
            </w:pPr>
          </w:p>
        </w:tc>
        <w:tc>
          <w:tcPr>
            <w:tcW w:w="1093" w:type="pct"/>
            <w:tcBorders>
              <w:left w:val="single" w:color="000000" w:sz="6" w:space="0"/>
              <w:bottom w:val="single" w:color="auto" w:sz="4" w:space="0"/>
              <w:right w:val="single" w:color="000000" w:sz="6" w:space="0"/>
            </w:tcBorders>
          </w:tcPr>
          <w:p w:rsidRPr="00764F4A" w:rsidR="001E31AF" w:rsidP="00764F4A" w:rsidRDefault="001E31AF" w14:paraId="0C00A645" w14:textId="77777777">
            <w:pPr>
              <w:pStyle w:val="naisc"/>
              <w:spacing w:before="0" w:after="0"/>
              <w:ind w:firstLine="720"/>
              <w:rPr>
                <w:sz w:val="22"/>
                <w:szCs w:val="22"/>
              </w:rPr>
            </w:pPr>
          </w:p>
        </w:tc>
        <w:tc>
          <w:tcPr>
            <w:tcW w:w="1043" w:type="pct"/>
            <w:tcBorders>
              <w:left w:val="single" w:color="000000" w:sz="6" w:space="0"/>
              <w:bottom w:val="single" w:color="auto" w:sz="4" w:space="0"/>
              <w:right w:val="single" w:color="000000" w:sz="6" w:space="0"/>
            </w:tcBorders>
          </w:tcPr>
          <w:p w:rsidRPr="00764F4A" w:rsidR="001E31AF" w:rsidP="00764F4A" w:rsidRDefault="001E31AF" w14:paraId="0FF74B95" w14:textId="77777777">
            <w:pPr>
              <w:pStyle w:val="naisc"/>
              <w:spacing w:before="0" w:after="0"/>
              <w:ind w:firstLine="720"/>
              <w:rPr>
                <w:sz w:val="22"/>
                <w:szCs w:val="22"/>
              </w:rPr>
            </w:pPr>
          </w:p>
        </w:tc>
        <w:tc>
          <w:tcPr>
            <w:tcW w:w="862" w:type="pct"/>
            <w:tcBorders>
              <w:top w:val="single" w:color="auto" w:sz="4" w:space="0"/>
              <w:left w:val="single" w:color="auto" w:sz="4" w:space="0"/>
              <w:bottom w:val="single" w:color="auto" w:sz="4" w:space="0"/>
              <w:right w:val="single" w:color="auto" w:sz="4" w:space="0"/>
            </w:tcBorders>
          </w:tcPr>
          <w:p w:rsidRPr="00764F4A" w:rsidR="001E31AF" w:rsidP="00764F4A" w:rsidRDefault="001E31AF" w14:paraId="1D1B548B" w14:textId="77777777">
            <w:pPr>
              <w:rPr>
                <w:sz w:val="22"/>
                <w:szCs w:val="22"/>
              </w:rPr>
            </w:pPr>
          </w:p>
        </w:tc>
        <w:tc>
          <w:tcPr>
            <w:tcW w:w="673" w:type="pct"/>
            <w:tcBorders>
              <w:top w:val="single" w:color="auto" w:sz="4" w:space="0"/>
              <w:left w:val="single" w:color="auto" w:sz="4" w:space="0"/>
              <w:bottom w:val="single" w:color="auto" w:sz="4" w:space="0"/>
            </w:tcBorders>
          </w:tcPr>
          <w:p w:rsidRPr="00764F4A" w:rsidR="001E31AF" w:rsidP="00764F4A" w:rsidRDefault="001E31AF" w14:paraId="3C8721ED" w14:textId="77777777">
            <w:pPr>
              <w:rPr>
                <w:sz w:val="22"/>
                <w:szCs w:val="22"/>
              </w:rPr>
            </w:pPr>
          </w:p>
        </w:tc>
      </w:tr>
    </w:tbl>
    <w:p w:rsidRPr="00764F4A" w:rsidR="001E31AF" w:rsidP="00764F4A" w:rsidRDefault="001E31AF" w14:paraId="1211FA58" w14:textId="77777777">
      <w:pPr>
        <w:pStyle w:val="naisf"/>
        <w:spacing w:before="0" w:after="0"/>
        <w:ind w:firstLine="0"/>
        <w:rPr>
          <w:sz w:val="22"/>
          <w:szCs w:val="22"/>
        </w:rPr>
      </w:pPr>
    </w:p>
    <w:p w:rsidRPr="00764F4A" w:rsidR="001E31AF" w:rsidP="00764F4A" w:rsidRDefault="001E31AF" w14:paraId="56BDCADF" w14:textId="77777777">
      <w:pPr>
        <w:pStyle w:val="naisf"/>
        <w:tabs>
          <w:tab w:val="left" w:pos="9356"/>
        </w:tabs>
        <w:spacing w:before="0" w:after="0"/>
        <w:ind w:firstLine="0"/>
        <w:rPr>
          <w:b/>
          <w:sz w:val="22"/>
          <w:szCs w:val="22"/>
        </w:rPr>
      </w:pPr>
      <w:r w:rsidRPr="00764F4A">
        <w:rPr>
          <w:b/>
          <w:sz w:val="22"/>
          <w:szCs w:val="22"/>
        </w:rPr>
        <w:t>Informācija par starpministriju (starpinstitūciju) sanāksmi vai elektronisko saskaņošanu</w:t>
      </w:r>
    </w:p>
    <w:p w:rsidRPr="00764F4A" w:rsidR="001E31AF" w:rsidP="00764F4A" w:rsidRDefault="001E31AF" w14:paraId="4A1CC319" w14:textId="77777777">
      <w:pPr>
        <w:pStyle w:val="naisf"/>
        <w:tabs>
          <w:tab w:val="left" w:pos="9356"/>
        </w:tabs>
        <w:spacing w:before="0" w:after="0"/>
        <w:ind w:firstLine="0"/>
        <w:rPr>
          <w:bCs/>
          <w:sz w:val="22"/>
          <w:szCs w:val="22"/>
        </w:rPr>
      </w:pPr>
    </w:p>
    <w:tbl>
      <w:tblPr>
        <w:tblW w:w="12615" w:type="dxa"/>
        <w:tblCellSpacing w:w="0" w:type="dxa"/>
        <w:tblCellMar>
          <w:left w:w="0" w:type="dxa"/>
          <w:right w:w="0" w:type="dxa"/>
        </w:tblCellMar>
        <w:tblLook w:val="04A0" w:firstRow="1" w:lastRow="0" w:firstColumn="1" w:lastColumn="0" w:noHBand="0" w:noVBand="1"/>
      </w:tblPr>
      <w:tblGrid>
        <w:gridCol w:w="6096"/>
        <w:gridCol w:w="3361"/>
        <w:gridCol w:w="3158"/>
      </w:tblGrid>
      <w:tr w:rsidRPr="00764F4A" w:rsidR="001E31AF" w:rsidTr="00523CF0" w14:paraId="4426EA4D" w14:textId="77777777">
        <w:trPr>
          <w:tblCellSpacing w:w="0" w:type="dxa"/>
        </w:trPr>
        <w:tc>
          <w:tcPr>
            <w:tcW w:w="6096" w:type="dxa"/>
            <w:hideMark/>
          </w:tcPr>
          <w:p w:rsidRPr="00764F4A" w:rsidR="001E31AF" w:rsidP="00764F4A" w:rsidRDefault="001E31AF" w14:paraId="4C757A1C" w14:textId="77777777">
            <w:pPr>
              <w:ind w:right="57"/>
              <w:contextualSpacing/>
              <w:mirrorIndents/>
              <w:rPr>
                <w:sz w:val="22"/>
                <w:szCs w:val="22"/>
              </w:rPr>
            </w:pPr>
            <w:r w:rsidRPr="00764F4A">
              <w:rPr>
                <w:sz w:val="22"/>
                <w:szCs w:val="22"/>
              </w:rPr>
              <w:t>Datums</w:t>
            </w:r>
          </w:p>
        </w:tc>
        <w:tc>
          <w:tcPr>
            <w:tcW w:w="6519" w:type="dxa"/>
            <w:gridSpan w:val="2"/>
            <w:tcBorders>
              <w:top w:val="nil"/>
              <w:left w:val="nil"/>
              <w:bottom w:val="single" w:color="000000" w:sz="8" w:space="0"/>
              <w:right w:val="nil"/>
            </w:tcBorders>
            <w:hideMark/>
          </w:tcPr>
          <w:p w:rsidRPr="00764F4A" w:rsidR="001E31AF" w:rsidP="00764F4A" w:rsidRDefault="006F1897" w14:paraId="51DA70D1" w14:textId="35A6D2BF">
            <w:pPr>
              <w:ind w:right="57"/>
              <w:contextualSpacing/>
              <w:mirrorIndents/>
              <w:jc w:val="both"/>
              <w:rPr>
                <w:sz w:val="22"/>
                <w:szCs w:val="22"/>
              </w:rPr>
            </w:pPr>
            <w:r w:rsidRPr="00764F4A">
              <w:rPr>
                <w:sz w:val="22"/>
                <w:szCs w:val="22"/>
              </w:rPr>
              <w:t>2020</w:t>
            </w:r>
            <w:r w:rsidRPr="00764F4A" w:rsidR="006F1048">
              <w:rPr>
                <w:sz w:val="22"/>
                <w:szCs w:val="22"/>
              </w:rPr>
              <w:t xml:space="preserve">.gada </w:t>
            </w:r>
            <w:r w:rsidR="009D0E70">
              <w:rPr>
                <w:sz w:val="22"/>
                <w:szCs w:val="22"/>
              </w:rPr>
              <w:t>28.janvārī, 2020.gada</w:t>
            </w:r>
            <w:r w:rsidRPr="00764F4A" w:rsidR="008F51C7">
              <w:rPr>
                <w:sz w:val="22"/>
                <w:szCs w:val="22"/>
              </w:rPr>
              <w:t xml:space="preserve"> </w:t>
            </w:r>
            <w:r w:rsidR="00FF71E5">
              <w:rPr>
                <w:sz w:val="22"/>
                <w:szCs w:val="22"/>
              </w:rPr>
              <w:t>21</w:t>
            </w:r>
            <w:r w:rsidRPr="00764F4A" w:rsidR="008F51C7">
              <w:rPr>
                <w:sz w:val="22"/>
                <w:szCs w:val="22"/>
              </w:rPr>
              <w:t>.</w:t>
            </w:r>
            <w:r w:rsidRPr="00764F4A" w:rsidR="00B6568E">
              <w:rPr>
                <w:sz w:val="22"/>
                <w:szCs w:val="22"/>
              </w:rPr>
              <w:t>septembrī</w:t>
            </w:r>
            <w:r w:rsidR="004F5EED">
              <w:rPr>
                <w:sz w:val="22"/>
                <w:szCs w:val="22"/>
              </w:rPr>
              <w:t xml:space="preserve">, 2020.gada </w:t>
            </w:r>
            <w:r w:rsidR="00CC629F">
              <w:rPr>
                <w:sz w:val="22"/>
                <w:szCs w:val="22"/>
              </w:rPr>
              <w:t>6</w:t>
            </w:r>
            <w:r w:rsidR="004F5EED">
              <w:rPr>
                <w:sz w:val="22"/>
                <w:szCs w:val="22"/>
              </w:rPr>
              <w:t>.oktobrī</w:t>
            </w:r>
          </w:p>
        </w:tc>
      </w:tr>
      <w:tr w:rsidRPr="00764F4A" w:rsidR="001E31AF" w:rsidTr="00523CF0" w14:paraId="59016DC4" w14:textId="77777777">
        <w:trPr>
          <w:tblCellSpacing w:w="0" w:type="dxa"/>
        </w:trPr>
        <w:tc>
          <w:tcPr>
            <w:tcW w:w="6096" w:type="dxa"/>
            <w:hideMark/>
          </w:tcPr>
          <w:p w:rsidRPr="00764F4A" w:rsidR="001E31AF" w:rsidP="00764F4A" w:rsidRDefault="001E31AF" w14:paraId="23F766CA" w14:textId="77777777">
            <w:pPr>
              <w:ind w:right="57"/>
              <w:contextualSpacing/>
              <w:mirrorIndents/>
              <w:jc w:val="both"/>
              <w:rPr>
                <w:sz w:val="22"/>
                <w:szCs w:val="22"/>
              </w:rPr>
            </w:pPr>
            <w:r w:rsidRPr="00764F4A">
              <w:rPr>
                <w:sz w:val="22"/>
                <w:szCs w:val="22"/>
              </w:rPr>
              <w:t> </w:t>
            </w:r>
          </w:p>
        </w:tc>
        <w:tc>
          <w:tcPr>
            <w:tcW w:w="6519" w:type="dxa"/>
            <w:gridSpan w:val="2"/>
            <w:tcBorders>
              <w:top w:val="nil"/>
              <w:left w:val="nil"/>
              <w:bottom w:val="nil"/>
              <w:right w:val="nil"/>
            </w:tcBorders>
            <w:hideMark/>
          </w:tcPr>
          <w:p w:rsidRPr="00764F4A" w:rsidR="001E31AF" w:rsidP="00764F4A" w:rsidRDefault="001E31AF" w14:paraId="652F0C8D" w14:textId="77777777">
            <w:pPr>
              <w:ind w:right="57" w:firstLine="375"/>
              <w:contextualSpacing/>
              <w:mirrorIndents/>
              <w:jc w:val="both"/>
              <w:rPr>
                <w:sz w:val="22"/>
                <w:szCs w:val="22"/>
              </w:rPr>
            </w:pPr>
            <w:r w:rsidRPr="00764F4A">
              <w:rPr>
                <w:sz w:val="22"/>
                <w:szCs w:val="22"/>
              </w:rPr>
              <w:t> </w:t>
            </w:r>
          </w:p>
        </w:tc>
      </w:tr>
      <w:tr w:rsidRPr="00764F4A" w:rsidR="001E31AF" w:rsidTr="00523CF0" w14:paraId="08BB5C5B" w14:textId="77777777">
        <w:trPr>
          <w:tblCellSpacing w:w="0" w:type="dxa"/>
        </w:trPr>
        <w:tc>
          <w:tcPr>
            <w:tcW w:w="6096" w:type="dxa"/>
            <w:vAlign w:val="center"/>
            <w:hideMark/>
          </w:tcPr>
          <w:p w:rsidRPr="00764F4A" w:rsidR="001E31AF" w:rsidP="00764F4A" w:rsidRDefault="001E31AF" w14:paraId="26DCCB4D" w14:textId="77777777">
            <w:pPr>
              <w:ind w:right="57"/>
              <w:contextualSpacing/>
              <w:mirrorIndents/>
              <w:rPr>
                <w:sz w:val="22"/>
                <w:szCs w:val="22"/>
              </w:rPr>
            </w:pPr>
            <w:r w:rsidRPr="00764F4A">
              <w:rPr>
                <w:sz w:val="22"/>
                <w:szCs w:val="22"/>
              </w:rPr>
              <w:t>Saskaņošanas dalībnieki</w:t>
            </w:r>
          </w:p>
        </w:tc>
        <w:tc>
          <w:tcPr>
            <w:tcW w:w="6519" w:type="dxa"/>
            <w:gridSpan w:val="2"/>
            <w:tcBorders>
              <w:bottom w:val="single" w:color="auto" w:sz="4" w:space="0"/>
            </w:tcBorders>
            <w:vAlign w:val="center"/>
            <w:hideMark/>
          </w:tcPr>
          <w:p w:rsidRPr="00764F4A" w:rsidR="001E31AF" w:rsidP="00764F4A" w:rsidRDefault="001E31AF" w14:paraId="7F700D4E" w14:textId="77777777">
            <w:pPr>
              <w:ind w:right="57"/>
              <w:contextualSpacing/>
              <w:mirrorIndents/>
              <w:jc w:val="both"/>
              <w:rPr>
                <w:sz w:val="22"/>
                <w:szCs w:val="22"/>
              </w:rPr>
            </w:pPr>
            <w:r w:rsidRPr="00764F4A">
              <w:rPr>
                <w:sz w:val="22"/>
                <w:szCs w:val="22"/>
              </w:rPr>
              <w:t>Finanšu ministrija</w:t>
            </w:r>
            <w:r w:rsidRPr="00764F4A" w:rsidR="00554D2F">
              <w:rPr>
                <w:sz w:val="22"/>
                <w:szCs w:val="22"/>
              </w:rPr>
              <w:t>, Tieslietu ministrija, Pārresoru koordinācijas centrs</w:t>
            </w:r>
          </w:p>
        </w:tc>
      </w:tr>
      <w:tr w:rsidRPr="00764F4A" w:rsidR="001E31AF" w:rsidTr="00523CF0" w14:paraId="0AD76181" w14:textId="77777777">
        <w:trPr>
          <w:tblCellSpacing w:w="0" w:type="dxa"/>
        </w:trPr>
        <w:tc>
          <w:tcPr>
            <w:tcW w:w="6096" w:type="dxa"/>
            <w:vAlign w:val="center"/>
            <w:hideMark/>
          </w:tcPr>
          <w:p w:rsidRPr="00764F4A" w:rsidR="001E31AF" w:rsidP="00764F4A" w:rsidRDefault="001E31AF" w14:paraId="16D2BBA5" w14:textId="77777777">
            <w:pPr>
              <w:ind w:right="57"/>
              <w:contextualSpacing/>
              <w:mirrorIndents/>
              <w:rPr>
                <w:sz w:val="22"/>
                <w:szCs w:val="22"/>
              </w:rPr>
            </w:pPr>
            <w:r w:rsidRPr="00764F4A">
              <w:rPr>
                <w:sz w:val="22"/>
                <w:szCs w:val="22"/>
              </w:rPr>
              <w:t>  </w:t>
            </w:r>
          </w:p>
        </w:tc>
        <w:tc>
          <w:tcPr>
            <w:tcW w:w="6519" w:type="dxa"/>
            <w:gridSpan w:val="2"/>
            <w:tcBorders>
              <w:left w:val="nil"/>
              <w:right w:val="nil"/>
            </w:tcBorders>
            <w:vAlign w:val="center"/>
            <w:hideMark/>
          </w:tcPr>
          <w:p w:rsidRPr="00764F4A" w:rsidR="001E31AF" w:rsidP="00764F4A" w:rsidRDefault="001E31AF" w14:paraId="2D755F57" w14:textId="77777777">
            <w:pPr>
              <w:ind w:right="57"/>
              <w:contextualSpacing/>
              <w:mirrorIndents/>
              <w:rPr>
                <w:sz w:val="22"/>
                <w:szCs w:val="22"/>
              </w:rPr>
            </w:pPr>
            <w:r w:rsidRPr="00764F4A">
              <w:rPr>
                <w:sz w:val="22"/>
                <w:szCs w:val="22"/>
              </w:rPr>
              <w:t> </w:t>
            </w:r>
          </w:p>
        </w:tc>
      </w:tr>
      <w:tr w:rsidRPr="00764F4A" w:rsidR="001E31AF" w:rsidTr="00523CF0" w14:paraId="262F496B" w14:textId="77777777">
        <w:trPr>
          <w:trHeight w:val="199"/>
          <w:tblCellSpacing w:w="0" w:type="dxa"/>
        </w:trPr>
        <w:tc>
          <w:tcPr>
            <w:tcW w:w="6096" w:type="dxa"/>
            <w:vAlign w:val="center"/>
            <w:hideMark/>
          </w:tcPr>
          <w:p w:rsidRPr="00764F4A" w:rsidR="001E31AF" w:rsidP="00764F4A" w:rsidRDefault="001E31AF" w14:paraId="03C43DA0" w14:textId="77777777">
            <w:pPr>
              <w:ind w:right="57"/>
              <w:contextualSpacing/>
              <w:mirrorIndents/>
              <w:rPr>
                <w:sz w:val="22"/>
                <w:szCs w:val="22"/>
              </w:rPr>
            </w:pPr>
          </w:p>
        </w:tc>
        <w:tc>
          <w:tcPr>
            <w:tcW w:w="3361" w:type="dxa"/>
            <w:vAlign w:val="center"/>
            <w:hideMark/>
          </w:tcPr>
          <w:p w:rsidRPr="00764F4A" w:rsidR="001E31AF" w:rsidP="00764F4A" w:rsidRDefault="001E31AF" w14:paraId="1A7CD99A" w14:textId="77777777">
            <w:pPr>
              <w:ind w:right="57"/>
              <w:contextualSpacing/>
              <w:mirrorIndents/>
              <w:rPr>
                <w:sz w:val="22"/>
                <w:szCs w:val="22"/>
              </w:rPr>
            </w:pPr>
            <w:r w:rsidRPr="00764F4A">
              <w:rPr>
                <w:sz w:val="22"/>
                <w:szCs w:val="22"/>
              </w:rPr>
              <w:t> </w:t>
            </w:r>
          </w:p>
        </w:tc>
        <w:tc>
          <w:tcPr>
            <w:tcW w:w="3158" w:type="dxa"/>
            <w:vAlign w:val="center"/>
            <w:hideMark/>
          </w:tcPr>
          <w:p w:rsidRPr="00764F4A" w:rsidR="001E31AF" w:rsidP="00764F4A" w:rsidRDefault="001E31AF" w14:paraId="42B49E72" w14:textId="77777777">
            <w:pPr>
              <w:ind w:right="57"/>
              <w:contextualSpacing/>
              <w:mirrorIndents/>
              <w:rPr>
                <w:sz w:val="22"/>
                <w:szCs w:val="22"/>
              </w:rPr>
            </w:pPr>
            <w:r w:rsidRPr="00764F4A">
              <w:rPr>
                <w:sz w:val="22"/>
                <w:szCs w:val="22"/>
              </w:rPr>
              <w:t> </w:t>
            </w:r>
          </w:p>
        </w:tc>
      </w:tr>
    </w:tbl>
    <w:p w:rsidRPr="00764F4A" w:rsidR="001E31AF" w:rsidP="00764F4A" w:rsidRDefault="001E31AF" w14:paraId="7F2044B7" w14:textId="77777777">
      <w:pPr>
        <w:ind w:right="57"/>
        <w:contextualSpacing/>
        <w:mirrorIndents/>
        <w:rPr>
          <w:vanish/>
          <w:sz w:val="22"/>
          <w:szCs w:val="22"/>
        </w:rPr>
      </w:pPr>
    </w:p>
    <w:tbl>
      <w:tblPr>
        <w:tblW w:w="14212" w:type="dxa"/>
        <w:tblCellSpacing w:w="0" w:type="dxa"/>
        <w:tblCellMar>
          <w:left w:w="0" w:type="dxa"/>
          <w:right w:w="0" w:type="dxa"/>
        </w:tblCellMar>
        <w:tblLook w:val="04A0" w:firstRow="1" w:lastRow="0" w:firstColumn="1" w:lastColumn="0" w:noHBand="0" w:noVBand="1"/>
      </w:tblPr>
      <w:tblGrid>
        <w:gridCol w:w="6096"/>
        <w:gridCol w:w="6520"/>
        <w:gridCol w:w="1596"/>
      </w:tblGrid>
      <w:tr w:rsidRPr="00764F4A" w:rsidR="001E31AF" w:rsidTr="00523CF0" w14:paraId="7EF9E363" w14:textId="77777777">
        <w:trPr>
          <w:tblCellSpacing w:w="0" w:type="dxa"/>
        </w:trPr>
        <w:tc>
          <w:tcPr>
            <w:tcW w:w="6096" w:type="dxa"/>
            <w:hideMark/>
          </w:tcPr>
          <w:p w:rsidRPr="00764F4A" w:rsidR="001E31AF" w:rsidP="00764F4A" w:rsidRDefault="001E31AF" w14:paraId="13F91F30" w14:textId="77777777">
            <w:pPr>
              <w:ind w:right="57"/>
              <w:contextualSpacing/>
              <w:mirrorIndents/>
              <w:rPr>
                <w:sz w:val="22"/>
                <w:szCs w:val="22"/>
              </w:rPr>
            </w:pPr>
            <w:r w:rsidRPr="00764F4A">
              <w:rPr>
                <w:sz w:val="22"/>
                <w:szCs w:val="22"/>
              </w:rPr>
              <w:t>Saskaņošanas dalībnieki izskatīja šādu ministriju (citu institūciju) iebildumus</w:t>
            </w:r>
          </w:p>
        </w:tc>
        <w:tc>
          <w:tcPr>
            <w:tcW w:w="6520" w:type="dxa"/>
            <w:tcBorders>
              <w:bottom w:val="single" w:color="auto" w:sz="4" w:space="0"/>
            </w:tcBorders>
            <w:hideMark/>
          </w:tcPr>
          <w:p w:rsidRPr="00764F4A" w:rsidR="001E31AF" w:rsidP="00764F4A" w:rsidRDefault="001E31AF" w14:paraId="572E2DE8" w14:textId="77777777">
            <w:pPr>
              <w:ind w:right="57"/>
              <w:contextualSpacing/>
              <w:mirrorIndents/>
              <w:rPr>
                <w:sz w:val="22"/>
                <w:szCs w:val="22"/>
              </w:rPr>
            </w:pPr>
            <w:r w:rsidRPr="00764F4A">
              <w:rPr>
                <w:sz w:val="22"/>
                <w:szCs w:val="22"/>
              </w:rPr>
              <w:t> </w:t>
            </w:r>
          </w:p>
          <w:p w:rsidRPr="00764F4A" w:rsidR="001E31AF" w:rsidP="00764F4A" w:rsidRDefault="00BB0C01" w14:paraId="21A40356" w14:textId="77777777">
            <w:pPr>
              <w:ind w:right="57"/>
              <w:contextualSpacing/>
              <w:mirrorIndents/>
              <w:jc w:val="both"/>
              <w:rPr>
                <w:sz w:val="22"/>
                <w:szCs w:val="22"/>
              </w:rPr>
            </w:pPr>
            <w:r w:rsidRPr="00764F4A">
              <w:rPr>
                <w:sz w:val="22"/>
                <w:szCs w:val="22"/>
              </w:rPr>
              <w:t>Finanšu ministrija</w:t>
            </w:r>
            <w:r w:rsidRPr="00764F4A" w:rsidR="00554D2F">
              <w:rPr>
                <w:sz w:val="22"/>
                <w:szCs w:val="22"/>
              </w:rPr>
              <w:t>, Tieslietu ministrija, Pārresoru koordinācijas centrs</w:t>
            </w:r>
          </w:p>
        </w:tc>
        <w:tc>
          <w:tcPr>
            <w:tcW w:w="1596" w:type="dxa"/>
            <w:hideMark/>
          </w:tcPr>
          <w:p w:rsidRPr="00764F4A" w:rsidR="001E31AF" w:rsidP="00764F4A" w:rsidRDefault="001E31AF" w14:paraId="2C20BCDB" w14:textId="77777777">
            <w:pPr>
              <w:ind w:right="57"/>
              <w:contextualSpacing/>
              <w:mirrorIndents/>
              <w:rPr>
                <w:sz w:val="22"/>
                <w:szCs w:val="22"/>
              </w:rPr>
            </w:pPr>
            <w:r w:rsidRPr="00764F4A">
              <w:rPr>
                <w:sz w:val="22"/>
                <w:szCs w:val="22"/>
              </w:rPr>
              <w:t> </w:t>
            </w:r>
          </w:p>
        </w:tc>
      </w:tr>
      <w:tr w:rsidRPr="00764F4A" w:rsidR="001E31AF" w:rsidTr="00195B70" w14:paraId="2367A93B" w14:textId="77777777">
        <w:trPr>
          <w:tblCellSpacing w:w="0" w:type="dxa"/>
        </w:trPr>
        <w:tc>
          <w:tcPr>
            <w:tcW w:w="14212" w:type="dxa"/>
            <w:gridSpan w:val="3"/>
            <w:vAlign w:val="center"/>
            <w:hideMark/>
          </w:tcPr>
          <w:p w:rsidRPr="00764F4A" w:rsidR="001E31AF" w:rsidP="00764F4A" w:rsidRDefault="001E31AF" w14:paraId="53955841" w14:textId="77777777">
            <w:pPr>
              <w:ind w:right="57"/>
              <w:contextualSpacing/>
              <w:mirrorIndents/>
              <w:rPr>
                <w:sz w:val="22"/>
                <w:szCs w:val="22"/>
              </w:rPr>
            </w:pPr>
            <w:r w:rsidRPr="00764F4A">
              <w:rPr>
                <w:sz w:val="22"/>
                <w:szCs w:val="22"/>
              </w:rPr>
              <w:t> </w:t>
            </w:r>
          </w:p>
        </w:tc>
      </w:tr>
      <w:tr w:rsidRPr="00764F4A" w:rsidR="001E31AF" w:rsidTr="00523CF0" w14:paraId="0A6D6E9F" w14:textId="77777777">
        <w:trPr>
          <w:tblCellSpacing w:w="0" w:type="dxa"/>
        </w:trPr>
        <w:tc>
          <w:tcPr>
            <w:tcW w:w="6096" w:type="dxa"/>
            <w:tcBorders>
              <w:bottom w:val="nil"/>
            </w:tcBorders>
            <w:vAlign w:val="center"/>
            <w:hideMark/>
          </w:tcPr>
          <w:p w:rsidRPr="00764F4A" w:rsidR="001E31AF" w:rsidP="00764F4A" w:rsidRDefault="001E31AF" w14:paraId="5AD3FA53" w14:textId="77777777">
            <w:pPr>
              <w:ind w:right="57"/>
              <w:contextualSpacing/>
              <w:mirrorIndents/>
              <w:rPr>
                <w:sz w:val="22"/>
                <w:szCs w:val="22"/>
              </w:rPr>
            </w:pPr>
            <w:r w:rsidRPr="00764F4A">
              <w:rPr>
                <w:sz w:val="22"/>
                <w:szCs w:val="22"/>
              </w:rPr>
              <w:t>Ministrijas (citas institūcijas), kuras nav ieradušās uz sanāksmi vai kuras nav atbildējušas uz uzaicinājumu piedalīties elektroniskajā saskaņošanā</w:t>
            </w:r>
          </w:p>
        </w:tc>
        <w:tc>
          <w:tcPr>
            <w:tcW w:w="8116" w:type="dxa"/>
            <w:gridSpan w:val="2"/>
            <w:vAlign w:val="center"/>
            <w:hideMark/>
          </w:tcPr>
          <w:p w:rsidRPr="00764F4A" w:rsidR="001E31AF" w:rsidP="00764F4A" w:rsidRDefault="001E31AF" w14:paraId="11371D58" w14:textId="77777777">
            <w:pPr>
              <w:ind w:right="57"/>
              <w:contextualSpacing/>
              <w:mirrorIndents/>
              <w:rPr>
                <w:sz w:val="22"/>
                <w:szCs w:val="22"/>
              </w:rPr>
            </w:pPr>
            <w:r w:rsidRPr="00764F4A">
              <w:rPr>
                <w:sz w:val="22"/>
                <w:szCs w:val="22"/>
              </w:rPr>
              <w:t> _______________________________________________________</w:t>
            </w:r>
            <w:r w:rsidRPr="00764F4A" w:rsidR="00523CF0">
              <w:rPr>
                <w:sz w:val="22"/>
                <w:szCs w:val="22"/>
              </w:rPr>
              <w:t>___</w:t>
            </w:r>
          </w:p>
        </w:tc>
      </w:tr>
    </w:tbl>
    <w:p w:rsidRPr="00764F4A" w:rsidR="008E6E05" w:rsidP="00764F4A" w:rsidRDefault="008E6E05" w14:paraId="23397F56" w14:textId="77777777">
      <w:pPr>
        <w:pStyle w:val="naisf"/>
        <w:spacing w:before="0" w:after="0"/>
        <w:ind w:firstLine="0"/>
        <w:jc w:val="center"/>
        <w:rPr>
          <w:b/>
          <w:sz w:val="22"/>
          <w:szCs w:val="22"/>
        </w:rPr>
      </w:pPr>
    </w:p>
    <w:p w:rsidRPr="00764F4A" w:rsidR="00523CF0" w:rsidP="00764F4A" w:rsidRDefault="00523CF0" w14:paraId="6FD6DB35" w14:textId="77777777">
      <w:pPr>
        <w:pStyle w:val="naisf"/>
        <w:spacing w:before="0" w:after="0"/>
        <w:ind w:firstLine="0"/>
        <w:jc w:val="center"/>
        <w:rPr>
          <w:b/>
          <w:sz w:val="22"/>
          <w:szCs w:val="22"/>
        </w:rPr>
      </w:pPr>
    </w:p>
    <w:p w:rsidRPr="00764F4A" w:rsidR="00523CF0" w:rsidP="00764F4A" w:rsidRDefault="00523CF0" w14:paraId="20A47FB6" w14:textId="77777777">
      <w:pPr>
        <w:pStyle w:val="naisf"/>
        <w:spacing w:before="0" w:after="0"/>
        <w:ind w:firstLine="0"/>
        <w:jc w:val="center"/>
        <w:rPr>
          <w:b/>
          <w:sz w:val="22"/>
          <w:szCs w:val="22"/>
        </w:rPr>
      </w:pPr>
    </w:p>
    <w:p w:rsidRPr="00764F4A" w:rsidR="00523CF0" w:rsidP="00764F4A" w:rsidRDefault="00523CF0" w14:paraId="61C41B8B" w14:textId="77777777">
      <w:pPr>
        <w:pStyle w:val="naisf"/>
        <w:spacing w:before="0" w:after="0"/>
        <w:ind w:firstLine="0"/>
        <w:jc w:val="center"/>
        <w:rPr>
          <w:b/>
          <w:sz w:val="22"/>
          <w:szCs w:val="22"/>
        </w:rPr>
      </w:pPr>
    </w:p>
    <w:p w:rsidRPr="00764F4A" w:rsidR="00523CF0" w:rsidP="00FB7419" w:rsidRDefault="00523CF0" w14:paraId="3B6186B4" w14:textId="77777777">
      <w:pPr>
        <w:pStyle w:val="naisf"/>
        <w:tabs>
          <w:tab w:val="left" w:pos="8475"/>
        </w:tabs>
        <w:spacing w:before="0" w:after="0"/>
        <w:ind w:firstLine="0"/>
        <w:jc w:val="center"/>
        <w:rPr>
          <w:b/>
          <w:sz w:val="22"/>
          <w:szCs w:val="22"/>
        </w:rPr>
      </w:pPr>
    </w:p>
    <w:p w:rsidRPr="00764F4A" w:rsidR="00523CF0" w:rsidP="00764F4A" w:rsidRDefault="00523CF0" w14:paraId="27796DC0" w14:textId="77777777">
      <w:pPr>
        <w:pStyle w:val="naisf"/>
        <w:spacing w:before="0" w:after="0"/>
        <w:ind w:firstLine="0"/>
        <w:jc w:val="center"/>
        <w:rPr>
          <w:b/>
          <w:sz w:val="22"/>
          <w:szCs w:val="22"/>
        </w:rPr>
      </w:pPr>
    </w:p>
    <w:p w:rsidRPr="00764F4A" w:rsidR="00523CF0" w:rsidP="00764F4A" w:rsidRDefault="00523CF0" w14:paraId="787427BA" w14:textId="77777777">
      <w:pPr>
        <w:pStyle w:val="naisf"/>
        <w:spacing w:before="0" w:after="0"/>
        <w:ind w:firstLine="0"/>
        <w:jc w:val="center"/>
        <w:rPr>
          <w:b/>
          <w:sz w:val="22"/>
          <w:szCs w:val="22"/>
        </w:rPr>
      </w:pPr>
    </w:p>
    <w:p w:rsidRPr="00764F4A" w:rsidR="00523CF0" w:rsidP="00764F4A" w:rsidRDefault="00523CF0" w14:paraId="1B2507A1" w14:textId="77777777">
      <w:pPr>
        <w:pStyle w:val="naisf"/>
        <w:spacing w:before="0" w:after="0"/>
        <w:ind w:firstLine="0"/>
        <w:jc w:val="center"/>
        <w:rPr>
          <w:b/>
          <w:sz w:val="22"/>
          <w:szCs w:val="22"/>
        </w:rPr>
      </w:pPr>
    </w:p>
    <w:p w:rsidRPr="00764F4A" w:rsidR="00523CF0" w:rsidP="00764F4A" w:rsidRDefault="00523CF0" w14:paraId="76A2651B" w14:textId="77777777">
      <w:pPr>
        <w:pStyle w:val="naisf"/>
        <w:spacing w:before="0" w:after="0"/>
        <w:ind w:firstLine="0"/>
        <w:jc w:val="center"/>
        <w:rPr>
          <w:b/>
          <w:sz w:val="22"/>
          <w:szCs w:val="22"/>
        </w:rPr>
      </w:pPr>
    </w:p>
    <w:p w:rsidRPr="00764F4A" w:rsidR="006F1048" w:rsidP="00764F4A" w:rsidRDefault="006F1048" w14:paraId="4F0DB0CC" w14:textId="77777777">
      <w:pPr>
        <w:pStyle w:val="naisf"/>
        <w:spacing w:before="0" w:after="0"/>
        <w:ind w:firstLine="0"/>
        <w:jc w:val="left"/>
        <w:rPr>
          <w:bCs/>
          <w:sz w:val="22"/>
          <w:szCs w:val="22"/>
        </w:rPr>
      </w:pPr>
    </w:p>
    <w:p w:rsidRPr="00764F4A" w:rsidR="007B4C0F" w:rsidP="00764F4A" w:rsidRDefault="007B4C0F" w14:paraId="5B4462D7" w14:textId="77777777">
      <w:pPr>
        <w:pStyle w:val="naisf"/>
        <w:spacing w:before="0" w:after="0"/>
        <w:ind w:firstLine="0"/>
        <w:jc w:val="center"/>
        <w:rPr>
          <w:b/>
          <w:sz w:val="22"/>
          <w:szCs w:val="22"/>
        </w:rPr>
      </w:pPr>
      <w:r w:rsidRPr="00764F4A">
        <w:rPr>
          <w:b/>
          <w:sz w:val="22"/>
          <w:szCs w:val="22"/>
        </w:rPr>
        <w:t>II. </w:t>
      </w:r>
      <w:r w:rsidRPr="00764F4A" w:rsidR="00134188">
        <w:rPr>
          <w:b/>
          <w:sz w:val="22"/>
          <w:szCs w:val="22"/>
        </w:rPr>
        <w:t>Jautājumi, par kuriem saskaņošanā vienošan</w:t>
      </w:r>
      <w:r w:rsidRPr="00764F4A" w:rsidR="00144622">
        <w:rPr>
          <w:b/>
          <w:sz w:val="22"/>
          <w:szCs w:val="22"/>
        </w:rPr>
        <w:t>ā</w:t>
      </w:r>
      <w:r w:rsidRPr="00764F4A" w:rsidR="00134188">
        <w:rPr>
          <w:b/>
          <w:sz w:val="22"/>
          <w:szCs w:val="22"/>
        </w:rPr>
        <w:t>s ir panākta</w:t>
      </w:r>
    </w:p>
    <w:p w:rsidRPr="00764F4A" w:rsidR="007B4C0F" w:rsidP="00764F4A" w:rsidRDefault="007B4C0F" w14:paraId="6990BF0D" w14:textId="77777777">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60"/>
        <w:gridCol w:w="3349"/>
        <w:gridCol w:w="3906"/>
        <w:gridCol w:w="2790"/>
        <w:gridCol w:w="3285"/>
      </w:tblGrid>
      <w:tr w:rsidRPr="00764F4A" w:rsidR="00134188" w:rsidTr="00523CF0" w14:paraId="4D0DDA44" w14:textId="77777777">
        <w:tc>
          <w:tcPr>
            <w:tcW w:w="236" w:type="pct"/>
            <w:tcBorders>
              <w:top w:val="single" w:color="000000" w:sz="6" w:space="0"/>
              <w:left w:val="single" w:color="000000" w:sz="6" w:space="0"/>
              <w:bottom w:val="single" w:color="000000" w:sz="6" w:space="0"/>
              <w:right w:val="single" w:color="000000" w:sz="6" w:space="0"/>
            </w:tcBorders>
            <w:vAlign w:val="center"/>
          </w:tcPr>
          <w:p w:rsidRPr="00764F4A" w:rsidR="00134188" w:rsidP="00764F4A" w:rsidRDefault="00134188" w14:paraId="70FE339B" w14:textId="77777777">
            <w:pPr>
              <w:pStyle w:val="naisc"/>
              <w:spacing w:before="0" w:after="0"/>
              <w:rPr>
                <w:sz w:val="22"/>
                <w:szCs w:val="22"/>
              </w:rPr>
            </w:pPr>
            <w:r w:rsidRPr="00764F4A">
              <w:rPr>
                <w:sz w:val="22"/>
                <w:szCs w:val="22"/>
              </w:rPr>
              <w:t>Nr. p.k.</w:t>
            </w:r>
          </w:p>
        </w:tc>
        <w:tc>
          <w:tcPr>
            <w:tcW w:w="1197" w:type="pct"/>
            <w:tcBorders>
              <w:top w:val="single" w:color="000000" w:sz="6" w:space="0"/>
              <w:left w:val="single" w:color="000000" w:sz="6" w:space="0"/>
              <w:bottom w:val="single" w:color="000000" w:sz="6" w:space="0"/>
              <w:right w:val="single" w:color="000000" w:sz="6" w:space="0"/>
            </w:tcBorders>
            <w:vAlign w:val="center"/>
          </w:tcPr>
          <w:p w:rsidRPr="00764F4A" w:rsidR="00134188" w:rsidP="00764F4A" w:rsidRDefault="00134188" w14:paraId="630EB200" w14:textId="77777777">
            <w:pPr>
              <w:pStyle w:val="naisc"/>
              <w:spacing w:before="0" w:after="0"/>
              <w:ind w:firstLine="12"/>
              <w:rPr>
                <w:sz w:val="22"/>
                <w:szCs w:val="22"/>
              </w:rPr>
            </w:pPr>
            <w:r w:rsidRPr="00764F4A">
              <w:rPr>
                <w:sz w:val="22"/>
                <w:szCs w:val="22"/>
              </w:rPr>
              <w:t>Saskaņošanai nosūtītā projekta redakcija (konkrēta punkta (panta) redakcija)</w:t>
            </w:r>
          </w:p>
        </w:tc>
        <w:tc>
          <w:tcPr>
            <w:tcW w:w="1396" w:type="pct"/>
            <w:tcBorders>
              <w:top w:val="single" w:color="000000" w:sz="6" w:space="0"/>
              <w:left w:val="single" w:color="000000" w:sz="6" w:space="0"/>
              <w:bottom w:val="single" w:color="000000" w:sz="6" w:space="0"/>
              <w:right w:val="single" w:color="000000" w:sz="6" w:space="0"/>
            </w:tcBorders>
            <w:vAlign w:val="center"/>
          </w:tcPr>
          <w:p w:rsidRPr="00764F4A" w:rsidR="00134188" w:rsidP="00764F4A" w:rsidRDefault="00134188" w14:paraId="45CF8B08" w14:textId="77777777">
            <w:pPr>
              <w:pStyle w:val="naisc"/>
              <w:spacing w:before="0" w:after="0"/>
              <w:ind w:right="3"/>
              <w:rPr>
                <w:sz w:val="22"/>
                <w:szCs w:val="22"/>
              </w:rPr>
            </w:pPr>
            <w:r w:rsidRPr="00764F4A">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764F4A" w:rsidR="00134188" w:rsidP="00764F4A" w:rsidRDefault="00134188" w14:paraId="4615945D" w14:textId="77777777">
            <w:pPr>
              <w:pStyle w:val="naisc"/>
              <w:spacing w:before="0" w:after="0"/>
              <w:ind w:firstLine="21"/>
              <w:rPr>
                <w:sz w:val="22"/>
                <w:szCs w:val="22"/>
              </w:rPr>
            </w:pPr>
            <w:r w:rsidRPr="00764F4A">
              <w:rPr>
                <w:sz w:val="22"/>
                <w:szCs w:val="22"/>
              </w:rPr>
              <w:t>Atbildīgās ministrijas norāde</w:t>
            </w:r>
            <w:r w:rsidRPr="00764F4A" w:rsidR="006C1C48">
              <w:rPr>
                <w:sz w:val="22"/>
                <w:szCs w:val="22"/>
              </w:rPr>
              <w:t xml:space="preserve"> par to, ka </w:t>
            </w:r>
            <w:r w:rsidRPr="00764F4A">
              <w:rPr>
                <w:sz w:val="22"/>
                <w:szCs w:val="22"/>
              </w:rPr>
              <w:t>iebildums ir ņemts vērā</w:t>
            </w:r>
            <w:r w:rsidRPr="00764F4A" w:rsidR="006455E7">
              <w:rPr>
                <w:sz w:val="22"/>
                <w:szCs w:val="22"/>
              </w:rPr>
              <w:t>,</w:t>
            </w:r>
            <w:r w:rsidRPr="00764F4A">
              <w:rPr>
                <w:sz w:val="22"/>
                <w:szCs w:val="22"/>
              </w:rPr>
              <w:t xml:space="preserve"> vai </w:t>
            </w:r>
            <w:r w:rsidRPr="00764F4A" w:rsidR="006C1C48">
              <w:rPr>
                <w:sz w:val="22"/>
                <w:szCs w:val="22"/>
              </w:rPr>
              <w:t xml:space="preserve">informācija par saskaņošanā </w:t>
            </w:r>
            <w:r w:rsidRPr="00764F4A" w:rsidR="00022B0F">
              <w:rPr>
                <w:sz w:val="22"/>
                <w:szCs w:val="22"/>
              </w:rPr>
              <w:t>panākto alternatīvo risinājumu</w:t>
            </w:r>
          </w:p>
        </w:tc>
        <w:tc>
          <w:tcPr>
            <w:tcW w:w="1174" w:type="pct"/>
            <w:tcBorders>
              <w:top w:val="single" w:color="auto" w:sz="4" w:space="0"/>
              <w:left w:val="single" w:color="auto" w:sz="4" w:space="0"/>
              <w:bottom w:val="single" w:color="auto" w:sz="4" w:space="0"/>
            </w:tcBorders>
            <w:vAlign w:val="center"/>
          </w:tcPr>
          <w:p w:rsidRPr="00764F4A" w:rsidR="00134188" w:rsidP="00764F4A" w:rsidRDefault="00134188" w14:paraId="44E98130" w14:textId="77777777">
            <w:pPr>
              <w:jc w:val="center"/>
              <w:rPr>
                <w:sz w:val="22"/>
                <w:szCs w:val="22"/>
              </w:rPr>
            </w:pPr>
            <w:r w:rsidRPr="00764F4A">
              <w:rPr>
                <w:sz w:val="22"/>
                <w:szCs w:val="22"/>
              </w:rPr>
              <w:t>Projekta attiecīgā punkta (panta) galīgā redakcija</w:t>
            </w:r>
          </w:p>
        </w:tc>
      </w:tr>
      <w:tr w:rsidRPr="00764F4A" w:rsidR="00134188" w:rsidTr="00523CF0" w14:paraId="57A30A4B" w14:textId="77777777">
        <w:tc>
          <w:tcPr>
            <w:tcW w:w="236" w:type="pct"/>
            <w:tcBorders>
              <w:top w:val="single" w:color="000000" w:sz="6" w:space="0"/>
              <w:left w:val="single" w:color="000000" w:sz="6" w:space="0"/>
              <w:bottom w:val="single" w:color="000000" w:sz="6" w:space="0"/>
              <w:right w:val="single" w:color="000000" w:sz="6" w:space="0"/>
            </w:tcBorders>
          </w:tcPr>
          <w:p w:rsidRPr="00764F4A" w:rsidR="00134188" w:rsidP="00764F4A" w:rsidRDefault="003B71E0" w14:paraId="277B35A7" w14:textId="77777777">
            <w:pPr>
              <w:pStyle w:val="naisc"/>
              <w:spacing w:before="0" w:after="0"/>
              <w:rPr>
                <w:sz w:val="22"/>
                <w:szCs w:val="22"/>
              </w:rPr>
            </w:pPr>
            <w:r w:rsidRPr="00764F4A">
              <w:rPr>
                <w:sz w:val="22"/>
                <w:szCs w:val="22"/>
              </w:rPr>
              <w:t>1</w:t>
            </w:r>
          </w:p>
        </w:tc>
        <w:tc>
          <w:tcPr>
            <w:tcW w:w="1197" w:type="pct"/>
            <w:tcBorders>
              <w:top w:val="single" w:color="000000" w:sz="6" w:space="0"/>
              <w:left w:val="single" w:color="000000" w:sz="6" w:space="0"/>
              <w:bottom w:val="single" w:color="000000" w:sz="6" w:space="0"/>
              <w:right w:val="single" w:color="000000" w:sz="6" w:space="0"/>
            </w:tcBorders>
          </w:tcPr>
          <w:p w:rsidRPr="00764F4A" w:rsidR="00134188" w:rsidP="00764F4A" w:rsidRDefault="00F34AAB" w14:paraId="3CC5FE11" w14:textId="77777777">
            <w:pPr>
              <w:pStyle w:val="naisc"/>
              <w:spacing w:before="0" w:after="0"/>
              <w:ind w:firstLine="720"/>
              <w:rPr>
                <w:sz w:val="22"/>
                <w:szCs w:val="22"/>
              </w:rPr>
            </w:pPr>
            <w:r w:rsidRPr="00764F4A">
              <w:rPr>
                <w:sz w:val="22"/>
                <w:szCs w:val="22"/>
              </w:rPr>
              <w:t>2</w:t>
            </w:r>
          </w:p>
        </w:tc>
        <w:tc>
          <w:tcPr>
            <w:tcW w:w="1396" w:type="pct"/>
            <w:tcBorders>
              <w:top w:val="single" w:color="000000" w:sz="6" w:space="0"/>
              <w:left w:val="single" w:color="000000" w:sz="6" w:space="0"/>
              <w:bottom w:val="single" w:color="000000" w:sz="6" w:space="0"/>
              <w:right w:val="single" w:color="000000" w:sz="6" w:space="0"/>
            </w:tcBorders>
          </w:tcPr>
          <w:p w:rsidRPr="00764F4A" w:rsidR="00134188" w:rsidP="00764F4A" w:rsidRDefault="003B71E0" w14:paraId="12B0A713" w14:textId="77777777">
            <w:pPr>
              <w:pStyle w:val="naisc"/>
              <w:spacing w:before="0" w:after="0"/>
              <w:ind w:firstLine="720"/>
              <w:rPr>
                <w:sz w:val="22"/>
                <w:szCs w:val="22"/>
              </w:rPr>
            </w:pPr>
            <w:r w:rsidRPr="00764F4A">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764F4A" w:rsidR="00134188" w:rsidP="00764F4A" w:rsidRDefault="003B71E0" w14:paraId="1E062FAA" w14:textId="77777777">
            <w:pPr>
              <w:pStyle w:val="naisc"/>
              <w:spacing w:before="0" w:after="0"/>
              <w:ind w:firstLine="720"/>
              <w:rPr>
                <w:sz w:val="22"/>
                <w:szCs w:val="22"/>
              </w:rPr>
            </w:pPr>
            <w:r w:rsidRPr="00764F4A">
              <w:rPr>
                <w:sz w:val="22"/>
                <w:szCs w:val="22"/>
              </w:rPr>
              <w:t>4</w:t>
            </w:r>
          </w:p>
        </w:tc>
        <w:tc>
          <w:tcPr>
            <w:tcW w:w="1174" w:type="pct"/>
            <w:tcBorders>
              <w:top w:val="single" w:color="auto" w:sz="4" w:space="0"/>
              <w:left w:val="single" w:color="auto" w:sz="4" w:space="0"/>
              <w:bottom w:val="single" w:color="auto" w:sz="4" w:space="0"/>
            </w:tcBorders>
          </w:tcPr>
          <w:p w:rsidRPr="00764F4A" w:rsidR="00134188" w:rsidP="00764F4A" w:rsidRDefault="003B71E0" w14:paraId="6E5F433A" w14:textId="77777777">
            <w:pPr>
              <w:jc w:val="center"/>
              <w:rPr>
                <w:sz w:val="22"/>
                <w:szCs w:val="22"/>
              </w:rPr>
            </w:pPr>
            <w:r w:rsidRPr="00764F4A">
              <w:rPr>
                <w:sz w:val="22"/>
                <w:szCs w:val="22"/>
              </w:rPr>
              <w:t>5</w:t>
            </w:r>
          </w:p>
        </w:tc>
      </w:tr>
      <w:tr w:rsidRPr="00764F4A" w:rsidR="004F5EED" w:rsidTr="00F97A06" w14:paraId="00BCD52F" w14:textId="77777777">
        <w:tc>
          <w:tcPr>
            <w:tcW w:w="236" w:type="pct"/>
            <w:tcBorders>
              <w:left w:val="single" w:color="000000" w:sz="6" w:space="0"/>
              <w:bottom w:val="single" w:color="auto" w:sz="4" w:space="0"/>
              <w:right w:val="single" w:color="000000" w:sz="6" w:space="0"/>
            </w:tcBorders>
          </w:tcPr>
          <w:p w:rsidRPr="00764F4A" w:rsidR="004F5EED" w:rsidP="00E53E2B" w:rsidRDefault="009C3118" w14:paraId="24CED3C3" w14:textId="77777777">
            <w:pPr>
              <w:pStyle w:val="naisc"/>
              <w:spacing w:before="0" w:after="0"/>
              <w:ind w:firstLine="22"/>
              <w:rPr>
                <w:sz w:val="22"/>
                <w:szCs w:val="22"/>
              </w:rPr>
            </w:pPr>
            <w:r>
              <w:rPr>
                <w:sz w:val="22"/>
                <w:szCs w:val="22"/>
              </w:rPr>
              <w:t>1.</w:t>
            </w:r>
          </w:p>
        </w:tc>
        <w:tc>
          <w:tcPr>
            <w:tcW w:w="1197" w:type="pct"/>
            <w:tcBorders>
              <w:left w:val="single" w:color="000000" w:sz="6" w:space="0"/>
              <w:bottom w:val="single" w:color="auto" w:sz="4" w:space="0"/>
              <w:right w:val="single" w:color="000000" w:sz="6" w:space="0"/>
            </w:tcBorders>
          </w:tcPr>
          <w:p w:rsidR="004F5EED" w:rsidP="004F5EED" w:rsidRDefault="004F5EED" w14:paraId="2D9EA4A0" w14:textId="77777777">
            <w:pPr>
              <w:jc w:val="both"/>
              <w:rPr>
                <w:sz w:val="22"/>
                <w:szCs w:val="22"/>
              </w:rPr>
            </w:pPr>
            <w:r w:rsidRPr="00764F4A">
              <w:rPr>
                <w:sz w:val="22"/>
                <w:szCs w:val="22"/>
              </w:rPr>
              <w:t xml:space="preserve">Ministru kabineta rīkojuma </w:t>
            </w:r>
            <w:r w:rsidRPr="007F4DA4">
              <w:rPr>
                <w:sz w:val="22"/>
                <w:szCs w:val="22"/>
              </w:rPr>
              <w:t>projekt</w:t>
            </w:r>
            <w:r>
              <w:rPr>
                <w:sz w:val="22"/>
                <w:szCs w:val="22"/>
              </w:rPr>
              <w:t>a 3.punkts:</w:t>
            </w:r>
          </w:p>
          <w:p w:rsidRPr="007F4DA4" w:rsidR="004F5EED" w:rsidP="004F5EED" w:rsidRDefault="004F5EED" w14:paraId="3A1E5E39" w14:textId="77777777">
            <w:pPr>
              <w:jc w:val="both"/>
              <w:rPr>
                <w:sz w:val="22"/>
                <w:szCs w:val="22"/>
              </w:rPr>
            </w:pPr>
          </w:p>
          <w:p w:rsidRPr="004F5EED" w:rsidR="004F5EED" w:rsidP="004F5EED" w:rsidRDefault="00FB7419" w14:paraId="3A119137" w14:textId="124E26FA">
            <w:pPr>
              <w:jc w:val="both"/>
              <w:rPr>
                <w:sz w:val="22"/>
                <w:szCs w:val="22"/>
              </w:rPr>
            </w:pPr>
            <w:r w:rsidRPr="00C6140C">
              <w:rPr>
                <w:sz w:val="22"/>
                <w:szCs w:val="22"/>
              </w:rPr>
              <w:t>„</w:t>
            </w:r>
            <w:r w:rsidR="004F5EED">
              <w:rPr>
                <w:sz w:val="22"/>
                <w:szCs w:val="22"/>
              </w:rPr>
              <w:t xml:space="preserve">3. </w:t>
            </w:r>
            <w:r w:rsidRPr="004F5EED" w:rsidR="004F5EED">
              <w:rPr>
                <w:sz w:val="22"/>
                <w:szCs w:val="22"/>
              </w:rPr>
              <w:t>Pēc Latvijas Nacionālā arhīva infrastruktūras optimizācijas Latvijas Nacionālā arhīva atbrīvotos valsts nekustamos īpašumus, kas nav nepieciešami valsts funkciju veikšanai, virzīt atsavināšanai, paredzot, ka atsavināšanas ieņēmumi tiek novirzīti Latvijas Nacionālā arhīva infrastruktūras optimizācijas ietvaros valsts nekustamo īpašumu veikto attīstības izdevumu segšanai.</w:t>
            </w:r>
            <w:r w:rsidR="004F5EED">
              <w:rPr>
                <w:sz w:val="22"/>
                <w:szCs w:val="22"/>
              </w:rPr>
              <w:t>”</w:t>
            </w:r>
          </w:p>
          <w:p w:rsidR="004F5EED" w:rsidP="00764F4A" w:rsidRDefault="004F5EED" w14:paraId="4EFCC305" w14:textId="77777777">
            <w:pPr>
              <w:jc w:val="both"/>
              <w:rPr>
                <w:sz w:val="22"/>
                <w:szCs w:val="22"/>
              </w:rPr>
            </w:pPr>
          </w:p>
          <w:p w:rsidRPr="00CB2579" w:rsidR="00CB2579" w:rsidP="009C4503" w:rsidRDefault="00806BAB" w14:paraId="1CCF9ED6" w14:textId="25EDA177">
            <w:pPr>
              <w:jc w:val="both"/>
              <w:rPr>
                <w:bCs/>
                <w:sz w:val="22"/>
                <w:szCs w:val="22"/>
              </w:rPr>
            </w:pPr>
            <w:r w:rsidRPr="00C6140C">
              <w:rPr>
                <w:sz w:val="22"/>
                <w:szCs w:val="22"/>
              </w:rPr>
              <w:t>Konceptuāl</w:t>
            </w:r>
            <w:r>
              <w:rPr>
                <w:sz w:val="22"/>
                <w:szCs w:val="22"/>
              </w:rPr>
              <w:t>ā</w:t>
            </w:r>
            <w:r w:rsidRPr="00C6140C">
              <w:rPr>
                <w:sz w:val="22"/>
                <w:szCs w:val="22"/>
              </w:rPr>
              <w:t xml:space="preserve"> ziņojum</w:t>
            </w:r>
            <w:r>
              <w:rPr>
                <w:sz w:val="22"/>
                <w:szCs w:val="22"/>
              </w:rPr>
              <w:t>a</w:t>
            </w:r>
            <w:r w:rsidRPr="00C6140C">
              <w:rPr>
                <w:sz w:val="22"/>
                <w:szCs w:val="22"/>
              </w:rPr>
              <w:t xml:space="preserve"> „Par Latvijas Nacionālā arhīva ēku kritisko stāvokli un turpmāko rīcību” (turpmāk – konceptuālais ziņojums)</w:t>
            </w:r>
            <w:r w:rsidR="00FB7419">
              <w:rPr>
                <w:sz w:val="22"/>
                <w:szCs w:val="22"/>
              </w:rPr>
              <w:t xml:space="preserve"> </w:t>
            </w:r>
            <w:r w:rsidR="00CB2579">
              <w:rPr>
                <w:sz w:val="22"/>
                <w:szCs w:val="22"/>
              </w:rPr>
              <w:t>5.3.</w:t>
            </w:r>
            <w:r w:rsidR="00FB7419">
              <w:rPr>
                <w:sz w:val="22"/>
                <w:szCs w:val="22"/>
              </w:rPr>
              <w:t>nodaļa</w:t>
            </w:r>
            <w:r w:rsidR="00F84901">
              <w:rPr>
                <w:sz w:val="22"/>
                <w:szCs w:val="22"/>
              </w:rPr>
              <w:t>s</w:t>
            </w:r>
            <w:r w:rsidR="00CB2579">
              <w:rPr>
                <w:sz w:val="22"/>
                <w:szCs w:val="22"/>
              </w:rPr>
              <w:t xml:space="preserve"> </w:t>
            </w:r>
            <w:r w:rsidRPr="00C6140C">
              <w:rPr>
                <w:sz w:val="22"/>
                <w:szCs w:val="22"/>
              </w:rPr>
              <w:t>„Attīstības izmaksu potenciālie finansēšanas avoti”</w:t>
            </w:r>
            <w:r w:rsidR="00F84901">
              <w:rPr>
                <w:sz w:val="22"/>
                <w:szCs w:val="22"/>
              </w:rPr>
              <w:t xml:space="preserve"> sadaļa </w:t>
            </w:r>
            <w:r w:rsidRPr="00C6140C" w:rsidR="00F84901">
              <w:rPr>
                <w:sz w:val="22"/>
                <w:szCs w:val="22"/>
              </w:rPr>
              <w:t>„</w:t>
            </w:r>
            <w:r w:rsidRPr="00CB2579" w:rsidR="00CB2579">
              <w:rPr>
                <w:bCs/>
                <w:sz w:val="22"/>
                <w:szCs w:val="22"/>
              </w:rPr>
              <w:t xml:space="preserve">Līdzekļi, kas iegūstami no LNA funkcijai </w:t>
            </w:r>
            <w:r w:rsidRPr="00CB2579" w:rsidR="00CB2579">
              <w:rPr>
                <w:bCs/>
                <w:sz w:val="22"/>
                <w:szCs w:val="22"/>
              </w:rPr>
              <w:lastRenderedPageBreak/>
              <w:t>nevajadzīgo NĪ atsavināšanas ieņēmumiem</w:t>
            </w:r>
            <w:r w:rsidR="00F84901">
              <w:rPr>
                <w:bCs/>
                <w:sz w:val="22"/>
                <w:szCs w:val="22"/>
              </w:rPr>
              <w:t>”.</w:t>
            </w:r>
          </w:p>
          <w:p w:rsidR="00CB2579" w:rsidP="00764F4A" w:rsidRDefault="00CB2579" w14:paraId="640D4B49" w14:textId="77777777">
            <w:pPr>
              <w:jc w:val="both"/>
              <w:rPr>
                <w:sz w:val="22"/>
                <w:szCs w:val="22"/>
              </w:rPr>
            </w:pPr>
          </w:p>
          <w:p w:rsidRPr="00CB2579" w:rsidR="00CB2579" w:rsidP="00764F4A" w:rsidRDefault="00CD39DB" w14:paraId="6D0E1DA9" w14:textId="77777777">
            <w:pPr>
              <w:jc w:val="both"/>
              <w:rPr>
                <w:bCs/>
                <w:sz w:val="22"/>
                <w:szCs w:val="22"/>
              </w:rPr>
            </w:pPr>
            <w:r w:rsidRPr="00C6140C">
              <w:rPr>
                <w:sz w:val="22"/>
                <w:szCs w:val="22"/>
              </w:rPr>
              <w:t>Konceptuāl</w:t>
            </w:r>
            <w:r>
              <w:rPr>
                <w:sz w:val="22"/>
                <w:szCs w:val="22"/>
              </w:rPr>
              <w:t>ā</w:t>
            </w:r>
            <w:r w:rsidRPr="00C6140C">
              <w:rPr>
                <w:sz w:val="22"/>
                <w:szCs w:val="22"/>
              </w:rPr>
              <w:t xml:space="preserve"> ziņojum</w:t>
            </w:r>
            <w:r>
              <w:rPr>
                <w:sz w:val="22"/>
                <w:szCs w:val="22"/>
              </w:rPr>
              <w:t>a</w:t>
            </w:r>
            <w:r w:rsidRPr="00C6140C">
              <w:rPr>
                <w:sz w:val="22"/>
                <w:szCs w:val="22"/>
              </w:rPr>
              <w:t xml:space="preserve"> </w:t>
            </w:r>
            <w:r w:rsidRPr="00CB2579" w:rsidR="00CB2579">
              <w:rPr>
                <w:bCs/>
                <w:sz w:val="22"/>
                <w:szCs w:val="22"/>
              </w:rPr>
              <w:t>7.nodaļas „Priekšlikumi turpmākai rīcībai” 3.punkts.</w:t>
            </w:r>
          </w:p>
        </w:tc>
        <w:tc>
          <w:tcPr>
            <w:tcW w:w="1396" w:type="pct"/>
            <w:tcBorders>
              <w:left w:val="single" w:color="000000" w:sz="6" w:space="0"/>
              <w:bottom w:val="single" w:color="auto" w:sz="4" w:space="0"/>
              <w:right w:val="single" w:color="000000" w:sz="6" w:space="0"/>
            </w:tcBorders>
          </w:tcPr>
          <w:p w:rsidRPr="004F5EED" w:rsidR="004F5EED" w:rsidP="004F5EED" w:rsidRDefault="004F5EED" w14:paraId="5194DD0C" w14:textId="77777777">
            <w:pPr>
              <w:pStyle w:val="naisc"/>
              <w:spacing w:before="0" w:after="0"/>
              <w:jc w:val="both"/>
              <w:rPr>
                <w:b/>
                <w:sz w:val="22"/>
                <w:szCs w:val="22"/>
              </w:rPr>
            </w:pPr>
            <w:r w:rsidRPr="004F5EED">
              <w:rPr>
                <w:b/>
                <w:sz w:val="22"/>
                <w:szCs w:val="22"/>
              </w:rPr>
              <w:lastRenderedPageBreak/>
              <w:t>Finanšu ministrija (iebildums izteikts pēc 21.09.2020. elektroniskās saskaņošanas):</w:t>
            </w:r>
          </w:p>
          <w:p w:rsidRPr="004F5EED" w:rsidR="004F5EED" w:rsidP="009C4503" w:rsidRDefault="004F5EED" w14:paraId="73631137" w14:textId="28581A3D">
            <w:pPr>
              <w:jc w:val="both"/>
              <w:rPr>
                <w:b/>
                <w:sz w:val="22"/>
                <w:szCs w:val="22"/>
              </w:rPr>
            </w:pPr>
            <w:r w:rsidRPr="004F5EED">
              <w:rPr>
                <w:sz w:val="22"/>
                <w:szCs w:val="22"/>
              </w:rPr>
              <w:t>Rīkojuma projekta 3.punktā ir svītrojami vārdi: “paredzot, ka atsavināšanas ieņēmumi tiek novirzīti Latvijas Nacionālā arhīva infrastruktūras optimizācijas ietvaros valsts nekustamo īpašumu veikto attīstības izdevumu segšanai.”, ņemot vērā, ka atbilstoši 4.punktā noteiktajam, pieprasījumu par papildu finansējumu attīstības izdevumu, aprīkojuma iegādes, pārcelšanās izdevumu, nomas maksas, papildu maksājumu un komunālo pakalpojumu izdevumu nodrošināšanai plānots izskatīt  kārtējā gada budžeta likuma sagatavošanas procesā, Kultūras ministrijai iesniedzot attiecīgu prioritāro pasākumu. Attiecīgi ir precizējama informācija arī konceptuālā ziņojuma 5.3.apakšpunktā.</w:t>
            </w:r>
          </w:p>
        </w:tc>
        <w:tc>
          <w:tcPr>
            <w:tcW w:w="997" w:type="pct"/>
            <w:tcBorders>
              <w:left w:val="single" w:color="000000" w:sz="6" w:space="0"/>
              <w:bottom w:val="single" w:color="auto" w:sz="4" w:space="0"/>
              <w:right w:val="single" w:color="000000" w:sz="6" w:space="0"/>
            </w:tcBorders>
          </w:tcPr>
          <w:p w:rsidRPr="00764F4A" w:rsidR="004F5EED" w:rsidP="00764F4A" w:rsidRDefault="004F5EED" w14:paraId="3A985DB2" w14:textId="77777777">
            <w:pPr>
              <w:pStyle w:val="naisc"/>
              <w:spacing w:before="0" w:after="0"/>
              <w:rPr>
                <w:b/>
                <w:sz w:val="22"/>
                <w:szCs w:val="22"/>
              </w:rPr>
            </w:pPr>
            <w:r>
              <w:rPr>
                <w:b/>
                <w:sz w:val="22"/>
                <w:szCs w:val="22"/>
              </w:rPr>
              <w:t xml:space="preserve">Ņemts vērā </w:t>
            </w:r>
          </w:p>
        </w:tc>
        <w:tc>
          <w:tcPr>
            <w:tcW w:w="1174" w:type="pct"/>
            <w:tcBorders>
              <w:top w:val="single" w:color="auto" w:sz="4" w:space="0"/>
              <w:left w:val="single" w:color="auto" w:sz="4" w:space="0"/>
              <w:bottom w:val="single" w:color="auto" w:sz="4" w:space="0"/>
            </w:tcBorders>
          </w:tcPr>
          <w:p w:rsidRPr="00764F4A" w:rsidR="004F5EED" w:rsidP="004F5EED" w:rsidRDefault="004F5EED" w14:paraId="024F531B" w14:textId="77777777">
            <w:pPr>
              <w:pStyle w:val="Virsraksts1"/>
              <w:keepNext/>
              <w:keepLines/>
              <w:spacing w:before="0" w:beforeAutospacing="0" w:after="0" w:afterAutospacing="0"/>
              <w:jc w:val="both"/>
              <w:rPr>
                <w:b w:val="0"/>
                <w:sz w:val="22"/>
                <w:szCs w:val="22"/>
              </w:rPr>
            </w:pPr>
            <w:r w:rsidRPr="00764F4A">
              <w:rPr>
                <w:b w:val="0"/>
                <w:sz w:val="22"/>
                <w:szCs w:val="22"/>
              </w:rPr>
              <w:t xml:space="preserve">Precizēts Ministru kabineta rīkojuma projekta </w:t>
            </w:r>
            <w:r>
              <w:rPr>
                <w:b w:val="0"/>
                <w:sz w:val="22"/>
                <w:szCs w:val="22"/>
              </w:rPr>
              <w:t>3</w:t>
            </w:r>
            <w:r w:rsidRPr="00764F4A">
              <w:rPr>
                <w:b w:val="0"/>
                <w:sz w:val="22"/>
                <w:szCs w:val="22"/>
              </w:rPr>
              <w:t>.punkts šādā redakcijā:</w:t>
            </w:r>
          </w:p>
          <w:p w:rsidR="004F5EED" w:rsidP="00764F4A" w:rsidRDefault="004F5EED" w14:paraId="3833D354" w14:textId="77777777">
            <w:pPr>
              <w:pStyle w:val="Virsraksts1"/>
              <w:keepNext/>
              <w:keepLines/>
              <w:spacing w:before="0" w:beforeAutospacing="0" w:after="0" w:afterAutospacing="0"/>
              <w:jc w:val="both"/>
              <w:rPr>
                <w:b w:val="0"/>
                <w:bCs w:val="0"/>
                <w:sz w:val="22"/>
                <w:szCs w:val="22"/>
              </w:rPr>
            </w:pPr>
          </w:p>
          <w:p w:rsidR="004F5EED" w:rsidP="00764F4A" w:rsidRDefault="00DF7E02" w14:paraId="373F10EA" w14:textId="56F35EFD">
            <w:pPr>
              <w:pStyle w:val="Virsraksts1"/>
              <w:keepNext/>
              <w:keepLines/>
              <w:spacing w:before="0" w:beforeAutospacing="0" w:after="0" w:afterAutospacing="0"/>
              <w:jc w:val="both"/>
              <w:rPr>
                <w:b w:val="0"/>
                <w:bCs w:val="0"/>
                <w:sz w:val="22"/>
                <w:szCs w:val="22"/>
              </w:rPr>
            </w:pPr>
            <w:r w:rsidRPr="00DF7E02">
              <w:rPr>
                <w:b w:val="0"/>
                <w:bCs w:val="0"/>
                <w:sz w:val="22"/>
                <w:szCs w:val="22"/>
              </w:rPr>
              <w:t>„</w:t>
            </w:r>
            <w:r w:rsidR="004F5EED">
              <w:rPr>
                <w:b w:val="0"/>
                <w:bCs w:val="0"/>
                <w:sz w:val="22"/>
                <w:szCs w:val="22"/>
              </w:rPr>
              <w:t xml:space="preserve">3. </w:t>
            </w:r>
            <w:r w:rsidRPr="004F5EED" w:rsidR="004F5EED">
              <w:rPr>
                <w:b w:val="0"/>
                <w:bCs w:val="0"/>
                <w:sz w:val="22"/>
                <w:szCs w:val="22"/>
              </w:rPr>
              <w:t>Pēc Latvijas Nacionālā arhīva infrastruktūras optimizācijas Latvijas Nacionālā arhīva atbrīvotos valsts nekustamos īpašumus, kas nav nepieciešami valsts funkciju veikšanai, virzīt atsavināšanai</w:t>
            </w:r>
            <w:r w:rsidR="004F5EED">
              <w:rPr>
                <w:b w:val="0"/>
                <w:bCs w:val="0"/>
                <w:sz w:val="22"/>
                <w:szCs w:val="22"/>
              </w:rPr>
              <w:t>.”</w:t>
            </w:r>
          </w:p>
          <w:p w:rsidR="004F5EED" w:rsidP="004F5EED" w:rsidRDefault="004F5EED" w14:paraId="0978B1DC" w14:textId="77777777">
            <w:pPr>
              <w:pStyle w:val="Virsraksts1"/>
              <w:keepNext/>
              <w:keepLines/>
              <w:spacing w:before="0" w:beforeAutospacing="0" w:after="0" w:afterAutospacing="0"/>
              <w:jc w:val="both"/>
              <w:rPr>
                <w:b w:val="0"/>
                <w:sz w:val="22"/>
                <w:szCs w:val="22"/>
              </w:rPr>
            </w:pPr>
          </w:p>
          <w:p w:rsidRPr="00CB2579" w:rsidR="00CB2579" w:rsidP="009C4503" w:rsidRDefault="00806BAB" w14:paraId="5B76D35F" w14:textId="1BC34D93">
            <w:pPr>
              <w:jc w:val="both"/>
              <w:rPr>
                <w:bCs/>
                <w:sz w:val="22"/>
                <w:szCs w:val="22"/>
              </w:rPr>
            </w:pPr>
            <w:r>
              <w:rPr>
                <w:sz w:val="22"/>
                <w:szCs w:val="22"/>
              </w:rPr>
              <w:t>Precizēt</w:t>
            </w:r>
            <w:r w:rsidR="009317E7">
              <w:rPr>
                <w:sz w:val="22"/>
                <w:szCs w:val="22"/>
              </w:rPr>
              <w:t>a</w:t>
            </w:r>
            <w:r>
              <w:rPr>
                <w:sz w:val="22"/>
                <w:szCs w:val="22"/>
              </w:rPr>
              <w:t xml:space="preserve"> konceptuālā ziņojuma </w:t>
            </w:r>
            <w:r w:rsidR="00895E6C">
              <w:rPr>
                <w:sz w:val="22"/>
                <w:szCs w:val="22"/>
              </w:rPr>
              <w:t>5.3.nodaļa</w:t>
            </w:r>
            <w:r w:rsidR="009317E7">
              <w:rPr>
                <w:sz w:val="22"/>
                <w:szCs w:val="22"/>
              </w:rPr>
              <w:t>s</w:t>
            </w:r>
            <w:r w:rsidR="00895E6C">
              <w:rPr>
                <w:sz w:val="22"/>
                <w:szCs w:val="22"/>
              </w:rPr>
              <w:t xml:space="preserve"> </w:t>
            </w:r>
            <w:r w:rsidRPr="00C6140C" w:rsidR="00895E6C">
              <w:rPr>
                <w:sz w:val="22"/>
                <w:szCs w:val="22"/>
              </w:rPr>
              <w:t>„Attīstības izmaksu potenciālie finansēšanas avoti”</w:t>
            </w:r>
            <w:r w:rsidR="009317E7">
              <w:rPr>
                <w:sz w:val="22"/>
                <w:szCs w:val="22"/>
              </w:rPr>
              <w:t xml:space="preserve"> sadaļa </w:t>
            </w:r>
            <w:r w:rsidRPr="00C6140C" w:rsidR="009317E7">
              <w:rPr>
                <w:sz w:val="22"/>
                <w:szCs w:val="22"/>
              </w:rPr>
              <w:t>„</w:t>
            </w:r>
            <w:r w:rsidRPr="00CB2579" w:rsidR="00CB2579">
              <w:rPr>
                <w:bCs/>
                <w:sz w:val="22"/>
                <w:szCs w:val="22"/>
              </w:rPr>
              <w:t>Līdzekļi, kas iegūstami no LNA funkcijai nevajadzīgo NĪ atsavināšanas ieņēmumiem</w:t>
            </w:r>
            <w:r w:rsidR="009317E7">
              <w:rPr>
                <w:bCs/>
                <w:sz w:val="22"/>
                <w:szCs w:val="22"/>
              </w:rPr>
              <w:t>”.</w:t>
            </w:r>
          </w:p>
          <w:p w:rsidRPr="00764F4A" w:rsidR="004F5EED" w:rsidP="004F5EED" w:rsidRDefault="004F5EED" w14:paraId="73501472" w14:textId="77777777">
            <w:pPr>
              <w:pStyle w:val="Virsraksts1"/>
              <w:keepNext/>
              <w:keepLines/>
              <w:spacing w:before="0" w:beforeAutospacing="0" w:after="0" w:afterAutospacing="0"/>
              <w:jc w:val="both"/>
              <w:rPr>
                <w:b w:val="0"/>
                <w:sz w:val="22"/>
                <w:szCs w:val="22"/>
                <w:lang w:val="x-none"/>
              </w:rPr>
            </w:pPr>
          </w:p>
          <w:p w:rsidRPr="004F5EED" w:rsidR="004F5EED" w:rsidP="004F5EED" w:rsidRDefault="004F5EED" w14:paraId="622D5904" w14:textId="77777777">
            <w:pPr>
              <w:pStyle w:val="Virsraksts1"/>
              <w:keepNext/>
              <w:keepLines/>
              <w:spacing w:before="0" w:beforeAutospacing="0" w:after="0" w:afterAutospacing="0"/>
              <w:jc w:val="both"/>
              <w:rPr>
                <w:b w:val="0"/>
                <w:bCs w:val="0"/>
                <w:sz w:val="22"/>
                <w:szCs w:val="22"/>
              </w:rPr>
            </w:pPr>
            <w:r w:rsidRPr="004F5EED">
              <w:rPr>
                <w:b w:val="0"/>
                <w:bCs w:val="0"/>
                <w:sz w:val="22"/>
                <w:szCs w:val="22"/>
              </w:rPr>
              <w:t>Precizēts konceptuālā ziņojuma 7.nodaļas „Priekšlikumi turpmākai rīcībai” 3.punkts.</w:t>
            </w:r>
          </w:p>
        </w:tc>
      </w:tr>
      <w:tr w:rsidRPr="00FA77F3" w:rsidR="004F5EED" w:rsidTr="00F97A06" w14:paraId="1896C8E4" w14:textId="77777777">
        <w:tc>
          <w:tcPr>
            <w:tcW w:w="236" w:type="pct"/>
            <w:tcBorders>
              <w:left w:val="single" w:color="000000" w:sz="6" w:space="0"/>
              <w:bottom w:val="single" w:color="auto" w:sz="4" w:space="0"/>
              <w:right w:val="single" w:color="000000" w:sz="6" w:space="0"/>
            </w:tcBorders>
          </w:tcPr>
          <w:p w:rsidRPr="00FA77F3" w:rsidR="004F5EED" w:rsidP="00E53E2B" w:rsidRDefault="00876DE9" w14:paraId="674B20AC" w14:textId="77777777">
            <w:pPr>
              <w:pStyle w:val="naisc"/>
              <w:spacing w:before="0" w:after="0"/>
              <w:ind w:firstLine="22"/>
              <w:rPr>
                <w:sz w:val="22"/>
                <w:szCs w:val="22"/>
              </w:rPr>
            </w:pPr>
            <w:bookmarkStart w:name="_GoBack" w:id="0"/>
            <w:r w:rsidRPr="00FA77F3">
              <w:rPr>
                <w:sz w:val="22"/>
                <w:szCs w:val="22"/>
              </w:rPr>
              <w:t>2.</w:t>
            </w:r>
          </w:p>
        </w:tc>
        <w:tc>
          <w:tcPr>
            <w:tcW w:w="1197" w:type="pct"/>
            <w:tcBorders>
              <w:left w:val="single" w:color="000000" w:sz="6" w:space="0"/>
              <w:bottom w:val="single" w:color="auto" w:sz="4" w:space="0"/>
              <w:right w:val="single" w:color="000000" w:sz="6" w:space="0"/>
            </w:tcBorders>
          </w:tcPr>
          <w:p w:rsidRPr="00FA77F3" w:rsidR="004F5EED" w:rsidP="00764F4A" w:rsidRDefault="00CB2579" w14:paraId="483153F5" w14:textId="104D513F">
            <w:pPr>
              <w:jc w:val="both"/>
              <w:rPr>
                <w:sz w:val="22"/>
                <w:szCs w:val="22"/>
              </w:rPr>
            </w:pPr>
            <w:r w:rsidRPr="00FA77F3">
              <w:rPr>
                <w:sz w:val="22"/>
                <w:szCs w:val="22"/>
              </w:rPr>
              <w:t>Konceptuālā ziņojuma 5.4.</w:t>
            </w:r>
            <w:r w:rsidRPr="00FA77F3" w:rsidR="007C44A2">
              <w:rPr>
                <w:sz w:val="22"/>
                <w:szCs w:val="22"/>
              </w:rPr>
              <w:t>nodaļas</w:t>
            </w:r>
            <w:r w:rsidRPr="00FA77F3">
              <w:rPr>
                <w:sz w:val="22"/>
                <w:szCs w:val="22"/>
              </w:rPr>
              <w:t xml:space="preserve"> </w:t>
            </w:r>
            <w:r w:rsidRPr="00FA77F3" w:rsidR="007C44A2">
              <w:rPr>
                <w:sz w:val="22"/>
                <w:szCs w:val="22"/>
              </w:rPr>
              <w:t>„</w:t>
            </w:r>
            <w:r w:rsidRPr="00FA77F3">
              <w:rPr>
                <w:sz w:val="22"/>
                <w:szCs w:val="22"/>
              </w:rPr>
              <w:t>Objektu uzturēšanas izdevumi” 6.tabula</w:t>
            </w:r>
            <w:r w:rsidRPr="00FA77F3" w:rsidR="007C44A2">
              <w:rPr>
                <w:sz w:val="22"/>
                <w:szCs w:val="22"/>
              </w:rPr>
              <w:t>.</w:t>
            </w:r>
          </w:p>
        </w:tc>
        <w:tc>
          <w:tcPr>
            <w:tcW w:w="1396" w:type="pct"/>
            <w:tcBorders>
              <w:left w:val="single" w:color="000000" w:sz="6" w:space="0"/>
              <w:bottom w:val="single" w:color="auto" w:sz="4" w:space="0"/>
              <w:right w:val="single" w:color="000000" w:sz="6" w:space="0"/>
            </w:tcBorders>
          </w:tcPr>
          <w:p w:rsidRPr="00FA77F3" w:rsidR="004F5EED" w:rsidP="004F5EED" w:rsidRDefault="004F5EED" w14:paraId="276EAB68" w14:textId="77777777">
            <w:pPr>
              <w:pStyle w:val="naisc"/>
              <w:spacing w:before="0" w:after="0"/>
              <w:jc w:val="both"/>
              <w:rPr>
                <w:b/>
                <w:sz w:val="22"/>
                <w:szCs w:val="22"/>
              </w:rPr>
            </w:pPr>
            <w:r w:rsidRPr="00FA77F3">
              <w:rPr>
                <w:b/>
                <w:sz w:val="22"/>
                <w:szCs w:val="22"/>
              </w:rPr>
              <w:t>Finanšu ministrija (iebildums izteikts pēc 21.09.2020. elektroniskās saskaņošanas):</w:t>
            </w:r>
          </w:p>
          <w:p w:rsidRPr="00FA77F3" w:rsidR="004F5EED" w:rsidP="00806BAB" w:rsidRDefault="004F5EED" w14:paraId="5BB2809B" w14:textId="77777777">
            <w:pPr>
              <w:jc w:val="both"/>
              <w:rPr>
                <w:sz w:val="22"/>
                <w:szCs w:val="22"/>
              </w:rPr>
            </w:pPr>
            <w:r w:rsidRPr="00FA77F3">
              <w:rPr>
                <w:sz w:val="22"/>
                <w:szCs w:val="22"/>
              </w:rPr>
              <w:t>Lūdzam papildināt konceptuālo ziņojumu, norādot aprēķināšanas nosacījumus 5.4.apakšpunkta “Objektu uzturēšanas izdevumi” 6.tabulā “NĪ nomas maksas un papildu maksājumu prognoze 7 NĪ kopā (t.sk. kapitāla izmaksas 20 gadu atmaksāšanas periodam VNĪ piederošajos NĪ)” iekļauto kārtējo/kapitālo remontdarbu finansējumam.</w:t>
            </w:r>
          </w:p>
        </w:tc>
        <w:tc>
          <w:tcPr>
            <w:tcW w:w="997" w:type="pct"/>
            <w:tcBorders>
              <w:left w:val="single" w:color="000000" w:sz="6" w:space="0"/>
              <w:bottom w:val="single" w:color="auto" w:sz="4" w:space="0"/>
              <w:right w:val="single" w:color="000000" w:sz="6" w:space="0"/>
            </w:tcBorders>
          </w:tcPr>
          <w:p w:rsidRPr="00FA77F3" w:rsidR="004F5EED" w:rsidP="00764F4A" w:rsidRDefault="00806BAB" w14:paraId="69FCB39E" w14:textId="01329530">
            <w:pPr>
              <w:pStyle w:val="naisc"/>
              <w:spacing w:before="0" w:after="0"/>
              <w:rPr>
                <w:b/>
                <w:sz w:val="22"/>
                <w:szCs w:val="22"/>
              </w:rPr>
            </w:pPr>
            <w:r w:rsidRPr="00FA77F3">
              <w:rPr>
                <w:b/>
                <w:sz w:val="22"/>
                <w:szCs w:val="22"/>
              </w:rPr>
              <w:t>Ņemts vērā</w:t>
            </w:r>
          </w:p>
        </w:tc>
        <w:tc>
          <w:tcPr>
            <w:tcW w:w="1174" w:type="pct"/>
            <w:tcBorders>
              <w:top w:val="single" w:color="auto" w:sz="4" w:space="0"/>
              <w:left w:val="single" w:color="auto" w:sz="4" w:space="0"/>
              <w:bottom w:val="single" w:color="auto" w:sz="4" w:space="0"/>
            </w:tcBorders>
          </w:tcPr>
          <w:p w:rsidRPr="00FA77F3" w:rsidR="004F5EED" w:rsidP="00764F4A" w:rsidRDefault="00CB2579" w14:paraId="1E839129" w14:textId="11BC167C">
            <w:pPr>
              <w:pStyle w:val="Virsraksts1"/>
              <w:keepNext/>
              <w:keepLines/>
              <w:spacing w:before="0" w:beforeAutospacing="0" w:after="0" w:afterAutospacing="0"/>
              <w:jc w:val="both"/>
              <w:rPr>
                <w:b w:val="0"/>
                <w:bCs w:val="0"/>
                <w:sz w:val="22"/>
                <w:szCs w:val="22"/>
              </w:rPr>
            </w:pPr>
            <w:r w:rsidRPr="00FA77F3">
              <w:rPr>
                <w:b w:val="0"/>
                <w:bCs w:val="0"/>
                <w:sz w:val="22"/>
                <w:szCs w:val="22"/>
              </w:rPr>
              <w:t xml:space="preserve">Papildināta </w:t>
            </w:r>
            <w:r w:rsidRPr="00FA77F3" w:rsidR="00BD24FC">
              <w:rPr>
                <w:b w:val="0"/>
                <w:bCs w:val="0"/>
                <w:sz w:val="22"/>
                <w:szCs w:val="22"/>
              </w:rPr>
              <w:t>k</w:t>
            </w:r>
            <w:r w:rsidRPr="00FA77F3">
              <w:rPr>
                <w:b w:val="0"/>
                <w:bCs w:val="0"/>
                <w:sz w:val="22"/>
                <w:szCs w:val="22"/>
              </w:rPr>
              <w:t>onceptuālā ziņojuma 5.4.</w:t>
            </w:r>
            <w:r w:rsidRPr="00FA77F3" w:rsidR="00BD24FC">
              <w:rPr>
                <w:b w:val="0"/>
                <w:bCs w:val="0"/>
                <w:sz w:val="22"/>
                <w:szCs w:val="22"/>
              </w:rPr>
              <w:t>nodaļa</w:t>
            </w:r>
            <w:r w:rsidRPr="00FA77F3" w:rsidR="003B1E11">
              <w:rPr>
                <w:b w:val="0"/>
                <w:bCs w:val="0"/>
                <w:sz w:val="22"/>
                <w:szCs w:val="22"/>
              </w:rPr>
              <w:t>s</w:t>
            </w:r>
            <w:r w:rsidRPr="00FA77F3">
              <w:rPr>
                <w:b w:val="0"/>
                <w:bCs w:val="0"/>
                <w:sz w:val="22"/>
                <w:szCs w:val="22"/>
              </w:rPr>
              <w:t xml:space="preserve"> </w:t>
            </w:r>
            <w:r w:rsidRPr="00FA77F3" w:rsidR="00BD24FC">
              <w:rPr>
                <w:b w:val="0"/>
                <w:bCs w:val="0"/>
                <w:sz w:val="22"/>
                <w:szCs w:val="22"/>
              </w:rPr>
              <w:t>„</w:t>
            </w:r>
            <w:r w:rsidRPr="00FA77F3">
              <w:rPr>
                <w:b w:val="0"/>
                <w:bCs w:val="0"/>
                <w:sz w:val="22"/>
                <w:szCs w:val="22"/>
              </w:rPr>
              <w:t>Objektu uzturēšanas izdevumi” 6.tabula</w:t>
            </w:r>
            <w:r w:rsidRPr="00FA77F3" w:rsidR="00B02C73">
              <w:rPr>
                <w:b w:val="0"/>
                <w:bCs w:val="0"/>
                <w:sz w:val="22"/>
                <w:szCs w:val="22"/>
              </w:rPr>
              <w:t xml:space="preserve"> </w:t>
            </w:r>
            <w:r w:rsidRPr="00FA77F3" w:rsidR="00B02C73">
              <w:rPr>
                <w:b w:val="0"/>
                <w:bCs w:val="0"/>
                <w:i/>
                <w:sz w:val="22"/>
                <w:szCs w:val="22"/>
              </w:rPr>
              <w:t>„NĪ nomas maksas un papildu maksājumu prognoze 7 NĪ kopā (t.sk. kapitāla izmaksas 20 gadu atmaksāšanas periodam VNĪ piederošajos NĪ)”</w:t>
            </w:r>
            <w:r w:rsidRPr="00FA77F3">
              <w:rPr>
                <w:b w:val="0"/>
                <w:bCs w:val="0"/>
                <w:sz w:val="22"/>
                <w:szCs w:val="22"/>
              </w:rPr>
              <w:t xml:space="preserve"> ar paskaidrojošo tekstu, kas izteikts šādā redakcijā:</w:t>
            </w:r>
          </w:p>
          <w:p w:rsidRPr="00FA77F3" w:rsidR="00CB2579" w:rsidP="00764F4A" w:rsidRDefault="00CB2579" w14:paraId="3864A6CA" w14:textId="77777777">
            <w:pPr>
              <w:pStyle w:val="Virsraksts1"/>
              <w:keepNext/>
              <w:keepLines/>
              <w:spacing w:before="0" w:beforeAutospacing="0" w:after="0" w:afterAutospacing="0"/>
              <w:jc w:val="both"/>
              <w:rPr>
                <w:b w:val="0"/>
                <w:bCs w:val="0"/>
                <w:sz w:val="22"/>
                <w:szCs w:val="22"/>
              </w:rPr>
            </w:pPr>
          </w:p>
          <w:p w:rsidRPr="00FA77F3" w:rsidR="005C4775" w:rsidP="009C4503" w:rsidRDefault="00BD24FC" w14:paraId="49888933" w14:textId="77777777">
            <w:pPr>
              <w:jc w:val="both"/>
              <w:rPr>
                <w:i/>
                <w:iCs/>
                <w:sz w:val="22"/>
                <w:szCs w:val="22"/>
              </w:rPr>
            </w:pPr>
            <w:r w:rsidRPr="00FA77F3">
              <w:rPr>
                <w:sz w:val="22"/>
                <w:szCs w:val="22"/>
              </w:rPr>
              <w:t>„</w:t>
            </w:r>
            <w:r w:rsidRPr="00FA77F3" w:rsidR="00CB2579">
              <w:rPr>
                <w:i/>
                <w:iCs/>
                <w:sz w:val="22"/>
                <w:szCs w:val="22"/>
              </w:rPr>
              <w:t xml:space="preserve">Nomas maksas prognoze sagatavota saskaņā ar Ministru kabineta 2018. gada 20. februāra noteikumiem Nr. 97 “Publiskas personas mantas iznomāšanas noteikumi”, t.sk. atrunāti nosacījumi izdevumu plānotajiem remontdarbiem un būvdarbiem aprēķinam. </w:t>
            </w:r>
            <w:proofErr w:type="gramStart"/>
            <w:r w:rsidRPr="00FA77F3" w:rsidR="00CB2579">
              <w:rPr>
                <w:i/>
                <w:iCs/>
                <w:sz w:val="22"/>
                <w:szCs w:val="22"/>
              </w:rPr>
              <w:t>Saskaņā ar VNĪ kvalitātes vadības dokumentos atrunāto kārtību,</w:t>
            </w:r>
            <w:proofErr w:type="gramEnd"/>
            <w:r w:rsidRPr="00FA77F3" w:rsidR="00CB2579">
              <w:rPr>
                <w:i/>
                <w:iCs/>
                <w:sz w:val="22"/>
                <w:szCs w:val="22"/>
              </w:rPr>
              <w:t xml:space="preserve"> katram NĪ tiek aprēķināta ēkas atjaunošanas vērtības un remontdarbu investīciju plāns (RIP), ņemot vērā gan ēku tipu, katras ēkas komponentes (ēkas konstrukcija; ārējā apdare; iekšējā apdare un iekšējās </w:t>
            </w:r>
            <w:proofErr w:type="spellStart"/>
            <w:r w:rsidRPr="00FA77F3" w:rsidR="00CB2579">
              <w:rPr>
                <w:i/>
                <w:iCs/>
                <w:sz w:val="22"/>
                <w:szCs w:val="22"/>
              </w:rPr>
              <w:t>inženiersistēmas</w:t>
            </w:r>
            <w:proofErr w:type="spellEnd"/>
            <w:r w:rsidRPr="00FA77F3" w:rsidR="00CB2579">
              <w:rPr>
                <w:i/>
                <w:iCs/>
                <w:sz w:val="22"/>
                <w:szCs w:val="22"/>
              </w:rPr>
              <w:t xml:space="preserve">) un tām piemērojamo lietderīgās lietošanas laiku, kā arī NĪ portfeļa </w:t>
            </w:r>
            <w:r w:rsidRPr="00FA77F3" w:rsidR="00CB2579">
              <w:rPr>
                <w:i/>
                <w:iCs/>
                <w:sz w:val="22"/>
                <w:szCs w:val="22"/>
              </w:rPr>
              <w:lastRenderedPageBreak/>
              <w:t>sadalījumu). RIP ir aprēķinu metode nekustamo īpašumu uzturēšanas izmaksām, nosakot nepieciešamo izdevumu apjomu plānotajiem remontdarbiem un būvdarbiem gadā vai ēkas dzīves ciklā. RIP izmaksas nomas maksā piemēro ne vairāk kā 2,5 % no attiecīgā nekustamā īpašuma būvju atjaunošanas vērtības gadā.</w:t>
            </w:r>
          </w:p>
          <w:p w:rsidRPr="00FA77F3" w:rsidR="00CB2579" w:rsidP="004550FA" w:rsidRDefault="005C4775" w14:paraId="4EC5E2B3" w14:textId="07D5D1B9">
            <w:pPr>
              <w:jc w:val="both"/>
              <w:rPr>
                <w:b/>
                <w:bCs/>
                <w:sz w:val="22"/>
                <w:szCs w:val="22"/>
              </w:rPr>
            </w:pPr>
            <w:r w:rsidRPr="00FA77F3">
              <w:rPr>
                <w:i/>
                <w:iCs/>
                <w:color w:val="000000"/>
                <w:sz w:val="22"/>
                <w:szCs w:val="22"/>
              </w:rPr>
              <w:t>Nomas maksa tiks aktualizēta</w:t>
            </w:r>
            <w:proofErr w:type="gramStart"/>
            <w:r w:rsidRPr="00FA77F3">
              <w:rPr>
                <w:i/>
                <w:iCs/>
                <w:color w:val="000000"/>
                <w:sz w:val="22"/>
                <w:szCs w:val="22"/>
              </w:rPr>
              <w:t xml:space="preserve"> pirms Kultūras ministrija iesniedz priekšlikumu par konceptuālajā ziņojumā „Par Latvijas Nacionālā arhīva ēku kritisko stāvokli un turpmāko rīcību” saskaņoto prioritāro pasākumu izskatīšanu kārtējā gada budžeta likuma sagatavošanas procesā</w:t>
            </w:r>
            <w:proofErr w:type="gramEnd"/>
            <w:r w:rsidRPr="00FA77F3">
              <w:rPr>
                <w:i/>
                <w:iCs/>
                <w:color w:val="000000"/>
                <w:sz w:val="22"/>
                <w:szCs w:val="22"/>
              </w:rPr>
              <w:t>.</w:t>
            </w:r>
            <w:r w:rsidRPr="00FA77F3">
              <w:rPr>
                <w:rFonts w:eastAsiaTheme="minorHAnsi"/>
                <w:i/>
                <w:iCs/>
                <w:sz w:val="22"/>
                <w:szCs w:val="22"/>
              </w:rPr>
              <w:t>”</w:t>
            </w:r>
          </w:p>
        </w:tc>
      </w:tr>
      <w:bookmarkEnd w:id="0"/>
      <w:tr w:rsidRPr="00764F4A" w:rsidR="004F5EED" w:rsidTr="00F97A06" w14:paraId="57547F00" w14:textId="77777777">
        <w:tc>
          <w:tcPr>
            <w:tcW w:w="236" w:type="pct"/>
            <w:tcBorders>
              <w:left w:val="single" w:color="000000" w:sz="6" w:space="0"/>
              <w:bottom w:val="single" w:color="auto" w:sz="4" w:space="0"/>
              <w:right w:val="single" w:color="000000" w:sz="6" w:space="0"/>
            </w:tcBorders>
          </w:tcPr>
          <w:p w:rsidRPr="00764F4A" w:rsidR="004F5EED" w:rsidP="00E53E2B" w:rsidRDefault="00876DE9" w14:paraId="6BA5A0D3" w14:textId="77777777">
            <w:pPr>
              <w:pStyle w:val="naisc"/>
              <w:spacing w:before="0" w:after="0"/>
              <w:ind w:firstLine="22"/>
              <w:rPr>
                <w:sz w:val="22"/>
                <w:szCs w:val="22"/>
              </w:rPr>
            </w:pPr>
            <w:r>
              <w:rPr>
                <w:sz w:val="22"/>
                <w:szCs w:val="22"/>
              </w:rPr>
              <w:lastRenderedPageBreak/>
              <w:t>3.</w:t>
            </w:r>
          </w:p>
        </w:tc>
        <w:tc>
          <w:tcPr>
            <w:tcW w:w="1197" w:type="pct"/>
            <w:tcBorders>
              <w:left w:val="single" w:color="000000" w:sz="6" w:space="0"/>
              <w:bottom w:val="single" w:color="auto" w:sz="4" w:space="0"/>
              <w:right w:val="single" w:color="000000" w:sz="6" w:space="0"/>
            </w:tcBorders>
          </w:tcPr>
          <w:p w:rsidRPr="00764F4A" w:rsidR="004F5EED" w:rsidP="00764F4A" w:rsidRDefault="00CB2579" w14:paraId="4C17C23A" w14:textId="77777777">
            <w:pPr>
              <w:jc w:val="both"/>
              <w:rPr>
                <w:sz w:val="22"/>
                <w:szCs w:val="22"/>
              </w:rPr>
            </w:pPr>
            <w:r w:rsidRPr="00764F4A">
              <w:rPr>
                <w:sz w:val="22"/>
                <w:szCs w:val="22"/>
              </w:rPr>
              <w:t>Konceptuālā ziņojuma 6.</w:t>
            </w:r>
            <w:r>
              <w:rPr>
                <w:sz w:val="22"/>
                <w:szCs w:val="22"/>
              </w:rPr>
              <w:t>nodaļa</w:t>
            </w:r>
            <w:r w:rsidRPr="00764F4A">
              <w:rPr>
                <w:sz w:val="22"/>
                <w:szCs w:val="22"/>
              </w:rPr>
              <w:t xml:space="preserve"> </w:t>
            </w:r>
            <w:r w:rsidRPr="00C6140C">
              <w:rPr>
                <w:sz w:val="22"/>
                <w:szCs w:val="22"/>
              </w:rPr>
              <w:t>„</w:t>
            </w:r>
            <w:r w:rsidRPr="00764F4A">
              <w:rPr>
                <w:sz w:val="22"/>
                <w:szCs w:val="22"/>
              </w:rPr>
              <w:t>Kopsavilkums par konceptuālajā ziņojumā iekļauto risinājumu (risinājumu variantu) realizācijai nepieciešamo valsts un pašvaldību budžeta finansējumu”</w:t>
            </w:r>
            <w:r>
              <w:rPr>
                <w:sz w:val="22"/>
                <w:szCs w:val="22"/>
              </w:rPr>
              <w:t>.</w:t>
            </w:r>
          </w:p>
        </w:tc>
        <w:tc>
          <w:tcPr>
            <w:tcW w:w="1396" w:type="pct"/>
            <w:tcBorders>
              <w:left w:val="single" w:color="000000" w:sz="6" w:space="0"/>
              <w:bottom w:val="single" w:color="auto" w:sz="4" w:space="0"/>
              <w:right w:val="single" w:color="000000" w:sz="6" w:space="0"/>
            </w:tcBorders>
          </w:tcPr>
          <w:p w:rsidRPr="009C3118" w:rsidR="004F5EED" w:rsidP="004F5EED" w:rsidRDefault="004F5EED" w14:paraId="46830369" w14:textId="77777777">
            <w:pPr>
              <w:pStyle w:val="naisc"/>
              <w:spacing w:before="0" w:after="0"/>
              <w:jc w:val="both"/>
              <w:rPr>
                <w:b/>
                <w:sz w:val="22"/>
                <w:szCs w:val="22"/>
              </w:rPr>
            </w:pPr>
            <w:r w:rsidRPr="004F5EED">
              <w:rPr>
                <w:b/>
                <w:sz w:val="22"/>
                <w:szCs w:val="22"/>
              </w:rPr>
              <w:t>Finanšu ministrija (iebildums izteikts pēc 21.09.2020. elektroniskās saskaņošanas):</w:t>
            </w:r>
          </w:p>
          <w:p w:rsidRPr="00806BAB" w:rsidR="004F5EED" w:rsidP="004F5EED" w:rsidRDefault="004F5EED" w14:paraId="2B26B2E8" w14:textId="77777777">
            <w:pPr>
              <w:jc w:val="both"/>
              <w:rPr>
                <w:sz w:val="22"/>
                <w:szCs w:val="22"/>
              </w:rPr>
            </w:pPr>
            <w:r w:rsidRPr="00806BAB">
              <w:rPr>
                <w:color w:val="000000"/>
                <w:sz w:val="22"/>
                <w:szCs w:val="22"/>
              </w:rPr>
              <w:t>Ir precizējama konceptuālā ziņojuma 6.punktā “Kopsavilkums par konceptuālajā ziņojumā iekļauto risinājumu (risinājumu variantu) realizācijai nepieciešamo valsts un pašvaldību budžeta finansējumu” iekļautā tabula:</w:t>
            </w:r>
          </w:p>
          <w:p w:rsidRPr="00806BAB" w:rsidR="004F5EED" w:rsidP="00876DE9" w:rsidRDefault="004F5EED" w14:paraId="06AA2701" w14:textId="77777777">
            <w:pPr>
              <w:pStyle w:val="Sarakstarindkopa"/>
              <w:numPr>
                <w:ilvl w:val="0"/>
                <w:numId w:val="14"/>
              </w:numPr>
              <w:ind w:left="412"/>
              <w:contextualSpacing w:val="0"/>
              <w:rPr>
                <w:color w:val="000000"/>
                <w:sz w:val="22"/>
                <w:szCs w:val="22"/>
              </w:rPr>
            </w:pPr>
            <w:r w:rsidRPr="00806BAB">
              <w:rPr>
                <w:color w:val="000000"/>
                <w:sz w:val="22"/>
                <w:szCs w:val="22"/>
              </w:rPr>
              <w:t>kolonnā “Budžeta programmas (apakšprogrammas) kods un nosaukums” norādot Finanšu ministrijas apakšprogrammu 41.13.00 “Finansējums VAS "Valsts nekustamie īpašumi" īstenojamiem projektiem un pasākumiem”;</w:t>
            </w:r>
          </w:p>
          <w:p w:rsidRPr="00806BAB" w:rsidR="004F5EED" w:rsidP="00876DE9" w:rsidRDefault="004F5EED" w14:paraId="48A71818" w14:textId="77777777">
            <w:pPr>
              <w:pStyle w:val="Sarakstarindkopa"/>
              <w:numPr>
                <w:ilvl w:val="0"/>
                <w:numId w:val="14"/>
              </w:numPr>
              <w:ind w:left="412"/>
              <w:contextualSpacing w:val="0"/>
              <w:rPr>
                <w:color w:val="000000"/>
                <w:sz w:val="22"/>
                <w:szCs w:val="22"/>
              </w:rPr>
            </w:pPr>
            <w:r w:rsidRPr="00806BAB">
              <w:rPr>
                <w:color w:val="000000"/>
                <w:sz w:val="22"/>
                <w:szCs w:val="22"/>
              </w:rPr>
              <w:lastRenderedPageBreak/>
              <w:t>kolonnā “Vidēja termiņa budžeta ietvara likumā plānotais finansējums” visos risinājuma variantos norādot vienādu šobrīd esošā finansējuma apmēru;</w:t>
            </w:r>
          </w:p>
          <w:p w:rsidRPr="004F5EED" w:rsidR="004F5EED" w:rsidP="009C4503" w:rsidRDefault="004F5EED" w14:paraId="33A36295" w14:textId="59CE7C5D">
            <w:pPr>
              <w:pStyle w:val="Sarakstarindkopa"/>
              <w:numPr>
                <w:ilvl w:val="0"/>
                <w:numId w:val="14"/>
              </w:numPr>
              <w:ind w:left="412"/>
              <w:contextualSpacing w:val="0"/>
              <w:rPr>
                <w:b/>
                <w:sz w:val="22"/>
                <w:szCs w:val="22"/>
              </w:rPr>
            </w:pPr>
            <w:r w:rsidRPr="00806BAB">
              <w:rPr>
                <w:color w:val="000000"/>
                <w:sz w:val="22"/>
                <w:szCs w:val="22"/>
              </w:rPr>
              <w:t>kolonnā “turpmāk ik gadu (ja risinājuma (risinājuma varianta) izpilde nav terminēta)” 3.risinājuma varianta uzturēšanas izdevumi ir norādāmi kā starpība starp plānoto (ar PVN) un šobrīd jau budžetā esošo finansējumu.</w:t>
            </w:r>
          </w:p>
        </w:tc>
        <w:tc>
          <w:tcPr>
            <w:tcW w:w="997" w:type="pct"/>
            <w:tcBorders>
              <w:left w:val="single" w:color="000000" w:sz="6" w:space="0"/>
              <w:bottom w:val="single" w:color="auto" w:sz="4" w:space="0"/>
              <w:right w:val="single" w:color="000000" w:sz="6" w:space="0"/>
            </w:tcBorders>
          </w:tcPr>
          <w:p w:rsidRPr="00764F4A" w:rsidR="004F5EED" w:rsidP="00764F4A" w:rsidRDefault="00CB2579" w14:paraId="1E09CFEA" w14:textId="77777777">
            <w:pPr>
              <w:pStyle w:val="naisc"/>
              <w:spacing w:before="0" w:after="0"/>
              <w:rPr>
                <w:b/>
                <w:sz w:val="22"/>
                <w:szCs w:val="22"/>
              </w:rPr>
            </w:pPr>
            <w:r>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876DE9" w:rsidR="004F5EED" w:rsidP="00764F4A" w:rsidRDefault="00876DE9" w14:paraId="7979F90E" w14:textId="6185E61B">
            <w:pPr>
              <w:pStyle w:val="Virsraksts1"/>
              <w:keepNext/>
              <w:keepLines/>
              <w:spacing w:before="0" w:beforeAutospacing="0" w:after="0" w:afterAutospacing="0"/>
              <w:jc w:val="both"/>
              <w:rPr>
                <w:b w:val="0"/>
                <w:bCs w:val="0"/>
                <w:sz w:val="22"/>
                <w:szCs w:val="22"/>
              </w:rPr>
            </w:pPr>
            <w:r w:rsidRPr="00876DE9">
              <w:rPr>
                <w:b w:val="0"/>
                <w:bCs w:val="0"/>
                <w:sz w:val="22"/>
                <w:szCs w:val="22"/>
              </w:rPr>
              <w:t xml:space="preserve">Precizēta konceptuālā ziņojuma 6.nodaļa „Kopsavilkums par konceptuālajā ziņojumā iekļauto risinājumu (risinājumu variantu) realizācijai nepieciešamo valsts un pašvaldību budžeta finansējumu” </w:t>
            </w:r>
            <w:r w:rsidR="009A660C">
              <w:rPr>
                <w:b w:val="0"/>
                <w:bCs w:val="0"/>
                <w:sz w:val="22"/>
                <w:szCs w:val="22"/>
              </w:rPr>
              <w:t>atbilstoši izteiktajam iebildumam.</w:t>
            </w:r>
          </w:p>
        </w:tc>
      </w:tr>
      <w:tr w:rsidRPr="00764F4A" w:rsidR="00F97A06" w:rsidTr="00F97A06" w14:paraId="11E3D4B8" w14:textId="77777777">
        <w:tc>
          <w:tcPr>
            <w:tcW w:w="236" w:type="pct"/>
            <w:tcBorders>
              <w:left w:val="single" w:color="000000" w:sz="6" w:space="0"/>
              <w:bottom w:val="single" w:color="auto" w:sz="4" w:space="0"/>
              <w:right w:val="single" w:color="000000" w:sz="6" w:space="0"/>
            </w:tcBorders>
          </w:tcPr>
          <w:p w:rsidRPr="00764F4A" w:rsidR="00BD06AA" w:rsidP="00E53E2B" w:rsidRDefault="009547CB" w14:paraId="5F991903" w14:textId="68D99058">
            <w:pPr>
              <w:pStyle w:val="naisc"/>
              <w:spacing w:before="0" w:after="0"/>
              <w:ind w:firstLine="22"/>
              <w:rPr>
                <w:sz w:val="22"/>
                <w:szCs w:val="22"/>
              </w:rPr>
            </w:pPr>
            <w:r>
              <w:rPr>
                <w:sz w:val="22"/>
                <w:szCs w:val="22"/>
              </w:rPr>
              <w:t>4</w:t>
            </w:r>
            <w:r w:rsidRPr="00764F4A" w:rsidR="002019EA">
              <w:rPr>
                <w:sz w:val="22"/>
                <w:szCs w:val="22"/>
              </w:rPr>
              <w:t>.</w:t>
            </w:r>
          </w:p>
        </w:tc>
        <w:tc>
          <w:tcPr>
            <w:tcW w:w="1197" w:type="pct"/>
            <w:tcBorders>
              <w:left w:val="single" w:color="000000" w:sz="6" w:space="0"/>
              <w:bottom w:val="single" w:color="auto" w:sz="4" w:space="0"/>
              <w:right w:val="single" w:color="000000" w:sz="6" w:space="0"/>
            </w:tcBorders>
          </w:tcPr>
          <w:p w:rsidRPr="007F4DA4" w:rsidR="00BD06AA" w:rsidP="00764F4A" w:rsidRDefault="008B5B7D" w14:paraId="0F616527" w14:textId="77777777">
            <w:pPr>
              <w:jc w:val="both"/>
              <w:rPr>
                <w:sz w:val="22"/>
                <w:szCs w:val="22"/>
              </w:rPr>
            </w:pPr>
            <w:r w:rsidRPr="00764F4A">
              <w:rPr>
                <w:sz w:val="22"/>
                <w:szCs w:val="22"/>
              </w:rPr>
              <w:t xml:space="preserve">Ministru kabineta rīkojuma </w:t>
            </w:r>
            <w:r w:rsidRPr="007F4DA4">
              <w:rPr>
                <w:sz w:val="22"/>
                <w:szCs w:val="22"/>
              </w:rPr>
              <w:t>projekt</w:t>
            </w:r>
            <w:r w:rsidR="007F4DA4">
              <w:rPr>
                <w:sz w:val="22"/>
                <w:szCs w:val="22"/>
              </w:rPr>
              <w:t>a 2.punkts</w:t>
            </w:r>
            <w:r w:rsidR="007A5FB6">
              <w:rPr>
                <w:sz w:val="22"/>
                <w:szCs w:val="22"/>
              </w:rPr>
              <w:t>:</w:t>
            </w:r>
          </w:p>
          <w:p w:rsidRPr="009D0E70" w:rsidR="007F4DA4" w:rsidP="00764F4A" w:rsidRDefault="007F4DA4" w14:paraId="26725393" w14:textId="77777777">
            <w:pPr>
              <w:jc w:val="both"/>
              <w:rPr>
                <w:sz w:val="22"/>
                <w:szCs w:val="22"/>
              </w:rPr>
            </w:pPr>
          </w:p>
          <w:p w:rsidRPr="00764F4A" w:rsidR="007F4DA4" w:rsidP="009D0E70" w:rsidRDefault="00B9531D" w14:paraId="7F0030DE" w14:textId="0858C649">
            <w:pPr>
              <w:jc w:val="both"/>
              <w:rPr>
                <w:sz w:val="22"/>
                <w:szCs w:val="22"/>
              </w:rPr>
            </w:pPr>
            <w:r w:rsidRPr="00764F4A">
              <w:rPr>
                <w:sz w:val="22"/>
                <w:szCs w:val="22"/>
              </w:rPr>
              <w:t>„</w:t>
            </w:r>
            <w:r w:rsidRPr="009D0E70" w:rsidR="007F4DA4">
              <w:rPr>
                <w:sz w:val="22"/>
                <w:szCs w:val="22"/>
              </w:rPr>
              <w:t>2.</w:t>
            </w:r>
            <w:r w:rsidRPr="009D0E70" w:rsidR="007F4DA4">
              <w:rPr>
                <w:sz w:val="22"/>
                <w:szCs w:val="22"/>
              </w:rPr>
              <w:tab/>
            </w:r>
            <w:r w:rsidR="007F4DA4">
              <w:rPr>
                <w:sz w:val="22"/>
                <w:szCs w:val="22"/>
              </w:rPr>
              <w:t xml:space="preserve"> </w:t>
            </w:r>
            <w:r w:rsidRPr="009D0E70" w:rsidR="007F4DA4">
              <w:rPr>
                <w:sz w:val="22"/>
                <w:szCs w:val="22"/>
              </w:rPr>
              <w:t>Noteikt Kultūras ministriju un Finanšu ministriju (valsts akciju sabiedrību „Valsts nekustamie īpašumi”) par atbildīgajām institūcijām konceptuālā ziņojuma 3.risinājuma varianta īstenošanā.</w:t>
            </w:r>
            <w:r>
              <w:rPr>
                <w:sz w:val="22"/>
                <w:szCs w:val="22"/>
              </w:rPr>
              <w:t>”</w:t>
            </w:r>
          </w:p>
        </w:tc>
        <w:tc>
          <w:tcPr>
            <w:tcW w:w="1396" w:type="pct"/>
            <w:tcBorders>
              <w:left w:val="single" w:color="000000" w:sz="6" w:space="0"/>
              <w:bottom w:val="single" w:color="auto" w:sz="4" w:space="0"/>
              <w:right w:val="single" w:color="000000" w:sz="6" w:space="0"/>
            </w:tcBorders>
          </w:tcPr>
          <w:p w:rsidRPr="00764F4A" w:rsidR="00A41193" w:rsidP="00764F4A" w:rsidRDefault="00A41193" w14:paraId="455FA351" w14:textId="77777777">
            <w:pPr>
              <w:pStyle w:val="naisc"/>
              <w:spacing w:before="0" w:after="0"/>
              <w:jc w:val="both"/>
              <w:rPr>
                <w:b/>
                <w:sz w:val="22"/>
                <w:szCs w:val="22"/>
              </w:rPr>
            </w:pPr>
            <w:r w:rsidRPr="00764F4A">
              <w:rPr>
                <w:b/>
                <w:sz w:val="22"/>
                <w:szCs w:val="22"/>
              </w:rPr>
              <w:t xml:space="preserve">Finanšu ministrija </w:t>
            </w:r>
            <w:r w:rsidRPr="003B1DDC" w:rsidR="00ED0875">
              <w:rPr>
                <w:b/>
                <w:sz w:val="22"/>
                <w:szCs w:val="22"/>
              </w:rPr>
              <w:t>(iebildums izteikts pēc 2</w:t>
            </w:r>
            <w:r w:rsidR="0017317E">
              <w:rPr>
                <w:b/>
                <w:sz w:val="22"/>
                <w:szCs w:val="22"/>
              </w:rPr>
              <w:t>8</w:t>
            </w:r>
            <w:r w:rsidRPr="003B1DDC" w:rsidR="00ED0875">
              <w:rPr>
                <w:b/>
                <w:sz w:val="22"/>
                <w:szCs w:val="22"/>
              </w:rPr>
              <w:t>.0</w:t>
            </w:r>
            <w:r w:rsidR="0017317E">
              <w:rPr>
                <w:b/>
                <w:sz w:val="22"/>
                <w:szCs w:val="22"/>
              </w:rPr>
              <w:t>1</w:t>
            </w:r>
            <w:r w:rsidRPr="003B1DDC" w:rsidR="00ED0875">
              <w:rPr>
                <w:b/>
                <w:sz w:val="22"/>
                <w:szCs w:val="22"/>
              </w:rPr>
              <w:t>.2020. elektroniskās saskaņošanas):</w:t>
            </w:r>
          </w:p>
          <w:p w:rsidRPr="00764F4A" w:rsidR="00BD06AA" w:rsidP="00764F4A" w:rsidRDefault="00A41193" w14:paraId="01093F35" w14:textId="77777777">
            <w:pPr>
              <w:jc w:val="both"/>
              <w:rPr>
                <w:b/>
                <w:sz w:val="22"/>
                <w:szCs w:val="22"/>
              </w:rPr>
            </w:pPr>
            <w:r w:rsidRPr="00764F4A">
              <w:rPr>
                <w:sz w:val="22"/>
                <w:szCs w:val="22"/>
              </w:rPr>
              <w:t xml:space="preserve">Rīkojuma projekta 2.punkts paredz noteikt Kultūras ministriju un Finanšu ministriju (valsts akciju sabiedrību „Valsts nekustamie īpašumi”) par atbildīgajām institūcijām konceptuālā ziņojuma 3.risinājuma varianta īstenošanā. Par valsts nekustamo īpašumu attīstības projektu īstenošanas virzību, t.sk. tam nepieciešamā finansējuma piesaisti, ir atbildīga valsts pārvaldes iestāde, kuras vajadzībām attiecīgais infrastruktūras optimizācijas projekts tiek īstenots. Informējam, ka valsts akciju sabiedrība „Valsts nekustamie īpašumi” (turpmāk – VNĪ) nav atbildīga par Latvijas Nacionālā arhīva (turpmāk – LNA) struktūrvienību un izmantoto nekustamo īpašumu optimizācijas un efektīvas izmantošanas prasību definēšanu atbilstoši LNA vajadzībām. VNĪ kā projekta attīstītājs atbilstoši </w:t>
            </w:r>
            <w:r w:rsidRPr="00764F4A">
              <w:rPr>
                <w:sz w:val="22"/>
                <w:szCs w:val="22"/>
              </w:rPr>
              <w:lastRenderedPageBreak/>
              <w:t>pieņemtajiem lēmumiem organizē un nodrošina projekta izpildi, veic praktiskās darbības infrastruktūras optimizācijai. Ņemot vērā minēto, lūdzam rīkojuma projekta 2.punktā noteikt Kultūras ministriju par atbildīgo institūciju un Finanšu ministriju (valsts akciju sabiedrību „Valsts nekustamie īpašumi”) par līdzatbildīgo institūciju konceptuālā ziņojuma 3.risinājuma varianta īstenošanā.</w:t>
            </w:r>
          </w:p>
        </w:tc>
        <w:tc>
          <w:tcPr>
            <w:tcW w:w="997" w:type="pct"/>
            <w:tcBorders>
              <w:left w:val="single" w:color="000000" w:sz="6" w:space="0"/>
              <w:bottom w:val="single" w:color="auto" w:sz="4" w:space="0"/>
              <w:right w:val="single" w:color="000000" w:sz="6" w:space="0"/>
            </w:tcBorders>
          </w:tcPr>
          <w:p w:rsidRPr="00764F4A" w:rsidR="00BD06AA" w:rsidP="00764F4A" w:rsidRDefault="008B5B7D" w14:paraId="5ACA937E" w14:textId="77777777">
            <w:pPr>
              <w:pStyle w:val="naisc"/>
              <w:spacing w:before="0" w:after="0"/>
              <w:rPr>
                <w:b/>
                <w:sz w:val="22"/>
                <w:szCs w:val="22"/>
              </w:rPr>
            </w:pPr>
            <w:r w:rsidRPr="00764F4A">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764F4A" w:rsidR="00C220E9" w:rsidP="00764F4A" w:rsidRDefault="00C220E9" w14:paraId="28892E4E" w14:textId="77777777">
            <w:pPr>
              <w:pStyle w:val="Virsraksts1"/>
              <w:keepNext/>
              <w:keepLines/>
              <w:spacing w:before="0" w:beforeAutospacing="0" w:after="0" w:afterAutospacing="0"/>
              <w:jc w:val="both"/>
              <w:rPr>
                <w:b w:val="0"/>
                <w:sz w:val="22"/>
                <w:szCs w:val="22"/>
              </w:rPr>
            </w:pPr>
            <w:r w:rsidRPr="00764F4A">
              <w:rPr>
                <w:b w:val="0"/>
                <w:sz w:val="22"/>
                <w:szCs w:val="22"/>
              </w:rPr>
              <w:t xml:space="preserve">Precizēts </w:t>
            </w:r>
            <w:r w:rsidRPr="00764F4A" w:rsidR="008B5B7D">
              <w:rPr>
                <w:b w:val="0"/>
                <w:sz w:val="22"/>
                <w:szCs w:val="22"/>
              </w:rPr>
              <w:t>Ministru kabineta</w:t>
            </w:r>
            <w:r w:rsidRPr="00764F4A">
              <w:rPr>
                <w:b w:val="0"/>
                <w:sz w:val="22"/>
                <w:szCs w:val="22"/>
              </w:rPr>
              <w:t xml:space="preserve"> rīkojuma projekta</w:t>
            </w:r>
            <w:r w:rsidRPr="00764F4A" w:rsidR="008B5B7D">
              <w:rPr>
                <w:b w:val="0"/>
                <w:sz w:val="22"/>
                <w:szCs w:val="22"/>
              </w:rPr>
              <w:t xml:space="preserve"> 2.punkts </w:t>
            </w:r>
            <w:r w:rsidRPr="00764F4A">
              <w:rPr>
                <w:b w:val="0"/>
                <w:sz w:val="22"/>
                <w:szCs w:val="22"/>
              </w:rPr>
              <w:t>šādā redakcijā:</w:t>
            </w:r>
          </w:p>
          <w:p w:rsidRPr="00764F4A" w:rsidR="008B5B7D" w:rsidP="00764F4A" w:rsidRDefault="008B5B7D" w14:paraId="31C229FF" w14:textId="77777777">
            <w:pPr>
              <w:pStyle w:val="Virsraksts1"/>
              <w:keepNext/>
              <w:keepLines/>
              <w:spacing w:before="0" w:beforeAutospacing="0" w:after="0" w:afterAutospacing="0"/>
              <w:jc w:val="both"/>
              <w:rPr>
                <w:b w:val="0"/>
                <w:sz w:val="22"/>
                <w:szCs w:val="22"/>
              </w:rPr>
            </w:pPr>
          </w:p>
          <w:p w:rsidRPr="00764F4A" w:rsidR="008B5B7D" w:rsidP="00764F4A" w:rsidRDefault="008B5B7D" w14:paraId="00D1F64E" w14:textId="77777777">
            <w:pPr>
              <w:pStyle w:val="Sarakstarindkopa"/>
              <w:ind w:left="0"/>
              <w:contextualSpacing w:val="0"/>
              <w:rPr>
                <w:sz w:val="22"/>
                <w:szCs w:val="22"/>
                <w:lang w:val="lv-LV"/>
              </w:rPr>
            </w:pPr>
            <w:r w:rsidRPr="00764F4A">
              <w:rPr>
                <w:sz w:val="22"/>
                <w:szCs w:val="22"/>
              </w:rPr>
              <w:t>„2</w:t>
            </w:r>
            <w:r w:rsidRPr="00764F4A">
              <w:rPr>
                <w:sz w:val="22"/>
                <w:szCs w:val="22"/>
                <w:lang w:val="lv-LV"/>
              </w:rPr>
              <w:t xml:space="preserve">. </w:t>
            </w:r>
            <w:r w:rsidRPr="00764F4A">
              <w:rPr>
                <w:sz w:val="22"/>
                <w:szCs w:val="22"/>
              </w:rPr>
              <w:t>Noteikt Kultūras ministriju par atbildīgo institūciju un Finanšu ministriju (valsts akciju sabiedrību „Valsts nekustamie īpašumi”) par līdzatbildīgo institūcij</w:t>
            </w:r>
            <w:r w:rsidRPr="00764F4A">
              <w:rPr>
                <w:sz w:val="22"/>
                <w:szCs w:val="22"/>
                <w:lang w:val="lv-LV"/>
              </w:rPr>
              <w:t>ām</w:t>
            </w:r>
            <w:r w:rsidRPr="00764F4A">
              <w:rPr>
                <w:sz w:val="22"/>
                <w:szCs w:val="22"/>
              </w:rPr>
              <w:t xml:space="preserve"> konceptuālā ziņojuma 3.risinājuma varianta īstenošanā.</w:t>
            </w:r>
            <w:r w:rsidRPr="00764F4A">
              <w:rPr>
                <w:sz w:val="22"/>
                <w:szCs w:val="22"/>
                <w:lang w:val="lv-LV"/>
              </w:rPr>
              <w:t>”</w:t>
            </w:r>
          </w:p>
          <w:p w:rsidRPr="00764F4A" w:rsidR="008B5B7D" w:rsidP="00764F4A" w:rsidRDefault="008B5B7D" w14:paraId="11E2B993" w14:textId="77777777">
            <w:pPr>
              <w:pStyle w:val="Virsraksts1"/>
              <w:keepNext/>
              <w:keepLines/>
              <w:spacing w:before="0" w:beforeAutospacing="0" w:after="0" w:afterAutospacing="0"/>
              <w:jc w:val="both"/>
              <w:rPr>
                <w:b w:val="0"/>
                <w:sz w:val="22"/>
                <w:szCs w:val="22"/>
                <w:lang w:val="x-none"/>
              </w:rPr>
            </w:pPr>
          </w:p>
          <w:p w:rsidRPr="00764F4A" w:rsidR="007F4DA4" w:rsidP="009D0E70" w:rsidRDefault="007F4DA4" w14:paraId="41F5E876" w14:textId="77777777">
            <w:pPr>
              <w:jc w:val="both"/>
              <w:rPr>
                <w:sz w:val="22"/>
                <w:szCs w:val="22"/>
              </w:rPr>
            </w:pPr>
            <w:r w:rsidRPr="007F4DA4">
              <w:rPr>
                <w:sz w:val="22"/>
                <w:szCs w:val="22"/>
              </w:rPr>
              <w:t>Precizēts konceptuālā ziņojuma 7.nodaļas „Priekšlikumi turpmākai rīcībai” 2.punkts</w:t>
            </w:r>
            <w:r>
              <w:rPr>
                <w:sz w:val="22"/>
                <w:szCs w:val="22"/>
              </w:rPr>
              <w:t>.</w:t>
            </w:r>
          </w:p>
        </w:tc>
      </w:tr>
      <w:tr w:rsidRPr="00764F4A" w:rsidR="00A41193" w:rsidTr="00523CF0" w14:paraId="76F1BDEC" w14:textId="77777777">
        <w:tc>
          <w:tcPr>
            <w:tcW w:w="236" w:type="pct"/>
            <w:tcBorders>
              <w:left w:val="single" w:color="000000" w:sz="6" w:space="0"/>
              <w:bottom w:val="single" w:color="auto" w:sz="4" w:space="0"/>
              <w:right w:val="single" w:color="000000" w:sz="6" w:space="0"/>
            </w:tcBorders>
          </w:tcPr>
          <w:p w:rsidRPr="00764F4A" w:rsidR="00A41193" w:rsidP="00E53E2B" w:rsidRDefault="00526324" w14:paraId="6C644A8B" w14:textId="479D4CA5">
            <w:pPr>
              <w:pStyle w:val="naisc"/>
              <w:spacing w:before="0" w:after="0"/>
              <w:rPr>
                <w:sz w:val="22"/>
                <w:szCs w:val="22"/>
              </w:rPr>
            </w:pPr>
            <w:r>
              <w:rPr>
                <w:sz w:val="22"/>
                <w:szCs w:val="22"/>
              </w:rPr>
              <w:t>5</w:t>
            </w:r>
            <w:r w:rsidRPr="00764F4A" w:rsidR="002019EA">
              <w:rPr>
                <w:sz w:val="22"/>
                <w:szCs w:val="22"/>
              </w:rPr>
              <w:t>.</w:t>
            </w:r>
          </w:p>
        </w:tc>
        <w:tc>
          <w:tcPr>
            <w:tcW w:w="1197" w:type="pct"/>
            <w:tcBorders>
              <w:left w:val="single" w:color="000000" w:sz="6" w:space="0"/>
              <w:bottom w:val="single" w:color="auto" w:sz="4" w:space="0"/>
              <w:right w:val="single" w:color="000000" w:sz="6" w:space="0"/>
            </w:tcBorders>
          </w:tcPr>
          <w:p w:rsidR="00A41193" w:rsidP="00764F4A" w:rsidRDefault="00C40154" w14:paraId="5E8C9D12" w14:textId="77777777">
            <w:pPr>
              <w:jc w:val="both"/>
              <w:rPr>
                <w:sz w:val="22"/>
                <w:szCs w:val="22"/>
              </w:rPr>
            </w:pPr>
            <w:r w:rsidRPr="00764F4A">
              <w:rPr>
                <w:sz w:val="22"/>
                <w:szCs w:val="22"/>
              </w:rPr>
              <w:t>Ministru kabineta rīkojuma projekt</w:t>
            </w:r>
            <w:r w:rsidR="005C5F05">
              <w:rPr>
                <w:sz w:val="22"/>
                <w:szCs w:val="22"/>
              </w:rPr>
              <w:t>a 3.punkts</w:t>
            </w:r>
            <w:r w:rsidR="007A5FB6">
              <w:rPr>
                <w:sz w:val="22"/>
                <w:szCs w:val="22"/>
              </w:rPr>
              <w:t>:</w:t>
            </w:r>
          </w:p>
          <w:p w:rsidR="005C5F05" w:rsidP="00764F4A" w:rsidRDefault="005C5F05" w14:paraId="5372AF01" w14:textId="77777777">
            <w:pPr>
              <w:jc w:val="both"/>
              <w:rPr>
                <w:sz w:val="22"/>
                <w:szCs w:val="22"/>
              </w:rPr>
            </w:pPr>
          </w:p>
          <w:p w:rsidR="005C5F05" w:rsidP="00764F4A" w:rsidRDefault="00B9531D" w14:paraId="71B08FAE" w14:textId="77777777">
            <w:pPr>
              <w:jc w:val="both"/>
              <w:rPr>
                <w:sz w:val="22"/>
                <w:szCs w:val="22"/>
              </w:rPr>
            </w:pPr>
            <w:r w:rsidRPr="00764F4A">
              <w:rPr>
                <w:sz w:val="22"/>
                <w:szCs w:val="22"/>
              </w:rPr>
              <w:t>„</w:t>
            </w:r>
            <w:r w:rsidRPr="001C3A22" w:rsidR="001C3A22">
              <w:rPr>
                <w:sz w:val="22"/>
                <w:szCs w:val="22"/>
              </w:rPr>
              <w:t>3.</w:t>
            </w:r>
            <w:r w:rsidRPr="001C3A22" w:rsidR="001C3A22">
              <w:rPr>
                <w:sz w:val="22"/>
                <w:szCs w:val="22"/>
              </w:rPr>
              <w:tab/>
            </w:r>
            <w:r w:rsidR="001C3A22">
              <w:rPr>
                <w:sz w:val="22"/>
                <w:szCs w:val="22"/>
              </w:rPr>
              <w:t> </w:t>
            </w:r>
            <w:r w:rsidRPr="001C3A22" w:rsidR="001C3A22">
              <w:rPr>
                <w:sz w:val="22"/>
                <w:szCs w:val="22"/>
              </w:rPr>
              <w:t>Pēc Latvijas Nacionālā arhīva infrastruktūras optimizācijas Latvijas Nacionālā arhīva atbrīvotos valsts nekustamos īpašumus, kas nav nepieciešami valsts funkciju veikšanai, virzīt atsavināšanai, paredzot, ka atsavināšanas ieņēmumi tiek novirzīti Latvijas Nacionālā arhīva infrastruktūras optimizācijas ietvaros valsts nekustamo īpašumu veikto attīstības izdevumu segšanai.</w:t>
            </w:r>
            <w:r>
              <w:rPr>
                <w:sz w:val="22"/>
                <w:szCs w:val="22"/>
              </w:rPr>
              <w:t>”</w:t>
            </w:r>
          </w:p>
          <w:p w:rsidR="005C5F05" w:rsidP="00764F4A" w:rsidRDefault="005C5F05" w14:paraId="1D84E9A5" w14:textId="77777777">
            <w:pPr>
              <w:jc w:val="both"/>
              <w:rPr>
                <w:sz w:val="22"/>
                <w:szCs w:val="22"/>
              </w:rPr>
            </w:pPr>
          </w:p>
          <w:p w:rsidRPr="00764F4A" w:rsidR="005C5F05" w:rsidP="00764F4A" w:rsidRDefault="005C5F05" w14:paraId="0F0413EB" w14:textId="77777777">
            <w:pPr>
              <w:jc w:val="both"/>
              <w:rPr>
                <w:sz w:val="22"/>
                <w:szCs w:val="22"/>
              </w:rPr>
            </w:pPr>
            <w:r w:rsidRPr="005C5F05">
              <w:rPr>
                <w:sz w:val="22"/>
                <w:szCs w:val="22"/>
              </w:rPr>
              <w:t>Konceptuāl</w:t>
            </w:r>
            <w:r>
              <w:rPr>
                <w:sz w:val="22"/>
                <w:szCs w:val="22"/>
              </w:rPr>
              <w:t>ā</w:t>
            </w:r>
            <w:r w:rsidRPr="005C5F05">
              <w:rPr>
                <w:sz w:val="22"/>
                <w:szCs w:val="22"/>
              </w:rPr>
              <w:t xml:space="preserve"> ziņojum</w:t>
            </w:r>
            <w:r>
              <w:rPr>
                <w:sz w:val="22"/>
                <w:szCs w:val="22"/>
              </w:rPr>
              <w:t xml:space="preserve">a </w:t>
            </w:r>
            <w:r w:rsidRPr="005C5F05">
              <w:rPr>
                <w:sz w:val="22"/>
                <w:szCs w:val="22"/>
              </w:rPr>
              <w:t>5.3.</w:t>
            </w:r>
            <w:r w:rsidR="00690B70">
              <w:rPr>
                <w:sz w:val="22"/>
                <w:szCs w:val="22"/>
              </w:rPr>
              <w:t xml:space="preserve">nodaļa </w:t>
            </w:r>
            <w:r w:rsidRPr="00690B70" w:rsidR="00690B70">
              <w:rPr>
                <w:sz w:val="22"/>
                <w:szCs w:val="22"/>
              </w:rPr>
              <w:tab/>
            </w:r>
            <w:r w:rsidRPr="00C6140C" w:rsidR="00690B70">
              <w:rPr>
                <w:sz w:val="22"/>
                <w:szCs w:val="22"/>
              </w:rPr>
              <w:t>„Attīstības izmaksu potenciālie finansēšanas avoti”</w:t>
            </w:r>
            <w:r>
              <w:rPr>
                <w:sz w:val="22"/>
                <w:szCs w:val="22"/>
              </w:rPr>
              <w:t>.</w:t>
            </w:r>
          </w:p>
        </w:tc>
        <w:tc>
          <w:tcPr>
            <w:tcW w:w="1396" w:type="pct"/>
            <w:tcBorders>
              <w:left w:val="single" w:color="000000" w:sz="6" w:space="0"/>
              <w:bottom w:val="single" w:color="auto" w:sz="4" w:space="0"/>
              <w:right w:val="single" w:color="000000" w:sz="6" w:space="0"/>
            </w:tcBorders>
          </w:tcPr>
          <w:p w:rsidR="00A95390" w:rsidP="00A95390" w:rsidRDefault="007C060C" w14:paraId="2A7CE1F5" w14:textId="77777777">
            <w:pPr>
              <w:jc w:val="both"/>
              <w:rPr>
                <w:sz w:val="22"/>
                <w:szCs w:val="22"/>
              </w:rPr>
            </w:pPr>
            <w:r w:rsidRPr="00764F4A">
              <w:rPr>
                <w:b/>
                <w:sz w:val="22"/>
                <w:szCs w:val="22"/>
              </w:rPr>
              <w:t xml:space="preserve">Finanšu ministrija </w:t>
            </w:r>
            <w:r w:rsidRPr="00A95390" w:rsidR="00A95390">
              <w:rPr>
                <w:b/>
                <w:sz w:val="22"/>
                <w:szCs w:val="22"/>
              </w:rPr>
              <w:t>(iebildums izteikts pēc 28.01.2020. elektroniskās saskaņošanas):</w:t>
            </w:r>
          </w:p>
          <w:p w:rsidRPr="00764F4A" w:rsidR="00A41193" w:rsidP="009D0E70" w:rsidRDefault="007C060C" w14:paraId="13F547B4" w14:textId="77777777">
            <w:pPr>
              <w:jc w:val="both"/>
              <w:rPr>
                <w:b/>
                <w:sz w:val="22"/>
                <w:szCs w:val="22"/>
              </w:rPr>
            </w:pPr>
            <w:r w:rsidRPr="00764F4A">
              <w:rPr>
                <w:sz w:val="22"/>
                <w:szCs w:val="22"/>
              </w:rPr>
              <w:t>Rīkojuma projekta 3.punktā ir svītrojami vārdi: “paredzot, ka atsavināšanas ieņēmumi tiek novirzīti Latvijas Nacionālā arhīva infrastruktūras optimizācijas ietvaros valsts nekustamo īpašumu veikto attīstības izdevumu segšanai.”, ņemot vērā, ka atbilstoši 4.punktā noteiktajam, pieprasījumu par papildu finansējumu attīstības izdevumu, aprīkojuma iegādes, pārcelšanās izdevumu, nomas maksas, papildu maksājumu un komunālo pakalpojumu izdevumu nodrošināšanai plānots izskatīt  kārtējā gada budžeta likuma sagatavošanas procesā, Kultūras ministrijai iesniedzot attiecīgu prioritāro pasākumu. Attiecīgi ir precizējama informācija arī konceptuālā ziņojuma 5.3.apakšpunktā.</w:t>
            </w:r>
          </w:p>
        </w:tc>
        <w:tc>
          <w:tcPr>
            <w:tcW w:w="997" w:type="pct"/>
            <w:tcBorders>
              <w:left w:val="single" w:color="000000" w:sz="6" w:space="0"/>
              <w:bottom w:val="single" w:color="auto" w:sz="4" w:space="0"/>
              <w:right w:val="single" w:color="000000" w:sz="6" w:space="0"/>
            </w:tcBorders>
          </w:tcPr>
          <w:p w:rsidRPr="00764F4A" w:rsidR="00A41193" w:rsidP="00764F4A" w:rsidRDefault="005C5F05" w14:paraId="43CC73BF" w14:textId="77777777">
            <w:pPr>
              <w:pStyle w:val="naisc"/>
              <w:spacing w:before="0" w:after="0"/>
              <w:rPr>
                <w:b/>
                <w:sz w:val="22"/>
                <w:szCs w:val="22"/>
              </w:rPr>
            </w:pPr>
            <w:r>
              <w:rPr>
                <w:b/>
                <w:sz w:val="22"/>
                <w:szCs w:val="22"/>
              </w:rPr>
              <w:t>Ņemts vērā</w:t>
            </w:r>
          </w:p>
          <w:p w:rsidRPr="00764F4A" w:rsidR="00C40154" w:rsidP="00B9531D" w:rsidRDefault="009B115F" w14:paraId="15813870" w14:textId="77777777">
            <w:pPr>
              <w:pStyle w:val="naisc"/>
              <w:spacing w:before="0" w:after="0"/>
              <w:jc w:val="both"/>
              <w:rPr>
                <w:sz w:val="22"/>
                <w:szCs w:val="22"/>
              </w:rPr>
            </w:pPr>
            <w:r w:rsidRPr="00764F4A">
              <w:rPr>
                <w:sz w:val="22"/>
                <w:szCs w:val="22"/>
              </w:rPr>
              <w:t xml:space="preserve">Konceptuālajā ziņojumā piedāvātie ieņēmumi gan no ēku atsavināšanas, gan finansējuma priekšlikumi prioritāro pasākumu īstenošanai  paredzēti vienam mērķim </w:t>
            </w:r>
            <w:r w:rsidR="007A5FB6">
              <w:rPr>
                <w:sz w:val="22"/>
                <w:szCs w:val="22"/>
              </w:rPr>
              <w:t>–</w:t>
            </w:r>
            <w:r w:rsidRPr="00764F4A">
              <w:rPr>
                <w:sz w:val="22"/>
                <w:szCs w:val="22"/>
              </w:rPr>
              <w:t xml:space="preserve">  </w:t>
            </w:r>
            <w:r w:rsidRPr="001C3A22" w:rsidR="007A5FB6">
              <w:rPr>
                <w:sz w:val="22"/>
                <w:szCs w:val="22"/>
              </w:rPr>
              <w:t>Latvijas Nacionālā arhīva</w:t>
            </w:r>
            <w:r w:rsidRPr="00764F4A">
              <w:rPr>
                <w:sz w:val="22"/>
                <w:szCs w:val="22"/>
              </w:rPr>
              <w:t xml:space="preserve"> </w:t>
            </w:r>
            <w:r w:rsidR="007A5FB6">
              <w:rPr>
                <w:sz w:val="22"/>
                <w:szCs w:val="22"/>
              </w:rPr>
              <w:t xml:space="preserve">izmantotajos valsts </w:t>
            </w:r>
            <w:r w:rsidRPr="00764F4A">
              <w:rPr>
                <w:sz w:val="22"/>
                <w:szCs w:val="22"/>
              </w:rPr>
              <w:t xml:space="preserve">īpašumos veikto attīstības izdevumu segšanai. Vēršam uzmanību, ka ir iespējams prognozēt tikai turpmāk neizmantojamo </w:t>
            </w:r>
            <w:r w:rsidR="007A5FB6">
              <w:rPr>
                <w:sz w:val="22"/>
                <w:szCs w:val="22"/>
              </w:rPr>
              <w:t xml:space="preserve">valsts </w:t>
            </w:r>
            <w:r w:rsidRPr="00764F4A">
              <w:rPr>
                <w:sz w:val="22"/>
                <w:szCs w:val="22"/>
              </w:rPr>
              <w:t xml:space="preserve">īpašumu atbrīvošanas brīdi, nevis ieņēmumu gūšanas brīdi no ēkas atsavināšanas. Līdz ar to konceptuālajā ziņojumā tiek piedāvāti vairāki investīciju piesaistes veidi. </w:t>
            </w:r>
            <w:r w:rsidR="007A5FB6">
              <w:rPr>
                <w:sz w:val="22"/>
                <w:szCs w:val="22"/>
              </w:rPr>
              <w:t>G</w:t>
            </w:r>
            <w:r w:rsidRPr="00764F4A">
              <w:rPr>
                <w:sz w:val="22"/>
                <w:szCs w:val="22"/>
              </w:rPr>
              <w:t>adījumā</w:t>
            </w:r>
            <w:r w:rsidR="007A5FB6">
              <w:rPr>
                <w:sz w:val="22"/>
                <w:szCs w:val="22"/>
              </w:rPr>
              <w:t>, ja</w:t>
            </w:r>
            <w:r w:rsidRPr="00764F4A">
              <w:rPr>
                <w:sz w:val="22"/>
                <w:szCs w:val="22"/>
              </w:rPr>
              <w:t xml:space="preserve"> finansējums </w:t>
            </w:r>
            <w:r w:rsidRPr="001C3A22" w:rsidR="007A5FB6">
              <w:rPr>
                <w:sz w:val="22"/>
                <w:szCs w:val="22"/>
              </w:rPr>
              <w:t>Latvijas Nacionālā arhīva</w:t>
            </w:r>
            <w:r w:rsidRPr="00764F4A">
              <w:rPr>
                <w:sz w:val="22"/>
                <w:szCs w:val="22"/>
              </w:rPr>
              <w:t xml:space="preserve"> attīstības izdevumu segšanai tiks piešķirts kārtēj</w:t>
            </w:r>
            <w:r w:rsidR="007A5FB6">
              <w:rPr>
                <w:sz w:val="22"/>
                <w:szCs w:val="22"/>
              </w:rPr>
              <w:t>ā</w:t>
            </w:r>
            <w:r w:rsidRPr="00764F4A">
              <w:rPr>
                <w:sz w:val="22"/>
                <w:szCs w:val="22"/>
              </w:rPr>
              <w:t xml:space="preserve"> gada budžeta </w:t>
            </w:r>
            <w:r w:rsidRPr="00764F4A">
              <w:rPr>
                <w:sz w:val="22"/>
                <w:szCs w:val="22"/>
              </w:rPr>
              <w:lastRenderedPageBreak/>
              <w:t xml:space="preserve">likuma sagatavošanas procesā, atsavināšanas rezultātā gūtos ieņēmumus varēs </w:t>
            </w:r>
            <w:r w:rsidRPr="00764F4A" w:rsidR="00B00C77">
              <w:rPr>
                <w:sz w:val="22"/>
                <w:szCs w:val="22"/>
              </w:rPr>
              <w:t>novirzīt</w:t>
            </w:r>
            <w:r w:rsidRPr="00764F4A" w:rsidR="005B50B1">
              <w:rPr>
                <w:sz w:val="22"/>
                <w:szCs w:val="22"/>
              </w:rPr>
              <w:t xml:space="preserve"> valsts budžetā, tād</w:t>
            </w:r>
            <w:r w:rsidR="007A5FB6">
              <w:rPr>
                <w:sz w:val="22"/>
                <w:szCs w:val="22"/>
              </w:rPr>
              <w:t>ē</w:t>
            </w:r>
            <w:r w:rsidRPr="00764F4A" w:rsidR="005B50B1">
              <w:rPr>
                <w:sz w:val="22"/>
                <w:szCs w:val="22"/>
              </w:rPr>
              <w:t>jādi veidojot p</w:t>
            </w:r>
            <w:r w:rsidRPr="00764F4A" w:rsidR="00B00C77">
              <w:rPr>
                <w:sz w:val="22"/>
                <w:szCs w:val="22"/>
              </w:rPr>
              <w:t>o</w:t>
            </w:r>
            <w:r w:rsidRPr="00764F4A" w:rsidR="005B50B1">
              <w:rPr>
                <w:sz w:val="22"/>
                <w:szCs w:val="22"/>
              </w:rPr>
              <w:t>zitīvu ietekmi uz valsts budžetu</w:t>
            </w:r>
            <w:r w:rsidRPr="00764F4A">
              <w:rPr>
                <w:sz w:val="22"/>
                <w:szCs w:val="22"/>
              </w:rPr>
              <w:t>.</w:t>
            </w:r>
          </w:p>
        </w:tc>
        <w:tc>
          <w:tcPr>
            <w:tcW w:w="1174" w:type="pct"/>
            <w:tcBorders>
              <w:top w:val="single" w:color="auto" w:sz="4" w:space="0"/>
              <w:left w:val="single" w:color="auto" w:sz="4" w:space="0"/>
              <w:bottom w:val="single" w:color="auto" w:sz="4" w:space="0"/>
            </w:tcBorders>
          </w:tcPr>
          <w:p w:rsidR="00B9531D" w:rsidP="00B9531D" w:rsidRDefault="00B9531D" w14:paraId="195ED032" w14:textId="77777777">
            <w:pPr>
              <w:jc w:val="both"/>
              <w:rPr>
                <w:sz w:val="22"/>
                <w:szCs w:val="22"/>
              </w:rPr>
            </w:pPr>
            <w:r w:rsidRPr="00764F4A">
              <w:rPr>
                <w:sz w:val="22"/>
                <w:szCs w:val="22"/>
              </w:rPr>
              <w:lastRenderedPageBreak/>
              <w:t>Ministru kabineta rīkojuma projekt</w:t>
            </w:r>
            <w:r>
              <w:rPr>
                <w:sz w:val="22"/>
                <w:szCs w:val="22"/>
              </w:rPr>
              <w:t>a 3.punkts</w:t>
            </w:r>
            <w:r w:rsidR="007A5FB6">
              <w:rPr>
                <w:sz w:val="22"/>
                <w:szCs w:val="22"/>
              </w:rPr>
              <w:t>:</w:t>
            </w:r>
          </w:p>
          <w:p w:rsidR="00B9531D" w:rsidP="00B9531D" w:rsidRDefault="00B9531D" w14:paraId="6565C7C8" w14:textId="77777777">
            <w:pPr>
              <w:jc w:val="both"/>
              <w:rPr>
                <w:sz w:val="22"/>
                <w:szCs w:val="22"/>
              </w:rPr>
            </w:pPr>
          </w:p>
          <w:p w:rsidR="00B9531D" w:rsidP="00B9531D" w:rsidRDefault="00B9531D" w14:paraId="0CAE37A6" w14:textId="789227C3">
            <w:pPr>
              <w:jc w:val="both"/>
              <w:rPr>
                <w:sz w:val="22"/>
                <w:szCs w:val="22"/>
              </w:rPr>
            </w:pPr>
            <w:r w:rsidRPr="00764F4A">
              <w:rPr>
                <w:sz w:val="22"/>
                <w:szCs w:val="22"/>
              </w:rPr>
              <w:t>„</w:t>
            </w:r>
            <w:r w:rsidRPr="001C3A22">
              <w:rPr>
                <w:sz w:val="22"/>
                <w:szCs w:val="22"/>
              </w:rPr>
              <w:t>3.</w:t>
            </w:r>
            <w:r w:rsidRPr="001C3A22">
              <w:rPr>
                <w:sz w:val="22"/>
                <w:szCs w:val="22"/>
              </w:rPr>
              <w:tab/>
            </w:r>
            <w:r>
              <w:rPr>
                <w:sz w:val="22"/>
                <w:szCs w:val="22"/>
              </w:rPr>
              <w:t> </w:t>
            </w:r>
            <w:r w:rsidRPr="001C3A22">
              <w:rPr>
                <w:sz w:val="22"/>
                <w:szCs w:val="22"/>
              </w:rPr>
              <w:t>Pēc Latvijas Nacionālā arhīva infrastruktūras optimizācijas Latvijas Nacionālā arhīva atbrīvotos valsts nekustamos īpašumus, kas nav nepieciešami valsts funkciju veikšanai, virzīt atsavināšanai</w:t>
            </w:r>
            <w:r w:rsidR="00CE6015">
              <w:rPr>
                <w:sz w:val="22"/>
                <w:szCs w:val="22"/>
              </w:rPr>
              <w:t>.</w:t>
            </w:r>
            <w:r>
              <w:rPr>
                <w:sz w:val="22"/>
                <w:szCs w:val="22"/>
              </w:rPr>
              <w:t>”</w:t>
            </w:r>
          </w:p>
          <w:p w:rsidR="00A41193" w:rsidP="00764F4A" w:rsidRDefault="00A41193" w14:paraId="129995AD" w14:textId="77777777">
            <w:pPr>
              <w:jc w:val="both"/>
              <w:rPr>
                <w:sz w:val="22"/>
                <w:szCs w:val="22"/>
              </w:rPr>
            </w:pPr>
          </w:p>
          <w:p w:rsidR="007A5FB6" w:rsidP="00764F4A" w:rsidRDefault="007A5FB6" w14:paraId="290FD46F" w14:textId="77777777">
            <w:pPr>
              <w:jc w:val="both"/>
              <w:rPr>
                <w:sz w:val="22"/>
                <w:szCs w:val="22"/>
              </w:rPr>
            </w:pPr>
            <w:r>
              <w:rPr>
                <w:sz w:val="22"/>
                <w:szCs w:val="22"/>
              </w:rPr>
              <w:t>Precizēt</w:t>
            </w:r>
            <w:r w:rsidR="00690B70">
              <w:rPr>
                <w:sz w:val="22"/>
                <w:szCs w:val="22"/>
              </w:rPr>
              <w:t>a</w:t>
            </w:r>
            <w:r>
              <w:rPr>
                <w:sz w:val="22"/>
                <w:szCs w:val="22"/>
              </w:rPr>
              <w:t xml:space="preserve"> k</w:t>
            </w:r>
            <w:r w:rsidRPr="005C5F05">
              <w:rPr>
                <w:sz w:val="22"/>
                <w:szCs w:val="22"/>
              </w:rPr>
              <w:t>onceptuāl</w:t>
            </w:r>
            <w:r>
              <w:rPr>
                <w:sz w:val="22"/>
                <w:szCs w:val="22"/>
              </w:rPr>
              <w:t>ā</w:t>
            </w:r>
            <w:r w:rsidRPr="005C5F05">
              <w:rPr>
                <w:sz w:val="22"/>
                <w:szCs w:val="22"/>
              </w:rPr>
              <w:t xml:space="preserve"> ziņojum</w:t>
            </w:r>
            <w:r>
              <w:rPr>
                <w:sz w:val="22"/>
                <w:szCs w:val="22"/>
              </w:rPr>
              <w:t xml:space="preserve">a </w:t>
            </w:r>
            <w:r w:rsidRPr="005C5F05">
              <w:rPr>
                <w:sz w:val="22"/>
                <w:szCs w:val="22"/>
              </w:rPr>
              <w:t>5.3.</w:t>
            </w:r>
            <w:r w:rsidR="00690B70">
              <w:rPr>
                <w:sz w:val="22"/>
                <w:szCs w:val="22"/>
              </w:rPr>
              <w:t xml:space="preserve">nodaļas </w:t>
            </w:r>
            <w:r w:rsidRPr="00690B70" w:rsidR="00690B70">
              <w:rPr>
                <w:sz w:val="22"/>
                <w:szCs w:val="22"/>
              </w:rPr>
              <w:tab/>
            </w:r>
            <w:r w:rsidRPr="00C6140C" w:rsidR="00690B70">
              <w:rPr>
                <w:sz w:val="22"/>
                <w:szCs w:val="22"/>
              </w:rPr>
              <w:t>„Attīstības izmaksu potenciālie finansēšanas avoti” sadaļa</w:t>
            </w:r>
            <w:r w:rsidR="00A5754D">
              <w:rPr>
                <w:sz w:val="22"/>
                <w:szCs w:val="22"/>
              </w:rPr>
              <w:t>s</w:t>
            </w:r>
            <w:r w:rsidRPr="00C6140C" w:rsidR="00690B70">
              <w:rPr>
                <w:sz w:val="22"/>
                <w:szCs w:val="22"/>
              </w:rPr>
              <w:t xml:space="preserve"> „</w:t>
            </w:r>
            <w:r w:rsidRPr="00690B70" w:rsidR="00690B70">
              <w:rPr>
                <w:sz w:val="22"/>
                <w:szCs w:val="22"/>
              </w:rPr>
              <w:t>Līdzekļi, kas iegūstami no LNA funkcijai nevajadzīgo NĪ atsavināšanas ieņēmumiem</w:t>
            </w:r>
            <w:r w:rsidR="00F400B6">
              <w:rPr>
                <w:sz w:val="22"/>
                <w:szCs w:val="22"/>
              </w:rPr>
              <w:t xml:space="preserve">” </w:t>
            </w:r>
            <w:r w:rsidRPr="00C6140C" w:rsidR="00F400B6">
              <w:rPr>
                <w:sz w:val="22"/>
                <w:szCs w:val="22"/>
              </w:rPr>
              <w:t>2.rindkopa šādā redakcijā</w:t>
            </w:r>
            <w:r w:rsidR="00F400B6">
              <w:rPr>
                <w:sz w:val="22"/>
                <w:szCs w:val="22"/>
              </w:rPr>
              <w:t xml:space="preserve">: </w:t>
            </w:r>
          </w:p>
          <w:p w:rsidR="00F400B6" w:rsidP="00764F4A" w:rsidRDefault="00F400B6" w14:paraId="5F555DD8" w14:textId="77777777">
            <w:pPr>
              <w:jc w:val="both"/>
              <w:rPr>
                <w:sz w:val="22"/>
                <w:szCs w:val="22"/>
              </w:rPr>
            </w:pPr>
          </w:p>
          <w:p w:rsidRPr="00764F4A" w:rsidR="00F400B6" w:rsidP="00F400B6" w:rsidRDefault="00F400B6" w14:paraId="68FE1829" w14:textId="64AC76AD">
            <w:pPr>
              <w:pStyle w:val="Sarakstarindkopa"/>
              <w:ind w:left="0"/>
              <w:rPr>
                <w:sz w:val="22"/>
                <w:szCs w:val="22"/>
              </w:rPr>
            </w:pPr>
            <w:r w:rsidRPr="00C6140C">
              <w:rPr>
                <w:sz w:val="22"/>
                <w:szCs w:val="22"/>
              </w:rPr>
              <w:t>„</w:t>
            </w:r>
            <w:r w:rsidRPr="00F400B6">
              <w:rPr>
                <w:sz w:val="22"/>
                <w:szCs w:val="22"/>
              </w:rPr>
              <w:t xml:space="preserve">Jāņem vērā, ka Publiskas personas mantas atsavināšanas likuma 4.panta pirmā daļa nosaka, ka valsts mantas atsavināšanu var ierosināt, ja tā nav nepieciešama attiecīgajai iestādei vai citām valsts </w:t>
            </w:r>
            <w:r w:rsidRPr="00F400B6">
              <w:rPr>
                <w:sz w:val="22"/>
                <w:szCs w:val="22"/>
              </w:rPr>
              <w:lastRenderedPageBreak/>
              <w:t>iestādēm to funkciju nodrošināšanai. Attiecīgi valsts nekustamo īpašumu atsavināšana iespējama tikai pēc tam, kad tos atbrīvojis LNA. Paredzot attiecīgu normu kārtējā gada budžeta likumā, atsavināšanas ieņēmumu izlietojums ir ierobežots laikā, turklāt nav iespējams paredzēt, vai un kad nekustamos īpašumus izdosies atsavināt.</w:t>
            </w:r>
            <w:r>
              <w:rPr>
                <w:sz w:val="22"/>
                <w:szCs w:val="22"/>
                <w:lang w:val="lv-LV"/>
              </w:rPr>
              <w:t>”</w:t>
            </w:r>
          </w:p>
        </w:tc>
      </w:tr>
      <w:tr w:rsidRPr="00764F4A" w:rsidR="00A41193" w:rsidTr="00523CF0" w14:paraId="63D58D42" w14:textId="77777777">
        <w:tc>
          <w:tcPr>
            <w:tcW w:w="236" w:type="pct"/>
            <w:tcBorders>
              <w:left w:val="single" w:color="000000" w:sz="6" w:space="0"/>
              <w:bottom w:val="single" w:color="auto" w:sz="4" w:space="0"/>
              <w:right w:val="single" w:color="000000" w:sz="6" w:space="0"/>
            </w:tcBorders>
          </w:tcPr>
          <w:p w:rsidRPr="00764F4A" w:rsidR="00A41193" w:rsidP="00E53E2B" w:rsidRDefault="00526324" w14:paraId="33100F8E" w14:textId="26F32E64">
            <w:pPr>
              <w:pStyle w:val="naisc"/>
              <w:spacing w:before="0" w:after="0"/>
              <w:rPr>
                <w:sz w:val="22"/>
                <w:szCs w:val="22"/>
              </w:rPr>
            </w:pPr>
            <w:r>
              <w:rPr>
                <w:sz w:val="22"/>
                <w:szCs w:val="22"/>
              </w:rPr>
              <w:lastRenderedPageBreak/>
              <w:t>6</w:t>
            </w:r>
            <w:r w:rsidRPr="00764F4A" w:rsidR="002019EA">
              <w:rPr>
                <w:sz w:val="22"/>
                <w:szCs w:val="22"/>
              </w:rPr>
              <w:t>.</w:t>
            </w:r>
          </w:p>
        </w:tc>
        <w:tc>
          <w:tcPr>
            <w:tcW w:w="1197" w:type="pct"/>
            <w:tcBorders>
              <w:left w:val="single" w:color="000000" w:sz="6" w:space="0"/>
              <w:bottom w:val="single" w:color="auto" w:sz="4" w:space="0"/>
              <w:right w:val="single" w:color="000000" w:sz="6" w:space="0"/>
            </w:tcBorders>
          </w:tcPr>
          <w:p w:rsidRPr="00764F4A" w:rsidR="00A41193" w:rsidP="00764F4A" w:rsidRDefault="00246D76" w14:paraId="0A318824" w14:textId="77777777">
            <w:pPr>
              <w:jc w:val="both"/>
              <w:rPr>
                <w:sz w:val="22"/>
                <w:szCs w:val="22"/>
              </w:rPr>
            </w:pPr>
            <w:r w:rsidRPr="00764F4A">
              <w:rPr>
                <w:sz w:val="22"/>
                <w:szCs w:val="22"/>
              </w:rPr>
              <w:t>Konceptuālā ziņojuma 4.</w:t>
            </w:r>
            <w:r w:rsidR="002E343D">
              <w:rPr>
                <w:sz w:val="22"/>
                <w:szCs w:val="22"/>
              </w:rPr>
              <w:t>nodaļas</w:t>
            </w:r>
            <w:r w:rsidR="004439FE">
              <w:rPr>
                <w:sz w:val="22"/>
                <w:szCs w:val="22"/>
              </w:rPr>
              <w:t xml:space="preserve"> </w:t>
            </w:r>
            <w:r w:rsidRPr="00C6140C" w:rsidR="00A5754D">
              <w:rPr>
                <w:sz w:val="22"/>
                <w:szCs w:val="22"/>
              </w:rPr>
              <w:t>„</w:t>
            </w:r>
            <w:r w:rsidRPr="00764F4A">
              <w:rPr>
                <w:sz w:val="22"/>
                <w:szCs w:val="22"/>
              </w:rPr>
              <w:t>Risinājumu izvērtējums un to finansiālā ietekme” 4.1., 4.2., 4.3.apakš</w:t>
            </w:r>
            <w:r w:rsidR="00B003EE">
              <w:rPr>
                <w:sz w:val="22"/>
                <w:szCs w:val="22"/>
              </w:rPr>
              <w:t>nodaļas</w:t>
            </w:r>
            <w:r w:rsidRPr="00764F4A">
              <w:rPr>
                <w:sz w:val="22"/>
                <w:szCs w:val="22"/>
              </w:rPr>
              <w:t xml:space="preserve"> sadaļ</w:t>
            </w:r>
            <w:r w:rsidR="002E1687">
              <w:rPr>
                <w:sz w:val="22"/>
                <w:szCs w:val="22"/>
              </w:rPr>
              <w:t>a</w:t>
            </w:r>
            <w:r w:rsidRPr="00764F4A">
              <w:rPr>
                <w:sz w:val="22"/>
                <w:szCs w:val="22"/>
              </w:rPr>
              <w:t xml:space="preserve"> </w:t>
            </w:r>
            <w:r w:rsidRPr="00C6140C" w:rsidR="00A5754D">
              <w:rPr>
                <w:sz w:val="22"/>
                <w:szCs w:val="22"/>
              </w:rPr>
              <w:t>„</w:t>
            </w:r>
            <w:r w:rsidRPr="00764F4A">
              <w:rPr>
                <w:sz w:val="22"/>
                <w:szCs w:val="22"/>
              </w:rPr>
              <w:t>Attīstības projekta īstenošanas ilgums, mēnešos”</w:t>
            </w:r>
            <w:r w:rsidR="004439FE">
              <w:rPr>
                <w:sz w:val="22"/>
                <w:szCs w:val="22"/>
              </w:rPr>
              <w:t>.</w:t>
            </w:r>
          </w:p>
        </w:tc>
        <w:tc>
          <w:tcPr>
            <w:tcW w:w="1396" w:type="pct"/>
            <w:tcBorders>
              <w:left w:val="single" w:color="000000" w:sz="6" w:space="0"/>
              <w:bottom w:val="single" w:color="auto" w:sz="4" w:space="0"/>
              <w:right w:val="single" w:color="000000" w:sz="6" w:space="0"/>
            </w:tcBorders>
          </w:tcPr>
          <w:p w:rsidRPr="00764F4A" w:rsidR="00A41193" w:rsidP="00764F4A" w:rsidRDefault="007C060C" w14:paraId="2940807B" w14:textId="77777777">
            <w:pPr>
              <w:pStyle w:val="naisc"/>
              <w:spacing w:before="0" w:after="0"/>
              <w:jc w:val="both"/>
              <w:rPr>
                <w:b/>
                <w:sz w:val="22"/>
                <w:szCs w:val="22"/>
              </w:rPr>
            </w:pPr>
            <w:r w:rsidRPr="00764F4A">
              <w:rPr>
                <w:b/>
                <w:sz w:val="22"/>
                <w:szCs w:val="22"/>
              </w:rPr>
              <w:t xml:space="preserve">Finanšu ministrija </w:t>
            </w:r>
            <w:r w:rsidRPr="002E1687" w:rsidR="002E1687">
              <w:rPr>
                <w:b/>
                <w:sz w:val="22"/>
                <w:szCs w:val="22"/>
              </w:rPr>
              <w:t>(iebildums izteikts pēc 28.01.2020. elektroniskās saskaņošanas):</w:t>
            </w:r>
          </w:p>
          <w:p w:rsidRPr="00764F4A" w:rsidR="007C060C" w:rsidP="00C6140C" w:rsidRDefault="007C060C" w14:paraId="2A8DB964" w14:textId="77777777">
            <w:pPr>
              <w:jc w:val="both"/>
              <w:rPr>
                <w:b/>
                <w:sz w:val="22"/>
                <w:szCs w:val="22"/>
              </w:rPr>
            </w:pPr>
            <w:r w:rsidRPr="00764F4A">
              <w:rPr>
                <w:sz w:val="22"/>
                <w:szCs w:val="22"/>
              </w:rPr>
              <w:t>Konceptuālā ziņojuma 4.punkta “Risinājumu izvērtējums un to finansiālā ietekme” 4.1., 4.2., 4.3.apakšpunkta sadaļā “Attīstības projekta īstenošanas ilgums, mēnešos” nav saprotams pamatojums par darbu uzsākšanu 2020.gadā, ņemot vērā, ka konceptuālā ziņojuma 6.sadaļā tiek norādīts, ka papildu finansējums nepieciešamas sākot ar 2021.gadu. Līdz ar to iepriekš minētajā sadaļā svītrojama informācija par 2020.gadu un “</w:t>
            </w:r>
            <w:proofErr w:type="spellStart"/>
            <w:r w:rsidRPr="00764F4A">
              <w:rPr>
                <w:sz w:val="22"/>
                <w:szCs w:val="22"/>
              </w:rPr>
              <w:t>n.gads</w:t>
            </w:r>
            <w:proofErr w:type="spellEnd"/>
            <w:r w:rsidRPr="00764F4A">
              <w:rPr>
                <w:sz w:val="22"/>
                <w:szCs w:val="22"/>
              </w:rPr>
              <w:t>” vietā norādāms “2021.gads”, attiecīgi precizējot “n+1, n+2, n+3, n+4, n+5, n+6” gadus. Papildus vēršam uzmanību, ka konceptuālajā ziņojumā jānovērš pretrunīgā informācija par to, vai 3.risinājuma varianta ietvaros plānots paralēli īstenot nekustamo īpašumu attīstības projektus, vai tomēr to īstenošanu sadalīt pa kārtām.</w:t>
            </w:r>
          </w:p>
        </w:tc>
        <w:tc>
          <w:tcPr>
            <w:tcW w:w="997" w:type="pct"/>
            <w:tcBorders>
              <w:left w:val="single" w:color="000000" w:sz="6" w:space="0"/>
              <w:bottom w:val="single" w:color="auto" w:sz="4" w:space="0"/>
              <w:right w:val="single" w:color="000000" w:sz="6" w:space="0"/>
            </w:tcBorders>
          </w:tcPr>
          <w:p w:rsidRPr="00764F4A" w:rsidR="00A41193" w:rsidP="00764F4A" w:rsidRDefault="00103C32" w14:paraId="1A0DE87A" w14:textId="77777777">
            <w:pPr>
              <w:pStyle w:val="naisc"/>
              <w:spacing w:before="0" w:after="0"/>
              <w:rPr>
                <w:b/>
                <w:sz w:val="22"/>
                <w:szCs w:val="22"/>
              </w:rPr>
            </w:pPr>
            <w:r w:rsidRPr="00764F4A">
              <w:rPr>
                <w:b/>
                <w:sz w:val="22"/>
                <w:szCs w:val="22"/>
              </w:rPr>
              <w:t>Ņemts vērā</w:t>
            </w:r>
          </w:p>
        </w:tc>
        <w:tc>
          <w:tcPr>
            <w:tcW w:w="1174" w:type="pct"/>
            <w:tcBorders>
              <w:top w:val="single" w:color="auto" w:sz="4" w:space="0"/>
              <w:left w:val="single" w:color="auto" w:sz="4" w:space="0"/>
              <w:bottom w:val="single" w:color="auto" w:sz="4" w:space="0"/>
            </w:tcBorders>
          </w:tcPr>
          <w:p w:rsidRPr="00764F4A" w:rsidR="00A41193" w:rsidP="00764F4A" w:rsidRDefault="00103C32" w14:paraId="229C5E2C" w14:textId="77777777">
            <w:pPr>
              <w:jc w:val="both"/>
              <w:rPr>
                <w:sz w:val="22"/>
                <w:szCs w:val="22"/>
              </w:rPr>
            </w:pPr>
            <w:r w:rsidRPr="00764F4A">
              <w:rPr>
                <w:sz w:val="22"/>
                <w:szCs w:val="22"/>
              </w:rPr>
              <w:t>Konceptuālā ziņojuma 4.</w:t>
            </w:r>
            <w:r w:rsidR="004439FE">
              <w:rPr>
                <w:sz w:val="22"/>
                <w:szCs w:val="22"/>
              </w:rPr>
              <w:t>nodaļas</w:t>
            </w:r>
            <w:r w:rsidRPr="00764F4A">
              <w:rPr>
                <w:sz w:val="22"/>
                <w:szCs w:val="22"/>
              </w:rPr>
              <w:t xml:space="preserve"> </w:t>
            </w:r>
            <w:r w:rsidRPr="00C6140C" w:rsidR="004439FE">
              <w:rPr>
                <w:sz w:val="22"/>
                <w:szCs w:val="22"/>
              </w:rPr>
              <w:t>„</w:t>
            </w:r>
            <w:r w:rsidRPr="00764F4A">
              <w:rPr>
                <w:sz w:val="22"/>
                <w:szCs w:val="22"/>
              </w:rPr>
              <w:t>Risinājumu izvērtējums un to finansiālā ietekme” 4.1., 4.2., 4.3.apakš</w:t>
            </w:r>
            <w:r w:rsidR="00B003EE">
              <w:rPr>
                <w:sz w:val="22"/>
                <w:szCs w:val="22"/>
              </w:rPr>
              <w:t>nodaļas</w:t>
            </w:r>
            <w:r w:rsidRPr="00764F4A">
              <w:rPr>
                <w:sz w:val="22"/>
                <w:szCs w:val="22"/>
              </w:rPr>
              <w:t xml:space="preserve"> sadaļā </w:t>
            </w:r>
            <w:r w:rsidRPr="00C6140C" w:rsidR="00B003EE">
              <w:rPr>
                <w:sz w:val="22"/>
                <w:szCs w:val="22"/>
              </w:rPr>
              <w:t>„</w:t>
            </w:r>
            <w:r w:rsidRPr="00764F4A">
              <w:rPr>
                <w:sz w:val="22"/>
                <w:szCs w:val="22"/>
              </w:rPr>
              <w:t>Attīstības projekta īstenošanas ilgums, mēnešos”</w:t>
            </w:r>
            <w:r w:rsidRPr="00764F4A" w:rsidR="00246D76">
              <w:rPr>
                <w:sz w:val="22"/>
                <w:szCs w:val="22"/>
              </w:rPr>
              <w:t xml:space="preserve"> precizēts darbu uzsākšanas gads uz 202</w:t>
            </w:r>
            <w:r w:rsidRPr="00764F4A" w:rsidR="009367B0">
              <w:rPr>
                <w:sz w:val="22"/>
                <w:szCs w:val="22"/>
              </w:rPr>
              <w:t>2</w:t>
            </w:r>
            <w:r w:rsidRPr="00764F4A" w:rsidR="00246D76">
              <w:rPr>
                <w:sz w:val="22"/>
                <w:szCs w:val="22"/>
              </w:rPr>
              <w:t>.gadu</w:t>
            </w:r>
            <w:r w:rsidRPr="00764F4A" w:rsidR="009367B0">
              <w:rPr>
                <w:sz w:val="22"/>
                <w:szCs w:val="22"/>
              </w:rPr>
              <w:t>, ņemot vērā finansējuma pieejamības un pieprasīšanas iespējas</w:t>
            </w:r>
            <w:r w:rsidRPr="00764F4A" w:rsidR="00541F5D">
              <w:rPr>
                <w:sz w:val="22"/>
                <w:szCs w:val="22"/>
              </w:rPr>
              <w:t xml:space="preserve">, kā arī precizēts </w:t>
            </w:r>
            <w:proofErr w:type="spellStart"/>
            <w:r w:rsidRPr="00764F4A" w:rsidR="00541F5D">
              <w:rPr>
                <w:sz w:val="22"/>
                <w:szCs w:val="22"/>
              </w:rPr>
              <w:t>aktvitāšu</w:t>
            </w:r>
            <w:proofErr w:type="spellEnd"/>
            <w:r w:rsidRPr="00764F4A" w:rsidR="00541F5D">
              <w:rPr>
                <w:sz w:val="22"/>
                <w:szCs w:val="22"/>
              </w:rPr>
              <w:t xml:space="preserve"> īstenošanas ilgums, norādot mēnešu skaitu</w:t>
            </w:r>
            <w:r w:rsidRPr="00764F4A" w:rsidR="00246D76">
              <w:rPr>
                <w:sz w:val="22"/>
                <w:szCs w:val="22"/>
              </w:rPr>
              <w:t>.</w:t>
            </w:r>
          </w:p>
        </w:tc>
      </w:tr>
      <w:tr w:rsidRPr="00C6140C" w:rsidR="00BD06AA" w:rsidTr="00523CF0" w14:paraId="512D808E" w14:textId="77777777">
        <w:tc>
          <w:tcPr>
            <w:tcW w:w="236" w:type="pct"/>
            <w:tcBorders>
              <w:left w:val="single" w:color="000000" w:sz="6" w:space="0"/>
              <w:bottom w:val="single" w:color="auto" w:sz="4" w:space="0"/>
              <w:right w:val="single" w:color="000000" w:sz="6" w:space="0"/>
            </w:tcBorders>
          </w:tcPr>
          <w:p w:rsidRPr="00C6140C" w:rsidR="00BD06AA" w:rsidP="00E53E2B" w:rsidRDefault="00526324" w14:paraId="1298FD90" w14:textId="00C8B9A0">
            <w:pPr>
              <w:pStyle w:val="naisc"/>
              <w:spacing w:before="0" w:after="0"/>
              <w:rPr>
                <w:sz w:val="22"/>
                <w:szCs w:val="22"/>
              </w:rPr>
            </w:pPr>
            <w:r>
              <w:rPr>
                <w:sz w:val="22"/>
                <w:szCs w:val="22"/>
              </w:rPr>
              <w:lastRenderedPageBreak/>
              <w:t>7</w:t>
            </w:r>
            <w:r w:rsidRPr="009D0E70" w:rsidR="009B115F">
              <w:rPr>
                <w:sz w:val="22"/>
                <w:szCs w:val="22"/>
              </w:rPr>
              <w:t>.</w:t>
            </w:r>
          </w:p>
        </w:tc>
        <w:tc>
          <w:tcPr>
            <w:tcW w:w="1197" w:type="pct"/>
            <w:tcBorders>
              <w:left w:val="single" w:color="000000" w:sz="6" w:space="0"/>
              <w:bottom w:val="single" w:color="auto" w:sz="4" w:space="0"/>
              <w:right w:val="single" w:color="000000" w:sz="6" w:space="0"/>
            </w:tcBorders>
          </w:tcPr>
          <w:p w:rsidRPr="00C6140C" w:rsidR="00BD06AA" w:rsidP="00764F4A" w:rsidRDefault="00F876D1" w14:paraId="124435F6" w14:textId="77777777">
            <w:pPr>
              <w:jc w:val="both"/>
              <w:rPr>
                <w:sz w:val="22"/>
                <w:szCs w:val="22"/>
              </w:rPr>
            </w:pPr>
            <w:r w:rsidRPr="00C6140C">
              <w:rPr>
                <w:sz w:val="22"/>
                <w:szCs w:val="22"/>
              </w:rPr>
              <w:t>Konceptuālā ziņojuma 5.</w:t>
            </w:r>
            <w:r w:rsidR="003A1ED9">
              <w:rPr>
                <w:sz w:val="22"/>
                <w:szCs w:val="22"/>
              </w:rPr>
              <w:t>nodaļa</w:t>
            </w:r>
            <w:r w:rsidRPr="00C6140C">
              <w:rPr>
                <w:sz w:val="22"/>
                <w:szCs w:val="22"/>
              </w:rPr>
              <w:t xml:space="preserve"> </w:t>
            </w:r>
            <w:r w:rsidRPr="00C6140C" w:rsidR="005B57C5">
              <w:rPr>
                <w:sz w:val="22"/>
                <w:szCs w:val="22"/>
              </w:rPr>
              <w:t>„</w:t>
            </w:r>
            <w:r w:rsidRPr="00C6140C">
              <w:rPr>
                <w:sz w:val="22"/>
                <w:szCs w:val="22"/>
              </w:rPr>
              <w:t>Izvēlētās alternatīvas „Latvijas Nacionālā arhīva infrastruktūras optimizācija” detalizācija”</w:t>
            </w:r>
            <w:r w:rsidRPr="00C6140C" w:rsidR="00866DC6">
              <w:rPr>
                <w:sz w:val="22"/>
                <w:szCs w:val="22"/>
              </w:rPr>
              <w:t>.</w:t>
            </w:r>
          </w:p>
        </w:tc>
        <w:tc>
          <w:tcPr>
            <w:tcW w:w="1396" w:type="pct"/>
            <w:tcBorders>
              <w:left w:val="single" w:color="000000" w:sz="6" w:space="0"/>
              <w:bottom w:val="single" w:color="auto" w:sz="4" w:space="0"/>
              <w:right w:val="single" w:color="000000" w:sz="6" w:space="0"/>
            </w:tcBorders>
          </w:tcPr>
          <w:p w:rsidRPr="00C6140C" w:rsidR="00866DC6" w:rsidP="00866DC6" w:rsidRDefault="007C060C" w14:paraId="5DD6DE21" w14:textId="77777777">
            <w:pPr>
              <w:pStyle w:val="naisc"/>
              <w:spacing w:before="0" w:after="0"/>
              <w:jc w:val="both"/>
              <w:rPr>
                <w:sz w:val="22"/>
                <w:szCs w:val="22"/>
              </w:rPr>
            </w:pPr>
            <w:r w:rsidRPr="00C6140C">
              <w:rPr>
                <w:b/>
                <w:sz w:val="22"/>
                <w:szCs w:val="22"/>
              </w:rPr>
              <w:t xml:space="preserve">Finanšu ministrija </w:t>
            </w:r>
            <w:r w:rsidRPr="00C6140C" w:rsidR="00866DC6">
              <w:rPr>
                <w:b/>
                <w:sz w:val="22"/>
                <w:szCs w:val="22"/>
              </w:rPr>
              <w:t>(iebildums izteikts pēc 28.01.2020. elektroniskās saskaņošanas):</w:t>
            </w:r>
          </w:p>
          <w:p w:rsidRPr="00C6140C" w:rsidR="007C060C" w:rsidP="00C6140C" w:rsidRDefault="007C060C" w14:paraId="171487EF" w14:textId="77777777">
            <w:pPr>
              <w:pStyle w:val="naisc"/>
              <w:spacing w:before="0" w:after="0"/>
              <w:jc w:val="both"/>
              <w:rPr>
                <w:b/>
                <w:sz w:val="22"/>
                <w:szCs w:val="22"/>
              </w:rPr>
            </w:pPr>
            <w:r w:rsidRPr="00C6140C">
              <w:rPr>
                <w:sz w:val="22"/>
                <w:szCs w:val="22"/>
              </w:rPr>
              <w:t xml:space="preserve">Konceptuālā ziņojuma 5.punktā “Izvēlētās alternatīvas „Latvijas Nacionālā arhīva infrastruktūras optimizācija” detalizācija” sniegta informācija, ka I posmam Rīgas un Zemgales reģiona centra izveidei un III posmam Latgales reģiona centra izveidei ir piešķirts Eiropas Reģionālās attīstības fonda (turpmāk – ERAF) finansējums un, lai nodrošinātu pilnvērtīgu centru izveidi ir nepieciešams finansējums </w:t>
            </w:r>
            <w:r w:rsidRPr="00C6140C">
              <w:rPr>
                <w:sz w:val="22"/>
                <w:szCs w:val="22"/>
                <w:u w:val="single"/>
              </w:rPr>
              <w:t>aprīkojuma iegādei</w:t>
            </w:r>
            <w:r w:rsidRPr="00C6140C">
              <w:rPr>
                <w:sz w:val="22"/>
                <w:szCs w:val="22"/>
              </w:rPr>
              <w:t xml:space="preserve">. Savukārt konceptuālā ziņojuma 3.tabulā un 2.pielikuma 1.tabulā ietverta informācija par I un III posma plānotajiem attīstības izdevumiem 14,2 milj. </w:t>
            </w:r>
            <w:r w:rsidRPr="00C6140C">
              <w:rPr>
                <w:i/>
                <w:iCs/>
                <w:sz w:val="22"/>
                <w:szCs w:val="22"/>
              </w:rPr>
              <w:t>euro</w:t>
            </w:r>
            <w:r w:rsidRPr="00C6140C">
              <w:rPr>
                <w:sz w:val="22"/>
                <w:szCs w:val="22"/>
              </w:rPr>
              <w:t xml:space="preserve"> un 9,1 milj. </w:t>
            </w:r>
            <w:r w:rsidRPr="00C6140C">
              <w:rPr>
                <w:i/>
                <w:iCs/>
                <w:sz w:val="22"/>
                <w:szCs w:val="22"/>
              </w:rPr>
              <w:t>euro</w:t>
            </w:r>
            <w:r w:rsidRPr="00C6140C">
              <w:rPr>
                <w:sz w:val="22"/>
                <w:szCs w:val="22"/>
              </w:rPr>
              <w:t xml:space="preserve"> apmērā. Lūdzam precizēt konceptuālā ziņojuma 5.punktā ietverto informāciju, skaidrojot papildu finansējuma nepieciešamību attīstības izdevumiem, norādot, ka pilnvērtīgai arhīva darbībai papildus ERAF </w:t>
            </w:r>
            <w:proofErr w:type="spellStart"/>
            <w:r w:rsidRPr="00C6140C">
              <w:rPr>
                <w:sz w:val="22"/>
                <w:szCs w:val="22"/>
              </w:rPr>
              <w:t>finanansējuma</w:t>
            </w:r>
            <w:proofErr w:type="spellEnd"/>
            <w:r w:rsidRPr="00C6140C">
              <w:rPr>
                <w:sz w:val="22"/>
                <w:szCs w:val="22"/>
              </w:rPr>
              <w:t xml:space="preserve"> ietvaros veiktajai ēkas fasādes un jumta siltināšanai, logu un ārdurvju nomaiņai, ventilācijas sistēmas izbūvei un apkures sistēmas izbūvei Skandu ielā 14, Rīgā, būtiski veikt arī  lietusūdens savākšanas sistēmas uzlabošanas darbus, esošo dzelzsbetonu kolonu stiprināšanu, pārseguma pastiprināšanu, iekštelpu pārbūves darbus (t.sk. glabātuvēm atbilstošu telpu izbūve, grīdas virsma izlīdzināšana; sienu un griestu krāsošana; iekštelpu durvju </w:t>
            </w:r>
            <w:r w:rsidRPr="00C6140C">
              <w:rPr>
                <w:sz w:val="22"/>
                <w:szCs w:val="22"/>
              </w:rPr>
              <w:lastRenderedPageBreak/>
              <w:t>izveide), ugunsdrošo nodalījumu izbūvi, iekšējo inženiertīklu nomaiņu/izbūvi, 3 liftu izbūvi arhīvā uzglabājamo dokumentu pārvietošanai un teritorijas sakārtošanu. Savukārt nekustamajā īpašumā Komandanta ielā 9, Daugavpilī, papildus ERAF finansējuma ietvaros veiktajai ēkas fasādes un jumta siltināšanai, logu un ārdurvju nomaiņai, dabīgās ventilācijas sistēmas apkopei, apkures sistēmas modernizācijai, papildus nepieciešams nodrošināt lietusūdens savākšanas sistēmas uzlabošanu; pārseguma pastiprināšanu, iekštelpu pārbūves darbus (t.sk. glabātuvēm atbilstošu telpu izbūve, grīdas virsma izlīdzināšana; sienu un griestu krāsošana; iekštelpu durvju izveide), ugunsdrošo nodalījumu izbūvi, iekšējo inženiertīklu nomaiņu/izbūvi un teritorijas sakārtošanu. Viennozīmīgai skaidrībai lūdzam norādīt, ka tabulā Nr.3 „Alternatīvas „Latvijas Nacionālā arhīva infrastruktūras optimizācija” attīstības izmaksas”</w:t>
            </w:r>
            <w:r w:rsidRPr="00C6140C">
              <w:rPr>
                <w:i/>
                <w:iCs/>
                <w:sz w:val="22"/>
                <w:szCs w:val="22"/>
              </w:rPr>
              <w:t xml:space="preserve"> </w:t>
            </w:r>
            <w:r w:rsidRPr="00C6140C">
              <w:rPr>
                <w:sz w:val="22"/>
                <w:szCs w:val="22"/>
              </w:rPr>
              <w:t xml:space="preserve">I un III posma īstenošanai norādītais finansējums neietver ERAF projektu finansējumu 5,5 milj. </w:t>
            </w:r>
            <w:r w:rsidRPr="00C6140C">
              <w:rPr>
                <w:i/>
                <w:iCs/>
                <w:sz w:val="22"/>
                <w:szCs w:val="22"/>
              </w:rPr>
              <w:t>euro</w:t>
            </w:r>
            <w:r w:rsidRPr="00C6140C">
              <w:rPr>
                <w:sz w:val="22"/>
                <w:szCs w:val="22"/>
              </w:rPr>
              <w:t xml:space="preserve"> apmērā. Lūdzam arī precizēt konceptuālā ziņojuma 5.punktā par I posmu norādīto projekta mērķi, svītrojot sniegto informāciju par Daugavpils pilsētu.</w:t>
            </w:r>
          </w:p>
        </w:tc>
        <w:tc>
          <w:tcPr>
            <w:tcW w:w="997" w:type="pct"/>
            <w:tcBorders>
              <w:left w:val="single" w:color="000000" w:sz="6" w:space="0"/>
              <w:bottom w:val="single" w:color="auto" w:sz="4" w:space="0"/>
              <w:right w:val="single" w:color="000000" w:sz="6" w:space="0"/>
            </w:tcBorders>
          </w:tcPr>
          <w:p w:rsidRPr="00C6140C" w:rsidR="00BD06AA" w:rsidP="00764F4A" w:rsidRDefault="00F876D1" w14:paraId="09AF9D8A" w14:textId="77777777">
            <w:pPr>
              <w:pStyle w:val="naisc"/>
              <w:spacing w:before="0" w:after="0"/>
              <w:rPr>
                <w:b/>
                <w:sz w:val="22"/>
                <w:szCs w:val="22"/>
              </w:rPr>
            </w:pPr>
            <w:r w:rsidRPr="00C6140C">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C6140C" w:rsidR="00BD06AA" w:rsidP="00764F4A" w:rsidRDefault="00F876D1" w14:paraId="313B7613" w14:textId="77777777">
            <w:pPr>
              <w:jc w:val="both"/>
              <w:rPr>
                <w:sz w:val="22"/>
                <w:szCs w:val="22"/>
              </w:rPr>
            </w:pPr>
            <w:r w:rsidRPr="00C6140C">
              <w:rPr>
                <w:sz w:val="22"/>
                <w:szCs w:val="22"/>
              </w:rPr>
              <w:t>Precizēta konceptuālā ziņojuma 5.</w:t>
            </w:r>
            <w:r w:rsidR="003A1ED9">
              <w:rPr>
                <w:sz w:val="22"/>
                <w:szCs w:val="22"/>
              </w:rPr>
              <w:t>nodaļā</w:t>
            </w:r>
            <w:r w:rsidRPr="00C6140C">
              <w:rPr>
                <w:sz w:val="22"/>
                <w:szCs w:val="22"/>
              </w:rPr>
              <w:t xml:space="preserve"> </w:t>
            </w:r>
            <w:r w:rsidRPr="00C6140C" w:rsidR="005B57C5">
              <w:rPr>
                <w:sz w:val="22"/>
                <w:szCs w:val="22"/>
              </w:rPr>
              <w:t>„</w:t>
            </w:r>
            <w:r w:rsidRPr="00C6140C">
              <w:rPr>
                <w:sz w:val="22"/>
                <w:szCs w:val="22"/>
              </w:rPr>
              <w:t xml:space="preserve">Izvēlētās alternatīvas „Latvijas Nacionālā arhīva infrastruktūras optimizācija” detalizācija” </w:t>
            </w:r>
            <w:r w:rsidR="003A1ED9">
              <w:rPr>
                <w:sz w:val="22"/>
                <w:szCs w:val="22"/>
              </w:rPr>
              <w:t>norādītā</w:t>
            </w:r>
            <w:r w:rsidRPr="00C6140C">
              <w:rPr>
                <w:sz w:val="22"/>
                <w:szCs w:val="22"/>
              </w:rPr>
              <w:t xml:space="preserve"> informācija.</w:t>
            </w:r>
          </w:p>
        </w:tc>
      </w:tr>
      <w:tr w:rsidRPr="00764F4A" w:rsidR="007C060C" w:rsidTr="00C6140C" w14:paraId="66B371BD" w14:textId="77777777">
        <w:trPr>
          <w:trHeight w:val="1544"/>
        </w:trPr>
        <w:tc>
          <w:tcPr>
            <w:tcW w:w="236" w:type="pct"/>
            <w:tcBorders>
              <w:left w:val="single" w:color="000000" w:sz="6" w:space="0"/>
              <w:bottom w:val="single" w:color="auto" w:sz="4" w:space="0"/>
              <w:right w:val="single" w:color="000000" w:sz="6" w:space="0"/>
            </w:tcBorders>
          </w:tcPr>
          <w:p w:rsidRPr="00764F4A" w:rsidR="007C060C" w:rsidP="00E53E2B" w:rsidRDefault="00526324" w14:paraId="59A9B6A1" w14:textId="3B1444FE">
            <w:pPr>
              <w:pStyle w:val="naisc"/>
              <w:spacing w:before="0" w:after="0"/>
              <w:rPr>
                <w:sz w:val="22"/>
                <w:szCs w:val="22"/>
              </w:rPr>
            </w:pPr>
            <w:r>
              <w:rPr>
                <w:sz w:val="22"/>
                <w:szCs w:val="22"/>
              </w:rPr>
              <w:lastRenderedPageBreak/>
              <w:t>8</w:t>
            </w:r>
            <w:r w:rsidRPr="00764F4A" w:rsidR="009B115F">
              <w:rPr>
                <w:sz w:val="22"/>
                <w:szCs w:val="22"/>
              </w:rPr>
              <w:t>.</w:t>
            </w:r>
          </w:p>
        </w:tc>
        <w:tc>
          <w:tcPr>
            <w:tcW w:w="1197" w:type="pct"/>
            <w:tcBorders>
              <w:left w:val="single" w:color="000000" w:sz="6" w:space="0"/>
              <w:bottom w:val="single" w:color="auto" w:sz="4" w:space="0"/>
              <w:right w:val="single" w:color="000000" w:sz="6" w:space="0"/>
            </w:tcBorders>
          </w:tcPr>
          <w:p w:rsidRPr="00764F4A" w:rsidR="006A48A9" w:rsidP="00C6140C" w:rsidRDefault="002727E8" w14:paraId="5ED01FAB" w14:textId="77777777">
            <w:pPr>
              <w:jc w:val="both"/>
              <w:rPr>
                <w:sz w:val="22"/>
                <w:szCs w:val="22"/>
              </w:rPr>
            </w:pPr>
            <w:r w:rsidRPr="00C6140C">
              <w:rPr>
                <w:sz w:val="22"/>
                <w:szCs w:val="22"/>
              </w:rPr>
              <w:t>Konceptuālā ziņojuma 5.2.nodaļa  „Finansējums attīstības izdevumu segšanai”</w:t>
            </w:r>
            <w:r>
              <w:rPr>
                <w:sz w:val="22"/>
                <w:szCs w:val="22"/>
              </w:rPr>
              <w:t>.</w:t>
            </w:r>
          </w:p>
        </w:tc>
        <w:tc>
          <w:tcPr>
            <w:tcW w:w="1396" w:type="pct"/>
            <w:tcBorders>
              <w:left w:val="single" w:color="000000" w:sz="6" w:space="0"/>
              <w:bottom w:val="single" w:color="auto" w:sz="4" w:space="0"/>
              <w:right w:val="single" w:color="000000" w:sz="6" w:space="0"/>
            </w:tcBorders>
          </w:tcPr>
          <w:p w:rsidRPr="00764F4A" w:rsidR="007C060C" w:rsidP="00C6140C" w:rsidRDefault="007C060C" w14:paraId="715BD383" w14:textId="77777777">
            <w:pPr>
              <w:pStyle w:val="naisc"/>
              <w:spacing w:before="0" w:after="0"/>
              <w:jc w:val="both"/>
              <w:rPr>
                <w:b/>
                <w:sz w:val="22"/>
                <w:szCs w:val="22"/>
              </w:rPr>
            </w:pPr>
            <w:r w:rsidRPr="00764F4A">
              <w:rPr>
                <w:b/>
                <w:sz w:val="22"/>
                <w:szCs w:val="22"/>
              </w:rPr>
              <w:t xml:space="preserve">Finanšu ministrija </w:t>
            </w:r>
            <w:r w:rsidRPr="00467307" w:rsidR="00467307">
              <w:rPr>
                <w:b/>
                <w:sz w:val="22"/>
                <w:szCs w:val="22"/>
              </w:rPr>
              <w:t>(iebildums izteikts pēc 28.01.2020. elektroniskās saskaņošanas):</w:t>
            </w:r>
          </w:p>
          <w:p w:rsidRPr="00764F4A" w:rsidR="003E104C" w:rsidP="00C6140C" w:rsidRDefault="003E104C" w14:paraId="6ACE341C" w14:textId="77777777">
            <w:pPr>
              <w:jc w:val="both"/>
              <w:rPr>
                <w:b/>
                <w:sz w:val="22"/>
                <w:szCs w:val="22"/>
              </w:rPr>
            </w:pPr>
            <w:r w:rsidRPr="00764F4A">
              <w:rPr>
                <w:sz w:val="22"/>
                <w:szCs w:val="22"/>
              </w:rPr>
              <w:t xml:space="preserve">Konceptuālā ziņojuma 5.2.apakšpunktā “Finansējums attīstības izdevumu segšanai” norādīts, ka 3.risinājuma varianta kopējās prognozētās alternatīvas attīstības izmaksas ir 79 727 728 </w:t>
            </w:r>
            <w:r w:rsidRPr="00764F4A">
              <w:rPr>
                <w:i/>
                <w:iCs/>
                <w:sz w:val="22"/>
                <w:szCs w:val="22"/>
              </w:rPr>
              <w:t>euro</w:t>
            </w:r>
            <w:r w:rsidRPr="00764F4A">
              <w:rPr>
                <w:sz w:val="22"/>
                <w:szCs w:val="22"/>
              </w:rPr>
              <w:t xml:space="preserve">, kuras var tikt precizētas </w:t>
            </w:r>
            <w:r w:rsidRPr="00764F4A">
              <w:rPr>
                <w:b/>
                <w:bCs/>
                <w:sz w:val="22"/>
                <w:szCs w:val="22"/>
                <w:u w:val="single"/>
              </w:rPr>
              <w:t>vismaz</w:t>
            </w:r>
            <w:r w:rsidRPr="00764F4A">
              <w:rPr>
                <w:sz w:val="22"/>
                <w:szCs w:val="22"/>
                <w:u w:val="single"/>
              </w:rPr>
              <w:t xml:space="preserve"> </w:t>
            </w:r>
            <w:r w:rsidRPr="00764F4A">
              <w:rPr>
                <w:sz w:val="22"/>
                <w:szCs w:val="22"/>
              </w:rPr>
              <w:t xml:space="preserve">30% robežās, kas attiecīgi kopējo izmaksu summu palielinātu līdz ne mazāk kā 103 646 046 </w:t>
            </w:r>
            <w:r w:rsidRPr="00764F4A">
              <w:rPr>
                <w:i/>
                <w:iCs/>
                <w:sz w:val="22"/>
                <w:szCs w:val="22"/>
              </w:rPr>
              <w:t>euro</w:t>
            </w:r>
            <w:r w:rsidRPr="00764F4A">
              <w:rPr>
                <w:sz w:val="22"/>
                <w:szCs w:val="22"/>
              </w:rPr>
              <w:t xml:space="preserve">. Norādām, ka nav saprotams, vai plānotais izmaksu palielinājums tiek attiecināts uz kopējām izmaksām, tajā skaitā kustāmās mantas iegādei un pārvākšanās izdevumiem. Ņemot vērā iepriekš minēto, secinām, ka 3.alternatīva „LNA infrastruktūras optimizācija” ilgtermiņā vairs nebūs vērtējama kā visefektīvākā, jo 20 gadu periodā kopējā izmaksu summa sasniegtu vismaz 161,6 milj. </w:t>
            </w:r>
            <w:r w:rsidRPr="00764F4A">
              <w:rPr>
                <w:i/>
                <w:iCs/>
                <w:sz w:val="22"/>
                <w:szCs w:val="22"/>
              </w:rPr>
              <w:t xml:space="preserve">euro </w:t>
            </w:r>
            <w:r w:rsidRPr="00764F4A">
              <w:rPr>
                <w:sz w:val="22"/>
                <w:szCs w:val="22"/>
              </w:rPr>
              <w:t xml:space="preserve">neņemot vērā iespējamo nomas maksas palielinājumu, savukārt 1.alternatīvas “LNA infrastruktūras atjaunošana” kopējās izmaksas 20 gadu periodā sasniedz 156,1 milj. </w:t>
            </w:r>
            <w:r w:rsidRPr="00764F4A">
              <w:rPr>
                <w:i/>
                <w:iCs/>
                <w:sz w:val="22"/>
                <w:szCs w:val="22"/>
              </w:rPr>
              <w:t>euro</w:t>
            </w:r>
            <w:r w:rsidRPr="00764F4A">
              <w:rPr>
                <w:sz w:val="22"/>
                <w:szCs w:val="22"/>
              </w:rPr>
              <w:t xml:space="preserve"> un 2.alternatīvas “LNA infrastruktūras nomāšana tirgus sektorā” par šo pašu periodu sasniedz 104,5 </w:t>
            </w:r>
            <w:proofErr w:type="spellStart"/>
            <w:r w:rsidRPr="00764F4A">
              <w:rPr>
                <w:sz w:val="22"/>
                <w:szCs w:val="22"/>
              </w:rPr>
              <w:t>milj</w:t>
            </w:r>
            <w:proofErr w:type="spellEnd"/>
            <w:r w:rsidRPr="00764F4A">
              <w:rPr>
                <w:sz w:val="22"/>
                <w:szCs w:val="22"/>
              </w:rPr>
              <w:t xml:space="preserve"> </w:t>
            </w:r>
            <w:proofErr w:type="spellStart"/>
            <w:r w:rsidRPr="00764F4A">
              <w:rPr>
                <w:i/>
                <w:iCs/>
                <w:sz w:val="22"/>
                <w:szCs w:val="22"/>
              </w:rPr>
              <w:t>euro</w:t>
            </w:r>
            <w:proofErr w:type="spellEnd"/>
            <w:r w:rsidRPr="00764F4A">
              <w:rPr>
                <w:sz w:val="22"/>
                <w:szCs w:val="22"/>
              </w:rPr>
              <w:t xml:space="preserve">. Ņemot vērā, ka izdevumu prognoze Latvijas Nacionālā arhīva (turpmāk – LNA) infrastruktūras optimizācijai aprēķināta 2019.gadā pamatojoties uz 2018.gada cenām, uzskatām, ka izmaksu palielinājums pēc projektēšanas uzdevuma izstrādes vismaz 30% apmērā </w:t>
            </w:r>
            <w:r w:rsidRPr="00764F4A">
              <w:rPr>
                <w:sz w:val="22"/>
                <w:szCs w:val="22"/>
              </w:rPr>
              <w:lastRenderedPageBreak/>
              <w:t>nav atbalstāms, lūdzam svītrot attiecīgo informāciju no konceptuālā ziņojuma. Tāpat minētā apakšpunkta 23.lpp. norādīts, ka konceptuālajā ziņojumā nav iekļauts finansējums saistībā ar uz zemes vienības Festivāla ielā 43, Cēsīs, esošās būves atsavināšanu un demontāžu. Ņemot vērā minēto, ir precizējams konceptuālais ziņojums, norādot kopējo iespējamo 3.risinājuma varianta izmaksu kopsummu vai paredzēt attīstības priekšlikumu kādā citā nekustamajā īpašumā Vidzemes reģionā, izvērtējot ar nekustamā īpašuma Festivāla ielā 43, Cēsīs, attīstības projekta īstenošanu saistītos riskus. Vienlaikus, lai gūtu priekštatu par kopējo ietekmi uz valsts budžetu, vairākām pozīcijām (piemēram, kustamās mantas iegāde, pārcelšanās izdevumi) ir izvērtējama finansējuma norādīšana ar pievienotās vērtības nodokli, kā arī konceptuālajā ziņojumā norādāma informācija par plānotajām komunālo maksājumu izmaksām pēc nekustamo īpašumu attīstības izdevumu segšanas.</w:t>
            </w:r>
          </w:p>
        </w:tc>
        <w:tc>
          <w:tcPr>
            <w:tcW w:w="997" w:type="pct"/>
            <w:tcBorders>
              <w:left w:val="single" w:color="000000" w:sz="6" w:space="0"/>
              <w:bottom w:val="single" w:color="auto" w:sz="4" w:space="0"/>
              <w:right w:val="single" w:color="000000" w:sz="6" w:space="0"/>
            </w:tcBorders>
          </w:tcPr>
          <w:p w:rsidRPr="00764F4A" w:rsidR="007C060C" w:rsidP="00C6140C" w:rsidRDefault="006A48A9" w14:paraId="03B20931" w14:textId="77777777">
            <w:pPr>
              <w:pStyle w:val="naisc"/>
              <w:spacing w:before="0" w:after="0"/>
              <w:rPr>
                <w:b/>
                <w:sz w:val="22"/>
                <w:szCs w:val="22"/>
              </w:rPr>
            </w:pPr>
            <w:r w:rsidRPr="00764F4A">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764F4A" w:rsidR="006A48A9" w:rsidP="00C6140C" w:rsidRDefault="006A48A9" w14:paraId="60174962" w14:textId="77777777">
            <w:pPr>
              <w:jc w:val="both"/>
              <w:rPr>
                <w:sz w:val="22"/>
                <w:szCs w:val="22"/>
              </w:rPr>
            </w:pPr>
            <w:r w:rsidRPr="00764F4A">
              <w:rPr>
                <w:sz w:val="22"/>
                <w:szCs w:val="22"/>
              </w:rPr>
              <w:t>Konceptuālā ziņojuma 5.2.</w:t>
            </w:r>
            <w:r w:rsidR="002727E8">
              <w:rPr>
                <w:sz w:val="22"/>
                <w:szCs w:val="22"/>
              </w:rPr>
              <w:t>nodaļā</w:t>
            </w:r>
            <w:r w:rsidRPr="00764F4A">
              <w:rPr>
                <w:sz w:val="22"/>
                <w:szCs w:val="22"/>
              </w:rPr>
              <w:t xml:space="preserve"> </w:t>
            </w:r>
            <w:r w:rsidRPr="00C6140C" w:rsidR="002727E8">
              <w:rPr>
                <w:sz w:val="22"/>
                <w:szCs w:val="22"/>
              </w:rPr>
              <w:t>„</w:t>
            </w:r>
            <w:r w:rsidRPr="00764F4A">
              <w:rPr>
                <w:sz w:val="22"/>
                <w:szCs w:val="22"/>
              </w:rPr>
              <w:t>Finansējums attīstības izdevumu segšanai” precizēt</w:t>
            </w:r>
            <w:r w:rsidR="002727E8">
              <w:rPr>
                <w:sz w:val="22"/>
                <w:szCs w:val="22"/>
              </w:rPr>
              <w:t>a šāda informācija</w:t>
            </w:r>
            <w:r w:rsidRPr="00764F4A">
              <w:rPr>
                <w:sz w:val="22"/>
                <w:szCs w:val="22"/>
              </w:rPr>
              <w:t>:</w:t>
            </w:r>
          </w:p>
          <w:p w:rsidRPr="00764F4A" w:rsidR="006A48A9" w:rsidP="00C6140C" w:rsidRDefault="006A48A9" w14:paraId="7867115C" w14:textId="77777777">
            <w:pPr>
              <w:jc w:val="both"/>
              <w:rPr>
                <w:sz w:val="22"/>
                <w:szCs w:val="22"/>
              </w:rPr>
            </w:pPr>
          </w:p>
          <w:p w:rsidRPr="00764F4A" w:rsidR="007C060C" w:rsidP="00C6140C" w:rsidRDefault="006A48A9" w14:paraId="2511F1AE" w14:textId="77777777">
            <w:pPr>
              <w:jc w:val="both"/>
              <w:rPr>
                <w:sz w:val="22"/>
                <w:szCs w:val="22"/>
              </w:rPr>
            </w:pPr>
            <w:r w:rsidRPr="00764F4A">
              <w:rPr>
                <w:sz w:val="22"/>
                <w:szCs w:val="22"/>
              </w:rPr>
              <w:t>„</w:t>
            </w:r>
            <w:r w:rsidR="00EC6EDC">
              <w:rPr>
                <w:sz w:val="22"/>
                <w:szCs w:val="22"/>
              </w:rPr>
              <w:t>[..]</w:t>
            </w:r>
            <w:r w:rsidRPr="00764F4A">
              <w:rPr>
                <w:sz w:val="22"/>
                <w:szCs w:val="22"/>
              </w:rPr>
              <w:t xml:space="preserve"> Ņemot vērā, ka izmaksas noteiktas pirms projektēšanas uzdevuma izstrādes, tās var tikt precizētas.”</w:t>
            </w:r>
          </w:p>
          <w:p w:rsidRPr="00764F4A" w:rsidR="008F69F8" w:rsidP="00C6140C" w:rsidRDefault="008F69F8" w14:paraId="3C717268" w14:textId="77777777">
            <w:pPr>
              <w:jc w:val="both"/>
              <w:rPr>
                <w:sz w:val="22"/>
                <w:szCs w:val="22"/>
              </w:rPr>
            </w:pPr>
          </w:p>
          <w:p w:rsidR="00736014" w:rsidP="00FB39BB" w:rsidRDefault="00736014" w14:paraId="673EE395" w14:textId="77777777">
            <w:pPr>
              <w:jc w:val="both"/>
              <w:rPr>
                <w:sz w:val="22"/>
                <w:szCs w:val="22"/>
              </w:rPr>
            </w:pPr>
            <w:r w:rsidRPr="00764F4A">
              <w:rPr>
                <w:sz w:val="22"/>
                <w:szCs w:val="22"/>
              </w:rPr>
              <w:t>Konc</w:t>
            </w:r>
            <w:r w:rsidR="00CC130E">
              <w:rPr>
                <w:sz w:val="22"/>
                <w:szCs w:val="22"/>
              </w:rPr>
              <w:t>eptuālā ziņojuma</w:t>
            </w:r>
            <w:r w:rsidRPr="00764F4A">
              <w:rPr>
                <w:sz w:val="22"/>
                <w:szCs w:val="22"/>
              </w:rPr>
              <w:t xml:space="preserve"> </w:t>
            </w:r>
            <w:r w:rsidR="00CC130E">
              <w:rPr>
                <w:sz w:val="22"/>
                <w:szCs w:val="22"/>
              </w:rPr>
              <w:t>5.</w:t>
            </w:r>
            <w:r w:rsidR="001875DB">
              <w:rPr>
                <w:sz w:val="22"/>
                <w:szCs w:val="22"/>
              </w:rPr>
              <w:t>nodaļa</w:t>
            </w:r>
            <w:r w:rsidR="00CC130E">
              <w:rPr>
                <w:sz w:val="22"/>
                <w:szCs w:val="22"/>
              </w:rPr>
              <w:t xml:space="preserve"> </w:t>
            </w:r>
            <w:r w:rsidRPr="00CC130E" w:rsidR="00CC130E">
              <w:rPr>
                <w:sz w:val="22"/>
                <w:szCs w:val="22"/>
              </w:rPr>
              <w:tab/>
              <w:t>„Izvēlētās alternatīvas „Latvijas Nacionālā arhīva infrastruktūras optimizācija” detalizācija</w:t>
            </w:r>
            <w:r w:rsidR="00CC130E">
              <w:rPr>
                <w:sz w:val="22"/>
                <w:szCs w:val="22"/>
              </w:rPr>
              <w:t>” papildināt</w:t>
            </w:r>
            <w:r w:rsidR="001875DB">
              <w:rPr>
                <w:sz w:val="22"/>
                <w:szCs w:val="22"/>
              </w:rPr>
              <w:t>a</w:t>
            </w:r>
            <w:r w:rsidR="00CC130E">
              <w:rPr>
                <w:sz w:val="22"/>
                <w:szCs w:val="22"/>
              </w:rPr>
              <w:t xml:space="preserve"> </w:t>
            </w:r>
            <w:r w:rsidRPr="00764F4A">
              <w:rPr>
                <w:sz w:val="22"/>
                <w:szCs w:val="22"/>
              </w:rPr>
              <w:t xml:space="preserve">ar šādu </w:t>
            </w:r>
            <w:r w:rsidR="00CC130E">
              <w:rPr>
                <w:sz w:val="22"/>
                <w:szCs w:val="22"/>
              </w:rPr>
              <w:t>informāciju</w:t>
            </w:r>
            <w:r w:rsidRPr="00764F4A">
              <w:rPr>
                <w:sz w:val="22"/>
                <w:szCs w:val="22"/>
              </w:rPr>
              <w:t xml:space="preserve"> par Vidzemes reģiona centra izveidi:</w:t>
            </w:r>
          </w:p>
          <w:p w:rsidRPr="00764F4A" w:rsidR="00736014" w:rsidP="009D0E70" w:rsidRDefault="0053079C" w14:paraId="100DD12D" w14:textId="77777777">
            <w:pPr>
              <w:jc w:val="both"/>
              <w:rPr>
                <w:sz w:val="22"/>
                <w:szCs w:val="22"/>
              </w:rPr>
            </w:pPr>
            <w:r w:rsidRPr="0053079C">
              <w:rPr>
                <w:sz w:val="22"/>
                <w:szCs w:val="22"/>
              </w:rPr>
              <w:t>„</w:t>
            </w:r>
            <w:r w:rsidR="0064422D">
              <w:rPr>
                <w:sz w:val="22"/>
                <w:szCs w:val="22"/>
              </w:rPr>
              <w:t xml:space="preserve">[..] </w:t>
            </w:r>
            <w:r w:rsidRPr="00C6140C">
              <w:rPr>
                <w:b/>
                <w:bCs/>
                <w:sz w:val="22"/>
                <w:szCs w:val="22"/>
              </w:rPr>
              <w:t>II. posms:</w:t>
            </w:r>
            <w:r>
              <w:rPr>
                <w:sz w:val="22"/>
                <w:szCs w:val="22"/>
              </w:rPr>
              <w:t xml:space="preserve"> </w:t>
            </w:r>
            <w:r w:rsidRPr="00764F4A" w:rsidR="00736014">
              <w:rPr>
                <w:sz w:val="22"/>
                <w:szCs w:val="22"/>
              </w:rPr>
              <w:t xml:space="preserve">Cēsīs izveidot </w:t>
            </w:r>
            <w:r w:rsidRPr="00764F4A" w:rsidR="00736014">
              <w:rPr>
                <w:b/>
                <w:sz w:val="22"/>
                <w:szCs w:val="22"/>
              </w:rPr>
              <w:t>Vidzemes reģiona centru</w:t>
            </w:r>
            <w:r w:rsidRPr="00764F4A" w:rsidR="00736014">
              <w:rPr>
                <w:sz w:val="22"/>
                <w:szCs w:val="22"/>
              </w:rPr>
              <w:t xml:space="preserve"> tiek izvērtēta iespēja izbūvēt jaunbūvi uz nekustamā īpašuma (nekustamā īpašuma kadastra Nr.4201 002 0401) sastāvā esošas zemes vienības (zemes vienības kadastra apzīmējums 4201 002 0401) Festivāla ielā 43, Cēsīs (NĪ ir valsts īpašumā FM valdījumā). Ja līdz finanšu līdzekļu piešķiršanai attīstības projekta īstenošanai </w:t>
            </w:r>
            <w:r w:rsidRPr="00764F4A" w:rsidR="00736014">
              <w:rPr>
                <w:rFonts w:eastAsia="Calibri"/>
                <w:sz w:val="22"/>
                <w:szCs w:val="22"/>
                <w:lang w:eastAsia="en-US"/>
              </w:rPr>
              <w:t xml:space="preserve">Cēsu novada pašvaldība nebūs veikusi  uz zemesgabala Festivāla ielā 43 esošās vidi degradējošās būves piespiedu nojaukšanu, kā alternatīva tiks izskatīta iespēja Vidzemes valsts zonālā arhīva jaunbūvi būvēt uz Cēsu novada pašvaldībai piederošās zemes </w:t>
            </w:r>
            <w:r w:rsidRPr="00764F4A" w:rsidR="00736014">
              <w:rPr>
                <w:rFonts w:eastAsia="Calibri"/>
                <w:sz w:val="22"/>
                <w:szCs w:val="22"/>
                <w:lang w:eastAsia="en-US"/>
              </w:rPr>
              <w:lastRenderedPageBreak/>
              <w:t>vienības (zemes vienības kadastra apzīmējums 4201 004 0722) Ata Kronvalda ielā 37, Cēsīs</w:t>
            </w:r>
            <w:r w:rsidRPr="00764F4A" w:rsidR="00736014">
              <w:rPr>
                <w:sz w:val="22"/>
                <w:szCs w:val="22"/>
              </w:rPr>
              <w:t>. Pašvaldība apliecinājusi gatavību pēc tam, kad rasts risinājums nepieciešamajam finansējumam Vidzemes valsts zonālā arhīva jaunbūves būvniecībai, saskaņā ar Publiskas personas mantas atsavināšanas likuma 42.panta otro daļu nodot zemes vienību Kronvalda ielā 37 bez atlīdzības valsts īpašumā kultūras funkciju veikšanai</w:t>
            </w:r>
            <w:r w:rsidR="0064422D">
              <w:rPr>
                <w:sz w:val="22"/>
                <w:szCs w:val="22"/>
              </w:rPr>
              <w:t>. [..]</w:t>
            </w:r>
            <w:r w:rsidRPr="00764F4A" w:rsidR="00736014">
              <w:rPr>
                <w:sz w:val="22"/>
                <w:szCs w:val="22"/>
              </w:rPr>
              <w:t>”</w:t>
            </w:r>
          </w:p>
          <w:p w:rsidRPr="00764F4A" w:rsidR="00736014" w:rsidP="00C6140C" w:rsidRDefault="00736014" w14:paraId="7D1E5ED2" w14:textId="77777777">
            <w:pPr>
              <w:jc w:val="both"/>
              <w:rPr>
                <w:sz w:val="22"/>
                <w:szCs w:val="22"/>
              </w:rPr>
            </w:pPr>
          </w:p>
          <w:p w:rsidRPr="00764F4A" w:rsidR="008F69F8" w:rsidP="00C6140C" w:rsidRDefault="00736014" w14:paraId="11289654" w14:textId="77777777">
            <w:pPr>
              <w:jc w:val="both"/>
              <w:rPr>
                <w:sz w:val="22"/>
                <w:szCs w:val="22"/>
              </w:rPr>
            </w:pPr>
            <w:r w:rsidRPr="00764F4A">
              <w:rPr>
                <w:sz w:val="22"/>
                <w:szCs w:val="22"/>
              </w:rPr>
              <w:t>Ņemot vērā, ka vairs nepastāv risks Vidzem</w:t>
            </w:r>
            <w:r w:rsidRPr="00764F4A" w:rsidR="0080679E">
              <w:rPr>
                <w:sz w:val="22"/>
                <w:szCs w:val="22"/>
              </w:rPr>
              <w:t>e</w:t>
            </w:r>
            <w:r w:rsidRPr="00764F4A">
              <w:rPr>
                <w:sz w:val="22"/>
                <w:szCs w:val="22"/>
              </w:rPr>
              <w:t xml:space="preserve">s reģiona izveidei Cēsīs, </w:t>
            </w:r>
            <w:r w:rsidR="001875DB">
              <w:rPr>
                <w:sz w:val="22"/>
                <w:szCs w:val="22"/>
              </w:rPr>
              <w:t xml:space="preserve">atbilstoši </w:t>
            </w:r>
            <w:r w:rsidRPr="00764F4A">
              <w:rPr>
                <w:sz w:val="22"/>
                <w:szCs w:val="22"/>
              </w:rPr>
              <w:t>precizēt</w:t>
            </w:r>
            <w:r w:rsidR="001875DB">
              <w:rPr>
                <w:sz w:val="22"/>
                <w:szCs w:val="22"/>
              </w:rPr>
              <w:t>a</w:t>
            </w:r>
            <w:r w:rsidRPr="00764F4A">
              <w:rPr>
                <w:sz w:val="22"/>
                <w:szCs w:val="22"/>
              </w:rPr>
              <w:t xml:space="preserve"> </w:t>
            </w:r>
            <w:r w:rsidR="0064422D">
              <w:rPr>
                <w:sz w:val="22"/>
                <w:szCs w:val="22"/>
              </w:rPr>
              <w:t>informācija</w:t>
            </w:r>
            <w:r w:rsidRPr="00764F4A">
              <w:rPr>
                <w:sz w:val="22"/>
                <w:szCs w:val="22"/>
              </w:rPr>
              <w:t xml:space="preserve"> kon</w:t>
            </w:r>
            <w:r w:rsidR="0064422D">
              <w:rPr>
                <w:sz w:val="22"/>
                <w:szCs w:val="22"/>
              </w:rPr>
              <w:t>ceptuāl</w:t>
            </w:r>
            <w:r w:rsidR="001875DB">
              <w:rPr>
                <w:sz w:val="22"/>
                <w:szCs w:val="22"/>
              </w:rPr>
              <w:t>ajā</w:t>
            </w:r>
            <w:r w:rsidR="0064422D">
              <w:rPr>
                <w:sz w:val="22"/>
                <w:szCs w:val="22"/>
              </w:rPr>
              <w:t xml:space="preserve"> ziņojum</w:t>
            </w:r>
            <w:r w:rsidR="001875DB">
              <w:rPr>
                <w:sz w:val="22"/>
                <w:szCs w:val="22"/>
              </w:rPr>
              <w:t>ā</w:t>
            </w:r>
            <w:r w:rsidRPr="00764F4A">
              <w:rPr>
                <w:sz w:val="22"/>
                <w:szCs w:val="22"/>
              </w:rPr>
              <w:t>.</w:t>
            </w:r>
          </w:p>
          <w:p w:rsidRPr="00764F4A" w:rsidR="00077A10" w:rsidP="00C6140C" w:rsidRDefault="00077A10" w14:paraId="5D1BC7B1" w14:textId="77777777">
            <w:pPr>
              <w:jc w:val="both"/>
              <w:rPr>
                <w:sz w:val="22"/>
                <w:szCs w:val="22"/>
              </w:rPr>
            </w:pPr>
          </w:p>
          <w:p w:rsidRPr="00764F4A" w:rsidR="00077A10" w:rsidP="00C6140C" w:rsidRDefault="0064422D" w14:paraId="0DC8AD77" w14:textId="77777777">
            <w:pPr>
              <w:jc w:val="both"/>
              <w:rPr>
                <w:sz w:val="22"/>
                <w:szCs w:val="22"/>
              </w:rPr>
            </w:pPr>
            <w:r>
              <w:rPr>
                <w:sz w:val="22"/>
                <w:szCs w:val="22"/>
              </w:rPr>
              <w:t>K</w:t>
            </w:r>
            <w:r w:rsidRPr="0064422D">
              <w:rPr>
                <w:sz w:val="22"/>
                <w:szCs w:val="22"/>
              </w:rPr>
              <w:t>onceptuālā ziņojum</w:t>
            </w:r>
            <w:r w:rsidR="008F08B3">
              <w:rPr>
                <w:sz w:val="22"/>
                <w:szCs w:val="22"/>
              </w:rPr>
              <w:t>a 5.4.</w:t>
            </w:r>
            <w:r w:rsidR="00BB3EDB">
              <w:rPr>
                <w:sz w:val="22"/>
                <w:szCs w:val="22"/>
              </w:rPr>
              <w:t>nodaļā</w:t>
            </w:r>
            <w:r w:rsidR="008F08B3">
              <w:rPr>
                <w:sz w:val="22"/>
                <w:szCs w:val="22"/>
              </w:rPr>
              <w:t xml:space="preserve"> </w:t>
            </w:r>
            <w:r w:rsidRPr="0053079C" w:rsidR="008F08B3">
              <w:rPr>
                <w:sz w:val="22"/>
                <w:szCs w:val="22"/>
              </w:rPr>
              <w:t>„</w:t>
            </w:r>
            <w:r w:rsidRPr="008F08B3" w:rsidR="008F08B3">
              <w:rPr>
                <w:sz w:val="22"/>
                <w:szCs w:val="22"/>
              </w:rPr>
              <w:t>Objektu uzturēšanas izdevumi</w:t>
            </w:r>
            <w:r w:rsidR="008F08B3">
              <w:rPr>
                <w:sz w:val="22"/>
                <w:szCs w:val="22"/>
              </w:rPr>
              <w:t>”</w:t>
            </w:r>
            <w:r w:rsidRPr="0064422D">
              <w:rPr>
                <w:sz w:val="22"/>
                <w:szCs w:val="22"/>
              </w:rPr>
              <w:t xml:space="preserve"> </w:t>
            </w:r>
            <w:r>
              <w:rPr>
                <w:sz w:val="22"/>
                <w:szCs w:val="22"/>
              </w:rPr>
              <w:t>p</w:t>
            </w:r>
            <w:r w:rsidRPr="00764F4A" w:rsidR="00C2378D">
              <w:rPr>
                <w:sz w:val="22"/>
                <w:szCs w:val="22"/>
              </w:rPr>
              <w:t>recizēta informācija pa</w:t>
            </w:r>
            <w:r w:rsidRPr="00764F4A" w:rsidR="006210FC">
              <w:rPr>
                <w:sz w:val="22"/>
                <w:szCs w:val="22"/>
              </w:rPr>
              <w:t xml:space="preserve">r objektu uzturēšanas izdevumiem </w:t>
            </w:r>
            <w:r>
              <w:rPr>
                <w:sz w:val="22"/>
                <w:szCs w:val="22"/>
              </w:rPr>
              <w:t xml:space="preserve">– </w:t>
            </w:r>
            <w:r w:rsidRPr="00764F4A" w:rsidR="006210FC">
              <w:rPr>
                <w:sz w:val="22"/>
                <w:szCs w:val="22"/>
              </w:rPr>
              <w:t>Tabula Nr.6</w:t>
            </w:r>
            <w:r w:rsidRPr="00764F4A" w:rsidR="006210FC">
              <w:rPr>
                <w:i/>
                <w:sz w:val="22"/>
                <w:szCs w:val="22"/>
              </w:rPr>
              <w:t xml:space="preserve"> „NĪ nomas maksas un papildu maksājumu prognoze 7 NĪ kopā (t.sk. kapitāla izmaksas 20</w:t>
            </w:r>
            <w:r w:rsidR="004A7D95">
              <w:rPr>
                <w:i/>
                <w:sz w:val="22"/>
                <w:szCs w:val="22"/>
              </w:rPr>
              <w:t> </w:t>
            </w:r>
            <w:r w:rsidRPr="00764F4A" w:rsidR="006210FC">
              <w:rPr>
                <w:i/>
                <w:sz w:val="22"/>
                <w:szCs w:val="22"/>
              </w:rPr>
              <w:t>gadu atmaksāšanas periodam VNĪ piederošajos NĪ)”</w:t>
            </w:r>
            <w:r>
              <w:rPr>
                <w:i/>
                <w:sz w:val="22"/>
                <w:szCs w:val="22"/>
              </w:rPr>
              <w:t>.</w:t>
            </w:r>
          </w:p>
        </w:tc>
      </w:tr>
      <w:tr w:rsidRPr="00764F4A" w:rsidR="007C060C" w:rsidTr="00523CF0" w14:paraId="386899CC" w14:textId="77777777">
        <w:tc>
          <w:tcPr>
            <w:tcW w:w="236" w:type="pct"/>
            <w:tcBorders>
              <w:left w:val="single" w:color="000000" w:sz="6" w:space="0"/>
              <w:bottom w:val="single" w:color="auto" w:sz="4" w:space="0"/>
              <w:right w:val="single" w:color="000000" w:sz="6" w:space="0"/>
            </w:tcBorders>
          </w:tcPr>
          <w:p w:rsidRPr="00764F4A" w:rsidR="007C060C" w:rsidP="00E53E2B" w:rsidRDefault="00526324" w14:paraId="0D1F52C1" w14:textId="2253AA1F">
            <w:pPr>
              <w:pStyle w:val="naisc"/>
              <w:spacing w:before="0" w:after="0"/>
              <w:ind w:firstLine="22"/>
              <w:rPr>
                <w:sz w:val="22"/>
                <w:szCs w:val="22"/>
              </w:rPr>
            </w:pPr>
            <w:r>
              <w:rPr>
                <w:sz w:val="22"/>
                <w:szCs w:val="22"/>
              </w:rPr>
              <w:lastRenderedPageBreak/>
              <w:t>9</w:t>
            </w:r>
            <w:r w:rsidRPr="00764F4A" w:rsidR="009B115F">
              <w:rPr>
                <w:sz w:val="22"/>
                <w:szCs w:val="22"/>
              </w:rPr>
              <w:t>.</w:t>
            </w:r>
          </w:p>
        </w:tc>
        <w:tc>
          <w:tcPr>
            <w:tcW w:w="1197" w:type="pct"/>
            <w:tcBorders>
              <w:left w:val="single" w:color="000000" w:sz="6" w:space="0"/>
              <w:bottom w:val="single" w:color="auto" w:sz="4" w:space="0"/>
              <w:right w:val="single" w:color="000000" w:sz="6" w:space="0"/>
            </w:tcBorders>
          </w:tcPr>
          <w:p w:rsidRPr="00764F4A" w:rsidR="007C060C" w:rsidP="00764F4A" w:rsidRDefault="00EC485E" w14:paraId="05B66998" w14:textId="77777777">
            <w:pPr>
              <w:jc w:val="both"/>
              <w:rPr>
                <w:sz w:val="22"/>
                <w:szCs w:val="22"/>
              </w:rPr>
            </w:pPr>
            <w:r w:rsidRPr="00764F4A">
              <w:rPr>
                <w:sz w:val="22"/>
                <w:szCs w:val="22"/>
              </w:rPr>
              <w:t>Konceptuāl</w:t>
            </w:r>
            <w:r w:rsidR="007E103E">
              <w:rPr>
                <w:sz w:val="22"/>
                <w:szCs w:val="22"/>
              </w:rPr>
              <w:t>ā</w:t>
            </w:r>
            <w:r w:rsidRPr="00764F4A">
              <w:rPr>
                <w:sz w:val="22"/>
                <w:szCs w:val="22"/>
              </w:rPr>
              <w:t xml:space="preserve"> ziņojum</w:t>
            </w:r>
            <w:r w:rsidR="007E103E">
              <w:rPr>
                <w:sz w:val="22"/>
                <w:szCs w:val="22"/>
              </w:rPr>
              <w:t>a</w:t>
            </w:r>
            <w:r w:rsidRPr="00764F4A" w:rsidR="003B2D38">
              <w:rPr>
                <w:sz w:val="22"/>
                <w:szCs w:val="22"/>
              </w:rPr>
              <w:t xml:space="preserve"> 5.3.</w:t>
            </w:r>
            <w:r w:rsidR="00E02FD9">
              <w:rPr>
                <w:sz w:val="22"/>
                <w:szCs w:val="22"/>
              </w:rPr>
              <w:t>nodaļa</w:t>
            </w:r>
            <w:r w:rsidR="007E103E">
              <w:rPr>
                <w:sz w:val="22"/>
                <w:szCs w:val="22"/>
              </w:rPr>
              <w:t xml:space="preserve"> </w:t>
            </w:r>
            <w:r w:rsidRPr="00C6140C" w:rsidR="00E02FD9">
              <w:rPr>
                <w:sz w:val="22"/>
                <w:szCs w:val="22"/>
              </w:rPr>
              <w:t>„</w:t>
            </w:r>
            <w:r w:rsidRPr="007E103E" w:rsidR="007E103E">
              <w:rPr>
                <w:sz w:val="22"/>
                <w:szCs w:val="22"/>
              </w:rPr>
              <w:t>Attīstības izmaksu potenciālie finansēšanas avoti”</w:t>
            </w:r>
            <w:r w:rsidR="007E103E">
              <w:rPr>
                <w:sz w:val="22"/>
                <w:szCs w:val="22"/>
              </w:rPr>
              <w:t>.</w:t>
            </w:r>
          </w:p>
        </w:tc>
        <w:tc>
          <w:tcPr>
            <w:tcW w:w="1396" w:type="pct"/>
            <w:tcBorders>
              <w:left w:val="single" w:color="000000" w:sz="6" w:space="0"/>
              <w:bottom w:val="single" w:color="auto" w:sz="4" w:space="0"/>
              <w:right w:val="single" w:color="000000" w:sz="6" w:space="0"/>
            </w:tcBorders>
          </w:tcPr>
          <w:p w:rsidR="007E103E" w:rsidP="007E103E" w:rsidRDefault="007C060C" w14:paraId="41FD9787" w14:textId="77777777">
            <w:pPr>
              <w:pStyle w:val="naisc"/>
              <w:spacing w:before="0" w:after="0"/>
              <w:jc w:val="both"/>
              <w:rPr>
                <w:sz w:val="22"/>
                <w:szCs w:val="22"/>
              </w:rPr>
            </w:pPr>
            <w:r w:rsidRPr="00764F4A">
              <w:rPr>
                <w:b/>
                <w:sz w:val="22"/>
                <w:szCs w:val="22"/>
              </w:rPr>
              <w:t xml:space="preserve">Finanšu ministrija </w:t>
            </w:r>
            <w:r w:rsidRPr="007E103E" w:rsidR="007E103E">
              <w:rPr>
                <w:b/>
                <w:sz w:val="22"/>
                <w:szCs w:val="22"/>
              </w:rPr>
              <w:t>(iebildums izteikts pēc 28.01.2020. elektroniskās saskaņošanas):</w:t>
            </w:r>
          </w:p>
          <w:p w:rsidRPr="00764F4A" w:rsidR="003E104C" w:rsidP="00C6140C" w:rsidRDefault="003E104C" w14:paraId="38AAEF6F" w14:textId="77777777">
            <w:pPr>
              <w:pStyle w:val="naisc"/>
              <w:spacing w:before="0" w:after="0"/>
              <w:jc w:val="both"/>
              <w:rPr>
                <w:b/>
                <w:sz w:val="22"/>
                <w:szCs w:val="22"/>
              </w:rPr>
            </w:pPr>
            <w:r w:rsidRPr="00764F4A">
              <w:rPr>
                <w:sz w:val="22"/>
                <w:szCs w:val="22"/>
              </w:rPr>
              <w:t xml:space="preserve">Lūdzam svītrot konceptuālā ziņojuma 5.3.apakšpunktā “Attīstības izmaksu potenciālie finansēšanas avoti” par Eiropas Savienības politikas un ārvalstu </w:t>
            </w:r>
            <w:r w:rsidRPr="00764F4A">
              <w:rPr>
                <w:sz w:val="22"/>
                <w:szCs w:val="22"/>
              </w:rPr>
              <w:lastRenderedPageBreak/>
              <w:t>finanšu instrumentiem otrajā rindkopā sniegto informāciju par plānoto papildu ES fondu plānošanas perioda 2014.-2021.gada finansējuma piesaisti.</w:t>
            </w:r>
          </w:p>
        </w:tc>
        <w:tc>
          <w:tcPr>
            <w:tcW w:w="997" w:type="pct"/>
            <w:tcBorders>
              <w:left w:val="single" w:color="000000" w:sz="6" w:space="0"/>
              <w:bottom w:val="single" w:color="auto" w:sz="4" w:space="0"/>
              <w:right w:val="single" w:color="000000" w:sz="6" w:space="0"/>
            </w:tcBorders>
          </w:tcPr>
          <w:p w:rsidRPr="00764F4A" w:rsidR="007C060C" w:rsidP="00764F4A" w:rsidRDefault="00EC485E" w14:paraId="10B0438D" w14:textId="77777777">
            <w:pPr>
              <w:pStyle w:val="naisc"/>
              <w:spacing w:before="0" w:after="0"/>
              <w:rPr>
                <w:b/>
                <w:sz w:val="22"/>
                <w:szCs w:val="22"/>
              </w:rPr>
            </w:pPr>
            <w:r w:rsidRPr="00764F4A">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764F4A" w:rsidR="007C060C" w:rsidP="00764F4A" w:rsidRDefault="00EC485E" w14:paraId="551C43F9" w14:textId="77777777">
            <w:pPr>
              <w:jc w:val="both"/>
              <w:rPr>
                <w:sz w:val="22"/>
                <w:szCs w:val="22"/>
              </w:rPr>
            </w:pPr>
            <w:r w:rsidRPr="00764F4A">
              <w:rPr>
                <w:sz w:val="22"/>
                <w:szCs w:val="22"/>
              </w:rPr>
              <w:t>Precizēt</w:t>
            </w:r>
            <w:r w:rsidR="00E02FD9">
              <w:rPr>
                <w:sz w:val="22"/>
                <w:szCs w:val="22"/>
              </w:rPr>
              <w:t>a</w:t>
            </w:r>
            <w:r w:rsidRPr="00764F4A">
              <w:rPr>
                <w:sz w:val="22"/>
                <w:szCs w:val="22"/>
              </w:rPr>
              <w:t xml:space="preserve"> konceptuālā ziņojuma 5.3.</w:t>
            </w:r>
            <w:r w:rsidR="00E02FD9">
              <w:rPr>
                <w:sz w:val="22"/>
                <w:szCs w:val="22"/>
              </w:rPr>
              <w:t>nodaļa</w:t>
            </w:r>
            <w:r w:rsidRPr="00764F4A">
              <w:rPr>
                <w:sz w:val="22"/>
                <w:szCs w:val="22"/>
              </w:rPr>
              <w:t xml:space="preserve"> </w:t>
            </w:r>
            <w:r w:rsidRPr="00C6140C" w:rsidR="00E02FD9">
              <w:rPr>
                <w:sz w:val="22"/>
                <w:szCs w:val="22"/>
              </w:rPr>
              <w:t>„</w:t>
            </w:r>
            <w:r w:rsidRPr="00764F4A">
              <w:rPr>
                <w:sz w:val="22"/>
                <w:szCs w:val="22"/>
              </w:rPr>
              <w:t>Attīstības izmaksu potenciālie finansēšanas avoti”</w:t>
            </w:r>
            <w:r w:rsidR="00E02FD9">
              <w:rPr>
                <w:sz w:val="22"/>
                <w:szCs w:val="22"/>
              </w:rPr>
              <w:t>, svītrojot</w:t>
            </w:r>
            <w:r w:rsidRPr="00764F4A">
              <w:rPr>
                <w:sz w:val="22"/>
                <w:szCs w:val="22"/>
              </w:rPr>
              <w:t xml:space="preserve"> informācij</w:t>
            </w:r>
            <w:r w:rsidR="00E02FD9">
              <w:rPr>
                <w:sz w:val="22"/>
                <w:szCs w:val="22"/>
              </w:rPr>
              <w:t>u</w:t>
            </w:r>
            <w:r w:rsidRPr="00764F4A">
              <w:rPr>
                <w:sz w:val="22"/>
                <w:szCs w:val="22"/>
              </w:rPr>
              <w:t xml:space="preserve"> </w:t>
            </w:r>
            <w:r w:rsidRPr="007E103E" w:rsidR="007E103E">
              <w:rPr>
                <w:sz w:val="22"/>
                <w:szCs w:val="22"/>
              </w:rPr>
              <w:t>atbilstoši izteiktajam iebildumam</w:t>
            </w:r>
            <w:r w:rsidRPr="00764F4A" w:rsidR="003676B9">
              <w:rPr>
                <w:sz w:val="22"/>
                <w:szCs w:val="22"/>
              </w:rPr>
              <w:t>.</w:t>
            </w:r>
          </w:p>
        </w:tc>
      </w:tr>
      <w:tr w:rsidRPr="00764F4A" w:rsidR="007C060C" w:rsidTr="00523CF0" w14:paraId="61901D42" w14:textId="77777777">
        <w:tc>
          <w:tcPr>
            <w:tcW w:w="236" w:type="pct"/>
            <w:tcBorders>
              <w:left w:val="single" w:color="000000" w:sz="6" w:space="0"/>
              <w:bottom w:val="single" w:color="auto" w:sz="4" w:space="0"/>
              <w:right w:val="single" w:color="000000" w:sz="6" w:space="0"/>
            </w:tcBorders>
          </w:tcPr>
          <w:p w:rsidRPr="00764F4A" w:rsidR="007C060C" w:rsidP="00E53E2B" w:rsidRDefault="00526324" w14:paraId="1FE107FE" w14:textId="15112FCC">
            <w:pPr>
              <w:pStyle w:val="naisc"/>
              <w:spacing w:before="0" w:after="0"/>
              <w:ind w:firstLine="22"/>
              <w:rPr>
                <w:sz w:val="22"/>
                <w:szCs w:val="22"/>
              </w:rPr>
            </w:pPr>
            <w:r>
              <w:rPr>
                <w:sz w:val="22"/>
                <w:szCs w:val="22"/>
              </w:rPr>
              <w:t>10</w:t>
            </w:r>
            <w:r w:rsidRPr="00764F4A" w:rsidR="009B115F">
              <w:rPr>
                <w:sz w:val="22"/>
                <w:szCs w:val="22"/>
              </w:rPr>
              <w:t>.</w:t>
            </w:r>
          </w:p>
        </w:tc>
        <w:tc>
          <w:tcPr>
            <w:tcW w:w="1197" w:type="pct"/>
            <w:tcBorders>
              <w:left w:val="single" w:color="000000" w:sz="6" w:space="0"/>
              <w:bottom w:val="single" w:color="auto" w:sz="4" w:space="0"/>
              <w:right w:val="single" w:color="000000" w:sz="6" w:space="0"/>
            </w:tcBorders>
          </w:tcPr>
          <w:p w:rsidRPr="00764F4A" w:rsidR="007C060C" w:rsidP="00764F4A" w:rsidRDefault="003B2D38" w14:paraId="16FC6FCC" w14:textId="77777777">
            <w:pPr>
              <w:jc w:val="both"/>
              <w:rPr>
                <w:sz w:val="22"/>
                <w:szCs w:val="22"/>
              </w:rPr>
            </w:pPr>
            <w:r w:rsidRPr="00764F4A">
              <w:rPr>
                <w:sz w:val="22"/>
                <w:szCs w:val="22"/>
              </w:rPr>
              <w:t>Konceptuāl</w:t>
            </w:r>
            <w:r w:rsidR="00F14D09">
              <w:rPr>
                <w:sz w:val="22"/>
                <w:szCs w:val="22"/>
              </w:rPr>
              <w:t>ā</w:t>
            </w:r>
            <w:r w:rsidRPr="00764F4A">
              <w:rPr>
                <w:sz w:val="22"/>
                <w:szCs w:val="22"/>
              </w:rPr>
              <w:t xml:space="preserve"> ziņojum</w:t>
            </w:r>
            <w:r w:rsidR="00F14D09">
              <w:rPr>
                <w:sz w:val="22"/>
                <w:szCs w:val="22"/>
              </w:rPr>
              <w:t>a</w:t>
            </w:r>
            <w:r w:rsidRPr="00764F4A">
              <w:rPr>
                <w:sz w:val="22"/>
                <w:szCs w:val="22"/>
              </w:rPr>
              <w:t xml:space="preserve"> </w:t>
            </w:r>
            <w:r w:rsidRPr="00F14D09" w:rsidR="00F14D09">
              <w:rPr>
                <w:sz w:val="22"/>
                <w:szCs w:val="22"/>
              </w:rPr>
              <w:t>5.3.</w:t>
            </w:r>
            <w:r w:rsidR="00F32769">
              <w:rPr>
                <w:sz w:val="22"/>
                <w:szCs w:val="22"/>
              </w:rPr>
              <w:t>nodaļa</w:t>
            </w:r>
            <w:r w:rsidRPr="00F14D09" w:rsidR="00F14D09">
              <w:rPr>
                <w:sz w:val="22"/>
                <w:szCs w:val="22"/>
              </w:rPr>
              <w:t xml:space="preserve"> </w:t>
            </w:r>
            <w:r w:rsidRPr="00C6140C" w:rsidR="00F32769">
              <w:rPr>
                <w:sz w:val="22"/>
                <w:szCs w:val="22"/>
              </w:rPr>
              <w:t>„</w:t>
            </w:r>
            <w:r w:rsidRPr="00F14D09" w:rsidR="00F14D09">
              <w:rPr>
                <w:sz w:val="22"/>
                <w:szCs w:val="22"/>
              </w:rPr>
              <w:t>Attīstības izmaksu potenciālie finansēšanas avoti”</w:t>
            </w:r>
            <w:r w:rsidR="00E2623A">
              <w:rPr>
                <w:sz w:val="22"/>
                <w:szCs w:val="22"/>
              </w:rPr>
              <w:t>,</w:t>
            </w:r>
            <w:r w:rsidR="00F14D09">
              <w:rPr>
                <w:sz w:val="22"/>
                <w:szCs w:val="22"/>
              </w:rPr>
              <w:t xml:space="preserve"> </w:t>
            </w:r>
            <w:r w:rsidRPr="00F14D09" w:rsidR="00F14D09">
              <w:rPr>
                <w:sz w:val="22"/>
                <w:szCs w:val="22"/>
              </w:rPr>
              <w:t>5.4.</w:t>
            </w:r>
            <w:r w:rsidR="00F32769">
              <w:rPr>
                <w:sz w:val="22"/>
                <w:szCs w:val="22"/>
              </w:rPr>
              <w:t>nodaļa</w:t>
            </w:r>
            <w:r w:rsidR="00F14D09">
              <w:rPr>
                <w:sz w:val="22"/>
                <w:szCs w:val="22"/>
              </w:rPr>
              <w:t xml:space="preserve"> </w:t>
            </w:r>
            <w:r w:rsidRPr="00C6140C" w:rsidR="00F32769">
              <w:rPr>
                <w:sz w:val="22"/>
                <w:szCs w:val="22"/>
              </w:rPr>
              <w:t>„</w:t>
            </w:r>
            <w:r w:rsidR="00253B7E">
              <w:rPr>
                <w:sz w:val="22"/>
                <w:szCs w:val="22"/>
              </w:rPr>
              <w:t>Objektu uzturēšanas izdevumi”</w:t>
            </w:r>
            <w:r w:rsidR="00E2623A">
              <w:rPr>
                <w:sz w:val="22"/>
                <w:szCs w:val="22"/>
              </w:rPr>
              <w:t xml:space="preserve"> un 6.</w:t>
            </w:r>
            <w:r w:rsidR="00F32769">
              <w:rPr>
                <w:sz w:val="22"/>
                <w:szCs w:val="22"/>
              </w:rPr>
              <w:t>nodaļa</w:t>
            </w:r>
            <w:r w:rsidR="00E2623A">
              <w:rPr>
                <w:sz w:val="22"/>
                <w:szCs w:val="22"/>
              </w:rPr>
              <w:t xml:space="preserve"> </w:t>
            </w:r>
            <w:r w:rsidRPr="00C6140C" w:rsidR="00F32769">
              <w:rPr>
                <w:sz w:val="22"/>
                <w:szCs w:val="22"/>
              </w:rPr>
              <w:t>„</w:t>
            </w:r>
            <w:r w:rsidRPr="00E2623A" w:rsidR="00E2623A">
              <w:rPr>
                <w:sz w:val="22"/>
                <w:szCs w:val="22"/>
              </w:rPr>
              <w:t>Kopsavilkums par konceptuālajā ziņojumā iekļauto risinājumu (risinājumu variantu) realizācijai nepieciešamo valsts un pašvaldību budžeta finansējumu”</w:t>
            </w:r>
            <w:r w:rsidR="00253B7E">
              <w:rPr>
                <w:sz w:val="22"/>
                <w:szCs w:val="22"/>
              </w:rPr>
              <w:t>.</w:t>
            </w:r>
          </w:p>
        </w:tc>
        <w:tc>
          <w:tcPr>
            <w:tcW w:w="1396" w:type="pct"/>
            <w:tcBorders>
              <w:left w:val="single" w:color="000000" w:sz="6" w:space="0"/>
              <w:bottom w:val="single" w:color="auto" w:sz="4" w:space="0"/>
              <w:right w:val="single" w:color="000000" w:sz="6" w:space="0"/>
            </w:tcBorders>
          </w:tcPr>
          <w:p w:rsidRPr="00764F4A" w:rsidR="007C060C" w:rsidP="00764F4A" w:rsidRDefault="007C060C" w14:paraId="6D599463" w14:textId="77777777">
            <w:pPr>
              <w:pStyle w:val="naisc"/>
              <w:spacing w:before="0" w:after="0"/>
              <w:jc w:val="both"/>
              <w:rPr>
                <w:b/>
                <w:sz w:val="22"/>
                <w:szCs w:val="22"/>
              </w:rPr>
            </w:pPr>
            <w:r w:rsidRPr="00764F4A">
              <w:rPr>
                <w:b/>
                <w:sz w:val="22"/>
                <w:szCs w:val="22"/>
              </w:rPr>
              <w:t xml:space="preserve">Finanšu ministrija </w:t>
            </w:r>
            <w:r w:rsidRPr="00FD2FDC" w:rsidR="00FD2FDC">
              <w:rPr>
                <w:b/>
                <w:sz w:val="22"/>
                <w:szCs w:val="22"/>
              </w:rPr>
              <w:t>(iebildums izteikts pēc 28.01.2020. elektroniskās saskaņošanas):</w:t>
            </w:r>
          </w:p>
          <w:p w:rsidRPr="00764F4A" w:rsidR="003E104C" w:rsidP="00C6140C" w:rsidRDefault="003E104C" w14:paraId="209E8B69" w14:textId="77777777">
            <w:pPr>
              <w:jc w:val="both"/>
              <w:rPr>
                <w:b/>
                <w:sz w:val="22"/>
                <w:szCs w:val="22"/>
              </w:rPr>
            </w:pPr>
            <w:r w:rsidRPr="00764F4A">
              <w:rPr>
                <w:sz w:val="22"/>
                <w:szCs w:val="22"/>
              </w:rPr>
              <w:t>Ņemot vērā konceptuālā ziņojuma 5.3.apakšpunktā “Attīstības izmaksu potenciālie finansēšanas avoti” norādītos atšķirīgos finansēšanas avotus (atkarībā no attīstāmā nekustamā īpašuma piederības), lūdzam konceptuālā ziņojuma 5.4.apakšpunktā norādīt atsevišķi nomas maksas un papildu maksājumu (atšifrējot papildu maksājumu izdevumu pozīcijas) aprēķinu VNĪ īpašumā esošiem objektiem (tostarp, komponenti “k”) un valsts īpašumā esošiem objektiem, attiecīgi precizējot arī konceptuālā ziņojuma 6.punkta “Kopsavilkums par konceptuālajā ziņojumā iekļauto risinājumu (risinājumu variantu) realizācijai nepieciešamo valsts un pašvaldību budžeta finansējumu” saturu. Norādām, ja VNĪ kapitālieguldījumus VNĪ īpašumā esošajos nekustamajos īpašumos plānots segt pēc objekta nodošanas ekspluatācijā ilgtermiņa nomas maksas veidā, jautājums par papildu nepieciešamo finansējumu nomas maksas un papildu maksājumu segšanai skatāms pirms nekustamo īpašumu attīstības projektu uzsākšanas.</w:t>
            </w:r>
          </w:p>
        </w:tc>
        <w:tc>
          <w:tcPr>
            <w:tcW w:w="997" w:type="pct"/>
            <w:tcBorders>
              <w:left w:val="single" w:color="000000" w:sz="6" w:space="0"/>
              <w:bottom w:val="single" w:color="auto" w:sz="4" w:space="0"/>
              <w:right w:val="single" w:color="000000" w:sz="6" w:space="0"/>
            </w:tcBorders>
          </w:tcPr>
          <w:p w:rsidRPr="00764F4A" w:rsidR="007C060C" w:rsidP="00764F4A" w:rsidRDefault="00612BE2" w14:paraId="7D56EEEB" w14:textId="77777777">
            <w:pPr>
              <w:pStyle w:val="naisc"/>
              <w:spacing w:before="0" w:after="0"/>
              <w:rPr>
                <w:b/>
                <w:sz w:val="22"/>
                <w:szCs w:val="22"/>
              </w:rPr>
            </w:pPr>
            <w:r w:rsidRPr="00764F4A">
              <w:rPr>
                <w:b/>
                <w:sz w:val="22"/>
                <w:szCs w:val="22"/>
              </w:rPr>
              <w:t>Ņemts vērā</w:t>
            </w:r>
          </w:p>
        </w:tc>
        <w:tc>
          <w:tcPr>
            <w:tcW w:w="1174" w:type="pct"/>
            <w:tcBorders>
              <w:top w:val="single" w:color="auto" w:sz="4" w:space="0"/>
              <w:left w:val="single" w:color="auto" w:sz="4" w:space="0"/>
              <w:bottom w:val="single" w:color="auto" w:sz="4" w:space="0"/>
            </w:tcBorders>
          </w:tcPr>
          <w:p w:rsidRPr="00764F4A" w:rsidR="00612BE2" w:rsidRDefault="00783915" w14:paraId="49FBF26D" w14:textId="5C3BC886">
            <w:pPr>
              <w:jc w:val="both"/>
              <w:rPr>
                <w:sz w:val="22"/>
                <w:szCs w:val="22"/>
              </w:rPr>
            </w:pPr>
            <w:r>
              <w:rPr>
                <w:sz w:val="22"/>
                <w:szCs w:val="22"/>
              </w:rPr>
              <w:t>Precizēta k</w:t>
            </w:r>
            <w:r w:rsidRPr="00764F4A">
              <w:rPr>
                <w:sz w:val="22"/>
                <w:szCs w:val="22"/>
              </w:rPr>
              <w:t>onceptuāl</w:t>
            </w:r>
            <w:r>
              <w:rPr>
                <w:sz w:val="22"/>
                <w:szCs w:val="22"/>
              </w:rPr>
              <w:t>ā</w:t>
            </w:r>
            <w:r w:rsidRPr="00764F4A">
              <w:rPr>
                <w:sz w:val="22"/>
                <w:szCs w:val="22"/>
              </w:rPr>
              <w:t xml:space="preserve"> ziņojum</w:t>
            </w:r>
            <w:r>
              <w:rPr>
                <w:sz w:val="22"/>
                <w:szCs w:val="22"/>
              </w:rPr>
              <w:t>a</w:t>
            </w:r>
            <w:r w:rsidRPr="00764F4A">
              <w:rPr>
                <w:sz w:val="22"/>
                <w:szCs w:val="22"/>
              </w:rPr>
              <w:t xml:space="preserve"> </w:t>
            </w:r>
            <w:r w:rsidRPr="00F14D09">
              <w:rPr>
                <w:sz w:val="22"/>
                <w:szCs w:val="22"/>
              </w:rPr>
              <w:t>5.3.</w:t>
            </w:r>
            <w:r>
              <w:rPr>
                <w:sz w:val="22"/>
                <w:szCs w:val="22"/>
              </w:rPr>
              <w:t>nodaļa</w:t>
            </w:r>
            <w:r w:rsidRPr="00F14D09">
              <w:rPr>
                <w:sz w:val="22"/>
                <w:szCs w:val="22"/>
              </w:rPr>
              <w:t xml:space="preserve"> </w:t>
            </w:r>
            <w:r w:rsidRPr="00C6140C">
              <w:rPr>
                <w:sz w:val="22"/>
                <w:szCs w:val="22"/>
              </w:rPr>
              <w:t>„</w:t>
            </w:r>
            <w:r w:rsidRPr="00F14D09">
              <w:rPr>
                <w:sz w:val="22"/>
                <w:szCs w:val="22"/>
              </w:rPr>
              <w:t>Attīstības izmaksu potenciālie finansēšanas avoti”</w:t>
            </w:r>
            <w:r>
              <w:rPr>
                <w:sz w:val="22"/>
                <w:szCs w:val="22"/>
              </w:rPr>
              <w:t xml:space="preserve">, </w:t>
            </w:r>
            <w:r w:rsidRPr="00F14D09">
              <w:rPr>
                <w:sz w:val="22"/>
                <w:szCs w:val="22"/>
              </w:rPr>
              <w:t>5.4.</w:t>
            </w:r>
            <w:r>
              <w:rPr>
                <w:sz w:val="22"/>
                <w:szCs w:val="22"/>
              </w:rPr>
              <w:t xml:space="preserve">nodaļa </w:t>
            </w:r>
            <w:r w:rsidRPr="00C6140C">
              <w:rPr>
                <w:sz w:val="22"/>
                <w:szCs w:val="22"/>
              </w:rPr>
              <w:t>„</w:t>
            </w:r>
            <w:r>
              <w:rPr>
                <w:sz w:val="22"/>
                <w:szCs w:val="22"/>
              </w:rPr>
              <w:t xml:space="preserve">Objektu uzturēšanas izdevumi” un 6.nodaļa </w:t>
            </w:r>
            <w:r w:rsidRPr="00C6140C">
              <w:rPr>
                <w:sz w:val="22"/>
                <w:szCs w:val="22"/>
              </w:rPr>
              <w:t>„</w:t>
            </w:r>
            <w:r w:rsidRPr="00E2623A">
              <w:rPr>
                <w:sz w:val="22"/>
                <w:szCs w:val="22"/>
              </w:rPr>
              <w:t>Kopsavilkums par konceptuālajā ziņojumā iekļauto risinājumu (risinājumu variantu) realizācijai nepieciešamo valsts un pašvaldību budžeta finansējumu”</w:t>
            </w:r>
            <w:r>
              <w:rPr>
                <w:sz w:val="22"/>
                <w:szCs w:val="22"/>
              </w:rPr>
              <w:t>, v</w:t>
            </w:r>
            <w:r w:rsidRPr="00764F4A" w:rsidR="00612BE2">
              <w:rPr>
                <w:sz w:val="22"/>
                <w:szCs w:val="22"/>
              </w:rPr>
              <w:t>ei</w:t>
            </w:r>
            <w:r>
              <w:rPr>
                <w:sz w:val="22"/>
                <w:szCs w:val="22"/>
              </w:rPr>
              <w:t>cot</w:t>
            </w:r>
            <w:r w:rsidRPr="00764F4A" w:rsidR="00612BE2">
              <w:rPr>
                <w:sz w:val="22"/>
                <w:szCs w:val="22"/>
              </w:rPr>
              <w:t xml:space="preserve"> nomas maksas pārrēķin</w:t>
            </w:r>
            <w:r>
              <w:rPr>
                <w:sz w:val="22"/>
                <w:szCs w:val="22"/>
              </w:rPr>
              <w:t>u un</w:t>
            </w:r>
            <w:r w:rsidRPr="00764F4A" w:rsidR="00612BE2">
              <w:rPr>
                <w:sz w:val="22"/>
                <w:szCs w:val="22"/>
              </w:rPr>
              <w:t xml:space="preserve"> paredzot nekustamajos īpašumos, kas ir VNĪ īpašumā, kapitālieguldījumus segt no VNĪ piesaistītiem finanšu līdzekļiem, atgūstot tos nomas maksas veidā </w:t>
            </w:r>
            <w:r w:rsidR="00BB09AF">
              <w:rPr>
                <w:sz w:val="22"/>
                <w:szCs w:val="22"/>
              </w:rPr>
              <w:t>15</w:t>
            </w:r>
            <w:r w:rsidRPr="00764F4A" w:rsidR="00612BE2">
              <w:rPr>
                <w:sz w:val="22"/>
                <w:szCs w:val="22"/>
              </w:rPr>
              <w:t xml:space="preserve"> gadu periodā.</w:t>
            </w:r>
          </w:p>
        </w:tc>
      </w:tr>
      <w:tr w:rsidRPr="00764F4A" w:rsidR="003E104C" w:rsidTr="00523CF0" w14:paraId="2AF713DA" w14:textId="77777777">
        <w:tc>
          <w:tcPr>
            <w:tcW w:w="236" w:type="pct"/>
            <w:tcBorders>
              <w:left w:val="single" w:color="000000" w:sz="6" w:space="0"/>
              <w:bottom w:val="single" w:color="auto" w:sz="4" w:space="0"/>
              <w:right w:val="single" w:color="000000" w:sz="6" w:space="0"/>
            </w:tcBorders>
          </w:tcPr>
          <w:p w:rsidRPr="00764F4A" w:rsidR="003E104C" w:rsidP="00E53E2B" w:rsidRDefault="00526324" w14:paraId="70BF48C3" w14:textId="3127C5B8">
            <w:pPr>
              <w:pStyle w:val="naisc"/>
              <w:spacing w:before="0" w:after="0"/>
              <w:ind w:firstLine="22"/>
              <w:rPr>
                <w:sz w:val="22"/>
                <w:szCs w:val="22"/>
              </w:rPr>
            </w:pPr>
            <w:r>
              <w:rPr>
                <w:sz w:val="22"/>
                <w:szCs w:val="22"/>
              </w:rPr>
              <w:lastRenderedPageBreak/>
              <w:t>11</w:t>
            </w:r>
            <w:r w:rsidRPr="00764F4A" w:rsidR="009B115F">
              <w:rPr>
                <w:sz w:val="22"/>
                <w:szCs w:val="22"/>
              </w:rPr>
              <w:t>.</w:t>
            </w:r>
          </w:p>
        </w:tc>
        <w:tc>
          <w:tcPr>
            <w:tcW w:w="1197" w:type="pct"/>
            <w:tcBorders>
              <w:left w:val="single" w:color="000000" w:sz="6" w:space="0"/>
              <w:bottom w:val="single" w:color="auto" w:sz="4" w:space="0"/>
              <w:right w:val="single" w:color="000000" w:sz="6" w:space="0"/>
            </w:tcBorders>
          </w:tcPr>
          <w:p w:rsidRPr="00764F4A" w:rsidR="003E104C" w:rsidP="00764F4A" w:rsidRDefault="003676B9" w14:paraId="75574E3B" w14:textId="77777777">
            <w:pPr>
              <w:jc w:val="both"/>
              <w:rPr>
                <w:sz w:val="22"/>
                <w:szCs w:val="22"/>
              </w:rPr>
            </w:pPr>
            <w:r w:rsidRPr="00764F4A">
              <w:rPr>
                <w:sz w:val="22"/>
                <w:szCs w:val="22"/>
              </w:rPr>
              <w:t>Konceptuālā ziņojuma 6.</w:t>
            </w:r>
            <w:r w:rsidR="005D6624">
              <w:rPr>
                <w:sz w:val="22"/>
                <w:szCs w:val="22"/>
              </w:rPr>
              <w:t>nodaļa</w:t>
            </w:r>
            <w:r w:rsidRPr="00764F4A">
              <w:rPr>
                <w:sz w:val="22"/>
                <w:szCs w:val="22"/>
              </w:rPr>
              <w:t xml:space="preserve"> </w:t>
            </w:r>
            <w:r w:rsidRPr="00C6140C" w:rsidR="005D6624">
              <w:rPr>
                <w:sz w:val="22"/>
                <w:szCs w:val="22"/>
              </w:rPr>
              <w:t>„</w:t>
            </w:r>
            <w:r w:rsidRPr="00764F4A">
              <w:rPr>
                <w:sz w:val="22"/>
                <w:szCs w:val="22"/>
              </w:rPr>
              <w:t>Kopsavilkums par konceptuālajā ziņojumā iekļauto risinājumu (risinājumu variantu) realizācijai nepieciešamo valsts un pašvaldību budžeta finansējumu”</w:t>
            </w:r>
            <w:r w:rsidR="00194FC7">
              <w:rPr>
                <w:sz w:val="22"/>
                <w:szCs w:val="22"/>
              </w:rPr>
              <w:t>.</w:t>
            </w:r>
          </w:p>
        </w:tc>
        <w:tc>
          <w:tcPr>
            <w:tcW w:w="1396" w:type="pct"/>
            <w:tcBorders>
              <w:left w:val="single" w:color="000000" w:sz="6" w:space="0"/>
              <w:bottom w:val="single" w:color="auto" w:sz="4" w:space="0"/>
              <w:right w:val="single" w:color="000000" w:sz="6" w:space="0"/>
            </w:tcBorders>
          </w:tcPr>
          <w:p w:rsidRPr="00764F4A" w:rsidR="003E104C" w:rsidP="00764F4A" w:rsidRDefault="003E104C" w14:paraId="31613521" w14:textId="77777777">
            <w:pPr>
              <w:pStyle w:val="naisc"/>
              <w:spacing w:before="0" w:after="0"/>
              <w:jc w:val="both"/>
              <w:rPr>
                <w:b/>
                <w:sz w:val="22"/>
                <w:szCs w:val="22"/>
              </w:rPr>
            </w:pPr>
            <w:r w:rsidRPr="00764F4A">
              <w:rPr>
                <w:b/>
                <w:sz w:val="22"/>
                <w:szCs w:val="22"/>
              </w:rPr>
              <w:t xml:space="preserve">Finanšu ministrija </w:t>
            </w:r>
            <w:r w:rsidRPr="00001A04" w:rsidR="00001A04">
              <w:rPr>
                <w:b/>
                <w:sz w:val="22"/>
                <w:szCs w:val="22"/>
              </w:rPr>
              <w:t>(iebildums izteikts pēc 28.01.2020. elektroniskās saskaņošanas):</w:t>
            </w:r>
          </w:p>
          <w:p w:rsidRPr="00764F4A" w:rsidR="003E104C" w:rsidP="00764F4A" w:rsidRDefault="003E104C" w14:paraId="79400B07" w14:textId="77777777">
            <w:pPr>
              <w:jc w:val="both"/>
              <w:rPr>
                <w:sz w:val="22"/>
                <w:szCs w:val="22"/>
              </w:rPr>
            </w:pPr>
            <w:r w:rsidRPr="00764F4A">
              <w:rPr>
                <w:sz w:val="22"/>
                <w:szCs w:val="22"/>
              </w:rPr>
              <w:t>Ir precizējama konceptuālā ziņojuma 6.punktā “Kopsavilkums par konceptuālajā ziņojumā iekļauto risinājumu (risinājumu variantu) realizācijai nepieciešamo valsts un pašvaldību budžeta finansējumu” iekļautā tabula:</w:t>
            </w:r>
          </w:p>
          <w:p w:rsidRPr="00764F4A" w:rsidR="003E104C" w:rsidP="00764F4A" w:rsidRDefault="003E104C" w14:paraId="28F3F5CB" w14:textId="77777777">
            <w:pPr>
              <w:ind w:left="320" w:hanging="360"/>
              <w:jc w:val="both"/>
              <w:rPr>
                <w:rFonts w:eastAsia="Calibri"/>
                <w:sz w:val="22"/>
                <w:szCs w:val="22"/>
              </w:rPr>
            </w:pPr>
            <w:r w:rsidRPr="00764F4A">
              <w:rPr>
                <w:sz w:val="22"/>
                <w:szCs w:val="22"/>
              </w:rPr>
              <w:t>  norādot finansējumu (attīstības, kustamās mantas iegādes, pārvākšanās, uzturēšanas (nomas maksas, papildu maksājumu un komunālo maksājumu izdevumi) sadalījumā par budžeta resoriem un apakšprogrammām;</w:t>
            </w:r>
          </w:p>
          <w:p w:rsidRPr="00764F4A" w:rsidR="003E104C" w:rsidP="00764F4A" w:rsidRDefault="003E104C" w14:paraId="3229361A" w14:textId="77777777">
            <w:pPr>
              <w:ind w:left="320" w:hanging="360"/>
              <w:jc w:val="both"/>
              <w:rPr>
                <w:sz w:val="22"/>
                <w:szCs w:val="22"/>
              </w:rPr>
            </w:pPr>
            <w:r w:rsidRPr="00764F4A">
              <w:rPr>
                <w:sz w:val="22"/>
                <w:szCs w:val="22"/>
              </w:rPr>
              <w:t>  kolonnā “Vidēja termiņa budžeta ietvara likumā plānotais finansējums” precizējot finansējumu atbilstoši 5.4.apakšpunkta pirmajā rindkopā norādītajam, jo šobrīd nav skaidrs, kāpēc visos risinājuma variantos nav vienāds šobrīd esošā finansējuma apmērs;</w:t>
            </w:r>
          </w:p>
          <w:p w:rsidRPr="00764F4A" w:rsidR="003E104C" w:rsidP="00C6140C" w:rsidRDefault="003E104C" w14:paraId="720D569D" w14:textId="77777777">
            <w:pPr>
              <w:ind w:left="320" w:hanging="360"/>
              <w:jc w:val="both"/>
              <w:rPr>
                <w:b/>
                <w:sz w:val="22"/>
                <w:szCs w:val="22"/>
              </w:rPr>
            </w:pPr>
            <w:r w:rsidRPr="00764F4A">
              <w:rPr>
                <w:sz w:val="22"/>
                <w:szCs w:val="22"/>
              </w:rPr>
              <w:t>  kolonnā “turpmāk ik gadu (ja risinājuma (risinājuma varianta) izpilde nav terminēta)” 3.risinājuma varianta uzturēšanas izdevumi ir norādāmi kā starpība starp plānoto (ar PVN) un šobrīd jau budžetā esošo finansējumu.</w:t>
            </w:r>
          </w:p>
        </w:tc>
        <w:tc>
          <w:tcPr>
            <w:tcW w:w="997" w:type="pct"/>
            <w:tcBorders>
              <w:left w:val="single" w:color="000000" w:sz="6" w:space="0"/>
              <w:bottom w:val="single" w:color="auto" w:sz="4" w:space="0"/>
              <w:right w:val="single" w:color="000000" w:sz="6" w:space="0"/>
            </w:tcBorders>
          </w:tcPr>
          <w:p w:rsidRPr="00764F4A" w:rsidR="003E104C" w:rsidP="00764F4A" w:rsidRDefault="003676B9" w14:paraId="04C0B6B5" w14:textId="77777777">
            <w:pPr>
              <w:pStyle w:val="naisc"/>
              <w:spacing w:before="0" w:after="0"/>
              <w:rPr>
                <w:b/>
                <w:sz w:val="22"/>
                <w:szCs w:val="22"/>
              </w:rPr>
            </w:pPr>
            <w:r w:rsidRPr="00764F4A">
              <w:rPr>
                <w:b/>
                <w:sz w:val="22"/>
                <w:szCs w:val="22"/>
              </w:rPr>
              <w:t>Ņemts vērā</w:t>
            </w:r>
          </w:p>
        </w:tc>
        <w:tc>
          <w:tcPr>
            <w:tcW w:w="1174" w:type="pct"/>
            <w:tcBorders>
              <w:top w:val="single" w:color="auto" w:sz="4" w:space="0"/>
              <w:left w:val="single" w:color="auto" w:sz="4" w:space="0"/>
              <w:bottom w:val="single" w:color="auto" w:sz="4" w:space="0"/>
            </w:tcBorders>
          </w:tcPr>
          <w:p w:rsidRPr="00764F4A" w:rsidR="003E104C" w:rsidP="00764F4A" w:rsidRDefault="003676B9" w14:paraId="702DDFFE" w14:textId="77777777">
            <w:pPr>
              <w:jc w:val="both"/>
              <w:rPr>
                <w:sz w:val="22"/>
                <w:szCs w:val="22"/>
              </w:rPr>
            </w:pPr>
            <w:r w:rsidRPr="00764F4A">
              <w:rPr>
                <w:sz w:val="22"/>
                <w:szCs w:val="22"/>
              </w:rPr>
              <w:t>Precizēt</w:t>
            </w:r>
            <w:r w:rsidR="005D6624">
              <w:rPr>
                <w:sz w:val="22"/>
                <w:szCs w:val="22"/>
              </w:rPr>
              <w:t>a</w:t>
            </w:r>
            <w:r w:rsidRPr="00764F4A">
              <w:rPr>
                <w:sz w:val="22"/>
                <w:szCs w:val="22"/>
              </w:rPr>
              <w:t xml:space="preserve"> konceptuālā ziņojuma 6.</w:t>
            </w:r>
            <w:r w:rsidR="005D6624">
              <w:rPr>
                <w:sz w:val="22"/>
                <w:szCs w:val="22"/>
              </w:rPr>
              <w:t>nodaļa</w:t>
            </w:r>
            <w:r w:rsidRPr="00764F4A">
              <w:rPr>
                <w:sz w:val="22"/>
                <w:szCs w:val="22"/>
              </w:rPr>
              <w:t xml:space="preserve"> </w:t>
            </w:r>
            <w:r w:rsidRPr="00C6140C" w:rsidR="005D6624">
              <w:rPr>
                <w:sz w:val="22"/>
                <w:szCs w:val="22"/>
              </w:rPr>
              <w:t>„</w:t>
            </w:r>
            <w:r w:rsidRPr="00764F4A">
              <w:rPr>
                <w:sz w:val="22"/>
                <w:szCs w:val="22"/>
              </w:rPr>
              <w:t>Kopsavilkums par konceptuālajā ziņojumā iekļauto risinājumu (risinājumu variantu) realizācijai nepieciešamo valsts un pašvaldību budžeta finansējumu”</w:t>
            </w:r>
            <w:r w:rsidRPr="00764F4A" w:rsidR="002B73BB">
              <w:rPr>
                <w:sz w:val="22"/>
                <w:szCs w:val="22"/>
              </w:rPr>
              <w:t>, norādot finansējuma avotus alternatīvu īstenošanai un tā sadalījumu pa gadiem, sākot no 2022.gada.</w:t>
            </w:r>
          </w:p>
        </w:tc>
      </w:tr>
      <w:tr w:rsidRPr="00764F4A" w:rsidR="00BD06AA" w:rsidTr="00523CF0" w14:paraId="5D85CD07" w14:textId="77777777">
        <w:tc>
          <w:tcPr>
            <w:tcW w:w="236" w:type="pct"/>
            <w:tcBorders>
              <w:left w:val="single" w:color="000000" w:sz="6" w:space="0"/>
              <w:bottom w:val="single" w:color="auto" w:sz="4" w:space="0"/>
              <w:right w:val="single" w:color="000000" w:sz="6" w:space="0"/>
            </w:tcBorders>
          </w:tcPr>
          <w:p w:rsidRPr="00764F4A" w:rsidR="00BD06AA" w:rsidP="00E53E2B" w:rsidRDefault="00526324" w14:paraId="63C16058" w14:textId="64616418">
            <w:pPr>
              <w:pStyle w:val="naisc"/>
              <w:spacing w:before="0" w:after="0"/>
              <w:ind w:firstLine="22"/>
              <w:rPr>
                <w:sz w:val="22"/>
                <w:szCs w:val="22"/>
              </w:rPr>
            </w:pPr>
            <w:r>
              <w:rPr>
                <w:sz w:val="22"/>
                <w:szCs w:val="22"/>
              </w:rPr>
              <w:t>12</w:t>
            </w:r>
            <w:r w:rsidRPr="00764F4A" w:rsidR="009B115F">
              <w:rPr>
                <w:sz w:val="22"/>
                <w:szCs w:val="22"/>
              </w:rPr>
              <w:t>.</w:t>
            </w:r>
          </w:p>
        </w:tc>
        <w:tc>
          <w:tcPr>
            <w:tcW w:w="1197" w:type="pct"/>
            <w:tcBorders>
              <w:left w:val="single" w:color="000000" w:sz="6" w:space="0"/>
              <w:bottom w:val="single" w:color="auto" w:sz="4" w:space="0"/>
              <w:right w:val="single" w:color="000000" w:sz="6" w:space="0"/>
            </w:tcBorders>
          </w:tcPr>
          <w:p w:rsidRPr="00764F4A" w:rsidR="00BD06AA" w:rsidP="00764F4A" w:rsidRDefault="00B34E83" w14:paraId="0C99FB1F" w14:textId="77777777">
            <w:pPr>
              <w:jc w:val="both"/>
              <w:rPr>
                <w:sz w:val="22"/>
                <w:szCs w:val="22"/>
              </w:rPr>
            </w:pPr>
            <w:r>
              <w:rPr>
                <w:sz w:val="22"/>
                <w:szCs w:val="22"/>
              </w:rPr>
              <w:t>K</w:t>
            </w:r>
            <w:r w:rsidRPr="00B34E83">
              <w:rPr>
                <w:sz w:val="22"/>
                <w:szCs w:val="22"/>
              </w:rPr>
              <w:t>onceptuālā ziņojuma 2.pielikums</w:t>
            </w:r>
            <w:r>
              <w:rPr>
                <w:sz w:val="22"/>
                <w:szCs w:val="22"/>
              </w:rPr>
              <w:t>.</w:t>
            </w:r>
          </w:p>
        </w:tc>
        <w:tc>
          <w:tcPr>
            <w:tcW w:w="1396" w:type="pct"/>
            <w:tcBorders>
              <w:left w:val="single" w:color="000000" w:sz="6" w:space="0"/>
              <w:bottom w:val="single" w:color="auto" w:sz="4" w:space="0"/>
              <w:right w:val="single" w:color="000000" w:sz="6" w:space="0"/>
            </w:tcBorders>
          </w:tcPr>
          <w:p w:rsidR="00BC1558" w:rsidP="00BC1558" w:rsidRDefault="007C060C" w14:paraId="0A437E00" w14:textId="77777777">
            <w:pPr>
              <w:pStyle w:val="naisc"/>
              <w:spacing w:before="0" w:after="0"/>
              <w:jc w:val="both"/>
              <w:rPr>
                <w:sz w:val="22"/>
                <w:szCs w:val="22"/>
              </w:rPr>
            </w:pPr>
            <w:r w:rsidRPr="00764F4A">
              <w:rPr>
                <w:b/>
                <w:sz w:val="22"/>
                <w:szCs w:val="22"/>
              </w:rPr>
              <w:t xml:space="preserve">Finanšu ministrija </w:t>
            </w:r>
            <w:r w:rsidRPr="00BC1558" w:rsidR="00BC1558">
              <w:rPr>
                <w:b/>
                <w:sz w:val="22"/>
                <w:szCs w:val="22"/>
              </w:rPr>
              <w:t>(iebildums izteikts pēc 28.01.2020. elektroniskās saskaņošanas):</w:t>
            </w:r>
          </w:p>
          <w:p w:rsidRPr="00764F4A" w:rsidR="003E104C" w:rsidP="009D0E70" w:rsidRDefault="003E104C" w14:paraId="5A458025" w14:textId="77777777">
            <w:pPr>
              <w:pStyle w:val="naisc"/>
              <w:spacing w:before="0" w:after="0"/>
              <w:jc w:val="both"/>
              <w:rPr>
                <w:b/>
                <w:sz w:val="22"/>
                <w:szCs w:val="22"/>
              </w:rPr>
            </w:pPr>
            <w:r w:rsidRPr="00764F4A">
              <w:rPr>
                <w:sz w:val="22"/>
                <w:szCs w:val="22"/>
              </w:rPr>
              <w:lastRenderedPageBreak/>
              <w:t>Ir papildināms konceptuālā ziņojuma 2.pielikums, attīstības posmiem plānoto finansējumu norādot sadalījumā pa gadiem.</w:t>
            </w:r>
          </w:p>
        </w:tc>
        <w:tc>
          <w:tcPr>
            <w:tcW w:w="997" w:type="pct"/>
            <w:tcBorders>
              <w:left w:val="single" w:color="000000" w:sz="6" w:space="0"/>
              <w:bottom w:val="single" w:color="auto" w:sz="4" w:space="0"/>
              <w:right w:val="single" w:color="000000" w:sz="6" w:space="0"/>
            </w:tcBorders>
          </w:tcPr>
          <w:p w:rsidRPr="00764F4A" w:rsidR="00BD06AA" w:rsidP="00764F4A" w:rsidRDefault="00092CF9" w14:paraId="3751E37C" w14:textId="77777777">
            <w:pPr>
              <w:pStyle w:val="naisc"/>
              <w:spacing w:before="0" w:after="0"/>
              <w:rPr>
                <w:b/>
                <w:sz w:val="22"/>
                <w:szCs w:val="22"/>
              </w:rPr>
            </w:pPr>
            <w:r w:rsidRPr="00764F4A">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764F4A" w:rsidR="00BD06AA" w:rsidP="00764F4A" w:rsidRDefault="00590F76" w14:paraId="5B90CFEE" w14:textId="77777777">
            <w:pPr>
              <w:jc w:val="both"/>
              <w:rPr>
                <w:sz w:val="22"/>
                <w:szCs w:val="22"/>
              </w:rPr>
            </w:pPr>
            <w:r>
              <w:rPr>
                <w:sz w:val="22"/>
                <w:szCs w:val="22"/>
              </w:rPr>
              <w:t>Konceptuālā ziņ</w:t>
            </w:r>
            <w:r w:rsidR="005D6624">
              <w:rPr>
                <w:sz w:val="22"/>
                <w:szCs w:val="22"/>
              </w:rPr>
              <w:t>o</w:t>
            </w:r>
            <w:r>
              <w:rPr>
                <w:sz w:val="22"/>
                <w:szCs w:val="22"/>
              </w:rPr>
              <w:t xml:space="preserve">juma 2.pielikums </w:t>
            </w:r>
            <w:r w:rsidR="004C3BDC">
              <w:rPr>
                <w:sz w:val="22"/>
                <w:szCs w:val="22"/>
              </w:rPr>
              <w:t xml:space="preserve">svītrots un informācija </w:t>
            </w:r>
            <w:r>
              <w:rPr>
                <w:sz w:val="22"/>
                <w:szCs w:val="22"/>
              </w:rPr>
              <w:t>iekļaut</w:t>
            </w:r>
            <w:r w:rsidR="004C3BDC">
              <w:rPr>
                <w:sz w:val="22"/>
                <w:szCs w:val="22"/>
              </w:rPr>
              <w:t>a</w:t>
            </w:r>
            <w:r>
              <w:rPr>
                <w:sz w:val="22"/>
                <w:szCs w:val="22"/>
              </w:rPr>
              <w:t xml:space="preserve"> </w:t>
            </w:r>
            <w:r w:rsidRPr="00764F4A" w:rsidR="00092CF9">
              <w:rPr>
                <w:sz w:val="22"/>
                <w:szCs w:val="22"/>
              </w:rPr>
              <w:t>konceptuāl</w:t>
            </w:r>
            <w:r w:rsidRPr="00764F4A" w:rsidR="003B2D38">
              <w:rPr>
                <w:sz w:val="22"/>
                <w:szCs w:val="22"/>
              </w:rPr>
              <w:t>ā</w:t>
            </w:r>
            <w:r w:rsidRPr="00764F4A" w:rsidR="00092CF9">
              <w:rPr>
                <w:sz w:val="22"/>
                <w:szCs w:val="22"/>
              </w:rPr>
              <w:t xml:space="preserve"> ziņojum</w:t>
            </w:r>
            <w:r w:rsidRPr="00764F4A" w:rsidR="003B2D38">
              <w:rPr>
                <w:sz w:val="22"/>
                <w:szCs w:val="22"/>
              </w:rPr>
              <w:t>a 6.</w:t>
            </w:r>
            <w:r w:rsidR="005D6624">
              <w:rPr>
                <w:sz w:val="22"/>
                <w:szCs w:val="22"/>
              </w:rPr>
              <w:t xml:space="preserve">nodaļā </w:t>
            </w:r>
            <w:r w:rsidRPr="00C6140C" w:rsidR="005D6624">
              <w:rPr>
                <w:sz w:val="22"/>
                <w:szCs w:val="22"/>
              </w:rPr>
              <w:t>„</w:t>
            </w:r>
            <w:r w:rsidRPr="00764F4A" w:rsidR="005D6624">
              <w:rPr>
                <w:sz w:val="22"/>
                <w:szCs w:val="22"/>
              </w:rPr>
              <w:t xml:space="preserve">Kopsavilkums par konceptuālajā </w:t>
            </w:r>
            <w:r w:rsidRPr="00764F4A" w:rsidR="005D6624">
              <w:rPr>
                <w:sz w:val="22"/>
                <w:szCs w:val="22"/>
              </w:rPr>
              <w:lastRenderedPageBreak/>
              <w:t>ziņojumā iekļauto risinājumu (risinājumu variantu) realizācijai nepieciešamo valsts un pašvaldību budžeta finansējumu”</w:t>
            </w:r>
            <w:r w:rsidRPr="00764F4A" w:rsidR="003B2D38">
              <w:rPr>
                <w:sz w:val="22"/>
                <w:szCs w:val="22"/>
              </w:rPr>
              <w:t>.</w:t>
            </w:r>
          </w:p>
        </w:tc>
      </w:tr>
      <w:tr w:rsidRPr="00C6140C" w:rsidR="00134188" w:rsidTr="00523CF0" w14:paraId="133F3508" w14:textId="77777777">
        <w:tc>
          <w:tcPr>
            <w:tcW w:w="236" w:type="pct"/>
            <w:tcBorders>
              <w:left w:val="single" w:color="000000" w:sz="6" w:space="0"/>
              <w:bottom w:val="single" w:color="auto" w:sz="4" w:space="0"/>
              <w:right w:val="single" w:color="000000" w:sz="6" w:space="0"/>
            </w:tcBorders>
          </w:tcPr>
          <w:p w:rsidRPr="00C6140C" w:rsidR="00134188" w:rsidP="00E53E2B" w:rsidRDefault="00781C40" w14:paraId="71177123" w14:textId="0749E2BC">
            <w:pPr>
              <w:pStyle w:val="naisc"/>
              <w:spacing w:before="0" w:after="0"/>
              <w:ind w:firstLine="22"/>
              <w:rPr>
                <w:sz w:val="22"/>
                <w:szCs w:val="22"/>
              </w:rPr>
            </w:pPr>
            <w:r w:rsidRPr="009D0E70">
              <w:rPr>
                <w:sz w:val="22"/>
                <w:szCs w:val="22"/>
              </w:rPr>
              <w:lastRenderedPageBreak/>
              <w:t>1</w:t>
            </w:r>
            <w:r w:rsidR="00526324">
              <w:rPr>
                <w:sz w:val="22"/>
                <w:szCs w:val="22"/>
              </w:rPr>
              <w:t>3</w:t>
            </w:r>
            <w:r w:rsidRPr="00C6140C">
              <w:rPr>
                <w:sz w:val="22"/>
                <w:szCs w:val="22"/>
              </w:rPr>
              <w:t>.</w:t>
            </w:r>
          </w:p>
        </w:tc>
        <w:tc>
          <w:tcPr>
            <w:tcW w:w="1197" w:type="pct"/>
            <w:tcBorders>
              <w:left w:val="single" w:color="000000" w:sz="6" w:space="0"/>
              <w:bottom w:val="single" w:color="auto" w:sz="4" w:space="0"/>
              <w:right w:val="single" w:color="000000" w:sz="6" w:space="0"/>
            </w:tcBorders>
          </w:tcPr>
          <w:p w:rsidRPr="00C6140C" w:rsidR="00BF245C" w:rsidP="00764F4A" w:rsidRDefault="00554D2F" w14:paraId="2B5C45A0" w14:textId="77777777">
            <w:pPr>
              <w:jc w:val="both"/>
              <w:rPr>
                <w:sz w:val="22"/>
                <w:szCs w:val="22"/>
              </w:rPr>
            </w:pPr>
            <w:r w:rsidRPr="00C6140C">
              <w:rPr>
                <w:sz w:val="22"/>
                <w:szCs w:val="22"/>
              </w:rPr>
              <w:t>Konceptuāl</w:t>
            </w:r>
            <w:r w:rsidRPr="00C6140C" w:rsidR="00523CF0">
              <w:rPr>
                <w:sz w:val="22"/>
                <w:szCs w:val="22"/>
              </w:rPr>
              <w:t>ā</w:t>
            </w:r>
            <w:r w:rsidRPr="00C6140C">
              <w:rPr>
                <w:sz w:val="22"/>
                <w:szCs w:val="22"/>
              </w:rPr>
              <w:t xml:space="preserve"> ziņojum</w:t>
            </w:r>
            <w:r w:rsidRPr="00C6140C" w:rsidR="00523CF0">
              <w:rPr>
                <w:sz w:val="22"/>
                <w:szCs w:val="22"/>
              </w:rPr>
              <w:t>a</w:t>
            </w:r>
            <w:r w:rsidRPr="00C6140C">
              <w:rPr>
                <w:sz w:val="22"/>
                <w:szCs w:val="22"/>
              </w:rPr>
              <w:t xml:space="preserve"> </w:t>
            </w:r>
            <w:r w:rsidRPr="00C6140C" w:rsidR="00523CF0">
              <w:rPr>
                <w:sz w:val="22"/>
                <w:szCs w:val="22"/>
              </w:rPr>
              <w:t>6.nodaļas „Priekšlikumi turpmākai rīcībai” 2.punkts</w:t>
            </w:r>
            <w:r w:rsidRPr="00C6140C" w:rsidR="00BF245C">
              <w:rPr>
                <w:sz w:val="22"/>
                <w:szCs w:val="22"/>
              </w:rPr>
              <w:t>:</w:t>
            </w:r>
          </w:p>
          <w:p w:rsidRPr="00C6140C" w:rsidR="00BF245C" w:rsidP="00764F4A" w:rsidRDefault="00BF245C" w14:paraId="0DE7D2FC" w14:textId="77777777">
            <w:pPr>
              <w:jc w:val="both"/>
              <w:rPr>
                <w:sz w:val="22"/>
                <w:szCs w:val="22"/>
              </w:rPr>
            </w:pPr>
          </w:p>
          <w:p w:rsidRPr="00C6140C" w:rsidR="00BF245C" w:rsidP="00764F4A" w:rsidRDefault="00BF245C" w14:paraId="1195C872" w14:textId="77777777">
            <w:pPr>
              <w:jc w:val="both"/>
              <w:rPr>
                <w:sz w:val="22"/>
                <w:szCs w:val="22"/>
              </w:rPr>
            </w:pPr>
            <w:r w:rsidRPr="00C6140C">
              <w:rPr>
                <w:sz w:val="22"/>
                <w:szCs w:val="22"/>
              </w:rPr>
              <w:t>„</w:t>
            </w:r>
            <w:r w:rsidRPr="00C6140C">
              <w:rPr>
                <w:sz w:val="22"/>
                <w:szCs w:val="22"/>
                <w:lang w:val="x-none"/>
              </w:rPr>
              <w:t>2.</w:t>
            </w:r>
            <w:r w:rsidRPr="00C6140C">
              <w:rPr>
                <w:sz w:val="22"/>
                <w:szCs w:val="22"/>
                <w:lang w:val="x-none"/>
              </w:rPr>
              <w:tab/>
            </w:r>
            <w:r w:rsidRPr="00C6140C">
              <w:rPr>
                <w:sz w:val="22"/>
                <w:szCs w:val="22"/>
              </w:rPr>
              <w:t xml:space="preserve"> </w:t>
            </w:r>
            <w:r w:rsidRPr="00C6140C">
              <w:rPr>
                <w:sz w:val="22"/>
                <w:szCs w:val="22"/>
                <w:lang w:val="x-none"/>
              </w:rPr>
              <w:t>FM kārtējā gada valsts budžeta sagatavošanas procesā likumā par valsts budžetu kārtējam gadam paredzēt normu, ka gūtie atsavināšanas ieņēmumi no LNA atbrīvoto valsts nekustamo īpašumu, kas nav nepieciešami valsts funkciju veikšanai, atsavināšanas nav ieskaitāmi valsts budžetā, bet novirzāmi valsts īpašumā FM valdījumā esošo nekustamo īpašumu attīstības izdevumu segšanai.</w:t>
            </w:r>
            <w:r w:rsidRPr="00C6140C">
              <w:rPr>
                <w:sz w:val="22"/>
                <w:szCs w:val="22"/>
              </w:rPr>
              <w:t>”</w:t>
            </w:r>
          </w:p>
          <w:p w:rsidRPr="00C6140C" w:rsidR="00BF245C" w:rsidP="00764F4A" w:rsidRDefault="00BF245C" w14:paraId="3A37680D" w14:textId="77777777">
            <w:pPr>
              <w:jc w:val="both"/>
              <w:rPr>
                <w:sz w:val="22"/>
                <w:szCs w:val="22"/>
              </w:rPr>
            </w:pPr>
          </w:p>
          <w:p w:rsidRPr="00C6140C" w:rsidR="00650BFF" w:rsidP="00764F4A" w:rsidRDefault="00554D2F" w14:paraId="7A9F7BC2" w14:textId="77777777">
            <w:pPr>
              <w:jc w:val="both"/>
              <w:rPr>
                <w:sz w:val="22"/>
                <w:szCs w:val="22"/>
              </w:rPr>
            </w:pPr>
            <w:r w:rsidRPr="00C6140C">
              <w:rPr>
                <w:sz w:val="22"/>
                <w:szCs w:val="22"/>
              </w:rPr>
              <w:t>Ministru kabineta rīkojuma projekt</w:t>
            </w:r>
            <w:r w:rsidRPr="00C6140C" w:rsidR="00BF245C">
              <w:rPr>
                <w:sz w:val="22"/>
                <w:szCs w:val="22"/>
              </w:rPr>
              <w:t xml:space="preserve">a 2.punkts: </w:t>
            </w:r>
          </w:p>
          <w:p w:rsidRPr="00C6140C" w:rsidR="00BF245C" w:rsidP="00764F4A" w:rsidRDefault="00BF245C" w14:paraId="535BB4CA" w14:textId="77777777">
            <w:pPr>
              <w:jc w:val="both"/>
              <w:rPr>
                <w:sz w:val="22"/>
                <w:szCs w:val="22"/>
              </w:rPr>
            </w:pPr>
          </w:p>
          <w:p w:rsidRPr="00C6140C" w:rsidR="00BF245C" w:rsidP="00764F4A" w:rsidRDefault="00BF245C" w14:paraId="00339835" w14:textId="77777777">
            <w:pPr>
              <w:jc w:val="both"/>
              <w:rPr>
                <w:sz w:val="22"/>
                <w:szCs w:val="22"/>
              </w:rPr>
            </w:pPr>
            <w:r w:rsidRPr="00C6140C">
              <w:rPr>
                <w:sz w:val="22"/>
                <w:szCs w:val="22"/>
              </w:rPr>
              <w:t>„</w:t>
            </w:r>
            <w:r w:rsidRPr="00C6140C">
              <w:rPr>
                <w:sz w:val="22"/>
                <w:szCs w:val="22"/>
                <w:lang w:val="x-none"/>
              </w:rPr>
              <w:t>2.</w:t>
            </w:r>
            <w:r w:rsidRPr="00C6140C">
              <w:rPr>
                <w:sz w:val="22"/>
                <w:szCs w:val="22"/>
              </w:rPr>
              <w:t xml:space="preserve"> </w:t>
            </w:r>
            <w:r w:rsidRPr="00C6140C">
              <w:rPr>
                <w:sz w:val="22"/>
                <w:szCs w:val="22"/>
                <w:lang w:val="x-none"/>
              </w:rPr>
              <w:tab/>
              <w:t xml:space="preserve">Finanšu ministrijai kārtējā gada valsts budžeta sagatavošanas procesā likumā par valsts budžetu kārtējam gadam paredzēt normu, ka gūtie atsavināšanas ieņēmumi no Latvijas Nacionālā arhīva atbrīvoto valsts nekustamo īpašumu, kas nav nepieciešami valsts funkciju veikšanai, atsavināšanas nav ieskaitāmi valsts budžetā, bet novirzāmi valsts īpašumā Finanšu </w:t>
            </w:r>
            <w:r w:rsidRPr="00C6140C">
              <w:rPr>
                <w:sz w:val="22"/>
                <w:szCs w:val="22"/>
                <w:lang w:val="x-none"/>
              </w:rPr>
              <w:lastRenderedPageBreak/>
              <w:t>ministrijas valdījumā esošo nekustamo īpašumu attīstības izdevumu segšanai.</w:t>
            </w:r>
            <w:r w:rsidRPr="00C6140C">
              <w:rPr>
                <w:sz w:val="22"/>
                <w:szCs w:val="22"/>
              </w:rPr>
              <w:t>”</w:t>
            </w:r>
          </w:p>
        </w:tc>
        <w:tc>
          <w:tcPr>
            <w:tcW w:w="1396" w:type="pct"/>
            <w:tcBorders>
              <w:left w:val="single" w:color="000000" w:sz="6" w:space="0"/>
              <w:bottom w:val="single" w:color="auto" w:sz="4" w:space="0"/>
              <w:right w:val="single" w:color="000000" w:sz="6" w:space="0"/>
            </w:tcBorders>
          </w:tcPr>
          <w:p w:rsidRPr="00C6140C" w:rsidR="00125524" w:rsidP="00764F4A" w:rsidRDefault="00554D2F" w14:paraId="5662CF2B" w14:textId="77777777">
            <w:pPr>
              <w:pStyle w:val="naisc"/>
              <w:spacing w:before="0" w:after="0"/>
              <w:jc w:val="both"/>
              <w:rPr>
                <w:b/>
                <w:sz w:val="22"/>
                <w:szCs w:val="22"/>
              </w:rPr>
            </w:pPr>
            <w:r w:rsidRPr="00C6140C">
              <w:rPr>
                <w:b/>
                <w:sz w:val="22"/>
                <w:szCs w:val="22"/>
              </w:rPr>
              <w:lastRenderedPageBreak/>
              <w:t>Tieslietu</w:t>
            </w:r>
            <w:r w:rsidRPr="00C6140C" w:rsidR="00125524">
              <w:rPr>
                <w:b/>
                <w:sz w:val="22"/>
                <w:szCs w:val="22"/>
              </w:rPr>
              <w:t xml:space="preserve"> ministrija</w:t>
            </w:r>
            <w:r w:rsidRPr="00C6140C" w:rsidR="002166B7">
              <w:rPr>
                <w:b/>
                <w:sz w:val="22"/>
                <w:szCs w:val="22"/>
              </w:rPr>
              <w:t>:</w:t>
            </w:r>
          </w:p>
          <w:p w:rsidRPr="00C6140C" w:rsidR="00554D2F" w:rsidP="00C6140C" w:rsidRDefault="00554D2F" w14:paraId="27B27B04" w14:textId="77777777">
            <w:pPr>
              <w:ind w:right="12"/>
              <w:jc w:val="both"/>
              <w:rPr>
                <w:sz w:val="22"/>
                <w:szCs w:val="22"/>
              </w:rPr>
            </w:pPr>
            <w:r w:rsidRPr="00C6140C">
              <w:rPr>
                <w:sz w:val="22"/>
                <w:szCs w:val="22"/>
              </w:rPr>
              <w:t>Projekta noslēgumā ietvertais 2. priekšlikums un Ministru kabineta rīkojuma projekta 2.punkts paredz Finanšu ministrijai kārtējā gada valsts budžeta sagatavošanas procesā likumā par valsts budžetu kārtējam gadam paredzēt normu, ka gūtie atsavināšanas ieņēmumi no Latvijas Nacionālā arhīva atbrīvoto valsts nekustamo īpašumu, kas nav nepieciešami valsts funkciju veikšanai, atsavināšanas nav ieskaitāmi valsts budžetā, bet novirzāmi valsts īpašumā Finanšu ministrijas valdījumā esošo nekustamo īpašumu attīstības izdevumu segšanai.</w:t>
            </w:r>
          </w:p>
          <w:p w:rsidRPr="00C6140C" w:rsidR="00134188" w:rsidP="00C6140C" w:rsidRDefault="00554D2F" w14:paraId="05261AE1" w14:textId="77777777">
            <w:pPr>
              <w:ind w:right="12"/>
              <w:jc w:val="both"/>
              <w:rPr>
                <w:sz w:val="22"/>
                <w:szCs w:val="22"/>
              </w:rPr>
            </w:pPr>
            <w:r w:rsidRPr="00C6140C">
              <w:rPr>
                <w:sz w:val="22"/>
                <w:szCs w:val="22"/>
              </w:rPr>
              <w:tab/>
              <w:t>Publiskas personas mantas atsavināšanas likuma 47. pants noteic, ka publiskas personas mantas atsavināšanā iegūtos līdzekļus pēc atsavināšanas izdevumu segšanas ieskaita attiecīgās publiskās personas budžetā. Atsavināšanas izdevumu apmēru nosaka Ministru kabineta paredzētajā kārtībā. Ievērojot minēto, lūdzam pārstrādāt projektā ietverto 2. priekšlikumu un Ministru kabineta rīkojuma projekta 2.punktu atbilstoši Publiskas personas mantas atsavināšanas likuma regulējumam.</w:t>
            </w:r>
          </w:p>
        </w:tc>
        <w:tc>
          <w:tcPr>
            <w:tcW w:w="997" w:type="pct"/>
            <w:tcBorders>
              <w:left w:val="single" w:color="000000" w:sz="6" w:space="0"/>
              <w:bottom w:val="single" w:color="auto" w:sz="4" w:space="0"/>
              <w:right w:val="single" w:color="000000" w:sz="6" w:space="0"/>
            </w:tcBorders>
          </w:tcPr>
          <w:p w:rsidRPr="00C6140C" w:rsidR="008E6E05" w:rsidP="00764F4A" w:rsidRDefault="00E44C7D" w14:paraId="21E1D5B9" w14:textId="77777777">
            <w:pPr>
              <w:pStyle w:val="naisc"/>
              <w:spacing w:before="0" w:after="0"/>
              <w:rPr>
                <w:sz w:val="22"/>
                <w:szCs w:val="22"/>
              </w:rPr>
            </w:pPr>
            <w:r w:rsidRPr="00C6140C">
              <w:rPr>
                <w:b/>
                <w:sz w:val="22"/>
                <w:szCs w:val="22"/>
              </w:rPr>
              <w:t>Ņemts vērā</w:t>
            </w:r>
          </w:p>
        </w:tc>
        <w:tc>
          <w:tcPr>
            <w:tcW w:w="1174" w:type="pct"/>
            <w:tcBorders>
              <w:top w:val="single" w:color="auto" w:sz="4" w:space="0"/>
              <w:left w:val="single" w:color="auto" w:sz="4" w:space="0"/>
              <w:bottom w:val="single" w:color="auto" w:sz="4" w:space="0"/>
            </w:tcBorders>
          </w:tcPr>
          <w:p w:rsidRPr="00C6140C" w:rsidR="0075401F" w:rsidP="00764F4A" w:rsidRDefault="00554D2F" w14:paraId="6FD0E595" w14:textId="77777777">
            <w:pPr>
              <w:jc w:val="both"/>
              <w:rPr>
                <w:sz w:val="22"/>
                <w:szCs w:val="22"/>
              </w:rPr>
            </w:pPr>
            <w:r w:rsidRPr="00C6140C">
              <w:rPr>
                <w:sz w:val="22"/>
                <w:szCs w:val="22"/>
              </w:rPr>
              <w:t>Precizēt</w:t>
            </w:r>
            <w:r w:rsidRPr="00C6140C" w:rsidR="00523CF0">
              <w:rPr>
                <w:sz w:val="22"/>
                <w:szCs w:val="22"/>
              </w:rPr>
              <w:t>s</w:t>
            </w:r>
            <w:r w:rsidRPr="00C6140C">
              <w:rPr>
                <w:sz w:val="22"/>
                <w:szCs w:val="22"/>
              </w:rPr>
              <w:t xml:space="preserve"> konceptuālā ziņojuma </w:t>
            </w:r>
            <w:r w:rsidRPr="00C6140C" w:rsidR="0070367F">
              <w:rPr>
                <w:sz w:val="22"/>
                <w:szCs w:val="22"/>
              </w:rPr>
              <w:t>7</w:t>
            </w:r>
            <w:r w:rsidRPr="00C6140C" w:rsidR="00523CF0">
              <w:rPr>
                <w:sz w:val="22"/>
                <w:szCs w:val="22"/>
              </w:rPr>
              <w:t xml:space="preserve">.nodaļas „Priekšlikumi turpmākai rīcībai” </w:t>
            </w:r>
            <w:r w:rsidR="0050597B">
              <w:rPr>
                <w:sz w:val="22"/>
                <w:szCs w:val="22"/>
              </w:rPr>
              <w:t>3</w:t>
            </w:r>
            <w:r w:rsidRPr="009D0E70" w:rsidR="00523CF0">
              <w:rPr>
                <w:sz w:val="22"/>
                <w:szCs w:val="22"/>
              </w:rPr>
              <w:t xml:space="preserve">.punkts </w:t>
            </w:r>
            <w:r w:rsidRPr="009D0E70" w:rsidR="0075401F">
              <w:rPr>
                <w:sz w:val="22"/>
                <w:szCs w:val="22"/>
              </w:rPr>
              <w:t>šādā redakcijā</w:t>
            </w:r>
            <w:r w:rsidRPr="00C6140C" w:rsidR="0075401F">
              <w:rPr>
                <w:sz w:val="22"/>
                <w:szCs w:val="22"/>
              </w:rPr>
              <w:t>:</w:t>
            </w:r>
          </w:p>
          <w:p w:rsidRPr="00C6140C" w:rsidR="0075401F" w:rsidP="00764F4A" w:rsidRDefault="0075401F" w14:paraId="3C047AFE" w14:textId="77777777">
            <w:pPr>
              <w:jc w:val="both"/>
              <w:rPr>
                <w:sz w:val="22"/>
                <w:szCs w:val="22"/>
              </w:rPr>
            </w:pPr>
          </w:p>
          <w:p w:rsidRPr="00C6140C" w:rsidR="0070367F" w:rsidP="00764F4A" w:rsidRDefault="0070367F" w14:paraId="12EF317A" w14:textId="3620D64A">
            <w:pPr>
              <w:jc w:val="both"/>
              <w:rPr>
                <w:sz w:val="22"/>
                <w:szCs w:val="22"/>
              </w:rPr>
            </w:pPr>
            <w:r w:rsidRPr="00C6140C">
              <w:rPr>
                <w:sz w:val="22"/>
                <w:szCs w:val="22"/>
              </w:rPr>
              <w:t>„</w:t>
            </w:r>
            <w:r w:rsidR="0050597B">
              <w:rPr>
                <w:sz w:val="22"/>
                <w:szCs w:val="22"/>
                <w:lang w:val="x-none"/>
              </w:rPr>
              <w:t>3</w:t>
            </w:r>
            <w:r w:rsidRPr="009D0E70">
              <w:rPr>
                <w:sz w:val="22"/>
                <w:szCs w:val="22"/>
                <w:lang w:val="x-none"/>
              </w:rPr>
              <w:t>.</w:t>
            </w:r>
            <w:r w:rsidRPr="009D0E70">
              <w:rPr>
                <w:sz w:val="22"/>
                <w:szCs w:val="22"/>
                <w:lang w:val="x-none"/>
              </w:rPr>
              <w:tab/>
            </w:r>
            <w:r w:rsidRPr="00C6140C">
              <w:rPr>
                <w:sz w:val="22"/>
                <w:szCs w:val="22"/>
              </w:rPr>
              <w:t xml:space="preserve"> </w:t>
            </w:r>
            <w:r w:rsidRPr="00C6140C">
              <w:rPr>
                <w:sz w:val="22"/>
                <w:szCs w:val="22"/>
                <w:lang w:val="x-none"/>
              </w:rPr>
              <w:t xml:space="preserve">Pēc </w:t>
            </w:r>
            <w:r w:rsidR="0098542D">
              <w:rPr>
                <w:sz w:val="22"/>
                <w:szCs w:val="22"/>
              </w:rPr>
              <w:t>LNA</w:t>
            </w:r>
            <w:r w:rsidRPr="00C6140C">
              <w:rPr>
                <w:sz w:val="22"/>
                <w:szCs w:val="22"/>
                <w:lang w:val="x-none"/>
              </w:rPr>
              <w:t xml:space="preserve"> infrastruktūras optimizācijas </w:t>
            </w:r>
            <w:r w:rsidR="0098542D">
              <w:rPr>
                <w:sz w:val="22"/>
                <w:szCs w:val="22"/>
              </w:rPr>
              <w:t>LNA</w:t>
            </w:r>
            <w:r w:rsidRPr="00C6140C">
              <w:rPr>
                <w:sz w:val="22"/>
                <w:szCs w:val="22"/>
                <w:lang w:val="x-none"/>
              </w:rPr>
              <w:t xml:space="preserve"> atbrīvotos valsts nekustamos īpašumus, kas nav nepieciešami valsts funkciju veikšanai, virzīt atsavināšanai.</w:t>
            </w:r>
            <w:r w:rsidRPr="00C6140C">
              <w:rPr>
                <w:sz w:val="22"/>
                <w:szCs w:val="22"/>
              </w:rPr>
              <w:t>”</w:t>
            </w:r>
          </w:p>
          <w:p w:rsidRPr="00C6140C" w:rsidR="0070367F" w:rsidP="00764F4A" w:rsidRDefault="0070367F" w14:paraId="7D49C891" w14:textId="77777777">
            <w:pPr>
              <w:jc w:val="both"/>
              <w:rPr>
                <w:sz w:val="22"/>
                <w:szCs w:val="22"/>
              </w:rPr>
            </w:pPr>
          </w:p>
          <w:p w:rsidRPr="00C6140C" w:rsidR="00554D2F" w:rsidP="00764F4A" w:rsidRDefault="0075401F" w14:paraId="12A06C2C" w14:textId="77777777">
            <w:pPr>
              <w:jc w:val="both"/>
              <w:rPr>
                <w:sz w:val="22"/>
                <w:szCs w:val="22"/>
              </w:rPr>
            </w:pPr>
            <w:r w:rsidRPr="00C6140C">
              <w:rPr>
                <w:sz w:val="22"/>
                <w:szCs w:val="22"/>
              </w:rPr>
              <w:t xml:space="preserve">Precizēts </w:t>
            </w:r>
            <w:r w:rsidRPr="00C6140C" w:rsidR="00554D2F">
              <w:rPr>
                <w:sz w:val="22"/>
                <w:szCs w:val="22"/>
              </w:rPr>
              <w:t xml:space="preserve">Ministru kabineta rīkojuma projekta </w:t>
            </w:r>
            <w:r w:rsidRPr="00C6140C">
              <w:rPr>
                <w:sz w:val="22"/>
                <w:szCs w:val="22"/>
              </w:rPr>
              <w:t>3</w:t>
            </w:r>
            <w:r w:rsidRPr="00C6140C" w:rsidR="00554D2F">
              <w:rPr>
                <w:sz w:val="22"/>
                <w:szCs w:val="22"/>
              </w:rPr>
              <w:t>.punkts šādā redakcijā:</w:t>
            </w:r>
          </w:p>
          <w:p w:rsidRPr="00C6140C" w:rsidR="008E6E05" w:rsidP="00764F4A" w:rsidRDefault="00554D2F" w14:paraId="73BF76D8" w14:textId="6651CB5A">
            <w:pPr>
              <w:jc w:val="both"/>
              <w:rPr>
                <w:sz w:val="22"/>
                <w:szCs w:val="22"/>
              </w:rPr>
            </w:pPr>
            <w:r w:rsidRPr="00C6140C">
              <w:rPr>
                <w:sz w:val="22"/>
                <w:szCs w:val="22"/>
              </w:rPr>
              <w:t>„</w:t>
            </w:r>
            <w:r w:rsidRPr="00C6140C" w:rsidR="0075401F">
              <w:rPr>
                <w:sz w:val="22"/>
                <w:szCs w:val="22"/>
              </w:rPr>
              <w:t xml:space="preserve">3. </w:t>
            </w:r>
            <w:r w:rsidRPr="00C6140C">
              <w:rPr>
                <w:sz w:val="22"/>
                <w:szCs w:val="22"/>
              </w:rPr>
              <w:t>Pēc Latvijas Nacionālā arhīva infrastruktūras optimizācijas Latvijas Nacionālā arhīva atbrīvotos valsts nekustamos īpašumus, kas nav nepieciešami valsts funkciju veikšanai, virzīt atsavināšanai</w:t>
            </w:r>
            <w:r w:rsidR="008846AB">
              <w:rPr>
                <w:sz w:val="22"/>
                <w:szCs w:val="22"/>
              </w:rPr>
              <w:t>.</w:t>
            </w:r>
            <w:r w:rsidRPr="00C6140C">
              <w:rPr>
                <w:sz w:val="22"/>
                <w:szCs w:val="22"/>
              </w:rPr>
              <w:t>”</w:t>
            </w:r>
          </w:p>
        </w:tc>
      </w:tr>
      <w:tr w:rsidRPr="00764F4A" w:rsidR="00554D2F" w:rsidTr="00523CF0" w14:paraId="63D80EDA" w14:textId="77777777">
        <w:tc>
          <w:tcPr>
            <w:tcW w:w="236" w:type="pct"/>
            <w:tcBorders>
              <w:left w:val="single" w:color="000000" w:sz="6" w:space="0"/>
              <w:bottom w:val="single" w:color="auto" w:sz="4" w:space="0"/>
              <w:right w:val="single" w:color="000000" w:sz="6" w:space="0"/>
            </w:tcBorders>
          </w:tcPr>
          <w:p w:rsidRPr="00764F4A" w:rsidR="00554D2F" w:rsidP="00E53E2B" w:rsidRDefault="00F97A06" w14:paraId="7AE2316B" w14:textId="6AF337B3">
            <w:pPr>
              <w:pStyle w:val="naisc"/>
              <w:spacing w:before="0" w:after="0"/>
              <w:ind w:firstLine="22"/>
              <w:rPr>
                <w:sz w:val="22"/>
                <w:szCs w:val="22"/>
              </w:rPr>
            </w:pPr>
            <w:r>
              <w:rPr>
                <w:sz w:val="22"/>
                <w:szCs w:val="22"/>
              </w:rPr>
              <w:t>1</w:t>
            </w:r>
            <w:r w:rsidR="00526324">
              <w:rPr>
                <w:sz w:val="22"/>
                <w:szCs w:val="22"/>
              </w:rPr>
              <w:t>4</w:t>
            </w:r>
            <w:r w:rsidRPr="00764F4A" w:rsidR="00250CC3">
              <w:rPr>
                <w:sz w:val="22"/>
                <w:szCs w:val="22"/>
              </w:rPr>
              <w:t>.</w:t>
            </w:r>
          </w:p>
        </w:tc>
        <w:tc>
          <w:tcPr>
            <w:tcW w:w="1197" w:type="pct"/>
            <w:tcBorders>
              <w:left w:val="single" w:color="000000" w:sz="6" w:space="0"/>
              <w:bottom w:val="single" w:color="auto" w:sz="4" w:space="0"/>
              <w:right w:val="single" w:color="000000" w:sz="6" w:space="0"/>
            </w:tcBorders>
          </w:tcPr>
          <w:p w:rsidRPr="00764F4A" w:rsidR="00470CAD" w:rsidP="00764F4A" w:rsidRDefault="00565A94" w14:paraId="528EDAF1" w14:textId="77777777">
            <w:pPr>
              <w:jc w:val="both"/>
              <w:rPr>
                <w:sz w:val="22"/>
                <w:szCs w:val="22"/>
              </w:rPr>
            </w:pPr>
            <w:r w:rsidRPr="00764F4A">
              <w:rPr>
                <w:sz w:val="22"/>
                <w:szCs w:val="22"/>
              </w:rPr>
              <w:t>Konceptuālais</w:t>
            </w:r>
            <w:r w:rsidRPr="00764F4A" w:rsidR="00D857A7">
              <w:rPr>
                <w:sz w:val="22"/>
                <w:szCs w:val="22"/>
              </w:rPr>
              <w:t xml:space="preserve"> ziņojum</w:t>
            </w:r>
            <w:r w:rsidRPr="00764F4A">
              <w:rPr>
                <w:sz w:val="22"/>
                <w:szCs w:val="22"/>
              </w:rPr>
              <w:t>s</w:t>
            </w:r>
            <w:r w:rsidRPr="00764F4A" w:rsidR="00470CAD">
              <w:rPr>
                <w:sz w:val="22"/>
                <w:szCs w:val="22"/>
              </w:rPr>
              <w:t xml:space="preserve"> un Ministru kabineta rīkojuma projekts</w:t>
            </w:r>
            <w:r w:rsidRPr="00764F4A" w:rsidR="00523CF0">
              <w:rPr>
                <w:sz w:val="22"/>
                <w:szCs w:val="22"/>
              </w:rPr>
              <w:t>.</w:t>
            </w:r>
          </w:p>
        </w:tc>
        <w:tc>
          <w:tcPr>
            <w:tcW w:w="1396" w:type="pct"/>
            <w:tcBorders>
              <w:left w:val="single" w:color="000000" w:sz="6" w:space="0"/>
              <w:bottom w:val="single" w:color="auto" w:sz="4" w:space="0"/>
              <w:right w:val="single" w:color="000000" w:sz="6" w:space="0"/>
            </w:tcBorders>
          </w:tcPr>
          <w:p w:rsidRPr="00764F4A" w:rsidR="00565A94" w:rsidP="00764F4A" w:rsidRDefault="00D857A7" w14:paraId="4D72402B" w14:textId="77777777">
            <w:pPr>
              <w:pStyle w:val="naisc"/>
              <w:spacing w:before="0" w:after="0"/>
              <w:jc w:val="both"/>
              <w:rPr>
                <w:b/>
                <w:sz w:val="22"/>
                <w:szCs w:val="22"/>
              </w:rPr>
            </w:pPr>
            <w:r w:rsidRPr="00764F4A">
              <w:rPr>
                <w:b/>
                <w:sz w:val="22"/>
                <w:szCs w:val="22"/>
              </w:rPr>
              <w:t>Pārresoru koordinācijas centrs</w:t>
            </w:r>
            <w:r w:rsidR="00912A5F">
              <w:rPr>
                <w:b/>
                <w:sz w:val="22"/>
                <w:szCs w:val="22"/>
              </w:rPr>
              <w:t>:</w:t>
            </w:r>
          </w:p>
          <w:p w:rsidRPr="00764F4A" w:rsidR="00D857A7" w:rsidP="00764F4A" w:rsidRDefault="00565A94" w14:paraId="33148BB0" w14:textId="77777777">
            <w:pPr>
              <w:pStyle w:val="naisc"/>
              <w:spacing w:before="0" w:after="0"/>
              <w:jc w:val="both"/>
              <w:rPr>
                <w:b/>
                <w:sz w:val="22"/>
                <w:szCs w:val="22"/>
              </w:rPr>
            </w:pPr>
            <w:r w:rsidRPr="00764F4A">
              <w:rPr>
                <w:sz w:val="22"/>
                <w:szCs w:val="22"/>
              </w:rPr>
              <w:t>L</w:t>
            </w:r>
            <w:r w:rsidRPr="00764F4A" w:rsidR="00D857A7">
              <w:rPr>
                <w:sz w:val="22"/>
                <w:szCs w:val="22"/>
              </w:rPr>
              <w:t xml:space="preserve">ūdzam norādīt konceptuālajā ziņojumā risinājuma variantu </w:t>
            </w:r>
            <w:r w:rsidRPr="00764F4A" w:rsidR="001F312F">
              <w:rPr>
                <w:sz w:val="22"/>
                <w:szCs w:val="22"/>
              </w:rPr>
              <w:t xml:space="preserve"> </w:t>
            </w:r>
            <w:r w:rsidRPr="00764F4A" w:rsidR="00D857A7">
              <w:rPr>
                <w:sz w:val="22"/>
                <w:szCs w:val="22"/>
              </w:rPr>
              <w:t>ietekmi uz valsts un pašvaldību budžetu un Ministru kabineta rīkojuma projektā norādīt atbildīgo institūciju/ atbildīgās institūcijas atbalstītā risinājuma īstenošanā (ieviešanā), atbilstoši Attīstības plānošanas dokumentu izstrādes un ietekmes izvērtēšanas noteikumiem</w:t>
            </w:r>
            <w:r w:rsidRPr="00764F4A">
              <w:rPr>
                <w:sz w:val="22"/>
                <w:szCs w:val="22"/>
              </w:rPr>
              <w:t>.</w:t>
            </w:r>
          </w:p>
        </w:tc>
        <w:tc>
          <w:tcPr>
            <w:tcW w:w="997" w:type="pct"/>
            <w:tcBorders>
              <w:left w:val="single" w:color="000000" w:sz="6" w:space="0"/>
              <w:bottom w:val="single" w:color="auto" w:sz="4" w:space="0"/>
              <w:right w:val="single" w:color="000000" w:sz="6" w:space="0"/>
            </w:tcBorders>
          </w:tcPr>
          <w:p w:rsidRPr="00764F4A" w:rsidR="00554D2F" w:rsidP="00C6140C" w:rsidRDefault="00D857A7" w14:paraId="363F9F27" w14:textId="77777777">
            <w:pPr>
              <w:pStyle w:val="naisc"/>
              <w:spacing w:before="0" w:after="0"/>
              <w:rPr>
                <w:b/>
                <w:sz w:val="22"/>
                <w:szCs w:val="22"/>
              </w:rPr>
            </w:pPr>
            <w:r w:rsidRPr="00764F4A">
              <w:rPr>
                <w:b/>
                <w:sz w:val="22"/>
                <w:szCs w:val="22"/>
              </w:rPr>
              <w:t>Ņemts vērā</w:t>
            </w:r>
          </w:p>
        </w:tc>
        <w:tc>
          <w:tcPr>
            <w:tcW w:w="1174" w:type="pct"/>
            <w:tcBorders>
              <w:top w:val="single" w:color="auto" w:sz="4" w:space="0"/>
              <w:left w:val="single" w:color="auto" w:sz="4" w:space="0"/>
              <w:bottom w:val="single" w:color="auto" w:sz="4" w:space="0"/>
            </w:tcBorders>
          </w:tcPr>
          <w:p w:rsidRPr="00764F4A" w:rsidR="00C92B86" w:rsidP="00764F4A" w:rsidRDefault="00565A94" w14:paraId="41C96832" w14:textId="77777777">
            <w:pPr>
              <w:pStyle w:val="Virsraksts1"/>
              <w:keepNext/>
              <w:keepLines/>
              <w:spacing w:before="0" w:beforeAutospacing="0" w:after="0" w:afterAutospacing="0"/>
              <w:jc w:val="both"/>
              <w:rPr>
                <w:b w:val="0"/>
                <w:sz w:val="22"/>
                <w:szCs w:val="22"/>
              </w:rPr>
            </w:pPr>
            <w:r w:rsidRPr="00764F4A">
              <w:rPr>
                <w:b w:val="0"/>
                <w:sz w:val="22"/>
                <w:szCs w:val="22"/>
              </w:rPr>
              <w:t xml:space="preserve">Konceptuālais ziņojums papildināts ar </w:t>
            </w:r>
            <w:r w:rsidRPr="00764F4A" w:rsidR="0070367F">
              <w:rPr>
                <w:b w:val="0"/>
                <w:sz w:val="22"/>
                <w:szCs w:val="22"/>
              </w:rPr>
              <w:t xml:space="preserve">jaunu </w:t>
            </w:r>
            <w:r w:rsidRPr="00764F4A" w:rsidR="00C92B86">
              <w:rPr>
                <w:b w:val="0"/>
                <w:sz w:val="22"/>
                <w:szCs w:val="22"/>
              </w:rPr>
              <w:t>6.</w:t>
            </w:r>
            <w:r w:rsidRPr="00764F4A" w:rsidR="0070367F">
              <w:rPr>
                <w:b w:val="0"/>
                <w:sz w:val="22"/>
                <w:szCs w:val="22"/>
              </w:rPr>
              <w:t xml:space="preserve">nodaļu </w:t>
            </w:r>
            <w:r w:rsidRPr="00764F4A" w:rsidR="00C92B86">
              <w:rPr>
                <w:b w:val="0"/>
                <w:sz w:val="22"/>
                <w:szCs w:val="22"/>
              </w:rPr>
              <w:t>„</w:t>
            </w:r>
            <w:bookmarkStart w:name="_Toc462330875" w:id="1"/>
            <w:bookmarkStart w:name="_Toc30161151" w:id="2"/>
            <w:r w:rsidRPr="00764F4A" w:rsidR="00C92B86">
              <w:rPr>
                <w:b w:val="0"/>
                <w:sz w:val="22"/>
                <w:szCs w:val="22"/>
              </w:rPr>
              <w:t>Kopsavilkums par konceptuālajā ziņojumā iekļauto risinājumu (risinājumu variantu) realizācijai nepieciešamo valsts un pašvaldību budžeta finansējumu</w:t>
            </w:r>
            <w:bookmarkEnd w:id="1"/>
            <w:bookmarkEnd w:id="2"/>
            <w:r w:rsidRPr="00764F4A" w:rsidR="00C92B86">
              <w:rPr>
                <w:b w:val="0"/>
                <w:sz w:val="22"/>
                <w:szCs w:val="22"/>
              </w:rPr>
              <w:t>”</w:t>
            </w:r>
            <w:r w:rsidRPr="00764F4A" w:rsidR="0070367F">
              <w:rPr>
                <w:b w:val="0"/>
                <w:sz w:val="22"/>
                <w:szCs w:val="22"/>
              </w:rPr>
              <w:t>.</w:t>
            </w:r>
          </w:p>
          <w:p w:rsidRPr="00764F4A" w:rsidR="00470CAD" w:rsidP="00764F4A" w:rsidRDefault="00470CAD" w14:paraId="66AF1583" w14:textId="77777777">
            <w:pPr>
              <w:pStyle w:val="Virsraksts1"/>
              <w:keepNext/>
              <w:keepLines/>
              <w:spacing w:before="0" w:beforeAutospacing="0" w:after="0" w:afterAutospacing="0"/>
              <w:jc w:val="both"/>
              <w:rPr>
                <w:b w:val="0"/>
                <w:sz w:val="22"/>
                <w:szCs w:val="22"/>
              </w:rPr>
            </w:pPr>
          </w:p>
          <w:p w:rsidRPr="00764F4A" w:rsidR="00470CAD" w:rsidP="00764F4A" w:rsidRDefault="00470CAD" w14:paraId="65D92A24" w14:textId="77777777">
            <w:pPr>
              <w:pStyle w:val="Virsraksts1"/>
              <w:keepNext/>
              <w:keepLines/>
              <w:spacing w:before="0" w:beforeAutospacing="0" w:after="0" w:afterAutospacing="0"/>
              <w:jc w:val="both"/>
              <w:rPr>
                <w:b w:val="0"/>
                <w:sz w:val="22"/>
                <w:szCs w:val="22"/>
              </w:rPr>
            </w:pPr>
            <w:r w:rsidRPr="00764F4A">
              <w:rPr>
                <w:b w:val="0"/>
                <w:sz w:val="22"/>
                <w:szCs w:val="22"/>
              </w:rPr>
              <w:t xml:space="preserve">Ministru kabineta rīkojuma projekts papildināts ar </w:t>
            </w:r>
            <w:r w:rsidRPr="00764F4A" w:rsidR="0070367F">
              <w:rPr>
                <w:b w:val="0"/>
                <w:sz w:val="22"/>
                <w:szCs w:val="22"/>
              </w:rPr>
              <w:t>jaunu 2</w:t>
            </w:r>
            <w:r w:rsidRPr="00764F4A">
              <w:rPr>
                <w:b w:val="0"/>
                <w:sz w:val="22"/>
                <w:szCs w:val="22"/>
              </w:rPr>
              <w:t>.punktu šādā redakcijā:</w:t>
            </w:r>
          </w:p>
          <w:p w:rsidRPr="00764F4A" w:rsidR="00470CAD" w:rsidP="00764F4A" w:rsidRDefault="00470CAD" w14:paraId="573281F7" w14:textId="77777777">
            <w:pPr>
              <w:pStyle w:val="Virsraksts1"/>
              <w:keepNext/>
              <w:keepLines/>
              <w:spacing w:before="0" w:beforeAutospacing="0" w:after="0" w:afterAutospacing="0"/>
              <w:jc w:val="both"/>
              <w:rPr>
                <w:b w:val="0"/>
                <w:sz w:val="22"/>
                <w:szCs w:val="22"/>
              </w:rPr>
            </w:pPr>
          </w:p>
          <w:p w:rsidRPr="00764F4A" w:rsidR="00554D2F" w:rsidDel="004D7E2D" w:rsidP="00764F4A" w:rsidRDefault="00470CAD" w14:paraId="47B0C73B" w14:textId="77777777">
            <w:pPr>
              <w:pStyle w:val="Paraststmeklis"/>
              <w:spacing w:before="0" w:beforeAutospacing="0" w:after="0" w:afterAutospacing="0"/>
              <w:jc w:val="both"/>
              <w:rPr>
                <w:sz w:val="22"/>
                <w:szCs w:val="22"/>
              </w:rPr>
            </w:pPr>
            <w:r w:rsidRPr="00764F4A">
              <w:rPr>
                <w:sz w:val="22"/>
                <w:szCs w:val="22"/>
              </w:rPr>
              <w:t>„</w:t>
            </w:r>
            <w:r w:rsidRPr="00764F4A" w:rsidR="0070367F">
              <w:rPr>
                <w:sz w:val="22"/>
                <w:szCs w:val="22"/>
              </w:rPr>
              <w:t>2</w:t>
            </w:r>
            <w:r w:rsidRPr="00764F4A">
              <w:rPr>
                <w:sz w:val="22"/>
                <w:szCs w:val="22"/>
              </w:rPr>
              <w:t>.</w:t>
            </w:r>
            <w:r w:rsidRPr="00764F4A">
              <w:rPr>
                <w:b/>
                <w:sz w:val="22"/>
                <w:szCs w:val="22"/>
              </w:rPr>
              <w:t xml:space="preserve"> </w:t>
            </w:r>
            <w:r w:rsidRPr="00764F4A">
              <w:rPr>
                <w:sz w:val="22"/>
                <w:szCs w:val="22"/>
              </w:rPr>
              <w:t xml:space="preserve">Noteikt Kultūras ministriju </w:t>
            </w:r>
            <w:r w:rsidR="00D87A62">
              <w:rPr>
                <w:sz w:val="22"/>
                <w:szCs w:val="22"/>
              </w:rPr>
              <w:t xml:space="preserve">par atbildīgo institūciju </w:t>
            </w:r>
            <w:r w:rsidRPr="00764F4A">
              <w:rPr>
                <w:sz w:val="22"/>
                <w:szCs w:val="22"/>
              </w:rPr>
              <w:t>un Finanšu ministriju (</w:t>
            </w:r>
            <w:r w:rsidRPr="00764F4A" w:rsidR="0070367F">
              <w:rPr>
                <w:sz w:val="22"/>
                <w:szCs w:val="22"/>
              </w:rPr>
              <w:t>valsts akciju sabiedrību „Valsts nekustamie īpašumi”</w:t>
            </w:r>
            <w:r w:rsidRPr="00764F4A">
              <w:rPr>
                <w:sz w:val="22"/>
                <w:szCs w:val="22"/>
              </w:rPr>
              <w:t xml:space="preserve">) par </w:t>
            </w:r>
            <w:r w:rsidR="00D87A62">
              <w:rPr>
                <w:sz w:val="22"/>
                <w:szCs w:val="22"/>
              </w:rPr>
              <w:t>līdz</w:t>
            </w:r>
            <w:r w:rsidRPr="00764F4A">
              <w:rPr>
                <w:sz w:val="22"/>
                <w:szCs w:val="22"/>
              </w:rPr>
              <w:t>atbildīg</w:t>
            </w:r>
            <w:r w:rsidR="00D87A62">
              <w:rPr>
                <w:sz w:val="22"/>
                <w:szCs w:val="22"/>
              </w:rPr>
              <w:t>o</w:t>
            </w:r>
            <w:r w:rsidRPr="00764F4A">
              <w:rPr>
                <w:sz w:val="22"/>
                <w:szCs w:val="22"/>
              </w:rPr>
              <w:t xml:space="preserve"> institūcij</w:t>
            </w:r>
            <w:r w:rsidR="00D87A62">
              <w:rPr>
                <w:sz w:val="22"/>
                <w:szCs w:val="22"/>
              </w:rPr>
              <w:t>u</w:t>
            </w:r>
            <w:r w:rsidRPr="00764F4A">
              <w:rPr>
                <w:sz w:val="22"/>
                <w:szCs w:val="22"/>
              </w:rPr>
              <w:t xml:space="preserve"> konceptuālā ziņojuma </w:t>
            </w:r>
            <w:r w:rsidRPr="00764F4A" w:rsidR="0070367F">
              <w:rPr>
                <w:sz w:val="22"/>
                <w:szCs w:val="22"/>
              </w:rPr>
              <w:t xml:space="preserve">3.risinājuma varianta </w:t>
            </w:r>
            <w:r w:rsidRPr="00764F4A">
              <w:rPr>
                <w:sz w:val="22"/>
                <w:szCs w:val="22"/>
              </w:rPr>
              <w:t>īstenošanā.”</w:t>
            </w:r>
          </w:p>
        </w:tc>
      </w:tr>
      <w:tr w:rsidRPr="00C6140C" w:rsidR="00554D2F" w:rsidTr="00523CF0" w14:paraId="396A1138" w14:textId="77777777">
        <w:tc>
          <w:tcPr>
            <w:tcW w:w="236" w:type="pct"/>
            <w:tcBorders>
              <w:left w:val="single" w:color="000000" w:sz="6" w:space="0"/>
              <w:bottom w:val="single" w:color="auto" w:sz="4" w:space="0"/>
              <w:right w:val="single" w:color="000000" w:sz="6" w:space="0"/>
            </w:tcBorders>
          </w:tcPr>
          <w:p w:rsidRPr="00C6140C" w:rsidR="00554D2F" w:rsidP="00E53E2B" w:rsidRDefault="00F97A06" w14:paraId="72BEBB07" w14:textId="0FACBF79">
            <w:pPr>
              <w:pStyle w:val="naisc"/>
              <w:spacing w:before="0" w:after="0"/>
              <w:ind w:firstLine="22"/>
              <w:rPr>
                <w:sz w:val="22"/>
                <w:szCs w:val="22"/>
              </w:rPr>
            </w:pPr>
            <w:r w:rsidRPr="00C6140C">
              <w:rPr>
                <w:sz w:val="22"/>
                <w:szCs w:val="22"/>
              </w:rPr>
              <w:t>1</w:t>
            </w:r>
            <w:r w:rsidR="00526324">
              <w:rPr>
                <w:sz w:val="22"/>
                <w:szCs w:val="22"/>
              </w:rPr>
              <w:t>5</w:t>
            </w:r>
            <w:r w:rsidRPr="00C6140C" w:rsidR="00250CC3">
              <w:rPr>
                <w:sz w:val="22"/>
                <w:szCs w:val="22"/>
              </w:rPr>
              <w:t>.</w:t>
            </w:r>
          </w:p>
        </w:tc>
        <w:tc>
          <w:tcPr>
            <w:tcW w:w="1197" w:type="pct"/>
            <w:tcBorders>
              <w:left w:val="single" w:color="000000" w:sz="6" w:space="0"/>
              <w:bottom w:val="single" w:color="auto" w:sz="4" w:space="0"/>
              <w:right w:val="single" w:color="000000" w:sz="6" w:space="0"/>
            </w:tcBorders>
          </w:tcPr>
          <w:p w:rsidRPr="00C6140C" w:rsidR="00BF245C" w:rsidP="00764F4A" w:rsidRDefault="00565A94" w14:paraId="1A19E2B9" w14:textId="77777777">
            <w:pPr>
              <w:jc w:val="both"/>
              <w:rPr>
                <w:sz w:val="22"/>
                <w:szCs w:val="22"/>
              </w:rPr>
            </w:pPr>
            <w:r w:rsidRPr="00C6140C">
              <w:rPr>
                <w:sz w:val="22"/>
                <w:szCs w:val="22"/>
              </w:rPr>
              <w:t>Ministru kabineta rīkojuma projekt</w:t>
            </w:r>
            <w:r w:rsidRPr="00C6140C" w:rsidR="00BF245C">
              <w:rPr>
                <w:sz w:val="22"/>
                <w:szCs w:val="22"/>
              </w:rPr>
              <w:t>a 2.punkts:</w:t>
            </w:r>
          </w:p>
          <w:p w:rsidRPr="00C6140C" w:rsidR="00BF245C" w:rsidP="00764F4A" w:rsidRDefault="00BF245C" w14:paraId="6E1B8B53" w14:textId="77777777">
            <w:pPr>
              <w:jc w:val="both"/>
              <w:rPr>
                <w:sz w:val="22"/>
                <w:szCs w:val="22"/>
              </w:rPr>
            </w:pPr>
          </w:p>
          <w:p w:rsidRPr="00C6140C" w:rsidR="00554D2F" w:rsidP="00764F4A" w:rsidRDefault="00BF245C" w14:paraId="31BCF13B" w14:textId="77777777">
            <w:pPr>
              <w:jc w:val="both"/>
              <w:rPr>
                <w:sz w:val="22"/>
                <w:szCs w:val="22"/>
              </w:rPr>
            </w:pPr>
            <w:r w:rsidRPr="00C6140C">
              <w:rPr>
                <w:sz w:val="22"/>
                <w:szCs w:val="22"/>
              </w:rPr>
              <w:t>„</w:t>
            </w:r>
            <w:r w:rsidRPr="00C6140C">
              <w:rPr>
                <w:sz w:val="22"/>
                <w:szCs w:val="22"/>
                <w:lang w:val="x-none"/>
              </w:rPr>
              <w:t>2.</w:t>
            </w:r>
            <w:r w:rsidRPr="00C6140C">
              <w:rPr>
                <w:sz w:val="22"/>
                <w:szCs w:val="22"/>
              </w:rPr>
              <w:t xml:space="preserve"> </w:t>
            </w:r>
            <w:r w:rsidRPr="00C6140C">
              <w:rPr>
                <w:sz w:val="22"/>
                <w:szCs w:val="22"/>
                <w:lang w:val="x-none"/>
              </w:rPr>
              <w:tab/>
              <w:t xml:space="preserve">Finanšu ministrijai kārtējā gada valsts budžeta sagatavošanas procesā likumā par valsts budžetu kārtējam gadam paredzēt normu, ka gūtie atsavināšanas ieņēmumi no Latvijas Nacionālā arhīva atbrīvoto valsts nekustamo īpašumu, kas nav nepieciešami valsts funkciju veikšanai, atsavināšanas nav ieskaitāmi valsts budžetā, bet novirzāmi valsts īpašumā Finanšu </w:t>
            </w:r>
            <w:r w:rsidRPr="00C6140C">
              <w:rPr>
                <w:sz w:val="22"/>
                <w:szCs w:val="22"/>
                <w:lang w:val="x-none"/>
              </w:rPr>
              <w:lastRenderedPageBreak/>
              <w:t>ministrijas valdījumā esošo nekustamo īpašumu attīstības izdevumu segšanai.</w:t>
            </w:r>
            <w:r w:rsidRPr="00C6140C">
              <w:rPr>
                <w:sz w:val="22"/>
                <w:szCs w:val="22"/>
              </w:rPr>
              <w:t>”</w:t>
            </w:r>
          </w:p>
        </w:tc>
        <w:tc>
          <w:tcPr>
            <w:tcW w:w="1396" w:type="pct"/>
            <w:tcBorders>
              <w:left w:val="single" w:color="000000" w:sz="6" w:space="0"/>
              <w:bottom w:val="single" w:color="auto" w:sz="4" w:space="0"/>
              <w:right w:val="single" w:color="000000" w:sz="6" w:space="0"/>
            </w:tcBorders>
          </w:tcPr>
          <w:p w:rsidRPr="00C6140C" w:rsidR="00554D2F" w:rsidP="00764F4A" w:rsidRDefault="00565A94" w14:paraId="387F2480" w14:textId="77777777">
            <w:pPr>
              <w:pStyle w:val="naisc"/>
              <w:spacing w:before="0" w:after="0"/>
              <w:jc w:val="both"/>
              <w:rPr>
                <w:b/>
                <w:sz w:val="22"/>
                <w:szCs w:val="22"/>
              </w:rPr>
            </w:pPr>
            <w:r w:rsidRPr="00C6140C">
              <w:rPr>
                <w:b/>
                <w:sz w:val="22"/>
                <w:szCs w:val="22"/>
              </w:rPr>
              <w:lastRenderedPageBreak/>
              <w:t>Finanšu ministrija:</w:t>
            </w:r>
          </w:p>
          <w:p w:rsidRPr="00C6140C" w:rsidR="00636CEA" w:rsidP="00764F4A" w:rsidRDefault="00636CEA" w14:paraId="00A80198" w14:textId="77777777">
            <w:pPr>
              <w:jc w:val="both"/>
              <w:rPr>
                <w:sz w:val="22"/>
                <w:szCs w:val="22"/>
              </w:rPr>
            </w:pPr>
            <w:r w:rsidRPr="00C6140C">
              <w:rPr>
                <w:sz w:val="22"/>
                <w:szCs w:val="22"/>
              </w:rPr>
              <w:t xml:space="preserve">Rīkojuma projekta 2.punkts paredz Finanšu ministrijai kārtējā gada valsts budžeta sagatavošanas procesā likumā par valsts budžetu kārtējam gadam paredzēt normu, ka gūtie atsavināšanas ieņēmumi no Latvijas Nacionālā arhīva atbrīvoto valsts nekustamo īpašumu, kas nav nepieciešami valsts funkciju veikšanai, atsavināšanas nav ieskaitāmi valsts budžetā, bet novirzāmi valsts īpašumā Finanšu ministrijas valdījumā esošo nekustamo īpašumu attīstības izdevumu segšanai. Ņemot vērā, ka šobrīd nav </w:t>
            </w:r>
            <w:r w:rsidRPr="00C6140C">
              <w:rPr>
                <w:sz w:val="22"/>
                <w:szCs w:val="22"/>
              </w:rPr>
              <w:lastRenderedPageBreak/>
              <w:t>zināms, kura gada valsts budžeta sagatavošanas procesā minētā norma ir jāparedz un kuru nekustamo īpašumu attīstīšanai gūtie atsavināšanas ieņēmumi ir novirzāmi, lūdzam precizēt rīkojuma projekta 2.punktu, paredzot, ka jautājums par atsavināšanas ieņēmumu novirzīšanu ir risināms pie katra objekta atsavināšanas īstenošanas. Piedāvājam punktu izteikt sekojošā redakcijā: “Pēc Latvijas Nacionālā arhīva infrastruktūras optimizācijas, Latvijas Nacionālā arhīva atbrīvotos valsts nekustamos īpašumus, kas nav nepieciešami valsts funkciju veikšanai, virzīt atsavināšanai, paredzot, ka atsavināšanas ieņēmumu tiek novirzīti Latvijas Nacionālā arhīva infrastruktūras optimizācijas ietvaros valsts nekustamo īpašumu veikto attīstības izdevumu segšanai”.</w:t>
            </w:r>
          </w:p>
        </w:tc>
        <w:tc>
          <w:tcPr>
            <w:tcW w:w="997" w:type="pct"/>
            <w:tcBorders>
              <w:left w:val="single" w:color="000000" w:sz="6" w:space="0"/>
              <w:bottom w:val="single" w:color="auto" w:sz="4" w:space="0"/>
              <w:right w:val="single" w:color="000000" w:sz="6" w:space="0"/>
            </w:tcBorders>
          </w:tcPr>
          <w:p w:rsidRPr="00C6140C" w:rsidR="00554D2F" w:rsidP="00764F4A" w:rsidRDefault="00636CEA" w14:paraId="4851D572" w14:textId="77777777">
            <w:pPr>
              <w:pStyle w:val="naisc"/>
              <w:spacing w:before="0" w:after="0"/>
              <w:ind w:firstLine="31"/>
              <w:rPr>
                <w:b/>
                <w:sz w:val="22"/>
                <w:szCs w:val="22"/>
              </w:rPr>
            </w:pPr>
            <w:r w:rsidRPr="00C6140C">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C6140C" w:rsidR="00636CEA" w:rsidP="00764F4A" w:rsidRDefault="00687F82" w14:paraId="06765D38" w14:textId="77777777">
            <w:pPr>
              <w:jc w:val="both"/>
              <w:rPr>
                <w:sz w:val="22"/>
                <w:szCs w:val="22"/>
              </w:rPr>
            </w:pPr>
            <w:r w:rsidRPr="00C6140C">
              <w:rPr>
                <w:sz w:val="22"/>
                <w:szCs w:val="22"/>
              </w:rPr>
              <w:t>Precizēts</w:t>
            </w:r>
            <w:r w:rsidRPr="00C6140C" w:rsidR="00636CEA">
              <w:rPr>
                <w:sz w:val="22"/>
                <w:szCs w:val="22"/>
              </w:rPr>
              <w:t xml:space="preserve"> Ministru kabineta rīkojuma projekta </w:t>
            </w:r>
            <w:r w:rsidRPr="00C6140C" w:rsidR="006C2FAF">
              <w:rPr>
                <w:sz w:val="22"/>
                <w:szCs w:val="22"/>
              </w:rPr>
              <w:t>3</w:t>
            </w:r>
            <w:r w:rsidRPr="00C6140C" w:rsidR="00636CEA">
              <w:rPr>
                <w:sz w:val="22"/>
                <w:szCs w:val="22"/>
              </w:rPr>
              <w:t>.punkts šādā redakcijā:</w:t>
            </w:r>
          </w:p>
          <w:p w:rsidRPr="00C6140C" w:rsidR="00636CEA" w:rsidP="00764F4A" w:rsidRDefault="00636CEA" w14:paraId="05E2F461" w14:textId="77777777">
            <w:pPr>
              <w:jc w:val="both"/>
              <w:rPr>
                <w:sz w:val="22"/>
                <w:szCs w:val="22"/>
              </w:rPr>
            </w:pPr>
          </w:p>
          <w:p w:rsidRPr="00C6140C" w:rsidR="00554D2F" w:rsidDel="004D7E2D" w:rsidP="00764F4A" w:rsidRDefault="00636CEA" w14:paraId="6EC5E834" w14:textId="371F76BD">
            <w:pPr>
              <w:pStyle w:val="Paraststmeklis"/>
              <w:spacing w:before="0" w:beforeAutospacing="0" w:after="0" w:afterAutospacing="0"/>
              <w:jc w:val="both"/>
              <w:rPr>
                <w:sz w:val="22"/>
                <w:szCs w:val="22"/>
              </w:rPr>
            </w:pPr>
            <w:r w:rsidRPr="00C6140C">
              <w:rPr>
                <w:sz w:val="22"/>
                <w:szCs w:val="22"/>
              </w:rPr>
              <w:t>„</w:t>
            </w:r>
            <w:r w:rsidRPr="00C6140C" w:rsidR="006C2FAF">
              <w:rPr>
                <w:sz w:val="22"/>
                <w:szCs w:val="22"/>
              </w:rPr>
              <w:t xml:space="preserve">3. </w:t>
            </w:r>
            <w:r w:rsidRPr="00C6140C">
              <w:rPr>
                <w:sz w:val="22"/>
                <w:szCs w:val="22"/>
              </w:rPr>
              <w:t>Pēc Latvijas Nacionālā arhīva infrastruktūras optimizācijas Latvijas Nacionālā arhīva atbrīvotos valsts nekustamos īpašumus, kas nav nepieciešami valsts funkciju veikšanai, virzīt atsavināšanai.”</w:t>
            </w:r>
          </w:p>
        </w:tc>
      </w:tr>
      <w:tr w:rsidRPr="00764F4A" w:rsidR="00636CEA" w:rsidTr="00523CF0" w14:paraId="3B178EE3" w14:textId="77777777">
        <w:tc>
          <w:tcPr>
            <w:tcW w:w="236" w:type="pct"/>
            <w:tcBorders>
              <w:left w:val="single" w:color="000000" w:sz="6" w:space="0"/>
              <w:bottom w:val="single" w:color="auto" w:sz="4" w:space="0"/>
              <w:right w:val="single" w:color="000000" w:sz="6" w:space="0"/>
            </w:tcBorders>
          </w:tcPr>
          <w:p w:rsidRPr="00764F4A" w:rsidR="00636CEA" w:rsidP="00E53E2B" w:rsidRDefault="00F97A06" w14:paraId="352374C6" w14:textId="4D1B0E52">
            <w:pPr>
              <w:pStyle w:val="naisc"/>
              <w:spacing w:before="0" w:after="0"/>
              <w:ind w:firstLine="22"/>
              <w:rPr>
                <w:sz w:val="22"/>
                <w:szCs w:val="22"/>
              </w:rPr>
            </w:pPr>
            <w:r>
              <w:rPr>
                <w:sz w:val="22"/>
                <w:szCs w:val="22"/>
              </w:rPr>
              <w:t>1</w:t>
            </w:r>
            <w:r w:rsidR="00526324">
              <w:rPr>
                <w:sz w:val="22"/>
                <w:szCs w:val="22"/>
              </w:rPr>
              <w:t>6</w:t>
            </w:r>
            <w:r w:rsidRPr="00764F4A" w:rsidR="00250CC3">
              <w:rPr>
                <w:sz w:val="22"/>
                <w:szCs w:val="22"/>
              </w:rPr>
              <w:t>.</w:t>
            </w:r>
          </w:p>
        </w:tc>
        <w:tc>
          <w:tcPr>
            <w:tcW w:w="1197" w:type="pct"/>
            <w:tcBorders>
              <w:left w:val="single" w:color="000000" w:sz="6" w:space="0"/>
              <w:bottom w:val="single" w:color="auto" w:sz="4" w:space="0"/>
              <w:right w:val="single" w:color="000000" w:sz="6" w:space="0"/>
            </w:tcBorders>
          </w:tcPr>
          <w:p w:rsidRPr="00764F4A" w:rsidR="00BF245C" w:rsidP="00764F4A" w:rsidRDefault="00BF245C" w14:paraId="2C43AB32" w14:textId="77777777">
            <w:pPr>
              <w:jc w:val="both"/>
              <w:rPr>
                <w:sz w:val="22"/>
                <w:szCs w:val="22"/>
              </w:rPr>
            </w:pPr>
            <w:r w:rsidRPr="00764F4A">
              <w:rPr>
                <w:sz w:val="22"/>
                <w:szCs w:val="22"/>
              </w:rPr>
              <w:t>Ministru kabineta rīkojuma projekta 3.punkts:</w:t>
            </w:r>
          </w:p>
          <w:p w:rsidRPr="00764F4A" w:rsidR="00BF245C" w:rsidP="00764F4A" w:rsidRDefault="00BF245C" w14:paraId="3B0B59C8" w14:textId="77777777">
            <w:pPr>
              <w:jc w:val="both"/>
              <w:rPr>
                <w:sz w:val="22"/>
                <w:szCs w:val="22"/>
              </w:rPr>
            </w:pPr>
          </w:p>
          <w:p w:rsidRPr="00764F4A" w:rsidR="00636CEA" w:rsidP="00764F4A" w:rsidRDefault="00BF245C" w14:paraId="3D802579" w14:textId="77777777">
            <w:pPr>
              <w:jc w:val="both"/>
              <w:rPr>
                <w:sz w:val="22"/>
                <w:szCs w:val="22"/>
              </w:rPr>
            </w:pPr>
            <w:r w:rsidRPr="00764F4A">
              <w:rPr>
                <w:sz w:val="22"/>
                <w:szCs w:val="22"/>
              </w:rPr>
              <w:t>„</w:t>
            </w:r>
            <w:r w:rsidRPr="00764F4A">
              <w:rPr>
                <w:sz w:val="22"/>
                <w:szCs w:val="22"/>
                <w:lang w:val="x-none"/>
              </w:rPr>
              <w:t>3.</w:t>
            </w:r>
            <w:r w:rsidRPr="00764F4A">
              <w:rPr>
                <w:sz w:val="22"/>
                <w:szCs w:val="22"/>
                <w:lang w:val="x-none"/>
              </w:rPr>
              <w:tab/>
            </w:r>
            <w:r w:rsidRPr="00764F4A">
              <w:rPr>
                <w:sz w:val="22"/>
                <w:szCs w:val="22"/>
              </w:rPr>
              <w:t xml:space="preserve"> </w:t>
            </w:r>
            <w:r w:rsidRPr="00764F4A">
              <w:rPr>
                <w:sz w:val="22"/>
                <w:szCs w:val="22"/>
                <w:lang w:val="x-none"/>
              </w:rPr>
              <w:t>Finanšu ministrijai (valsts akciju sabiedrībai „Valsts nekustamie īpašumi”) sadarbības ar Eiropas Investīciju banku ietvaros piedalīties inovatīvu publisko ēku finansēšanas modeļu izstrādes pētījumā, tai skaitā izvērtēt iespēju reģionālo arhīvu attīstību īstenot publiskās un privātās partnerības ietvaros.</w:t>
            </w:r>
            <w:r w:rsidRPr="00764F4A">
              <w:rPr>
                <w:sz w:val="22"/>
                <w:szCs w:val="22"/>
              </w:rPr>
              <w:t>”</w:t>
            </w:r>
          </w:p>
        </w:tc>
        <w:tc>
          <w:tcPr>
            <w:tcW w:w="1396" w:type="pct"/>
            <w:tcBorders>
              <w:left w:val="single" w:color="000000" w:sz="6" w:space="0"/>
              <w:bottom w:val="single" w:color="auto" w:sz="4" w:space="0"/>
              <w:right w:val="single" w:color="000000" w:sz="6" w:space="0"/>
            </w:tcBorders>
          </w:tcPr>
          <w:p w:rsidRPr="00764F4A" w:rsidR="00636CEA" w:rsidP="00764F4A" w:rsidRDefault="00636CEA" w14:paraId="782A684C" w14:textId="77777777">
            <w:pPr>
              <w:pStyle w:val="naisc"/>
              <w:spacing w:before="0" w:after="0"/>
              <w:jc w:val="both"/>
              <w:rPr>
                <w:b/>
                <w:sz w:val="22"/>
                <w:szCs w:val="22"/>
              </w:rPr>
            </w:pPr>
            <w:r w:rsidRPr="00764F4A">
              <w:rPr>
                <w:b/>
                <w:sz w:val="22"/>
                <w:szCs w:val="22"/>
              </w:rPr>
              <w:t>Finanšu ministrija:</w:t>
            </w:r>
          </w:p>
          <w:p w:rsidRPr="00764F4A" w:rsidR="00636CEA" w:rsidP="00764F4A" w:rsidRDefault="00636CEA" w14:paraId="0DF0278B" w14:textId="77777777">
            <w:pPr>
              <w:jc w:val="both"/>
              <w:rPr>
                <w:b/>
                <w:sz w:val="22"/>
                <w:szCs w:val="22"/>
              </w:rPr>
            </w:pPr>
            <w:r w:rsidRPr="00764F4A">
              <w:rPr>
                <w:sz w:val="22"/>
                <w:szCs w:val="22"/>
              </w:rPr>
              <w:t>Ņemot vērā, ka konceptuālajā ziņojumā ir norādīts, ka valsts akciju sabiedrība “Valsts nekustamie īpašumi” (turpmāk – VNĪ) jau ir uzsākusi sadarbību ar Eiropas Investīciju bankas konsultācijas centru, lai finansētu VNĪ pārvaldītos nekustamos īpašumus, turklāt nav pamatojuma, kāpēc par šo jautājumu būtu jālemj Ministru kabinetam, lūdzam svītrot rīkojuma projekta 3.punktu.</w:t>
            </w:r>
          </w:p>
        </w:tc>
        <w:tc>
          <w:tcPr>
            <w:tcW w:w="997" w:type="pct"/>
            <w:tcBorders>
              <w:left w:val="single" w:color="000000" w:sz="6" w:space="0"/>
              <w:bottom w:val="single" w:color="auto" w:sz="4" w:space="0"/>
              <w:right w:val="single" w:color="000000" w:sz="6" w:space="0"/>
            </w:tcBorders>
          </w:tcPr>
          <w:p w:rsidRPr="00764F4A" w:rsidR="00636CEA" w:rsidP="00764F4A" w:rsidRDefault="00636CEA" w14:paraId="5129C3C1" w14:textId="77777777">
            <w:pPr>
              <w:pStyle w:val="naisc"/>
              <w:spacing w:before="0" w:after="0"/>
              <w:ind w:firstLine="31"/>
              <w:rPr>
                <w:b/>
                <w:sz w:val="22"/>
                <w:szCs w:val="22"/>
              </w:rPr>
            </w:pPr>
            <w:r w:rsidRPr="00764F4A">
              <w:rPr>
                <w:b/>
                <w:sz w:val="22"/>
                <w:szCs w:val="22"/>
              </w:rPr>
              <w:t>Ņemts vērā</w:t>
            </w:r>
          </w:p>
        </w:tc>
        <w:tc>
          <w:tcPr>
            <w:tcW w:w="1174" w:type="pct"/>
            <w:tcBorders>
              <w:top w:val="single" w:color="auto" w:sz="4" w:space="0"/>
              <w:left w:val="single" w:color="auto" w:sz="4" w:space="0"/>
              <w:bottom w:val="single" w:color="auto" w:sz="4" w:space="0"/>
            </w:tcBorders>
          </w:tcPr>
          <w:p w:rsidRPr="00764F4A" w:rsidR="00636CEA" w:rsidDel="004D7E2D" w:rsidP="00764F4A" w:rsidRDefault="00BF245C" w14:paraId="4A47AF29" w14:textId="77777777">
            <w:pPr>
              <w:pStyle w:val="Paraststmeklis"/>
              <w:spacing w:before="0" w:beforeAutospacing="0" w:after="0" w:afterAutospacing="0"/>
              <w:jc w:val="both"/>
              <w:rPr>
                <w:sz w:val="22"/>
                <w:szCs w:val="22"/>
              </w:rPr>
            </w:pPr>
            <w:r w:rsidRPr="00764F4A">
              <w:rPr>
                <w:sz w:val="22"/>
                <w:szCs w:val="22"/>
              </w:rPr>
              <w:t xml:space="preserve">Svītrots </w:t>
            </w:r>
            <w:r w:rsidRPr="00764F4A" w:rsidR="00636CEA">
              <w:rPr>
                <w:sz w:val="22"/>
                <w:szCs w:val="22"/>
              </w:rPr>
              <w:t>Minis</w:t>
            </w:r>
            <w:r w:rsidRPr="00764F4A" w:rsidR="00687F82">
              <w:rPr>
                <w:sz w:val="22"/>
                <w:szCs w:val="22"/>
              </w:rPr>
              <w:t>tru kabineta rīkojuma projekt</w:t>
            </w:r>
            <w:r w:rsidRPr="00764F4A">
              <w:rPr>
                <w:sz w:val="22"/>
                <w:szCs w:val="22"/>
              </w:rPr>
              <w:t>a</w:t>
            </w:r>
            <w:r w:rsidRPr="00764F4A" w:rsidR="00687F82">
              <w:rPr>
                <w:sz w:val="22"/>
                <w:szCs w:val="22"/>
              </w:rPr>
              <w:t xml:space="preserve"> </w:t>
            </w:r>
            <w:r w:rsidRPr="00764F4A" w:rsidR="00636CEA">
              <w:rPr>
                <w:sz w:val="22"/>
                <w:szCs w:val="22"/>
              </w:rPr>
              <w:t>3.punkts</w:t>
            </w:r>
            <w:r w:rsidR="007D0076">
              <w:rPr>
                <w:sz w:val="22"/>
                <w:szCs w:val="22"/>
              </w:rPr>
              <w:t xml:space="preserve"> tā sākotnējā </w:t>
            </w:r>
            <w:proofErr w:type="spellStart"/>
            <w:r w:rsidR="007D0076">
              <w:rPr>
                <w:sz w:val="22"/>
                <w:szCs w:val="22"/>
              </w:rPr>
              <w:t>redakcjā</w:t>
            </w:r>
            <w:proofErr w:type="spellEnd"/>
            <w:r w:rsidRPr="00764F4A">
              <w:rPr>
                <w:sz w:val="22"/>
                <w:szCs w:val="22"/>
              </w:rPr>
              <w:t>.</w:t>
            </w:r>
          </w:p>
        </w:tc>
      </w:tr>
      <w:tr w:rsidRPr="00764F4A" w:rsidR="00636CEA" w:rsidTr="00523CF0" w14:paraId="5AAF51CF" w14:textId="77777777">
        <w:tc>
          <w:tcPr>
            <w:tcW w:w="236" w:type="pct"/>
            <w:tcBorders>
              <w:left w:val="single" w:color="000000" w:sz="6" w:space="0"/>
              <w:bottom w:val="single" w:color="auto" w:sz="4" w:space="0"/>
              <w:right w:val="single" w:color="000000" w:sz="6" w:space="0"/>
            </w:tcBorders>
          </w:tcPr>
          <w:p w:rsidRPr="00764F4A" w:rsidR="00636CEA" w:rsidP="00E53E2B" w:rsidRDefault="00F97A06" w14:paraId="11D16FE3" w14:textId="22013B94">
            <w:pPr>
              <w:pStyle w:val="naisc"/>
              <w:spacing w:before="0" w:after="0"/>
              <w:ind w:firstLine="22"/>
              <w:rPr>
                <w:sz w:val="22"/>
                <w:szCs w:val="22"/>
              </w:rPr>
            </w:pPr>
            <w:r>
              <w:rPr>
                <w:sz w:val="22"/>
                <w:szCs w:val="22"/>
              </w:rPr>
              <w:t>1</w:t>
            </w:r>
            <w:r w:rsidR="00526324">
              <w:rPr>
                <w:sz w:val="22"/>
                <w:szCs w:val="22"/>
              </w:rPr>
              <w:t>7</w:t>
            </w:r>
            <w:r w:rsidRPr="00764F4A" w:rsidR="00250CC3">
              <w:rPr>
                <w:sz w:val="22"/>
                <w:szCs w:val="22"/>
              </w:rPr>
              <w:t>.</w:t>
            </w:r>
          </w:p>
        </w:tc>
        <w:tc>
          <w:tcPr>
            <w:tcW w:w="1197" w:type="pct"/>
            <w:tcBorders>
              <w:left w:val="single" w:color="000000" w:sz="6" w:space="0"/>
              <w:bottom w:val="single" w:color="auto" w:sz="4" w:space="0"/>
              <w:right w:val="single" w:color="000000" w:sz="6" w:space="0"/>
            </w:tcBorders>
          </w:tcPr>
          <w:p w:rsidRPr="00764F4A" w:rsidR="00636CEA" w:rsidP="00764F4A" w:rsidRDefault="008E1F6E" w14:paraId="2ABE0DA4" w14:textId="77777777">
            <w:pPr>
              <w:jc w:val="both"/>
              <w:rPr>
                <w:sz w:val="22"/>
                <w:szCs w:val="22"/>
              </w:rPr>
            </w:pPr>
            <w:r w:rsidRPr="00764F4A">
              <w:rPr>
                <w:sz w:val="22"/>
                <w:szCs w:val="22"/>
              </w:rPr>
              <w:t xml:space="preserve">Konceptuālā </w:t>
            </w:r>
            <w:r w:rsidRPr="00764F4A" w:rsidR="00962437">
              <w:rPr>
                <w:sz w:val="22"/>
                <w:szCs w:val="22"/>
              </w:rPr>
              <w:t>ziņojum</w:t>
            </w:r>
            <w:r w:rsidRPr="00764F4A">
              <w:rPr>
                <w:sz w:val="22"/>
                <w:szCs w:val="22"/>
              </w:rPr>
              <w:t xml:space="preserve">a 4.2.nodaļas „LNA infrastruktūras nomāšana </w:t>
            </w:r>
            <w:r w:rsidRPr="00764F4A">
              <w:rPr>
                <w:sz w:val="22"/>
                <w:szCs w:val="22"/>
              </w:rPr>
              <w:lastRenderedPageBreak/>
              <w:t xml:space="preserve">tirgus sektorā” </w:t>
            </w:r>
            <w:r w:rsidRPr="00764F4A" w:rsidR="00EE0A02">
              <w:rPr>
                <w:sz w:val="22"/>
                <w:szCs w:val="22"/>
              </w:rPr>
              <w:t>sa</w:t>
            </w:r>
            <w:r w:rsidRPr="00764F4A">
              <w:rPr>
                <w:sz w:val="22"/>
                <w:szCs w:val="22"/>
              </w:rPr>
              <w:t>daļa</w:t>
            </w:r>
            <w:r w:rsidRPr="00764F4A" w:rsidR="00EE0A02">
              <w:rPr>
                <w:sz w:val="22"/>
                <w:szCs w:val="22"/>
              </w:rPr>
              <w:t>s</w:t>
            </w:r>
            <w:r w:rsidRPr="00764F4A" w:rsidR="006924C0">
              <w:rPr>
                <w:sz w:val="22"/>
                <w:szCs w:val="22"/>
              </w:rPr>
              <w:t xml:space="preserve"> </w:t>
            </w:r>
            <w:r w:rsidRPr="00764F4A" w:rsidR="00EE0A02">
              <w:rPr>
                <w:sz w:val="22"/>
                <w:szCs w:val="22"/>
              </w:rPr>
              <w:t>„</w:t>
            </w:r>
            <w:r w:rsidRPr="00764F4A" w:rsidR="006924C0">
              <w:rPr>
                <w:sz w:val="22"/>
                <w:szCs w:val="22"/>
              </w:rPr>
              <w:t>Ierobežojumi, jeb riski:</w:t>
            </w:r>
            <w:r w:rsidRPr="00764F4A" w:rsidR="00EE0A02">
              <w:rPr>
                <w:sz w:val="22"/>
                <w:szCs w:val="22"/>
              </w:rPr>
              <w:t>”</w:t>
            </w:r>
            <w:r w:rsidRPr="00764F4A" w:rsidR="004B3325">
              <w:rPr>
                <w:sz w:val="22"/>
                <w:szCs w:val="22"/>
              </w:rPr>
              <w:t xml:space="preserve"> </w:t>
            </w:r>
            <w:r w:rsidRPr="00764F4A" w:rsidR="00EE0A02">
              <w:rPr>
                <w:sz w:val="22"/>
                <w:szCs w:val="22"/>
              </w:rPr>
              <w:t>1.punkts:</w:t>
            </w:r>
          </w:p>
          <w:p w:rsidRPr="00764F4A" w:rsidR="006924C0" w:rsidP="00764F4A" w:rsidRDefault="006924C0" w14:paraId="581E0C91" w14:textId="77777777">
            <w:pPr>
              <w:jc w:val="both"/>
              <w:rPr>
                <w:sz w:val="22"/>
                <w:szCs w:val="22"/>
              </w:rPr>
            </w:pPr>
          </w:p>
          <w:p w:rsidRPr="00764F4A" w:rsidR="006924C0" w:rsidP="00764F4A" w:rsidRDefault="004B3325" w14:paraId="13D4F52A" w14:textId="77777777">
            <w:pPr>
              <w:pStyle w:val="Sarakstarindkopa"/>
              <w:ind w:left="0"/>
              <w:rPr>
                <w:sz w:val="22"/>
                <w:szCs w:val="22"/>
                <w:lang w:val="lv-LV"/>
              </w:rPr>
            </w:pPr>
            <w:r w:rsidRPr="00764F4A">
              <w:rPr>
                <w:sz w:val="22"/>
                <w:szCs w:val="22"/>
                <w:lang w:val="lv-LV"/>
              </w:rPr>
              <w:t xml:space="preserve">„1. </w:t>
            </w:r>
            <w:r w:rsidRPr="00764F4A" w:rsidR="006924C0">
              <w:rPr>
                <w:sz w:val="22"/>
                <w:szCs w:val="22"/>
              </w:rPr>
              <w:t>Līdz šim ir akreditēti 6 privāti uzņēmumi, kas piedāvā prasībām atbilstošu arhīva glabātavu telpu nomu Rīgā un Salaspilī. NĪ tirgū šobrīd Latvijas teritorijā nav pieejamas nomai nepieciešamais glabātavu apjoms. Prognozējams, ka jaunu NĪ izbūve, kas funkcionāli atbilstu LNA darbības specifikai, šajā gadījumā ir iespējama tikai privātās publiskās partnerības ietvaros, pirms tam no valsts saņemot garantijas par jaunizbūvētā NĪ nomu pēc tā nodošanas ekspluatācijā.</w:t>
            </w:r>
            <w:r w:rsidRPr="00764F4A">
              <w:rPr>
                <w:sz w:val="22"/>
                <w:szCs w:val="22"/>
                <w:lang w:val="lv-LV"/>
              </w:rPr>
              <w:t>”</w:t>
            </w:r>
          </w:p>
          <w:p w:rsidRPr="00764F4A" w:rsidR="006924C0" w:rsidP="00764F4A" w:rsidRDefault="006924C0" w14:paraId="6BCE019B" w14:textId="77777777">
            <w:pPr>
              <w:jc w:val="both"/>
              <w:rPr>
                <w:sz w:val="22"/>
                <w:szCs w:val="22"/>
              </w:rPr>
            </w:pPr>
          </w:p>
        </w:tc>
        <w:tc>
          <w:tcPr>
            <w:tcW w:w="1396" w:type="pct"/>
            <w:tcBorders>
              <w:left w:val="single" w:color="000000" w:sz="6" w:space="0"/>
              <w:bottom w:val="single" w:color="auto" w:sz="4" w:space="0"/>
              <w:right w:val="single" w:color="000000" w:sz="6" w:space="0"/>
            </w:tcBorders>
          </w:tcPr>
          <w:p w:rsidRPr="00764F4A" w:rsidR="00636CEA" w:rsidP="00764F4A" w:rsidRDefault="00636CEA" w14:paraId="59207DBC" w14:textId="77777777">
            <w:pPr>
              <w:pStyle w:val="naisc"/>
              <w:spacing w:before="0" w:after="0"/>
              <w:jc w:val="both"/>
              <w:rPr>
                <w:b/>
                <w:sz w:val="22"/>
                <w:szCs w:val="22"/>
              </w:rPr>
            </w:pPr>
            <w:r w:rsidRPr="00764F4A">
              <w:rPr>
                <w:b/>
                <w:sz w:val="22"/>
                <w:szCs w:val="22"/>
              </w:rPr>
              <w:lastRenderedPageBreak/>
              <w:t>Finanšu ministrija:</w:t>
            </w:r>
          </w:p>
          <w:p w:rsidRPr="00764F4A" w:rsidR="00C15A26" w:rsidP="00C6140C" w:rsidRDefault="00C15A26" w14:paraId="4E847AD3" w14:textId="77777777">
            <w:pPr>
              <w:jc w:val="both"/>
              <w:rPr>
                <w:b/>
                <w:sz w:val="22"/>
                <w:szCs w:val="22"/>
              </w:rPr>
            </w:pPr>
            <w:r w:rsidRPr="00764F4A">
              <w:rPr>
                <w:sz w:val="22"/>
                <w:szCs w:val="22"/>
              </w:rPr>
              <w:t xml:space="preserve">Lūdzam konceptuālā ziņojuma 15.lpp. pie 2.alternatīvas ierobežojumiem skaidrot, </w:t>
            </w:r>
            <w:r w:rsidRPr="00764F4A">
              <w:rPr>
                <w:sz w:val="22"/>
                <w:szCs w:val="22"/>
              </w:rPr>
              <w:lastRenderedPageBreak/>
              <w:t xml:space="preserve">kādā veidā tiek paredzēts saņemt valsts garantijas par </w:t>
            </w:r>
            <w:proofErr w:type="spellStart"/>
            <w:r w:rsidRPr="00764F4A">
              <w:rPr>
                <w:sz w:val="22"/>
                <w:szCs w:val="22"/>
              </w:rPr>
              <w:t>jaunuzbūvētā</w:t>
            </w:r>
            <w:proofErr w:type="spellEnd"/>
            <w:r w:rsidRPr="00764F4A">
              <w:rPr>
                <w:sz w:val="22"/>
                <w:szCs w:val="22"/>
              </w:rPr>
              <w:t xml:space="preserve"> nekustamā īpašuma nomu pēc tā nodošanas ekspluatācijā.</w:t>
            </w:r>
          </w:p>
        </w:tc>
        <w:tc>
          <w:tcPr>
            <w:tcW w:w="997" w:type="pct"/>
            <w:tcBorders>
              <w:left w:val="single" w:color="000000" w:sz="6" w:space="0"/>
              <w:bottom w:val="single" w:color="auto" w:sz="4" w:space="0"/>
              <w:right w:val="single" w:color="000000" w:sz="6" w:space="0"/>
            </w:tcBorders>
          </w:tcPr>
          <w:p w:rsidRPr="00764F4A" w:rsidR="00636CEA" w:rsidP="00764F4A" w:rsidRDefault="006924C0" w14:paraId="4B68CF36" w14:textId="77777777">
            <w:pPr>
              <w:pStyle w:val="naisc"/>
              <w:spacing w:before="0" w:after="0"/>
              <w:ind w:firstLine="31"/>
              <w:rPr>
                <w:b/>
                <w:sz w:val="22"/>
                <w:szCs w:val="22"/>
              </w:rPr>
            </w:pPr>
            <w:r w:rsidRPr="00764F4A">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764F4A" w:rsidR="00EE0A02" w:rsidP="00764F4A" w:rsidRDefault="006924C0" w14:paraId="0EE22D4D" w14:textId="77777777">
            <w:pPr>
              <w:jc w:val="both"/>
              <w:rPr>
                <w:sz w:val="22"/>
                <w:szCs w:val="22"/>
              </w:rPr>
            </w:pPr>
            <w:r w:rsidRPr="00764F4A">
              <w:rPr>
                <w:sz w:val="22"/>
                <w:szCs w:val="22"/>
              </w:rPr>
              <w:t xml:space="preserve">Precizēts </w:t>
            </w:r>
            <w:r w:rsidRPr="00764F4A" w:rsidR="009C3311">
              <w:rPr>
                <w:sz w:val="22"/>
                <w:szCs w:val="22"/>
              </w:rPr>
              <w:t>k</w:t>
            </w:r>
            <w:r w:rsidRPr="00764F4A" w:rsidR="00EE0A02">
              <w:rPr>
                <w:sz w:val="22"/>
                <w:szCs w:val="22"/>
              </w:rPr>
              <w:t xml:space="preserve">onceptuālā ziņojuma 4.2.nodaļas „LNA infrastruktūras nomāšana tirgus sektorā” sadaļas </w:t>
            </w:r>
            <w:r w:rsidRPr="00764F4A" w:rsidR="00EE0A02">
              <w:rPr>
                <w:sz w:val="22"/>
                <w:szCs w:val="22"/>
              </w:rPr>
              <w:lastRenderedPageBreak/>
              <w:t>„Ierobežojumi, jeb riski:” 1.punkts šādā redakcijā:</w:t>
            </w:r>
          </w:p>
          <w:p w:rsidRPr="00764F4A" w:rsidR="006924C0" w:rsidP="00764F4A" w:rsidRDefault="006924C0" w14:paraId="15F09EEB" w14:textId="77777777">
            <w:pPr>
              <w:jc w:val="both"/>
              <w:rPr>
                <w:sz w:val="22"/>
                <w:szCs w:val="22"/>
              </w:rPr>
            </w:pPr>
          </w:p>
          <w:p w:rsidRPr="00764F4A" w:rsidR="00636CEA" w:rsidDel="004D7E2D" w:rsidP="00764F4A" w:rsidRDefault="006924C0" w14:paraId="4B0D5CD6" w14:textId="77777777">
            <w:pPr>
              <w:pStyle w:val="Sarakstarindkopa"/>
              <w:ind w:left="0"/>
              <w:rPr>
                <w:sz w:val="22"/>
                <w:szCs w:val="22"/>
              </w:rPr>
            </w:pPr>
            <w:r w:rsidRPr="00764F4A">
              <w:rPr>
                <w:sz w:val="22"/>
                <w:szCs w:val="22"/>
                <w:lang w:val="lv-LV"/>
              </w:rPr>
              <w:t xml:space="preserve">„1. </w:t>
            </w:r>
            <w:r w:rsidRPr="00764F4A">
              <w:rPr>
                <w:sz w:val="22"/>
                <w:szCs w:val="22"/>
              </w:rPr>
              <w:t>Līdz šim ir akreditēti 6 privāti uzņēmumi, kas piedāvā prasībām atbilstošu arhīva glabātavu telpu nomu Rīgā un Salaspilī. NĪ tirgū šobrīd Latvijas teritorijā nav pieejamas nomai nepieciešamais glabātavu apjoms. Prognozējams, ka jaunu NĪ izbūve, kas funkcionāli atbilstu LNA darbības specifikai, šajā gadījumā ir iespējama tikai publiskās un privātās partnerības ietvaros. Ja tiks nolemts sadarbībā ar Eiropas Investīciju bankas konsultāciju centru izvērtēt iespējas LNA nepieciešamos infrastruktūras attīstības jautājumus vismaz daļēji risināt publiskās un privātās partnerības ietvaros, tad tiks vērtēts, vai katram posmam atsevišķs publiskās un privātās partnerības līgums vai kā kopējais līgums par visu valsti.</w:t>
            </w:r>
            <w:r w:rsidRPr="00764F4A">
              <w:rPr>
                <w:sz w:val="22"/>
                <w:szCs w:val="22"/>
                <w:lang w:val="lv-LV"/>
              </w:rPr>
              <w:t>”</w:t>
            </w:r>
          </w:p>
        </w:tc>
      </w:tr>
      <w:tr w:rsidRPr="00C6140C" w:rsidR="00C91FE3" w:rsidTr="00523CF0" w14:paraId="3E57D2A7" w14:textId="77777777">
        <w:tc>
          <w:tcPr>
            <w:tcW w:w="236" w:type="pct"/>
            <w:tcBorders>
              <w:left w:val="single" w:color="000000" w:sz="6" w:space="0"/>
              <w:bottom w:val="single" w:color="auto" w:sz="4" w:space="0"/>
              <w:right w:val="single" w:color="000000" w:sz="6" w:space="0"/>
            </w:tcBorders>
          </w:tcPr>
          <w:p w:rsidRPr="00C6140C" w:rsidR="00C15A26" w:rsidP="00E53E2B" w:rsidRDefault="00F97A06" w14:paraId="12E26AC3" w14:textId="245763CD">
            <w:pPr>
              <w:pStyle w:val="naisc"/>
              <w:spacing w:before="0" w:after="0"/>
              <w:ind w:firstLine="22"/>
              <w:rPr>
                <w:sz w:val="22"/>
                <w:szCs w:val="22"/>
              </w:rPr>
            </w:pPr>
            <w:r w:rsidRPr="00C6140C">
              <w:rPr>
                <w:sz w:val="22"/>
                <w:szCs w:val="22"/>
              </w:rPr>
              <w:lastRenderedPageBreak/>
              <w:t>1</w:t>
            </w:r>
            <w:r w:rsidR="00526324">
              <w:rPr>
                <w:sz w:val="22"/>
                <w:szCs w:val="22"/>
              </w:rPr>
              <w:t>8</w:t>
            </w:r>
            <w:r w:rsidRPr="00C6140C" w:rsidR="00250CC3">
              <w:rPr>
                <w:sz w:val="22"/>
                <w:szCs w:val="22"/>
              </w:rPr>
              <w:t>.</w:t>
            </w:r>
          </w:p>
        </w:tc>
        <w:tc>
          <w:tcPr>
            <w:tcW w:w="1197" w:type="pct"/>
            <w:tcBorders>
              <w:left w:val="single" w:color="000000" w:sz="6" w:space="0"/>
              <w:bottom w:val="single" w:color="auto" w:sz="4" w:space="0"/>
              <w:right w:val="single" w:color="000000" w:sz="6" w:space="0"/>
            </w:tcBorders>
          </w:tcPr>
          <w:p w:rsidR="004B3325" w:rsidP="00764F4A" w:rsidRDefault="00962437" w14:paraId="13267849" w14:textId="404FF67A">
            <w:pPr>
              <w:jc w:val="both"/>
              <w:rPr>
                <w:sz w:val="22"/>
                <w:szCs w:val="22"/>
              </w:rPr>
            </w:pPr>
            <w:r w:rsidRPr="00C6140C">
              <w:rPr>
                <w:sz w:val="22"/>
                <w:szCs w:val="22"/>
              </w:rPr>
              <w:t>Konceptuāl</w:t>
            </w:r>
            <w:r w:rsidRPr="00C6140C" w:rsidR="001927D9">
              <w:rPr>
                <w:sz w:val="22"/>
                <w:szCs w:val="22"/>
              </w:rPr>
              <w:t>ā</w:t>
            </w:r>
            <w:r w:rsidRPr="00C6140C">
              <w:rPr>
                <w:sz w:val="22"/>
                <w:szCs w:val="22"/>
              </w:rPr>
              <w:t xml:space="preserve"> ziņojum</w:t>
            </w:r>
            <w:r w:rsidRPr="00C6140C" w:rsidR="001927D9">
              <w:rPr>
                <w:sz w:val="22"/>
                <w:szCs w:val="22"/>
              </w:rPr>
              <w:t>a 4.3.nodaļas „LNA infrastruktūras optimizācija” sadaļa „</w:t>
            </w:r>
            <w:r w:rsidRPr="00C6140C" w:rsidR="004B3325">
              <w:rPr>
                <w:sz w:val="22"/>
                <w:szCs w:val="22"/>
              </w:rPr>
              <w:t>Attīstības projekta īstenošanas ilgums, mēnešos:</w:t>
            </w:r>
            <w:r w:rsidRPr="00C6140C" w:rsidR="001927D9">
              <w:rPr>
                <w:sz w:val="22"/>
                <w:szCs w:val="22"/>
              </w:rPr>
              <w:t>”:</w:t>
            </w:r>
          </w:p>
          <w:p w:rsidR="00265C36" w:rsidP="00764F4A" w:rsidRDefault="00265C36" w14:paraId="56AF8DF2" w14:textId="77777777">
            <w:pPr>
              <w:jc w:val="both"/>
              <w:rPr>
                <w:sz w:val="22"/>
                <w:szCs w:val="22"/>
              </w:rPr>
            </w:pPr>
          </w:p>
          <w:p w:rsidRPr="00C6140C" w:rsidR="006B3788" w:rsidP="00764F4A" w:rsidRDefault="006B3788" w14:paraId="45E139E6" w14:textId="77777777">
            <w:pPr>
              <w:jc w:val="both"/>
              <w:rPr>
                <w:sz w:val="22"/>
                <w:szCs w:val="22"/>
                <w:lang w:eastAsia="en-US"/>
              </w:rPr>
            </w:pPr>
            <w:r w:rsidRPr="00C6140C">
              <w:rPr>
                <w:sz w:val="22"/>
                <w:szCs w:val="22"/>
                <w:lang w:eastAsia="en-US"/>
              </w:rPr>
              <w:t>„</w:t>
            </w:r>
            <w:r w:rsidRPr="00C6140C">
              <w:rPr>
                <w:b/>
                <w:sz w:val="22"/>
                <w:szCs w:val="22"/>
                <w:lang w:eastAsia="en-US"/>
              </w:rPr>
              <w:t>72 mēneši, ja sākot ar 2020.gadu pieejams finansējums plānoto darbu izpildei:</w:t>
            </w:r>
          </w:p>
          <w:p w:rsidRPr="00C6140C" w:rsidR="006B3788" w:rsidP="00764F4A" w:rsidRDefault="001927D9" w14:paraId="6C76FAED" w14:textId="77777777">
            <w:pPr>
              <w:pStyle w:val="Sarakstarindkopa"/>
              <w:numPr>
                <w:ilvl w:val="0"/>
                <w:numId w:val="1"/>
              </w:numPr>
              <w:ind w:left="267" w:hanging="227"/>
              <w:rPr>
                <w:sz w:val="22"/>
                <w:szCs w:val="22"/>
              </w:rPr>
            </w:pPr>
            <w:r w:rsidRPr="00C6140C">
              <w:rPr>
                <w:sz w:val="22"/>
                <w:szCs w:val="22"/>
                <w:lang w:val="lv-LV"/>
              </w:rPr>
              <w:lastRenderedPageBreak/>
              <w:t xml:space="preserve"> </w:t>
            </w:r>
            <w:r w:rsidRPr="00C6140C" w:rsidR="006B3788">
              <w:rPr>
                <w:sz w:val="22"/>
                <w:szCs w:val="22"/>
              </w:rPr>
              <w:t>Izpētes darbi un projektēšanas uzdevuma izstrāde (t.sk. iepirkums): 2020.gads.</w:t>
            </w:r>
          </w:p>
          <w:p w:rsidRPr="00C6140C" w:rsidR="006B3788" w:rsidP="00764F4A" w:rsidRDefault="001927D9" w14:paraId="2B855627" w14:textId="77777777">
            <w:pPr>
              <w:pStyle w:val="Sarakstarindkopa"/>
              <w:numPr>
                <w:ilvl w:val="0"/>
                <w:numId w:val="1"/>
              </w:numPr>
              <w:ind w:left="267" w:hanging="227"/>
              <w:rPr>
                <w:sz w:val="22"/>
                <w:szCs w:val="22"/>
              </w:rPr>
            </w:pPr>
            <w:r w:rsidRPr="00C6140C">
              <w:rPr>
                <w:sz w:val="22"/>
                <w:szCs w:val="22"/>
                <w:lang w:val="lv-LV"/>
              </w:rPr>
              <w:t xml:space="preserve"> </w:t>
            </w:r>
            <w:r w:rsidRPr="00C6140C" w:rsidR="006B3788">
              <w:rPr>
                <w:sz w:val="22"/>
                <w:szCs w:val="22"/>
              </w:rPr>
              <w:t>Būvprojekta izstrāde un ekspertīze (t.sk. iepirkums): 2021. – 2022.gads.</w:t>
            </w:r>
          </w:p>
          <w:p w:rsidRPr="00C6140C" w:rsidR="006B3788" w:rsidP="00764F4A" w:rsidRDefault="001927D9" w14:paraId="3546D9FB" w14:textId="77777777">
            <w:pPr>
              <w:pStyle w:val="Sarakstarindkopa"/>
              <w:numPr>
                <w:ilvl w:val="0"/>
                <w:numId w:val="1"/>
              </w:numPr>
              <w:ind w:left="267" w:hanging="227"/>
              <w:rPr>
                <w:sz w:val="22"/>
                <w:szCs w:val="22"/>
              </w:rPr>
            </w:pPr>
            <w:r w:rsidRPr="00C6140C">
              <w:rPr>
                <w:sz w:val="22"/>
                <w:szCs w:val="22"/>
                <w:lang w:val="lv-LV"/>
              </w:rPr>
              <w:t xml:space="preserve"> </w:t>
            </w:r>
            <w:r w:rsidRPr="00C6140C" w:rsidR="006B3788">
              <w:rPr>
                <w:sz w:val="22"/>
                <w:szCs w:val="22"/>
              </w:rPr>
              <w:t>Būvdarbi (t.sk. iepirkums): 2022. – 2024.gads.</w:t>
            </w:r>
          </w:p>
          <w:p w:rsidRPr="00C6140C" w:rsidR="006B3788" w:rsidP="00764F4A" w:rsidRDefault="001927D9" w14:paraId="7A25346B" w14:textId="77777777">
            <w:pPr>
              <w:pStyle w:val="Sarakstarindkopa"/>
              <w:numPr>
                <w:ilvl w:val="0"/>
                <w:numId w:val="1"/>
              </w:numPr>
              <w:ind w:left="267" w:hanging="227"/>
              <w:rPr>
                <w:sz w:val="22"/>
                <w:szCs w:val="22"/>
              </w:rPr>
            </w:pPr>
            <w:r w:rsidRPr="00C6140C">
              <w:rPr>
                <w:sz w:val="22"/>
                <w:szCs w:val="22"/>
                <w:lang w:val="lv-LV"/>
              </w:rPr>
              <w:t xml:space="preserve"> </w:t>
            </w:r>
            <w:r w:rsidRPr="00C6140C" w:rsidR="006B3788">
              <w:rPr>
                <w:sz w:val="22"/>
                <w:szCs w:val="22"/>
              </w:rPr>
              <w:t>Nodošana ekspluatācijā: 2024.gada decembris.</w:t>
            </w:r>
          </w:p>
          <w:p w:rsidRPr="00C6140C" w:rsidR="006B3788" w:rsidP="00764F4A" w:rsidRDefault="001927D9" w14:paraId="0058DC98" w14:textId="77777777">
            <w:pPr>
              <w:pStyle w:val="Sarakstarindkopa"/>
              <w:numPr>
                <w:ilvl w:val="0"/>
                <w:numId w:val="1"/>
              </w:numPr>
              <w:ind w:left="267" w:hanging="227"/>
              <w:rPr>
                <w:sz w:val="22"/>
                <w:szCs w:val="22"/>
              </w:rPr>
            </w:pPr>
            <w:r w:rsidRPr="00C6140C">
              <w:rPr>
                <w:sz w:val="22"/>
                <w:szCs w:val="22"/>
                <w:lang w:val="lv-LV"/>
              </w:rPr>
              <w:t xml:space="preserve"> </w:t>
            </w:r>
            <w:r w:rsidRPr="00C6140C" w:rsidR="006B3788">
              <w:rPr>
                <w:sz w:val="22"/>
                <w:szCs w:val="22"/>
              </w:rPr>
              <w:t>Aprīkojuma iegāde un uzstādīšana, LNA krājumu pārvešana: 2024. – 2025.gads.</w:t>
            </w:r>
          </w:p>
          <w:p w:rsidRPr="00C6140C" w:rsidR="006B3788" w:rsidP="00764F4A" w:rsidRDefault="001927D9" w14:paraId="6C136019" w14:textId="77777777">
            <w:pPr>
              <w:pStyle w:val="Sarakstarindkopa"/>
              <w:numPr>
                <w:ilvl w:val="0"/>
                <w:numId w:val="1"/>
              </w:numPr>
              <w:ind w:left="267" w:hanging="227"/>
              <w:rPr>
                <w:sz w:val="22"/>
                <w:szCs w:val="22"/>
              </w:rPr>
            </w:pPr>
            <w:r w:rsidRPr="00C6140C">
              <w:rPr>
                <w:sz w:val="22"/>
                <w:szCs w:val="22"/>
                <w:lang w:val="lv-LV"/>
              </w:rPr>
              <w:t xml:space="preserve"> </w:t>
            </w:r>
            <w:r w:rsidRPr="00C6140C" w:rsidR="006B3788">
              <w:rPr>
                <w:sz w:val="22"/>
                <w:szCs w:val="22"/>
              </w:rPr>
              <w:t>LNA funkcijām un citām valsts funkcijām nevajadzīgo NĪ atsavināšana: 2025. – 2026.gads.</w:t>
            </w:r>
          </w:p>
          <w:p w:rsidRPr="00C6140C" w:rsidR="004B3325" w:rsidP="00764F4A" w:rsidRDefault="006B3788" w14:paraId="3E5A97B8" w14:textId="77777777">
            <w:pPr>
              <w:jc w:val="both"/>
              <w:rPr>
                <w:sz w:val="22"/>
                <w:szCs w:val="22"/>
              </w:rPr>
            </w:pPr>
            <w:r w:rsidRPr="00C6140C">
              <w:rPr>
                <w:sz w:val="22"/>
                <w:szCs w:val="22"/>
                <w:lang w:eastAsia="en-US"/>
              </w:rPr>
              <w:t>Infrastruktūras attīstība var tikt uzsākta katram NĪ individuāli, ņemot vērā LNA darbības nodrošināšanai nepieciešamās infrastruktūras attīstības prioritātes.”</w:t>
            </w:r>
          </w:p>
        </w:tc>
        <w:tc>
          <w:tcPr>
            <w:tcW w:w="1396" w:type="pct"/>
            <w:tcBorders>
              <w:left w:val="single" w:color="000000" w:sz="6" w:space="0"/>
              <w:bottom w:val="single" w:color="auto" w:sz="4" w:space="0"/>
              <w:right w:val="single" w:color="000000" w:sz="6" w:space="0"/>
            </w:tcBorders>
          </w:tcPr>
          <w:p w:rsidRPr="00C6140C" w:rsidR="00C15A26" w:rsidP="00764F4A" w:rsidRDefault="00C15A26" w14:paraId="347B40A4" w14:textId="77777777">
            <w:pPr>
              <w:pStyle w:val="naisc"/>
              <w:spacing w:before="0" w:after="0"/>
              <w:jc w:val="both"/>
              <w:rPr>
                <w:b/>
                <w:sz w:val="22"/>
                <w:szCs w:val="22"/>
              </w:rPr>
            </w:pPr>
            <w:r w:rsidRPr="00C6140C">
              <w:rPr>
                <w:b/>
                <w:sz w:val="22"/>
                <w:szCs w:val="22"/>
              </w:rPr>
              <w:lastRenderedPageBreak/>
              <w:t>Finanšu ministrija:</w:t>
            </w:r>
          </w:p>
          <w:p w:rsidRPr="00C6140C" w:rsidR="00C15A26" w:rsidP="00C6140C" w:rsidRDefault="00C15A26" w14:paraId="776BA266" w14:textId="77777777">
            <w:pPr>
              <w:jc w:val="both"/>
              <w:rPr>
                <w:sz w:val="22"/>
                <w:szCs w:val="22"/>
              </w:rPr>
            </w:pPr>
            <w:r w:rsidRPr="00C6140C">
              <w:rPr>
                <w:sz w:val="22"/>
                <w:szCs w:val="22"/>
              </w:rPr>
              <w:t xml:space="preserve">Atbilstoši konceptuālā ziņojuma 4.3.sadaļā “LNA infrastruktūras optimizācija” sniegtajai informācijai, optimizācijas plāns paredz izpētes darbus un projektēšanas uzdevuma izstrādi veikt 2020.gadā. Lūdzam skaidrot, kā tiks nodrošināts nepieciešamais finansējums 308 071 </w:t>
            </w:r>
            <w:r w:rsidRPr="00C6140C">
              <w:rPr>
                <w:i/>
                <w:sz w:val="22"/>
                <w:szCs w:val="22"/>
              </w:rPr>
              <w:t>euro</w:t>
            </w:r>
            <w:r w:rsidRPr="00C6140C">
              <w:rPr>
                <w:sz w:val="22"/>
                <w:szCs w:val="22"/>
              </w:rPr>
              <w:t xml:space="preserve"> apmērā iepriekš minēto izdevumu segšanai, ņemot vērā, ka visi </w:t>
            </w:r>
            <w:r w:rsidRPr="00C6140C">
              <w:rPr>
                <w:sz w:val="22"/>
                <w:szCs w:val="22"/>
              </w:rPr>
              <w:lastRenderedPageBreak/>
              <w:t>lēmumi attiecībā par papildu finansējuma piešķiršanu 2020.gadam Ministru kabinetā jau ir pieņemti.</w:t>
            </w:r>
          </w:p>
        </w:tc>
        <w:tc>
          <w:tcPr>
            <w:tcW w:w="997" w:type="pct"/>
            <w:tcBorders>
              <w:left w:val="single" w:color="000000" w:sz="6" w:space="0"/>
              <w:bottom w:val="single" w:color="auto" w:sz="4" w:space="0"/>
              <w:right w:val="single" w:color="000000" w:sz="6" w:space="0"/>
            </w:tcBorders>
          </w:tcPr>
          <w:p w:rsidRPr="00C6140C" w:rsidR="00C15A26" w:rsidP="00764F4A" w:rsidRDefault="004B3325" w14:paraId="7742268D" w14:textId="77777777">
            <w:pPr>
              <w:pStyle w:val="naisc"/>
              <w:spacing w:before="0" w:after="0"/>
              <w:ind w:firstLine="31"/>
              <w:rPr>
                <w:b/>
                <w:sz w:val="22"/>
                <w:szCs w:val="22"/>
              </w:rPr>
            </w:pPr>
            <w:r w:rsidRPr="00C6140C">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001927D9" w:rsidP="00764F4A" w:rsidRDefault="006B3788" w14:paraId="3FCDE709" w14:textId="77777777">
            <w:pPr>
              <w:jc w:val="both"/>
              <w:rPr>
                <w:sz w:val="22"/>
                <w:szCs w:val="22"/>
              </w:rPr>
            </w:pPr>
            <w:r w:rsidRPr="00C6140C">
              <w:rPr>
                <w:sz w:val="22"/>
                <w:szCs w:val="22"/>
              </w:rPr>
              <w:t xml:space="preserve">Precizēta konceptuālā ziņojuma </w:t>
            </w:r>
            <w:r w:rsidRPr="00C6140C" w:rsidR="001927D9">
              <w:rPr>
                <w:sz w:val="22"/>
                <w:szCs w:val="22"/>
              </w:rPr>
              <w:t>4.3.nodaļas „LNA infrastruktūras optimizācija” sadaļa „Attīstības projekta īstenošanas ilgums, mēnešos:” šādā redakcijā:</w:t>
            </w:r>
          </w:p>
          <w:p w:rsidRPr="00C6140C" w:rsidR="00301176" w:rsidP="00764F4A" w:rsidRDefault="00301176" w14:paraId="592508D4" w14:textId="77777777">
            <w:pPr>
              <w:jc w:val="both"/>
              <w:rPr>
                <w:sz w:val="22"/>
                <w:szCs w:val="22"/>
              </w:rPr>
            </w:pPr>
          </w:p>
          <w:p w:rsidRPr="00C6140C" w:rsidR="00C91FE3" w:rsidP="00C91FE3" w:rsidRDefault="00C91FE3" w14:paraId="67FA63E8" w14:textId="77777777">
            <w:pPr>
              <w:jc w:val="both"/>
              <w:rPr>
                <w:b/>
                <w:sz w:val="22"/>
                <w:szCs w:val="22"/>
                <w:lang w:eastAsia="en-US"/>
              </w:rPr>
            </w:pPr>
            <w:r w:rsidRPr="00844D35">
              <w:rPr>
                <w:sz w:val="22"/>
                <w:szCs w:val="22"/>
                <w:lang w:eastAsia="en-US"/>
              </w:rPr>
              <w:t>„</w:t>
            </w:r>
            <w:r w:rsidRPr="00C6140C">
              <w:rPr>
                <w:b/>
                <w:sz w:val="22"/>
                <w:szCs w:val="22"/>
                <w:lang w:eastAsia="en-US"/>
              </w:rPr>
              <w:t>60 mēneši jeb 5 gadi (ja</w:t>
            </w:r>
            <w:r w:rsidR="009D639E">
              <w:rPr>
                <w:b/>
                <w:sz w:val="22"/>
                <w:szCs w:val="22"/>
                <w:lang w:eastAsia="en-US"/>
              </w:rPr>
              <w:t>,</w:t>
            </w:r>
            <w:r w:rsidRPr="00C6140C">
              <w:rPr>
                <w:b/>
                <w:sz w:val="22"/>
                <w:szCs w:val="22"/>
                <w:lang w:eastAsia="en-US"/>
              </w:rPr>
              <w:t xml:space="preserve"> sākot ar 2022.gadu</w:t>
            </w:r>
            <w:r w:rsidR="009D639E">
              <w:rPr>
                <w:b/>
                <w:sz w:val="22"/>
                <w:szCs w:val="22"/>
                <w:lang w:eastAsia="en-US"/>
              </w:rPr>
              <w:t>,</w:t>
            </w:r>
            <w:r w:rsidRPr="00C6140C">
              <w:rPr>
                <w:b/>
                <w:sz w:val="22"/>
                <w:szCs w:val="22"/>
                <w:lang w:eastAsia="en-US"/>
              </w:rPr>
              <w:t xml:space="preserve"> pieejams finansējums, attiecīgi plānots uzsākt zemāk minētos darbus):</w:t>
            </w:r>
          </w:p>
          <w:p w:rsidRPr="00C6140C" w:rsidR="00C91FE3" w:rsidP="009D639E" w:rsidRDefault="00C91FE3" w14:paraId="0BD7B8A4" w14:textId="77777777">
            <w:pPr>
              <w:pStyle w:val="Sarakstarindkopa"/>
              <w:numPr>
                <w:ilvl w:val="0"/>
                <w:numId w:val="13"/>
              </w:numPr>
              <w:ind w:left="243" w:hanging="243"/>
              <w:rPr>
                <w:sz w:val="22"/>
                <w:szCs w:val="22"/>
              </w:rPr>
            </w:pPr>
            <w:r w:rsidRPr="00C6140C">
              <w:rPr>
                <w:sz w:val="22"/>
                <w:szCs w:val="22"/>
              </w:rPr>
              <w:lastRenderedPageBreak/>
              <w:t>Izpētes darbi un projektēšanas uzdevuma izstrāde (t.sk. iepirkums): 12 mēneši.</w:t>
            </w:r>
          </w:p>
          <w:p w:rsidRPr="00C6140C" w:rsidR="00C91FE3" w:rsidP="009D639E" w:rsidRDefault="00C91FE3" w14:paraId="6DD31AA1" w14:textId="77777777">
            <w:pPr>
              <w:pStyle w:val="Sarakstarindkopa"/>
              <w:numPr>
                <w:ilvl w:val="0"/>
                <w:numId w:val="13"/>
              </w:numPr>
              <w:ind w:left="243" w:hanging="243"/>
              <w:rPr>
                <w:sz w:val="22"/>
                <w:szCs w:val="22"/>
              </w:rPr>
            </w:pPr>
            <w:r w:rsidRPr="00C6140C">
              <w:rPr>
                <w:sz w:val="22"/>
                <w:szCs w:val="22"/>
              </w:rPr>
              <w:t>Būvprojekta izstrāde un ekspertīze (t.sk. iepirkums): 12</w:t>
            </w:r>
            <w:r w:rsidR="0087466B">
              <w:rPr>
                <w:sz w:val="22"/>
                <w:szCs w:val="22"/>
                <w:lang w:val="lv-LV"/>
              </w:rPr>
              <w:t> </w:t>
            </w:r>
            <w:r w:rsidRPr="00C6140C">
              <w:rPr>
                <w:sz w:val="22"/>
                <w:szCs w:val="22"/>
              </w:rPr>
              <w:t>mēneši</w:t>
            </w:r>
          </w:p>
          <w:p w:rsidRPr="00C6140C" w:rsidR="00C91FE3" w:rsidP="009D639E" w:rsidRDefault="00C91FE3" w14:paraId="56B19563" w14:textId="77777777">
            <w:pPr>
              <w:pStyle w:val="Sarakstarindkopa"/>
              <w:numPr>
                <w:ilvl w:val="0"/>
                <w:numId w:val="13"/>
              </w:numPr>
              <w:ind w:left="243" w:hanging="243"/>
              <w:rPr>
                <w:sz w:val="22"/>
                <w:szCs w:val="22"/>
              </w:rPr>
            </w:pPr>
            <w:r w:rsidRPr="00C6140C">
              <w:rPr>
                <w:sz w:val="22"/>
                <w:szCs w:val="22"/>
              </w:rPr>
              <w:t>Būvdarbi (t.sk. iepirkums): līdz 35 mēneši.</w:t>
            </w:r>
          </w:p>
          <w:p w:rsidRPr="00C6140C" w:rsidR="00C91FE3" w:rsidP="009D639E" w:rsidRDefault="00C91FE3" w14:paraId="75BCDD64" w14:textId="77777777">
            <w:pPr>
              <w:pStyle w:val="Sarakstarindkopa"/>
              <w:numPr>
                <w:ilvl w:val="0"/>
                <w:numId w:val="13"/>
              </w:numPr>
              <w:ind w:left="243" w:hanging="243"/>
              <w:rPr>
                <w:sz w:val="22"/>
                <w:szCs w:val="22"/>
              </w:rPr>
            </w:pPr>
            <w:r w:rsidRPr="00C6140C">
              <w:rPr>
                <w:sz w:val="22"/>
                <w:szCs w:val="22"/>
              </w:rPr>
              <w:t>Nodošana ekspluatācijā: 1</w:t>
            </w:r>
            <w:r w:rsidR="0087466B">
              <w:rPr>
                <w:sz w:val="22"/>
                <w:szCs w:val="22"/>
                <w:lang w:val="lv-LV"/>
              </w:rPr>
              <w:t> </w:t>
            </w:r>
            <w:r w:rsidRPr="00C6140C">
              <w:rPr>
                <w:sz w:val="22"/>
                <w:szCs w:val="22"/>
              </w:rPr>
              <w:t>mēnesis.</w:t>
            </w:r>
          </w:p>
          <w:p w:rsidRPr="00C6140C" w:rsidR="00C91FE3" w:rsidP="009D639E" w:rsidRDefault="00C91FE3" w14:paraId="69862AC7" w14:textId="77777777">
            <w:pPr>
              <w:pStyle w:val="Sarakstarindkopa"/>
              <w:numPr>
                <w:ilvl w:val="0"/>
                <w:numId w:val="13"/>
              </w:numPr>
              <w:ind w:left="243" w:hanging="243"/>
              <w:rPr>
                <w:sz w:val="22"/>
                <w:szCs w:val="22"/>
              </w:rPr>
            </w:pPr>
            <w:r w:rsidRPr="00C6140C">
              <w:rPr>
                <w:sz w:val="22"/>
                <w:szCs w:val="22"/>
              </w:rPr>
              <w:t>Aprīkojuma iegāde un uzstādīšana, LNA krājumu pārvešana: 12 mēneši (norit vienlaikus ar 3.</w:t>
            </w:r>
            <w:r w:rsidR="0087466B">
              <w:rPr>
                <w:sz w:val="22"/>
                <w:szCs w:val="22"/>
                <w:lang w:val="lv-LV"/>
              </w:rPr>
              <w:t xml:space="preserve"> </w:t>
            </w:r>
            <w:r w:rsidRPr="00C6140C">
              <w:rPr>
                <w:sz w:val="22"/>
                <w:szCs w:val="22"/>
              </w:rPr>
              <w:t>un 4.punktā minētajām darbībām).</w:t>
            </w:r>
          </w:p>
          <w:p w:rsidRPr="00C6140C" w:rsidR="00C91FE3" w:rsidP="009D639E" w:rsidRDefault="00C91FE3" w14:paraId="5B241265" w14:textId="77777777">
            <w:pPr>
              <w:pStyle w:val="Sarakstarindkopa"/>
              <w:numPr>
                <w:ilvl w:val="0"/>
                <w:numId w:val="13"/>
              </w:numPr>
              <w:ind w:left="243" w:hanging="243"/>
              <w:rPr>
                <w:sz w:val="22"/>
                <w:szCs w:val="22"/>
              </w:rPr>
            </w:pPr>
            <w:r w:rsidRPr="00C6140C">
              <w:rPr>
                <w:sz w:val="22"/>
                <w:szCs w:val="22"/>
              </w:rPr>
              <w:t>LNA funkcijām un citām valsts funkcijām nevajadzīgo NĪ atsavināšana.</w:t>
            </w:r>
          </w:p>
          <w:p w:rsidRPr="009D0E70" w:rsidR="00C15A26" w:rsidDel="004D7E2D" w:rsidP="00C91FE3" w:rsidRDefault="00C91FE3" w14:paraId="11E2A16F" w14:textId="77777777">
            <w:pPr>
              <w:pStyle w:val="Paraststmeklis"/>
              <w:spacing w:before="0" w:beforeAutospacing="0" w:after="0" w:afterAutospacing="0"/>
              <w:jc w:val="both"/>
              <w:rPr>
                <w:sz w:val="22"/>
                <w:szCs w:val="22"/>
              </w:rPr>
            </w:pPr>
            <w:r w:rsidRPr="00C6140C">
              <w:rPr>
                <w:sz w:val="22"/>
                <w:szCs w:val="22"/>
                <w:lang w:eastAsia="en-US"/>
              </w:rPr>
              <w:t>Infrastruktūras attīstība var tikt uzsākta katram NĪ individuāli, ņemot vērā LNA darbības nodrošināšanai nepieciešamās infrastruktūras attīstības prioritātes.</w:t>
            </w:r>
            <w:r w:rsidR="0087466B">
              <w:rPr>
                <w:sz w:val="22"/>
                <w:szCs w:val="22"/>
                <w:lang w:eastAsia="en-US"/>
              </w:rPr>
              <w:t>”</w:t>
            </w:r>
          </w:p>
        </w:tc>
      </w:tr>
      <w:tr w:rsidRPr="00C6140C" w:rsidR="00554D2F" w:rsidTr="00523CF0" w14:paraId="0B884F81" w14:textId="77777777">
        <w:tc>
          <w:tcPr>
            <w:tcW w:w="236" w:type="pct"/>
            <w:tcBorders>
              <w:left w:val="single" w:color="000000" w:sz="6" w:space="0"/>
              <w:bottom w:val="single" w:color="auto" w:sz="4" w:space="0"/>
              <w:right w:val="single" w:color="000000" w:sz="6" w:space="0"/>
            </w:tcBorders>
          </w:tcPr>
          <w:p w:rsidRPr="00C6140C" w:rsidR="00554D2F" w:rsidP="00E53E2B" w:rsidRDefault="00F97A06" w14:paraId="4A391467" w14:textId="479C6A71">
            <w:pPr>
              <w:pStyle w:val="naisc"/>
              <w:spacing w:before="0" w:after="0"/>
              <w:ind w:firstLine="22"/>
              <w:rPr>
                <w:sz w:val="22"/>
                <w:szCs w:val="22"/>
              </w:rPr>
            </w:pPr>
            <w:r w:rsidRPr="00C6140C">
              <w:rPr>
                <w:sz w:val="22"/>
                <w:szCs w:val="22"/>
              </w:rPr>
              <w:lastRenderedPageBreak/>
              <w:t>1</w:t>
            </w:r>
            <w:r w:rsidR="00526324">
              <w:rPr>
                <w:sz w:val="22"/>
                <w:szCs w:val="22"/>
              </w:rPr>
              <w:t>9</w:t>
            </w:r>
            <w:r w:rsidRPr="00C6140C" w:rsidR="00250CC3">
              <w:rPr>
                <w:sz w:val="22"/>
                <w:szCs w:val="22"/>
              </w:rPr>
              <w:t>.</w:t>
            </w:r>
          </w:p>
        </w:tc>
        <w:tc>
          <w:tcPr>
            <w:tcW w:w="1197" w:type="pct"/>
            <w:tcBorders>
              <w:left w:val="single" w:color="000000" w:sz="6" w:space="0"/>
              <w:bottom w:val="single" w:color="auto" w:sz="4" w:space="0"/>
              <w:right w:val="single" w:color="000000" w:sz="6" w:space="0"/>
            </w:tcBorders>
          </w:tcPr>
          <w:p w:rsidRPr="00C6140C" w:rsidR="003F57C5" w:rsidP="00764F4A" w:rsidRDefault="003F57C5" w14:paraId="0AD0950E" w14:textId="77777777">
            <w:pPr>
              <w:jc w:val="both"/>
              <w:rPr>
                <w:sz w:val="22"/>
                <w:szCs w:val="22"/>
              </w:rPr>
            </w:pPr>
            <w:r w:rsidRPr="00C6140C">
              <w:rPr>
                <w:sz w:val="22"/>
                <w:szCs w:val="22"/>
              </w:rPr>
              <w:t>Konceptuālā ziņojuma 4.3.nodaļas „LNA infrastruktūras optimizācija” sadaļas „Ierobežojumi, jeb riski:” 2.punkta pēdējais teikums:</w:t>
            </w:r>
          </w:p>
          <w:p w:rsidRPr="00C6140C" w:rsidR="003F57C5" w:rsidP="00764F4A" w:rsidRDefault="003F57C5" w14:paraId="7EF2E132" w14:textId="77777777">
            <w:pPr>
              <w:jc w:val="both"/>
              <w:rPr>
                <w:sz w:val="22"/>
                <w:szCs w:val="22"/>
              </w:rPr>
            </w:pPr>
          </w:p>
          <w:p w:rsidRPr="00C6140C" w:rsidR="00AF06AE" w:rsidP="00764F4A" w:rsidRDefault="00AF06AE" w14:paraId="46B63453" w14:textId="77777777">
            <w:pPr>
              <w:jc w:val="both"/>
              <w:rPr>
                <w:sz w:val="22"/>
                <w:szCs w:val="22"/>
              </w:rPr>
            </w:pPr>
            <w:r w:rsidRPr="00C6140C">
              <w:rPr>
                <w:sz w:val="22"/>
                <w:szCs w:val="22"/>
                <w:lang w:eastAsia="en-US"/>
              </w:rPr>
              <w:t>„Ņemot vērā minēto, tiek izskatīti arī citi risinājumi LNA darbības nodrošināšanai Vidzemes reģionā.”</w:t>
            </w:r>
          </w:p>
        </w:tc>
        <w:tc>
          <w:tcPr>
            <w:tcW w:w="1396" w:type="pct"/>
            <w:tcBorders>
              <w:left w:val="single" w:color="000000" w:sz="6" w:space="0"/>
              <w:bottom w:val="single" w:color="auto" w:sz="4" w:space="0"/>
              <w:right w:val="single" w:color="000000" w:sz="6" w:space="0"/>
            </w:tcBorders>
          </w:tcPr>
          <w:p w:rsidRPr="00C6140C" w:rsidR="00554D2F" w:rsidP="00764F4A" w:rsidRDefault="00565A94" w14:paraId="5702230D" w14:textId="77777777">
            <w:pPr>
              <w:pStyle w:val="naisc"/>
              <w:spacing w:before="0" w:after="0"/>
              <w:jc w:val="both"/>
              <w:rPr>
                <w:b/>
                <w:sz w:val="22"/>
                <w:szCs w:val="22"/>
              </w:rPr>
            </w:pPr>
            <w:r w:rsidRPr="00C6140C">
              <w:rPr>
                <w:b/>
                <w:sz w:val="22"/>
                <w:szCs w:val="22"/>
              </w:rPr>
              <w:t>Finanšu ministrija:</w:t>
            </w:r>
          </w:p>
          <w:p w:rsidRPr="00C6140C" w:rsidR="00C15A26" w:rsidP="00C6140C" w:rsidRDefault="000E3132" w14:paraId="08078DD5" w14:textId="77777777">
            <w:pPr>
              <w:jc w:val="both"/>
              <w:rPr>
                <w:b/>
                <w:sz w:val="22"/>
                <w:szCs w:val="22"/>
              </w:rPr>
            </w:pPr>
            <w:r w:rsidRPr="00C6140C">
              <w:rPr>
                <w:sz w:val="22"/>
                <w:szCs w:val="22"/>
              </w:rPr>
              <w:t xml:space="preserve">Ņemot vērā konceptuālā ziņojuma 4.3.tabulā norādīto informāciju attiecībā uz Vidzemes reģiona centra izveidi, kas, iespējams, ietvers gan esošas ēkas demontāžu, gan būves atsavināšanu sabiedrības vajadzībām normatīvajos aktos noteiktajā kārtībā, kā arī vienlaikus norādīto, ka tiek izskatīti arī citi risinājumi, lūdzam: 1) sniegt skaidrojumu, vai 11 655 210 </w:t>
            </w:r>
            <w:r w:rsidRPr="00C6140C">
              <w:rPr>
                <w:i/>
                <w:sz w:val="22"/>
                <w:szCs w:val="22"/>
              </w:rPr>
              <w:t>euro</w:t>
            </w:r>
            <w:r w:rsidRPr="00C6140C">
              <w:rPr>
                <w:sz w:val="22"/>
                <w:szCs w:val="22"/>
              </w:rPr>
              <w:t xml:space="preserve"> (bez PVN), kas ir norādīti 23.lpp., ietver tikai ēkas </w:t>
            </w:r>
            <w:r w:rsidRPr="00C6140C">
              <w:rPr>
                <w:sz w:val="22"/>
                <w:szCs w:val="22"/>
              </w:rPr>
              <w:lastRenderedPageBreak/>
              <w:t>būvniecību, vai arī tajā skaitā arī izmaksas saistībā ar esošās būves atsavināšanu un demontāžu; 2) papildināt konceptuālo ziņojumu saistībā ar citiem izskatītajiem variantiem gadījumā, ja nebūs iespējams realizēt ieceri saistībā ar objektu Festivāla ielā 43, Cēsīs.</w:t>
            </w:r>
          </w:p>
        </w:tc>
        <w:tc>
          <w:tcPr>
            <w:tcW w:w="997" w:type="pct"/>
            <w:tcBorders>
              <w:left w:val="single" w:color="000000" w:sz="6" w:space="0"/>
              <w:bottom w:val="single" w:color="auto" w:sz="4" w:space="0"/>
              <w:right w:val="single" w:color="000000" w:sz="6" w:space="0"/>
            </w:tcBorders>
          </w:tcPr>
          <w:p w:rsidRPr="00C6140C" w:rsidR="00554D2F" w:rsidP="00764F4A" w:rsidRDefault="008909A0" w14:paraId="24D8CB45" w14:textId="77777777">
            <w:pPr>
              <w:pStyle w:val="naisc"/>
              <w:spacing w:before="0" w:after="0"/>
              <w:ind w:firstLine="31"/>
              <w:rPr>
                <w:b/>
                <w:sz w:val="22"/>
                <w:szCs w:val="22"/>
              </w:rPr>
            </w:pPr>
            <w:r w:rsidRPr="00C6140C">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C6140C" w:rsidR="00554D2F" w:rsidP="00764F4A" w:rsidRDefault="00AF06AE" w14:paraId="2BFAD3F5" w14:textId="77777777">
            <w:pPr>
              <w:pStyle w:val="Paraststmeklis"/>
              <w:spacing w:before="0" w:beforeAutospacing="0" w:after="0" w:afterAutospacing="0"/>
              <w:jc w:val="both"/>
              <w:rPr>
                <w:sz w:val="22"/>
                <w:szCs w:val="22"/>
              </w:rPr>
            </w:pPr>
            <w:r w:rsidRPr="00C6140C">
              <w:rPr>
                <w:sz w:val="22"/>
                <w:szCs w:val="22"/>
              </w:rPr>
              <w:t xml:space="preserve">Konceptuālā </w:t>
            </w:r>
            <w:r w:rsidRPr="00C6140C" w:rsidR="005645D9">
              <w:rPr>
                <w:sz w:val="22"/>
                <w:szCs w:val="22"/>
              </w:rPr>
              <w:t>ziņojuma</w:t>
            </w:r>
            <w:r w:rsidRPr="00C6140C" w:rsidR="0036650A">
              <w:rPr>
                <w:sz w:val="22"/>
                <w:szCs w:val="22"/>
              </w:rPr>
              <w:t xml:space="preserve"> </w:t>
            </w:r>
            <w:r w:rsidRPr="00C6140C" w:rsidR="003F57C5">
              <w:rPr>
                <w:sz w:val="22"/>
                <w:szCs w:val="22"/>
              </w:rPr>
              <w:t xml:space="preserve">5.2.nodaļas </w:t>
            </w:r>
            <w:r w:rsidRPr="00C6140C" w:rsidR="005645D9">
              <w:rPr>
                <w:sz w:val="22"/>
                <w:szCs w:val="22"/>
              </w:rPr>
              <w:t xml:space="preserve"> </w:t>
            </w:r>
            <w:r w:rsidRPr="00C6140C" w:rsidR="003F57C5">
              <w:rPr>
                <w:sz w:val="22"/>
                <w:szCs w:val="22"/>
              </w:rPr>
              <w:t>„Finansējums attīstības izdevumu segšanai” tabula Nr.3 „Alternatīvas „Latvijas Nacionālā arhīva infrastruktūras optimizācija” attīstības izmaksas”</w:t>
            </w:r>
            <w:r w:rsidRPr="009D0E70" w:rsidR="003F57C5">
              <w:rPr>
                <w:sz w:val="22"/>
                <w:szCs w:val="22"/>
              </w:rPr>
              <w:t xml:space="preserve"> papildināta ar </w:t>
            </w:r>
            <w:r w:rsidRPr="00C6140C" w:rsidR="005645D9">
              <w:rPr>
                <w:sz w:val="22"/>
                <w:szCs w:val="22"/>
              </w:rPr>
              <w:t>skaidrojum</w:t>
            </w:r>
            <w:r w:rsidRPr="00C6140C" w:rsidR="003F57C5">
              <w:rPr>
                <w:sz w:val="22"/>
                <w:szCs w:val="22"/>
              </w:rPr>
              <w:t>u</w:t>
            </w:r>
            <w:r w:rsidRPr="00C6140C" w:rsidR="005645D9">
              <w:rPr>
                <w:sz w:val="22"/>
                <w:szCs w:val="22"/>
              </w:rPr>
              <w:t xml:space="preserve"> </w:t>
            </w:r>
            <w:r w:rsidRPr="00C6140C" w:rsidR="003F57C5">
              <w:rPr>
                <w:sz w:val="22"/>
                <w:szCs w:val="22"/>
              </w:rPr>
              <w:t xml:space="preserve">par </w:t>
            </w:r>
            <w:r w:rsidRPr="00C6140C" w:rsidR="005645D9">
              <w:rPr>
                <w:sz w:val="22"/>
                <w:szCs w:val="22"/>
              </w:rPr>
              <w:t>tabulā iekļautajām izmaksām par jaunas ēkas būvniecību Cēsīs:</w:t>
            </w:r>
          </w:p>
          <w:p w:rsidRPr="00C6140C" w:rsidR="005645D9" w:rsidP="00764F4A" w:rsidRDefault="005645D9" w14:paraId="50A23931" w14:textId="77777777">
            <w:pPr>
              <w:pStyle w:val="Paraststmeklis"/>
              <w:spacing w:before="0" w:beforeAutospacing="0" w:after="0" w:afterAutospacing="0"/>
              <w:jc w:val="both"/>
              <w:rPr>
                <w:sz w:val="22"/>
                <w:szCs w:val="22"/>
              </w:rPr>
            </w:pPr>
          </w:p>
          <w:p w:rsidRPr="00C6140C" w:rsidR="0036650A" w:rsidDel="004D7E2D" w:rsidP="00764F4A" w:rsidRDefault="005645D9" w14:paraId="7A78E8CF" w14:textId="77777777">
            <w:pPr>
              <w:pStyle w:val="Paraststmeklis"/>
              <w:spacing w:before="0" w:beforeAutospacing="0" w:after="0" w:afterAutospacing="0"/>
              <w:jc w:val="both"/>
              <w:rPr>
                <w:sz w:val="22"/>
                <w:szCs w:val="22"/>
              </w:rPr>
            </w:pPr>
            <w:bookmarkStart w:name="_Hlk51329576" w:id="3"/>
            <w:r w:rsidRPr="00C6140C">
              <w:rPr>
                <w:sz w:val="22"/>
                <w:szCs w:val="22"/>
              </w:rPr>
              <w:t>*</w:t>
            </w:r>
            <w:r w:rsidR="004C3BDC">
              <w:rPr>
                <w:sz w:val="22"/>
                <w:szCs w:val="22"/>
              </w:rPr>
              <w:t>*</w:t>
            </w:r>
            <w:r w:rsidRPr="00C6140C">
              <w:rPr>
                <w:sz w:val="22"/>
                <w:szCs w:val="22"/>
              </w:rPr>
              <w:t xml:space="preserve">Kopējās izmaksās nav iekļautas saistībā ar objektā Festivāla ielā </w:t>
            </w:r>
            <w:r w:rsidRPr="00C6140C">
              <w:rPr>
                <w:sz w:val="22"/>
                <w:szCs w:val="22"/>
              </w:rPr>
              <w:lastRenderedPageBreak/>
              <w:t>43, Cēsīs esošās būves atsavināšanu un demontāžu (šobrīd ar Cēsu novada pašvaldību tiek risināts jautājums par pienākumu vidi degradējošās un bīstamās būves, kas ir zemesgrāmatā nereģistrēts trešās personas īpašums, sakārtošanai vai demontāžai)”</w:t>
            </w:r>
            <w:r w:rsidRPr="00C6140C" w:rsidR="003F57C5">
              <w:rPr>
                <w:sz w:val="22"/>
                <w:szCs w:val="22"/>
              </w:rPr>
              <w:t>.</w:t>
            </w:r>
            <w:bookmarkEnd w:id="3"/>
          </w:p>
        </w:tc>
      </w:tr>
      <w:tr w:rsidRPr="00C6140C" w:rsidR="007F3A81" w:rsidTr="00523CF0" w14:paraId="617797B1" w14:textId="77777777">
        <w:tc>
          <w:tcPr>
            <w:tcW w:w="236" w:type="pct"/>
            <w:tcBorders>
              <w:left w:val="single" w:color="000000" w:sz="6" w:space="0"/>
              <w:bottom w:val="single" w:color="auto" w:sz="4" w:space="0"/>
              <w:right w:val="single" w:color="000000" w:sz="6" w:space="0"/>
            </w:tcBorders>
          </w:tcPr>
          <w:p w:rsidRPr="00C6140C" w:rsidR="00C15A26" w:rsidP="00E53E2B" w:rsidRDefault="00526324" w14:paraId="075EB68C" w14:textId="2A7A01BC">
            <w:pPr>
              <w:pStyle w:val="naisc"/>
              <w:spacing w:before="0" w:after="0"/>
              <w:ind w:firstLine="22"/>
              <w:rPr>
                <w:sz w:val="22"/>
                <w:szCs w:val="22"/>
              </w:rPr>
            </w:pPr>
            <w:r>
              <w:rPr>
                <w:sz w:val="22"/>
                <w:szCs w:val="22"/>
              </w:rPr>
              <w:lastRenderedPageBreak/>
              <w:t>20</w:t>
            </w:r>
            <w:r w:rsidRPr="00C6140C" w:rsidR="00250CC3">
              <w:rPr>
                <w:sz w:val="22"/>
                <w:szCs w:val="22"/>
              </w:rPr>
              <w:t>.</w:t>
            </w:r>
          </w:p>
        </w:tc>
        <w:tc>
          <w:tcPr>
            <w:tcW w:w="1197" w:type="pct"/>
            <w:tcBorders>
              <w:left w:val="single" w:color="000000" w:sz="6" w:space="0"/>
              <w:bottom w:val="single" w:color="auto" w:sz="4" w:space="0"/>
              <w:right w:val="single" w:color="000000" w:sz="6" w:space="0"/>
            </w:tcBorders>
          </w:tcPr>
          <w:p w:rsidRPr="00C6140C" w:rsidR="00C15A26" w:rsidP="00764F4A" w:rsidRDefault="00962437" w14:paraId="578DD28E" w14:textId="77777777">
            <w:pPr>
              <w:jc w:val="both"/>
              <w:rPr>
                <w:sz w:val="22"/>
                <w:szCs w:val="22"/>
              </w:rPr>
            </w:pPr>
            <w:r w:rsidRPr="00C6140C">
              <w:rPr>
                <w:sz w:val="22"/>
                <w:szCs w:val="22"/>
              </w:rPr>
              <w:t>Konceptuāl</w:t>
            </w:r>
            <w:r w:rsidRPr="00C6140C" w:rsidR="003F57C5">
              <w:rPr>
                <w:sz w:val="22"/>
                <w:szCs w:val="22"/>
              </w:rPr>
              <w:t>ā</w:t>
            </w:r>
            <w:r w:rsidRPr="00C6140C">
              <w:rPr>
                <w:sz w:val="22"/>
                <w:szCs w:val="22"/>
              </w:rPr>
              <w:t xml:space="preserve"> ziņojum</w:t>
            </w:r>
            <w:r w:rsidRPr="00C6140C" w:rsidR="003F57C5">
              <w:rPr>
                <w:sz w:val="22"/>
                <w:szCs w:val="22"/>
              </w:rPr>
              <w:t xml:space="preserve">a 5.3.nodaļas „Attīstības izmaksu potenciālie finansēšanas avoti” </w:t>
            </w:r>
            <w:r w:rsidRPr="00C6140C" w:rsidR="00AF06AE">
              <w:rPr>
                <w:sz w:val="22"/>
                <w:szCs w:val="22"/>
              </w:rPr>
              <w:t>sadaļa „Secinājumi”</w:t>
            </w:r>
            <w:r w:rsidRPr="00C6140C" w:rsidR="003F57C5">
              <w:rPr>
                <w:sz w:val="22"/>
                <w:szCs w:val="22"/>
              </w:rPr>
              <w:t>.</w:t>
            </w:r>
          </w:p>
        </w:tc>
        <w:tc>
          <w:tcPr>
            <w:tcW w:w="1396" w:type="pct"/>
            <w:tcBorders>
              <w:left w:val="single" w:color="000000" w:sz="6" w:space="0"/>
              <w:bottom w:val="single" w:color="auto" w:sz="4" w:space="0"/>
              <w:right w:val="single" w:color="000000" w:sz="6" w:space="0"/>
            </w:tcBorders>
          </w:tcPr>
          <w:p w:rsidRPr="00C6140C" w:rsidR="00C15A26" w:rsidP="00764F4A" w:rsidRDefault="00C15A26" w14:paraId="76D3662D" w14:textId="77777777">
            <w:pPr>
              <w:pStyle w:val="naisc"/>
              <w:spacing w:before="0" w:after="0"/>
              <w:jc w:val="both"/>
              <w:rPr>
                <w:b/>
                <w:sz w:val="22"/>
                <w:szCs w:val="22"/>
              </w:rPr>
            </w:pPr>
            <w:r w:rsidRPr="00C6140C">
              <w:rPr>
                <w:b/>
                <w:sz w:val="22"/>
                <w:szCs w:val="22"/>
              </w:rPr>
              <w:t>Finanšu ministrija:</w:t>
            </w:r>
          </w:p>
          <w:p w:rsidRPr="00C6140C" w:rsidR="00C15A26" w:rsidP="00764F4A" w:rsidRDefault="000E3132" w14:paraId="2703CF53" w14:textId="77777777">
            <w:pPr>
              <w:pStyle w:val="naisc"/>
              <w:spacing w:before="0" w:after="0"/>
              <w:jc w:val="both"/>
              <w:rPr>
                <w:b/>
                <w:sz w:val="22"/>
                <w:szCs w:val="22"/>
              </w:rPr>
            </w:pPr>
            <w:r w:rsidRPr="00C6140C">
              <w:rPr>
                <w:sz w:val="22"/>
                <w:szCs w:val="22"/>
              </w:rPr>
              <w:t xml:space="preserve">Ņemot vērā, ka konceptuālā ziņojuma 5.3.sadaļā “Attīstības izmaksu potenciālie finansēšanas avoti” tiek minēti dažādi finansēšanas avoti, lūdzam konceptuālā ziņojuma sadaļā pie secinājumiem norādīt, kurš finansēšanas avots ir plānots alternatīvas “LNA infrastruktūras optimizācija” attīstības un aprīkojuma izmaksu segšanai 79,7 milj. </w:t>
            </w:r>
            <w:r w:rsidRPr="00C6140C">
              <w:rPr>
                <w:i/>
                <w:sz w:val="22"/>
                <w:szCs w:val="22"/>
              </w:rPr>
              <w:t xml:space="preserve">euro </w:t>
            </w:r>
            <w:r w:rsidRPr="00C6140C">
              <w:rPr>
                <w:sz w:val="22"/>
                <w:szCs w:val="22"/>
              </w:rPr>
              <w:t>apmērā.</w:t>
            </w:r>
          </w:p>
        </w:tc>
        <w:tc>
          <w:tcPr>
            <w:tcW w:w="997" w:type="pct"/>
            <w:tcBorders>
              <w:left w:val="single" w:color="000000" w:sz="6" w:space="0"/>
              <w:bottom w:val="single" w:color="auto" w:sz="4" w:space="0"/>
              <w:right w:val="single" w:color="000000" w:sz="6" w:space="0"/>
            </w:tcBorders>
          </w:tcPr>
          <w:p w:rsidRPr="00C6140C" w:rsidR="00C15A26" w:rsidP="00764F4A" w:rsidRDefault="00AF06AE" w14:paraId="58356A1C" w14:textId="77777777">
            <w:pPr>
              <w:pStyle w:val="naisc"/>
              <w:spacing w:before="0" w:after="0"/>
              <w:ind w:firstLine="31"/>
              <w:rPr>
                <w:b/>
                <w:sz w:val="22"/>
                <w:szCs w:val="22"/>
              </w:rPr>
            </w:pPr>
            <w:r w:rsidRPr="00C6140C">
              <w:rPr>
                <w:b/>
                <w:sz w:val="22"/>
                <w:szCs w:val="22"/>
              </w:rPr>
              <w:t xml:space="preserve">Ņemts vērā </w:t>
            </w:r>
          </w:p>
        </w:tc>
        <w:tc>
          <w:tcPr>
            <w:tcW w:w="1174" w:type="pct"/>
            <w:tcBorders>
              <w:top w:val="single" w:color="auto" w:sz="4" w:space="0"/>
              <w:left w:val="single" w:color="auto" w:sz="4" w:space="0"/>
              <w:bottom w:val="single" w:color="auto" w:sz="4" w:space="0"/>
            </w:tcBorders>
          </w:tcPr>
          <w:p w:rsidRPr="00C6140C" w:rsidR="00AF06AE" w:rsidP="00764F4A" w:rsidRDefault="00F1701F" w14:paraId="14348E8A" w14:textId="7C88B742">
            <w:pPr>
              <w:pStyle w:val="Paraststmeklis"/>
              <w:spacing w:before="0" w:beforeAutospacing="0" w:after="0" w:afterAutospacing="0"/>
              <w:jc w:val="both"/>
              <w:rPr>
                <w:sz w:val="22"/>
                <w:szCs w:val="22"/>
              </w:rPr>
            </w:pPr>
            <w:r w:rsidRPr="00C6140C">
              <w:rPr>
                <w:sz w:val="22"/>
                <w:szCs w:val="22"/>
              </w:rPr>
              <w:t>Konceptuālā ziņojuma 5.3.nodaļas „Attīstības izmaksu potenciālie finansēšanas avoti” sadaļa „Secinājumi” papildināta ar šādu informāciju</w:t>
            </w:r>
            <w:r w:rsidRPr="00C6140C" w:rsidR="00AF06AE">
              <w:rPr>
                <w:sz w:val="22"/>
                <w:szCs w:val="22"/>
              </w:rPr>
              <w:t>:</w:t>
            </w:r>
          </w:p>
          <w:p w:rsidRPr="00C6140C" w:rsidR="00F1701F" w:rsidP="00764F4A" w:rsidRDefault="00F1701F" w14:paraId="3F4CF9DB" w14:textId="77777777">
            <w:pPr>
              <w:pStyle w:val="Paraststmeklis"/>
              <w:spacing w:before="0" w:beforeAutospacing="0" w:after="0" w:afterAutospacing="0"/>
              <w:jc w:val="both"/>
              <w:rPr>
                <w:sz w:val="22"/>
                <w:szCs w:val="22"/>
              </w:rPr>
            </w:pPr>
          </w:p>
          <w:p w:rsidRPr="00C6140C" w:rsidR="00AF06AE" w:rsidP="00764F4A" w:rsidRDefault="00F1701F" w14:paraId="071A2978" w14:textId="77777777">
            <w:pPr>
              <w:jc w:val="both"/>
              <w:rPr>
                <w:sz w:val="22"/>
                <w:szCs w:val="22"/>
              </w:rPr>
            </w:pPr>
            <w:r w:rsidRPr="00C6140C">
              <w:rPr>
                <w:sz w:val="22"/>
                <w:szCs w:val="22"/>
              </w:rPr>
              <w:t>„</w:t>
            </w:r>
            <w:r w:rsidRPr="00C6140C" w:rsidR="00AF06AE">
              <w:rPr>
                <w:sz w:val="22"/>
                <w:szCs w:val="22"/>
              </w:rPr>
              <w:t>Atbalstot konceptuālajā ziņojumā ietverto 3.risinājuma variantu, kas paredz LNA infrastruktūras optimizāciju, jāņem vērā šobrīd plānotie iespējamie finansējuma avoti LNA infrastruktūras attīstībai nepieciešamo izdevumu segšanai 79,</w:t>
            </w:r>
            <w:r w:rsidRPr="00C6140C" w:rsidR="00811AA5">
              <w:rPr>
                <w:sz w:val="22"/>
                <w:szCs w:val="22"/>
              </w:rPr>
              <w:t>8</w:t>
            </w:r>
            <w:r w:rsidRPr="00C6140C" w:rsidR="00AF06AE">
              <w:rPr>
                <w:sz w:val="22"/>
                <w:szCs w:val="22"/>
              </w:rPr>
              <w:t xml:space="preserve"> milj. </w:t>
            </w:r>
            <w:r w:rsidRPr="00C6140C">
              <w:rPr>
                <w:i/>
                <w:sz w:val="22"/>
                <w:szCs w:val="22"/>
              </w:rPr>
              <w:t>euro</w:t>
            </w:r>
            <w:r w:rsidRPr="00C6140C" w:rsidR="00AF06AE">
              <w:rPr>
                <w:sz w:val="22"/>
                <w:szCs w:val="22"/>
              </w:rPr>
              <w:t xml:space="preserve"> apmērā:</w:t>
            </w:r>
          </w:p>
          <w:p w:rsidRPr="00C6140C" w:rsidR="00F1701F" w:rsidP="00764F4A" w:rsidRDefault="00F1701F" w14:paraId="11B58B15" w14:textId="77777777">
            <w:pPr>
              <w:jc w:val="both"/>
              <w:rPr>
                <w:sz w:val="22"/>
                <w:szCs w:val="22"/>
              </w:rPr>
            </w:pPr>
          </w:p>
          <w:p w:rsidRPr="00C6140C" w:rsidR="00AF06AE" w:rsidP="00764F4A" w:rsidRDefault="00F1701F" w14:paraId="7CA557BA" w14:textId="77777777">
            <w:pPr>
              <w:pStyle w:val="Sarakstarindkopa"/>
              <w:numPr>
                <w:ilvl w:val="1"/>
                <w:numId w:val="3"/>
              </w:numPr>
              <w:ind w:left="227" w:hanging="227"/>
              <w:rPr>
                <w:sz w:val="22"/>
                <w:szCs w:val="22"/>
              </w:rPr>
            </w:pPr>
            <w:r w:rsidRPr="00C6140C">
              <w:rPr>
                <w:sz w:val="22"/>
                <w:szCs w:val="22"/>
                <w:lang w:val="lv-LV"/>
              </w:rPr>
              <w:t xml:space="preserve"> </w:t>
            </w:r>
            <w:r w:rsidRPr="00C6140C" w:rsidR="00AF06AE">
              <w:rPr>
                <w:sz w:val="22"/>
                <w:szCs w:val="22"/>
              </w:rPr>
              <w:t>Eiropas Savienības fondu finansējums – ņemot vērā Eiropas Savienības fondu nosacījumus, tiks identificēt</w:t>
            </w:r>
            <w:r w:rsidRPr="00C6140C">
              <w:rPr>
                <w:sz w:val="22"/>
                <w:szCs w:val="22"/>
                <w:lang w:val="lv-LV"/>
              </w:rPr>
              <w:t>s</w:t>
            </w:r>
            <w:r w:rsidRPr="00C6140C" w:rsidR="00AF06AE">
              <w:rPr>
                <w:sz w:val="22"/>
                <w:szCs w:val="22"/>
              </w:rPr>
              <w:t xml:space="preserve"> iespējamais finansējuma apjoms</w:t>
            </w:r>
            <w:r w:rsidRPr="00C6140C">
              <w:rPr>
                <w:sz w:val="22"/>
                <w:szCs w:val="22"/>
                <w:lang w:val="lv-LV"/>
              </w:rPr>
              <w:t>;</w:t>
            </w:r>
          </w:p>
          <w:p w:rsidRPr="00C6140C" w:rsidR="00C15A26" w:rsidDel="004D7E2D" w:rsidP="009D0E70" w:rsidRDefault="00F1701F" w14:paraId="6E237620" w14:textId="77777777">
            <w:pPr>
              <w:pStyle w:val="Sarakstarindkopa"/>
              <w:numPr>
                <w:ilvl w:val="1"/>
                <w:numId w:val="3"/>
              </w:numPr>
              <w:ind w:left="227" w:hanging="227"/>
              <w:rPr>
                <w:sz w:val="22"/>
                <w:szCs w:val="22"/>
              </w:rPr>
            </w:pPr>
            <w:r w:rsidRPr="00C6140C">
              <w:rPr>
                <w:sz w:val="22"/>
                <w:szCs w:val="22"/>
                <w:lang w:val="lv-LV"/>
              </w:rPr>
              <w:t xml:space="preserve"> v</w:t>
            </w:r>
            <w:proofErr w:type="spellStart"/>
            <w:r w:rsidRPr="00C6140C" w:rsidR="00AF06AE">
              <w:rPr>
                <w:sz w:val="22"/>
                <w:szCs w:val="22"/>
              </w:rPr>
              <w:t>alsts</w:t>
            </w:r>
            <w:proofErr w:type="spellEnd"/>
            <w:r w:rsidRPr="00C6140C" w:rsidR="00AF06AE">
              <w:rPr>
                <w:sz w:val="22"/>
                <w:szCs w:val="22"/>
              </w:rPr>
              <w:t xml:space="preserve"> budžeta finansējums – </w:t>
            </w:r>
            <w:r w:rsidRPr="00C6140C">
              <w:rPr>
                <w:sz w:val="22"/>
                <w:szCs w:val="22"/>
                <w:lang w:val="lv-LV"/>
              </w:rPr>
              <w:t>KM</w:t>
            </w:r>
            <w:r w:rsidRPr="00C6140C" w:rsidR="00AF06AE">
              <w:rPr>
                <w:sz w:val="22"/>
                <w:szCs w:val="22"/>
              </w:rPr>
              <w:t xml:space="preserve"> iesniedz prioritāros pasākumus, paredzot papildus nepieciešamo finansējumu</w:t>
            </w:r>
            <w:r w:rsidRPr="00C6140C" w:rsidR="004D641D">
              <w:rPr>
                <w:sz w:val="22"/>
                <w:szCs w:val="22"/>
              </w:rPr>
              <w:t xml:space="preserve"> </w:t>
            </w:r>
            <w:r w:rsidRPr="009D0E70" w:rsidR="004D641D">
              <w:rPr>
                <w:sz w:val="22"/>
                <w:szCs w:val="22"/>
              </w:rPr>
              <w:t xml:space="preserve">(t.sk. nomas maksas izdevumu segšanai), </w:t>
            </w:r>
            <w:r w:rsidRPr="00C6140C" w:rsidR="00AF06AE">
              <w:rPr>
                <w:sz w:val="22"/>
                <w:szCs w:val="22"/>
              </w:rPr>
              <w:t xml:space="preserve">lai vienlaicīgi ar </w:t>
            </w:r>
            <w:r w:rsidRPr="00C6140C" w:rsidR="00AF06AE">
              <w:rPr>
                <w:sz w:val="22"/>
                <w:szCs w:val="22"/>
              </w:rPr>
              <w:lastRenderedPageBreak/>
              <w:t>Eiropas Savienības fondu finansētiem pasākumiem īstenotu LNA infrastruktūras attīstību</w:t>
            </w:r>
            <w:r w:rsidRPr="00C6140C" w:rsidR="00A929FF">
              <w:rPr>
                <w:sz w:val="22"/>
                <w:szCs w:val="22"/>
                <w:lang w:val="lv-LV"/>
              </w:rPr>
              <w:t>.”</w:t>
            </w:r>
          </w:p>
        </w:tc>
      </w:tr>
      <w:tr w:rsidRPr="00764F4A" w:rsidR="004D7E2D" w:rsidTr="00523CF0" w14:paraId="48AFD988" w14:textId="77777777">
        <w:tc>
          <w:tcPr>
            <w:tcW w:w="236" w:type="pct"/>
            <w:tcBorders>
              <w:left w:val="single" w:color="000000" w:sz="6" w:space="0"/>
              <w:bottom w:val="single" w:color="auto" w:sz="4" w:space="0"/>
              <w:right w:val="single" w:color="000000" w:sz="6" w:space="0"/>
            </w:tcBorders>
          </w:tcPr>
          <w:p w:rsidRPr="00764F4A" w:rsidR="004D7E2D" w:rsidP="00E53E2B" w:rsidRDefault="009638B4" w14:paraId="44035B0F" w14:textId="25A156A0">
            <w:pPr>
              <w:pStyle w:val="naisc"/>
              <w:spacing w:before="0" w:after="0"/>
              <w:ind w:firstLine="22"/>
              <w:rPr>
                <w:sz w:val="22"/>
                <w:szCs w:val="22"/>
              </w:rPr>
            </w:pPr>
            <w:r>
              <w:rPr>
                <w:sz w:val="22"/>
                <w:szCs w:val="22"/>
              </w:rPr>
              <w:lastRenderedPageBreak/>
              <w:t>2</w:t>
            </w:r>
            <w:r w:rsidR="00526324">
              <w:rPr>
                <w:sz w:val="22"/>
                <w:szCs w:val="22"/>
              </w:rPr>
              <w:t>1</w:t>
            </w:r>
            <w:r w:rsidRPr="00764F4A" w:rsidR="004D7E2D">
              <w:rPr>
                <w:sz w:val="22"/>
                <w:szCs w:val="22"/>
              </w:rPr>
              <w:t>.</w:t>
            </w:r>
          </w:p>
        </w:tc>
        <w:tc>
          <w:tcPr>
            <w:tcW w:w="1197" w:type="pct"/>
            <w:tcBorders>
              <w:left w:val="single" w:color="000000" w:sz="6" w:space="0"/>
              <w:bottom w:val="single" w:color="auto" w:sz="4" w:space="0"/>
              <w:right w:val="single" w:color="000000" w:sz="6" w:space="0"/>
            </w:tcBorders>
          </w:tcPr>
          <w:p w:rsidR="009C3311" w:rsidP="00764F4A" w:rsidRDefault="009C3311" w14:paraId="4FC92EA8" w14:textId="77777777">
            <w:pPr>
              <w:jc w:val="both"/>
              <w:rPr>
                <w:sz w:val="22"/>
                <w:szCs w:val="22"/>
              </w:rPr>
            </w:pPr>
            <w:r w:rsidRPr="00764F4A">
              <w:rPr>
                <w:sz w:val="22"/>
                <w:szCs w:val="22"/>
              </w:rPr>
              <w:t>Konceptuālā ziņojuma 4.2.nodaļas „LNA infrastruktūras nomāšana tirgus sektorā” sadaļas „Ierobežojumi, jeb riski:” 1.punkts:</w:t>
            </w:r>
          </w:p>
          <w:p w:rsidRPr="00764F4A" w:rsidR="00CC1F1C" w:rsidP="00764F4A" w:rsidRDefault="00CC1F1C" w14:paraId="740FC58F" w14:textId="77777777">
            <w:pPr>
              <w:jc w:val="both"/>
              <w:rPr>
                <w:sz w:val="22"/>
                <w:szCs w:val="22"/>
              </w:rPr>
            </w:pPr>
          </w:p>
          <w:p w:rsidRPr="00764F4A" w:rsidR="00733FA5" w:rsidP="00764F4A" w:rsidRDefault="00733FA5" w14:paraId="1C1AF9AF" w14:textId="77777777">
            <w:pPr>
              <w:pStyle w:val="Sarakstarindkopa"/>
              <w:ind w:left="-39"/>
              <w:rPr>
                <w:sz w:val="22"/>
                <w:szCs w:val="22"/>
                <w:lang w:val="lv-LV"/>
              </w:rPr>
            </w:pPr>
            <w:r w:rsidRPr="00764F4A">
              <w:rPr>
                <w:sz w:val="22"/>
                <w:szCs w:val="22"/>
                <w:lang w:val="lv-LV"/>
              </w:rPr>
              <w:t xml:space="preserve">„1. </w:t>
            </w:r>
            <w:r w:rsidRPr="00764F4A">
              <w:rPr>
                <w:sz w:val="22"/>
                <w:szCs w:val="22"/>
              </w:rPr>
              <w:t>Līdz šim ir akreditēti 6 privāti uzņēmumi, kas piedāvā prasībām atbilstošu arhīva glabātavu telpu nomu Rīgā un Salaspilī. NĪ tirgū šobrīd Latvijas teritorijā nav pieejamas nomai nepieciešamais glabātavu apjoms. Prognozējams, ka jaunu NĪ izbūve, kas funkcionāli atbilstu LNA darbības specifikai, šajā gadījumā ir iespējama tikai privātās publiskās partnerības ietvaros, pirms tam no valsts saņemot garantijas par jaunizbūvētā NĪ nomu pēc tā nodošanas ekspluatācijā.</w:t>
            </w:r>
            <w:r w:rsidRPr="00764F4A">
              <w:rPr>
                <w:sz w:val="22"/>
                <w:szCs w:val="22"/>
                <w:lang w:val="lv-LV"/>
              </w:rPr>
              <w:t>”</w:t>
            </w:r>
          </w:p>
          <w:p w:rsidRPr="00764F4A" w:rsidR="00733FA5" w:rsidP="00764F4A" w:rsidRDefault="00733FA5" w14:paraId="51E9766E" w14:textId="77777777">
            <w:pPr>
              <w:pStyle w:val="Sarakstarindkopa"/>
              <w:ind w:left="37"/>
              <w:rPr>
                <w:sz w:val="22"/>
                <w:szCs w:val="22"/>
                <w:lang w:val="lv-LV"/>
              </w:rPr>
            </w:pPr>
          </w:p>
          <w:p w:rsidRPr="00764F4A" w:rsidR="00733FA5" w:rsidP="00764F4A" w:rsidRDefault="009C3311" w14:paraId="04713B39" w14:textId="77777777">
            <w:pPr>
              <w:pStyle w:val="Sarakstarindkopa"/>
              <w:ind w:left="0"/>
              <w:rPr>
                <w:sz w:val="22"/>
                <w:szCs w:val="22"/>
                <w:lang w:val="lv-LV"/>
              </w:rPr>
            </w:pPr>
            <w:r w:rsidRPr="00764F4A">
              <w:rPr>
                <w:sz w:val="22"/>
                <w:szCs w:val="22"/>
              </w:rPr>
              <w:t>Konceptuālā ziņojuma 5.3.nodaļas „Attīstības izmaksu potenciālie finansēšanas avoti” sadaļa</w:t>
            </w:r>
            <w:r w:rsidRPr="00764F4A">
              <w:rPr>
                <w:sz w:val="22"/>
                <w:szCs w:val="22"/>
                <w:lang w:val="lv-LV"/>
              </w:rPr>
              <w:t>s</w:t>
            </w:r>
            <w:r w:rsidRPr="00764F4A">
              <w:rPr>
                <w:sz w:val="22"/>
                <w:szCs w:val="22"/>
              </w:rPr>
              <w:t xml:space="preserve"> </w:t>
            </w:r>
            <w:r w:rsidRPr="00764F4A">
              <w:rPr>
                <w:sz w:val="22"/>
                <w:szCs w:val="22"/>
                <w:lang w:val="lv-LV"/>
              </w:rPr>
              <w:t>„Privātā un publiskā partnerība” 2.rindkopa:</w:t>
            </w:r>
          </w:p>
          <w:p w:rsidRPr="00764F4A" w:rsidR="0059786C" w:rsidP="00F97A06" w:rsidRDefault="00733FA5" w14:paraId="32228502" w14:textId="77777777">
            <w:pPr>
              <w:pStyle w:val="Sarakstarindkopa"/>
              <w:ind w:left="0"/>
              <w:rPr>
                <w:sz w:val="22"/>
                <w:szCs w:val="22"/>
              </w:rPr>
            </w:pPr>
            <w:r w:rsidRPr="00764F4A">
              <w:rPr>
                <w:sz w:val="22"/>
                <w:szCs w:val="22"/>
                <w:lang w:val="lv-LV"/>
              </w:rPr>
              <w:t>„</w:t>
            </w:r>
            <w:r w:rsidRPr="00764F4A" w:rsidR="0059786C">
              <w:rPr>
                <w:sz w:val="22"/>
                <w:szCs w:val="22"/>
              </w:rPr>
              <w:t xml:space="preserve">PPP alternatīvā „Latvijas Nacionālā arhīva infrastruktūras optimizācija” var izmantot NĪ, kurus paredzēts attīstīt reģionos, jo LNA izmantotajiem NĪ, kas atrodas Rīgas pilsētā atbilst Nacionālā drošības likuma noteiktajām </w:t>
            </w:r>
            <w:r w:rsidRPr="00764F4A" w:rsidR="0059786C">
              <w:rPr>
                <w:sz w:val="22"/>
                <w:szCs w:val="22"/>
              </w:rPr>
              <w:lastRenderedPageBreak/>
              <w:t>kritiskās infrastruktūras pazīmēm, kur drošības ievērošanai nav pieļaujama infrastruktūras nodošana privātpersonas rīcībā, jeb aktīvu bilancē, kamēr publiskais partneris nav izmaksājis pieejamības maksājumu.</w:t>
            </w:r>
            <w:r w:rsidRPr="00764F4A">
              <w:rPr>
                <w:sz w:val="22"/>
                <w:szCs w:val="22"/>
                <w:lang w:val="lv-LV"/>
              </w:rPr>
              <w:t>”</w:t>
            </w:r>
          </w:p>
        </w:tc>
        <w:tc>
          <w:tcPr>
            <w:tcW w:w="1396" w:type="pct"/>
            <w:tcBorders>
              <w:left w:val="single" w:color="000000" w:sz="6" w:space="0"/>
              <w:bottom w:val="single" w:color="auto" w:sz="4" w:space="0"/>
              <w:right w:val="single" w:color="000000" w:sz="6" w:space="0"/>
            </w:tcBorders>
          </w:tcPr>
          <w:p w:rsidRPr="00764F4A" w:rsidR="004D7E2D" w:rsidP="00764F4A" w:rsidRDefault="004D7E2D" w14:paraId="71556AAD" w14:textId="77777777">
            <w:pPr>
              <w:pStyle w:val="naisc"/>
              <w:spacing w:before="0" w:after="0"/>
              <w:jc w:val="both"/>
              <w:rPr>
                <w:b/>
                <w:sz w:val="22"/>
                <w:szCs w:val="22"/>
              </w:rPr>
            </w:pPr>
            <w:r w:rsidRPr="00764F4A">
              <w:rPr>
                <w:b/>
                <w:sz w:val="22"/>
                <w:szCs w:val="22"/>
              </w:rPr>
              <w:lastRenderedPageBreak/>
              <w:t>Finanšu ministrija:</w:t>
            </w:r>
          </w:p>
          <w:p w:rsidRPr="00764F4A" w:rsidR="000E3132" w:rsidP="00F97A06" w:rsidRDefault="000E3132" w14:paraId="74EA5D97" w14:textId="77777777">
            <w:pPr>
              <w:jc w:val="both"/>
              <w:rPr>
                <w:sz w:val="22"/>
                <w:szCs w:val="22"/>
              </w:rPr>
            </w:pPr>
            <w:r w:rsidRPr="00764F4A">
              <w:rPr>
                <w:sz w:val="22"/>
                <w:szCs w:val="22"/>
              </w:rPr>
              <w:t xml:space="preserve">Lai novērstu neatbilstošu informāciju, lūdzam labot konceptuālā ziņojuma 5.3.sadaļas “Attīstības izmaksu potenciālie finansēšanas avoti” iedaļu “Privātā un publiskā partnerība” (lūdzam precizēt terminu uz Publiskā un privātā partnerība), no teksta “PPP alternatīvā “Latvijas Nacionālā arhīva infrastruktūras optimizācija” var izmantot NĪ, kurus paredzēts attīstīt reģionos, jo LNA izmantotiem NĪ, kas atrodas Rīgas pilsētā, atbilst Nacionālā drošības likuma noteiktajām kritiskās infrastruktūras pazīmēm, kur drošības ievērošanai nav pieļaujama infrastruktūras nodošana privātpersonas rīcībā jeb aktīvu bilancē, kamēr publiskais partneris nav izmaksājis pieejamo finansējumu” izslēdzot vārdus “kamēr publiskais partneris nav izmaksājis pieejamo finansējumu”. Vēršam uzmanību, ka, piemērojot publisko un privāto partnerību, ir iespējams jau sākotnēji noteikt, ka visi aktīvi pēc būvdarbu pabeigšanas nonāk publiskā partnera īpašumā. </w:t>
            </w:r>
          </w:p>
          <w:p w:rsidRPr="00764F4A" w:rsidR="004D7E2D" w:rsidP="00F97A06" w:rsidRDefault="000E3132" w14:paraId="5E1555AD" w14:textId="77777777">
            <w:pPr>
              <w:jc w:val="both"/>
              <w:rPr>
                <w:sz w:val="22"/>
                <w:szCs w:val="22"/>
              </w:rPr>
            </w:pPr>
            <w:r w:rsidRPr="00764F4A">
              <w:rPr>
                <w:sz w:val="22"/>
                <w:szCs w:val="22"/>
              </w:rPr>
              <w:t>Papildus lūdzam skaidrot, kādā veidā tiek izvērtēta reģionu arhīvu ēku PPP finansēšanas alternatīva – katram posmam atsevišķs līgums vai kā kopējais līgums par visu valsti.</w:t>
            </w:r>
          </w:p>
        </w:tc>
        <w:tc>
          <w:tcPr>
            <w:tcW w:w="997" w:type="pct"/>
            <w:tcBorders>
              <w:left w:val="single" w:color="000000" w:sz="6" w:space="0"/>
              <w:bottom w:val="single" w:color="auto" w:sz="4" w:space="0"/>
              <w:right w:val="single" w:color="000000" w:sz="6" w:space="0"/>
            </w:tcBorders>
          </w:tcPr>
          <w:p w:rsidRPr="00764F4A" w:rsidR="004D7E2D" w:rsidP="00F97A06" w:rsidRDefault="00E44C7D" w14:paraId="7384B65F" w14:textId="77777777">
            <w:pPr>
              <w:pStyle w:val="naisc"/>
              <w:spacing w:before="0" w:after="0"/>
              <w:ind w:firstLine="31"/>
              <w:rPr>
                <w:sz w:val="22"/>
                <w:szCs w:val="22"/>
              </w:rPr>
            </w:pPr>
            <w:r w:rsidRPr="00764F4A">
              <w:rPr>
                <w:b/>
                <w:sz w:val="22"/>
                <w:szCs w:val="22"/>
              </w:rPr>
              <w:t>Ņemts vērā</w:t>
            </w:r>
          </w:p>
        </w:tc>
        <w:tc>
          <w:tcPr>
            <w:tcW w:w="1174" w:type="pct"/>
            <w:tcBorders>
              <w:top w:val="single" w:color="auto" w:sz="4" w:space="0"/>
              <w:left w:val="single" w:color="auto" w:sz="4" w:space="0"/>
              <w:bottom w:val="single" w:color="auto" w:sz="4" w:space="0"/>
            </w:tcBorders>
          </w:tcPr>
          <w:p w:rsidRPr="00764F4A" w:rsidR="009C3311" w:rsidP="00764F4A" w:rsidRDefault="009C3311" w14:paraId="45554343" w14:textId="77777777">
            <w:pPr>
              <w:jc w:val="both"/>
              <w:rPr>
                <w:sz w:val="22"/>
                <w:szCs w:val="22"/>
              </w:rPr>
            </w:pPr>
            <w:r w:rsidRPr="00764F4A">
              <w:rPr>
                <w:sz w:val="22"/>
                <w:szCs w:val="22"/>
              </w:rPr>
              <w:t>Precizēts konceptuālā ziņojuma 4.2.nodaļas „LNA infrastruktūras nomāšana tirgus sektorā” sadaļas „Ierobežojumi, jeb riski:” 1.punkts šādā redakcijā:</w:t>
            </w:r>
          </w:p>
          <w:p w:rsidRPr="00764F4A" w:rsidR="0059786C" w:rsidP="00764F4A" w:rsidRDefault="0059786C" w14:paraId="730238C7" w14:textId="77777777">
            <w:pPr>
              <w:pStyle w:val="Paraststmeklis"/>
              <w:spacing w:before="0" w:beforeAutospacing="0" w:after="0" w:afterAutospacing="0"/>
              <w:jc w:val="both"/>
              <w:rPr>
                <w:sz w:val="22"/>
                <w:szCs w:val="22"/>
              </w:rPr>
            </w:pPr>
          </w:p>
          <w:p w:rsidRPr="00764F4A" w:rsidR="00733FA5" w:rsidP="00764F4A" w:rsidRDefault="00733FA5" w14:paraId="37492986" w14:textId="77777777">
            <w:pPr>
              <w:pStyle w:val="Sarakstarindkopa"/>
              <w:ind w:left="0"/>
              <w:rPr>
                <w:sz w:val="22"/>
                <w:szCs w:val="22"/>
                <w:lang w:val="lv-LV"/>
              </w:rPr>
            </w:pPr>
            <w:r w:rsidRPr="00764F4A">
              <w:rPr>
                <w:sz w:val="22"/>
                <w:szCs w:val="22"/>
                <w:lang w:val="lv-LV"/>
              </w:rPr>
              <w:t xml:space="preserve">„1. </w:t>
            </w:r>
            <w:r w:rsidRPr="00764F4A">
              <w:rPr>
                <w:sz w:val="22"/>
                <w:szCs w:val="22"/>
              </w:rPr>
              <w:t>Līdz šim ir akreditēti 6 privāti uzņēmumi, kas piedāvā prasībām atbilstošu arhīva glabātavu telpu nomu Rīgā un Salaspilī. NĪ tirgū šobrīd Latvijas teritorijā nav pieejamas nomai nepieciešamais glabātavu apjoms. Prognozējams, ka jaunu NĪ izbūve, kas funkcionāli atbilstu LNA darbības specifikai, šajā gadījumā ir iespējama tikai publiskās un privātās partnerības ietvaros. Ja tiks nolemts sadarbībā ar Eiropas Investīciju bankas konsultāciju centru izvērtēt iespējas LNA nepieciešamos infrastruktūras attīstības jautājumus vismaz daļēji risināt publiskās un privātās partnerības ietvaros, tad tiks vērtēts, vai katram posmam atsevišķs publiskās un privātās partnerības līgums vai kā kopējais līgums par visu valsti.</w:t>
            </w:r>
            <w:r w:rsidRPr="00764F4A">
              <w:rPr>
                <w:sz w:val="22"/>
                <w:szCs w:val="22"/>
                <w:lang w:val="lv-LV"/>
              </w:rPr>
              <w:t>”</w:t>
            </w:r>
          </w:p>
          <w:p w:rsidRPr="00764F4A" w:rsidR="00733FA5" w:rsidP="00764F4A" w:rsidRDefault="00733FA5" w14:paraId="0CCABDA5" w14:textId="77777777">
            <w:pPr>
              <w:pStyle w:val="Sarakstarindkopa"/>
              <w:ind w:left="175" w:hanging="175"/>
              <w:rPr>
                <w:sz w:val="22"/>
                <w:szCs w:val="22"/>
                <w:lang w:val="lv-LV"/>
              </w:rPr>
            </w:pPr>
          </w:p>
          <w:p w:rsidR="009C3311" w:rsidP="00764F4A" w:rsidRDefault="009C3311" w14:paraId="58DA0CC0" w14:textId="77777777">
            <w:pPr>
              <w:pStyle w:val="Sarakstarindkopa"/>
              <w:ind w:left="0"/>
              <w:rPr>
                <w:sz w:val="22"/>
                <w:szCs w:val="22"/>
                <w:lang w:val="lv-LV"/>
              </w:rPr>
            </w:pPr>
            <w:r w:rsidRPr="00764F4A">
              <w:rPr>
                <w:sz w:val="22"/>
                <w:szCs w:val="22"/>
                <w:lang w:val="lv-LV"/>
              </w:rPr>
              <w:t>Precizēta k</w:t>
            </w:r>
            <w:proofErr w:type="spellStart"/>
            <w:r w:rsidRPr="00764F4A">
              <w:rPr>
                <w:sz w:val="22"/>
                <w:szCs w:val="22"/>
              </w:rPr>
              <w:t>onceptuālā</w:t>
            </w:r>
            <w:proofErr w:type="spellEnd"/>
            <w:r w:rsidRPr="00764F4A">
              <w:rPr>
                <w:sz w:val="22"/>
                <w:szCs w:val="22"/>
              </w:rPr>
              <w:t xml:space="preserve"> ziņojuma  5.3.nodaļas „Attīstības izmaksu </w:t>
            </w:r>
            <w:r w:rsidRPr="00764F4A">
              <w:rPr>
                <w:sz w:val="22"/>
                <w:szCs w:val="22"/>
              </w:rPr>
              <w:lastRenderedPageBreak/>
              <w:t>potenciālie finansēšanas avoti” sadaļa</w:t>
            </w:r>
            <w:r w:rsidRPr="00764F4A">
              <w:rPr>
                <w:sz w:val="22"/>
                <w:szCs w:val="22"/>
                <w:lang w:val="lv-LV"/>
              </w:rPr>
              <w:t>s</w:t>
            </w:r>
            <w:r w:rsidRPr="00764F4A">
              <w:rPr>
                <w:sz w:val="22"/>
                <w:szCs w:val="22"/>
              </w:rPr>
              <w:t xml:space="preserve"> </w:t>
            </w:r>
            <w:r w:rsidRPr="00764F4A">
              <w:rPr>
                <w:sz w:val="22"/>
                <w:szCs w:val="22"/>
                <w:lang w:val="lv-LV"/>
              </w:rPr>
              <w:t>„</w:t>
            </w:r>
            <w:r w:rsidRPr="00764F4A">
              <w:rPr>
                <w:sz w:val="22"/>
                <w:szCs w:val="22"/>
                <w:lang w:val="lv-LV"/>
              </w:rPr>
              <w:tab/>
              <w:t>Privātā un publiskā partnerība” 2.rindkopa šādā redakcijā:</w:t>
            </w:r>
          </w:p>
          <w:p w:rsidRPr="00764F4A" w:rsidR="0046701B" w:rsidP="00764F4A" w:rsidRDefault="0046701B" w14:paraId="4028093A" w14:textId="77777777">
            <w:pPr>
              <w:pStyle w:val="Sarakstarindkopa"/>
              <w:ind w:left="0"/>
              <w:rPr>
                <w:sz w:val="22"/>
                <w:szCs w:val="22"/>
                <w:lang w:val="lv-LV"/>
              </w:rPr>
            </w:pPr>
          </w:p>
          <w:p w:rsidRPr="00764F4A" w:rsidR="0059786C" w:rsidDel="004D7E2D" w:rsidP="00764F4A" w:rsidRDefault="0059786C" w14:paraId="5AF6C9FD" w14:textId="77777777">
            <w:pPr>
              <w:pStyle w:val="Sarakstarindkopa"/>
              <w:ind w:left="0"/>
              <w:rPr>
                <w:sz w:val="22"/>
                <w:szCs w:val="22"/>
              </w:rPr>
            </w:pPr>
            <w:r w:rsidRPr="00764F4A">
              <w:rPr>
                <w:sz w:val="22"/>
                <w:szCs w:val="22"/>
                <w:lang w:val="lv-LV"/>
              </w:rPr>
              <w:t>„</w:t>
            </w:r>
            <w:r w:rsidRPr="00764F4A">
              <w:rPr>
                <w:sz w:val="22"/>
                <w:szCs w:val="22"/>
              </w:rPr>
              <w:t>PPP alternatīvā „Latvijas Nacionālā arhīva infrastruktūras optimizācija” var izmantot NĪ, kurus paredzēts attīstīt reģionos, jo LNA izmantotajiem NĪ, kas atrodas Rīgas pilsētā atbilst Nacionālā</w:t>
            </w:r>
            <w:r w:rsidRPr="00764F4A" w:rsidR="009C3311">
              <w:rPr>
                <w:sz w:val="22"/>
                <w:szCs w:val="22"/>
                <w:lang w:val="lv-LV"/>
              </w:rPr>
              <w:t>s</w:t>
            </w:r>
            <w:r w:rsidRPr="00764F4A">
              <w:rPr>
                <w:sz w:val="22"/>
                <w:szCs w:val="22"/>
              </w:rPr>
              <w:t xml:space="preserve"> drošības likuma noteiktajām kritiskās infrastruktūras pazīmēm, kur drošības ievērošanai nav pieļaujama infrastruktūras nodošana privātpersonas rīcībā jeb aktīvu bilancē.</w:t>
            </w:r>
            <w:r w:rsidRPr="00764F4A">
              <w:rPr>
                <w:sz w:val="22"/>
                <w:szCs w:val="22"/>
                <w:lang w:val="lv-LV"/>
              </w:rPr>
              <w:t>”</w:t>
            </w:r>
          </w:p>
        </w:tc>
      </w:tr>
      <w:tr w:rsidRPr="00764F4A" w:rsidR="000E3132" w:rsidTr="00523CF0" w14:paraId="4B4F7DB1" w14:textId="77777777">
        <w:tc>
          <w:tcPr>
            <w:tcW w:w="236" w:type="pct"/>
            <w:tcBorders>
              <w:top w:val="single" w:color="auto" w:sz="4" w:space="0"/>
              <w:left w:val="single" w:color="auto" w:sz="4" w:space="0"/>
              <w:bottom w:val="single" w:color="auto" w:sz="4" w:space="0"/>
              <w:right w:val="single" w:color="auto" w:sz="4" w:space="0"/>
            </w:tcBorders>
          </w:tcPr>
          <w:p w:rsidRPr="00764F4A" w:rsidR="000E3132" w:rsidP="00E53E2B" w:rsidRDefault="009638B4" w14:paraId="1D392275" w14:textId="3984FCFC">
            <w:pPr>
              <w:pStyle w:val="naisc"/>
              <w:spacing w:before="0" w:after="0"/>
              <w:ind w:firstLine="22"/>
              <w:rPr>
                <w:sz w:val="22"/>
                <w:szCs w:val="22"/>
              </w:rPr>
            </w:pPr>
            <w:r>
              <w:rPr>
                <w:sz w:val="22"/>
                <w:szCs w:val="22"/>
              </w:rPr>
              <w:lastRenderedPageBreak/>
              <w:t>2</w:t>
            </w:r>
            <w:r w:rsidR="00526324">
              <w:rPr>
                <w:sz w:val="22"/>
                <w:szCs w:val="22"/>
              </w:rPr>
              <w:t>2</w:t>
            </w:r>
            <w:r w:rsidRPr="00764F4A" w:rsidR="00250CC3">
              <w:rPr>
                <w:sz w:val="22"/>
                <w:szCs w:val="22"/>
              </w:rPr>
              <w:t>.</w:t>
            </w:r>
          </w:p>
        </w:tc>
        <w:tc>
          <w:tcPr>
            <w:tcW w:w="1197" w:type="pct"/>
            <w:tcBorders>
              <w:top w:val="single" w:color="auto" w:sz="4" w:space="0"/>
              <w:left w:val="single" w:color="auto" w:sz="4" w:space="0"/>
              <w:bottom w:val="single" w:color="auto" w:sz="4" w:space="0"/>
              <w:right w:val="single" w:color="auto" w:sz="4" w:space="0"/>
            </w:tcBorders>
          </w:tcPr>
          <w:p w:rsidRPr="00764F4A" w:rsidR="000E3132" w:rsidP="00F97A06" w:rsidRDefault="002F1F71" w14:paraId="33EB9322" w14:textId="77777777">
            <w:pPr>
              <w:pStyle w:val="Sarakstarindkopa"/>
              <w:ind w:left="0"/>
              <w:rPr>
                <w:sz w:val="22"/>
                <w:szCs w:val="22"/>
              </w:rPr>
            </w:pPr>
            <w:r w:rsidRPr="00764F4A">
              <w:rPr>
                <w:sz w:val="22"/>
                <w:szCs w:val="22"/>
              </w:rPr>
              <w:t>Konceptuālā ziņojuma 5.3.nodaļa „Attīstības izmaksu potenciālie finansēšanas avoti”</w:t>
            </w:r>
            <w:r w:rsidRPr="00764F4A">
              <w:rPr>
                <w:sz w:val="22"/>
                <w:szCs w:val="22"/>
                <w:lang w:val="lv-LV"/>
              </w:rPr>
              <w:t>.</w:t>
            </w:r>
          </w:p>
        </w:tc>
        <w:tc>
          <w:tcPr>
            <w:tcW w:w="1396" w:type="pct"/>
            <w:tcBorders>
              <w:top w:val="single" w:color="auto" w:sz="4" w:space="0"/>
              <w:left w:val="single" w:color="auto" w:sz="4" w:space="0"/>
              <w:bottom w:val="single" w:color="auto" w:sz="4" w:space="0"/>
              <w:right w:val="single" w:color="auto" w:sz="4" w:space="0"/>
            </w:tcBorders>
          </w:tcPr>
          <w:p w:rsidRPr="00764F4A" w:rsidR="000E3132" w:rsidP="00764F4A" w:rsidRDefault="000E3132" w14:paraId="6F7854C4" w14:textId="77777777">
            <w:pPr>
              <w:pStyle w:val="naisc"/>
              <w:spacing w:before="0" w:after="0"/>
              <w:jc w:val="both"/>
              <w:rPr>
                <w:b/>
                <w:sz w:val="22"/>
                <w:szCs w:val="22"/>
              </w:rPr>
            </w:pPr>
            <w:r w:rsidRPr="00764F4A">
              <w:rPr>
                <w:b/>
                <w:sz w:val="22"/>
                <w:szCs w:val="22"/>
              </w:rPr>
              <w:t>Finanšu ministrija:</w:t>
            </w:r>
          </w:p>
          <w:p w:rsidRPr="00764F4A" w:rsidR="000E3132" w:rsidP="00764F4A" w:rsidRDefault="000E3132" w14:paraId="7658E61A" w14:textId="77777777">
            <w:pPr>
              <w:pStyle w:val="naisc"/>
              <w:spacing w:before="0" w:after="0"/>
              <w:jc w:val="both"/>
              <w:rPr>
                <w:b/>
                <w:sz w:val="22"/>
                <w:szCs w:val="22"/>
              </w:rPr>
            </w:pPr>
            <w:r w:rsidRPr="00764F4A">
              <w:rPr>
                <w:sz w:val="22"/>
                <w:szCs w:val="22"/>
              </w:rPr>
              <w:t>Lūdzam precizēt 5.3.sadaļas “Attīstības izmaksu potenciālie finansēšanas avoti” otro apakšpunktu, norādot, ka VNĪ kapitālieguldījumi to veikšanas brīdī tieši ietekmē vispārējās valdības budžeta bilanci (nevis valsts budžeta bilanci). Lūdzam papildus veikt labojumus tekstā, kur nepieciešams.</w:t>
            </w:r>
          </w:p>
        </w:tc>
        <w:tc>
          <w:tcPr>
            <w:tcW w:w="997" w:type="pct"/>
            <w:tcBorders>
              <w:top w:val="single" w:color="auto" w:sz="4" w:space="0"/>
              <w:left w:val="single" w:color="auto" w:sz="4" w:space="0"/>
              <w:bottom w:val="single" w:color="auto" w:sz="4" w:space="0"/>
              <w:right w:val="single" w:color="auto" w:sz="4" w:space="0"/>
            </w:tcBorders>
          </w:tcPr>
          <w:p w:rsidRPr="00764F4A" w:rsidR="000E3132" w:rsidP="00764F4A" w:rsidRDefault="0059786C" w14:paraId="4B8059DF" w14:textId="77777777">
            <w:pPr>
              <w:pStyle w:val="naisc"/>
              <w:spacing w:before="0" w:after="0"/>
              <w:ind w:firstLine="31"/>
              <w:rPr>
                <w:b/>
                <w:sz w:val="22"/>
                <w:szCs w:val="22"/>
              </w:rPr>
            </w:pPr>
            <w:r w:rsidRPr="00764F4A">
              <w:rPr>
                <w:b/>
                <w:sz w:val="22"/>
                <w:szCs w:val="22"/>
              </w:rPr>
              <w:t xml:space="preserve">Ņemts vērā </w:t>
            </w:r>
          </w:p>
        </w:tc>
        <w:tc>
          <w:tcPr>
            <w:tcW w:w="1174" w:type="pct"/>
            <w:tcBorders>
              <w:top w:val="single" w:color="auto" w:sz="4" w:space="0"/>
              <w:left w:val="single" w:color="auto" w:sz="4" w:space="0"/>
              <w:bottom w:val="single" w:color="auto" w:sz="4" w:space="0"/>
            </w:tcBorders>
          </w:tcPr>
          <w:p w:rsidRPr="00764F4A" w:rsidR="000E3132" w:rsidDel="004D7E2D" w:rsidP="00C6140C" w:rsidRDefault="002F1F71" w14:paraId="1604A58B" w14:textId="77777777">
            <w:pPr>
              <w:pStyle w:val="Sarakstarindkopa"/>
              <w:ind w:left="0"/>
              <w:rPr>
                <w:sz w:val="22"/>
                <w:szCs w:val="22"/>
              </w:rPr>
            </w:pPr>
            <w:r w:rsidRPr="00764F4A">
              <w:rPr>
                <w:sz w:val="22"/>
                <w:szCs w:val="22"/>
                <w:lang w:val="lv-LV"/>
              </w:rPr>
              <w:t>Precizēta k</w:t>
            </w:r>
            <w:proofErr w:type="spellStart"/>
            <w:r w:rsidRPr="00764F4A">
              <w:rPr>
                <w:sz w:val="22"/>
                <w:szCs w:val="22"/>
              </w:rPr>
              <w:t>onceptuālā</w:t>
            </w:r>
            <w:proofErr w:type="spellEnd"/>
            <w:r w:rsidRPr="00764F4A">
              <w:rPr>
                <w:sz w:val="22"/>
                <w:szCs w:val="22"/>
              </w:rPr>
              <w:t xml:space="preserve"> ziņojuma  5.3.nodaļa „Attīstības izmaksu potenciālie finansēšanas avoti”</w:t>
            </w:r>
            <w:r w:rsidRPr="00764F4A">
              <w:rPr>
                <w:sz w:val="22"/>
                <w:szCs w:val="22"/>
                <w:lang w:val="lv-LV"/>
              </w:rPr>
              <w:t>.</w:t>
            </w:r>
          </w:p>
        </w:tc>
      </w:tr>
      <w:tr w:rsidRPr="00C6140C" w:rsidR="00E33193" w:rsidTr="00523CF0" w14:paraId="06A54CFF" w14:textId="77777777">
        <w:tc>
          <w:tcPr>
            <w:tcW w:w="236" w:type="pct"/>
            <w:tcBorders>
              <w:top w:val="single" w:color="auto" w:sz="4" w:space="0"/>
              <w:left w:val="single" w:color="auto" w:sz="4" w:space="0"/>
              <w:bottom w:val="single" w:color="auto" w:sz="4" w:space="0"/>
              <w:right w:val="single" w:color="auto" w:sz="4" w:space="0"/>
            </w:tcBorders>
          </w:tcPr>
          <w:p w:rsidRPr="00C6140C" w:rsidR="000E3132" w:rsidP="00E53E2B" w:rsidRDefault="00F97A06" w14:paraId="4395D1FB" w14:textId="3DEA269D">
            <w:pPr>
              <w:pStyle w:val="naisc"/>
              <w:spacing w:before="0" w:after="0"/>
              <w:ind w:firstLine="22"/>
              <w:rPr>
                <w:sz w:val="22"/>
                <w:szCs w:val="22"/>
              </w:rPr>
            </w:pPr>
            <w:r w:rsidRPr="00C6140C">
              <w:rPr>
                <w:sz w:val="22"/>
                <w:szCs w:val="22"/>
              </w:rPr>
              <w:t>2</w:t>
            </w:r>
            <w:r w:rsidR="00526324">
              <w:rPr>
                <w:sz w:val="22"/>
                <w:szCs w:val="22"/>
              </w:rPr>
              <w:t>3</w:t>
            </w:r>
            <w:r w:rsidRPr="00C6140C" w:rsidR="00250CC3">
              <w:rPr>
                <w:sz w:val="22"/>
                <w:szCs w:val="22"/>
              </w:rPr>
              <w:t>.</w:t>
            </w:r>
          </w:p>
        </w:tc>
        <w:tc>
          <w:tcPr>
            <w:tcW w:w="1197" w:type="pct"/>
            <w:tcBorders>
              <w:top w:val="single" w:color="auto" w:sz="4" w:space="0"/>
              <w:left w:val="single" w:color="auto" w:sz="4" w:space="0"/>
              <w:bottom w:val="single" w:color="auto" w:sz="4" w:space="0"/>
              <w:right w:val="single" w:color="auto" w:sz="4" w:space="0"/>
            </w:tcBorders>
          </w:tcPr>
          <w:p w:rsidRPr="00C6140C" w:rsidR="00134C82" w:rsidP="00764F4A" w:rsidRDefault="00713E73" w14:paraId="65A56C7D" w14:textId="77777777">
            <w:pPr>
              <w:jc w:val="both"/>
              <w:rPr>
                <w:sz w:val="22"/>
                <w:szCs w:val="22"/>
              </w:rPr>
            </w:pPr>
            <w:r w:rsidRPr="00C6140C">
              <w:rPr>
                <w:sz w:val="22"/>
                <w:szCs w:val="22"/>
              </w:rPr>
              <w:t>Konceptuālā ziņojuma 5.3.nodaļas „Attīstības izmaksu potenciālie finansēšanas avoti” sadaļas „Secinājumi” 1.rindkopa:</w:t>
            </w:r>
          </w:p>
          <w:p w:rsidRPr="00C6140C" w:rsidR="00713E73" w:rsidP="00764F4A" w:rsidRDefault="00713E73" w14:paraId="163FDD3E" w14:textId="77777777">
            <w:pPr>
              <w:jc w:val="both"/>
              <w:rPr>
                <w:sz w:val="22"/>
                <w:szCs w:val="22"/>
              </w:rPr>
            </w:pPr>
          </w:p>
          <w:p w:rsidRPr="00C6140C" w:rsidR="00134C82" w:rsidP="00764F4A" w:rsidRDefault="00134C82" w14:paraId="2B17413B" w14:textId="77777777">
            <w:pPr>
              <w:pStyle w:val="Sarakstarindkopa"/>
              <w:ind w:left="0"/>
              <w:rPr>
                <w:sz w:val="22"/>
                <w:szCs w:val="22"/>
              </w:rPr>
            </w:pPr>
            <w:r w:rsidRPr="00C6140C">
              <w:rPr>
                <w:sz w:val="22"/>
                <w:szCs w:val="22"/>
                <w:lang w:val="lv-LV"/>
              </w:rPr>
              <w:t>„</w:t>
            </w:r>
            <w:r w:rsidRPr="00C6140C">
              <w:rPr>
                <w:sz w:val="22"/>
                <w:szCs w:val="22"/>
              </w:rPr>
              <w:t xml:space="preserve">VNĪ ir vispārējas valdības institucionālajā sektorā iekļautais komersants (S130130 „Valsts struktūru kontrolēti un finansēti </w:t>
            </w:r>
            <w:r w:rsidRPr="00C6140C">
              <w:rPr>
                <w:sz w:val="22"/>
                <w:szCs w:val="22"/>
              </w:rPr>
              <w:lastRenderedPageBreak/>
              <w:t>komersanti”), tāpēc prioritārākus finansējuma avotus jāizvēlas tādus, kas ir ar neitrālāku ietekmi uz valsts budžeta bilanci. Bez tam atbilstoši Ministru kabineta 2019.gada 5.februāra sēdes protokollēmumam (prot. Nr.5 33.§) „Informatīvais ziņojums „Par valsts budžeta izdevumu pārskatīšanas 2019., 2020. un 2021.gadam rezultātiem un priekšlikumi par šo rezultātu izmantošanu likumprojekta „Par vidēja termiņa budžeta 2019., 2020. un 2021.gadam” un likumprojekta „Par valsts budžetu 2019.gadam” izstrādes procesā” 2020. un 2021.gadā plānots indikatīvi negatīvs fiskālās telpas apjoms vispārējās valdības budžetā. Attiecīgi šajos gados un turpmāk jaunas iniciatīvas tiks vērtētas īpaši.</w:t>
            </w:r>
            <w:r w:rsidRPr="00C6140C">
              <w:rPr>
                <w:sz w:val="22"/>
                <w:szCs w:val="22"/>
                <w:lang w:val="lv-LV"/>
              </w:rPr>
              <w:t>”</w:t>
            </w:r>
          </w:p>
        </w:tc>
        <w:tc>
          <w:tcPr>
            <w:tcW w:w="1396" w:type="pct"/>
            <w:tcBorders>
              <w:top w:val="single" w:color="auto" w:sz="4" w:space="0"/>
              <w:left w:val="single" w:color="auto" w:sz="4" w:space="0"/>
              <w:bottom w:val="single" w:color="auto" w:sz="4" w:space="0"/>
              <w:right w:val="single" w:color="auto" w:sz="4" w:space="0"/>
            </w:tcBorders>
          </w:tcPr>
          <w:p w:rsidRPr="00C6140C" w:rsidR="000E3132" w:rsidP="00764F4A" w:rsidRDefault="000E3132" w14:paraId="362E46A1" w14:textId="77777777">
            <w:pPr>
              <w:pStyle w:val="naisc"/>
              <w:spacing w:before="0" w:after="0"/>
              <w:jc w:val="both"/>
              <w:rPr>
                <w:b/>
                <w:sz w:val="22"/>
                <w:szCs w:val="22"/>
              </w:rPr>
            </w:pPr>
            <w:r w:rsidRPr="00C6140C">
              <w:rPr>
                <w:b/>
                <w:sz w:val="22"/>
                <w:szCs w:val="22"/>
              </w:rPr>
              <w:lastRenderedPageBreak/>
              <w:t>Finanšu ministrija:</w:t>
            </w:r>
          </w:p>
          <w:p w:rsidRPr="00C6140C" w:rsidR="000E3132" w:rsidP="00764F4A" w:rsidRDefault="000E3132" w14:paraId="2858724B" w14:textId="77777777">
            <w:pPr>
              <w:jc w:val="both"/>
              <w:rPr>
                <w:sz w:val="22"/>
                <w:szCs w:val="22"/>
              </w:rPr>
            </w:pPr>
            <w:r w:rsidRPr="00C6140C">
              <w:rPr>
                <w:sz w:val="22"/>
                <w:szCs w:val="22"/>
              </w:rPr>
              <w:t xml:space="preserve">Lūdzam labot sadaļas “Secinājumi” pirmo paragrāfu to precizējot ar  šādu tekstu: </w:t>
            </w:r>
          </w:p>
          <w:p w:rsidRPr="00C6140C" w:rsidR="000E3132" w:rsidP="00C6140C" w:rsidRDefault="000E3132" w14:paraId="64257EFC" w14:textId="77777777">
            <w:pPr>
              <w:jc w:val="both"/>
              <w:rPr>
                <w:b/>
                <w:sz w:val="22"/>
                <w:szCs w:val="22"/>
              </w:rPr>
            </w:pPr>
            <w:r w:rsidRPr="00C6140C">
              <w:rPr>
                <w:sz w:val="22"/>
                <w:szCs w:val="22"/>
              </w:rPr>
              <w:t xml:space="preserve">“VNĪ ir vispārējas valdības institucionālajā sektorā iekļautais komersants (S130130 “Valsts struktūru kontrolēti un finansēti komersanti”), tāpēc prioritārākus finansējuma avotus jāizvēlas tādus, kas ir ar neitrālāku ietekmi uz </w:t>
            </w:r>
            <w:r w:rsidRPr="00C6140C">
              <w:rPr>
                <w:sz w:val="22"/>
                <w:szCs w:val="22"/>
              </w:rPr>
              <w:lastRenderedPageBreak/>
              <w:t>vispārējās valdības budžeta bilanci. Vērtējot jaunas politikas iniciatīvas, ir jāņem vērā aktuālo informāciju par pieejamo “fiskālo telpu” jeb papildu pieejamo līdzekļu jaunu politikas prioritāšu finansēšanai apjomu vidējā termiņā (t.i. trīs gadu ietvars).”</w:t>
            </w:r>
          </w:p>
        </w:tc>
        <w:tc>
          <w:tcPr>
            <w:tcW w:w="997" w:type="pct"/>
            <w:tcBorders>
              <w:top w:val="single" w:color="auto" w:sz="4" w:space="0"/>
              <w:left w:val="single" w:color="auto" w:sz="4" w:space="0"/>
              <w:bottom w:val="single" w:color="auto" w:sz="4" w:space="0"/>
              <w:right w:val="single" w:color="auto" w:sz="4" w:space="0"/>
            </w:tcBorders>
          </w:tcPr>
          <w:p w:rsidRPr="00C6140C" w:rsidR="000E3132" w:rsidP="00764F4A" w:rsidRDefault="00654055" w14:paraId="0D857E4A" w14:textId="77777777">
            <w:pPr>
              <w:pStyle w:val="naisc"/>
              <w:spacing w:before="0" w:after="0"/>
              <w:ind w:firstLine="31"/>
              <w:rPr>
                <w:b/>
                <w:sz w:val="22"/>
                <w:szCs w:val="22"/>
              </w:rPr>
            </w:pPr>
            <w:r w:rsidRPr="00C6140C">
              <w:rPr>
                <w:b/>
                <w:sz w:val="22"/>
                <w:szCs w:val="22"/>
              </w:rPr>
              <w:lastRenderedPageBreak/>
              <w:t>Ņemts vērā</w:t>
            </w:r>
          </w:p>
        </w:tc>
        <w:tc>
          <w:tcPr>
            <w:tcW w:w="1174" w:type="pct"/>
            <w:tcBorders>
              <w:top w:val="single" w:color="auto" w:sz="4" w:space="0"/>
              <w:left w:val="single" w:color="auto" w:sz="4" w:space="0"/>
              <w:bottom w:val="single" w:color="auto" w:sz="4" w:space="0"/>
            </w:tcBorders>
          </w:tcPr>
          <w:p w:rsidRPr="00C6140C" w:rsidR="000E3132" w:rsidP="00764F4A" w:rsidRDefault="00713E73" w14:paraId="554A9035" w14:textId="77777777">
            <w:pPr>
              <w:pStyle w:val="Paraststmeklis"/>
              <w:spacing w:before="0" w:beforeAutospacing="0" w:after="0" w:afterAutospacing="0"/>
              <w:jc w:val="both"/>
              <w:rPr>
                <w:sz w:val="22"/>
                <w:szCs w:val="22"/>
              </w:rPr>
            </w:pPr>
            <w:r w:rsidRPr="00C6140C">
              <w:rPr>
                <w:sz w:val="22"/>
                <w:szCs w:val="22"/>
              </w:rPr>
              <w:t xml:space="preserve">Precizēta konceptuālā ziņojuma  5.3.nodaļas „Attīstības izmaksu potenciālie finansēšanas avoti” sadaļas „Secinājumi” </w:t>
            </w:r>
            <w:r w:rsidRPr="00C6140C" w:rsidR="009D5248">
              <w:rPr>
                <w:sz w:val="22"/>
                <w:szCs w:val="22"/>
              </w:rPr>
              <w:t>2</w:t>
            </w:r>
            <w:r w:rsidRPr="00C6140C">
              <w:rPr>
                <w:sz w:val="22"/>
                <w:szCs w:val="22"/>
              </w:rPr>
              <w:t>.rindkopa šādā redakcijā</w:t>
            </w:r>
            <w:r w:rsidRPr="00C6140C" w:rsidR="00134C82">
              <w:rPr>
                <w:sz w:val="22"/>
                <w:szCs w:val="22"/>
              </w:rPr>
              <w:t xml:space="preserve">: </w:t>
            </w:r>
          </w:p>
          <w:p w:rsidRPr="00C6140C" w:rsidR="00134C82" w:rsidP="00764F4A" w:rsidRDefault="00134C82" w14:paraId="288B2B5B" w14:textId="77777777">
            <w:pPr>
              <w:pStyle w:val="Paraststmeklis"/>
              <w:spacing w:before="0" w:beforeAutospacing="0" w:after="0" w:afterAutospacing="0"/>
              <w:jc w:val="both"/>
              <w:rPr>
                <w:sz w:val="22"/>
                <w:szCs w:val="22"/>
              </w:rPr>
            </w:pPr>
          </w:p>
          <w:p w:rsidRPr="00C6140C" w:rsidR="00134C82" w:rsidDel="004D7E2D" w:rsidP="00C6140C" w:rsidRDefault="009E5477" w14:paraId="7E0AFD53" w14:textId="77777777">
            <w:pPr>
              <w:jc w:val="both"/>
              <w:rPr>
                <w:sz w:val="22"/>
                <w:szCs w:val="22"/>
              </w:rPr>
            </w:pPr>
            <w:r w:rsidRPr="00C6140C">
              <w:rPr>
                <w:sz w:val="22"/>
                <w:szCs w:val="22"/>
              </w:rPr>
              <w:t>„</w:t>
            </w:r>
            <w:r w:rsidRPr="00C6140C" w:rsidR="00134C82">
              <w:rPr>
                <w:sz w:val="22"/>
                <w:szCs w:val="22"/>
              </w:rPr>
              <w:t xml:space="preserve">VNĪ ir vispārējas valdības institucionālajā sektorā iekļautais komersants (S130130 </w:t>
            </w:r>
            <w:r w:rsidRPr="00C6140C" w:rsidR="00713E73">
              <w:rPr>
                <w:sz w:val="22"/>
                <w:szCs w:val="22"/>
              </w:rPr>
              <w:t>„</w:t>
            </w:r>
            <w:r w:rsidRPr="00C6140C" w:rsidR="00134C82">
              <w:rPr>
                <w:sz w:val="22"/>
                <w:szCs w:val="22"/>
              </w:rPr>
              <w:t xml:space="preserve">Valsts </w:t>
            </w:r>
            <w:r w:rsidRPr="00C6140C" w:rsidR="00134C82">
              <w:rPr>
                <w:sz w:val="22"/>
                <w:szCs w:val="22"/>
              </w:rPr>
              <w:lastRenderedPageBreak/>
              <w:t xml:space="preserve">struktūru kontrolēti un finansēti komersanti”), tāpēc prioritārākus finansējuma avotus jāizvēlas tādus, kas ir ar neitrālāku ietekmi uz vispārējās valdības budžeta bilanci. Vērtējot jaunas politikas iniciatīvas, ir jāņem vērā aktuālo informāciju par pieejamo </w:t>
            </w:r>
            <w:r w:rsidRPr="00C6140C" w:rsidR="00713E73">
              <w:rPr>
                <w:sz w:val="22"/>
                <w:szCs w:val="22"/>
              </w:rPr>
              <w:t>„</w:t>
            </w:r>
            <w:r w:rsidRPr="00C6140C" w:rsidR="00134C82">
              <w:rPr>
                <w:sz w:val="22"/>
                <w:szCs w:val="22"/>
              </w:rPr>
              <w:t>fiskālo telpu” jeb papildu pieejamo līdzekļu jaunu politikas prioritāšu finansēšanai apjomu vidējā termiņā (t.i. trīs gadu ietvars).</w:t>
            </w:r>
            <w:r w:rsidRPr="00C6140C">
              <w:rPr>
                <w:sz w:val="22"/>
                <w:szCs w:val="22"/>
              </w:rPr>
              <w:t>”</w:t>
            </w:r>
          </w:p>
        </w:tc>
      </w:tr>
    </w:tbl>
    <w:p w:rsidR="00705920" w:rsidP="00764F4A" w:rsidRDefault="00705920" w14:paraId="0E877F39" w14:textId="27E55EC6">
      <w:pPr>
        <w:rPr>
          <w:sz w:val="22"/>
          <w:szCs w:val="22"/>
        </w:rPr>
      </w:pPr>
    </w:p>
    <w:p w:rsidR="00265C36" w:rsidP="00764F4A" w:rsidRDefault="00265C36" w14:paraId="25718DF3" w14:textId="105F69B7">
      <w:pPr>
        <w:rPr>
          <w:sz w:val="22"/>
          <w:szCs w:val="22"/>
        </w:rPr>
      </w:pPr>
    </w:p>
    <w:p w:rsidR="00725DE8" w:rsidP="00764F4A" w:rsidRDefault="00725DE8" w14:paraId="4B9534B4" w14:textId="77777777">
      <w:pPr>
        <w:rPr>
          <w:sz w:val="22"/>
          <w:szCs w:val="22"/>
        </w:rPr>
      </w:pPr>
    </w:p>
    <w:p w:rsidRPr="00764F4A" w:rsidR="00725DE8" w:rsidP="00764F4A" w:rsidRDefault="00725DE8" w14:paraId="3613AF97" w14:textId="77777777">
      <w:pPr>
        <w:rPr>
          <w:sz w:val="22"/>
          <w:szCs w:val="22"/>
        </w:rPr>
      </w:pPr>
    </w:p>
    <w:p w:rsidRPr="00764F4A" w:rsidR="00554B01" w:rsidP="00764F4A" w:rsidRDefault="00554B01" w14:paraId="2C43F14C" w14:textId="77777777">
      <w:pPr>
        <w:rPr>
          <w:sz w:val="20"/>
          <w:szCs w:val="20"/>
        </w:rPr>
      </w:pPr>
      <w:r w:rsidRPr="00764F4A">
        <w:rPr>
          <w:sz w:val="20"/>
          <w:szCs w:val="20"/>
        </w:rPr>
        <w:t>I</w:t>
      </w:r>
      <w:r w:rsidR="00766F3A">
        <w:rPr>
          <w:sz w:val="20"/>
          <w:szCs w:val="20"/>
        </w:rPr>
        <w:t xml:space="preserve">lze </w:t>
      </w:r>
      <w:r w:rsidRPr="00764F4A">
        <w:rPr>
          <w:sz w:val="20"/>
          <w:szCs w:val="20"/>
        </w:rPr>
        <w:t>Zubova</w:t>
      </w:r>
    </w:p>
    <w:p w:rsidRPr="00764F4A" w:rsidR="00554B01" w:rsidP="00764F4A" w:rsidRDefault="00554B01" w14:paraId="458CC85A" w14:textId="77777777">
      <w:pPr>
        <w:rPr>
          <w:sz w:val="20"/>
          <w:szCs w:val="20"/>
        </w:rPr>
      </w:pPr>
      <w:r w:rsidRPr="00764F4A">
        <w:rPr>
          <w:sz w:val="20"/>
          <w:szCs w:val="20"/>
        </w:rPr>
        <w:t xml:space="preserve">Kultūras ministrijas </w:t>
      </w:r>
    </w:p>
    <w:p w:rsidRPr="00764F4A" w:rsidR="00554B01" w:rsidP="00764F4A" w:rsidRDefault="00554B01" w14:paraId="44EEF312" w14:textId="77777777">
      <w:pPr>
        <w:rPr>
          <w:sz w:val="20"/>
          <w:szCs w:val="20"/>
        </w:rPr>
      </w:pPr>
      <w:r w:rsidRPr="00764F4A">
        <w:rPr>
          <w:sz w:val="20"/>
          <w:szCs w:val="20"/>
        </w:rPr>
        <w:t>Investīciju un projektu nodaļas</w:t>
      </w:r>
      <w:r w:rsidRPr="00764F4A" w:rsidR="004D7E2D">
        <w:rPr>
          <w:sz w:val="20"/>
          <w:szCs w:val="20"/>
        </w:rPr>
        <w:t xml:space="preserve"> v</w:t>
      </w:r>
      <w:r w:rsidRPr="00764F4A">
        <w:rPr>
          <w:sz w:val="20"/>
          <w:szCs w:val="20"/>
        </w:rPr>
        <w:t>ecākā referente</w:t>
      </w:r>
    </w:p>
    <w:p w:rsidRPr="00764F4A" w:rsidR="00BB48B9" w:rsidP="00AB5AF6" w:rsidRDefault="00500B39" w14:paraId="1DEFD33B" w14:textId="77777777">
      <w:pPr>
        <w:rPr>
          <w:sz w:val="20"/>
          <w:szCs w:val="20"/>
        </w:rPr>
      </w:pPr>
      <w:r w:rsidRPr="00764F4A">
        <w:rPr>
          <w:sz w:val="20"/>
          <w:szCs w:val="20"/>
        </w:rPr>
        <w:t>Tālr. 67330258</w:t>
      </w:r>
      <w:r w:rsidR="00AB5AF6">
        <w:rPr>
          <w:sz w:val="20"/>
          <w:szCs w:val="20"/>
        </w:rPr>
        <w:t xml:space="preserve">; </w:t>
      </w:r>
      <w:hyperlink w:history="1" r:id="rId8">
        <w:r w:rsidRPr="005652F8" w:rsidR="00AB5AF6">
          <w:rPr>
            <w:rStyle w:val="Hipersaite"/>
            <w:sz w:val="20"/>
            <w:szCs w:val="20"/>
          </w:rPr>
          <w:t>Ilze.Zubova@km.gov.lv</w:t>
        </w:r>
      </w:hyperlink>
    </w:p>
    <w:sectPr w:rsidRPr="00764F4A" w:rsidR="00BB48B9" w:rsidSect="006F1048">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FCC4" w16cex:dateUtc="2020-10-19T0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5331" w14:textId="77777777" w:rsidR="00B01791" w:rsidRDefault="00B01791">
      <w:r>
        <w:separator/>
      </w:r>
    </w:p>
  </w:endnote>
  <w:endnote w:type="continuationSeparator" w:id="0">
    <w:p w14:paraId="0FAFDDF5" w14:textId="77777777" w:rsidR="00B01791" w:rsidRDefault="00B0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BADD" w14:textId="72DB5175" w:rsidR="00246D76" w:rsidRPr="00565A94" w:rsidRDefault="00246D76" w:rsidP="00565A94">
    <w:pPr>
      <w:pStyle w:val="Kjene"/>
      <w:rPr>
        <w:szCs w:val="22"/>
      </w:rPr>
    </w:pPr>
    <w:r w:rsidRPr="00523CF0">
      <w:rPr>
        <w:sz w:val="20"/>
        <w:szCs w:val="20"/>
      </w:rPr>
      <w:t>KMIzz_</w:t>
    </w:r>
    <w:r w:rsidR="00D31B89">
      <w:rPr>
        <w:sz w:val="20"/>
        <w:szCs w:val="20"/>
      </w:rPr>
      <w:t>19</w:t>
    </w:r>
    <w:r w:rsidR="009638B4">
      <w:rPr>
        <w:sz w:val="20"/>
        <w:szCs w:val="20"/>
      </w:rPr>
      <w:t>10</w:t>
    </w:r>
    <w:r w:rsidR="009638B4" w:rsidRPr="00523CF0">
      <w:rPr>
        <w:sz w:val="20"/>
        <w:szCs w:val="20"/>
      </w:rPr>
      <w:t>20</w:t>
    </w:r>
    <w:r w:rsidRPr="00523CF0">
      <w:rPr>
        <w:sz w:val="20"/>
        <w:szCs w:val="20"/>
      </w:rPr>
      <w:t>_LNA_ekas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4A1B" w14:textId="47EE223C" w:rsidR="00246D76" w:rsidRPr="009556E4" w:rsidRDefault="00246D76" w:rsidP="009556E4">
    <w:pPr>
      <w:pStyle w:val="Kjene"/>
      <w:rPr>
        <w:szCs w:val="22"/>
      </w:rPr>
    </w:pPr>
    <w:r w:rsidRPr="00523CF0">
      <w:rPr>
        <w:sz w:val="20"/>
        <w:szCs w:val="20"/>
      </w:rPr>
      <w:t>KMIzz_</w:t>
    </w:r>
    <w:r w:rsidR="00D31B89">
      <w:rPr>
        <w:sz w:val="20"/>
        <w:szCs w:val="20"/>
      </w:rPr>
      <w:t>19</w:t>
    </w:r>
    <w:r w:rsidR="009638B4">
      <w:rPr>
        <w:sz w:val="20"/>
        <w:szCs w:val="20"/>
      </w:rPr>
      <w:t>10</w:t>
    </w:r>
    <w:r w:rsidR="009638B4" w:rsidRPr="00523CF0">
      <w:rPr>
        <w:sz w:val="20"/>
        <w:szCs w:val="20"/>
      </w:rPr>
      <w:t>20</w:t>
    </w:r>
    <w:r w:rsidRPr="00523CF0">
      <w:rPr>
        <w:sz w:val="20"/>
        <w:szCs w:val="20"/>
      </w:rPr>
      <w:t>_LNA_ekas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0C31" w14:textId="77777777" w:rsidR="00B01791" w:rsidRDefault="00B01791">
      <w:r>
        <w:separator/>
      </w:r>
    </w:p>
  </w:footnote>
  <w:footnote w:type="continuationSeparator" w:id="0">
    <w:p w14:paraId="5796D32F" w14:textId="77777777" w:rsidR="00B01791" w:rsidRDefault="00B0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76" w:rsidP="00364BB6" w:rsidRDefault="00246D76" w14:paraId="0F33F422"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46D76" w:rsidRDefault="00246D76" w14:paraId="57296E8D"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351EE" w:rsidR="00246D76" w:rsidP="009351EE" w:rsidRDefault="00246D76" w14:paraId="1D6BD630" w14:textId="77777777">
    <w:pPr>
      <w:pStyle w:val="Galvene"/>
      <w:framePr w:wrap="around" w:hAnchor="page" w:vAnchor="text" w:x="8686" w:y="-3"/>
      <w:rPr>
        <w:rStyle w:val="Lappusesnumurs"/>
        <w:sz w:val="22"/>
        <w:szCs w:val="22"/>
      </w:rPr>
    </w:pPr>
    <w:r w:rsidRPr="009351EE">
      <w:rPr>
        <w:rStyle w:val="Lappusesnumurs"/>
        <w:sz w:val="22"/>
        <w:szCs w:val="22"/>
      </w:rPr>
      <w:fldChar w:fldCharType="begin"/>
    </w:r>
    <w:r w:rsidRPr="009351EE">
      <w:rPr>
        <w:rStyle w:val="Lappusesnumurs"/>
        <w:sz w:val="22"/>
        <w:szCs w:val="22"/>
      </w:rPr>
      <w:instrText xml:space="preserve">PAGE  </w:instrText>
    </w:r>
    <w:r w:rsidRPr="009351EE">
      <w:rPr>
        <w:rStyle w:val="Lappusesnumurs"/>
        <w:sz w:val="22"/>
        <w:szCs w:val="22"/>
      </w:rPr>
      <w:fldChar w:fldCharType="separate"/>
    </w:r>
    <w:r w:rsidR="009B115F">
      <w:rPr>
        <w:rStyle w:val="Lappusesnumurs"/>
        <w:noProof/>
        <w:sz w:val="22"/>
        <w:szCs w:val="22"/>
      </w:rPr>
      <w:t>11</w:t>
    </w:r>
    <w:r w:rsidRPr="009351EE">
      <w:rPr>
        <w:rStyle w:val="Lappusesnumurs"/>
        <w:sz w:val="22"/>
        <w:szCs w:val="22"/>
      </w:rPr>
      <w:fldChar w:fldCharType="end"/>
    </w:r>
  </w:p>
  <w:p w:rsidR="00246D76" w:rsidP="00764F4A" w:rsidRDefault="00246D76" w14:paraId="4D04B74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D4B"/>
    <w:multiLevelType w:val="hybridMultilevel"/>
    <w:tmpl w:val="68CCF266"/>
    <w:lvl w:ilvl="0" w:tplc="227C5A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741CE"/>
    <w:multiLevelType w:val="hybridMultilevel"/>
    <w:tmpl w:val="9348A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A63EC1"/>
    <w:multiLevelType w:val="hybridMultilevel"/>
    <w:tmpl w:val="77C68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EB3837"/>
    <w:multiLevelType w:val="hybridMultilevel"/>
    <w:tmpl w:val="C3A657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720727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7230AD"/>
    <w:multiLevelType w:val="hybridMultilevel"/>
    <w:tmpl w:val="35EE4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790C9A"/>
    <w:multiLevelType w:val="hybridMultilevel"/>
    <w:tmpl w:val="514C596C"/>
    <w:lvl w:ilvl="0" w:tplc="748826C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7" w15:restartNumberingAfterBreak="0">
    <w:nsid w:val="58B90205"/>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8" w15:restartNumberingAfterBreak="0">
    <w:nsid w:val="650D656F"/>
    <w:multiLevelType w:val="hybridMultilevel"/>
    <w:tmpl w:val="3C1C8E48"/>
    <w:lvl w:ilvl="0" w:tplc="04260011">
      <w:start w:val="1"/>
      <w:numFmt w:val="decimal"/>
      <w:lvlText w:val="%1)"/>
      <w:lvlJc w:val="left"/>
      <w:pPr>
        <w:ind w:left="1080" w:hanging="360"/>
      </w:pPr>
      <w:rPr>
        <w:rFonts w:hint="default"/>
      </w:rPr>
    </w:lvl>
    <w:lvl w:ilvl="1" w:tplc="04260011">
      <w:start w:val="1"/>
      <w:numFmt w:val="decimal"/>
      <w:lvlText w:val="%2)"/>
      <w:lvlJc w:val="left"/>
      <w:pPr>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677256A3"/>
    <w:multiLevelType w:val="hybridMultilevel"/>
    <w:tmpl w:val="39CE1276"/>
    <w:lvl w:ilvl="0" w:tplc="84D0C2F2">
      <w:start w:val="1"/>
      <w:numFmt w:val="decimal"/>
      <w:lvlText w:val="%1."/>
      <w:lvlJc w:val="left"/>
      <w:pPr>
        <w:ind w:left="321" w:hanging="360"/>
      </w:pPr>
      <w:rPr>
        <w:rFonts w:hint="default"/>
      </w:rPr>
    </w:lvl>
    <w:lvl w:ilvl="1" w:tplc="04260019" w:tentative="1">
      <w:start w:val="1"/>
      <w:numFmt w:val="lowerLetter"/>
      <w:lvlText w:val="%2."/>
      <w:lvlJc w:val="left"/>
      <w:pPr>
        <w:ind w:left="1041" w:hanging="360"/>
      </w:pPr>
    </w:lvl>
    <w:lvl w:ilvl="2" w:tplc="0426001B" w:tentative="1">
      <w:start w:val="1"/>
      <w:numFmt w:val="lowerRoman"/>
      <w:lvlText w:val="%3."/>
      <w:lvlJc w:val="right"/>
      <w:pPr>
        <w:ind w:left="1761" w:hanging="180"/>
      </w:pPr>
    </w:lvl>
    <w:lvl w:ilvl="3" w:tplc="0426000F" w:tentative="1">
      <w:start w:val="1"/>
      <w:numFmt w:val="decimal"/>
      <w:lvlText w:val="%4."/>
      <w:lvlJc w:val="left"/>
      <w:pPr>
        <w:ind w:left="2481" w:hanging="360"/>
      </w:pPr>
    </w:lvl>
    <w:lvl w:ilvl="4" w:tplc="04260019" w:tentative="1">
      <w:start w:val="1"/>
      <w:numFmt w:val="lowerLetter"/>
      <w:lvlText w:val="%5."/>
      <w:lvlJc w:val="left"/>
      <w:pPr>
        <w:ind w:left="3201" w:hanging="360"/>
      </w:pPr>
    </w:lvl>
    <w:lvl w:ilvl="5" w:tplc="0426001B" w:tentative="1">
      <w:start w:val="1"/>
      <w:numFmt w:val="lowerRoman"/>
      <w:lvlText w:val="%6."/>
      <w:lvlJc w:val="right"/>
      <w:pPr>
        <w:ind w:left="3921" w:hanging="180"/>
      </w:pPr>
    </w:lvl>
    <w:lvl w:ilvl="6" w:tplc="0426000F" w:tentative="1">
      <w:start w:val="1"/>
      <w:numFmt w:val="decimal"/>
      <w:lvlText w:val="%7."/>
      <w:lvlJc w:val="left"/>
      <w:pPr>
        <w:ind w:left="4641" w:hanging="360"/>
      </w:pPr>
    </w:lvl>
    <w:lvl w:ilvl="7" w:tplc="04260019" w:tentative="1">
      <w:start w:val="1"/>
      <w:numFmt w:val="lowerLetter"/>
      <w:lvlText w:val="%8."/>
      <w:lvlJc w:val="left"/>
      <w:pPr>
        <w:ind w:left="5361" w:hanging="360"/>
      </w:pPr>
    </w:lvl>
    <w:lvl w:ilvl="8" w:tplc="0426001B" w:tentative="1">
      <w:start w:val="1"/>
      <w:numFmt w:val="lowerRoman"/>
      <w:lvlText w:val="%9."/>
      <w:lvlJc w:val="right"/>
      <w:pPr>
        <w:ind w:left="6081" w:hanging="180"/>
      </w:pPr>
    </w:lvl>
  </w:abstractNum>
  <w:abstractNum w:abstractNumId="10" w15:restartNumberingAfterBreak="0">
    <w:nsid w:val="684330F2"/>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394B3C"/>
    <w:multiLevelType w:val="hybridMultilevel"/>
    <w:tmpl w:val="89D88D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2" w15:restartNumberingAfterBreak="0">
    <w:nsid w:val="6C9A2752"/>
    <w:multiLevelType w:val="hybridMultilevel"/>
    <w:tmpl w:val="FEF0DF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D741DE3"/>
    <w:multiLevelType w:val="multilevel"/>
    <w:tmpl w:val="75A0E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246474"/>
    <w:multiLevelType w:val="hybridMultilevel"/>
    <w:tmpl w:val="90DE3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3"/>
  </w:num>
  <w:num w:numId="5">
    <w:abstractNumId w:val="1"/>
  </w:num>
  <w:num w:numId="6">
    <w:abstractNumId w:val="14"/>
  </w:num>
  <w:num w:numId="7">
    <w:abstractNumId w:val="9"/>
  </w:num>
  <w:num w:numId="8">
    <w:abstractNumId w:val="6"/>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413"/>
    <w:rsid w:val="00001A04"/>
    <w:rsid w:val="00001F89"/>
    <w:rsid w:val="00003C53"/>
    <w:rsid w:val="0000456E"/>
    <w:rsid w:val="000055EA"/>
    <w:rsid w:val="00005BDD"/>
    <w:rsid w:val="00006BF1"/>
    <w:rsid w:val="0001118D"/>
    <w:rsid w:val="0001131F"/>
    <w:rsid w:val="00011663"/>
    <w:rsid w:val="0001249F"/>
    <w:rsid w:val="000125C0"/>
    <w:rsid w:val="0001270C"/>
    <w:rsid w:val="00013392"/>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5A4E"/>
    <w:rsid w:val="000278E7"/>
    <w:rsid w:val="00027A63"/>
    <w:rsid w:val="00027F9D"/>
    <w:rsid w:val="0003018F"/>
    <w:rsid w:val="000307B5"/>
    <w:rsid w:val="00031792"/>
    <w:rsid w:val="00032457"/>
    <w:rsid w:val="0003413A"/>
    <w:rsid w:val="000349CA"/>
    <w:rsid w:val="0003557A"/>
    <w:rsid w:val="00035C06"/>
    <w:rsid w:val="000366DF"/>
    <w:rsid w:val="000376CD"/>
    <w:rsid w:val="00040A5C"/>
    <w:rsid w:val="00043005"/>
    <w:rsid w:val="0004345F"/>
    <w:rsid w:val="00044026"/>
    <w:rsid w:val="00045645"/>
    <w:rsid w:val="00046075"/>
    <w:rsid w:val="00046CAD"/>
    <w:rsid w:val="00046F5C"/>
    <w:rsid w:val="00047385"/>
    <w:rsid w:val="00050554"/>
    <w:rsid w:val="00050E92"/>
    <w:rsid w:val="00052CAF"/>
    <w:rsid w:val="00053343"/>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2C10"/>
    <w:rsid w:val="000733F5"/>
    <w:rsid w:val="000733FF"/>
    <w:rsid w:val="00073652"/>
    <w:rsid w:val="000736CB"/>
    <w:rsid w:val="0007577A"/>
    <w:rsid w:val="00075A16"/>
    <w:rsid w:val="000775D0"/>
    <w:rsid w:val="00077A1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F9"/>
    <w:rsid w:val="0009302B"/>
    <w:rsid w:val="00093BBA"/>
    <w:rsid w:val="00093EC2"/>
    <w:rsid w:val="000958A2"/>
    <w:rsid w:val="000965E7"/>
    <w:rsid w:val="000A0041"/>
    <w:rsid w:val="000A010E"/>
    <w:rsid w:val="000A06FC"/>
    <w:rsid w:val="000A1A02"/>
    <w:rsid w:val="000A1A12"/>
    <w:rsid w:val="000A20B2"/>
    <w:rsid w:val="000A26A0"/>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2C3"/>
    <w:rsid w:val="000C3545"/>
    <w:rsid w:val="000C498A"/>
    <w:rsid w:val="000C4B05"/>
    <w:rsid w:val="000C4C16"/>
    <w:rsid w:val="000C5370"/>
    <w:rsid w:val="000C56FC"/>
    <w:rsid w:val="000C7907"/>
    <w:rsid w:val="000C7A11"/>
    <w:rsid w:val="000C7F5E"/>
    <w:rsid w:val="000D00AC"/>
    <w:rsid w:val="000D0AED"/>
    <w:rsid w:val="000D123F"/>
    <w:rsid w:val="000D3602"/>
    <w:rsid w:val="000D4D89"/>
    <w:rsid w:val="000D6BBD"/>
    <w:rsid w:val="000D7751"/>
    <w:rsid w:val="000D7C23"/>
    <w:rsid w:val="000D7C66"/>
    <w:rsid w:val="000E0A16"/>
    <w:rsid w:val="000E1BFA"/>
    <w:rsid w:val="000E2142"/>
    <w:rsid w:val="000E21D0"/>
    <w:rsid w:val="000E26D1"/>
    <w:rsid w:val="000E2A38"/>
    <w:rsid w:val="000E2ACC"/>
    <w:rsid w:val="000E3132"/>
    <w:rsid w:val="000E5509"/>
    <w:rsid w:val="000E585F"/>
    <w:rsid w:val="000E5DDA"/>
    <w:rsid w:val="000E66F8"/>
    <w:rsid w:val="000F054F"/>
    <w:rsid w:val="000F079D"/>
    <w:rsid w:val="000F0D9D"/>
    <w:rsid w:val="000F1D56"/>
    <w:rsid w:val="000F2534"/>
    <w:rsid w:val="000F28D9"/>
    <w:rsid w:val="000F2D43"/>
    <w:rsid w:val="000F2F9A"/>
    <w:rsid w:val="000F3030"/>
    <w:rsid w:val="000F3119"/>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3C0A"/>
    <w:rsid w:val="00103C32"/>
    <w:rsid w:val="001042B0"/>
    <w:rsid w:val="001046B6"/>
    <w:rsid w:val="00105DCA"/>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25A8"/>
    <w:rsid w:val="0012499E"/>
    <w:rsid w:val="00125524"/>
    <w:rsid w:val="001255E6"/>
    <w:rsid w:val="0013053A"/>
    <w:rsid w:val="0013066A"/>
    <w:rsid w:val="001315EF"/>
    <w:rsid w:val="00131F39"/>
    <w:rsid w:val="00132375"/>
    <w:rsid w:val="00132E73"/>
    <w:rsid w:val="00133505"/>
    <w:rsid w:val="00134188"/>
    <w:rsid w:val="00134C82"/>
    <w:rsid w:val="001357B9"/>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A56"/>
    <w:rsid w:val="00156B17"/>
    <w:rsid w:val="00156D90"/>
    <w:rsid w:val="00156E9F"/>
    <w:rsid w:val="00156F18"/>
    <w:rsid w:val="00157A57"/>
    <w:rsid w:val="00157DB6"/>
    <w:rsid w:val="00157EC2"/>
    <w:rsid w:val="00162A68"/>
    <w:rsid w:val="00162E08"/>
    <w:rsid w:val="00162F8E"/>
    <w:rsid w:val="001633F1"/>
    <w:rsid w:val="001637B8"/>
    <w:rsid w:val="0016531E"/>
    <w:rsid w:val="0016565C"/>
    <w:rsid w:val="00166314"/>
    <w:rsid w:val="00166746"/>
    <w:rsid w:val="00167590"/>
    <w:rsid w:val="00167918"/>
    <w:rsid w:val="00167C1E"/>
    <w:rsid w:val="0017043B"/>
    <w:rsid w:val="001706A1"/>
    <w:rsid w:val="00170914"/>
    <w:rsid w:val="00170DF2"/>
    <w:rsid w:val="0017317E"/>
    <w:rsid w:val="00174841"/>
    <w:rsid w:val="001761FD"/>
    <w:rsid w:val="001766E0"/>
    <w:rsid w:val="00177D61"/>
    <w:rsid w:val="00180125"/>
    <w:rsid w:val="001808CA"/>
    <w:rsid w:val="00180923"/>
    <w:rsid w:val="00180CE5"/>
    <w:rsid w:val="00181BAA"/>
    <w:rsid w:val="00181D2D"/>
    <w:rsid w:val="0018210A"/>
    <w:rsid w:val="00182C22"/>
    <w:rsid w:val="00182DE0"/>
    <w:rsid w:val="0018386C"/>
    <w:rsid w:val="00184479"/>
    <w:rsid w:val="0018472C"/>
    <w:rsid w:val="00184838"/>
    <w:rsid w:val="00185755"/>
    <w:rsid w:val="00185DB3"/>
    <w:rsid w:val="00187398"/>
    <w:rsid w:val="001875DB"/>
    <w:rsid w:val="00187F73"/>
    <w:rsid w:val="00187FB0"/>
    <w:rsid w:val="001902E9"/>
    <w:rsid w:val="00190327"/>
    <w:rsid w:val="00190A0A"/>
    <w:rsid w:val="001926F2"/>
    <w:rsid w:val="001927D9"/>
    <w:rsid w:val="00193BCE"/>
    <w:rsid w:val="00194B87"/>
    <w:rsid w:val="00194FC7"/>
    <w:rsid w:val="0019569A"/>
    <w:rsid w:val="00195962"/>
    <w:rsid w:val="00195B70"/>
    <w:rsid w:val="00195D07"/>
    <w:rsid w:val="00197533"/>
    <w:rsid w:val="001977E7"/>
    <w:rsid w:val="00197CCA"/>
    <w:rsid w:val="001A0D8A"/>
    <w:rsid w:val="001A192D"/>
    <w:rsid w:val="001A2508"/>
    <w:rsid w:val="001A3F14"/>
    <w:rsid w:val="001A7C72"/>
    <w:rsid w:val="001B084B"/>
    <w:rsid w:val="001B0CEC"/>
    <w:rsid w:val="001B0FFC"/>
    <w:rsid w:val="001B1214"/>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549"/>
    <w:rsid w:val="001C28FD"/>
    <w:rsid w:val="001C2F40"/>
    <w:rsid w:val="001C3349"/>
    <w:rsid w:val="001C3A22"/>
    <w:rsid w:val="001C4ABA"/>
    <w:rsid w:val="001C546B"/>
    <w:rsid w:val="001C5EA2"/>
    <w:rsid w:val="001C6608"/>
    <w:rsid w:val="001C6C7D"/>
    <w:rsid w:val="001C7447"/>
    <w:rsid w:val="001D1CB1"/>
    <w:rsid w:val="001D2AC0"/>
    <w:rsid w:val="001D2DBA"/>
    <w:rsid w:val="001D2FD0"/>
    <w:rsid w:val="001D32C4"/>
    <w:rsid w:val="001D3830"/>
    <w:rsid w:val="001D3BA6"/>
    <w:rsid w:val="001D5564"/>
    <w:rsid w:val="001D6794"/>
    <w:rsid w:val="001D6FAA"/>
    <w:rsid w:val="001D70FA"/>
    <w:rsid w:val="001D7BA9"/>
    <w:rsid w:val="001E039D"/>
    <w:rsid w:val="001E15CC"/>
    <w:rsid w:val="001E22E7"/>
    <w:rsid w:val="001E2714"/>
    <w:rsid w:val="001E31AF"/>
    <w:rsid w:val="001E398C"/>
    <w:rsid w:val="001E4456"/>
    <w:rsid w:val="001E4DDC"/>
    <w:rsid w:val="001E774F"/>
    <w:rsid w:val="001E7C1D"/>
    <w:rsid w:val="001F073F"/>
    <w:rsid w:val="001F3009"/>
    <w:rsid w:val="001F312F"/>
    <w:rsid w:val="001F3358"/>
    <w:rsid w:val="001F35CB"/>
    <w:rsid w:val="001F390F"/>
    <w:rsid w:val="001F4D12"/>
    <w:rsid w:val="001F5CD1"/>
    <w:rsid w:val="001F7257"/>
    <w:rsid w:val="001F766D"/>
    <w:rsid w:val="001F7739"/>
    <w:rsid w:val="0020011B"/>
    <w:rsid w:val="0020187E"/>
    <w:rsid w:val="002019EA"/>
    <w:rsid w:val="00201DC6"/>
    <w:rsid w:val="00202375"/>
    <w:rsid w:val="002025EA"/>
    <w:rsid w:val="00202884"/>
    <w:rsid w:val="0020292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6B7"/>
    <w:rsid w:val="00216E73"/>
    <w:rsid w:val="0021774C"/>
    <w:rsid w:val="00217FF6"/>
    <w:rsid w:val="0022234A"/>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1843"/>
    <w:rsid w:val="002434B2"/>
    <w:rsid w:val="002442F4"/>
    <w:rsid w:val="002445EA"/>
    <w:rsid w:val="00244ECE"/>
    <w:rsid w:val="00244FC5"/>
    <w:rsid w:val="00245D1D"/>
    <w:rsid w:val="00246D76"/>
    <w:rsid w:val="00246DF6"/>
    <w:rsid w:val="00247ED2"/>
    <w:rsid w:val="00250CC3"/>
    <w:rsid w:val="00250EDA"/>
    <w:rsid w:val="00251502"/>
    <w:rsid w:val="002518E8"/>
    <w:rsid w:val="00251C10"/>
    <w:rsid w:val="00252E1E"/>
    <w:rsid w:val="002538BA"/>
    <w:rsid w:val="00253B7E"/>
    <w:rsid w:val="0025469D"/>
    <w:rsid w:val="002552B1"/>
    <w:rsid w:val="00255882"/>
    <w:rsid w:val="00255D01"/>
    <w:rsid w:val="00256E55"/>
    <w:rsid w:val="00257E0E"/>
    <w:rsid w:val="00257FF4"/>
    <w:rsid w:val="00260FCB"/>
    <w:rsid w:val="002615F5"/>
    <w:rsid w:val="002616B9"/>
    <w:rsid w:val="0026217B"/>
    <w:rsid w:val="002629E4"/>
    <w:rsid w:val="00262CBC"/>
    <w:rsid w:val="00263FE3"/>
    <w:rsid w:val="0026403B"/>
    <w:rsid w:val="00265593"/>
    <w:rsid w:val="00265C36"/>
    <w:rsid w:val="002675EA"/>
    <w:rsid w:val="00267BC5"/>
    <w:rsid w:val="00267CBE"/>
    <w:rsid w:val="00267E0B"/>
    <w:rsid w:val="0027054C"/>
    <w:rsid w:val="00270680"/>
    <w:rsid w:val="00271103"/>
    <w:rsid w:val="002721FA"/>
    <w:rsid w:val="0027230C"/>
    <w:rsid w:val="002727E8"/>
    <w:rsid w:val="00272B99"/>
    <w:rsid w:val="0027380D"/>
    <w:rsid w:val="0027468E"/>
    <w:rsid w:val="00274826"/>
    <w:rsid w:val="00275005"/>
    <w:rsid w:val="002752AB"/>
    <w:rsid w:val="002756D6"/>
    <w:rsid w:val="0027573C"/>
    <w:rsid w:val="002770CB"/>
    <w:rsid w:val="002804F4"/>
    <w:rsid w:val="002815D0"/>
    <w:rsid w:val="002820A7"/>
    <w:rsid w:val="00283B82"/>
    <w:rsid w:val="00283E13"/>
    <w:rsid w:val="00284DCD"/>
    <w:rsid w:val="00286478"/>
    <w:rsid w:val="00287EDD"/>
    <w:rsid w:val="00290580"/>
    <w:rsid w:val="0029141B"/>
    <w:rsid w:val="002927D3"/>
    <w:rsid w:val="00294BDE"/>
    <w:rsid w:val="00295DB6"/>
    <w:rsid w:val="00295F90"/>
    <w:rsid w:val="0029788B"/>
    <w:rsid w:val="00297D1B"/>
    <w:rsid w:val="00297F4D"/>
    <w:rsid w:val="002A0226"/>
    <w:rsid w:val="002A0661"/>
    <w:rsid w:val="002A0C7A"/>
    <w:rsid w:val="002A1CF2"/>
    <w:rsid w:val="002A2ED0"/>
    <w:rsid w:val="002A3A2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70B"/>
    <w:rsid w:val="002B3EA7"/>
    <w:rsid w:val="002B4BAE"/>
    <w:rsid w:val="002B538B"/>
    <w:rsid w:val="002B581B"/>
    <w:rsid w:val="002B73BB"/>
    <w:rsid w:val="002C2892"/>
    <w:rsid w:val="002C58AB"/>
    <w:rsid w:val="002C6D84"/>
    <w:rsid w:val="002C7D21"/>
    <w:rsid w:val="002D0CE3"/>
    <w:rsid w:val="002D1564"/>
    <w:rsid w:val="002D1CA4"/>
    <w:rsid w:val="002D2C09"/>
    <w:rsid w:val="002D2C45"/>
    <w:rsid w:val="002D4969"/>
    <w:rsid w:val="002D4EE1"/>
    <w:rsid w:val="002D4F49"/>
    <w:rsid w:val="002D778E"/>
    <w:rsid w:val="002E04D7"/>
    <w:rsid w:val="002E06DD"/>
    <w:rsid w:val="002E1687"/>
    <w:rsid w:val="002E171A"/>
    <w:rsid w:val="002E2A24"/>
    <w:rsid w:val="002E343D"/>
    <w:rsid w:val="002E3D66"/>
    <w:rsid w:val="002E3F11"/>
    <w:rsid w:val="002E4B11"/>
    <w:rsid w:val="002E4F70"/>
    <w:rsid w:val="002E5886"/>
    <w:rsid w:val="002E5AD3"/>
    <w:rsid w:val="002E635D"/>
    <w:rsid w:val="002E68A1"/>
    <w:rsid w:val="002E7562"/>
    <w:rsid w:val="002F071F"/>
    <w:rsid w:val="002F16D5"/>
    <w:rsid w:val="002F1A90"/>
    <w:rsid w:val="002F1C2F"/>
    <w:rsid w:val="002F1F71"/>
    <w:rsid w:val="002F3D1C"/>
    <w:rsid w:val="002F4EA1"/>
    <w:rsid w:val="002F52DE"/>
    <w:rsid w:val="002F55C1"/>
    <w:rsid w:val="002F797A"/>
    <w:rsid w:val="00300483"/>
    <w:rsid w:val="00301176"/>
    <w:rsid w:val="00301C91"/>
    <w:rsid w:val="003024D8"/>
    <w:rsid w:val="00303356"/>
    <w:rsid w:val="00303F2B"/>
    <w:rsid w:val="00304607"/>
    <w:rsid w:val="0030467A"/>
    <w:rsid w:val="00304D4E"/>
    <w:rsid w:val="00304FFD"/>
    <w:rsid w:val="00305608"/>
    <w:rsid w:val="00305970"/>
    <w:rsid w:val="00305B72"/>
    <w:rsid w:val="0030610A"/>
    <w:rsid w:val="003064DB"/>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56D"/>
    <w:rsid w:val="0031693B"/>
    <w:rsid w:val="003169CE"/>
    <w:rsid w:val="00316F0A"/>
    <w:rsid w:val="00317DC7"/>
    <w:rsid w:val="003200F9"/>
    <w:rsid w:val="00320754"/>
    <w:rsid w:val="00320F38"/>
    <w:rsid w:val="00321183"/>
    <w:rsid w:val="00321694"/>
    <w:rsid w:val="00321F0A"/>
    <w:rsid w:val="003223CE"/>
    <w:rsid w:val="00322A2D"/>
    <w:rsid w:val="00322E80"/>
    <w:rsid w:val="00324D5B"/>
    <w:rsid w:val="00325045"/>
    <w:rsid w:val="00325C51"/>
    <w:rsid w:val="00325D91"/>
    <w:rsid w:val="003267B4"/>
    <w:rsid w:val="003273FA"/>
    <w:rsid w:val="00331193"/>
    <w:rsid w:val="00332126"/>
    <w:rsid w:val="00332A11"/>
    <w:rsid w:val="003333D4"/>
    <w:rsid w:val="00334951"/>
    <w:rsid w:val="00336411"/>
    <w:rsid w:val="0033678D"/>
    <w:rsid w:val="0033720D"/>
    <w:rsid w:val="003373E8"/>
    <w:rsid w:val="003443DD"/>
    <w:rsid w:val="00344D5A"/>
    <w:rsid w:val="00346EB6"/>
    <w:rsid w:val="00347EDB"/>
    <w:rsid w:val="00350797"/>
    <w:rsid w:val="00351021"/>
    <w:rsid w:val="00351A85"/>
    <w:rsid w:val="003522E8"/>
    <w:rsid w:val="00353989"/>
    <w:rsid w:val="00354E57"/>
    <w:rsid w:val="00355B7A"/>
    <w:rsid w:val="0035617C"/>
    <w:rsid w:val="00356E7E"/>
    <w:rsid w:val="00356EB8"/>
    <w:rsid w:val="00357B83"/>
    <w:rsid w:val="00360A5F"/>
    <w:rsid w:val="003614A8"/>
    <w:rsid w:val="0036160E"/>
    <w:rsid w:val="00362610"/>
    <w:rsid w:val="00363830"/>
    <w:rsid w:val="00363D2D"/>
    <w:rsid w:val="00364BB6"/>
    <w:rsid w:val="00364D6B"/>
    <w:rsid w:val="00365408"/>
    <w:rsid w:val="00365CC0"/>
    <w:rsid w:val="0036650A"/>
    <w:rsid w:val="003668DF"/>
    <w:rsid w:val="00367688"/>
    <w:rsid w:val="003676B9"/>
    <w:rsid w:val="003714B1"/>
    <w:rsid w:val="00372221"/>
    <w:rsid w:val="00372CF2"/>
    <w:rsid w:val="00374C7E"/>
    <w:rsid w:val="00377353"/>
    <w:rsid w:val="0037736B"/>
    <w:rsid w:val="003807AC"/>
    <w:rsid w:val="00381F57"/>
    <w:rsid w:val="0038216E"/>
    <w:rsid w:val="003822E5"/>
    <w:rsid w:val="003830B8"/>
    <w:rsid w:val="00383262"/>
    <w:rsid w:val="003851F7"/>
    <w:rsid w:val="003A157A"/>
    <w:rsid w:val="003A1ED9"/>
    <w:rsid w:val="003A283F"/>
    <w:rsid w:val="003A2A16"/>
    <w:rsid w:val="003A2FDD"/>
    <w:rsid w:val="003A3C43"/>
    <w:rsid w:val="003A5231"/>
    <w:rsid w:val="003A5CCC"/>
    <w:rsid w:val="003A70FF"/>
    <w:rsid w:val="003A74D2"/>
    <w:rsid w:val="003A756B"/>
    <w:rsid w:val="003A7902"/>
    <w:rsid w:val="003B1E11"/>
    <w:rsid w:val="003B22C4"/>
    <w:rsid w:val="003B23D7"/>
    <w:rsid w:val="003B2D38"/>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0B5"/>
    <w:rsid w:val="003C6809"/>
    <w:rsid w:val="003C7897"/>
    <w:rsid w:val="003C7D5F"/>
    <w:rsid w:val="003D0937"/>
    <w:rsid w:val="003D17E6"/>
    <w:rsid w:val="003D1A20"/>
    <w:rsid w:val="003D1AC9"/>
    <w:rsid w:val="003D2AC9"/>
    <w:rsid w:val="003D2CD8"/>
    <w:rsid w:val="003D3724"/>
    <w:rsid w:val="003D46A7"/>
    <w:rsid w:val="003D6376"/>
    <w:rsid w:val="003D7C78"/>
    <w:rsid w:val="003E104C"/>
    <w:rsid w:val="003E1235"/>
    <w:rsid w:val="003E2A35"/>
    <w:rsid w:val="003E2B56"/>
    <w:rsid w:val="003E2CE1"/>
    <w:rsid w:val="003E2DCB"/>
    <w:rsid w:val="003E4C3F"/>
    <w:rsid w:val="003E4D7C"/>
    <w:rsid w:val="003E4E9D"/>
    <w:rsid w:val="003E5FA8"/>
    <w:rsid w:val="003E6252"/>
    <w:rsid w:val="003F1200"/>
    <w:rsid w:val="003F1421"/>
    <w:rsid w:val="003F1844"/>
    <w:rsid w:val="003F241E"/>
    <w:rsid w:val="003F277B"/>
    <w:rsid w:val="003F28C0"/>
    <w:rsid w:val="003F39C5"/>
    <w:rsid w:val="003F52B2"/>
    <w:rsid w:val="003F57C5"/>
    <w:rsid w:val="003F716E"/>
    <w:rsid w:val="003F74F2"/>
    <w:rsid w:val="00400061"/>
    <w:rsid w:val="0040068A"/>
    <w:rsid w:val="00400813"/>
    <w:rsid w:val="004013AD"/>
    <w:rsid w:val="004018C8"/>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258"/>
    <w:rsid w:val="0041220A"/>
    <w:rsid w:val="004150B2"/>
    <w:rsid w:val="00415E11"/>
    <w:rsid w:val="00416277"/>
    <w:rsid w:val="00416E24"/>
    <w:rsid w:val="0042063D"/>
    <w:rsid w:val="00422B23"/>
    <w:rsid w:val="00423A60"/>
    <w:rsid w:val="0042651C"/>
    <w:rsid w:val="00426E9B"/>
    <w:rsid w:val="00427D55"/>
    <w:rsid w:val="0043233C"/>
    <w:rsid w:val="00432EEE"/>
    <w:rsid w:val="00433B03"/>
    <w:rsid w:val="004345A6"/>
    <w:rsid w:val="00435B2F"/>
    <w:rsid w:val="00435E03"/>
    <w:rsid w:val="004373E1"/>
    <w:rsid w:val="004374A3"/>
    <w:rsid w:val="00437A7E"/>
    <w:rsid w:val="00437B6C"/>
    <w:rsid w:val="00440144"/>
    <w:rsid w:val="0044064E"/>
    <w:rsid w:val="00440805"/>
    <w:rsid w:val="004412E1"/>
    <w:rsid w:val="00441554"/>
    <w:rsid w:val="00442E48"/>
    <w:rsid w:val="004439FE"/>
    <w:rsid w:val="00443DCD"/>
    <w:rsid w:val="00443E7E"/>
    <w:rsid w:val="00444034"/>
    <w:rsid w:val="00444C06"/>
    <w:rsid w:val="004454DF"/>
    <w:rsid w:val="00446804"/>
    <w:rsid w:val="004478D4"/>
    <w:rsid w:val="00450380"/>
    <w:rsid w:val="004505C6"/>
    <w:rsid w:val="00450658"/>
    <w:rsid w:val="004520CD"/>
    <w:rsid w:val="0045242E"/>
    <w:rsid w:val="00452DF3"/>
    <w:rsid w:val="004534F5"/>
    <w:rsid w:val="00453765"/>
    <w:rsid w:val="00454BD6"/>
    <w:rsid w:val="00454EC3"/>
    <w:rsid w:val="004550FA"/>
    <w:rsid w:val="0045530A"/>
    <w:rsid w:val="004554AE"/>
    <w:rsid w:val="004554C3"/>
    <w:rsid w:val="00455FA3"/>
    <w:rsid w:val="00455FB6"/>
    <w:rsid w:val="00457197"/>
    <w:rsid w:val="00457555"/>
    <w:rsid w:val="00457971"/>
    <w:rsid w:val="00457DD8"/>
    <w:rsid w:val="004603D0"/>
    <w:rsid w:val="004624AE"/>
    <w:rsid w:val="0046250E"/>
    <w:rsid w:val="00462E9C"/>
    <w:rsid w:val="004649B5"/>
    <w:rsid w:val="00464B48"/>
    <w:rsid w:val="00465231"/>
    <w:rsid w:val="004662AD"/>
    <w:rsid w:val="00466516"/>
    <w:rsid w:val="0046701B"/>
    <w:rsid w:val="00467307"/>
    <w:rsid w:val="00467B65"/>
    <w:rsid w:val="00470CAD"/>
    <w:rsid w:val="00471EA5"/>
    <w:rsid w:val="004720C9"/>
    <w:rsid w:val="00472257"/>
    <w:rsid w:val="00472854"/>
    <w:rsid w:val="00472E49"/>
    <w:rsid w:val="004732BB"/>
    <w:rsid w:val="00474C60"/>
    <w:rsid w:val="00475944"/>
    <w:rsid w:val="00475DF0"/>
    <w:rsid w:val="00476525"/>
    <w:rsid w:val="004772E2"/>
    <w:rsid w:val="0047739F"/>
    <w:rsid w:val="00477F97"/>
    <w:rsid w:val="0048068A"/>
    <w:rsid w:val="00480A2D"/>
    <w:rsid w:val="00480AFB"/>
    <w:rsid w:val="00481247"/>
    <w:rsid w:val="004828DC"/>
    <w:rsid w:val="00482FF7"/>
    <w:rsid w:val="00483098"/>
    <w:rsid w:val="00483685"/>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C7C"/>
    <w:rsid w:val="004A2EF3"/>
    <w:rsid w:val="004A3B0D"/>
    <w:rsid w:val="004A447D"/>
    <w:rsid w:val="004A52F5"/>
    <w:rsid w:val="004A5D3A"/>
    <w:rsid w:val="004A6897"/>
    <w:rsid w:val="004A692B"/>
    <w:rsid w:val="004A6EB6"/>
    <w:rsid w:val="004A794C"/>
    <w:rsid w:val="004A7D95"/>
    <w:rsid w:val="004B3325"/>
    <w:rsid w:val="004B3EC7"/>
    <w:rsid w:val="004B5664"/>
    <w:rsid w:val="004B5742"/>
    <w:rsid w:val="004B7EEE"/>
    <w:rsid w:val="004C2107"/>
    <w:rsid w:val="004C3BDC"/>
    <w:rsid w:val="004C5FC6"/>
    <w:rsid w:val="004C6435"/>
    <w:rsid w:val="004C649B"/>
    <w:rsid w:val="004C7B9C"/>
    <w:rsid w:val="004C7D55"/>
    <w:rsid w:val="004D089A"/>
    <w:rsid w:val="004D3184"/>
    <w:rsid w:val="004D5030"/>
    <w:rsid w:val="004D6045"/>
    <w:rsid w:val="004D641D"/>
    <w:rsid w:val="004D7546"/>
    <w:rsid w:val="004D759F"/>
    <w:rsid w:val="004D7E2D"/>
    <w:rsid w:val="004D7EC5"/>
    <w:rsid w:val="004E02B0"/>
    <w:rsid w:val="004E0B29"/>
    <w:rsid w:val="004E0E11"/>
    <w:rsid w:val="004E0F08"/>
    <w:rsid w:val="004E1546"/>
    <w:rsid w:val="004E19DC"/>
    <w:rsid w:val="004E1C97"/>
    <w:rsid w:val="004E35E8"/>
    <w:rsid w:val="004E50F0"/>
    <w:rsid w:val="004E6049"/>
    <w:rsid w:val="004E6A03"/>
    <w:rsid w:val="004F0070"/>
    <w:rsid w:val="004F0468"/>
    <w:rsid w:val="004F0C51"/>
    <w:rsid w:val="004F23F2"/>
    <w:rsid w:val="004F263C"/>
    <w:rsid w:val="004F2BB1"/>
    <w:rsid w:val="004F2EC7"/>
    <w:rsid w:val="004F351E"/>
    <w:rsid w:val="004F3CE8"/>
    <w:rsid w:val="004F5EED"/>
    <w:rsid w:val="004F6BFB"/>
    <w:rsid w:val="004F7E4A"/>
    <w:rsid w:val="00500B39"/>
    <w:rsid w:val="0050147C"/>
    <w:rsid w:val="0050182B"/>
    <w:rsid w:val="00502579"/>
    <w:rsid w:val="005029F7"/>
    <w:rsid w:val="005030B9"/>
    <w:rsid w:val="00503D4C"/>
    <w:rsid w:val="00503F23"/>
    <w:rsid w:val="00504C0C"/>
    <w:rsid w:val="00504E48"/>
    <w:rsid w:val="00505948"/>
    <w:rsid w:val="0050597B"/>
    <w:rsid w:val="005070FF"/>
    <w:rsid w:val="00507327"/>
    <w:rsid w:val="005118C7"/>
    <w:rsid w:val="005125B6"/>
    <w:rsid w:val="00512BBC"/>
    <w:rsid w:val="005134FB"/>
    <w:rsid w:val="005135FD"/>
    <w:rsid w:val="0051366C"/>
    <w:rsid w:val="0051684F"/>
    <w:rsid w:val="00516A92"/>
    <w:rsid w:val="00516B9F"/>
    <w:rsid w:val="00517693"/>
    <w:rsid w:val="005205AB"/>
    <w:rsid w:val="00523378"/>
    <w:rsid w:val="00523CF0"/>
    <w:rsid w:val="0052550F"/>
    <w:rsid w:val="005260C8"/>
    <w:rsid w:val="00526324"/>
    <w:rsid w:val="00526B43"/>
    <w:rsid w:val="00526C0F"/>
    <w:rsid w:val="0052702A"/>
    <w:rsid w:val="00530397"/>
    <w:rsid w:val="0053079C"/>
    <w:rsid w:val="00530F73"/>
    <w:rsid w:val="00531283"/>
    <w:rsid w:val="0053174D"/>
    <w:rsid w:val="00533B8E"/>
    <w:rsid w:val="00535417"/>
    <w:rsid w:val="00535833"/>
    <w:rsid w:val="00536390"/>
    <w:rsid w:val="00536D28"/>
    <w:rsid w:val="005372C5"/>
    <w:rsid w:val="00537A26"/>
    <w:rsid w:val="00540E47"/>
    <w:rsid w:val="00541F5D"/>
    <w:rsid w:val="00543283"/>
    <w:rsid w:val="0054364C"/>
    <w:rsid w:val="00543D8B"/>
    <w:rsid w:val="00544B44"/>
    <w:rsid w:val="005460A9"/>
    <w:rsid w:val="00546747"/>
    <w:rsid w:val="00547510"/>
    <w:rsid w:val="00547ECC"/>
    <w:rsid w:val="00551D5A"/>
    <w:rsid w:val="00551EC3"/>
    <w:rsid w:val="00554A44"/>
    <w:rsid w:val="00554B01"/>
    <w:rsid w:val="00554C53"/>
    <w:rsid w:val="00554D2F"/>
    <w:rsid w:val="00554F18"/>
    <w:rsid w:val="00555220"/>
    <w:rsid w:val="005555F0"/>
    <w:rsid w:val="00555739"/>
    <w:rsid w:val="00556E75"/>
    <w:rsid w:val="0056069A"/>
    <w:rsid w:val="00560C3B"/>
    <w:rsid w:val="00560D65"/>
    <w:rsid w:val="00561EA1"/>
    <w:rsid w:val="00562799"/>
    <w:rsid w:val="005645D9"/>
    <w:rsid w:val="00564804"/>
    <w:rsid w:val="00565598"/>
    <w:rsid w:val="00565A94"/>
    <w:rsid w:val="00565B5A"/>
    <w:rsid w:val="00567E8F"/>
    <w:rsid w:val="005702D6"/>
    <w:rsid w:val="00572588"/>
    <w:rsid w:val="00573A50"/>
    <w:rsid w:val="005746D2"/>
    <w:rsid w:val="00574E8A"/>
    <w:rsid w:val="00576DC7"/>
    <w:rsid w:val="00577775"/>
    <w:rsid w:val="0058121A"/>
    <w:rsid w:val="00581863"/>
    <w:rsid w:val="00581EA3"/>
    <w:rsid w:val="0058205A"/>
    <w:rsid w:val="0058260B"/>
    <w:rsid w:val="00584D1E"/>
    <w:rsid w:val="00586795"/>
    <w:rsid w:val="00586B82"/>
    <w:rsid w:val="00586F9D"/>
    <w:rsid w:val="00587E13"/>
    <w:rsid w:val="00590F76"/>
    <w:rsid w:val="005933AA"/>
    <w:rsid w:val="005940AA"/>
    <w:rsid w:val="00594614"/>
    <w:rsid w:val="00594E10"/>
    <w:rsid w:val="00596306"/>
    <w:rsid w:val="00596487"/>
    <w:rsid w:val="0059786C"/>
    <w:rsid w:val="005A0809"/>
    <w:rsid w:val="005A0B91"/>
    <w:rsid w:val="005A1494"/>
    <w:rsid w:val="005A310E"/>
    <w:rsid w:val="005A31D0"/>
    <w:rsid w:val="005A3590"/>
    <w:rsid w:val="005A3A9B"/>
    <w:rsid w:val="005A4A1C"/>
    <w:rsid w:val="005A4BC6"/>
    <w:rsid w:val="005A5BD8"/>
    <w:rsid w:val="005A692A"/>
    <w:rsid w:val="005A6AB8"/>
    <w:rsid w:val="005B11C2"/>
    <w:rsid w:val="005B180A"/>
    <w:rsid w:val="005B382C"/>
    <w:rsid w:val="005B3C11"/>
    <w:rsid w:val="005B40DA"/>
    <w:rsid w:val="005B4226"/>
    <w:rsid w:val="005B50B1"/>
    <w:rsid w:val="005B57C5"/>
    <w:rsid w:val="005B5AA4"/>
    <w:rsid w:val="005B656B"/>
    <w:rsid w:val="005B71B3"/>
    <w:rsid w:val="005B76A4"/>
    <w:rsid w:val="005C04A7"/>
    <w:rsid w:val="005C17A4"/>
    <w:rsid w:val="005C216B"/>
    <w:rsid w:val="005C27CC"/>
    <w:rsid w:val="005C370D"/>
    <w:rsid w:val="005C4775"/>
    <w:rsid w:val="005C504E"/>
    <w:rsid w:val="005C5F05"/>
    <w:rsid w:val="005C6153"/>
    <w:rsid w:val="005C78B0"/>
    <w:rsid w:val="005C7B95"/>
    <w:rsid w:val="005D01EB"/>
    <w:rsid w:val="005D0DFB"/>
    <w:rsid w:val="005D1112"/>
    <w:rsid w:val="005D12A6"/>
    <w:rsid w:val="005D237C"/>
    <w:rsid w:val="005D25E2"/>
    <w:rsid w:val="005D25FF"/>
    <w:rsid w:val="005D2632"/>
    <w:rsid w:val="005D3165"/>
    <w:rsid w:val="005D38E0"/>
    <w:rsid w:val="005D3F32"/>
    <w:rsid w:val="005D4E3E"/>
    <w:rsid w:val="005D6624"/>
    <w:rsid w:val="005D67F7"/>
    <w:rsid w:val="005D7D7E"/>
    <w:rsid w:val="005E0B59"/>
    <w:rsid w:val="005E1105"/>
    <w:rsid w:val="005E162F"/>
    <w:rsid w:val="005E2C60"/>
    <w:rsid w:val="005E31F6"/>
    <w:rsid w:val="005E3622"/>
    <w:rsid w:val="005E5B0F"/>
    <w:rsid w:val="005E60B3"/>
    <w:rsid w:val="005E676C"/>
    <w:rsid w:val="005E6CB9"/>
    <w:rsid w:val="005E7F14"/>
    <w:rsid w:val="005F0154"/>
    <w:rsid w:val="005F0176"/>
    <w:rsid w:val="005F021D"/>
    <w:rsid w:val="005F0D5C"/>
    <w:rsid w:val="005F1EAC"/>
    <w:rsid w:val="005F2899"/>
    <w:rsid w:val="005F308F"/>
    <w:rsid w:val="005F4869"/>
    <w:rsid w:val="005F4BFD"/>
    <w:rsid w:val="005F5748"/>
    <w:rsid w:val="005F5834"/>
    <w:rsid w:val="005F5E11"/>
    <w:rsid w:val="006003E5"/>
    <w:rsid w:val="00600E63"/>
    <w:rsid w:val="00601561"/>
    <w:rsid w:val="00601E55"/>
    <w:rsid w:val="00602037"/>
    <w:rsid w:val="006024D3"/>
    <w:rsid w:val="006029DD"/>
    <w:rsid w:val="00602C6A"/>
    <w:rsid w:val="00603AF5"/>
    <w:rsid w:val="006056C8"/>
    <w:rsid w:val="00605ABF"/>
    <w:rsid w:val="00606C66"/>
    <w:rsid w:val="00610145"/>
    <w:rsid w:val="00610D1F"/>
    <w:rsid w:val="006123C6"/>
    <w:rsid w:val="00612BE2"/>
    <w:rsid w:val="00612C02"/>
    <w:rsid w:val="00612CDD"/>
    <w:rsid w:val="0061562E"/>
    <w:rsid w:val="006167ED"/>
    <w:rsid w:val="00616D41"/>
    <w:rsid w:val="00617292"/>
    <w:rsid w:val="006200A9"/>
    <w:rsid w:val="006210FC"/>
    <w:rsid w:val="00621E8E"/>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2D9A"/>
    <w:rsid w:val="00633E76"/>
    <w:rsid w:val="00633EC9"/>
    <w:rsid w:val="006340F5"/>
    <w:rsid w:val="00634542"/>
    <w:rsid w:val="006348F9"/>
    <w:rsid w:val="00635E4D"/>
    <w:rsid w:val="0063620C"/>
    <w:rsid w:val="00636CEA"/>
    <w:rsid w:val="00637E18"/>
    <w:rsid w:val="0064032E"/>
    <w:rsid w:val="0064038D"/>
    <w:rsid w:val="00641A0B"/>
    <w:rsid w:val="00641D5A"/>
    <w:rsid w:val="00641E06"/>
    <w:rsid w:val="00643007"/>
    <w:rsid w:val="006431D0"/>
    <w:rsid w:val="006432C5"/>
    <w:rsid w:val="006436FA"/>
    <w:rsid w:val="00643852"/>
    <w:rsid w:val="00643C27"/>
    <w:rsid w:val="0064422D"/>
    <w:rsid w:val="006455E7"/>
    <w:rsid w:val="00645758"/>
    <w:rsid w:val="006461A1"/>
    <w:rsid w:val="00647422"/>
    <w:rsid w:val="00647E6B"/>
    <w:rsid w:val="00650BFF"/>
    <w:rsid w:val="00650E84"/>
    <w:rsid w:val="0065198B"/>
    <w:rsid w:val="006525AF"/>
    <w:rsid w:val="0065266A"/>
    <w:rsid w:val="00653E30"/>
    <w:rsid w:val="00653F9C"/>
    <w:rsid w:val="00654055"/>
    <w:rsid w:val="00655470"/>
    <w:rsid w:val="00655CF7"/>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7B0"/>
    <w:rsid w:val="00684C95"/>
    <w:rsid w:val="006850D3"/>
    <w:rsid w:val="00685249"/>
    <w:rsid w:val="006856B9"/>
    <w:rsid w:val="00685BDE"/>
    <w:rsid w:val="00686085"/>
    <w:rsid w:val="00687C0D"/>
    <w:rsid w:val="00687F82"/>
    <w:rsid w:val="00690B70"/>
    <w:rsid w:val="00691237"/>
    <w:rsid w:val="006920E6"/>
    <w:rsid w:val="006924C0"/>
    <w:rsid w:val="00692555"/>
    <w:rsid w:val="00696566"/>
    <w:rsid w:val="006966BA"/>
    <w:rsid w:val="0069722D"/>
    <w:rsid w:val="006A0052"/>
    <w:rsid w:val="006A0A9E"/>
    <w:rsid w:val="006A1B92"/>
    <w:rsid w:val="006A1F1C"/>
    <w:rsid w:val="006A259C"/>
    <w:rsid w:val="006A2F47"/>
    <w:rsid w:val="006A34AA"/>
    <w:rsid w:val="006A3836"/>
    <w:rsid w:val="006A3DD3"/>
    <w:rsid w:val="006A409F"/>
    <w:rsid w:val="006A44E3"/>
    <w:rsid w:val="006A4625"/>
    <w:rsid w:val="006A47AE"/>
    <w:rsid w:val="006A48A9"/>
    <w:rsid w:val="006A5B5E"/>
    <w:rsid w:val="006A67CB"/>
    <w:rsid w:val="006B0368"/>
    <w:rsid w:val="006B0F6E"/>
    <w:rsid w:val="006B1D7B"/>
    <w:rsid w:val="006B27D4"/>
    <w:rsid w:val="006B2C9C"/>
    <w:rsid w:val="006B3788"/>
    <w:rsid w:val="006B48EB"/>
    <w:rsid w:val="006B4C00"/>
    <w:rsid w:val="006B56FC"/>
    <w:rsid w:val="006B6DDA"/>
    <w:rsid w:val="006B73D9"/>
    <w:rsid w:val="006B7DF0"/>
    <w:rsid w:val="006B7E74"/>
    <w:rsid w:val="006C0D75"/>
    <w:rsid w:val="006C1C48"/>
    <w:rsid w:val="006C2FAF"/>
    <w:rsid w:val="006C3C1D"/>
    <w:rsid w:val="006C41FF"/>
    <w:rsid w:val="006C5145"/>
    <w:rsid w:val="006C595C"/>
    <w:rsid w:val="006C65A8"/>
    <w:rsid w:val="006D05AD"/>
    <w:rsid w:val="006D0C32"/>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29D"/>
    <w:rsid w:val="006E58C4"/>
    <w:rsid w:val="006E5DDD"/>
    <w:rsid w:val="006E7811"/>
    <w:rsid w:val="006F04DA"/>
    <w:rsid w:val="006F0557"/>
    <w:rsid w:val="006F0EA3"/>
    <w:rsid w:val="006F1048"/>
    <w:rsid w:val="006F1897"/>
    <w:rsid w:val="006F1B5D"/>
    <w:rsid w:val="006F2055"/>
    <w:rsid w:val="006F212B"/>
    <w:rsid w:val="006F37F7"/>
    <w:rsid w:val="006F4A61"/>
    <w:rsid w:val="006F4ADC"/>
    <w:rsid w:val="006F643D"/>
    <w:rsid w:val="006F675C"/>
    <w:rsid w:val="006F6D13"/>
    <w:rsid w:val="006F7759"/>
    <w:rsid w:val="006F7D95"/>
    <w:rsid w:val="00700D41"/>
    <w:rsid w:val="00701B21"/>
    <w:rsid w:val="0070226E"/>
    <w:rsid w:val="00702384"/>
    <w:rsid w:val="0070367F"/>
    <w:rsid w:val="00704BAE"/>
    <w:rsid w:val="00705807"/>
    <w:rsid w:val="00705920"/>
    <w:rsid w:val="00705C74"/>
    <w:rsid w:val="00705C78"/>
    <w:rsid w:val="007060E1"/>
    <w:rsid w:val="00706824"/>
    <w:rsid w:val="00706B85"/>
    <w:rsid w:val="007071FC"/>
    <w:rsid w:val="00707C84"/>
    <w:rsid w:val="00710A59"/>
    <w:rsid w:val="00710FDE"/>
    <w:rsid w:val="007116C7"/>
    <w:rsid w:val="00711C5A"/>
    <w:rsid w:val="00712A53"/>
    <w:rsid w:val="00712B66"/>
    <w:rsid w:val="00713C31"/>
    <w:rsid w:val="00713E73"/>
    <w:rsid w:val="0071428D"/>
    <w:rsid w:val="007144C9"/>
    <w:rsid w:val="00716B3C"/>
    <w:rsid w:val="007170C2"/>
    <w:rsid w:val="0071757D"/>
    <w:rsid w:val="00717EE4"/>
    <w:rsid w:val="00717F2D"/>
    <w:rsid w:val="00720453"/>
    <w:rsid w:val="00720853"/>
    <w:rsid w:val="00722129"/>
    <w:rsid w:val="00723CA9"/>
    <w:rsid w:val="00724173"/>
    <w:rsid w:val="00725DE8"/>
    <w:rsid w:val="00726730"/>
    <w:rsid w:val="00730598"/>
    <w:rsid w:val="00731C24"/>
    <w:rsid w:val="0073257E"/>
    <w:rsid w:val="00732A32"/>
    <w:rsid w:val="00733066"/>
    <w:rsid w:val="00733469"/>
    <w:rsid w:val="00733539"/>
    <w:rsid w:val="00733FA5"/>
    <w:rsid w:val="00735557"/>
    <w:rsid w:val="00736014"/>
    <w:rsid w:val="00737108"/>
    <w:rsid w:val="007379CE"/>
    <w:rsid w:val="00737B39"/>
    <w:rsid w:val="007419A7"/>
    <w:rsid w:val="00741B21"/>
    <w:rsid w:val="00741DD8"/>
    <w:rsid w:val="00741E49"/>
    <w:rsid w:val="0074250D"/>
    <w:rsid w:val="007425F5"/>
    <w:rsid w:val="007445E2"/>
    <w:rsid w:val="00745159"/>
    <w:rsid w:val="00745496"/>
    <w:rsid w:val="007460DA"/>
    <w:rsid w:val="0074705B"/>
    <w:rsid w:val="007470EC"/>
    <w:rsid w:val="0075020B"/>
    <w:rsid w:val="00751017"/>
    <w:rsid w:val="00751960"/>
    <w:rsid w:val="007535C7"/>
    <w:rsid w:val="0075401F"/>
    <w:rsid w:val="00756551"/>
    <w:rsid w:val="00757769"/>
    <w:rsid w:val="00757AC8"/>
    <w:rsid w:val="00757EAC"/>
    <w:rsid w:val="0076067E"/>
    <w:rsid w:val="00761BFD"/>
    <w:rsid w:val="00761D5C"/>
    <w:rsid w:val="00761FE5"/>
    <w:rsid w:val="00762476"/>
    <w:rsid w:val="00762A18"/>
    <w:rsid w:val="00763AE2"/>
    <w:rsid w:val="0076467D"/>
    <w:rsid w:val="00764F4A"/>
    <w:rsid w:val="00766CB2"/>
    <w:rsid w:val="00766D90"/>
    <w:rsid w:val="00766F3A"/>
    <w:rsid w:val="00767C19"/>
    <w:rsid w:val="00767D4E"/>
    <w:rsid w:val="00771067"/>
    <w:rsid w:val="00771109"/>
    <w:rsid w:val="007719F7"/>
    <w:rsid w:val="007722ED"/>
    <w:rsid w:val="0077408B"/>
    <w:rsid w:val="00774AF6"/>
    <w:rsid w:val="00774EC8"/>
    <w:rsid w:val="00776781"/>
    <w:rsid w:val="0077679D"/>
    <w:rsid w:val="007776CC"/>
    <w:rsid w:val="00777CE9"/>
    <w:rsid w:val="00780D05"/>
    <w:rsid w:val="00781C40"/>
    <w:rsid w:val="0078391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5FB6"/>
    <w:rsid w:val="007A60CA"/>
    <w:rsid w:val="007A6F0F"/>
    <w:rsid w:val="007A708C"/>
    <w:rsid w:val="007A75B5"/>
    <w:rsid w:val="007A7985"/>
    <w:rsid w:val="007A7ABE"/>
    <w:rsid w:val="007B03C5"/>
    <w:rsid w:val="007B26E1"/>
    <w:rsid w:val="007B3045"/>
    <w:rsid w:val="007B4C0F"/>
    <w:rsid w:val="007B5E25"/>
    <w:rsid w:val="007B6E0E"/>
    <w:rsid w:val="007C060C"/>
    <w:rsid w:val="007C27FB"/>
    <w:rsid w:val="007C2CBB"/>
    <w:rsid w:val="007C309C"/>
    <w:rsid w:val="007C4209"/>
    <w:rsid w:val="007C44A2"/>
    <w:rsid w:val="007C523E"/>
    <w:rsid w:val="007C5EB9"/>
    <w:rsid w:val="007C7449"/>
    <w:rsid w:val="007C7EA5"/>
    <w:rsid w:val="007D0076"/>
    <w:rsid w:val="007D1A95"/>
    <w:rsid w:val="007D245E"/>
    <w:rsid w:val="007D3764"/>
    <w:rsid w:val="007D485A"/>
    <w:rsid w:val="007D52E0"/>
    <w:rsid w:val="007D54FF"/>
    <w:rsid w:val="007D57D4"/>
    <w:rsid w:val="007D6315"/>
    <w:rsid w:val="007D70AD"/>
    <w:rsid w:val="007D724A"/>
    <w:rsid w:val="007D75A3"/>
    <w:rsid w:val="007E103E"/>
    <w:rsid w:val="007E1311"/>
    <w:rsid w:val="007E16E2"/>
    <w:rsid w:val="007E19FE"/>
    <w:rsid w:val="007E1AAC"/>
    <w:rsid w:val="007E2C70"/>
    <w:rsid w:val="007E3B9C"/>
    <w:rsid w:val="007E4A2F"/>
    <w:rsid w:val="007E5C4A"/>
    <w:rsid w:val="007E6915"/>
    <w:rsid w:val="007E7454"/>
    <w:rsid w:val="007E74CA"/>
    <w:rsid w:val="007E7AD3"/>
    <w:rsid w:val="007E7BA4"/>
    <w:rsid w:val="007F0070"/>
    <w:rsid w:val="007F0441"/>
    <w:rsid w:val="007F0E99"/>
    <w:rsid w:val="007F20F1"/>
    <w:rsid w:val="007F3A81"/>
    <w:rsid w:val="007F4224"/>
    <w:rsid w:val="007F4DA4"/>
    <w:rsid w:val="007F4DD2"/>
    <w:rsid w:val="007F4FB9"/>
    <w:rsid w:val="007F7022"/>
    <w:rsid w:val="007F7690"/>
    <w:rsid w:val="008011CC"/>
    <w:rsid w:val="00801404"/>
    <w:rsid w:val="008017AA"/>
    <w:rsid w:val="00801CBA"/>
    <w:rsid w:val="00801D92"/>
    <w:rsid w:val="00804BCF"/>
    <w:rsid w:val="00804FA4"/>
    <w:rsid w:val="00805275"/>
    <w:rsid w:val="0080679E"/>
    <w:rsid w:val="00806A62"/>
    <w:rsid w:val="00806BAB"/>
    <w:rsid w:val="00806E55"/>
    <w:rsid w:val="008075CE"/>
    <w:rsid w:val="00811AA5"/>
    <w:rsid w:val="00812179"/>
    <w:rsid w:val="008124E2"/>
    <w:rsid w:val="00813928"/>
    <w:rsid w:val="00815321"/>
    <w:rsid w:val="008166DB"/>
    <w:rsid w:val="008173E0"/>
    <w:rsid w:val="008175C1"/>
    <w:rsid w:val="008200D4"/>
    <w:rsid w:val="00820370"/>
    <w:rsid w:val="00820CC6"/>
    <w:rsid w:val="00821C26"/>
    <w:rsid w:val="00822C41"/>
    <w:rsid w:val="00825043"/>
    <w:rsid w:val="00825267"/>
    <w:rsid w:val="008264EC"/>
    <w:rsid w:val="00827C0D"/>
    <w:rsid w:val="00830642"/>
    <w:rsid w:val="00831250"/>
    <w:rsid w:val="00831D8D"/>
    <w:rsid w:val="00831F29"/>
    <w:rsid w:val="00832F5E"/>
    <w:rsid w:val="008333B7"/>
    <w:rsid w:val="008336EC"/>
    <w:rsid w:val="008337B9"/>
    <w:rsid w:val="00834FD2"/>
    <w:rsid w:val="00835084"/>
    <w:rsid w:val="00835184"/>
    <w:rsid w:val="00835546"/>
    <w:rsid w:val="00835569"/>
    <w:rsid w:val="00835802"/>
    <w:rsid w:val="00836295"/>
    <w:rsid w:val="008370EE"/>
    <w:rsid w:val="0084093F"/>
    <w:rsid w:val="0084098A"/>
    <w:rsid w:val="00840DB0"/>
    <w:rsid w:val="00840EDE"/>
    <w:rsid w:val="0084158F"/>
    <w:rsid w:val="008418A5"/>
    <w:rsid w:val="00843548"/>
    <w:rsid w:val="0084383C"/>
    <w:rsid w:val="00843CC0"/>
    <w:rsid w:val="00844ADD"/>
    <w:rsid w:val="0084534E"/>
    <w:rsid w:val="00846062"/>
    <w:rsid w:val="00847387"/>
    <w:rsid w:val="008474C1"/>
    <w:rsid w:val="00847C1C"/>
    <w:rsid w:val="00850404"/>
    <w:rsid w:val="0085055E"/>
    <w:rsid w:val="00850C3B"/>
    <w:rsid w:val="00851605"/>
    <w:rsid w:val="00852CA0"/>
    <w:rsid w:val="00852D85"/>
    <w:rsid w:val="00852F6C"/>
    <w:rsid w:val="00852F7E"/>
    <w:rsid w:val="0085465C"/>
    <w:rsid w:val="00854967"/>
    <w:rsid w:val="0085540B"/>
    <w:rsid w:val="00855511"/>
    <w:rsid w:val="0085582C"/>
    <w:rsid w:val="00855FD3"/>
    <w:rsid w:val="00856BAC"/>
    <w:rsid w:val="00857086"/>
    <w:rsid w:val="00857572"/>
    <w:rsid w:val="00857FCE"/>
    <w:rsid w:val="00860F4D"/>
    <w:rsid w:val="008611DE"/>
    <w:rsid w:val="00861375"/>
    <w:rsid w:val="00861C56"/>
    <w:rsid w:val="00861F29"/>
    <w:rsid w:val="008620A2"/>
    <w:rsid w:val="00862741"/>
    <w:rsid w:val="00862BBD"/>
    <w:rsid w:val="00863C9F"/>
    <w:rsid w:val="008645D6"/>
    <w:rsid w:val="0086552B"/>
    <w:rsid w:val="008655A2"/>
    <w:rsid w:val="0086584F"/>
    <w:rsid w:val="00866DC6"/>
    <w:rsid w:val="008671C7"/>
    <w:rsid w:val="00867EB8"/>
    <w:rsid w:val="00870335"/>
    <w:rsid w:val="00870AA2"/>
    <w:rsid w:val="00873D88"/>
    <w:rsid w:val="0087433B"/>
    <w:rsid w:val="0087466B"/>
    <w:rsid w:val="0087621E"/>
    <w:rsid w:val="008767B2"/>
    <w:rsid w:val="00876DE9"/>
    <w:rsid w:val="00877328"/>
    <w:rsid w:val="008777A9"/>
    <w:rsid w:val="0087787A"/>
    <w:rsid w:val="008802F0"/>
    <w:rsid w:val="00880992"/>
    <w:rsid w:val="00881692"/>
    <w:rsid w:val="00881FDD"/>
    <w:rsid w:val="00883143"/>
    <w:rsid w:val="008846AB"/>
    <w:rsid w:val="00886154"/>
    <w:rsid w:val="008866FC"/>
    <w:rsid w:val="008876F0"/>
    <w:rsid w:val="00890277"/>
    <w:rsid w:val="0089061A"/>
    <w:rsid w:val="008909A0"/>
    <w:rsid w:val="008915C6"/>
    <w:rsid w:val="00891677"/>
    <w:rsid w:val="00892DB5"/>
    <w:rsid w:val="00894B61"/>
    <w:rsid w:val="00895255"/>
    <w:rsid w:val="00895DF1"/>
    <w:rsid w:val="00895E6C"/>
    <w:rsid w:val="00896645"/>
    <w:rsid w:val="00896B5F"/>
    <w:rsid w:val="008975D2"/>
    <w:rsid w:val="008A035B"/>
    <w:rsid w:val="008A0459"/>
    <w:rsid w:val="008A1218"/>
    <w:rsid w:val="008A15B6"/>
    <w:rsid w:val="008A1A6E"/>
    <w:rsid w:val="008A202A"/>
    <w:rsid w:val="008A3406"/>
    <w:rsid w:val="008A36C9"/>
    <w:rsid w:val="008A5AF9"/>
    <w:rsid w:val="008B16DE"/>
    <w:rsid w:val="008B207B"/>
    <w:rsid w:val="008B251F"/>
    <w:rsid w:val="008B2602"/>
    <w:rsid w:val="008B2727"/>
    <w:rsid w:val="008B316B"/>
    <w:rsid w:val="008B3B5A"/>
    <w:rsid w:val="008B5059"/>
    <w:rsid w:val="008B5B7D"/>
    <w:rsid w:val="008B5BF2"/>
    <w:rsid w:val="008B6934"/>
    <w:rsid w:val="008B6CF8"/>
    <w:rsid w:val="008B72F6"/>
    <w:rsid w:val="008C119E"/>
    <w:rsid w:val="008C1E24"/>
    <w:rsid w:val="008C296B"/>
    <w:rsid w:val="008C2A46"/>
    <w:rsid w:val="008C3353"/>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B84"/>
    <w:rsid w:val="008E09C5"/>
    <w:rsid w:val="008E0AA7"/>
    <w:rsid w:val="008E1F6E"/>
    <w:rsid w:val="008E219D"/>
    <w:rsid w:val="008E2355"/>
    <w:rsid w:val="008E3151"/>
    <w:rsid w:val="008E3386"/>
    <w:rsid w:val="008E5410"/>
    <w:rsid w:val="008E5818"/>
    <w:rsid w:val="008E5A3F"/>
    <w:rsid w:val="008E6E05"/>
    <w:rsid w:val="008E7209"/>
    <w:rsid w:val="008E7448"/>
    <w:rsid w:val="008E7AD7"/>
    <w:rsid w:val="008F08B3"/>
    <w:rsid w:val="008F11BB"/>
    <w:rsid w:val="008F1477"/>
    <w:rsid w:val="008F16FF"/>
    <w:rsid w:val="008F182F"/>
    <w:rsid w:val="008F1E95"/>
    <w:rsid w:val="008F2304"/>
    <w:rsid w:val="008F51C7"/>
    <w:rsid w:val="008F57DD"/>
    <w:rsid w:val="008F5AEE"/>
    <w:rsid w:val="008F69F8"/>
    <w:rsid w:val="008F6EAA"/>
    <w:rsid w:val="008F74EE"/>
    <w:rsid w:val="008F7800"/>
    <w:rsid w:val="008F7BCA"/>
    <w:rsid w:val="00900F4D"/>
    <w:rsid w:val="0090167B"/>
    <w:rsid w:val="00902DEC"/>
    <w:rsid w:val="0090342E"/>
    <w:rsid w:val="00903D3A"/>
    <w:rsid w:val="009044B9"/>
    <w:rsid w:val="009047B1"/>
    <w:rsid w:val="00904C86"/>
    <w:rsid w:val="0090680D"/>
    <w:rsid w:val="00906D89"/>
    <w:rsid w:val="0091045D"/>
    <w:rsid w:val="00911EF7"/>
    <w:rsid w:val="0091281A"/>
    <w:rsid w:val="00912A5F"/>
    <w:rsid w:val="00912B24"/>
    <w:rsid w:val="009139B5"/>
    <w:rsid w:val="00914514"/>
    <w:rsid w:val="00914549"/>
    <w:rsid w:val="00914C08"/>
    <w:rsid w:val="00914C84"/>
    <w:rsid w:val="00914F2F"/>
    <w:rsid w:val="00916057"/>
    <w:rsid w:val="00916AD1"/>
    <w:rsid w:val="00917637"/>
    <w:rsid w:val="00917FEE"/>
    <w:rsid w:val="0092023D"/>
    <w:rsid w:val="00920396"/>
    <w:rsid w:val="00920472"/>
    <w:rsid w:val="00921251"/>
    <w:rsid w:val="009212FE"/>
    <w:rsid w:val="00921861"/>
    <w:rsid w:val="0092189E"/>
    <w:rsid w:val="009219FD"/>
    <w:rsid w:val="00921DF7"/>
    <w:rsid w:val="009257B0"/>
    <w:rsid w:val="009258BD"/>
    <w:rsid w:val="00925DEB"/>
    <w:rsid w:val="009263C0"/>
    <w:rsid w:val="009302D4"/>
    <w:rsid w:val="009307F2"/>
    <w:rsid w:val="00930CEC"/>
    <w:rsid w:val="00930F4A"/>
    <w:rsid w:val="009317E7"/>
    <w:rsid w:val="0093375E"/>
    <w:rsid w:val="00933BEF"/>
    <w:rsid w:val="009351EE"/>
    <w:rsid w:val="009360EC"/>
    <w:rsid w:val="009367B0"/>
    <w:rsid w:val="0093787E"/>
    <w:rsid w:val="009412CC"/>
    <w:rsid w:val="0094388B"/>
    <w:rsid w:val="00943D09"/>
    <w:rsid w:val="00944826"/>
    <w:rsid w:val="009457A1"/>
    <w:rsid w:val="00947C5D"/>
    <w:rsid w:val="00947CA9"/>
    <w:rsid w:val="00950478"/>
    <w:rsid w:val="00950888"/>
    <w:rsid w:val="00950911"/>
    <w:rsid w:val="00950AF9"/>
    <w:rsid w:val="00950B5F"/>
    <w:rsid w:val="00950D35"/>
    <w:rsid w:val="0095144C"/>
    <w:rsid w:val="0095165B"/>
    <w:rsid w:val="00951B17"/>
    <w:rsid w:val="00951B8D"/>
    <w:rsid w:val="009536A8"/>
    <w:rsid w:val="00954596"/>
    <w:rsid w:val="009547CB"/>
    <w:rsid w:val="009556E4"/>
    <w:rsid w:val="00955851"/>
    <w:rsid w:val="00957E23"/>
    <w:rsid w:val="00961487"/>
    <w:rsid w:val="00961BA7"/>
    <w:rsid w:val="00961F01"/>
    <w:rsid w:val="00962162"/>
    <w:rsid w:val="009623BC"/>
    <w:rsid w:val="00962437"/>
    <w:rsid w:val="009628BE"/>
    <w:rsid w:val="009631C8"/>
    <w:rsid w:val="009638B4"/>
    <w:rsid w:val="00963AE4"/>
    <w:rsid w:val="00963C14"/>
    <w:rsid w:val="009645CD"/>
    <w:rsid w:val="00965940"/>
    <w:rsid w:val="00965A4E"/>
    <w:rsid w:val="00966BE5"/>
    <w:rsid w:val="00966EB0"/>
    <w:rsid w:val="00970D34"/>
    <w:rsid w:val="00971116"/>
    <w:rsid w:val="00972E28"/>
    <w:rsid w:val="00973030"/>
    <w:rsid w:val="009733F3"/>
    <w:rsid w:val="009748E4"/>
    <w:rsid w:val="00975EC7"/>
    <w:rsid w:val="00976D65"/>
    <w:rsid w:val="00977CE6"/>
    <w:rsid w:val="00980174"/>
    <w:rsid w:val="009807AC"/>
    <w:rsid w:val="00980C18"/>
    <w:rsid w:val="009810E9"/>
    <w:rsid w:val="0098141C"/>
    <w:rsid w:val="00981AA9"/>
    <w:rsid w:val="00981C91"/>
    <w:rsid w:val="00983132"/>
    <w:rsid w:val="00983314"/>
    <w:rsid w:val="00983DF2"/>
    <w:rsid w:val="0098433A"/>
    <w:rsid w:val="0098542D"/>
    <w:rsid w:val="00985675"/>
    <w:rsid w:val="00985939"/>
    <w:rsid w:val="0098636F"/>
    <w:rsid w:val="0098637F"/>
    <w:rsid w:val="00986A9B"/>
    <w:rsid w:val="00986B9C"/>
    <w:rsid w:val="00987BAB"/>
    <w:rsid w:val="009906BF"/>
    <w:rsid w:val="00990C3A"/>
    <w:rsid w:val="009913F3"/>
    <w:rsid w:val="00991DA1"/>
    <w:rsid w:val="009927F1"/>
    <w:rsid w:val="009936C4"/>
    <w:rsid w:val="009948ED"/>
    <w:rsid w:val="00995ADA"/>
    <w:rsid w:val="0099643A"/>
    <w:rsid w:val="00996CBF"/>
    <w:rsid w:val="00997959"/>
    <w:rsid w:val="009A0BAF"/>
    <w:rsid w:val="009A1431"/>
    <w:rsid w:val="009A153D"/>
    <w:rsid w:val="009A1634"/>
    <w:rsid w:val="009A3A34"/>
    <w:rsid w:val="009A3FE2"/>
    <w:rsid w:val="009A400C"/>
    <w:rsid w:val="009A4B2C"/>
    <w:rsid w:val="009A5592"/>
    <w:rsid w:val="009A59BA"/>
    <w:rsid w:val="009A6417"/>
    <w:rsid w:val="009A660C"/>
    <w:rsid w:val="009B01DF"/>
    <w:rsid w:val="009B020D"/>
    <w:rsid w:val="009B072F"/>
    <w:rsid w:val="009B07A1"/>
    <w:rsid w:val="009B09CC"/>
    <w:rsid w:val="009B115F"/>
    <w:rsid w:val="009B173B"/>
    <w:rsid w:val="009B1A1A"/>
    <w:rsid w:val="009B2608"/>
    <w:rsid w:val="009B2A71"/>
    <w:rsid w:val="009B4027"/>
    <w:rsid w:val="009B48F2"/>
    <w:rsid w:val="009B4975"/>
    <w:rsid w:val="009B54E0"/>
    <w:rsid w:val="009B561F"/>
    <w:rsid w:val="009B5773"/>
    <w:rsid w:val="009B5D2D"/>
    <w:rsid w:val="009B701F"/>
    <w:rsid w:val="009B76C2"/>
    <w:rsid w:val="009C058F"/>
    <w:rsid w:val="009C2B3E"/>
    <w:rsid w:val="009C2EA2"/>
    <w:rsid w:val="009C3118"/>
    <w:rsid w:val="009C3311"/>
    <w:rsid w:val="009C3721"/>
    <w:rsid w:val="009C4141"/>
    <w:rsid w:val="009C4503"/>
    <w:rsid w:val="009C4B55"/>
    <w:rsid w:val="009C5FCC"/>
    <w:rsid w:val="009C61A2"/>
    <w:rsid w:val="009C66B6"/>
    <w:rsid w:val="009C6DF6"/>
    <w:rsid w:val="009C6E92"/>
    <w:rsid w:val="009D04F7"/>
    <w:rsid w:val="009D0E70"/>
    <w:rsid w:val="009D1589"/>
    <w:rsid w:val="009D2003"/>
    <w:rsid w:val="009D38C2"/>
    <w:rsid w:val="009D417F"/>
    <w:rsid w:val="009D45E5"/>
    <w:rsid w:val="009D4B85"/>
    <w:rsid w:val="009D5248"/>
    <w:rsid w:val="009D535B"/>
    <w:rsid w:val="009D630B"/>
    <w:rsid w:val="009D639E"/>
    <w:rsid w:val="009D6CAA"/>
    <w:rsid w:val="009D6CF6"/>
    <w:rsid w:val="009D6E69"/>
    <w:rsid w:val="009E01CD"/>
    <w:rsid w:val="009E02DC"/>
    <w:rsid w:val="009E0FC7"/>
    <w:rsid w:val="009E2040"/>
    <w:rsid w:val="009E49AE"/>
    <w:rsid w:val="009E4DC7"/>
    <w:rsid w:val="009E5477"/>
    <w:rsid w:val="009E660A"/>
    <w:rsid w:val="009E6B64"/>
    <w:rsid w:val="009E72E5"/>
    <w:rsid w:val="009E73C6"/>
    <w:rsid w:val="009F07D7"/>
    <w:rsid w:val="009F1D8A"/>
    <w:rsid w:val="009F46C8"/>
    <w:rsid w:val="009F4F2A"/>
    <w:rsid w:val="009F57A0"/>
    <w:rsid w:val="009F660B"/>
    <w:rsid w:val="009F671E"/>
    <w:rsid w:val="009F7389"/>
    <w:rsid w:val="009F7ED1"/>
    <w:rsid w:val="00A0149B"/>
    <w:rsid w:val="00A01607"/>
    <w:rsid w:val="00A018D4"/>
    <w:rsid w:val="00A02E91"/>
    <w:rsid w:val="00A02F9D"/>
    <w:rsid w:val="00A03767"/>
    <w:rsid w:val="00A039BF"/>
    <w:rsid w:val="00A04834"/>
    <w:rsid w:val="00A04C16"/>
    <w:rsid w:val="00A05628"/>
    <w:rsid w:val="00A07DCF"/>
    <w:rsid w:val="00A12979"/>
    <w:rsid w:val="00A131A9"/>
    <w:rsid w:val="00A1496E"/>
    <w:rsid w:val="00A14F84"/>
    <w:rsid w:val="00A16D6D"/>
    <w:rsid w:val="00A17C75"/>
    <w:rsid w:val="00A211C8"/>
    <w:rsid w:val="00A211D2"/>
    <w:rsid w:val="00A2121E"/>
    <w:rsid w:val="00A21EAC"/>
    <w:rsid w:val="00A221DE"/>
    <w:rsid w:val="00A22A60"/>
    <w:rsid w:val="00A22CB2"/>
    <w:rsid w:val="00A23138"/>
    <w:rsid w:val="00A23940"/>
    <w:rsid w:val="00A23ECC"/>
    <w:rsid w:val="00A24CD3"/>
    <w:rsid w:val="00A25461"/>
    <w:rsid w:val="00A26367"/>
    <w:rsid w:val="00A2678A"/>
    <w:rsid w:val="00A269E1"/>
    <w:rsid w:val="00A27C1C"/>
    <w:rsid w:val="00A3005E"/>
    <w:rsid w:val="00A3074B"/>
    <w:rsid w:val="00A30F6A"/>
    <w:rsid w:val="00A31C2F"/>
    <w:rsid w:val="00A32AEA"/>
    <w:rsid w:val="00A32F32"/>
    <w:rsid w:val="00A33E80"/>
    <w:rsid w:val="00A33EFE"/>
    <w:rsid w:val="00A37E08"/>
    <w:rsid w:val="00A41193"/>
    <w:rsid w:val="00A4148D"/>
    <w:rsid w:val="00A44D0E"/>
    <w:rsid w:val="00A4621D"/>
    <w:rsid w:val="00A47C01"/>
    <w:rsid w:val="00A509FB"/>
    <w:rsid w:val="00A51C19"/>
    <w:rsid w:val="00A51E04"/>
    <w:rsid w:val="00A522B5"/>
    <w:rsid w:val="00A52C31"/>
    <w:rsid w:val="00A52F37"/>
    <w:rsid w:val="00A533C5"/>
    <w:rsid w:val="00A5388C"/>
    <w:rsid w:val="00A5397B"/>
    <w:rsid w:val="00A53A49"/>
    <w:rsid w:val="00A53BE1"/>
    <w:rsid w:val="00A54644"/>
    <w:rsid w:val="00A55921"/>
    <w:rsid w:val="00A560E3"/>
    <w:rsid w:val="00A5628F"/>
    <w:rsid w:val="00A564AF"/>
    <w:rsid w:val="00A566A8"/>
    <w:rsid w:val="00A56D0B"/>
    <w:rsid w:val="00A5754D"/>
    <w:rsid w:val="00A5775C"/>
    <w:rsid w:val="00A60E72"/>
    <w:rsid w:val="00A61F0C"/>
    <w:rsid w:val="00A61FF0"/>
    <w:rsid w:val="00A62580"/>
    <w:rsid w:val="00A6368E"/>
    <w:rsid w:val="00A63AC9"/>
    <w:rsid w:val="00A64502"/>
    <w:rsid w:val="00A64B5F"/>
    <w:rsid w:val="00A6505C"/>
    <w:rsid w:val="00A65331"/>
    <w:rsid w:val="00A65EA0"/>
    <w:rsid w:val="00A66517"/>
    <w:rsid w:val="00A67B0E"/>
    <w:rsid w:val="00A718EF"/>
    <w:rsid w:val="00A72134"/>
    <w:rsid w:val="00A726A8"/>
    <w:rsid w:val="00A72951"/>
    <w:rsid w:val="00A73505"/>
    <w:rsid w:val="00A75E02"/>
    <w:rsid w:val="00A76E79"/>
    <w:rsid w:val="00A7771B"/>
    <w:rsid w:val="00A77B53"/>
    <w:rsid w:val="00A811F1"/>
    <w:rsid w:val="00A827AD"/>
    <w:rsid w:val="00A82887"/>
    <w:rsid w:val="00A83010"/>
    <w:rsid w:val="00A83BF5"/>
    <w:rsid w:val="00A84CD1"/>
    <w:rsid w:val="00A85385"/>
    <w:rsid w:val="00A85E2E"/>
    <w:rsid w:val="00A861F3"/>
    <w:rsid w:val="00A8728F"/>
    <w:rsid w:val="00A8756A"/>
    <w:rsid w:val="00A87F7D"/>
    <w:rsid w:val="00A906B7"/>
    <w:rsid w:val="00A9070E"/>
    <w:rsid w:val="00A929FF"/>
    <w:rsid w:val="00A92DD4"/>
    <w:rsid w:val="00A94D0F"/>
    <w:rsid w:val="00A94F13"/>
    <w:rsid w:val="00A95390"/>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5F"/>
    <w:rsid w:val="00AB14A1"/>
    <w:rsid w:val="00AB202A"/>
    <w:rsid w:val="00AB5555"/>
    <w:rsid w:val="00AB55AD"/>
    <w:rsid w:val="00AB5AF6"/>
    <w:rsid w:val="00AB5D1B"/>
    <w:rsid w:val="00AB6918"/>
    <w:rsid w:val="00AB6B40"/>
    <w:rsid w:val="00AB73AD"/>
    <w:rsid w:val="00AB740A"/>
    <w:rsid w:val="00AC060C"/>
    <w:rsid w:val="00AC1DA5"/>
    <w:rsid w:val="00AC216B"/>
    <w:rsid w:val="00AC26B1"/>
    <w:rsid w:val="00AC3A4E"/>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D7B8C"/>
    <w:rsid w:val="00AE0013"/>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6AE"/>
    <w:rsid w:val="00AF0980"/>
    <w:rsid w:val="00AF0C73"/>
    <w:rsid w:val="00AF19F9"/>
    <w:rsid w:val="00AF2EC7"/>
    <w:rsid w:val="00AF36C2"/>
    <w:rsid w:val="00AF3AC0"/>
    <w:rsid w:val="00AF4F4A"/>
    <w:rsid w:val="00B003EE"/>
    <w:rsid w:val="00B00C24"/>
    <w:rsid w:val="00B00C77"/>
    <w:rsid w:val="00B00F93"/>
    <w:rsid w:val="00B01791"/>
    <w:rsid w:val="00B01BBE"/>
    <w:rsid w:val="00B02C73"/>
    <w:rsid w:val="00B03BC1"/>
    <w:rsid w:val="00B03F92"/>
    <w:rsid w:val="00B04CF8"/>
    <w:rsid w:val="00B055D8"/>
    <w:rsid w:val="00B06CD6"/>
    <w:rsid w:val="00B06EBC"/>
    <w:rsid w:val="00B10F88"/>
    <w:rsid w:val="00B11D2D"/>
    <w:rsid w:val="00B123F0"/>
    <w:rsid w:val="00B12891"/>
    <w:rsid w:val="00B13C0B"/>
    <w:rsid w:val="00B14678"/>
    <w:rsid w:val="00B146C1"/>
    <w:rsid w:val="00B146E7"/>
    <w:rsid w:val="00B156DF"/>
    <w:rsid w:val="00B15ABB"/>
    <w:rsid w:val="00B16973"/>
    <w:rsid w:val="00B2036A"/>
    <w:rsid w:val="00B21057"/>
    <w:rsid w:val="00B21FF2"/>
    <w:rsid w:val="00B2202B"/>
    <w:rsid w:val="00B23422"/>
    <w:rsid w:val="00B24948"/>
    <w:rsid w:val="00B24CBD"/>
    <w:rsid w:val="00B25CA3"/>
    <w:rsid w:val="00B27326"/>
    <w:rsid w:val="00B30028"/>
    <w:rsid w:val="00B31E8D"/>
    <w:rsid w:val="00B3313B"/>
    <w:rsid w:val="00B331E8"/>
    <w:rsid w:val="00B331EA"/>
    <w:rsid w:val="00B34732"/>
    <w:rsid w:val="00B34E83"/>
    <w:rsid w:val="00B353B8"/>
    <w:rsid w:val="00B35C56"/>
    <w:rsid w:val="00B36F17"/>
    <w:rsid w:val="00B372ED"/>
    <w:rsid w:val="00B37A20"/>
    <w:rsid w:val="00B37E51"/>
    <w:rsid w:val="00B40603"/>
    <w:rsid w:val="00B40AF6"/>
    <w:rsid w:val="00B41071"/>
    <w:rsid w:val="00B415FC"/>
    <w:rsid w:val="00B425C0"/>
    <w:rsid w:val="00B42DB6"/>
    <w:rsid w:val="00B46957"/>
    <w:rsid w:val="00B47B54"/>
    <w:rsid w:val="00B50E99"/>
    <w:rsid w:val="00B51926"/>
    <w:rsid w:val="00B51F9A"/>
    <w:rsid w:val="00B54DA7"/>
    <w:rsid w:val="00B55456"/>
    <w:rsid w:val="00B55467"/>
    <w:rsid w:val="00B600C6"/>
    <w:rsid w:val="00B60167"/>
    <w:rsid w:val="00B60FC0"/>
    <w:rsid w:val="00B61155"/>
    <w:rsid w:val="00B61665"/>
    <w:rsid w:val="00B63528"/>
    <w:rsid w:val="00B63DAF"/>
    <w:rsid w:val="00B63E98"/>
    <w:rsid w:val="00B6568E"/>
    <w:rsid w:val="00B65754"/>
    <w:rsid w:val="00B65877"/>
    <w:rsid w:val="00B661AA"/>
    <w:rsid w:val="00B66242"/>
    <w:rsid w:val="00B670D3"/>
    <w:rsid w:val="00B67958"/>
    <w:rsid w:val="00B67DF2"/>
    <w:rsid w:val="00B701D1"/>
    <w:rsid w:val="00B716BB"/>
    <w:rsid w:val="00B716FD"/>
    <w:rsid w:val="00B734C2"/>
    <w:rsid w:val="00B73BDA"/>
    <w:rsid w:val="00B74053"/>
    <w:rsid w:val="00B75787"/>
    <w:rsid w:val="00B765A0"/>
    <w:rsid w:val="00B76C02"/>
    <w:rsid w:val="00B77BD2"/>
    <w:rsid w:val="00B814CB"/>
    <w:rsid w:val="00B81685"/>
    <w:rsid w:val="00B81B6A"/>
    <w:rsid w:val="00B820F4"/>
    <w:rsid w:val="00B82242"/>
    <w:rsid w:val="00B829BA"/>
    <w:rsid w:val="00B835E0"/>
    <w:rsid w:val="00B8396D"/>
    <w:rsid w:val="00B90331"/>
    <w:rsid w:val="00B903ED"/>
    <w:rsid w:val="00B90B2D"/>
    <w:rsid w:val="00B935A1"/>
    <w:rsid w:val="00B94525"/>
    <w:rsid w:val="00B9531D"/>
    <w:rsid w:val="00B95DAD"/>
    <w:rsid w:val="00B9666A"/>
    <w:rsid w:val="00B96C0C"/>
    <w:rsid w:val="00B9734D"/>
    <w:rsid w:val="00B97732"/>
    <w:rsid w:val="00B97BA1"/>
    <w:rsid w:val="00BA27F4"/>
    <w:rsid w:val="00BA2E40"/>
    <w:rsid w:val="00BA3CB7"/>
    <w:rsid w:val="00BA3E0F"/>
    <w:rsid w:val="00BA41DE"/>
    <w:rsid w:val="00BA556C"/>
    <w:rsid w:val="00BB09AF"/>
    <w:rsid w:val="00BB0C01"/>
    <w:rsid w:val="00BB0F31"/>
    <w:rsid w:val="00BB15AB"/>
    <w:rsid w:val="00BB189B"/>
    <w:rsid w:val="00BB1D21"/>
    <w:rsid w:val="00BB2E51"/>
    <w:rsid w:val="00BB3EDB"/>
    <w:rsid w:val="00BB48B9"/>
    <w:rsid w:val="00BB4BEA"/>
    <w:rsid w:val="00BB4C1A"/>
    <w:rsid w:val="00BB50AB"/>
    <w:rsid w:val="00BB6664"/>
    <w:rsid w:val="00BC01FC"/>
    <w:rsid w:val="00BC1558"/>
    <w:rsid w:val="00BC1F79"/>
    <w:rsid w:val="00BC2201"/>
    <w:rsid w:val="00BC2876"/>
    <w:rsid w:val="00BC3C7A"/>
    <w:rsid w:val="00BC6A86"/>
    <w:rsid w:val="00BC7DC6"/>
    <w:rsid w:val="00BD06AA"/>
    <w:rsid w:val="00BD1039"/>
    <w:rsid w:val="00BD13B5"/>
    <w:rsid w:val="00BD24FC"/>
    <w:rsid w:val="00BD2EFC"/>
    <w:rsid w:val="00BD340E"/>
    <w:rsid w:val="00BD4FF8"/>
    <w:rsid w:val="00BD60AD"/>
    <w:rsid w:val="00BD6C02"/>
    <w:rsid w:val="00BD7988"/>
    <w:rsid w:val="00BE10DB"/>
    <w:rsid w:val="00BE1244"/>
    <w:rsid w:val="00BE14C7"/>
    <w:rsid w:val="00BE165D"/>
    <w:rsid w:val="00BE2394"/>
    <w:rsid w:val="00BE2702"/>
    <w:rsid w:val="00BE4326"/>
    <w:rsid w:val="00BE55D5"/>
    <w:rsid w:val="00BE5F4F"/>
    <w:rsid w:val="00BE60DB"/>
    <w:rsid w:val="00BE6B2B"/>
    <w:rsid w:val="00BF0191"/>
    <w:rsid w:val="00BF13EC"/>
    <w:rsid w:val="00BF1C07"/>
    <w:rsid w:val="00BF245C"/>
    <w:rsid w:val="00BF3DEE"/>
    <w:rsid w:val="00BF54AC"/>
    <w:rsid w:val="00BF54BD"/>
    <w:rsid w:val="00BF566D"/>
    <w:rsid w:val="00BF6B8E"/>
    <w:rsid w:val="00C025A5"/>
    <w:rsid w:val="00C03C78"/>
    <w:rsid w:val="00C04FD3"/>
    <w:rsid w:val="00C06351"/>
    <w:rsid w:val="00C065A2"/>
    <w:rsid w:val="00C07919"/>
    <w:rsid w:val="00C103F9"/>
    <w:rsid w:val="00C104AC"/>
    <w:rsid w:val="00C110E1"/>
    <w:rsid w:val="00C1198F"/>
    <w:rsid w:val="00C11FA1"/>
    <w:rsid w:val="00C12E21"/>
    <w:rsid w:val="00C12E65"/>
    <w:rsid w:val="00C13C20"/>
    <w:rsid w:val="00C13F74"/>
    <w:rsid w:val="00C146D3"/>
    <w:rsid w:val="00C15A26"/>
    <w:rsid w:val="00C15C38"/>
    <w:rsid w:val="00C16BE0"/>
    <w:rsid w:val="00C17A58"/>
    <w:rsid w:val="00C20587"/>
    <w:rsid w:val="00C219F6"/>
    <w:rsid w:val="00C21C39"/>
    <w:rsid w:val="00C220E9"/>
    <w:rsid w:val="00C22B07"/>
    <w:rsid w:val="00C2325C"/>
    <w:rsid w:val="00C2378D"/>
    <w:rsid w:val="00C239ED"/>
    <w:rsid w:val="00C23D88"/>
    <w:rsid w:val="00C24D9D"/>
    <w:rsid w:val="00C25128"/>
    <w:rsid w:val="00C25CF3"/>
    <w:rsid w:val="00C263E9"/>
    <w:rsid w:val="00C2775A"/>
    <w:rsid w:val="00C3063A"/>
    <w:rsid w:val="00C30BAD"/>
    <w:rsid w:val="00C31E8F"/>
    <w:rsid w:val="00C335DA"/>
    <w:rsid w:val="00C33D3E"/>
    <w:rsid w:val="00C3547F"/>
    <w:rsid w:val="00C362E0"/>
    <w:rsid w:val="00C36ED4"/>
    <w:rsid w:val="00C36FF9"/>
    <w:rsid w:val="00C376CC"/>
    <w:rsid w:val="00C400F7"/>
    <w:rsid w:val="00C40154"/>
    <w:rsid w:val="00C40DB3"/>
    <w:rsid w:val="00C40EC6"/>
    <w:rsid w:val="00C419AD"/>
    <w:rsid w:val="00C41B5F"/>
    <w:rsid w:val="00C437BA"/>
    <w:rsid w:val="00C44395"/>
    <w:rsid w:val="00C443B3"/>
    <w:rsid w:val="00C454AE"/>
    <w:rsid w:val="00C45CE8"/>
    <w:rsid w:val="00C46F06"/>
    <w:rsid w:val="00C477A4"/>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52A"/>
    <w:rsid w:val="00C6140C"/>
    <w:rsid w:val="00C61F3A"/>
    <w:rsid w:val="00C629CB"/>
    <w:rsid w:val="00C62B75"/>
    <w:rsid w:val="00C657B5"/>
    <w:rsid w:val="00C661E1"/>
    <w:rsid w:val="00C66686"/>
    <w:rsid w:val="00C6730D"/>
    <w:rsid w:val="00C678C4"/>
    <w:rsid w:val="00C70596"/>
    <w:rsid w:val="00C71215"/>
    <w:rsid w:val="00C7216B"/>
    <w:rsid w:val="00C727BE"/>
    <w:rsid w:val="00C72C4D"/>
    <w:rsid w:val="00C732A9"/>
    <w:rsid w:val="00C73448"/>
    <w:rsid w:val="00C73E2E"/>
    <w:rsid w:val="00C74546"/>
    <w:rsid w:val="00C748E2"/>
    <w:rsid w:val="00C7776C"/>
    <w:rsid w:val="00C80F06"/>
    <w:rsid w:val="00C8129D"/>
    <w:rsid w:val="00C8398D"/>
    <w:rsid w:val="00C84BC2"/>
    <w:rsid w:val="00C85139"/>
    <w:rsid w:val="00C85657"/>
    <w:rsid w:val="00C9187D"/>
    <w:rsid w:val="00C91C88"/>
    <w:rsid w:val="00C91FE3"/>
    <w:rsid w:val="00C92B86"/>
    <w:rsid w:val="00C939C3"/>
    <w:rsid w:val="00C94228"/>
    <w:rsid w:val="00C96D56"/>
    <w:rsid w:val="00C977E6"/>
    <w:rsid w:val="00CA0020"/>
    <w:rsid w:val="00CA0614"/>
    <w:rsid w:val="00CA0B17"/>
    <w:rsid w:val="00CA0B2E"/>
    <w:rsid w:val="00CA18CA"/>
    <w:rsid w:val="00CA2557"/>
    <w:rsid w:val="00CA4C8D"/>
    <w:rsid w:val="00CA5413"/>
    <w:rsid w:val="00CA5674"/>
    <w:rsid w:val="00CA5BDA"/>
    <w:rsid w:val="00CA5C1A"/>
    <w:rsid w:val="00CA633F"/>
    <w:rsid w:val="00CA641E"/>
    <w:rsid w:val="00CA702F"/>
    <w:rsid w:val="00CA7558"/>
    <w:rsid w:val="00CA785F"/>
    <w:rsid w:val="00CA792A"/>
    <w:rsid w:val="00CA7949"/>
    <w:rsid w:val="00CB0C6E"/>
    <w:rsid w:val="00CB0C89"/>
    <w:rsid w:val="00CB226B"/>
    <w:rsid w:val="00CB229B"/>
    <w:rsid w:val="00CB2579"/>
    <w:rsid w:val="00CB33B4"/>
    <w:rsid w:val="00CB38C0"/>
    <w:rsid w:val="00CB3D93"/>
    <w:rsid w:val="00CB4441"/>
    <w:rsid w:val="00CB4B1A"/>
    <w:rsid w:val="00CB4E1F"/>
    <w:rsid w:val="00CC0ABD"/>
    <w:rsid w:val="00CC130E"/>
    <w:rsid w:val="00CC152E"/>
    <w:rsid w:val="00CC1F1C"/>
    <w:rsid w:val="00CC2493"/>
    <w:rsid w:val="00CC3222"/>
    <w:rsid w:val="00CC35F1"/>
    <w:rsid w:val="00CC35FF"/>
    <w:rsid w:val="00CC629F"/>
    <w:rsid w:val="00CD0E6E"/>
    <w:rsid w:val="00CD23AE"/>
    <w:rsid w:val="00CD27DF"/>
    <w:rsid w:val="00CD2D8A"/>
    <w:rsid w:val="00CD39DB"/>
    <w:rsid w:val="00CD3BAC"/>
    <w:rsid w:val="00CD3FF2"/>
    <w:rsid w:val="00CD4A65"/>
    <w:rsid w:val="00CD531F"/>
    <w:rsid w:val="00CD6FA3"/>
    <w:rsid w:val="00CD74EF"/>
    <w:rsid w:val="00CE2184"/>
    <w:rsid w:val="00CE3B7F"/>
    <w:rsid w:val="00CE3FA2"/>
    <w:rsid w:val="00CE41A0"/>
    <w:rsid w:val="00CE4958"/>
    <w:rsid w:val="00CE6015"/>
    <w:rsid w:val="00CE630E"/>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3A04"/>
    <w:rsid w:val="00D0560F"/>
    <w:rsid w:val="00D06776"/>
    <w:rsid w:val="00D06E46"/>
    <w:rsid w:val="00D06F95"/>
    <w:rsid w:val="00D1158C"/>
    <w:rsid w:val="00D11600"/>
    <w:rsid w:val="00D119A2"/>
    <w:rsid w:val="00D12E31"/>
    <w:rsid w:val="00D137F9"/>
    <w:rsid w:val="00D1458C"/>
    <w:rsid w:val="00D1620E"/>
    <w:rsid w:val="00D166D1"/>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BA1"/>
    <w:rsid w:val="00D26522"/>
    <w:rsid w:val="00D301FF"/>
    <w:rsid w:val="00D31B89"/>
    <w:rsid w:val="00D3257F"/>
    <w:rsid w:val="00D340E2"/>
    <w:rsid w:val="00D36887"/>
    <w:rsid w:val="00D37563"/>
    <w:rsid w:val="00D379EB"/>
    <w:rsid w:val="00D400B8"/>
    <w:rsid w:val="00D4022C"/>
    <w:rsid w:val="00D41023"/>
    <w:rsid w:val="00D41C6C"/>
    <w:rsid w:val="00D42465"/>
    <w:rsid w:val="00D4260F"/>
    <w:rsid w:val="00D42E5B"/>
    <w:rsid w:val="00D43678"/>
    <w:rsid w:val="00D439D1"/>
    <w:rsid w:val="00D43C68"/>
    <w:rsid w:val="00D444B2"/>
    <w:rsid w:val="00D453E4"/>
    <w:rsid w:val="00D47226"/>
    <w:rsid w:val="00D50B21"/>
    <w:rsid w:val="00D51349"/>
    <w:rsid w:val="00D527AF"/>
    <w:rsid w:val="00D529E1"/>
    <w:rsid w:val="00D534C2"/>
    <w:rsid w:val="00D5410F"/>
    <w:rsid w:val="00D564DF"/>
    <w:rsid w:val="00D56DD6"/>
    <w:rsid w:val="00D5750D"/>
    <w:rsid w:val="00D576DD"/>
    <w:rsid w:val="00D57CB4"/>
    <w:rsid w:val="00D60258"/>
    <w:rsid w:val="00D61324"/>
    <w:rsid w:val="00D61477"/>
    <w:rsid w:val="00D619E2"/>
    <w:rsid w:val="00D61B25"/>
    <w:rsid w:val="00D62036"/>
    <w:rsid w:val="00D620CC"/>
    <w:rsid w:val="00D634B8"/>
    <w:rsid w:val="00D63EF3"/>
    <w:rsid w:val="00D64441"/>
    <w:rsid w:val="00D65497"/>
    <w:rsid w:val="00D654DA"/>
    <w:rsid w:val="00D6609E"/>
    <w:rsid w:val="00D6756C"/>
    <w:rsid w:val="00D67A9F"/>
    <w:rsid w:val="00D67C20"/>
    <w:rsid w:val="00D70C1B"/>
    <w:rsid w:val="00D70E5C"/>
    <w:rsid w:val="00D7146C"/>
    <w:rsid w:val="00D718CD"/>
    <w:rsid w:val="00D732EC"/>
    <w:rsid w:val="00D7416F"/>
    <w:rsid w:val="00D755F2"/>
    <w:rsid w:val="00D762AC"/>
    <w:rsid w:val="00D775E7"/>
    <w:rsid w:val="00D77B9E"/>
    <w:rsid w:val="00D8004A"/>
    <w:rsid w:val="00D81CA9"/>
    <w:rsid w:val="00D839D8"/>
    <w:rsid w:val="00D83F9E"/>
    <w:rsid w:val="00D840C2"/>
    <w:rsid w:val="00D84562"/>
    <w:rsid w:val="00D857A7"/>
    <w:rsid w:val="00D85C16"/>
    <w:rsid w:val="00D86169"/>
    <w:rsid w:val="00D8732E"/>
    <w:rsid w:val="00D87A62"/>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3B4"/>
    <w:rsid w:val="00DA46C1"/>
    <w:rsid w:val="00DA70DD"/>
    <w:rsid w:val="00DB088F"/>
    <w:rsid w:val="00DB0B4A"/>
    <w:rsid w:val="00DB0BB5"/>
    <w:rsid w:val="00DB1487"/>
    <w:rsid w:val="00DB19B4"/>
    <w:rsid w:val="00DB19F1"/>
    <w:rsid w:val="00DB26AE"/>
    <w:rsid w:val="00DB3A75"/>
    <w:rsid w:val="00DB4411"/>
    <w:rsid w:val="00DB466D"/>
    <w:rsid w:val="00DB5FD0"/>
    <w:rsid w:val="00DB7395"/>
    <w:rsid w:val="00DB75C2"/>
    <w:rsid w:val="00DB7E2C"/>
    <w:rsid w:val="00DC027B"/>
    <w:rsid w:val="00DC0A64"/>
    <w:rsid w:val="00DC0FC4"/>
    <w:rsid w:val="00DC1B9A"/>
    <w:rsid w:val="00DC2344"/>
    <w:rsid w:val="00DC29CE"/>
    <w:rsid w:val="00DC2E4F"/>
    <w:rsid w:val="00DC384C"/>
    <w:rsid w:val="00DC40C4"/>
    <w:rsid w:val="00DC4AFD"/>
    <w:rsid w:val="00DC4D87"/>
    <w:rsid w:val="00DC4D8A"/>
    <w:rsid w:val="00DC6DF6"/>
    <w:rsid w:val="00DC7BFE"/>
    <w:rsid w:val="00DC7FCE"/>
    <w:rsid w:val="00DD08C7"/>
    <w:rsid w:val="00DD1A10"/>
    <w:rsid w:val="00DD200D"/>
    <w:rsid w:val="00DD2990"/>
    <w:rsid w:val="00DD2FE9"/>
    <w:rsid w:val="00DD3A7E"/>
    <w:rsid w:val="00DD434E"/>
    <w:rsid w:val="00DD4402"/>
    <w:rsid w:val="00DD4F60"/>
    <w:rsid w:val="00DD60D0"/>
    <w:rsid w:val="00DD6133"/>
    <w:rsid w:val="00DD6200"/>
    <w:rsid w:val="00DD686C"/>
    <w:rsid w:val="00DD6E86"/>
    <w:rsid w:val="00DE0CBE"/>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B55"/>
    <w:rsid w:val="00DF7E02"/>
    <w:rsid w:val="00E0044E"/>
    <w:rsid w:val="00E00816"/>
    <w:rsid w:val="00E0239F"/>
    <w:rsid w:val="00E0267B"/>
    <w:rsid w:val="00E02FD9"/>
    <w:rsid w:val="00E032E7"/>
    <w:rsid w:val="00E04441"/>
    <w:rsid w:val="00E05F03"/>
    <w:rsid w:val="00E06370"/>
    <w:rsid w:val="00E06B7B"/>
    <w:rsid w:val="00E06E20"/>
    <w:rsid w:val="00E07DD9"/>
    <w:rsid w:val="00E102F8"/>
    <w:rsid w:val="00E12FCF"/>
    <w:rsid w:val="00E13273"/>
    <w:rsid w:val="00E13379"/>
    <w:rsid w:val="00E139EE"/>
    <w:rsid w:val="00E14D83"/>
    <w:rsid w:val="00E14FA6"/>
    <w:rsid w:val="00E15554"/>
    <w:rsid w:val="00E15A0D"/>
    <w:rsid w:val="00E16640"/>
    <w:rsid w:val="00E1740F"/>
    <w:rsid w:val="00E200CF"/>
    <w:rsid w:val="00E213F6"/>
    <w:rsid w:val="00E22215"/>
    <w:rsid w:val="00E24287"/>
    <w:rsid w:val="00E2623A"/>
    <w:rsid w:val="00E31367"/>
    <w:rsid w:val="00E3181C"/>
    <w:rsid w:val="00E32299"/>
    <w:rsid w:val="00E32EF3"/>
    <w:rsid w:val="00E33193"/>
    <w:rsid w:val="00E33E21"/>
    <w:rsid w:val="00E34BC4"/>
    <w:rsid w:val="00E35253"/>
    <w:rsid w:val="00E3540C"/>
    <w:rsid w:val="00E36050"/>
    <w:rsid w:val="00E36187"/>
    <w:rsid w:val="00E36332"/>
    <w:rsid w:val="00E36C9B"/>
    <w:rsid w:val="00E37638"/>
    <w:rsid w:val="00E376FD"/>
    <w:rsid w:val="00E37E9D"/>
    <w:rsid w:val="00E41B71"/>
    <w:rsid w:val="00E42569"/>
    <w:rsid w:val="00E434A0"/>
    <w:rsid w:val="00E44C7D"/>
    <w:rsid w:val="00E44D30"/>
    <w:rsid w:val="00E4597F"/>
    <w:rsid w:val="00E46CB7"/>
    <w:rsid w:val="00E4723D"/>
    <w:rsid w:val="00E5016A"/>
    <w:rsid w:val="00E5077C"/>
    <w:rsid w:val="00E50EC8"/>
    <w:rsid w:val="00E5159B"/>
    <w:rsid w:val="00E515C6"/>
    <w:rsid w:val="00E52E0D"/>
    <w:rsid w:val="00E52FE2"/>
    <w:rsid w:val="00E53E2B"/>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141E"/>
    <w:rsid w:val="00E71F90"/>
    <w:rsid w:val="00E7252F"/>
    <w:rsid w:val="00E73FC2"/>
    <w:rsid w:val="00E74481"/>
    <w:rsid w:val="00E74517"/>
    <w:rsid w:val="00E755D7"/>
    <w:rsid w:val="00E7566D"/>
    <w:rsid w:val="00E76E91"/>
    <w:rsid w:val="00E774A5"/>
    <w:rsid w:val="00E774B4"/>
    <w:rsid w:val="00E778F5"/>
    <w:rsid w:val="00E803FD"/>
    <w:rsid w:val="00E80E7C"/>
    <w:rsid w:val="00E81779"/>
    <w:rsid w:val="00E8205B"/>
    <w:rsid w:val="00E82444"/>
    <w:rsid w:val="00E8341C"/>
    <w:rsid w:val="00E8602B"/>
    <w:rsid w:val="00E86B5F"/>
    <w:rsid w:val="00E87265"/>
    <w:rsid w:val="00E87D05"/>
    <w:rsid w:val="00E91533"/>
    <w:rsid w:val="00E91F96"/>
    <w:rsid w:val="00E92E99"/>
    <w:rsid w:val="00E960B2"/>
    <w:rsid w:val="00E968FD"/>
    <w:rsid w:val="00E96D55"/>
    <w:rsid w:val="00E96DC8"/>
    <w:rsid w:val="00E97993"/>
    <w:rsid w:val="00EA0D5D"/>
    <w:rsid w:val="00EA1192"/>
    <w:rsid w:val="00EA153F"/>
    <w:rsid w:val="00EA2788"/>
    <w:rsid w:val="00EA2C6E"/>
    <w:rsid w:val="00EA4964"/>
    <w:rsid w:val="00EA4F1A"/>
    <w:rsid w:val="00EA76B3"/>
    <w:rsid w:val="00EB02DE"/>
    <w:rsid w:val="00EB0A07"/>
    <w:rsid w:val="00EB1B69"/>
    <w:rsid w:val="00EB1C78"/>
    <w:rsid w:val="00EB2D1F"/>
    <w:rsid w:val="00EB3B46"/>
    <w:rsid w:val="00EB4F08"/>
    <w:rsid w:val="00EB5A6F"/>
    <w:rsid w:val="00EC2E07"/>
    <w:rsid w:val="00EC43C7"/>
    <w:rsid w:val="00EC461F"/>
    <w:rsid w:val="00EC465D"/>
    <w:rsid w:val="00EC485E"/>
    <w:rsid w:val="00EC4D9B"/>
    <w:rsid w:val="00EC5C89"/>
    <w:rsid w:val="00EC66D2"/>
    <w:rsid w:val="00EC67E7"/>
    <w:rsid w:val="00EC6DF7"/>
    <w:rsid w:val="00EC6EDC"/>
    <w:rsid w:val="00ED0875"/>
    <w:rsid w:val="00ED0A1B"/>
    <w:rsid w:val="00ED21BC"/>
    <w:rsid w:val="00ED2FEC"/>
    <w:rsid w:val="00ED3D89"/>
    <w:rsid w:val="00ED3F67"/>
    <w:rsid w:val="00ED440A"/>
    <w:rsid w:val="00ED7971"/>
    <w:rsid w:val="00EE0748"/>
    <w:rsid w:val="00EE0A02"/>
    <w:rsid w:val="00EE152C"/>
    <w:rsid w:val="00EE29A0"/>
    <w:rsid w:val="00EE2CEA"/>
    <w:rsid w:val="00EE3365"/>
    <w:rsid w:val="00EE450D"/>
    <w:rsid w:val="00EE48DF"/>
    <w:rsid w:val="00EE4AB3"/>
    <w:rsid w:val="00EE7405"/>
    <w:rsid w:val="00EF033E"/>
    <w:rsid w:val="00EF06EC"/>
    <w:rsid w:val="00EF14FF"/>
    <w:rsid w:val="00EF2BFE"/>
    <w:rsid w:val="00EF2D85"/>
    <w:rsid w:val="00EF402C"/>
    <w:rsid w:val="00EF45E0"/>
    <w:rsid w:val="00EF4E6F"/>
    <w:rsid w:val="00EF5C82"/>
    <w:rsid w:val="00EF63F5"/>
    <w:rsid w:val="00EF7A15"/>
    <w:rsid w:val="00F00DE7"/>
    <w:rsid w:val="00F01F8C"/>
    <w:rsid w:val="00F035A6"/>
    <w:rsid w:val="00F04AD0"/>
    <w:rsid w:val="00F10033"/>
    <w:rsid w:val="00F10848"/>
    <w:rsid w:val="00F10B68"/>
    <w:rsid w:val="00F11F55"/>
    <w:rsid w:val="00F12421"/>
    <w:rsid w:val="00F12DEC"/>
    <w:rsid w:val="00F13151"/>
    <w:rsid w:val="00F14728"/>
    <w:rsid w:val="00F14D09"/>
    <w:rsid w:val="00F15523"/>
    <w:rsid w:val="00F16391"/>
    <w:rsid w:val="00F1701F"/>
    <w:rsid w:val="00F2062B"/>
    <w:rsid w:val="00F21A18"/>
    <w:rsid w:val="00F21E61"/>
    <w:rsid w:val="00F220EA"/>
    <w:rsid w:val="00F222CD"/>
    <w:rsid w:val="00F24EA4"/>
    <w:rsid w:val="00F2625A"/>
    <w:rsid w:val="00F275B9"/>
    <w:rsid w:val="00F278BF"/>
    <w:rsid w:val="00F31A03"/>
    <w:rsid w:val="00F32769"/>
    <w:rsid w:val="00F3283C"/>
    <w:rsid w:val="00F32D0F"/>
    <w:rsid w:val="00F343F0"/>
    <w:rsid w:val="00F34620"/>
    <w:rsid w:val="00F34AAB"/>
    <w:rsid w:val="00F34C4D"/>
    <w:rsid w:val="00F350CF"/>
    <w:rsid w:val="00F35582"/>
    <w:rsid w:val="00F37004"/>
    <w:rsid w:val="00F376A1"/>
    <w:rsid w:val="00F37B8E"/>
    <w:rsid w:val="00F400B6"/>
    <w:rsid w:val="00F41746"/>
    <w:rsid w:val="00F41833"/>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3E8"/>
    <w:rsid w:val="00F612D6"/>
    <w:rsid w:val="00F63350"/>
    <w:rsid w:val="00F63400"/>
    <w:rsid w:val="00F636C6"/>
    <w:rsid w:val="00F6433D"/>
    <w:rsid w:val="00F6573E"/>
    <w:rsid w:val="00F661C3"/>
    <w:rsid w:val="00F662EB"/>
    <w:rsid w:val="00F67606"/>
    <w:rsid w:val="00F67A44"/>
    <w:rsid w:val="00F70327"/>
    <w:rsid w:val="00F70FEF"/>
    <w:rsid w:val="00F72221"/>
    <w:rsid w:val="00F72FA8"/>
    <w:rsid w:val="00F75415"/>
    <w:rsid w:val="00F773F9"/>
    <w:rsid w:val="00F8101C"/>
    <w:rsid w:val="00F817B9"/>
    <w:rsid w:val="00F81CB7"/>
    <w:rsid w:val="00F82280"/>
    <w:rsid w:val="00F8235F"/>
    <w:rsid w:val="00F82446"/>
    <w:rsid w:val="00F83A22"/>
    <w:rsid w:val="00F83A97"/>
    <w:rsid w:val="00F844F0"/>
    <w:rsid w:val="00F84895"/>
    <w:rsid w:val="00F84901"/>
    <w:rsid w:val="00F84E9D"/>
    <w:rsid w:val="00F8659E"/>
    <w:rsid w:val="00F86CE4"/>
    <w:rsid w:val="00F86F42"/>
    <w:rsid w:val="00F876D1"/>
    <w:rsid w:val="00F87C6F"/>
    <w:rsid w:val="00F87FE3"/>
    <w:rsid w:val="00F91941"/>
    <w:rsid w:val="00F92ACA"/>
    <w:rsid w:val="00F92E3F"/>
    <w:rsid w:val="00F938D2"/>
    <w:rsid w:val="00F95BE3"/>
    <w:rsid w:val="00F96389"/>
    <w:rsid w:val="00F9650E"/>
    <w:rsid w:val="00F96B73"/>
    <w:rsid w:val="00F96BE2"/>
    <w:rsid w:val="00F977C7"/>
    <w:rsid w:val="00F97A06"/>
    <w:rsid w:val="00FA0890"/>
    <w:rsid w:val="00FA164A"/>
    <w:rsid w:val="00FA3F3E"/>
    <w:rsid w:val="00FA4272"/>
    <w:rsid w:val="00FA4855"/>
    <w:rsid w:val="00FA4ACD"/>
    <w:rsid w:val="00FA6428"/>
    <w:rsid w:val="00FA7144"/>
    <w:rsid w:val="00FA7184"/>
    <w:rsid w:val="00FA77F3"/>
    <w:rsid w:val="00FB1D9D"/>
    <w:rsid w:val="00FB3304"/>
    <w:rsid w:val="00FB39BB"/>
    <w:rsid w:val="00FB46B8"/>
    <w:rsid w:val="00FB4B38"/>
    <w:rsid w:val="00FB54BB"/>
    <w:rsid w:val="00FB5AC0"/>
    <w:rsid w:val="00FB6C91"/>
    <w:rsid w:val="00FB7419"/>
    <w:rsid w:val="00FB74E8"/>
    <w:rsid w:val="00FC0263"/>
    <w:rsid w:val="00FC0348"/>
    <w:rsid w:val="00FC0FB5"/>
    <w:rsid w:val="00FC102A"/>
    <w:rsid w:val="00FC154C"/>
    <w:rsid w:val="00FC1DBC"/>
    <w:rsid w:val="00FC2097"/>
    <w:rsid w:val="00FC2637"/>
    <w:rsid w:val="00FC31D9"/>
    <w:rsid w:val="00FC393B"/>
    <w:rsid w:val="00FC4052"/>
    <w:rsid w:val="00FC5252"/>
    <w:rsid w:val="00FC6356"/>
    <w:rsid w:val="00FC7D01"/>
    <w:rsid w:val="00FD0130"/>
    <w:rsid w:val="00FD0373"/>
    <w:rsid w:val="00FD0582"/>
    <w:rsid w:val="00FD0C93"/>
    <w:rsid w:val="00FD1062"/>
    <w:rsid w:val="00FD2589"/>
    <w:rsid w:val="00FD2FDC"/>
    <w:rsid w:val="00FD4876"/>
    <w:rsid w:val="00FD52A3"/>
    <w:rsid w:val="00FD59FA"/>
    <w:rsid w:val="00FD68D4"/>
    <w:rsid w:val="00FE00D9"/>
    <w:rsid w:val="00FE0933"/>
    <w:rsid w:val="00FE1186"/>
    <w:rsid w:val="00FE177A"/>
    <w:rsid w:val="00FE240A"/>
    <w:rsid w:val="00FE3E3C"/>
    <w:rsid w:val="00FE43E7"/>
    <w:rsid w:val="00FE4B66"/>
    <w:rsid w:val="00FE4F6E"/>
    <w:rsid w:val="00FE583F"/>
    <w:rsid w:val="00FE5CC4"/>
    <w:rsid w:val="00FE6B13"/>
    <w:rsid w:val="00FE7575"/>
    <w:rsid w:val="00FF0FAD"/>
    <w:rsid w:val="00FF1070"/>
    <w:rsid w:val="00FF13E2"/>
    <w:rsid w:val="00FF1753"/>
    <w:rsid w:val="00FF2237"/>
    <w:rsid w:val="00FF4953"/>
    <w:rsid w:val="00FF5FA3"/>
    <w:rsid w:val="00FF5FCE"/>
    <w:rsid w:val="00FF6177"/>
    <w:rsid w:val="00FF6AD9"/>
    <w:rsid w:val="00FF71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78D29A"/>
  <w15:chartTrackingRefBased/>
  <w15:docId w15:val="{BAD54439-35A0-43D1-97DA-3EBA00E2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link w:val="ParaststmeklisRakstz"/>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aliases w:val="2"/>
    <w:basedOn w:val="Parasts"/>
    <w:link w:val="SarakstarindkopaRakstz"/>
    <w:uiPriority w:val="99"/>
    <w:qFormat/>
    <w:rsid w:val="00781C40"/>
    <w:pPr>
      <w:ind w:left="720"/>
      <w:contextualSpacing/>
      <w:jc w:val="both"/>
    </w:pPr>
    <w:rPr>
      <w:szCs w:val="20"/>
      <w:lang w:val="x-none" w:eastAsia="en-US"/>
    </w:rPr>
  </w:style>
  <w:style w:type="paragraph" w:styleId="Vresteksts">
    <w:name w:val="footnote text"/>
    <w:basedOn w:val="Parasts"/>
    <w:link w:val="VrestekstsRakstz"/>
    <w:semiHidden/>
    <w:rsid w:val="00E960B2"/>
    <w:pPr>
      <w:jc w:val="both"/>
    </w:pPr>
    <w:rPr>
      <w:sz w:val="20"/>
      <w:szCs w:val="20"/>
      <w:lang w:eastAsia="en-US"/>
    </w:rPr>
  </w:style>
  <w:style w:type="character" w:customStyle="1" w:styleId="VrestekstsRakstz">
    <w:name w:val="Vēres teksts Rakstz."/>
    <w:link w:val="Vresteksts"/>
    <w:semiHidden/>
    <w:rsid w:val="00E960B2"/>
    <w:rPr>
      <w:lang w:eastAsia="en-US"/>
    </w:rPr>
  </w:style>
  <w:style w:type="character" w:styleId="Vresatsauce">
    <w:name w:val="footnote reference"/>
    <w:semiHidden/>
    <w:rsid w:val="00E960B2"/>
    <w:rPr>
      <w:rFonts w:ascii="Times New Roman" w:hAnsi="Times New Roman"/>
      <w:vertAlign w:val="superscript"/>
    </w:rPr>
  </w:style>
  <w:style w:type="character" w:customStyle="1" w:styleId="st">
    <w:name w:val="st"/>
    <w:basedOn w:val="Noklusjumarindkopasfonts"/>
    <w:rsid w:val="00E960B2"/>
  </w:style>
  <w:style w:type="paragraph" w:customStyle="1" w:styleId="Pamatteksts1">
    <w:name w:val="Pamatteksts1"/>
    <w:basedOn w:val="Parasts"/>
    <w:rsid w:val="00E960B2"/>
    <w:pPr>
      <w:shd w:val="clear" w:color="auto" w:fill="FFFFFF"/>
      <w:spacing w:before="720" w:after="180" w:line="292" w:lineRule="exact"/>
    </w:pPr>
    <w:rPr>
      <w:color w:val="000000"/>
      <w:sz w:val="19"/>
      <w:szCs w:val="19"/>
    </w:rPr>
  </w:style>
  <w:style w:type="character" w:customStyle="1" w:styleId="c4">
    <w:name w:val="c4"/>
    <w:basedOn w:val="Noklusjumarindkopasfonts"/>
    <w:rsid w:val="00B82242"/>
  </w:style>
  <w:style w:type="paragraph" w:customStyle="1" w:styleId="tv2131">
    <w:name w:val="tv2131"/>
    <w:basedOn w:val="Parasts"/>
    <w:rsid w:val="004A447D"/>
    <w:pPr>
      <w:spacing w:line="360" w:lineRule="auto"/>
      <w:ind w:firstLine="300"/>
    </w:pPr>
    <w:rPr>
      <w:color w:val="414142"/>
      <w:sz w:val="20"/>
      <w:szCs w:val="20"/>
    </w:rPr>
  </w:style>
  <w:style w:type="character" w:customStyle="1" w:styleId="Bodytext11">
    <w:name w:val="Body text (11)_"/>
    <w:link w:val="Bodytext110"/>
    <w:rsid w:val="00970D34"/>
    <w:rPr>
      <w:sz w:val="21"/>
      <w:szCs w:val="21"/>
      <w:shd w:val="clear" w:color="auto" w:fill="FFFFFF"/>
    </w:rPr>
  </w:style>
  <w:style w:type="paragraph" w:customStyle="1" w:styleId="Bodytext110">
    <w:name w:val="Body text (11)"/>
    <w:basedOn w:val="Parasts"/>
    <w:link w:val="Bodytext11"/>
    <w:rsid w:val="00970D34"/>
    <w:pPr>
      <w:shd w:val="clear" w:color="auto" w:fill="FFFFFF"/>
      <w:spacing w:line="274" w:lineRule="exact"/>
      <w:ind w:hanging="360"/>
      <w:jc w:val="right"/>
    </w:pPr>
    <w:rPr>
      <w:sz w:val="21"/>
      <w:szCs w:val="21"/>
    </w:rPr>
  </w:style>
  <w:style w:type="paragraph" w:styleId="Prskatjums">
    <w:name w:val="Revision"/>
    <w:hidden/>
    <w:uiPriority w:val="99"/>
    <w:semiHidden/>
    <w:rsid w:val="00C454AE"/>
    <w:rPr>
      <w:sz w:val="24"/>
      <w:szCs w:val="24"/>
    </w:rPr>
  </w:style>
  <w:style w:type="character" w:customStyle="1" w:styleId="ParaststmeklisRakstz">
    <w:name w:val="Parasts (tīmeklis) Rakstz."/>
    <w:link w:val="Paraststmeklis"/>
    <w:rsid w:val="00185DB3"/>
    <w:rPr>
      <w:sz w:val="24"/>
      <w:szCs w:val="24"/>
    </w:rPr>
  </w:style>
  <w:style w:type="character" w:customStyle="1" w:styleId="SarakstarindkopaRakstz">
    <w:name w:val="Saraksta rindkopa Rakstz."/>
    <w:aliases w:val="2 Rakstz."/>
    <w:link w:val="Sarakstarindkopa"/>
    <w:uiPriority w:val="99"/>
    <w:locked/>
    <w:rsid w:val="00F87FE3"/>
    <w:rPr>
      <w:sz w:val="24"/>
      <w:lang w:eastAsia="en-US"/>
    </w:rPr>
  </w:style>
  <w:style w:type="character" w:customStyle="1" w:styleId="izc0113lumschar">
    <w:name w:val="izc_0113lums__char"/>
    <w:basedOn w:val="Noklusjumarindkopasfonts"/>
    <w:rsid w:val="00C8129D"/>
  </w:style>
  <w:style w:type="character" w:customStyle="1" w:styleId="Bodytext2">
    <w:name w:val="Body text (2)_"/>
    <w:link w:val="Bodytext20"/>
    <w:rsid w:val="00EF63F5"/>
    <w:rPr>
      <w:sz w:val="19"/>
      <w:szCs w:val="19"/>
      <w:shd w:val="clear" w:color="auto" w:fill="FFFFFF"/>
    </w:rPr>
  </w:style>
  <w:style w:type="paragraph" w:customStyle="1" w:styleId="Bodytext20">
    <w:name w:val="Body text (2)"/>
    <w:basedOn w:val="Parasts"/>
    <w:link w:val="Bodytext2"/>
    <w:rsid w:val="00EF63F5"/>
    <w:pPr>
      <w:shd w:val="clear" w:color="auto" w:fill="FFFFFF"/>
      <w:spacing w:after="240" w:line="250" w:lineRule="exact"/>
      <w:ind w:firstLine="1160"/>
    </w:pPr>
    <w:rPr>
      <w:sz w:val="19"/>
      <w:szCs w:val="19"/>
      <w:lang w:val="x-none" w:eastAsia="x-none"/>
    </w:rPr>
  </w:style>
  <w:style w:type="paragraph" w:styleId="Nosaukums">
    <w:name w:val="Title"/>
    <w:basedOn w:val="Parasts"/>
    <w:link w:val="NosaukumsRakstz"/>
    <w:qFormat/>
    <w:locked/>
    <w:rsid w:val="00554D2F"/>
    <w:pPr>
      <w:jc w:val="center"/>
    </w:pPr>
    <w:rPr>
      <w:sz w:val="28"/>
      <w:szCs w:val="28"/>
    </w:rPr>
  </w:style>
  <w:style w:type="character" w:customStyle="1" w:styleId="NosaukumsRakstz">
    <w:name w:val="Nosaukums Rakstz."/>
    <w:link w:val="Nosaukums"/>
    <w:rsid w:val="00554D2F"/>
    <w:rPr>
      <w:sz w:val="28"/>
      <w:szCs w:val="28"/>
    </w:rPr>
  </w:style>
  <w:style w:type="paragraph" w:styleId="Saturs1">
    <w:name w:val="toc 1"/>
    <w:basedOn w:val="Parasts"/>
    <w:next w:val="Parasts"/>
    <w:autoRedefine/>
    <w:uiPriority w:val="39"/>
    <w:unhideWhenUsed/>
    <w:locked/>
    <w:rsid w:val="004B3325"/>
    <w:pPr>
      <w:spacing w:after="100" w:line="276" w:lineRule="auto"/>
    </w:pPr>
    <w:rPr>
      <w:rFonts w:ascii="Calibri" w:hAnsi="Calibri"/>
      <w:sz w:val="22"/>
      <w:szCs w:val="22"/>
    </w:rPr>
  </w:style>
  <w:style w:type="character" w:styleId="Neatrisintapieminana">
    <w:name w:val="Unresolved Mention"/>
    <w:uiPriority w:val="99"/>
    <w:semiHidden/>
    <w:unhideWhenUsed/>
    <w:rsid w:val="00764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6739">
      <w:bodyDiv w:val="1"/>
      <w:marLeft w:val="0"/>
      <w:marRight w:val="0"/>
      <w:marTop w:val="0"/>
      <w:marBottom w:val="0"/>
      <w:divBdr>
        <w:top w:val="none" w:sz="0" w:space="0" w:color="auto"/>
        <w:left w:val="none" w:sz="0" w:space="0" w:color="auto"/>
        <w:bottom w:val="none" w:sz="0" w:space="0" w:color="auto"/>
        <w:right w:val="none" w:sz="0" w:space="0" w:color="auto"/>
      </w:divBdr>
    </w:div>
    <w:div w:id="211620599">
      <w:bodyDiv w:val="1"/>
      <w:marLeft w:val="0"/>
      <w:marRight w:val="0"/>
      <w:marTop w:val="0"/>
      <w:marBottom w:val="0"/>
      <w:divBdr>
        <w:top w:val="none" w:sz="0" w:space="0" w:color="auto"/>
        <w:left w:val="none" w:sz="0" w:space="0" w:color="auto"/>
        <w:bottom w:val="none" w:sz="0" w:space="0" w:color="auto"/>
        <w:right w:val="none" w:sz="0" w:space="0" w:color="auto"/>
      </w:divBdr>
    </w:div>
    <w:div w:id="221870226">
      <w:bodyDiv w:val="1"/>
      <w:marLeft w:val="0"/>
      <w:marRight w:val="0"/>
      <w:marTop w:val="0"/>
      <w:marBottom w:val="0"/>
      <w:divBdr>
        <w:top w:val="none" w:sz="0" w:space="0" w:color="auto"/>
        <w:left w:val="none" w:sz="0" w:space="0" w:color="auto"/>
        <w:bottom w:val="none" w:sz="0" w:space="0" w:color="auto"/>
        <w:right w:val="none" w:sz="0" w:space="0" w:color="auto"/>
      </w:divBdr>
    </w:div>
    <w:div w:id="360471548">
      <w:bodyDiv w:val="1"/>
      <w:marLeft w:val="0"/>
      <w:marRight w:val="0"/>
      <w:marTop w:val="0"/>
      <w:marBottom w:val="0"/>
      <w:divBdr>
        <w:top w:val="none" w:sz="0" w:space="0" w:color="auto"/>
        <w:left w:val="none" w:sz="0" w:space="0" w:color="auto"/>
        <w:bottom w:val="none" w:sz="0" w:space="0" w:color="auto"/>
        <w:right w:val="none" w:sz="0" w:space="0" w:color="auto"/>
      </w:divBdr>
    </w:div>
    <w:div w:id="3610525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46339057">
      <w:bodyDiv w:val="1"/>
      <w:marLeft w:val="0"/>
      <w:marRight w:val="0"/>
      <w:marTop w:val="0"/>
      <w:marBottom w:val="0"/>
      <w:divBdr>
        <w:top w:val="none" w:sz="0" w:space="0" w:color="auto"/>
        <w:left w:val="none" w:sz="0" w:space="0" w:color="auto"/>
        <w:bottom w:val="none" w:sz="0" w:space="0" w:color="auto"/>
        <w:right w:val="none" w:sz="0" w:space="0" w:color="auto"/>
      </w:divBdr>
      <w:divsChild>
        <w:div w:id="1181353221">
          <w:marLeft w:val="0"/>
          <w:marRight w:val="0"/>
          <w:marTop w:val="0"/>
          <w:marBottom w:val="0"/>
          <w:divBdr>
            <w:top w:val="none" w:sz="0" w:space="0" w:color="auto"/>
            <w:left w:val="none" w:sz="0" w:space="0" w:color="auto"/>
            <w:bottom w:val="none" w:sz="0" w:space="0" w:color="auto"/>
            <w:right w:val="none" w:sz="0" w:space="0" w:color="auto"/>
          </w:divBdr>
          <w:divsChild>
            <w:div w:id="826434689">
              <w:marLeft w:val="0"/>
              <w:marRight w:val="0"/>
              <w:marTop w:val="0"/>
              <w:marBottom w:val="0"/>
              <w:divBdr>
                <w:top w:val="none" w:sz="0" w:space="0" w:color="auto"/>
                <w:left w:val="none" w:sz="0" w:space="0" w:color="auto"/>
                <w:bottom w:val="none" w:sz="0" w:space="0" w:color="auto"/>
                <w:right w:val="none" w:sz="0" w:space="0" w:color="auto"/>
              </w:divBdr>
              <w:divsChild>
                <w:div w:id="1586259836">
                  <w:marLeft w:val="0"/>
                  <w:marRight w:val="0"/>
                  <w:marTop w:val="0"/>
                  <w:marBottom w:val="0"/>
                  <w:divBdr>
                    <w:top w:val="none" w:sz="0" w:space="0" w:color="auto"/>
                    <w:left w:val="none" w:sz="0" w:space="0" w:color="auto"/>
                    <w:bottom w:val="none" w:sz="0" w:space="0" w:color="auto"/>
                    <w:right w:val="none" w:sz="0" w:space="0" w:color="auto"/>
                  </w:divBdr>
                  <w:divsChild>
                    <w:div w:id="401415809">
                      <w:marLeft w:val="0"/>
                      <w:marRight w:val="0"/>
                      <w:marTop w:val="0"/>
                      <w:marBottom w:val="0"/>
                      <w:divBdr>
                        <w:top w:val="none" w:sz="0" w:space="0" w:color="auto"/>
                        <w:left w:val="none" w:sz="0" w:space="0" w:color="auto"/>
                        <w:bottom w:val="none" w:sz="0" w:space="0" w:color="auto"/>
                        <w:right w:val="none" w:sz="0" w:space="0" w:color="auto"/>
                      </w:divBdr>
                      <w:divsChild>
                        <w:div w:id="1121070851">
                          <w:marLeft w:val="0"/>
                          <w:marRight w:val="0"/>
                          <w:marTop w:val="0"/>
                          <w:marBottom w:val="0"/>
                          <w:divBdr>
                            <w:top w:val="none" w:sz="0" w:space="0" w:color="auto"/>
                            <w:left w:val="none" w:sz="0" w:space="0" w:color="auto"/>
                            <w:bottom w:val="none" w:sz="0" w:space="0" w:color="auto"/>
                            <w:right w:val="none" w:sz="0" w:space="0" w:color="auto"/>
                          </w:divBdr>
                          <w:divsChild>
                            <w:div w:id="738751224">
                              <w:marLeft w:val="0"/>
                              <w:marRight w:val="0"/>
                              <w:marTop w:val="0"/>
                              <w:marBottom w:val="0"/>
                              <w:divBdr>
                                <w:top w:val="none" w:sz="0" w:space="0" w:color="auto"/>
                                <w:left w:val="none" w:sz="0" w:space="0" w:color="auto"/>
                                <w:bottom w:val="none" w:sz="0" w:space="0" w:color="auto"/>
                                <w:right w:val="none" w:sz="0" w:space="0" w:color="auto"/>
                              </w:divBdr>
                              <w:divsChild>
                                <w:div w:id="1724988568">
                                  <w:marLeft w:val="0"/>
                                  <w:marRight w:val="0"/>
                                  <w:marTop w:val="0"/>
                                  <w:marBottom w:val="0"/>
                                  <w:divBdr>
                                    <w:top w:val="none" w:sz="0" w:space="0" w:color="auto"/>
                                    <w:left w:val="none" w:sz="0" w:space="0" w:color="auto"/>
                                    <w:bottom w:val="none" w:sz="0" w:space="0" w:color="auto"/>
                                    <w:right w:val="none" w:sz="0" w:space="0" w:color="auto"/>
                                  </w:divBdr>
                                  <w:divsChild>
                                    <w:div w:id="425736912">
                                      <w:marLeft w:val="0"/>
                                      <w:marRight w:val="0"/>
                                      <w:marTop w:val="0"/>
                                      <w:marBottom w:val="0"/>
                                      <w:divBdr>
                                        <w:top w:val="none" w:sz="0" w:space="0" w:color="auto"/>
                                        <w:left w:val="none" w:sz="0" w:space="0" w:color="auto"/>
                                        <w:bottom w:val="none" w:sz="0" w:space="0" w:color="auto"/>
                                        <w:right w:val="none" w:sz="0" w:space="0" w:color="auto"/>
                                      </w:divBdr>
                                      <w:divsChild>
                                        <w:div w:id="1613436380">
                                          <w:marLeft w:val="0"/>
                                          <w:marRight w:val="0"/>
                                          <w:marTop w:val="0"/>
                                          <w:marBottom w:val="0"/>
                                          <w:divBdr>
                                            <w:top w:val="none" w:sz="0" w:space="0" w:color="auto"/>
                                            <w:left w:val="none" w:sz="0" w:space="0" w:color="auto"/>
                                            <w:bottom w:val="none" w:sz="0" w:space="0" w:color="auto"/>
                                            <w:right w:val="none" w:sz="0" w:space="0" w:color="auto"/>
                                          </w:divBdr>
                                          <w:divsChild>
                                            <w:div w:id="159664309">
                                              <w:marLeft w:val="0"/>
                                              <w:marRight w:val="0"/>
                                              <w:marTop w:val="0"/>
                                              <w:marBottom w:val="0"/>
                                              <w:divBdr>
                                                <w:top w:val="none" w:sz="0" w:space="0" w:color="auto"/>
                                                <w:left w:val="none" w:sz="0" w:space="0" w:color="auto"/>
                                                <w:bottom w:val="none" w:sz="0" w:space="0" w:color="auto"/>
                                                <w:right w:val="none" w:sz="0" w:space="0" w:color="auto"/>
                                              </w:divBdr>
                                              <w:divsChild>
                                                <w:div w:id="68814168">
                                                  <w:marLeft w:val="0"/>
                                                  <w:marRight w:val="0"/>
                                                  <w:marTop w:val="0"/>
                                                  <w:marBottom w:val="0"/>
                                                  <w:divBdr>
                                                    <w:top w:val="none" w:sz="0" w:space="0" w:color="auto"/>
                                                    <w:left w:val="none" w:sz="0" w:space="0" w:color="auto"/>
                                                    <w:bottom w:val="none" w:sz="0" w:space="0" w:color="auto"/>
                                                    <w:right w:val="none" w:sz="0" w:space="0" w:color="auto"/>
                                                  </w:divBdr>
                                                  <w:divsChild>
                                                    <w:div w:id="1918704632">
                                                      <w:marLeft w:val="0"/>
                                                      <w:marRight w:val="0"/>
                                                      <w:marTop w:val="0"/>
                                                      <w:marBottom w:val="0"/>
                                                      <w:divBdr>
                                                        <w:top w:val="none" w:sz="0" w:space="0" w:color="auto"/>
                                                        <w:left w:val="none" w:sz="0" w:space="0" w:color="auto"/>
                                                        <w:bottom w:val="none" w:sz="0" w:space="0" w:color="auto"/>
                                                        <w:right w:val="none" w:sz="0" w:space="0" w:color="auto"/>
                                                      </w:divBdr>
                                                      <w:divsChild>
                                                        <w:div w:id="1921792447">
                                                          <w:marLeft w:val="0"/>
                                                          <w:marRight w:val="0"/>
                                                          <w:marTop w:val="0"/>
                                                          <w:marBottom w:val="0"/>
                                                          <w:divBdr>
                                                            <w:top w:val="none" w:sz="0" w:space="0" w:color="auto"/>
                                                            <w:left w:val="none" w:sz="0" w:space="0" w:color="auto"/>
                                                            <w:bottom w:val="none" w:sz="0" w:space="0" w:color="auto"/>
                                                            <w:right w:val="none" w:sz="0" w:space="0" w:color="auto"/>
                                                          </w:divBdr>
                                                          <w:divsChild>
                                                            <w:div w:id="1143619601">
                                                              <w:marLeft w:val="0"/>
                                                              <w:marRight w:val="150"/>
                                                              <w:marTop w:val="0"/>
                                                              <w:marBottom w:val="150"/>
                                                              <w:divBdr>
                                                                <w:top w:val="none" w:sz="0" w:space="0" w:color="auto"/>
                                                                <w:left w:val="none" w:sz="0" w:space="0" w:color="auto"/>
                                                                <w:bottom w:val="none" w:sz="0" w:space="0" w:color="auto"/>
                                                                <w:right w:val="none" w:sz="0" w:space="0" w:color="auto"/>
                                                              </w:divBdr>
                                                              <w:divsChild>
                                                                <w:div w:id="1642805520">
                                                                  <w:marLeft w:val="0"/>
                                                                  <w:marRight w:val="0"/>
                                                                  <w:marTop w:val="0"/>
                                                                  <w:marBottom w:val="0"/>
                                                                  <w:divBdr>
                                                                    <w:top w:val="none" w:sz="0" w:space="0" w:color="auto"/>
                                                                    <w:left w:val="none" w:sz="0" w:space="0" w:color="auto"/>
                                                                    <w:bottom w:val="none" w:sz="0" w:space="0" w:color="auto"/>
                                                                    <w:right w:val="none" w:sz="0" w:space="0" w:color="auto"/>
                                                                  </w:divBdr>
                                                                  <w:divsChild>
                                                                    <w:div w:id="1874611521">
                                                                      <w:marLeft w:val="0"/>
                                                                      <w:marRight w:val="0"/>
                                                                      <w:marTop w:val="0"/>
                                                                      <w:marBottom w:val="0"/>
                                                                      <w:divBdr>
                                                                        <w:top w:val="none" w:sz="0" w:space="0" w:color="auto"/>
                                                                        <w:left w:val="none" w:sz="0" w:space="0" w:color="auto"/>
                                                                        <w:bottom w:val="none" w:sz="0" w:space="0" w:color="auto"/>
                                                                        <w:right w:val="none" w:sz="0" w:space="0" w:color="auto"/>
                                                                      </w:divBdr>
                                                                      <w:divsChild>
                                                                        <w:div w:id="1630018058">
                                                                          <w:marLeft w:val="0"/>
                                                                          <w:marRight w:val="0"/>
                                                                          <w:marTop w:val="0"/>
                                                                          <w:marBottom w:val="0"/>
                                                                          <w:divBdr>
                                                                            <w:top w:val="none" w:sz="0" w:space="0" w:color="auto"/>
                                                                            <w:left w:val="none" w:sz="0" w:space="0" w:color="auto"/>
                                                                            <w:bottom w:val="none" w:sz="0" w:space="0" w:color="auto"/>
                                                                            <w:right w:val="none" w:sz="0" w:space="0" w:color="auto"/>
                                                                          </w:divBdr>
                                                                          <w:divsChild>
                                                                            <w:div w:id="2042587099">
                                                                              <w:marLeft w:val="0"/>
                                                                              <w:marRight w:val="0"/>
                                                                              <w:marTop w:val="0"/>
                                                                              <w:marBottom w:val="0"/>
                                                                              <w:divBdr>
                                                                                <w:top w:val="none" w:sz="0" w:space="0" w:color="auto"/>
                                                                                <w:left w:val="none" w:sz="0" w:space="0" w:color="auto"/>
                                                                                <w:bottom w:val="none" w:sz="0" w:space="0" w:color="auto"/>
                                                                                <w:right w:val="none" w:sz="0" w:space="0" w:color="auto"/>
                                                                              </w:divBdr>
                                                                              <w:divsChild>
                                                                                <w:div w:id="1990744597">
                                                                                  <w:marLeft w:val="0"/>
                                                                                  <w:marRight w:val="0"/>
                                                                                  <w:marTop w:val="0"/>
                                                                                  <w:marBottom w:val="0"/>
                                                                                  <w:divBdr>
                                                                                    <w:top w:val="none" w:sz="0" w:space="0" w:color="auto"/>
                                                                                    <w:left w:val="none" w:sz="0" w:space="0" w:color="auto"/>
                                                                                    <w:bottom w:val="none" w:sz="0" w:space="0" w:color="auto"/>
                                                                                    <w:right w:val="none" w:sz="0" w:space="0" w:color="auto"/>
                                                                                  </w:divBdr>
                                                                                  <w:divsChild>
                                                                                    <w:div w:id="915477237">
                                                                                      <w:marLeft w:val="0"/>
                                                                                      <w:marRight w:val="0"/>
                                                                                      <w:marTop w:val="0"/>
                                                                                      <w:marBottom w:val="0"/>
                                                                                      <w:divBdr>
                                                                                        <w:top w:val="none" w:sz="0" w:space="0" w:color="auto"/>
                                                                                        <w:left w:val="none" w:sz="0" w:space="0" w:color="auto"/>
                                                                                        <w:bottom w:val="none" w:sz="0" w:space="0" w:color="auto"/>
                                                                                        <w:right w:val="none" w:sz="0" w:space="0" w:color="auto"/>
                                                                                      </w:divBdr>
                                                                                    </w:div>
                                                                                    <w:div w:id="1232035553">
                                                                                      <w:marLeft w:val="0"/>
                                                                                      <w:marRight w:val="0"/>
                                                                                      <w:marTop w:val="0"/>
                                                                                      <w:marBottom w:val="0"/>
                                                                                      <w:divBdr>
                                                                                        <w:top w:val="none" w:sz="0" w:space="0" w:color="auto"/>
                                                                                        <w:left w:val="none" w:sz="0" w:space="0" w:color="auto"/>
                                                                                        <w:bottom w:val="none" w:sz="0" w:space="0" w:color="auto"/>
                                                                                        <w:right w:val="none" w:sz="0" w:space="0" w:color="auto"/>
                                                                                      </w:divBdr>
                                                                                    </w:div>
                                                                                    <w:div w:id="1962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467049">
      <w:bodyDiv w:val="1"/>
      <w:marLeft w:val="0"/>
      <w:marRight w:val="0"/>
      <w:marTop w:val="0"/>
      <w:marBottom w:val="0"/>
      <w:divBdr>
        <w:top w:val="none" w:sz="0" w:space="0" w:color="auto"/>
        <w:left w:val="none" w:sz="0" w:space="0" w:color="auto"/>
        <w:bottom w:val="none" w:sz="0" w:space="0" w:color="auto"/>
        <w:right w:val="none" w:sz="0" w:space="0" w:color="auto"/>
      </w:divBdr>
      <w:divsChild>
        <w:div w:id="467669988">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sChild>
                <w:div w:id="733703637">
                  <w:marLeft w:val="0"/>
                  <w:marRight w:val="0"/>
                  <w:marTop w:val="0"/>
                  <w:marBottom w:val="0"/>
                  <w:divBdr>
                    <w:top w:val="none" w:sz="0" w:space="0" w:color="auto"/>
                    <w:left w:val="none" w:sz="0" w:space="0" w:color="auto"/>
                    <w:bottom w:val="none" w:sz="0" w:space="0" w:color="auto"/>
                    <w:right w:val="none" w:sz="0" w:space="0" w:color="auto"/>
                  </w:divBdr>
                  <w:divsChild>
                    <w:div w:id="123163104">
                      <w:marLeft w:val="0"/>
                      <w:marRight w:val="0"/>
                      <w:marTop w:val="0"/>
                      <w:marBottom w:val="0"/>
                      <w:divBdr>
                        <w:top w:val="none" w:sz="0" w:space="0" w:color="auto"/>
                        <w:left w:val="none" w:sz="0" w:space="0" w:color="auto"/>
                        <w:bottom w:val="none" w:sz="0" w:space="0" w:color="auto"/>
                        <w:right w:val="none" w:sz="0" w:space="0" w:color="auto"/>
                      </w:divBdr>
                      <w:divsChild>
                        <w:div w:id="2003770890">
                          <w:marLeft w:val="0"/>
                          <w:marRight w:val="0"/>
                          <w:marTop w:val="0"/>
                          <w:marBottom w:val="0"/>
                          <w:divBdr>
                            <w:top w:val="none" w:sz="0" w:space="0" w:color="auto"/>
                            <w:left w:val="none" w:sz="0" w:space="0" w:color="auto"/>
                            <w:bottom w:val="none" w:sz="0" w:space="0" w:color="auto"/>
                            <w:right w:val="none" w:sz="0" w:space="0" w:color="auto"/>
                          </w:divBdr>
                          <w:divsChild>
                            <w:div w:id="9495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62330">
      <w:bodyDiv w:val="1"/>
      <w:marLeft w:val="0"/>
      <w:marRight w:val="0"/>
      <w:marTop w:val="0"/>
      <w:marBottom w:val="0"/>
      <w:divBdr>
        <w:top w:val="none" w:sz="0" w:space="0" w:color="auto"/>
        <w:left w:val="none" w:sz="0" w:space="0" w:color="auto"/>
        <w:bottom w:val="none" w:sz="0" w:space="0" w:color="auto"/>
        <w:right w:val="none" w:sz="0" w:space="0" w:color="auto"/>
      </w:divBdr>
    </w:div>
    <w:div w:id="104517455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4165043">
      <w:bodyDiv w:val="1"/>
      <w:marLeft w:val="0"/>
      <w:marRight w:val="0"/>
      <w:marTop w:val="0"/>
      <w:marBottom w:val="0"/>
      <w:divBdr>
        <w:top w:val="none" w:sz="0" w:space="0" w:color="auto"/>
        <w:left w:val="none" w:sz="0" w:space="0" w:color="auto"/>
        <w:bottom w:val="none" w:sz="0" w:space="0" w:color="auto"/>
        <w:right w:val="none" w:sz="0" w:space="0" w:color="auto"/>
      </w:divBdr>
    </w:div>
    <w:div w:id="125982953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6972959">
      <w:bodyDiv w:val="1"/>
      <w:marLeft w:val="0"/>
      <w:marRight w:val="0"/>
      <w:marTop w:val="0"/>
      <w:marBottom w:val="0"/>
      <w:divBdr>
        <w:top w:val="none" w:sz="0" w:space="0" w:color="auto"/>
        <w:left w:val="none" w:sz="0" w:space="0" w:color="auto"/>
        <w:bottom w:val="none" w:sz="0" w:space="0" w:color="auto"/>
        <w:right w:val="none" w:sz="0" w:space="0" w:color="auto"/>
      </w:divBdr>
    </w:div>
    <w:div w:id="1414398210">
      <w:bodyDiv w:val="1"/>
      <w:marLeft w:val="0"/>
      <w:marRight w:val="0"/>
      <w:marTop w:val="0"/>
      <w:marBottom w:val="0"/>
      <w:divBdr>
        <w:top w:val="none" w:sz="0" w:space="0" w:color="auto"/>
        <w:left w:val="none" w:sz="0" w:space="0" w:color="auto"/>
        <w:bottom w:val="none" w:sz="0" w:space="0" w:color="auto"/>
        <w:right w:val="none" w:sz="0" w:space="0" w:color="auto"/>
      </w:divBdr>
    </w:div>
    <w:div w:id="1438061914">
      <w:bodyDiv w:val="1"/>
      <w:marLeft w:val="0"/>
      <w:marRight w:val="0"/>
      <w:marTop w:val="0"/>
      <w:marBottom w:val="0"/>
      <w:divBdr>
        <w:top w:val="none" w:sz="0" w:space="0" w:color="auto"/>
        <w:left w:val="none" w:sz="0" w:space="0" w:color="auto"/>
        <w:bottom w:val="none" w:sz="0" w:space="0" w:color="auto"/>
        <w:right w:val="none" w:sz="0" w:space="0" w:color="auto"/>
      </w:divBdr>
    </w:div>
    <w:div w:id="1456145345">
      <w:bodyDiv w:val="1"/>
      <w:marLeft w:val="0"/>
      <w:marRight w:val="0"/>
      <w:marTop w:val="0"/>
      <w:marBottom w:val="0"/>
      <w:divBdr>
        <w:top w:val="none" w:sz="0" w:space="0" w:color="auto"/>
        <w:left w:val="none" w:sz="0" w:space="0" w:color="auto"/>
        <w:bottom w:val="none" w:sz="0" w:space="0" w:color="auto"/>
        <w:right w:val="none" w:sz="0" w:space="0" w:color="auto"/>
      </w:divBdr>
      <w:divsChild>
        <w:div w:id="250433447">
          <w:marLeft w:val="0"/>
          <w:marRight w:val="0"/>
          <w:marTop w:val="0"/>
          <w:marBottom w:val="0"/>
          <w:divBdr>
            <w:top w:val="none" w:sz="0" w:space="0" w:color="auto"/>
            <w:left w:val="none" w:sz="0" w:space="0" w:color="auto"/>
            <w:bottom w:val="none" w:sz="0" w:space="0" w:color="auto"/>
            <w:right w:val="none" w:sz="0" w:space="0" w:color="auto"/>
          </w:divBdr>
          <w:divsChild>
            <w:div w:id="1157964162">
              <w:marLeft w:val="0"/>
              <w:marRight w:val="0"/>
              <w:marTop w:val="0"/>
              <w:marBottom w:val="0"/>
              <w:divBdr>
                <w:top w:val="none" w:sz="0" w:space="0" w:color="auto"/>
                <w:left w:val="none" w:sz="0" w:space="0" w:color="auto"/>
                <w:bottom w:val="none" w:sz="0" w:space="0" w:color="auto"/>
                <w:right w:val="none" w:sz="0" w:space="0" w:color="auto"/>
              </w:divBdr>
              <w:divsChild>
                <w:div w:id="163909017">
                  <w:marLeft w:val="0"/>
                  <w:marRight w:val="0"/>
                  <w:marTop w:val="0"/>
                  <w:marBottom w:val="0"/>
                  <w:divBdr>
                    <w:top w:val="none" w:sz="0" w:space="0" w:color="auto"/>
                    <w:left w:val="none" w:sz="0" w:space="0" w:color="auto"/>
                    <w:bottom w:val="none" w:sz="0" w:space="0" w:color="auto"/>
                    <w:right w:val="none" w:sz="0" w:space="0" w:color="auto"/>
                  </w:divBdr>
                  <w:divsChild>
                    <w:div w:id="198012509">
                      <w:marLeft w:val="0"/>
                      <w:marRight w:val="0"/>
                      <w:marTop w:val="0"/>
                      <w:marBottom w:val="0"/>
                      <w:divBdr>
                        <w:top w:val="none" w:sz="0" w:space="0" w:color="auto"/>
                        <w:left w:val="none" w:sz="0" w:space="0" w:color="auto"/>
                        <w:bottom w:val="none" w:sz="0" w:space="0" w:color="auto"/>
                        <w:right w:val="none" w:sz="0" w:space="0" w:color="auto"/>
                      </w:divBdr>
                      <w:divsChild>
                        <w:div w:id="850031261">
                          <w:marLeft w:val="0"/>
                          <w:marRight w:val="0"/>
                          <w:marTop w:val="0"/>
                          <w:marBottom w:val="0"/>
                          <w:divBdr>
                            <w:top w:val="none" w:sz="0" w:space="0" w:color="auto"/>
                            <w:left w:val="none" w:sz="0" w:space="0" w:color="auto"/>
                            <w:bottom w:val="none" w:sz="0" w:space="0" w:color="auto"/>
                            <w:right w:val="none" w:sz="0" w:space="0" w:color="auto"/>
                          </w:divBdr>
                          <w:divsChild>
                            <w:div w:id="966475288">
                              <w:marLeft w:val="0"/>
                              <w:marRight w:val="0"/>
                              <w:marTop w:val="0"/>
                              <w:marBottom w:val="567"/>
                              <w:divBdr>
                                <w:top w:val="none" w:sz="0" w:space="0" w:color="auto"/>
                                <w:left w:val="none" w:sz="0" w:space="0" w:color="auto"/>
                                <w:bottom w:val="none" w:sz="0" w:space="0" w:color="auto"/>
                                <w:right w:val="none" w:sz="0" w:space="0" w:color="auto"/>
                              </w:divBdr>
                            </w:div>
                            <w:div w:id="13005290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96453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8623025">
      <w:bodyDiv w:val="1"/>
      <w:marLeft w:val="0"/>
      <w:marRight w:val="0"/>
      <w:marTop w:val="0"/>
      <w:marBottom w:val="0"/>
      <w:divBdr>
        <w:top w:val="none" w:sz="0" w:space="0" w:color="auto"/>
        <w:left w:val="none" w:sz="0" w:space="0" w:color="auto"/>
        <w:bottom w:val="none" w:sz="0" w:space="0" w:color="auto"/>
        <w:right w:val="none" w:sz="0" w:space="0" w:color="auto"/>
      </w:divBdr>
    </w:div>
    <w:div w:id="1795102328">
      <w:bodyDiv w:val="1"/>
      <w:marLeft w:val="0"/>
      <w:marRight w:val="0"/>
      <w:marTop w:val="0"/>
      <w:marBottom w:val="0"/>
      <w:divBdr>
        <w:top w:val="none" w:sz="0" w:space="0" w:color="auto"/>
        <w:left w:val="none" w:sz="0" w:space="0" w:color="auto"/>
        <w:bottom w:val="none" w:sz="0" w:space="0" w:color="auto"/>
        <w:right w:val="none" w:sz="0" w:space="0" w:color="auto"/>
      </w:divBdr>
    </w:div>
    <w:div w:id="1959723107">
      <w:bodyDiv w:val="1"/>
      <w:marLeft w:val="0"/>
      <w:marRight w:val="0"/>
      <w:marTop w:val="0"/>
      <w:marBottom w:val="0"/>
      <w:divBdr>
        <w:top w:val="none" w:sz="0" w:space="0" w:color="auto"/>
        <w:left w:val="none" w:sz="0" w:space="0" w:color="auto"/>
        <w:bottom w:val="none" w:sz="0" w:space="0" w:color="auto"/>
        <w:right w:val="none" w:sz="0" w:space="0" w:color="auto"/>
      </w:divBdr>
    </w:div>
    <w:div w:id="20590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Zubov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3F903-2001-49BE-A565-4E0A6B38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5163</Words>
  <Characters>39191</Characters>
  <Application>Microsoft Office Word</Application>
  <DocSecurity>0</DocSecurity>
  <Lines>326</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44266</CharactersWithSpaces>
  <SharedDoc>false</SharedDoc>
  <HLinks>
    <vt:vector size="6" baseType="variant">
      <vt:variant>
        <vt:i4>5636221</vt:i4>
      </vt:variant>
      <vt:variant>
        <vt:i4>0</vt:i4>
      </vt:variant>
      <vt:variant>
        <vt:i4>0</vt:i4>
      </vt:variant>
      <vt:variant>
        <vt:i4>5</vt:i4>
      </vt:variant>
      <vt:variant>
        <vt:lpwstr>mailto:Ilze.Zubova@km.gov.lv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 Ločmele</dc:creator>
  <cp:keywords/>
  <dc:description/>
  <cp:lastModifiedBy>Lelde Puisāne</cp:lastModifiedBy>
  <cp:revision>4</cp:revision>
  <cp:lastPrinted>2015-07-03T11:24:00Z</cp:lastPrinted>
  <dcterms:created xsi:type="dcterms:W3CDTF">2020-10-19T09:00:00Z</dcterms:created>
  <dcterms:modified xsi:type="dcterms:W3CDTF">2020-10-19T14:41:00Z</dcterms:modified>
</cp:coreProperties>
</file>