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06" w:rsidP="00ED59FD" w:rsidRDefault="00BB7C94" w14:paraId="45CE702C" w14:textId="77777777">
      <w:pPr>
        <w:spacing w:after="0" w:line="240" w:lineRule="auto"/>
        <w:ind w:firstLine="426"/>
        <w:jc w:val="center"/>
        <w:rPr>
          <w:rFonts w:ascii="Times New Roman" w:hAnsi="Times New Roman" w:cs="Times New Roman"/>
          <w:b/>
          <w:sz w:val="28"/>
          <w:szCs w:val="28"/>
        </w:rPr>
      </w:pPr>
      <w:bookmarkStart w:name="_GoBack" w:id="0"/>
      <w:bookmarkEnd w:id="0"/>
      <w:r w:rsidRPr="0009576A">
        <w:rPr>
          <w:rFonts w:ascii="Times New Roman" w:hAnsi="Times New Roman" w:cs="Times New Roman"/>
          <w:b/>
          <w:sz w:val="28"/>
          <w:szCs w:val="28"/>
        </w:rPr>
        <w:t xml:space="preserve">Informatīvais ziņojums </w:t>
      </w:r>
    </w:p>
    <w:p w:rsidRPr="0009576A" w:rsidR="00E00C4D" w:rsidP="00ED59FD" w:rsidRDefault="00ED59FD" w14:paraId="2ED756C9" w14:textId="52B37F0D">
      <w:pPr>
        <w:spacing w:after="0" w:line="240" w:lineRule="auto"/>
        <w:ind w:firstLine="426"/>
        <w:jc w:val="center"/>
        <w:rPr>
          <w:rFonts w:ascii="Times New Roman" w:hAnsi="Times New Roman" w:cs="Times New Roman"/>
          <w:b/>
          <w:sz w:val="28"/>
          <w:szCs w:val="28"/>
        </w:rPr>
      </w:pPr>
      <w:bookmarkStart w:name="_Hlk57373617" w:id="1"/>
      <w:r w:rsidRPr="00ED59FD">
        <w:rPr>
          <w:rFonts w:ascii="Times New Roman" w:hAnsi="Times New Roman" w:eastAsia="Times New Roman" w:cs="Times New Roman"/>
          <w:b/>
          <w:bCs/>
          <w:sz w:val="28"/>
          <w:szCs w:val="24"/>
        </w:rPr>
        <w:t>„</w:t>
      </w:r>
      <w:r w:rsidRPr="0009576A" w:rsidR="00BB7C94">
        <w:rPr>
          <w:rFonts w:ascii="Times New Roman" w:hAnsi="Times New Roman" w:cs="Times New Roman"/>
          <w:b/>
          <w:sz w:val="28"/>
          <w:szCs w:val="28"/>
        </w:rPr>
        <w:t xml:space="preserve">Par </w:t>
      </w:r>
      <w:r w:rsidRPr="0009576A" w:rsidR="00DE7FB3">
        <w:rPr>
          <w:rFonts w:ascii="Times New Roman" w:hAnsi="Times New Roman" w:cs="Times New Roman"/>
          <w:b/>
          <w:sz w:val="28"/>
          <w:szCs w:val="28"/>
        </w:rPr>
        <w:t>atbalsta pasākumu C</w:t>
      </w:r>
      <w:r w:rsidRPr="0009576A">
        <w:rPr>
          <w:rFonts w:ascii="Times New Roman" w:hAnsi="Times New Roman" w:cs="Times New Roman"/>
          <w:b/>
          <w:sz w:val="28"/>
          <w:szCs w:val="28"/>
        </w:rPr>
        <w:t>ovid</w:t>
      </w:r>
      <w:r w:rsidRPr="0009576A" w:rsidR="00DE7FB3">
        <w:rPr>
          <w:rFonts w:ascii="Times New Roman" w:hAnsi="Times New Roman" w:cs="Times New Roman"/>
          <w:b/>
          <w:sz w:val="28"/>
          <w:szCs w:val="28"/>
        </w:rPr>
        <w:t xml:space="preserve">-19 </w:t>
      </w:r>
      <w:r>
        <w:rPr>
          <w:rFonts w:ascii="Times New Roman" w:hAnsi="Times New Roman" w:cs="Times New Roman"/>
          <w:b/>
          <w:sz w:val="28"/>
          <w:szCs w:val="28"/>
        </w:rPr>
        <w:t>krīzes</w:t>
      </w:r>
      <w:r w:rsidRPr="0009576A" w:rsidR="00DE7FB3">
        <w:rPr>
          <w:rFonts w:ascii="Times New Roman" w:hAnsi="Times New Roman" w:cs="Times New Roman"/>
          <w:b/>
          <w:sz w:val="28"/>
          <w:szCs w:val="28"/>
        </w:rPr>
        <w:t xml:space="preserve"> ietekmētajiem kultūras pasākumu rīkotājiem</w:t>
      </w:r>
      <w:bookmarkEnd w:id="1"/>
      <w:r w:rsidR="00E26DC1">
        <w:rPr>
          <w:rFonts w:ascii="Times New Roman" w:hAnsi="Times New Roman" w:cs="Times New Roman"/>
          <w:b/>
          <w:sz w:val="28"/>
          <w:szCs w:val="28"/>
        </w:rPr>
        <w:t>”</w:t>
      </w:r>
    </w:p>
    <w:p w:rsidRPr="0009576A" w:rsidR="00F81DC3" w:rsidP="00ED59FD" w:rsidRDefault="00F81DC3" w14:paraId="6C93A490" w14:textId="77777777">
      <w:pPr>
        <w:spacing w:after="0" w:line="240" w:lineRule="auto"/>
        <w:ind w:firstLine="720"/>
        <w:jc w:val="both"/>
        <w:rPr>
          <w:rFonts w:ascii="Times New Roman" w:hAnsi="Times New Roman" w:cs="Times New Roman"/>
          <w:sz w:val="28"/>
          <w:szCs w:val="28"/>
        </w:rPr>
      </w:pPr>
    </w:p>
    <w:p w:rsidR="00ED59FD" w:rsidP="00ED59FD" w:rsidRDefault="001506B8" w14:paraId="706E0626" w14:textId="10CD690E">
      <w:pPr>
        <w:spacing w:after="0" w:line="240" w:lineRule="auto"/>
        <w:ind w:firstLine="720"/>
        <w:jc w:val="both"/>
        <w:rPr>
          <w:rFonts w:ascii="Times New Roman" w:hAnsi="Times New Roman" w:cs="Times New Roman"/>
          <w:sz w:val="28"/>
          <w:szCs w:val="28"/>
        </w:rPr>
      </w:pPr>
      <w:r w:rsidRPr="0009576A">
        <w:rPr>
          <w:rFonts w:ascii="Times New Roman" w:hAnsi="Times New Roman" w:cs="Times New Roman"/>
          <w:sz w:val="28"/>
          <w:szCs w:val="28"/>
        </w:rPr>
        <w:t>Informatīv</w:t>
      </w:r>
      <w:r w:rsidR="00ED59FD">
        <w:rPr>
          <w:rFonts w:ascii="Times New Roman" w:hAnsi="Times New Roman" w:cs="Times New Roman"/>
          <w:sz w:val="28"/>
          <w:szCs w:val="28"/>
        </w:rPr>
        <w:t>ais</w:t>
      </w:r>
      <w:r w:rsidRPr="0009576A">
        <w:rPr>
          <w:rFonts w:ascii="Times New Roman" w:hAnsi="Times New Roman" w:cs="Times New Roman"/>
          <w:sz w:val="28"/>
          <w:szCs w:val="28"/>
        </w:rPr>
        <w:t xml:space="preserve"> ziņojum</w:t>
      </w:r>
      <w:r w:rsidR="00ED59FD">
        <w:rPr>
          <w:rFonts w:ascii="Times New Roman" w:hAnsi="Times New Roman" w:cs="Times New Roman"/>
          <w:sz w:val="28"/>
          <w:szCs w:val="28"/>
        </w:rPr>
        <w:t xml:space="preserve">s </w:t>
      </w:r>
      <w:r w:rsidRPr="00ED59FD" w:rsidR="00ED59FD">
        <w:rPr>
          <w:rFonts w:ascii="Times New Roman" w:hAnsi="Times New Roman" w:cs="Times New Roman"/>
          <w:sz w:val="28"/>
          <w:szCs w:val="28"/>
        </w:rPr>
        <w:t>„Par atbalsta pasākumu Covid-19 krīzes ietekmētajiem kultūras pasākumu rīkotājiem” sagatavots, ņemot vērā Ministru kabineta 2020.gada 6.novembra rīkojumu Nr.655 „Par ārkārtējās situācijas izsludināšanu”, lai sniegtu atbalsta pasākumu Covid-19 krīzes ietekmētajiem kultūras pasākumu rīkotājiem ārkārtējās situācijas laikā atcelto kultūras pasākumu biļešu kompensācijām</w:t>
      </w:r>
      <w:r w:rsidR="00ED59FD">
        <w:rPr>
          <w:rFonts w:ascii="Times New Roman" w:hAnsi="Times New Roman" w:cs="Times New Roman"/>
          <w:sz w:val="28"/>
          <w:szCs w:val="28"/>
        </w:rPr>
        <w:t>.</w:t>
      </w:r>
    </w:p>
    <w:p w:rsidRPr="0009576A" w:rsidR="00C47906" w:rsidP="00ED59FD" w:rsidRDefault="00C47906" w14:paraId="6EF43C1D" w14:textId="77777777">
      <w:pPr>
        <w:spacing w:after="0" w:line="240" w:lineRule="auto"/>
        <w:ind w:firstLine="720"/>
        <w:jc w:val="both"/>
        <w:rPr>
          <w:rFonts w:ascii="Times New Roman" w:hAnsi="Times New Roman" w:cs="Times New Roman"/>
          <w:sz w:val="28"/>
          <w:szCs w:val="28"/>
        </w:rPr>
      </w:pPr>
    </w:p>
    <w:p w:rsidR="00500A96" w:rsidP="00ED59FD" w:rsidRDefault="00C47906" w14:paraId="62C4D4DE" w14:textId="5E33E110">
      <w:pPr>
        <w:pStyle w:val="ListParagraph"/>
        <w:numPr>
          <w:ilvl w:val="0"/>
          <w:numId w:val="21"/>
        </w:numPr>
        <w:spacing w:after="0" w:line="240" w:lineRule="auto"/>
        <w:ind w:left="284" w:hanging="284"/>
        <w:jc w:val="center"/>
        <w:rPr>
          <w:rFonts w:ascii="Times New Roman" w:hAnsi="Times New Roman" w:cs="Times New Roman"/>
          <w:b/>
          <w:bCs/>
          <w:sz w:val="28"/>
          <w:szCs w:val="28"/>
        </w:rPr>
      </w:pPr>
      <w:r>
        <w:rPr>
          <w:rFonts w:ascii="Times New Roman" w:hAnsi="Times New Roman" w:cs="Times New Roman"/>
          <w:b/>
          <w:bCs/>
          <w:sz w:val="28"/>
          <w:szCs w:val="28"/>
        </w:rPr>
        <w:t>Esošās s</w:t>
      </w:r>
      <w:r w:rsidRPr="00C47906" w:rsidR="00500A96">
        <w:rPr>
          <w:rFonts w:ascii="Times New Roman" w:hAnsi="Times New Roman" w:cs="Times New Roman"/>
          <w:b/>
          <w:bCs/>
          <w:sz w:val="28"/>
          <w:szCs w:val="28"/>
        </w:rPr>
        <w:t>ituācijas izklāsts</w:t>
      </w:r>
    </w:p>
    <w:p w:rsidRPr="00C47906" w:rsidR="00ED59FD" w:rsidP="00ED59FD" w:rsidRDefault="00ED59FD" w14:paraId="074E1D8C" w14:textId="77777777">
      <w:pPr>
        <w:pStyle w:val="ListParagraph"/>
        <w:spacing w:after="0" w:line="240" w:lineRule="auto"/>
        <w:ind w:left="284"/>
        <w:rPr>
          <w:rFonts w:ascii="Times New Roman" w:hAnsi="Times New Roman" w:cs="Times New Roman"/>
          <w:b/>
          <w:bCs/>
          <w:sz w:val="28"/>
          <w:szCs w:val="28"/>
        </w:rPr>
      </w:pPr>
    </w:p>
    <w:p w:rsidRPr="0009576A" w:rsidR="00F20B08" w:rsidP="00ED59FD" w:rsidRDefault="00F20B08" w14:paraId="7FF5CA2F" w14:textId="1F54A898">
      <w:pPr>
        <w:spacing w:after="0" w:line="240" w:lineRule="auto"/>
        <w:ind w:firstLine="714"/>
        <w:jc w:val="both"/>
        <w:rPr>
          <w:rFonts w:ascii="Times New Roman" w:hAnsi="Times New Roman" w:cs="Times New Roman"/>
          <w:sz w:val="28"/>
          <w:szCs w:val="28"/>
        </w:rPr>
      </w:pPr>
      <w:r w:rsidRPr="0009576A">
        <w:rPr>
          <w:rFonts w:ascii="Times New Roman" w:hAnsi="Times New Roman" w:cs="Times New Roman"/>
          <w:sz w:val="28"/>
          <w:szCs w:val="28"/>
        </w:rPr>
        <w:t xml:space="preserve">Ņemot vērā epidemiologu izvērtējamu par pieaugošiem Covid-19 izplatības riskiem, </w:t>
      </w:r>
      <w:r w:rsidR="00ED59FD">
        <w:rPr>
          <w:rFonts w:ascii="Times New Roman" w:hAnsi="Times New Roman" w:cs="Times New Roman"/>
          <w:sz w:val="28"/>
          <w:szCs w:val="28"/>
        </w:rPr>
        <w:t xml:space="preserve">pamatojoties uz </w:t>
      </w:r>
      <w:r w:rsidRPr="00ED59FD" w:rsidR="00ED59FD">
        <w:rPr>
          <w:rFonts w:ascii="Times New Roman" w:hAnsi="Times New Roman" w:cs="Times New Roman"/>
          <w:sz w:val="28"/>
          <w:szCs w:val="28"/>
        </w:rPr>
        <w:t>Ministru kabineta 2020.gada 6.novembra rīkojumu Nr.655 „Par ārkārtējās situācijas izsludināšanu”</w:t>
      </w:r>
      <w:r w:rsidR="00ED59FD">
        <w:rPr>
          <w:rFonts w:ascii="Times New Roman" w:hAnsi="Times New Roman" w:cs="Times New Roman"/>
          <w:sz w:val="28"/>
          <w:szCs w:val="28"/>
        </w:rPr>
        <w:t xml:space="preserve">, </w:t>
      </w:r>
      <w:r w:rsidRPr="0009576A">
        <w:rPr>
          <w:rFonts w:ascii="Times New Roman" w:hAnsi="Times New Roman" w:cs="Times New Roman"/>
          <w:sz w:val="28"/>
          <w:szCs w:val="28"/>
        </w:rPr>
        <w:t xml:space="preserve">līdz </w:t>
      </w:r>
      <w:r w:rsidR="00ED59FD">
        <w:rPr>
          <w:rFonts w:ascii="Times New Roman" w:hAnsi="Times New Roman" w:cs="Times New Roman"/>
          <w:sz w:val="28"/>
          <w:szCs w:val="28"/>
        </w:rPr>
        <w:t>2020.</w:t>
      </w:r>
      <w:r w:rsidRPr="0009576A">
        <w:rPr>
          <w:rFonts w:ascii="Times New Roman" w:hAnsi="Times New Roman" w:cs="Times New Roman"/>
          <w:sz w:val="28"/>
          <w:szCs w:val="28"/>
        </w:rPr>
        <w:t xml:space="preserve">gada 6.decembrim Latvijā </w:t>
      </w:r>
      <w:r w:rsidR="00ED59FD">
        <w:rPr>
          <w:rFonts w:ascii="Times New Roman" w:hAnsi="Times New Roman" w:cs="Times New Roman"/>
          <w:sz w:val="28"/>
          <w:szCs w:val="28"/>
        </w:rPr>
        <w:t xml:space="preserve">atkārtoti </w:t>
      </w:r>
      <w:r w:rsidRPr="0009576A">
        <w:rPr>
          <w:rFonts w:ascii="Times New Roman" w:hAnsi="Times New Roman" w:cs="Times New Roman"/>
          <w:sz w:val="28"/>
          <w:szCs w:val="28"/>
        </w:rPr>
        <w:t>ir izsludināta ārkārtējā situācija, paredz</w:t>
      </w:r>
      <w:r w:rsidR="00ED59FD">
        <w:rPr>
          <w:rFonts w:ascii="Times New Roman" w:hAnsi="Times New Roman" w:cs="Times New Roman"/>
          <w:sz w:val="28"/>
          <w:szCs w:val="28"/>
        </w:rPr>
        <w:t>ot</w:t>
      </w:r>
      <w:r w:rsidRPr="0009576A">
        <w:rPr>
          <w:rFonts w:ascii="Times New Roman" w:hAnsi="Times New Roman" w:cs="Times New Roman"/>
          <w:sz w:val="28"/>
          <w:szCs w:val="28"/>
        </w:rPr>
        <w:t xml:space="preserve"> ierobežojumus vairākās jomās, tostarp pilnībā pārtraucot publiskos pasākumus klātienē (piemēram, teātra, dejas izrādes un koncertus). Sabiedrības veselības un dzīvības aizsardzībai noteiktie dažāda veida ierobežojumi negatīvi ietekmē nodokļu maksātāju spēju nodrošināt tādu saimniecisko darbību, kādu to varēja īstenot pirms ārkārtējās situācijas izsludināšanas.</w:t>
      </w:r>
    </w:p>
    <w:p w:rsidRPr="0009576A" w:rsidR="00442AAB" w:rsidP="00ED59FD" w:rsidRDefault="00442AAB" w14:paraId="0EE3913A" w14:textId="3F8154C9">
      <w:pPr>
        <w:spacing w:after="0" w:line="240" w:lineRule="auto"/>
        <w:ind w:firstLine="714"/>
        <w:jc w:val="both"/>
        <w:rPr>
          <w:rFonts w:ascii="Times New Roman" w:hAnsi="Times New Roman" w:cs="Times New Roman"/>
          <w:sz w:val="28"/>
          <w:szCs w:val="28"/>
        </w:rPr>
      </w:pPr>
      <w:r w:rsidRPr="0009576A">
        <w:rPr>
          <w:rFonts w:ascii="Times New Roman" w:hAnsi="Times New Roman" w:cs="Times New Roman"/>
          <w:sz w:val="28"/>
          <w:szCs w:val="28"/>
        </w:rPr>
        <w:t>Kultūras nozare Covid-19 izraisītajā ārkārtējā situācijā skarta vistiešākajā veidā.</w:t>
      </w:r>
      <w:r w:rsidRPr="0009576A" w:rsidR="00046375">
        <w:rPr>
          <w:rFonts w:ascii="Times New Roman" w:hAnsi="Times New Roman" w:cs="Times New Roman"/>
          <w:sz w:val="28"/>
          <w:szCs w:val="28"/>
        </w:rPr>
        <w:t xml:space="preserve"> </w:t>
      </w:r>
      <w:r w:rsidRPr="0009576A">
        <w:rPr>
          <w:rFonts w:ascii="Times New Roman" w:hAnsi="Times New Roman" w:cs="Times New Roman"/>
          <w:sz w:val="28"/>
          <w:szCs w:val="28"/>
        </w:rPr>
        <w:t>Salīdzinot ar 2019.gadu</w:t>
      </w:r>
      <w:r w:rsidR="00ED59FD">
        <w:rPr>
          <w:rFonts w:ascii="Times New Roman" w:hAnsi="Times New Roman" w:cs="Times New Roman"/>
          <w:sz w:val="28"/>
          <w:szCs w:val="28"/>
        </w:rPr>
        <w:t>,</w:t>
      </w:r>
      <w:r w:rsidRPr="0009576A">
        <w:rPr>
          <w:rFonts w:ascii="Times New Roman" w:hAnsi="Times New Roman" w:cs="Times New Roman"/>
          <w:sz w:val="28"/>
          <w:szCs w:val="28"/>
        </w:rPr>
        <w:t xml:space="preserve"> kultūras pasākumu </w:t>
      </w:r>
      <w:r w:rsidRPr="0009576A" w:rsidR="00F20B08">
        <w:rPr>
          <w:rFonts w:ascii="Times New Roman" w:hAnsi="Times New Roman" w:cs="Times New Roman"/>
          <w:sz w:val="28"/>
          <w:szCs w:val="28"/>
        </w:rPr>
        <w:t>organizēšanā</w:t>
      </w:r>
      <w:r w:rsidRPr="0009576A">
        <w:rPr>
          <w:rFonts w:ascii="Times New Roman" w:hAnsi="Times New Roman" w:cs="Times New Roman"/>
          <w:sz w:val="28"/>
          <w:szCs w:val="28"/>
        </w:rPr>
        <w:t xml:space="preserve"> iesaistīto Latvijas uzņēmumu saimnieciskā</w:t>
      </w:r>
      <w:r w:rsidR="00ED59FD">
        <w:rPr>
          <w:rFonts w:ascii="Times New Roman" w:hAnsi="Times New Roman" w:cs="Times New Roman"/>
          <w:sz w:val="28"/>
          <w:szCs w:val="28"/>
        </w:rPr>
        <w:t>s</w:t>
      </w:r>
      <w:r w:rsidRPr="0009576A">
        <w:rPr>
          <w:rFonts w:ascii="Times New Roman" w:hAnsi="Times New Roman" w:cs="Times New Roman"/>
          <w:sz w:val="28"/>
          <w:szCs w:val="28"/>
        </w:rPr>
        <w:t xml:space="preserve"> darbība</w:t>
      </w:r>
      <w:r w:rsidR="00ED59FD">
        <w:rPr>
          <w:rFonts w:ascii="Times New Roman" w:hAnsi="Times New Roman" w:cs="Times New Roman"/>
          <w:sz w:val="28"/>
          <w:szCs w:val="28"/>
        </w:rPr>
        <w:t>s</w:t>
      </w:r>
      <w:r w:rsidRPr="0009576A">
        <w:rPr>
          <w:rFonts w:ascii="Times New Roman" w:hAnsi="Times New Roman" w:cs="Times New Roman"/>
          <w:sz w:val="28"/>
          <w:szCs w:val="28"/>
        </w:rPr>
        <w:t xml:space="preserve"> </w:t>
      </w:r>
      <w:r w:rsidRPr="0009576A" w:rsidR="00ED59FD">
        <w:rPr>
          <w:rFonts w:ascii="Times New Roman" w:hAnsi="Times New Roman" w:cs="Times New Roman"/>
          <w:sz w:val="28"/>
          <w:szCs w:val="28"/>
        </w:rPr>
        <w:t>vidēj</w:t>
      </w:r>
      <w:r w:rsidR="00ED59FD">
        <w:rPr>
          <w:rFonts w:ascii="Times New Roman" w:hAnsi="Times New Roman" w:cs="Times New Roman"/>
          <w:sz w:val="28"/>
          <w:szCs w:val="28"/>
        </w:rPr>
        <w:t>ais</w:t>
      </w:r>
      <w:r w:rsidRPr="0009576A" w:rsidR="00ED59FD">
        <w:rPr>
          <w:rFonts w:ascii="Times New Roman" w:hAnsi="Times New Roman" w:cs="Times New Roman"/>
          <w:sz w:val="28"/>
          <w:szCs w:val="28"/>
        </w:rPr>
        <w:t xml:space="preserve"> apgrozījum</w:t>
      </w:r>
      <w:r w:rsidR="00ED59FD">
        <w:rPr>
          <w:rFonts w:ascii="Times New Roman" w:hAnsi="Times New Roman" w:cs="Times New Roman"/>
          <w:sz w:val="28"/>
          <w:szCs w:val="28"/>
        </w:rPr>
        <w:t xml:space="preserve">s </w:t>
      </w:r>
      <w:r w:rsidRPr="0009576A">
        <w:rPr>
          <w:rFonts w:ascii="Times New Roman" w:hAnsi="Times New Roman" w:cs="Times New Roman"/>
          <w:sz w:val="28"/>
          <w:szCs w:val="28"/>
        </w:rPr>
        <w:t xml:space="preserve">ir samazinājusies par 85-95%. </w:t>
      </w:r>
      <w:r w:rsidR="00ED59FD">
        <w:rPr>
          <w:rFonts w:ascii="Times New Roman" w:hAnsi="Times New Roman" w:cs="Times New Roman"/>
          <w:sz w:val="28"/>
          <w:szCs w:val="28"/>
        </w:rPr>
        <w:t>2020.g</w:t>
      </w:r>
      <w:r w:rsidRPr="0009576A" w:rsidR="00046375">
        <w:rPr>
          <w:rFonts w:ascii="Times New Roman" w:hAnsi="Times New Roman" w:cs="Times New Roman"/>
          <w:sz w:val="28"/>
          <w:szCs w:val="28"/>
        </w:rPr>
        <w:t>ada</w:t>
      </w:r>
      <w:r w:rsidRPr="0009576A">
        <w:rPr>
          <w:rFonts w:ascii="Times New Roman" w:hAnsi="Times New Roman" w:cs="Times New Roman"/>
          <w:sz w:val="28"/>
          <w:szCs w:val="28"/>
        </w:rPr>
        <w:t xml:space="preserve"> 12.mart</w:t>
      </w:r>
      <w:r w:rsidRPr="0009576A" w:rsidR="00F20B08">
        <w:rPr>
          <w:rFonts w:ascii="Times New Roman" w:hAnsi="Times New Roman" w:cs="Times New Roman"/>
          <w:sz w:val="28"/>
          <w:szCs w:val="28"/>
        </w:rPr>
        <w:t>ā</w:t>
      </w:r>
      <w:r w:rsidRPr="0009576A">
        <w:rPr>
          <w:rFonts w:ascii="Times New Roman" w:hAnsi="Times New Roman" w:cs="Times New Roman"/>
          <w:sz w:val="28"/>
          <w:szCs w:val="28"/>
        </w:rPr>
        <w:t xml:space="preserve"> </w:t>
      </w:r>
      <w:r w:rsidRPr="0009576A" w:rsidR="00F20B08">
        <w:rPr>
          <w:rFonts w:ascii="Times New Roman" w:hAnsi="Times New Roman" w:cs="Times New Roman"/>
          <w:sz w:val="28"/>
          <w:szCs w:val="28"/>
        </w:rPr>
        <w:t>izsludinātās ārkārtējās situācijas (</w:t>
      </w:r>
      <w:r w:rsidRPr="0009576A">
        <w:rPr>
          <w:rFonts w:ascii="Times New Roman" w:hAnsi="Times New Roman" w:cs="Times New Roman"/>
          <w:sz w:val="28"/>
          <w:szCs w:val="28"/>
        </w:rPr>
        <w:t xml:space="preserve">Ministru kabineta </w:t>
      </w:r>
      <w:r w:rsidR="00ED59FD">
        <w:rPr>
          <w:rFonts w:ascii="Times New Roman" w:hAnsi="Times New Roman" w:cs="Times New Roman"/>
          <w:sz w:val="28"/>
          <w:szCs w:val="28"/>
        </w:rPr>
        <w:t xml:space="preserve">2020.gada 12.marta </w:t>
      </w:r>
      <w:r w:rsidRPr="0009576A">
        <w:rPr>
          <w:rFonts w:ascii="Times New Roman" w:hAnsi="Times New Roman" w:cs="Times New Roman"/>
          <w:sz w:val="28"/>
          <w:szCs w:val="28"/>
        </w:rPr>
        <w:t>rīkojum</w:t>
      </w:r>
      <w:r w:rsidRPr="0009576A" w:rsidR="00F20B08">
        <w:rPr>
          <w:rFonts w:ascii="Times New Roman" w:hAnsi="Times New Roman" w:cs="Times New Roman"/>
          <w:sz w:val="28"/>
          <w:szCs w:val="28"/>
        </w:rPr>
        <w:t>s</w:t>
      </w:r>
      <w:r w:rsidRPr="0009576A">
        <w:rPr>
          <w:rFonts w:ascii="Times New Roman" w:hAnsi="Times New Roman" w:cs="Times New Roman"/>
          <w:sz w:val="28"/>
          <w:szCs w:val="28"/>
        </w:rPr>
        <w:t xml:space="preserve"> Nr.103 </w:t>
      </w:r>
      <w:r w:rsidRPr="00ED59FD" w:rsidR="00ED59FD">
        <w:rPr>
          <w:rFonts w:ascii="Times New Roman" w:hAnsi="Times New Roman" w:cs="Times New Roman"/>
          <w:sz w:val="28"/>
          <w:szCs w:val="28"/>
        </w:rPr>
        <w:t>„</w:t>
      </w:r>
      <w:r w:rsidRPr="0009576A" w:rsidR="00046375">
        <w:rPr>
          <w:rFonts w:ascii="Times New Roman" w:hAnsi="Times New Roman" w:cs="Times New Roman"/>
          <w:sz w:val="28"/>
          <w:szCs w:val="28"/>
        </w:rPr>
        <w:t>P</w:t>
      </w:r>
      <w:r w:rsidRPr="0009576A">
        <w:rPr>
          <w:rFonts w:ascii="Times New Roman" w:hAnsi="Times New Roman" w:cs="Times New Roman"/>
          <w:sz w:val="28"/>
          <w:szCs w:val="28"/>
        </w:rPr>
        <w:t>ar ārkārtējās situācijas izsludināšanu</w:t>
      </w:r>
      <w:r w:rsidRPr="0009576A" w:rsidR="00046375">
        <w:rPr>
          <w:rFonts w:ascii="Times New Roman" w:hAnsi="Times New Roman" w:cs="Times New Roman"/>
          <w:sz w:val="28"/>
          <w:szCs w:val="28"/>
        </w:rPr>
        <w:t>”</w:t>
      </w:r>
      <w:r w:rsidRPr="0009576A" w:rsidR="00F20B08">
        <w:rPr>
          <w:rFonts w:ascii="Times New Roman" w:hAnsi="Times New Roman" w:cs="Times New Roman"/>
          <w:sz w:val="28"/>
          <w:szCs w:val="28"/>
        </w:rPr>
        <w:t>)</w:t>
      </w:r>
      <w:r w:rsidRPr="0009576A">
        <w:rPr>
          <w:rFonts w:ascii="Times New Roman" w:hAnsi="Times New Roman" w:cs="Times New Roman"/>
          <w:sz w:val="28"/>
          <w:szCs w:val="28"/>
        </w:rPr>
        <w:t xml:space="preserve"> rezultātā biļešu iepriekšpārdošana ir būtiski samazinājusies.</w:t>
      </w:r>
      <w:r w:rsidRPr="0009576A" w:rsidR="00046375">
        <w:rPr>
          <w:rFonts w:ascii="Times New Roman" w:hAnsi="Times New Roman" w:cs="Times New Roman"/>
          <w:sz w:val="28"/>
          <w:szCs w:val="28"/>
        </w:rPr>
        <w:t xml:space="preserve"> Kopumā pasākumu pārdoto biļešu skaits kopš Covid-19 pandēmijas sākuma ir samazinājies vismaz </w:t>
      </w:r>
      <w:r w:rsidR="00ED59FD">
        <w:rPr>
          <w:rFonts w:ascii="Times New Roman" w:hAnsi="Times New Roman" w:cs="Times New Roman"/>
          <w:sz w:val="28"/>
          <w:szCs w:val="28"/>
        </w:rPr>
        <w:t>piecas</w:t>
      </w:r>
      <w:r w:rsidRPr="0009576A" w:rsidR="00046375">
        <w:rPr>
          <w:rFonts w:ascii="Times New Roman" w:hAnsi="Times New Roman" w:cs="Times New Roman"/>
          <w:sz w:val="28"/>
          <w:szCs w:val="28"/>
        </w:rPr>
        <w:t xml:space="preserve"> reizes, savukārt ienākumu apjoms – vēl vairāk.</w:t>
      </w:r>
    </w:p>
    <w:p w:rsidRPr="00B15790" w:rsidR="00A94BC3" w:rsidP="00ED59FD" w:rsidRDefault="00442AAB" w14:paraId="5A00EE90" w14:textId="541E319F">
      <w:pPr>
        <w:spacing w:after="0" w:line="240" w:lineRule="auto"/>
        <w:ind w:firstLine="714"/>
        <w:jc w:val="both"/>
        <w:rPr>
          <w:rFonts w:ascii="Times New Roman" w:hAnsi="Times New Roman" w:cs="Times New Roman"/>
          <w:sz w:val="28"/>
          <w:szCs w:val="28"/>
        </w:rPr>
      </w:pPr>
      <w:r w:rsidRPr="0009576A">
        <w:rPr>
          <w:rFonts w:ascii="Times New Roman" w:hAnsi="Times New Roman" w:cs="Times New Roman"/>
          <w:sz w:val="28"/>
          <w:szCs w:val="28"/>
        </w:rPr>
        <w:t>Statistika rāda, ka kopumā publisko pasākumu biļešu sektora apgrozījums gadā veido aptuveni 45</w:t>
      </w:r>
      <w:r w:rsidR="00ED59FD">
        <w:rPr>
          <w:rFonts w:ascii="Times New Roman" w:hAnsi="Times New Roman" w:cs="Times New Roman"/>
          <w:sz w:val="28"/>
          <w:szCs w:val="28"/>
        </w:rPr>
        <w:t xml:space="preserve"> </w:t>
      </w:r>
      <w:r w:rsidRPr="0009576A">
        <w:rPr>
          <w:rFonts w:ascii="Times New Roman" w:hAnsi="Times New Roman" w:cs="Times New Roman"/>
          <w:sz w:val="28"/>
          <w:szCs w:val="28"/>
        </w:rPr>
        <w:t>milj</w:t>
      </w:r>
      <w:r w:rsidR="00ED59FD">
        <w:rPr>
          <w:rFonts w:ascii="Times New Roman" w:hAnsi="Times New Roman" w:cs="Times New Roman"/>
          <w:sz w:val="28"/>
          <w:szCs w:val="28"/>
        </w:rPr>
        <w:t>.</w:t>
      </w:r>
      <w:r w:rsidRPr="0009576A">
        <w:rPr>
          <w:rFonts w:ascii="Times New Roman" w:hAnsi="Times New Roman" w:cs="Times New Roman"/>
          <w:sz w:val="28"/>
          <w:szCs w:val="28"/>
        </w:rPr>
        <w:t xml:space="preserve"> </w:t>
      </w:r>
      <w:r w:rsidRPr="0009576A" w:rsidR="00B7012C">
        <w:rPr>
          <w:rFonts w:ascii="Times New Roman" w:hAnsi="Times New Roman" w:cs="Times New Roman"/>
          <w:i/>
          <w:iCs/>
          <w:sz w:val="28"/>
          <w:szCs w:val="28"/>
        </w:rPr>
        <w:t>euro</w:t>
      </w:r>
      <w:r w:rsidRPr="0009576A">
        <w:rPr>
          <w:rFonts w:ascii="Times New Roman" w:hAnsi="Times New Roman" w:cs="Times New Roman"/>
          <w:sz w:val="28"/>
          <w:szCs w:val="28"/>
        </w:rPr>
        <w:t xml:space="preserve">, no kuriem </w:t>
      </w:r>
      <w:r w:rsidRPr="0009576A" w:rsidR="00F20B08">
        <w:rPr>
          <w:rFonts w:ascii="Times New Roman" w:hAnsi="Times New Roman" w:cs="Times New Roman"/>
          <w:sz w:val="28"/>
          <w:szCs w:val="28"/>
        </w:rPr>
        <w:t>normālu apstākļu</w:t>
      </w:r>
      <w:r w:rsidRPr="0009576A">
        <w:rPr>
          <w:rFonts w:ascii="Times New Roman" w:hAnsi="Times New Roman" w:cs="Times New Roman"/>
          <w:sz w:val="28"/>
          <w:szCs w:val="28"/>
        </w:rPr>
        <w:t xml:space="preserve"> situācij</w:t>
      </w:r>
      <w:r w:rsidRPr="0009576A" w:rsidR="00B7012C">
        <w:rPr>
          <w:rFonts w:ascii="Times New Roman" w:hAnsi="Times New Roman" w:cs="Times New Roman"/>
          <w:sz w:val="28"/>
          <w:szCs w:val="28"/>
        </w:rPr>
        <w:t>ā</w:t>
      </w:r>
      <w:r w:rsidRPr="0009576A">
        <w:rPr>
          <w:rFonts w:ascii="Times New Roman" w:hAnsi="Times New Roman" w:cs="Times New Roman"/>
          <w:sz w:val="28"/>
          <w:szCs w:val="28"/>
        </w:rPr>
        <w:t xml:space="preserve"> novembra </w:t>
      </w:r>
      <w:r w:rsidRPr="0009576A" w:rsidR="00B7012C">
        <w:rPr>
          <w:rFonts w:ascii="Times New Roman" w:hAnsi="Times New Roman" w:cs="Times New Roman"/>
          <w:sz w:val="28"/>
          <w:szCs w:val="28"/>
        </w:rPr>
        <w:t>–</w:t>
      </w:r>
      <w:r w:rsidRPr="0009576A">
        <w:rPr>
          <w:rFonts w:ascii="Times New Roman" w:hAnsi="Times New Roman" w:cs="Times New Roman"/>
          <w:sz w:val="28"/>
          <w:szCs w:val="28"/>
        </w:rPr>
        <w:t xml:space="preserve"> dec</w:t>
      </w:r>
      <w:r w:rsidRPr="0009576A" w:rsidR="00B7012C">
        <w:rPr>
          <w:rFonts w:ascii="Times New Roman" w:hAnsi="Times New Roman" w:cs="Times New Roman"/>
          <w:sz w:val="28"/>
          <w:szCs w:val="28"/>
        </w:rPr>
        <w:t>e</w:t>
      </w:r>
      <w:r w:rsidRPr="0009576A">
        <w:rPr>
          <w:rFonts w:ascii="Times New Roman" w:hAnsi="Times New Roman" w:cs="Times New Roman"/>
          <w:sz w:val="28"/>
          <w:szCs w:val="28"/>
        </w:rPr>
        <w:t>mbra periods veido aptuveni 25-30% jeb līdz 15 milj</w:t>
      </w:r>
      <w:r w:rsidR="00ED59FD">
        <w:rPr>
          <w:rFonts w:ascii="Times New Roman" w:hAnsi="Times New Roman" w:cs="Times New Roman"/>
          <w:sz w:val="28"/>
          <w:szCs w:val="28"/>
        </w:rPr>
        <w:t xml:space="preserve">. </w:t>
      </w:r>
      <w:r w:rsidRPr="0009576A" w:rsidR="00B7012C">
        <w:rPr>
          <w:rFonts w:ascii="Times New Roman" w:hAnsi="Times New Roman" w:cs="Times New Roman"/>
          <w:i/>
          <w:iCs/>
          <w:sz w:val="28"/>
          <w:szCs w:val="28"/>
        </w:rPr>
        <w:t>euro</w:t>
      </w:r>
      <w:r w:rsidRPr="0009576A">
        <w:rPr>
          <w:rFonts w:ascii="Times New Roman" w:hAnsi="Times New Roman" w:cs="Times New Roman"/>
          <w:sz w:val="28"/>
          <w:szCs w:val="28"/>
        </w:rPr>
        <w:t xml:space="preserve">. </w:t>
      </w:r>
      <w:r w:rsidRPr="0009576A" w:rsidR="002A46CF">
        <w:rPr>
          <w:rFonts w:ascii="Times New Roman" w:hAnsi="Times New Roman" w:cs="Times New Roman"/>
          <w:sz w:val="28"/>
          <w:szCs w:val="28"/>
        </w:rPr>
        <w:t>Savukārt</w:t>
      </w:r>
      <w:r w:rsidRPr="0009576A" w:rsidR="00B7012C">
        <w:rPr>
          <w:rFonts w:ascii="Times New Roman" w:hAnsi="Times New Roman" w:cs="Times New Roman"/>
          <w:sz w:val="28"/>
          <w:szCs w:val="28"/>
        </w:rPr>
        <w:t xml:space="preserve"> </w:t>
      </w:r>
      <w:r w:rsidRPr="0009576A">
        <w:rPr>
          <w:rFonts w:ascii="Times New Roman" w:hAnsi="Times New Roman" w:cs="Times New Roman"/>
          <w:sz w:val="28"/>
          <w:szCs w:val="28"/>
        </w:rPr>
        <w:t>2020.gadā š</w:t>
      </w:r>
      <w:r w:rsidRPr="0009576A" w:rsidR="00B7012C">
        <w:rPr>
          <w:rFonts w:ascii="Times New Roman" w:hAnsi="Times New Roman" w:cs="Times New Roman"/>
          <w:sz w:val="28"/>
          <w:szCs w:val="28"/>
        </w:rPr>
        <w:t>ajā konkrētajā</w:t>
      </w:r>
      <w:r w:rsidRPr="0009576A">
        <w:rPr>
          <w:rFonts w:ascii="Times New Roman" w:hAnsi="Times New Roman" w:cs="Times New Roman"/>
          <w:sz w:val="28"/>
          <w:szCs w:val="28"/>
        </w:rPr>
        <w:t xml:space="preserve"> period</w:t>
      </w:r>
      <w:r w:rsidRPr="0009576A" w:rsidR="00B7012C">
        <w:rPr>
          <w:rFonts w:ascii="Times New Roman" w:hAnsi="Times New Roman" w:cs="Times New Roman"/>
          <w:sz w:val="28"/>
          <w:szCs w:val="28"/>
        </w:rPr>
        <w:t>ā</w:t>
      </w:r>
      <w:r w:rsidRPr="0009576A">
        <w:rPr>
          <w:rFonts w:ascii="Times New Roman" w:hAnsi="Times New Roman" w:cs="Times New Roman"/>
          <w:sz w:val="28"/>
          <w:szCs w:val="28"/>
        </w:rPr>
        <w:t xml:space="preserve"> biļešu apgrozījums nav sasniedzis pat </w:t>
      </w:r>
      <w:r w:rsidRPr="00B15790" w:rsidR="00DE7FB3">
        <w:rPr>
          <w:rFonts w:ascii="Times New Roman" w:hAnsi="Times New Roman" w:cs="Times New Roman"/>
          <w:sz w:val="28"/>
          <w:szCs w:val="28"/>
        </w:rPr>
        <w:t>2</w:t>
      </w:r>
      <w:r w:rsidRPr="00B15790" w:rsidR="00ED59FD">
        <w:rPr>
          <w:rFonts w:ascii="Times New Roman" w:hAnsi="Times New Roman" w:cs="Times New Roman"/>
          <w:sz w:val="28"/>
          <w:szCs w:val="28"/>
        </w:rPr>
        <w:t> </w:t>
      </w:r>
      <w:r w:rsidRPr="00B15790">
        <w:rPr>
          <w:rFonts w:ascii="Times New Roman" w:hAnsi="Times New Roman" w:cs="Times New Roman"/>
          <w:sz w:val="28"/>
          <w:szCs w:val="28"/>
        </w:rPr>
        <w:t>milj</w:t>
      </w:r>
      <w:r w:rsidRPr="00B15790" w:rsidR="00ED59FD">
        <w:rPr>
          <w:rFonts w:ascii="Times New Roman" w:hAnsi="Times New Roman" w:cs="Times New Roman"/>
          <w:sz w:val="28"/>
          <w:szCs w:val="28"/>
        </w:rPr>
        <w:t>. </w:t>
      </w:r>
      <w:r w:rsidRPr="00B15790" w:rsidR="00B7012C">
        <w:rPr>
          <w:rFonts w:ascii="Times New Roman" w:hAnsi="Times New Roman" w:cs="Times New Roman"/>
          <w:i/>
          <w:iCs/>
          <w:sz w:val="28"/>
          <w:szCs w:val="28"/>
        </w:rPr>
        <w:t>euro</w:t>
      </w:r>
      <w:r w:rsidRPr="00B15790" w:rsidR="00B7012C">
        <w:rPr>
          <w:rFonts w:ascii="Times New Roman" w:hAnsi="Times New Roman" w:cs="Times New Roman"/>
          <w:sz w:val="28"/>
          <w:szCs w:val="28"/>
        </w:rPr>
        <w:t xml:space="preserve"> </w:t>
      </w:r>
      <w:r w:rsidRPr="00B15790">
        <w:rPr>
          <w:rFonts w:ascii="Times New Roman" w:hAnsi="Times New Roman" w:cs="Times New Roman"/>
          <w:sz w:val="28"/>
          <w:szCs w:val="28"/>
        </w:rPr>
        <w:t>slieksni</w:t>
      </w:r>
      <w:r w:rsidRPr="00B15790" w:rsidR="00CC5BB1">
        <w:rPr>
          <w:rFonts w:ascii="Times New Roman" w:hAnsi="Times New Roman" w:cs="Times New Roman"/>
          <w:sz w:val="28"/>
          <w:szCs w:val="28"/>
        </w:rPr>
        <w:t xml:space="preserve"> jeb tikai 10% no iepriekšējo gadu novembra – decembra ieņēmumiem kaut pasākumu rīkotāji jau ir veikuši ieguldījumus pasākumu sagatavošanā</w:t>
      </w:r>
      <w:r w:rsidRPr="00B15790" w:rsidR="00B15790">
        <w:rPr>
          <w:rFonts w:ascii="Times New Roman" w:hAnsi="Times New Roman" w:cs="Times New Roman"/>
          <w:sz w:val="28"/>
          <w:szCs w:val="28"/>
        </w:rPr>
        <w:t>,</w:t>
      </w:r>
      <w:r w:rsidRPr="00B15790" w:rsidR="00CC5BB1">
        <w:rPr>
          <w:rFonts w:ascii="Times New Roman" w:hAnsi="Times New Roman" w:cs="Times New Roman"/>
          <w:sz w:val="28"/>
          <w:szCs w:val="28"/>
        </w:rPr>
        <w:t xml:space="preserve"> </w:t>
      </w:r>
      <w:r w:rsidRPr="00B15790" w:rsidR="00121964">
        <w:rPr>
          <w:rFonts w:ascii="Times New Roman" w:hAnsi="Times New Roman" w:cs="Times New Roman"/>
          <w:sz w:val="28"/>
          <w:szCs w:val="28"/>
        </w:rPr>
        <w:t xml:space="preserve">ņemot vērā </w:t>
      </w:r>
      <w:r w:rsidRPr="00B15790" w:rsidR="00CC5BB1">
        <w:rPr>
          <w:rFonts w:ascii="Times New Roman" w:hAnsi="Times New Roman" w:cs="Times New Roman"/>
          <w:sz w:val="28"/>
          <w:szCs w:val="28"/>
        </w:rPr>
        <w:t>iepriekšēj</w:t>
      </w:r>
      <w:r w:rsidRPr="00B15790" w:rsidR="00121964">
        <w:rPr>
          <w:rFonts w:ascii="Times New Roman" w:hAnsi="Times New Roman" w:cs="Times New Roman"/>
          <w:sz w:val="28"/>
          <w:szCs w:val="28"/>
        </w:rPr>
        <w:t>o</w:t>
      </w:r>
      <w:r w:rsidRPr="00B15790" w:rsidR="00CC5BB1">
        <w:rPr>
          <w:rFonts w:ascii="Times New Roman" w:hAnsi="Times New Roman" w:cs="Times New Roman"/>
          <w:sz w:val="28"/>
          <w:szCs w:val="28"/>
        </w:rPr>
        <w:t xml:space="preserve"> period</w:t>
      </w:r>
      <w:r w:rsidRPr="00B15790" w:rsidR="00121964">
        <w:rPr>
          <w:rFonts w:ascii="Times New Roman" w:hAnsi="Times New Roman" w:cs="Times New Roman"/>
          <w:sz w:val="28"/>
          <w:szCs w:val="28"/>
        </w:rPr>
        <w:t>u un skatītāju pieprasījumus</w:t>
      </w:r>
      <w:r w:rsidRPr="00B15790" w:rsidR="00CC5BB1">
        <w:rPr>
          <w:rFonts w:ascii="Times New Roman" w:hAnsi="Times New Roman" w:cs="Times New Roman"/>
          <w:sz w:val="28"/>
          <w:szCs w:val="28"/>
        </w:rPr>
        <w:t xml:space="preserve">. </w:t>
      </w:r>
      <w:r w:rsidRPr="00B15790" w:rsidR="00121964">
        <w:rPr>
          <w:rFonts w:ascii="Times New Roman" w:hAnsi="Times New Roman" w:cs="Times New Roman"/>
          <w:sz w:val="28"/>
          <w:szCs w:val="28"/>
        </w:rPr>
        <w:t xml:space="preserve">No pasākumiem vidēji tiek plānota peļņa </w:t>
      </w:r>
      <w:r w:rsidRPr="00B15790" w:rsidR="00547E8D">
        <w:rPr>
          <w:rFonts w:ascii="Times New Roman" w:hAnsi="Times New Roman" w:cs="Times New Roman"/>
          <w:sz w:val="28"/>
          <w:szCs w:val="28"/>
        </w:rPr>
        <w:t>no 20% līdz 5%</w:t>
      </w:r>
      <w:r w:rsidRPr="00B15790" w:rsidR="00121964">
        <w:rPr>
          <w:rFonts w:ascii="Times New Roman" w:hAnsi="Times New Roman" w:cs="Times New Roman"/>
          <w:sz w:val="28"/>
          <w:szCs w:val="28"/>
        </w:rPr>
        <w:t>, lai veicinātu attīstību un ražotu jaunus pakalpojumus</w:t>
      </w:r>
      <w:r w:rsidRPr="00B15790" w:rsidR="00505301">
        <w:rPr>
          <w:rFonts w:ascii="Times New Roman" w:hAnsi="Times New Roman" w:cs="Times New Roman"/>
          <w:sz w:val="28"/>
          <w:szCs w:val="28"/>
        </w:rPr>
        <w:t xml:space="preserve"> jeb </w:t>
      </w:r>
      <w:proofErr w:type="spellStart"/>
      <w:r w:rsidRPr="00B15790" w:rsidR="00547E8D">
        <w:rPr>
          <w:rFonts w:ascii="Times New Roman" w:hAnsi="Times New Roman" w:cs="Times New Roman"/>
          <w:sz w:val="28"/>
          <w:szCs w:val="28"/>
        </w:rPr>
        <w:t>nodrošinot</w:t>
      </w:r>
      <w:r w:rsidRPr="00B15790" w:rsidR="00505301">
        <w:rPr>
          <w:rFonts w:ascii="Times New Roman" w:hAnsi="Times New Roman" w:cs="Times New Roman"/>
          <w:sz w:val="28"/>
          <w:szCs w:val="28"/>
        </w:rPr>
        <w:t>o</w:t>
      </w:r>
      <w:proofErr w:type="spellEnd"/>
      <w:r w:rsidRPr="00B15790" w:rsidR="00505301">
        <w:rPr>
          <w:rFonts w:ascii="Times New Roman" w:hAnsi="Times New Roman" w:cs="Times New Roman"/>
          <w:sz w:val="28"/>
          <w:szCs w:val="28"/>
        </w:rPr>
        <w:t xml:space="preserve"> </w:t>
      </w:r>
      <w:r w:rsidRPr="00B15790" w:rsidR="00547E8D">
        <w:rPr>
          <w:rFonts w:ascii="Times New Roman" w:hAnsi="Times New Roman" w:cs="Times New Roman"/>
          <w:sz w:val="28"/>
          <w:szCs w:val="28"/>
        </w:rPr>
        <w:t>uzņēmuma ilgtspēju</w:t>
      </w:r>
      <w:r w:rsidRPr="00B15790">
        <w:rPr>
          <w:rFonts w:ascii="Times New Roman" w:hAnsi="Times New Roman" w:cs="Times New Roman"/>
          <w:sz w:val="28"/>
          <w:szCs w:val="28"/>
        </w:rPr>
        <w:t>.</w:t>
      </w:r>
    </w:p>
    <w:p w:rsidRPr="0009576A" w:rsidR="00A94BC3" w:rsidP="00ED59FD" w:rsidRDefault="00A94BC3" w14:paraId="57A7E5CD" w14:textId="31A9A677">
      <w:pPr>
        <w:spacing w:after="0" w:line="240" w:lineRule="auto"/>
        <w:ind w:firstLine="714"/>
        <w:jc w:val="center"/>
        <w:rPr>
          <w:rFonts w:ascii="Times New Roman" w:hAnsi="Times New Roman" w:cs="Times New Roman"/>
          <w:sz w:val="28"/>
          <w:szCs w:val="28"/>
        </w:rPr>
      </w:pPr>
      <w:r w:rsidRPr="0009576A">
        <w:rPr>
          <w:rFonts w:ascii="Times New Roman" w:hAnsi="Times New Roman" w:cs="Times New Roman"/>
          <w:noProof/>
          <w:sz w:val="28"/>
          <w:szCs w:val="28"/>
          <w:lang w:val="en-GB" w:eastAsia="en-GB"/>
        </w:rPr>
        <w:lastRenderedPageBreak/>
        <w:drawing>
          <wp:anchor distT="0" distB="0" distL="114300" distR="114300" simplePos="0" relativeHeight="251661312" behindDoc="0" locked="0" layoutInCell="1" allowOverlap="1" wp14:editId="10737CDB" wp14:anchorId="5463FB1F">
            <wp:simplePos x="0" y="0"/>
            <wp:positionH relativeFrom="page">
              <wp:align>center</wp:align>
            </wp:positionH>
            <wp:positionV relativeFrom="paragraph">
              <wp:posOffset>118745</wp:posOffset>
            </wp:positionV>
            <wp:extent cx="6040329" cy="4448175"/>
            <wp:effectExtent l="0" t="0" r="0" b="0"/>
            <wp:wrapTopAndBottom/>
            <wp:docPr id="13" name="Attēls 12">
              <a:extLst xmlns:a="http://schemas.openxmlformats.org/drawingml/2006/main">
                <a:ext uri="{FF2B5EF4-FFF2-40B4-BE49-F238E27FC236}">
                  <a16:creationId xmlns:a16="http://schemas.microsoft.com/office/drawing/2014/main" id="{4C5CB8E6-00B0-4E28-BB4E-F72F525A3C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ttēls 12">
                      <a:extLst>
                        <a:ext uri="{FF2B5EF4-FFF2-40B4-BE49-F238E27FC236}">
                          <a16:creationId xmlns:a16="http://schemas.microsoft.com/office/drawing/2014/main" id="{4C5CB8E6-00B0-4E28-BB4E-F72F525A3C0B}"/>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b="1818"/>
                    <a:stretch/>
                  </pic:blipFill>
                  <pic:spPr>
                    <a:xfrm>
                      <a:off x="0" y="0"/>
                      <a:ext cx="6040329" cy="4448175"/>
                    </a:xfrm>
                    <a:prstGeom prst="rect">
                      <a:avLst/>
                    </a:prstGeom>
                  </pic:spPr>
                </pic:pic>
              </a:graphicData>
            </a:graphic>
          </wp:anchor>
        </w:drawing>
      </w:r>
    </w:p>
    <w:p w:rsidR="00F240CA" w:rsidP="00ED59FD" w:rsidRDefault="00442AAB" w14:paraId="4A922713" w14:textId="76B9BF20">
      <w:pPr>
        <w:spacing w:after="0" w:line="240" w:lineRule="auto"/>
        <w:ind w:firstLine="714"/>
        <w:jc w:val="both"/>
        <w:rPr>
          <w:rFonts w:ascii="Times New Roman" w:hAnsi="Times New Roman" w:cs="Times New Roman"/>
          <w:sz w:val="28"/>
          <w:szCs w:val="28"/>
        </w:rPr>
      </w:pPr>
      <w:r w:rsidRPr="0009576A">
        <w:rPr>
          <w:rFonts w:ascii="Times New Roman" w:hAnsi="Times New Roman" w:cs="Times New Roman"/>
          <w:sz w:val="28"/>
          <w:szCs w:val="28"/>
        </w:rPr>
        <w:t xml:space="preserve">Nozares specifika parāda, ka daļa </w:t>
      </w:r>
      <w:r w:rsidRPr="0009576A" w:rsidR="00663839">
        <w:rPr>
          <w:rFonts w:ascii="Times New Roman" w:hAnsi="Times New Roman" w:cs="Times New Roman"/>
          <w:sz w:val="28"/>
          <w:szCs w:val="28"/>
        </w:rPr>
        <w:t xml:space="preserve">iepriekš pārdoto biļešu ieņēmumi </w:t>
      </w:r>
      <w:r w:rsidRPr="0009576A" w:rsidR="002A46CF">
        <w:rPr>
          <w:rFonts w:ascii="Times New Roman" w:hAnsi="Times New Roman" w:cs="Times New Roman"/>
          <w:sz w:val="28"/>
          <w:szCs w:val="28"/>
        </w:rPr>
        <w:t xml:space="preserve">vēl pirms pasākuma norises </w:t>
      </w:r>
      <w:r w:rsidRPr="0009576A">
        <w:rPr>
          <w:rFonts w:ascii="Times New Roman" w:hAnsi="Times New Roman" w:cs="Times New Roman"/>
          <w:sz w:val="28"/>
          <w:szCs w:val="28"/>
        </w:rPr>
        <w:t>tiek ieguldīt</w:t>
      </w:r>
      <w:r w:rsidRPr="0009576A" w:rsidR="00B7012C">
        <w:rPr>
          <w:rFonts w:ascii="Times New Roman" w:hAnsi="Times New Roman" w:cs="Times New Roman"/>
          <w:sz w:val="28"/>
          <w:szCs w:val="28"/>
        </w:rPr>
        <w:t>a</w:t>
      </w:r>
      <w:r w:rsidRPr="0009576A">
        <w:rPr>
          <w:rFonts w:ascii="Times New Roman" w:hAnsi="Times New Roman" w:cs="Times New Roman"/>
          <w:sz w:val="28"/>
          <w:szCs w:val="28"/>
        </w:rPr>
        <w:t xml:space="preserve"> </w:t>
      </w:r>
      <w:r w:rsidRPr="0009576A" w:rsidR="00B7012C">
        <w:rPr>
          <w:rFonts w:ascii="Times New Roman" w:hAnsi="Times New Roman" w:cs="Times New Roman"/>
          <w:sz w:val="28"/>
          <w:szCs w:val="28"/>
        </w:rPr>
        <w:t>pasākuma</w:t>
      </w:r>
      <w:r w:rsidRPr="0009576A">
        <w:rPr>
          <w:rFonts w:ascii="Times New Roman" w:hAnsi="Times New Roman" w:cs="Times New Roman"/>
          <w:sz w:val="28"/>
          <w:szCs w:val="28"/>
        </w:rPr>
        <w:t xml:space="preserve"> </w:t>
      </w:r>
      <w:r w:rsidRPr="0009576A" w:rsidR="00663839">
        <w:rPr>
          <w:rFonts w:ascii="Times New Roman" w:hAnsi="Times New Roman" w:cs="Times New Roman"/>
          <w:sz w:val="28"/>
          <w:szCs w:val="28"/>
        </w:rPr>
        <w:t xml:space="preserve">sagatavošanā </w:t>
      </w:r>
      <w:r w:rsidRPr="0009576A">
        <w:rPr>
          <w:rFonts w:ascii="Times New Roman" w:hAnsi="Times New Roman" w:cs="Times New Roman"/>
          <w:sz w:val="28"/>
          <w:szCs w:val="28"/>
        </w:rPr>
        <w:t xml:space="preserve"> (kostīmu izstrādē, dekorāciju un scenogrāfijas izbūvē, mūzikas aranžējuma radīšanā, oriģināldarbu radīšanā, autortiesību maksājumos, telpu nom</w:t>
      </w:r>
      <w:r w:rsidRPr="0009576A" w:rsidR="00B7012C">
        <w:rPr>
          <w:rFonts w:ascii="Times New Roman" w:hAnsi="Times New Roman" w:cs="Times New Roman"/>
          <w:sz w:val="28"/>
          <w:szCs w:val="28"/>
        </w:rPr>
        <w:t>a</w:t>
      </w:r>
      <w:r w:rsidRPr="0009576A">
        <w:rPr>
          <w:rFonts w:ascii="Times New Roman" w:hAnsi="Times New Roman" w:cs="Times New Roman"/>
          <w:sz w:val="28"/>
          <w:szCs w:val="28"/>
        </w:rPr>
        <w:t>s, reklāmas un mārketinga izmaks</w:t>
      </w:r>
      <w:r w:rsidRPr="0009576A" w:rsidR="00B7012C">
        <w:rPr>
          <w:rFonts w:ascii="Times New Roman" w:hAnsi="Times New Roman" w:cs="Times New Roman"/>
          <w:sz w:val="28"/>
          <w:szCs w:val="28"/>
        </w:rPr>
        <w:t>ā</w:t>
      </w:r>
      <w:r w:rsidRPr="0009576A">
        <w:rPr>
          <w:rFonts w:ascii="Times New Roman" w:hAnsi="Times New Roman" w:cs="Times New Roman"/>
          <w:sz w:val="28"/>
          <w:szCs w:val="28"/>
        </w:rPr>
        <w:t>s u.tml.)</w:t>
      </w:r>
      <w:r w:rsidRPr="0009576A" w:rsidR="00B7012C">
        <w:rPr>
          <w:rFonts w:ascii="Times New Roman" w:hAnsi="Times New Roman" w:cs="Times New Roman"/>
          <w:sz w:val="28"/>
          <w:szCs w:val="28"/>
        </w:rPr>
        <w:t xml:space="preserve">. </w:t>
      </w:r>
      <w:r w:rsidRPr="0009576A" w:rsidR="00663839">
        <w:rPr>
          <w:rFonts w:ascii="Times New Roman" w:hAnsi="Times New Roman" w:cs="Times New Roman"/>
          <w:sz w:val="28"/>
          <w:szCs w:val="28"/>
        </w:rPr>
        <w:t xml:space="preserve">Pasākuma atcelšanas gadījumā pasākuma rīkotājam ir pienākums atgriezt skatītājiem </w:t>
      </w:r>
      <w:r w:rsidR="007E7633">
        <w:rPr>
          <w:rFonts w:ascii="Times New Roman" w:hAnsi="Times New Roman" w:cs="Times New Roman"/>
          <w:sz w:val="28"/>
          <w:szCs w:val="28"/>
        </w:rPr>
        <w:t xml:space="preserve">iegādāto </w:t>
      </w:r>
      <w:r w:rsidRPr="0009576A" w:rsidR="00663839">
        <w:rPr>
          <w:rFonts w:ascii="Times New Roman" w:hAnsi="Times New Roman" w:cs="Times New Roman"/>
          <w:sz w:val="28"/>
          <w:szCs w:val="28"/>
        </w:rPr>
        <w:t xml:space="preserve">biļešu naudu. </w:t>
      </w:r>
      <w:r w:rsidRPr="0009576A">
        <w:rPr>
          <w:rFonts w:ascii="Times New Roman" w:hAnsi="Times New Roman" w:cs="Times New Roman"/>
          <w:sz w:val="28"/>
          <w:szCs w:val="28"/>
        </w:rPr>
        <w:t>Ņemot vērā pasākuma sagatav</w:t>
      </w:r>
      <w:r w:rsidRPr="0009576A" w:rsidR="002A46CF">
        <w:rPr>
          <w:rFonts w:ascii="Times New Roman" w:hAnsi="Times New Roman" w:cs="Times New Roman"/>
          <w:sz w:val="28"/>
          <w:szCs w:val="28"/>
        </w:rPr>
        <w:t>ošanas</w:t>
      </w:r>
      <w:r w:rsidRPr="0009576A">
        <w:rPr>
          <w:rFonts w:ascii="Times New Roman" w:hAnsi="Times New Roman" w:cs="Times New Roman"/>
          <w:sz w:val="28"/>
          <w:szCs w:val="28"/>
        </w:rPr>
        <w:t xml:space="preserve"> izmaksas, tā atcelšanas gadījumā uzņēmums nespēj atgriezt biļešu maksu skatītājam, kā arī nespēj veikt </w:t>
      </w:r>
      <w:r w:rsidRPr="0009576A" w:rsidR="00663839">
        <w:rPr>
          <w:rFonts w:ascii="Times New Roman" w:hAnsi="Times New Roman" w:cs="Times New Roman"/>
          <w:sz w:val="28"/>
          <w:szCs w:val="28"/>
        </w:rPr>
        <w:t xml:space="preserve">citus </w:t>
      </w:r>
      <w:r w:rsidRPr="0009576A">
        <w:rPr>
          <w:rFonts w:ascii="Times New Roman" w:hAnsi="Times New Roman" w:cs="Times New Roman"/>
          <w:sz w:val="28"/>
          <w:szCs w:val="28"/>
        </w:rPr>
        <w:t>norēķinus</w:t>
      </w:r>
      <w:r w:rsidRPr="0009576A" w:rsidR="00663839">
        <w:rPr>
          <w:rFonts w:ascii="Times New Roman" w:hAnsi="Times New Roman" w:cs="Times New Roman"/>
          <w:sz w:val="28"/>
          <w:szCs w:val="28"/>
        </w:rPr>
        <w:t>, tai skaitā</w:t>
      </w:r>
      <w:r w:rsidRPr="0009576A">
        <w:rPr>
          <w:rFonts w:ascii="Times New Roman" w:hAnsi="Times New Roman" w:cs="Times New Roman"/>
          <w:sz w:val="28"/>
          <w:szCs w:val="28"/>
        </w:rPr>
        <w:t xml:space="preserve"> nodokļu nomaksu un segt fiksētās uzņēmuma izmaksas.</w:t>
      </w:r>
      <w:r w:rsidRPr="0009576A" w:rsidR="00F240CA">
        <w:rPr>
          <w:rFonts w:ascii="Times New Roman" w:hAnsi="Times New Roman" w:cs="Times New Roman"/>
          <w:sz w:val="28"/>
          <w:szCs w:val="28"/>
        </w:rPr>
        <w:t xml:space="preserve"> </w:t>
      </w:r>
    </w:p>
    <w:p w:rsidRPr="003A7CFE" w:rsidR="006C59CE" w:rsidP="0060133C" w:rsidRDefault="0060133C" w14:paraId="45F05A97" w14:textId="17E3F3B5">
      <w:pPr>
        <w:spacing w:after="0" w:line="240" w:lineRule="auto"/>
        <w:ind w:firstLine="714"/>
        <w:jc w:val="both"/>
        <w:rPr>
          <w:rFonts w:ascii="Times New Roman" w:hAnsi="Times New Roman" w:cs="Times New Roman"/>
          <w:sz w:val="28"/>
          <w:szCs w:val="28"/>
        </w:rPr>
      </w:pPr>
      <w:bookmarkStart w:name="_Hlk57624494" w:id="2"/>
      <w:r w:rsidRPr="003A7CFE">
        <w:rPr>
          <w:rFonts w:ascii="Times New Roman" w:hAnsi="Times New Roman" w:cs="Times New Roman"/>
          <w:sz w:val="28"/>
          <w:szCs w:val="28"/>
        </w:rPr>
        <w:t>Tālāk tiks a</w:t>
      </w:r>
      <w:r w:rsidRPr="003A7CFE" w:rsidR="006C59CE">
        <w:rPr>
          <w:rFonts w:ascii="Times New Roman" w:hAnsi="Times New Roman" w:cs="Times New Roman"/>
          <w:sz w:val="28"/>
          <w:szCs w:val="28"/>
        </w:rPr>
        <w:t xml:space="preserve">pskatīts tikai viens no vairāk nekā 500 pasākumiem, kuri bija plānoti periodā no 2020.gada 9.novembra līdz 2020.gada 6.decembrim. No piemēra uzskatāms, ka biļešu ieņēmumi nesedz visas </w:t>
      </w:r>
      <w:r w:rsidR="004D08CF">
        <w:rPr>
          <w:rFonts w:ascii="Times New Roman" w:hAnsi="Times New Roman" w:cs="Times New Roman"/>
          <w:sz w:val="28"/>
          <w:szCs w:val="28"/>
        </w:rPr>
        <w:t>pasākuma</w:t>
      </w:r>
      <w:r w:rsidRPr="003A7CFE" w:rsidR="006C59CE">
        <w:rPr>
          <w:rFonts w:ascii="Times New Roman" w:hAnsi="Times New Roman" w:cs="Times New Roman"/>
          <w:sz w:val="28"/>
          <w:szCs w:val="28"/>
        </w:rPr>
        <w:t xml:space="preserve"> </w:t>
      </w:r>
      <w:r w:rsidR="004D08CF">
        <w:rPr>
          <w:rFonts w:ascii="Times New Roman" w:hAnsi="Times New Roman" w:cs="Times New Roman"/>
          <w:sz w:val="28"/>
          <w:szCs w:val="28"/>
        </w:rPr>
        <w:t xml:space="preserve">(iestudējuma) </w:t>
      </w:r>
      <w:r w:rsidRPr="003A7CFE" w:rsidR="006C59CE">
        <w:rPr>
          <w:rFonts w:ascii="Times New Roman" w:hAnsi="Times New Roman" w:cs="Times New Roman"/>
          <w:sz w:val="28"/>
          <w:szCs w:val="28"/>
        </w:rPr>
        <w:t xml:space="preserve">sagatavošanas un izrādīšanas izmaksas, jo </w:t>
      </w:r>
      <w:r w:rsidR="004D08CF">
        <w:rPr>
          <w:rFonts w:ascii="Times New Roman" w:hAnsi="Times New Roman" w:cs="Times New Roman"/>
          <w:sz w:val="28"/>
          <w:szCs w:val="28"/>
        </w:rPr>
        <w:t>pasākuma</w:t>
      </w:r>
      <w:r w:rsidRPr="003A7CFE" w:rsidR="006C59CE">
        <w:rPr>
          <w:rFonts w:ascii="Times New Roman" w:hAnsi="Times New Roman" w:cs="Times New Roman"/>
          <w:sz w:val="28"/>
          <w:szCs w:val="28"/>
        </w:rPr>
        <w:t xml:space="preserve"> investētie izdevumi tiek atgūti pakāpeniski, </w:t>
      </w:r>
      <w:r w:rsidR="004D08CF">
        <w:rPr>
          <w:rFonts w:ascii="Times New Roman" w:hAnsi="Times New Roman" w:cs="Times New Roman"/>
          <w:sz w:val="28"/>
          <w:szCs w:val="28"/>
        </w:rPr>
        <w:t>nodrošinot pasākumu</w:t>
      </w:r>
      <w:r w:rsidRPr="003A7CFE" w:rsidR="006C59CE">
        <w:rPr>
          <w:rFonts w:ascii="Times New Roman" w:hAnsi="Times New Roman" w:cs="Times New Roman"/>
          <w:sz w:val="28"/>
          <w:szCs w:val="28"/>
        </w:rPr>
        <w:t xml:space="preserve"> arī turpmākajos mēnešos. </w:t>
      </w:r>
      <w:r w:rsidR="004D08CF">
        <w:rPr>
          <w:rFonts w:ascii="Times New Roman" w:hAnsi="Times New Roman" w:cs="Times New Roman"/>
          <w:sz w:val="28"/>
          <w:szCs w:val="28"/>
        </w:rPr>
        <w:t>Tāpat</w:t>
      </w:r>
      <w:r w:rsidRPr="003A7CFE" w:rsidR="006C59CE">
        <w:rPr>
          <w:rFonts w:ascii="Times New Roman" w:hAnsi="Times New Roman" w:cs="Times New Roman"/>
          <w:sz w:val="28"/>
          <w:szCs w:val="28"/>
        </w:rPr>
        <w:t xml:space="preserve"> Covid</w:t>
      </w:r>
      <w:r w:rsidR="004D08CF">
        <w:rPr>
          <w:rFonts w:ascii="Times New Roman" w:hAnsi="Times New Roman" w:cs="Times New Roman"/>
          <w:sz w:val="28"/>
          <w:szCs w:val="28"/>
        </w:rPr>
        <w:t>-</w:t>
      </w:r>
      <w:r w:rsidRPr="003A7CFE" w:rsidR="006C59CE">
        <w:rPr>
          <w:rFonts w:ascii="Times New Roman" w:hAnsi="Times New Roman" w:cs="Times New Roman"/>
          <w:sz w:val="28"/>
          <w:szCs w:val="28"/>
        </w:rPr>
        <w:t xml:space="preserve">19 </w:t>
      </w:r>
      <w:r w:rsidR="004D08CF">
        <w:rPr>
          <w:rFonts w:ascii="Times New Roman" w:hAnsi="Times New Roman" w:cs="Times New Roman"/>
          <w:sz w:val="28"/>
          <w:szCs w:val="28"/>
        </w:rPr>
        <w:t xml:space="preserve">ierobežojumi </w:t>
      </w:r>
      <w:r w:rsidRPr="003A7CFE" w:rsidR="006C59CE">
        <w:rPr>
          <w:rFonts w:ascii="Times New Roman" w:hAnsi="Times New Roman" w:cs="Times New Roman"/>
          <w:sz w:val="28"/>
          <w:szCs w:val="28"/>
        </w:rPr>
        <w:t>ietekmē maksimālo pārdodamo biļešu apjomu, kaut</w:t>
      </w:r>
      <w:r w:rsidR="004D08CF">
        <w:rPr>
          <w:rFonts w:ascii="Times New Roman" w:hAnsi="Times New Roman" w:cs="Times New Roman"/>
          <w:sz w:val="28"/>
          <w:szCs w:val="28"/>
        </w:rPr>
        <w:t xml:space="preserve"> arī</w:t>
      </w:r>
      <w:r w:rsidRPr="003A7CFE" w:rsidR="006C59CE">
        <w:rPr>
          <w:rFonts w:ascii="Times New Roman" w:hAnsi="Times New Roman" w:cs="Times New Roman"/>
          <w:sz w:val="28"/>
          <w:szCs w:val="28"/>
        </w:rPr>
        <w:t xml:space="preserve"> vienošanās par pasākuma </w:t>
      </w:r>
      <w:proofErr w:type="spellStart"/>
      <w:r w:rsidRPr="003A7CFE" w:rsidR="006C59CE">
        <w:rPr>
          <w:rFonts w:ascii="Times New Roman" w:hAnsi="Times New Roman" w:cs="Times New Roman"/>
          <w:sz w:val="28"/>
          <w:szCs w:val="28"/>
        </w:rPr>
        <w:t>satavošanas</w:t>
      </w:r>
      <w:proofErr w:type="spellEnd"/>
      <w:r w:rsidRPr="003A7CFE" w:rsidR="006C59CE">
        <w:rPr>
          <w:rFonts w:ascii="Times New Roman" w:hAnsi="Times New Roman" w:cs="Times New Roman"/>
          <w:sz w:val="28"/>
          <w:szCs w:val="28"/>
        </w:rPr>
        <w:t xml:space="preserve"> izmaksām jau bija noslēgtas iepriekš, pasākuma sagatavošana pirms pasākuma norises tiek plānota un darbība uzsākta ne mazāk kā 9 mēnešus pirms pasākuma. </w:t>
      </w:r>
      <w:r w:rsidRPr="003A7CFE">
        <w:rPr>
          <w:rFonts w:ascii="Times New Roman" w:hAnsi="Times New Roman" w:cs="Times New Roman"/>
          <w:sz w:val="28"/>
          <w:szCs w:val="28"/>
        </w:rPr>
        <w:t xml:space="preserve">Pasākumu rīkotāja </w:t>
      </w:r>
      <w:r w:rsidR="004D08CF">
        <w:rPr>
          <w:rFonts w:ascii="Times New Roman" w:hAnsi="Times New Roman" w:cs="Times New Roman"/>
          <w:sz w:val="28"/>
          <w:szCs w:val="28"/>
        </w:rPr>
        <w:t xml:space="preserve">2020.gada </w:t>
      </w:r>
      <w:r w:rsidRPr="003A7CFE">
        <w:rPr>
          <w:rFonts w:ascii="Times New Roman" w:hAnsi="Times New Roman" w:cs="Times New Roman"/>
          <w:sz w:val="28"/>
          <w:szCs w:val="28"/>
        </w:rPr>
        <w:t xml:space="preserve">novembrī plānotā pasākuma ieņēmumu izdevumu struktūra – iestudējums, kuram </w:t>
      </w:r>
      <w:r w:rsidR="004D08CF">
        <w:rPr>
          <w:rFonts w:ascii="Times New Roman" w:hAnsi="Times New Roman" w:cs="Times New Roman"/>
          <w:sz w:val="28"/>
          <w:szCs w:val="28"/>
        </w:rPr>
        <w:t xml:space="preserve">2020.gada </w:t>
      </w:r>
      <w:r w:rsidRPr="003A7CFE">
        <w:rPr>
          <w:rFonts w:ascii="Times New Roman" w:hAnsi="Times New Roman" w:cs="Times New Roman"/>
          <w:sz w:val="28"/>
          <w:szCs w:val="28"/>
        </w:rPr>
        <w:t xml:space="preserve">novembrī paredzētas 6 izrādīšanas reizes (tai skaitā pirmizrāde) un viens jau iepriekš </w:t>
      </w:r>
      <w:proofErr w:type="spellStart"/>
      <w:r w:rsidRPr="003A7CFE">
        <w:rPr>
          <w:rFonts w:ascii="Times New Roman" w:hAnsi="Times New Roman" w:cs="Times New Roman"/>
          <w:sz w:val="28"/>
          <w:szCs w:val="28"/>
        </w:rPr>
        <w:t>pirmizrādīts</w:t>
      </w:r>
      <w:proofErr w:type="spellEnd"/>
      <w:r w:rsidRPr="003A7CFE">
        <w:rPr>
          <w:rFonts w:ascii="Times New Roman" w:hAnsi="Times New Roman" w:cs="Times New Roman"/>
          <w:sz w:val="28"/>
          <w:szCs w:val="28"/>
        </w:rPr>
        <w:t xml:space="preserve"> mazāka mēroga pasākums. </w:t>
      </w:r>
      <w:r w:rsidRPr="003A7CFE" w:rsidR="006C59CE">
        <w:rPr>
          <w:rFonts w:ascii="Times New Roman" w:hAnsi="Times New Roman" w:cs="Times New Roman"/>
          <w:sz w:val="28"/>
          <w:szCs w:val="28"/>
        </w:rPr>
        <w:t xml:space="preserve">Pasākuma ieņēmumi ārkārtējās </w:t>
      </w:r>
      <w:r w:rsidRPr="003A7CFE" w:rsidR="006C59CE">
        <w:rPr>
          <w:rFonts w:ascii="Times New Roman" w:hAnsi="Times New Roman" w:cs="Times New Roman"/>
          <w:sz w:val="28"/>
          <w:szCs w:val="28"/>
        </w:rPr>
        <w:lastRenderedPageBreak/>
        <w:t>situācijas periodā bija plānoti un ir saņemti 42</w:t>
      </w:r>
      <w:r w:rsidR="004D08CF">
        <w:rPr>
          <w:rFonts w:ascii="Times New Roman" w:hAnsi="Times New Roman" w:cs="Times New Roman"/>
          <w:sz w:val="28"/>
          <w:szCs w:val="28"/>
        </w:rPr>
        <w:t> </w:t>
      </w:r>
      <w:r w:rsidRPr="003A7CFE" w:rsidR="006C59CE">
        <w:rPr>
          <w:rFonts w:ascii="Times New Roman" w:hAnsi="Times New Roman" w:cs="Times New Roman"/>
          <w:sz w:val="28"/>
          <w:szCs w:val="28"/>
        </w:rPr>
        <w:t>000</w:t>
      </w:r>
      <w:r w:rsidR="004D08CF">
        <w:rPr>
          <w:rFonts w:ascii="Times New Roman" w:hAnsi="Times New Roman" w:cs="Times New Roman"/>
          <w:sz w:val="28"/>
          <w:szCs w:val="28"/>
        </w:rPr>
        <w:t> </w:t>
      </w:r>
      <w:r w:rsidRPr="003A7CFE" w:rsidR="006C59CE">
        <w:rPr>
          <w:rFonts w:ascii="Times New Roman" w:hAnsi="Times New Roman" w:cs="Times New Roman"/>
          <w:i/>
          <w:iCs/>
          <w:sz w:val="28"/>
          <w:szCs w:val="28"/>
        </w:rPr>
        <w:t>euro</w:t>
      </w:r>
      <w:r w:rsidRPr="003A7CFE" w:rsidR="006C59CE">
        <w:rPr>
          <w:rFonts w:ascii="Times New Roman" w:hAnsi="Times New Roman" w:cs="Times New Roman"/>
          <w:sz w:val="28"/>
          <w:szCs w:val="28"/>
        </w:rPr>
        <w:t xml:space="preserve"> apmērā, ja nebūtu iestājusies ārkārtējā situācija</w:t>
      </w:r>
      <w:r w:rsidR="004D08CF">
        <w:rPr>
          <w:rFonts w:ascii="Times New Roman" w:hAnsi="Times New Roman" w:cs="Times New Roman"/>
          <w:sz w:val="28"/>
          <w:szCs w:val="28"/>
        </w:rPr>
        <w:t>,</w:t>
      </w:r>
      <w:r w:rsidRPr="003A7CFE" w:rsidR="006C59CE">
        <w:rPr>
          <w:rFonts w:ascii="Times New Roman" w:hAnsi="Times New Roman" w:cs="Times New Roman"/>
          <w:sz w:val="28"/>
          <w:szCs w:val="28"/>
        </w:rPr>
        <w:t xml:space="preserve"> pasākuma ieņēmumi</w:t>
      </w:r>
      <w:r w:rsidR="004D08CF">
        <w:rPr>
          <w:rFonts w:ascii="Times New Roman" w:hAnsi="Times New Roman" w:cs="Times New Roman"/>
          <w:sz w:val="28"/>
          <w:szCs w:val="28"/>
        </w:rPr>
        <w:t xml:space="preserve"> </w:t>
      </w:r>
      <w:r w:rsidRPr="003A7CFE" w:rsidR="006C59CE">
        <w:rPr>
          <w:rFonts w:ascii="Times New Roman" w:hAnsi="Times New Roman" w:cs="Times New Roman"/>
          <w:sz w:val="28"/>
          <w:szCs w:val="28"/>
        </w:rPr>
        <w:t>būtu daudz lielāki, pasākuma sagatavošan</w:t>
      </w:r>
      <w:r w:rsidRPr="003A7CFE" w:rsidR="00BB328F">
        <w:rPr>
          <w:rFonts w:ascii="Times New Roman" w:hAnsi="Times New Roman" w:cs="Times New Roman"/>
          <w:sz w:val="28"/>
          <w:szCs w:val="28"/>
        </w:rPr>
        <w:t>ā</w:t>
      </w:r>
      <w:r w:rsidRPr="003A7CFE" w:rsidR="006C59CE">
        <w:rPr>
          <w:rFonts w:ascii="Times New Roman" w:hAnsi="Times New Roman" w:cs="Times New Roman"/>
          <w:sz w:val="28"/>
          <w:szCs w:val="28"/>
        </w:rPr>
        <w:t xml:space="preserve"> ieguldīti 31</w:t>
      </w:r>
      <w:r w:rsidR="004D08CF">
        <w:rPr>
          <w:rFonts w:ascii="Times New Roman" w:hAnsi="Times New Roman" w:cs="Times New Roman"/>
          <w:sz w:val="28"/>
          <w:szCs w:val="28"/>
        </w:rPr>
        <w:t> </w:t>
      </w:r>
      <w:r w:rsidRPr="003A7CFE" w:rsidR="006C59CE">
        <w:rPr>
          <w:rFonts w:ascii="Times New Roman" w:hAnsi="Times New Roman" w:cs="Times New Roman"/>
          <w:sz w:val="28"/>
          <w:szCs w:val="28"/>
        </w:rPr>
        <w:t>760</w:t>
      </w:r>
      <w:r w:rsidR="004D08CF">
        <w:rPr>
          <w:rFonts w:ascii="Times New Roman" w:hAnsi="Times New Roman" w:cs="Times New Roman"/>
          <w:sz w:val="28"/>
          <w:szCs w:val="28"/>
        </w:rPr>
        <w:t> </w:t>
      </w:r>
      <w:r w:rsidRPr="003A7CFE" w:rsidR="006C59CE">
        <w:rPr>
          <w:rFonts w:ascii="Times New Roman" w:hAnsi="Times New Roman" w:cs="Times New Roman"/>
          <w:i/>
          <w:iCs/>
          <w:sz w:val="28"/>
          <w:szCs w:val="28"/>
        </w:rPr>
        <w:t>euro</w:t>
      </w:r>
      <w:r w:rsidRPr="003A7CFE" w:rsidR="006C59CE">
        <w:rPr>
          <w:rFonts w:ascii="Times New Roman" w:hAnsi="Times New Roman" w:cs="Times New Roman"/>
          <w:sz w:val="28"/>
          <w:szCs w:val="28"/>
        </w:rPr>
        <w:t>, kas segti gan no iepriekšējo gadu peļņas</w:t>
      </w:r>
      <w:r w:rsidRPr="003A7CFE" w:rsidR="00BB328F">
        <w:rPr>
          <w:rFonts w:ascii="Times New Roman" w:hAnsi="Times New Roman" w:cs="Times New Roman"/>
          <w:sz w:val="28"/>
          <w:szCs w:val="28"/>
        </w:rPr>
        <w:t>,</w:t>
      </w:r>
      <w:r w:rsidRPr="003A7CFE" w:rsidR="006C59CE">
        <w:rPr>
          <w:rFonts w:ascii="Times New Roman" w:hAnsi="Times New Roman" w:cs="Times New Roman"/>
          <w:sz w:val="28"/>
          <w:szCs w:val="28"/>
        </w:rPr>
        <w:t xml:space="preserve"> gan plānotajiem pasākuma ieņēmumiem, un vēl pasākuma rīkotājam jāsedz fiksētās izmaksas, kas saistītas ar ikmēneša uzņēmuma pastāvīgo uzturēšanu – darbinieku, telpu u.c. izmaksas. Ja pasākums notiktu, tad būtu jāsedz arī kārtējās izmaksas.</w:t>
      </w:r>
      <w:r w:rsidRPr="003A7CFE" w:rsidR="00BB328F">
        <w:rPr>
          <w:rFonts w:ascii="Times New Roman" w:hAnsi="Times New Roman" w:cs="Times New Roman"/>
          <w:sz w:val="28"/>
          <w:szCs w:val="28"/>
        </w:rPr>
        <w:t xml:space="preserve"> </w:t>
      </w:r>
      <w:r w:rsidRPr="003A7CFE" w:rsidR="006C59CE">
        <w:rPr>
          <w:rFonts w:ascii="Times New Roman" w:hAnsi="Times New Roman" w:cs="Times New Roman"/>
          <w:sz w:val="28"/>
          <w:szCs w:val="28"/>
        </w:rPr>
        <w:t xml:space="preserve">Piemērs labi </w:t>
      </w:r>
      <w:r w:rsidR="00985D45">
        <w:rPr>
          <w:rFonts w:ascii="Times New Roman" w:hAnsi="Times New Roman" w:cs="Times New Roman"/>
          <w:sz w:val="28"/>
          <w:szCs w:val="28"/>
        </w:rPr>
        <w:t>pa</w:t>
      </w:r>
      <w:r w:rsidRPr="003A7CFE" w:rsidR="006C59CE">
        <w:rPr>
          <w:rFonts w:ascii="Times New Roman" w:hAnsi="Times New Roman" w:cs="Times New Roman"/>
          <w:sz w:val="28"/>
          <w:szCs w:val="28"/>
        </w:rPr>
        <w:t>rād</w:t>
      </w:r>
      <w:r w:rsidR="00985D45">
        <w:rPr>
          <w:rFonts w:ascii="Times New Roman" w:hAnsi="Times New Roman" w:cs="Times New Roman"/>
          <w:sz w:val="28"/>
          <w:szCs w:val="28"/>
        </w:rPr>
        <w:t>a</w:t>
      </w:r>
      <w:r w:rsidRPr="003A7CFE" w:rsidR="006C59CE">
        <w:rPr>
          <w:rFonts w:ascii="Times New Roman" w:hAnsi="Times New Roman" w:cs="Times New Roman"/>
          <w:sz w:val="28"/>
          <w:szCs w:val="28"/>
        </w:rPr>
        <w:t xml:space="preserve">, ka ārkārtējā situācija ir ļoti būtiski </w:t>
      </w:r>
      <w:proofErr w:type="spellStart"/>
      <w:r w:rsidRPr="003A7CFE" w:rsidR="006C59CE">
        <w:rPr>
          <w:rFonts w:ascii="Times New Roman" w:hAnsi="Times New Roman" w:cs="Times New Roman"/>
          <w:sz w:val="28"/>
          <w:szCs w:val="28"/>
        </w:rPr>
        <w:t>ietemējusi</w:t>
      </w:r>
      <w:proofErr w:type="spellEnd"/>
      <w:r w:rsidRPr="003A7CFE" w:rsidR="006C59CE">
        <w:rPr>
          <w:rFonts w:ascii="Times New Roman" w:hAnsi="Times New Roman" w:cs="Times New Roman"/>
          <w:sz w:val="28"/>
          <w:szCs w:val="28"/>
        </w:rPr>
        <w:t xml:space="preserve"> pasākumu ieņēmumus.</w:t>
      </w:r>
    </w:p>
    <w:p w:rsidRPr="003A7CFE" w:rsidR="006C59CE" w:rsidP="006C59CE" w:rsidRDefault="006C59CE" w14:paraId="30D033E4" w14:textId="41533484">
      <w:pPr>
        <w:spacing w:after="0" w:line="240" w:lineRule="auto"/>
        <w:ind w:firstLine="714"/>
        <w:jc w:val="both"/>
        <w:rPr>
          <w:rFonts w:ascii="Times New Roman" w:hAnsi="Times New Roman" w:cs="Times New Roman"/>
          <w:sz w:val="28"/>
          <w:szCs w:val="28"/>
        </w:rPr>
      </w:pPr>
      <w:r w:rsidRPr="003A7CFE">
        <w:rPr>
          <w:rFonts w:ascii="Times New Roman" w:hAnsi="Times New Roman" w:cs="Times New Roman"/>
          <w:sz w:val="28"/>
          <w:szCs w:val="28"/>
        </w:rPr>
        <w:t>Ņemot vērā</w:t>
      </w:r>
      <w:r w:rsidR="00985D45">
        <w:rPr>
          <w:rFonts w:ascii="Times New Roman" w:hAnsi="Times New Roman" w:cs="Times New Roman"/>
          <w:sz w:val="28"/>
          <w:szCs w:val="28"/>
        </w:rPr>
        <w:t xml:space="preserve"> minēto</w:t>
      </w:r>
      <w:r w:rsidRPr="003A7CFE">
        <w:rPr>
          <w:rFonts w:ascii="Times New Roman" w:hAnsi="Times New Roman" w:cs="Times New Roman"/>
          <w:sz w:val="28"/>
          <w:szCs w:val="28"/>
        </w:rPr>
        <w:t>, vidējā peļņa no viena pasākuma tiek plānota no 5%</w:t>
      </w:r>
      <w:r w:rsidRPr="003A7CFE" w:rsidR="0060133C">
        <w:rPr>
          <w:rFonts w:ascii="Times New Roman" w:hAnsi="Times New Roman" w:cs="Times New Roman"/>
          <w:sz w:val="28"/>
          <w:szCs w:val="28"/>
        </w:rPr>
        <w:t xml:space="preserve"> līdz</w:t>
      </w:r>
      <w:r w:rsidR="004D08CF">
        <w:rPr>
          <w:rFonts w:ascii="Times New Roman" w:hAnsi="Times New Roman" w:cs="Times New Roman"/>
          <w:sz w:val="28"/>
          <w:szCs w:val="28"/>
        </w:rPr>
        <w:t xml:space="preserve"> </w:t>
      </w:r>
      <w:r w:rsidRPr="003A7CFE" w:rsidR="00BB328F">
        <w:rPr>
          <w:rFonts w:ascii="Times New Roman" w:hAnsi="Times New Roman" w:cs="Times New Roman"/>
          <w:sz w:val="28"/>
          <w:szCs w:val="28"/>
        </w:rPr>
        <w:t>20%</w:t>
      </w:r>
      <w:r w:rsidRPr="003A7CFE">
        <w:rPr>
          <w:rFonts w:ascii="Times New Roman" w:hAnsi="Times New Roman" w:cs="Times New Roman"/>
          <w:sz w:val="28"/>
          <w:szCs w:val="28"/>
        </w:rPr>
        <w:t xml:space="preserve">. Līdz ar to pieņemot, ka tiek kompensēti vismaz </w:t>
      </w:r>
      <w:r w:rsidR="005F4809">
        <w:rPr>
          <w:rFonts w:ascii="Times New Roman" w:hAnsi="Times New Roman" w:cs="Times New Roman"/>
          <w:sz w:val="28"/>
          <w:szCs w:val="28"/>
        </w:rPr>
        <w:t>8</w:t>
      </w:r>
      <w:r w:rsidRPr="003A7CFE">
        <w:rPr>
          <w:rFonts w:ascii="Times New Roman" w:hAnsi="Times New Roman" w:cs="Times New Roman"/>
          <w:sz w:val="28"/>
          <w:szCs w:val="28"/>
        </w:rPr>
        <w:t xml:space="preserve">0% no iedzīvotājiem atmaksātajiem biļešu ieņēmumiem, tad minētajā piemērā tie būtu 42 000 </w:t>
      </w:r>
      <w:r w:rsidRPr="003A7CFE">
        <w:rPr>
          <w:rFonts w:ascii="Times New Roman" w:hAnsi="Times New Roman" w:cs="Times New Roman"/>
          <w:i/>
          <w:iCs/>
          <w:sz w:val="28"/>
          <w:szCs w:val="28"/>
        </w:rPr>
        <w:t>euro</w:t>
      </w:r>
      <w:r w:rsidRPr="003A7CFE">
        <w:rPr>
          <w:rFonts w:ascii="Times New Roman" w:hAnsi="Times New Roman" w:cs="Times New Roman"/>
          <w:sz w:val="28"/>
          <w:szCs w:val="28"/>
        </w:rPr>
        <w:t xml:space="preserve"> x 80% = 33 600 </w:t>
      </w:r>
      <w:r w:rsidRPr="003A7CFE">
        <w:rPr>
          <w:rFonts w:ascii="Times New Roman" w:hAnsi="Times New Roman" w:cs="Times New Roman"/>
          <w:i/>
          <w:iCs/>
          <w:sz w:val="28"/>
          <w:szCs w:val="28"/>
        </w:rPr>
        <w:t>euro</w:t>
      </w:r>
      <w:r w:rsidRPr="003A7CFE">
        <w:rPr>
          <w:rFonts w:ascii="Times New Roman" w:hAnsi="Times New Roman" w:cs="Times New Roman"/>
          <w:sz w:val="28"/>
          <w:szCs w:val="28"/>
        </w:rPr>
        <w:t xml:space="preserve">, kas pasākuma rīkotājam ļautu segt vismaz </w:t>
      </w:r>
      <w:proofErr w:type="spellStart"/>
      <w:r w:rsidRPr="003A7CFE">
        <w:rPr>
          <w:rFonts w:ascii="Times New Roman" w:hAnsi="Times New Roman" w:cs="Times New Roman"/>
          <w:sz w:val="28"/>
          <w:szCs w:val="28"/>
        </w:rPr>
        <w:t>fikasētās</w:t>
      </w:r>
      <w:proofErr w:type="spellEnd"/>
      <w:r w:rsidRPr="003A7CFE">
        <w:rPr>
          <w:rFonts w:ascii="Times New Roman" w:hAnsi="Times New Roman" w:cs="Times New Roman"/>
          <w:sz w:val="28"/>
          <w:szCs w:val="28"/>
        </w:rPr>
        <w:t xml:space="preserve"> izmaksas un pasākuma sagatavošanā ieguldītās izmaksas. </w:t>
      </w:r>
    </w:p>
    <w:p w:rsidR="00BB328F" w:rsidP="006C59CE" w:rsidRDefault="006C59CE" w14:paraId="39A7D075" w14:textId="77777777">
      <w:pPr>
        <w:spacing w:after="0" w:line="240" w:lineRule="auto"/>
        <w:ind w:firstLine="714"/>
        <w:jc w:val="both"/>
        <w:rPr>
          <w:rFonts w:ascii="Times New Roman" w:hAnsi="Times New Roman" w:cs="Times New Roman"/>
          <w:sz w:val="28"/>
          <w:szCs w:val="28"/>
        </w:rPr>
      </w:pPr>
      <w:r w:rsidRPr="003A7CFE">
        <w:rPr>
          <w:rFonts w:ascii="Times New Roman" w:hAnsi="Times New Roman" w:cs="Times New Roman"/>
          <w:sz w:val="28"/>
          <w:szCs w:val="28"/>
        </w:rPr>
        <w:t>Savukārt mazāka mēroga pasākums, kura sagatavošanas ieguldījumi jau atgūti pie labiem biļešu ieņēmumiem</w:t>
      </w:r>
      <w:r w:rsidRPr="003A7CFE" w:rsidR="00BB328F">
        <w:rPr>
          <w:rFonts w:ascii="Times New Roman" w:hAnsi="Times New Roman" w:cs="Times New Roman"/>
          <w:sz w:val="28"/>
          <w:szCs w:val="28"/>
        </w:rPr>
        <w:t>,</w:t>
      </w:r>
      <w:r w:rsidRPr="003A7CFE">
        <w:rPr>
          <w:rFonts w:ascii="Times New Roman" w:hAnsi="Times New Roman" w:cs="Times New Roman"/>
          <w:sz w:val="28"/>
          <w:szCs w:val="28"/>
        </w:rPr>
        <w:t xml:space="preserve"> var nodrošināt konkrētā pasākuma izdevumu atgūšanu, kā arī apgrozāmos līdzekļus daļējai uzņēmuma fiksēto izmaksu segšanai un citu pasākumu izdevumu segšanai.</w:t>
      </w:r>
      <w:r w:rsidR="00BB328F">
        <w:rPr>
          <w:rFonts w:ascii="Times New Roman" w:hAnsi="Times New Roman" w:cs="Times New Roman"/>
          <w:sz w:val="28"/>
          <w:szCs w:val="28"/>
        </w:rPr>
        <w:t xml:space="preserve"> </w:t>
      </w:r>
    </w:p>
    <w:p w:rsidRPr="00534AD4" w:rsidR="007E7633" w:rsidP="006C59CE" w:rsidRDefault="00F240CA" w14:paraId="38319639" w14:textId="7B384F24">
      <w:pPr>
        <w:spacing w:after="0" w:line="240" w:lineRule="auto"/>
        <w:ind w:firstLine="714"/>
        <w:jc w:val="both"/>
        <w:rPr>
          <w:rFonts w:ascii="Times New Roman" w:hAnsi="Times New Roman" w:cs="Times New Roman"/>
          <w:sz w:val="28"/>
          <w:szCs w:val="28"/>
        </w:rPr>
      </w:pPr>
      <w:r w:rsidRPr="00534AD4" w:rsidDel="003827EE">
        <w:rPr>
          <w:rFonts w:ascii="Times New Roman" w:hAnsi="Times New Roman" w:cs="Times New Roman"/>
          <w:sz w:val="28"/>
          <w:szCs w:val="28"/>
        </w:rPr>
        <w:t>Papildus jāņem vērā, ka saskaņā ar noslēgtajiem līgumiem biļešu izplatītāji par naudas atmaksu pasākuma atcelšanas gadījumā patur ieturēto komisijas maksu, sedzot bankas transakciju un sistēmas uzturēšanas pakalpojumus. Šīs komisijas katram rīkotājam ir individuālas, taču vidēji tās veido 9% no biļešu cenas.</w:t>
      </w:r>
      <w:bookmarkEnd w:id="2"/>
    </w:p>
    <w:p w:rsidR="00B87B63" w:rsidP="00B87B63" w:rsidRDefault="00B87B63" w14:paraId="0B1409BA" w14:textId="0300CF66">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Kopš C</w:t>
      </w:r>
      <w:r w:rsidR="00B110A1">
        <w:rPr>
          <w:rFonts w:ascii="Times New Roman" w:hAnsi="Times New Roman" w:cs="Times New Roman"/>
          <w:sz w:val="28"/>
          <w:szCs w:val="28"/>
        </w:rPr>
        <w:t>ovid</w:t>
      </w:r>
      <w:r>
        <w:rPr>
          <w:rFonts w:ascii="Times New Roman" w:hAnsi="Times New Roman" w:cs="Times New Roman"/>
          <w:sz w:val="28"/>
          <w:szCs w:val="28"/>
        </w:rPr>
        <w:t xml:space="preserve">-19 pandēmijas sākuma 10 reizes ir mainīti pulcēšanās ierobežojumi un nosacījumi pasākumu rīkotājiem attiecībā uz pieļaujamo apmeklētāju skaitu pasākumos, tostarp 2 </w:t>
      </w:r>
      <w:r w:rsidR="00534AD4">
        <w:rPr>
          <w:rFonts w:ascii="Times New Roman" w:hAnsi="Times New Roman" w:cs="Times New Roman"/>
          <w:sz w:val="28"/>
          <w:szCs w:val="28"/>
        </w:rPr>
        <w:t>reizes</w:t>
      </w:r>
      <w:r>
        <w:rPr>
          <w:rFonts w:ascii="Times New Roman" w:hAnsi="Times New Roman" w:cs="Times New Roman"/>
          <w:sz w:val="28"/>
          <w:szCs w:val="28"/>
        </w:rPr>
        <w:t xml:space="preserve"> </w:t>
      </w:r>
      <w:r w:rsidR="00B110A1">
        <w:rPr>
          <w:rFonts w:ascii="Times New Roman" w:hAnsi="Times New Roman" w:cs="Times New Roman"/>
          <w:sz w:val="28"/>
          <w:szCs w:val="28"/>
        </w:rPr>
        <w:t xml:space="preserve">bijis </w:t>
      </w:r>
      <w:r>
        <w:rPr>
          <w:rFonts w:ascii="Times New Roman" w:hAnsi="Times New Roman" w:cs="Times New Roman"/>
          <w:sz w:val="28"/>
          <w:szCs w:val="28"/>
        </w:rPr>
        <w:t xml:space="preserve">pilnīgs pasākumu norises aizliegums, kas būtiski izmainījis pasākumu rīkotāju iepriekš </w:t>
      </w:r>
      <w:r w:rsidR="00562843">
        <w:rPr>
          <w:rFonts w:ascii="Times New Roman" w:hAnsi="Times New Roman" w:cs="Times New Roman"/>
          <w:sz w:val="28"/>
          <w:szCs w:val="28"/>
        </w:rPr>
        <w:t xml:space="preserve">plānoto </w:t>
      </w:r>
      <w:r>
        <w:rPr>
          <w:rFonts w:ascii="Times New Roman" w:hAnsi="Times New Roman" w:cs="Times New Roman"/>
          <w:sz w:val="28"/>
          <w:szCs w:val="28"/>
        </w:rPr>
        <w:t xml:space="preserve">finanšu plūsmu. </w:t>
      </w:r>
      <w:r>
        <w:rPr>
          <w:rStyle w:val="word"/>
          <w:rFonts w:ascii="Times New Roman" w:hAnsi="Times New Roman" w:cs="Times New Roman"/>
          <w:sz w:val="28"/>
          <w:szCs w:val="28"/>
        </w:rPr>
        <w:t>Arī cit</w:t>
      </w:r>
      <w:r w:rsidR="00534AD4">
        <w:rPr>
          <w:rStyle w:val="word"/>
          <w:rFonts w:ascii="Times New Roman" w:hAnsi="Times New Roman" w:cs="Times New Roman"/>
          <w:sz w:val="28"/>
          <w:szCs w:val="28"/>
        </w:rPr>
        <w:t>ā</w:t>
      </w:r>
      <w:r>
        <w:rPr>
          <w:rStyle w:val="word"/>
          <w:rFonts w:ascii="Times New Roman" w:hAnsi="Times New Roman" w:cs="Times New Roman"/>
          <w:sz w:val="28"/>
          <w:szCs w:val="28"/>
        </w:rPr>
        <w:t>s valstīs tiek izmaksātas f</w:t>
      </w:r>
      <w:r w:rsidRPr="00B87B63">
        <w:rPr>
          <w:rStyle w:val="word"/>
          <w:rFonts w:ascii="Times New Roman" w:hAnsi="Times New Roman" w:cs="Times New Roman"/>
          <w:sz w:val="28"/>
          <w:szCs w:val="28"/>
        </w:rPr>
        <w:t>inansiāla</w:t>
      </w:r>
      <w:r>
        <w:rPr>
          <w:rStyle w:val="word"/>
          <w:rFonts w:ascii="Times New Roman" w:hAnsi="Times New Roman" w:cs="Times New Roman"/>
          <w:sz w:val="28"/>
          <w:szCs w:val="28"/>
        </w:rPr>
        <w:t>s</w:t>
      </w:r>
      <w:r w:rsidRPr="00B87B63">
        <w:rPr>
          <w:rStyle w:val="phrase"/>
          <w:rFonts w:ascii="Times New Roman" w:hAnsi="Times New Roman" w:cs="Times New Roman"/>
          <w:sz w:val="28"/>
          <w:szCs w:val="28"/>
        </w:rPr>
        <w:t xml:space="preserve"> </w:t>
      </w:r>
      <w:r w:rsidRPr="00B87B63">
        <w:rPr>
          <w:rStyle w:val="word"/>
          <w:rFonts w:ascii="Times New Roman" w:hAnsi="Times New Roman" w:cs="Times New Roman"/>
          <w:sz w:val="28"/>
          <w:szCs w:val="28"/>
        </w:rPr>
        <w:t>kompensācija</w:t>
      </w:r>
      <w:r>
        <w:rPr>
          <w:rStyle w:val="word"/>
          <w:rFonts w:ascii="Times New Roman" w:hAnsi="Times New Roman" w:cs="Times New Roman"/>
          <w:sz w:val="28"/>
          <w:szCs w:val="28"/>
        </w:rPr>
        <w:t xml:space="preserve">s pasākumu </w:t>
      </w:r>
      <w:r w:rsidRPr="00B87B63">
        <w:rPr>
          <w:rStyle w:val="word"/>
          <w:rFonts w:ascii="Times New Roman" w:hAnsi="Times New Roman" w:cs="Times New Roman"/>
          <w:sz w:val="28"/>
          <w:szCs w:val="28"/>
        </w:rPr>
        <w:t xml:space="preserve"> organizatoriem</w:t>
      </w:r>
      <w:r w:rsidR="00534AD4">
        <w:rPr>
          <w:rStyle w:val="word"/>
          <w:rFonts w:ascii="Times New Roman" w:hAnsi="Times New Roman" w:cs="Times New Roman"/>
          <w:sz w:val="28"/>
          <w:szCs w:val="28"/>
        </w:rPr>
        <w:t>,</w:t>
      </w:r>
      <w:r w:rsidRPr="00B87B63">
        <w:rPr>
          <w:rStyle w:val="phrase"/>
          <w:rFonts w:ascii="Times New Roman" w:hAnsi="Times New Roman" w:cs="Times New Roman"/>
          <w:sz w:val="28"/>
          <w:szCs w:val="28"/>
        </w:rPr>
        <w:t xml:space="preserve"> </w:t>
      </w:r>
      <w:r>
        <w:rPr>
          <w:rStyle w:val="word"/>
          <w:rFonts w:ascii="Times New Roman" w:hAnsi="Times New Roman" w:cs="Times New Roman"/>
          <w:sz w:val="28"/>
          <w:szCs w:val="28"/>
        </w:rPr>
        <w:t>ja</w:t>
      </w:r>
      <w:r w:rsidRPr="00B87B63">
        <w:rPr>
          <w:rStyle w:val="phrase"/>
          <w:rFonts w:ascii="Times New Roman" w:hAnsi="Times New Roman" w:cs="Times New Roman"/>
          <w:sz w:val="28"/>
          <w:szCs w:val="28"/>
        </w:rPr>
        <w:t xml:space="preserve"> </w:t>
      </w:r>
      <w:r w:rsidRPr="00B87B63">
        <w:rPr>
          <w:rStyle w:val="word"/>
          <w:rFonts w:ascii="Times New Roman" w:hAnsi="Times New Roman" w:cs="Times New Roman"/>
          <w:sz w:val="28"/>
          <w:szCs w:val="28"/>
        </w:rPr>
        <w:t>ir</w:t>
      </w:r>
      <w:r w:rsidRPr="00B87B63">
        <w:rPr>
          <w:rStyle w:val="phrase"/>
          <w:rFonts w:ascii="Times New Roman" w:hAnsi="Times New Roman" w:cs="Times New Roman"/>
          <w:sz w:val="28"/>
          <w:szCs w:val="28"/>
        </w:rPr>
        <w:t xml:space="preserve"> </w:t>
      </w:r>
      <w:r w:rsidRPr="00B87B63">
        <w:rPr>
          <w:rStyle w:val="word"/>
          <w:rFonts w:ascii="Times New Roman" w:hAnsi="Times New Roman" w:cs="Times New Roman"/>
          <w:sz w:val="28"/>
          <w:szCs w:val="28"/>
        </w:rPr>
        <w:t>atcelts</w:t>
      </w:r>
      <w:r w:rsidRPr="00B87B63">
        <w:rPr>
          <w:rStyle w:val="phrase"/>
          <w:rFonts w:ascii="Times New Roman" w:hAnsi="Times New Roman" w:cs="Times New Roman"/>
          <w:sz w:val="28"/>
          <w:szCs w:val="28"/>
        </w:rPr>
        <w:t xml:space="preserve"> </w:t>
      </w:r>
      <w:r>
        <w:rPr>
          <w:rStyle w:val="word"/>
          <w:rFonts w:ascii="Times New Roman" w:hAnsi="Times New Roman" w:cs="Times New Roman"/>
          <w:sz w:val="28"/>
          <w:szCs w:val="28"/>
        </w:rPr>
        <w:t xml:space="preserve">pasākums, </w:t>
      </w:r>
      <w:r w:rsidRPr="00B87B63">
        <w:rPr>
          <w:rStyle w:val="phrase"/>
          <w:rFonts w:ascii="Times New Roman" w:hAnsi="Times New Roman" w:cs="Times New Roman"/>
          <w:sz w:val="28"/>
          <w:szCs w:val="28"/>
        </w:rPr>
        <w:t xml:space="preserve"> </w:t>
      </w:r>
      <w:r w:rsidRPr="00B87B63">
        <w:rPr>
          <w:rStyle w:val="word"/>
          <w:rFonts w:ascii="Times New Roman" w:hAnsi="Times New Roman" w:cs="Times New Roman"/>
          <w:sz w:val="28"/>
          <w:szCs w:val="28"/>
        </w:rPr>
        <w:t>reaģējot</w:t>
      </w:r>
      <w:r w:rsidRPr="00B87B63">
        <w:rPr>
          <w:rStyle w:val="phrase"/>
          <w:rFonts w:ascii="Times New Roman" w:hAnsi="Times New Roman" w:cs="Times New Roman"/>
          <w:sz w:val="28"/>
          <w:szCs w:val="28"/>
        </w:rPr>
        <w:t xml:space="preserve"> </w:t>
      </w:r>
      <w:r w:rsidRPr="00B87B63">
        <w:rPr>
          <w:rStyle w:val="word"/>
          <w:rFonts w:ascii="Times New Roman" w:hAnsi="Times New Roman" w:cs="Times New Roman"/>
          <w:sz w:val="28"/>
          <w:szCs w:val="28"/>
        </w:rPr>
        <w:t>uz</w:t>
      </w:r>
      <w:r w:rsidRPr="00B87B63">
        <w:rPr>
          <w:rStyle w:val="phrase"/>
          <w:rFonts w:ascii="Times New Roman" w:hAnsi="Times New Roman" w:cs="Times New Roman"/>
          <w:sz w:val="28"/>
          <w:szCs w:val="28"/>
        </w:rPr>
        <w:t xml:space="preserve"> </w:t>
      </w:r>
      <w:r w:rsidR="00B110A1">
        <w:rPr>
          <w:rFonts w:ascii="Times New Roman" w:hAnsi="Times New Roman" w:cs="Times New Roman"/>
          <w:sz w:val="28"/>
          <w:szCs w:val="28"/>
        </w:rPr>
        <w:t xml:space="preserve">Covid-19 </w:t>
      </w:r>
      <w:r w:rsidRPr="00B87B63">
        <w:rPr>
          <w:rStyle w:val="word"/>
          <w:rFonts w:ascii="Times New Roman" w:hAnsi="Times New Roman" w:cs="Times New Roman"/>
          <w:sz w:val="28"/>
          <w:szCs w:val="28"/>
        </w:rPr>
        <w:t>vīrusa</w:t>
      </w:r>
      <w:r w:rsidRPr="00B87B63">
        <w:rPr>
          <w:rStyle w:val="phrase"/>
          <w:rFonts w:ascii="Times New Roman" w:hAnsi="Times New Roman" w:cs="Times New Roman"/>
          <w:sz w:val="28"/>
          <w:szCs w:val="28"/>
        </w:rPr>
        <w:t xml:space="preserve"> </w:t>
      </w:r>
      <w:r w:rsidRPr="00B87B63">
        <w:rPr>
          <w:rStyle w:val="word"/>
          <w:rFonts w:ascii="Times New Roman" w:hAnsi="Times New Roman" w:cs="Times New Roman"/>
          <w:sz w:val="28"/>
          <w:szCs w:val="28"/>
        </w:rPr>
        <w:t>izplatīšanos.</w:t>
      </w:r>
      <w:r>
        <w:rPr>
          <w:rStyle w:val="word"/>
          <w:rFonts w:ascii="Times New Roman" w:hAnsi="Times New Roman" w:cs="Times New Roman"/>
          <w:sz w:val="28"/>
          <w:szCs w:val="28"/>
        </w:rPr>
        <w:t xml:space="preserve"> Piemēram</w:t>
      </w:r>
      <w:r w:rsidR="00562843">
        <w:rPr>
          <w:rStyle w:val="word"/>
          <w:rFonts w:ascii="Times New Roman" w:hAnsi="Times New Roman" w:cs="Times New Roman"/>
          <w:sz w:val="28"/>
          <w:szCs w:val="28"/>
        </w:rPr>
        <w:t>,</w:t>
      </w:r>
      <w:r>
        <w:rPr>
          <w:rStyle w:val="word"/>
          <w:rFonts w:ascii="Times New Roman" w:hAnsi="Times New Roman" w:cs="Times New Roman"/>
          <w:sz w:val="28"/>
          <w:szCs w:val="28"/>
        </w:rPr>
        <w:t xml:space="preserve"> </w:t>
      </w:r>
      <w:r w:rsidRPr="00B87B63">
        <w:rPr>
          <w:rStyle w:val="word"/>
          <w:rFonts w:ascii="Times New Roman" w:hAnsi="Times New Roman" w:cs="Times New Roman"/>
          <w:sz w:val="28"/>
          <w:szCs w:val="28"/>
        </w:rPr>
        <w:t xml:space="preserve">Zviedrija </w:t>
      </w:r>
      <w:r w:rsidR="009D72C4">
        <w:rPr>
          <w:rStyle w:val="word"/>
          <w:rFonts w:ascii="Times New Roman" w:hAnsi="Times New Roman" w:cs="Times New Roman"/>
          <w:sz w:val="28"/>
          <w:szCs w:val="28"/>
        </w:rPr>
        <w:t>p</w:t>
      </w:r>
      <w:r w:rsidRPr="00B87B63">
        <w:rPr>
          <w:rStyle w:val="word"/>
          <w:rFonts w:ascii="Times New Roman" w:hAnsi="Times New Roman" w:cs="Times New Roman"/>
          <w:sz w:val="28"/>
          <w:szCs w:val="28"/>
        </w:rPr>
        <w:t>asākum</w:t>
      </w:r>
      <w:r w:rsidR="009D72C4">
        <w:rPr>
          <w:rStyle w:val="word"/>
          <w:rFonts w:ascii="Times New Roman" w:hAnsi="Times New Roman" w:cs="Times New Roman"/>
          <w:sz w:val="28"/>
          <w:szCs w:val="28"/>
        </w:rPr>
        <w:t>us</w:t>
      </w:r>
      <w:r w:rsidRPr="00B87B63">
        <w:rPr>
          <w:rStyle w:val="phrase"/>
          <w:rFonts w:ascii="Times New Roman" w:hAnsi="Times New Roman" w:cs="Times New Roman"/>
          <w:sz w:val="28"/>
          <w:szCs w:val="28"/>
        </w:rPr>
        <w:t xml:space="preserve"> </w:t>
      </w:r>
      <w:r w:rsidRPr="00B87B63">
        <w:rPr>
          <w:rStyle w:val="word"/>
          <w:rFonts w:ascii="Times New Roman" w:hAnsi="Times New Roman" w:cs="Times New Roman"/>
          <w:sz w:val="28"/>
          <w:szCs w:val="28"/>
        </w:rPr>
        <w:t>kompensēs</w:t>
      </w:r>
      <w:r w:rsidR="00534AD4">
        <w:rPr>
          <w:rStyle w:val="phrase"/>
          <w:rFonts w:ascii="Times New Roman" w:hAnsi="Times New Roman" w:cs="Times New Roman"/>
          <w:sz w:val="28"/>
          <w:szCs w:val="28"/>
        </w:rPr>
        <w:t xml:space="preserve"> </w:t>
      </w:r>
      <w:r w:rsidRPr="00B87B63">
        <w:rPr>
          <w:rStyle w:val="word"/>
          <w:rFonts w:ascii="Times New Roman" w:hAnsi="Times New Roman" w:cs="Times New Roman"/>
          <w:sz w:val="28"/>
          <w:szCs w:val="28"/>
        </w:rPr>
        <w:t>75%</w:t>
      </w:r>
      <w:r w:rsidRPr="00B87B63">
        <w:rPr>
          <w:rStyle w:val="phrase"/>
          <w:rFonts w:ascii="Times New Roman" w:hAnsi="Times New Roman" w:cs="Times New Roman"/>
          <w:sz w:val="28"/>
          <w:szCs w:val="28"/>
        </w:rPr>
        <w:t xml:space="preserve"> </w:t>
      </w:r>
      <w:r w:rsidR="00562843">
        <w:rPr>
          <w:rStyle w:val="phrase"/>
          <w:rFonts w:ascii="Times New Roman" w:hAnsi="Times New Roman" w:cs="Times New Roman"/>
          <w:sz w:val="28"/>
          <w:szCs w:val="28"/>
        </w:rPr>
        <w:t xml:space="preserve">apmērā no </w:t>
      </w:r>
      <w:r w:rsidRPr="00B87B63">
        <w:rPr>
          <w:rStyle w:val="word"/>
          <w:rFonts w:ascii="Times New Roman" w:hAnsi="Times New Roman" w:cs="Times New Roman"/>
          <w:sz w:val="28"/>
          <w:szCs w:val="28"/>
        </w:rPr>
        <w:t>ieņēmumu</w:t>
      </w:r>
      <w:r w:rsidRPr="00B87B63">
        <w:rPr>
          <w:rStyle w:val="phrase"/>
          <w:rFonts w:ascii="Times New Roman" w:hAnsi="Times New Roman" w:cs="Times New Roman"/>
          <w:sz w:val="28"/>
          <w:szCs w:val="28"/>
        </w:rPr>
        <w:t xml:space="preserve"> </w:t>
      </w:r>
      <w:r w:rsidRPr="00B87B63">
        <w:rPr>
          <w:rStyle w:val="word"/>
          <w:rFonts w:ascii="Times New Roman" w:hAnsi="Times New Roman" w:cs="Times New Roman"/>
          <w:sz w:val="28"/>
          <w:szCs w:val="28"/>
        </w:rPr>
        <w:t>zaudējum</w:t>
      </w:r>
      <w:r w:rsidR="00562843">
        <w:rPr>
          <w:rStyle w:val="word"/>
          <w:rFonts w:ascii="Times New Roman" w:hAnsi="Times New Roman" w:cs="Times New Roman"/>
          <w:sz w:val="28"/>
          <w:szCs w:val="28"/>
        </w:rPr>
        <w:t>a,</w:t>
      </w:r>
      <w:r w:rsidR="009D72C4">
        <w:rPr>
          <w:rStyle w:val="word"/>
          <w:rFonts w:ascii="Times New Roman" w:hAnsi="Times New Roman" w:cs="Times New Roman"/>
          <w:sz w:val="28"/>
          <w:szCs w:val="28"/>
        </w:rPr>
        <w:t xml:space="preserve"> ja</w:t>
      </w:r>
      <w:r w:rsidRPr="00B87B63">
        <w:rPr>
          <w:rStyle w:val="word"/>
          <w:rFonts w:ascii="Times New Roman" w:hAnsi="Times New Roman" w:cs="Times New Roman"/>
          <w:sz w:val="28"/>
          <w:szCs w:val="28"/>
        </w:rPr>
        <w:t xml:space="preserve"> kompensējamā summa pārsniedz 90</w:t>
      </w:r>
      <w:r w:rsidRPr="00B87B63">
        <w:rPr>
          <w:rStyle w:val="phrase"/>
          <w:rFonts w:ascii="Times New Roman" w:hAnsi="Times New Roman" w:cs="Times New Roman"/>
          <w:sz w:val="28"/>
          <w:szCs w:val="28"/>
        </w:rPr>
        <w:t> </w:t>
      </w:r>
      <w:r w:rsidRPr="00B87B63">
        <w:rPr>
          <w:rStyle w:val="word"/>
          <w:rFonts w:ascii="Times New Roman" w:hAnsi="Times New Roman" w:cs="Times New Roman"/>
          <w:sz w:val="28"/>
          <w:szCs w:val="28"/>
        </w:rPr>
        <w:t xml:space="preserve">600 </w:t>
      </w:r>
      <w:r w:rsidRPr="00562843">
        <w:rPr>
          <w:rStyle w:val="word"/>
          <w:rFonts w:ascii="Times New Roman" w:hAnsi="Times New Roman" w:cs="Times New Roman"/>
          <w:i/>
          <w:sz w:val="28"/>
          <w:szCs w:val="28"/>
        </w:rPr>
        <w:t>euro</w:t>
      </w:r>
      <w:r w:rsidRPr="00B87B63">
        <w:rPr>
          <w:rStyle w:val="word"/>
          <w:rFonts w:ascii="Times New Roman" w:hAnsi="Times New Roman" w:cs="Times New Roman"/>
          <w:sz w:val="28"/>
          <w:szCs w:val="28"/>
        </w:rPr>
        <w:t>, tad atbalsta intensitāte vienam uzņēmumam ir 50% no zaudētajiem ieņēmumiem</w:t>
      </w:r>
      <w:r>
        <w:rPr>
          <w:rStyle w:val="word"/>
          <w:rFonts w:ascii="Times New Roman" w:hAnsi="Times New Roman" w:cs="Times New Roman"/>
          <w:sz w:val="28"/>
          <w:szCs w:val="28"/>
        </w:rPr>
        <w:t xml:space="preserve">, savukārt </w:t>
      </w:r>
      <w:r w:rsidRPr="00B87B63">
        <w:rPr>
          <w:rFonts w:ascii="Times New Roman" w:hAnsi="Times New Roman" w:cs="Times New Roman"/>
          <w:sz w:val="28"/>
          <w:szCs w:val="28"/>
        </w:rPr>
        <w:t>Dānij</w:t>
      </w:r>
      <w:r>
        <w:rPr>
          <w:rFonts w:ascii="Times New Roman" w:hAnsi="Times New Roman" w:cs="Times New Roman"/>
          <w:sz w:val="28"/>
          <w:szCs w:val="28"/>
        </w:rPr>
        <w:t xml:space="preserve">ā </w:t>
      </w:r>
      <w:r w:rsidRPr="00B87B63">
        <w:rPr>
          <w:rFonts w:ascii="Times New Roman" w:hAnsi="Times New Roman" w:cs="Times New Roman"/>
          <w:sz w:val="28"/>
          <w:szCs w:val="28"/>
        </w:rPr>
        <w:t xml:space="preserve">par nenotikušiem pasākumiem, atbalsta intensitāte netiek noteikta. Viens uzņēmums var saņemt ne vairāk  kā  67 000 </w:t>
      </w:r>
      <w:r w:rsidRPr="00562843">
        <w:rPr>
          <w:rFonts w:ascii="Times New Roman" w:hAnsi="Times New Roman" w:cs="Times New Roman"/>
          <w:i/>
          <w:sz w:val="28"/>
          <w:szCs w:val="28"/>
        </w:rPr>
        <w:t>eur</w:t>
      </w:r>
      <w:r w:rsidRPr="00562843" w:rsidR="00562843">
        <w:rPr>
          <w:rFonts w:ascii="Times New Roman" w:hAnsi="Times New Roman" w:cs="Times New Roman"/>
          <w:i/>
          <w:sz w:val="28"/>
          <w:szCs w:val="28"/>
        </w:rPr>
        <w:t>o</w:t>
      </w:r>
      <w:r w:rsidRPr="00B87B63">
        <w:rPr>
          <w:rFonts w:ascii="Times New Roman" w:hAnsi="Times New Roman" w:cs="Times New Roman"/>
          <w:sz w:val="28"/>
          <w:szCs w:val="28"/>
        </w:rPr>
        <w:t>.</w:t>
      </w:r>
    </w:p>
    <w:p w:rsidR="00B87B63" w:rsidP="00B87B63" w:rsidRDefault="00B87B63" w14:paraId="1AC5C88A" w14:textId="46F4A7F5">
      <w:pPr>
        <w:spacing w:after="0" w:line="240" w:lineRule="auto"/>
        <w:ind w:firstLine="714"/>
        <w:jc w:val="both"/>
        <w:rPr>
          <w:rFonts w:ascii="Times New Roman" w:hAnsi="Times New Roman" w:cs="Times New Roman"/>
          <w:sz w:val="28"/>
          <w:szCs w:val="28"/>
        </w:rPr>
      </w:pPr>
      <w:r w:rsidRPr="002122AB">
        <w:rPr>
          <w:rFonts w:ascii="Times New Roman" w:hAnsi="Times New Roman" w:cs="Times New Roman"/>
          <w:sz w:val="28"/>
          <w:szCs w:val="28"/>
        </w:rPr>
        <w:t>Latvijas</w:t>
      </w:r>
      <w:r w:rsidR="00B110A1">
        <w:rPr>
          <w:rFonts w:ascii="Times New Roman" w:hAnsi="Times New Roman" w:cs="Times New Roman"/>
          <w:sz w:val="28"/>
          <w:szCs w:val="28"/>
        </w:rPr>
        <w:t xml:space="preserve"> </w:t>
      </w:r>
      <w:r w:rsidRPr="002122AB">
        <w:rPr>
          <w:rFonts w:ascii="Times New Roman" w:hAnsi="Times New Roman" w:cs="Times New Roman"/>
          <w:sz w:val="28"/>
          <w:szCs w:val="28"/>
        </w:rPr>
        <w:t>Pasākumu</w:t>
      </w:r>
      <w:r w:rsidR="00B110A1">
        <w:rPr>
          <w:rFonts w:ascii="Times New Roman" w:hAnsi="Times New Roman" w:cs="Times New Roman"/>
          <w:sz w:val="28"/>
          <w:szCs w:val="28"/>
        </w:rPr>
        <w:t xml:space="preserve"> </w:t>
      </w:r>
      <w:r w:rsidRPr="002122AB">
        <w:rPr>
          <w:rFonts w:ascii="Times New Roman" w:hAnsi="Times New Roman" w:cs="Times New Roman"/>
          <w:sz w:val="28"/>
          <w:szCs w:val="28"/>
        </w:rPr>
        <w:t>rīkotāju</w:t>
      </w:r>
      <w:r w:rsidR="00B110A1">
        <w:rPr>
          <w:rFonts w:ascii="Times New Roman" w:hAnsi="Times New Roman" w:cs="Times New Roman"/>
          <w:sz w:val="28"/>
          <w:szCs w:val="28"/>
        </w:rPr>
        <w:t xml:space="preserve"> </w:t>
      </w:r>
      <w:r w:rsidRPr="002122AB">
        <w:rPr>
          <w:rFonts w:ascii="Times New Roman" w:hAnsi="Times New Roman" w:cs="Times New Roman"/>
          <w:sz w:val="28"/>
          <w:szCs w:val="28"/>
        </w:rPr>
        <w:t>un</w:t>
      </w:r>
      <w:r w:rsidR="00B110A1">
        <w:rPr>
          <w:rFonts w:ascii="Times New Roman" w:hAnsi="Times New Roman" w:cs="Times New Roman"/>
          <w:sz w:val="28"/>
          <w:szCs w:val="28"/>
        </w:rPr>
        <w:t xml:space="preserve"> </w:t>
      </w:r>
      <w:r w:rsidRPr="002122AB">
        <w:rPr>
          <w:rFonts w:ascii="Times New Roman" w:hAnsi="Times New Roman" w:cs="Times New Roman"/>
          <w:sz w:val="28"/>
          <w:szCs w:val="28"/>
        </w:rPr>
        <w:t>pasākumu</w:t>
      </w:r>
      <w:r w:rsidR="00B110A1">
        <w:rPr>
          <w:rFonts w:ascii="Times New Roman" w:hAnsi="Times New Roman" w:cs="Times New Roman"/>
          <w:sz w:val="28"/>
          <w:szCs w:val="28"/>
        </w:rPr>
        <w:t xml:space="preserve"> </w:t>
      </w:r>
      <w:r w:rsidRPr="002122AB">
        <w:rPr>
          <w:rFonts w:ascii="Times New Roman" w:hAnsi="Times New Roman" w:cs="Times New Roman"/>
          <w:sz w:val="28"/>
          <w:szCs w:val="28"/>
        </w:rPr>
        <w:t>producentu</w:t>
      </w:r>
      <w:r w:rsidR="00B110A1">
        <w:rPr>
          <w:rFonts w:ascii="Times New Roman" w:hAnsi="Times New Roman" w:cs="Times New Roman"/>
          <w:sz w:val="28"/>
          <w:szCs w:val="28"/>
        </w:rPr>
        <w:t xml:space="preserve"> </w:t>
      </w:r>
      <w:r w:rsidRPr="002122AB">
        <w:rPr>
          <w:rFonts w:ascii="Times New Roman" w:hAnsi="Times New Roman" w:cs="Times New Roman"/>
          <w:sz w:val="28"/>
          <w:szCs w:val="28"/>
        </w:rPr>
        <w:t>padom</w:t>
      </w:r>
      <w:r>
        <w:rPr>
          <w:rFonts w:ascii="Times New Roman" w:hAnsi="Times New Roman" w:cs="Times New Roman"/>
          <w:sz w:val="28"/>
          <w:szCs w:val="28"/>
        </w:rPr>
        <w:t xml:space="preserve">e atzīmē, ka  nozarē atkarībā no pasākumu veida 80-95% pasākuma biļešu ieņēmumi tiek novirzīti pasākuma tiešo izdevumu segšanai, tādēļ rosinājusi Kultūras ministrijai biļešu kompensāciju veikt 80% apmērā no skatītājiem atmaksātajiem līdzekļiem.  </w:t>
      </w:r>
    </w:p>
    <w:p w:rsidRPr="0009576A" w:rsidR="00B87B63" w:rsidP="00B87B63" w:rsidRDefault="00B87B63" w14:paraId="30AB10CE" w14:textId="77777777">
      <w:pPr>
        <w:spacing w:after="0" w:line="240" w:lineRule="auto"/>
        <w:jc w:val="both"/>
        <w:rPr>
          <w:rFonts w:ascii="Times New Roman" w:hAnsi="Times New Roman" w:cs="Times New Roman"/>
          <w:sz w:val="28"/>
          <w:szCs w:val="28"/>
        </w:rPr>
      </w:pPr>
    </w:p>
    <w:p w:rsidR="008C153D" w:rsidP="00ED59FD" w:rsidRDefault="00C47906" w14:paraId="3209F9F7" w14:textId="761437BC">
      <w:pPr>
        <w:spacing w:after="0" w:line="240" w:lineRule="auto"/>
        <w:ind w:left="284" w:hanging="284"/>
        <w:jc w:val="center"/>
        <w:rPr>
          <w:rFonts w:ascii="Times New Roman" w:hAnsi="Times New Roman" w:cs="Times New Roman"/>
          <w:b/>
          <w:bCs/>
          <w:sz w:val="28"/>
          <w:szCs w:val="28"/>
        </w:rPr>
      </w:pPr>
      <w:r w:rsidRPr="00C47906">
        <w:rPr>
          <w:rFonts w:ascii="Times New Roman" w:hAnsi="Times New Roman" w:cs="Times New Roman"/>
          <w:b/>
          <w:bCs/>
          <w:sz w:val="28"/>
          <w:szCs w:val="28"/>
        </w:rPr>
        <w:t>2.</w:t>
      </w:r>
      <w:r w:rsidRPr="00C47906">
        <w:rPr>
          <w:rFonts w:ascii="Times New Roman" w:hAnsi="Times New Roman" w:cs="Times New Roman"/>
          <w:b/>
          <w:bCs/>
          <w:sz w:val="28"/>
          <w:szCs w:val="28"/>
        </w:rPr>
        <w:tab/>
        <w:t xml:space="preserve">Piedāvātais risinājums </w:t>
      </w:r>
      <w:r w:rsidRPr="008C153D" w:rsidR="008C153D">
        <w:rPr>
          <w:rFonts w:ascii="Times New Roman" w:hAnsi="Times New Roman" w:cs="Times New Roman"/>
          <w:b/>
          <w:bCs/>
          <w:sz w:val="28"/>
          <w:szCs w:val="28"/>
        </w:rPr>
        <w:t>atbalsta pasākum</w:t>
      </w:r>
      <w:r w:rsidR="00F60ED9">
        <w:rPr>
          <w:rFonts w:ascii="Times New Roman" w:hAnsi="Times New Roman" w:cs="Times New Roman"/>
          <w:b/>
          <w:bCs/>
          <w:sz w:val="28"/>
          <w:szCs w:val="28"/>
        </w:rPr>
        <w:t>a īstenošanai</w:t>
      </w:r>
      <w:r w:rsidRPr="008C153D" w:rsidR="008C153D">
        <w:rPr>
          <w:rFonts w:ascii="Times New Roman" w:hAnsi="Times New Roman" w:cs="Times New Roman"/>
          <w:b/>
          <w:bCs/>
          <w:sz w:val="28"/>
          <w:szCs w:val="28"/>
        </w:rPr>
        <w:t xml:space="preserve"> Covid-19 krīzes </w:t>
      </w:r>
    </w:p>
    <w:p w:rsidR="00500A96" w:rsidP="00ED59FD" w:rsidRDefault="008C153D" w14:paraId="40B9DC88" w14:textId="5ED87B95">
      <w:pPr>
        <w:spacing w:after="0" w:line="240" w:lineRule="auto"/>
        <w:ind w:left="284" w:hanging="284"/>
        <w:jc w:val="center"/>
        <w:rPr>
          <w:rFonts w:ascii="Times New Roman" w:hAnsi="Times New Roman" w:cs="Times New Roman"/>
          <w:b/>
          <w:bCs/>
          <w:sz w:val="28"/>
          <w:szCs w:val="28"/>
        </w:rPr>
      </w:pPr>
      <w:r w:rsidRPr="008C153D">
        <w:rPr>
          <w:rFonts w:ascii="Times New Roman" w:hAnsi="Times New Roman" w:cs="Times New Roman"/>
          <w:b/>
          <w:bCs/>
          <w:sz w:val="28"/>
          <w:szCs w:val="28"/>
        </w:rPr>
        <w:t>ietekmētajiem kultūras pasākumu rīkotājiem</w:t>
      </w:r>
    </w:p>
    <w:p w:rsidRPr="00C47906" w:rsidR="00ED59FD" w:rsidP="00ED59FD" w:rsidRDefault="00ED59FD" w14:paraId="29A0A2B3" w14:textId="77777777">
      <w:pPr>
        <w:spacing w:after="0" w:line="240" w:lineRule="auto"/>
        <w:jc w:val="center"/>
        <w:rPr>
          <w:rFonts w:ascii="Times New Roman" w:hAnsi="Times New Roman" w:cs="Times New Roman"/>
          <w:b/>
          <w:bCs/>
          <w:sz w:val="28"/>
          <w:szCs w:val="28"/>
        </w:rPr>
      </w:pPr>
    </w:p>
    <w:p w:rsidR="00500A96" w:rsidP="00ED59FD" w:rsidRDefault="00500A96" w14:paraId="1785A439" w14:textId="40C49B23">
      <w:pPr>
        <w:spacing w:after="0" w:line="240" w:lineRule="auto"/>
        <w:ind w:firstLine="714"/>
        <w:jc w:val="both"/>
        <w:rPr>
          <w:rFonts w:ascii="Times New Roman" w:hAnsi="Times New Roman" w:cs="Times New Roman"/>
          <w:sz w:val="28"/>
          <w:szCs w:val="28"/>
        </w:rPr>
      </w:pPr>
      <w:r w:rsidRPr="0009576A">
        <w:rPr>
          <w:rFonts w:ascii="Times New Roman" w:hAnsi="Times New Roman" w:cs="Times New Roman"/>
          <w:sz w:val="28"/>
          <w:szCs w:val="28"/>
        </w:rPr>
        <w:t>Saskaņā ar</w:t>
      </w:r>
      <w:r w:rsidRPr="0009576A" w:rsidR="00760F47">
        <w:rPr>
          <w:rFonts w:ascii="Times New Roman" w:hAnsi="Times New Roman" w:cs="Times New Roman"/>
          <w:sz w:val="28"/>
          <w:szCs w:val="28"/>
        </w:rPr>
        <w:t xml:space="preserve"> Covid-19 </w:t>
      </w:r>
      <w:r w:rsidR="008C153D">
        <w:rPr>
          <w:rFonts w:ascii="Times New Roman" w:hAnsi="Times New Roman" w:cs="Times New Roman"/>
          <w:sz w:val="28"/>
          <w:szCs w:val="28"/>
        </w:rPr>
        <w:t>infekcijas</w:t>
      </w:r>
      <w:r w:rsidRPr="0009576A" w:rsidR="00760F47">
        <w:rPr>
          <w:rFonts w:ascii="Times New Roman" w:hAnsi="Times New Roman" w:cs="Times New Roman"/>
          <w:sz w:val="28"/>
          <w:szCs w:val="28"/>
        </w:rPr>
        <w:t xml:space="preserve"> izplatības pārvaldības likuma 7.pant</w:t>
      </w:r>
      <w:r w:rsidRPr="0009576A">
        <w:rPr>
          <w:rFonts w:ascii="Times New Roman" w:hAnsi="Times New Roman" w:cs="Times New Roman"/>
          <w:sz w:val="28"/>
          <w:szCs w:val="28"/>
        </w:rPr>
        <w:t>u, kā arī ņemot vērā ārkārt</w:t>
      </w:r>
      <w:r w:rsidR="008C153D">
        <w:rPr>
          <w:rFonts w:ascii="Times New Roman" w:hAnsi="Times New Roman" w:cs="Times New Roman"/>
          <w:sz w:val="28"/>
          <w:szCs w:val="28"/>
        </w:rPr>
        <w:t>ējās</w:t>
      </w:r>
      <w:r w:rsidRPr="0009576A">
        <w:rPr>
          <w:rFonts w:ascii="Times New Roman" w:hAnsi="Times New Roman" w:cs="Times New Roman"/>
          <w:sz w:val="28"/>
          <w:szCs w:val="28"/>
        </w:rPr>
        <w:t xml:space="preserve"> situācijas ierobežojumu ietekmi uz kultūras pasākumu </w:t>
      </w:r>
      <w:r w:rsidRPr="0009576A">
        <w:rPr>
          <w:rFonts w:ascii="Times New Roman" w:hAnsi="Times New Roman" w:cs="Times New Roman"/>
          <w:sz w:val="28"/>
          <w:szCs w:val="28"/>
        </w:rPr>
        <w:lastRenderedPageBreak/>
        <w:t>nozari, Kultūras ministrija ir izstrādājusi kultūras pasākumu biļešu kompensācijas mehānismu</w:t>
      </w:r>
      <w:r w:rsidRPr="0009576A" w:rsidR="00760F47">
        <w:rPr>
          <w:rFonts w:ascii="Times New Roman" w:hAnsi="Times New Roman" w:cs="Times New Roman"/>
          <w:sz w:val="28"/>
          <w:szCs w:val="28"/>
        </w:rPr>
        <w:t>.</w:t>
      </w:r>
    </w:p>
    <w:p w:rsidR="00425E73" w:rsidP="00ED59FD" w:rsidRDefault="00074283" w14:paraId="12E95712" w14:textId="47830D09">
      <w:pPr>
        <w:spacing w:after="0" w:line="240" w:lineRule="auto"/>
        <w:ind w:firstLine="714"/>
        <w:jc w:val="both"/>
        <w:rPr>
          <w:rFonts w:ascii="Times New Roman" w:hAnsi="Times New Roman" w:cs="Times New Roman"/>
          <w:sz w:val="28"/>
          <w:szCs w:val="28"/>
        </w:rPr>
      </w:pPr>
      <w:r w:rsidRPr="002D0A7B">
        <w:rPr>
          <w:rFonts w:ascii="Times New Roman" w:hAnsi="Times New Roman" w:cs="Times New Roman"/>
          <w:sz w:val="28"/>
          <w:szCs w:val="28"/>
        </w:rPr>
        <w:t xml:space="preserve">Ņemot vērā, ka pasākumu rīkotāji vidēji plāno katra pasākuma peļņu no 20% </w:t>
      </w:r>
      <w:r w:rsidR="00B110A1">
        <w:rPr>
          <w:rFonts w:ascii="Times New Roman" w:hAnsi="Times New Roman" w:cs="Times New Roman"/>
          <w:sz w:val="28"/>
          <w:szCs w:val="28"/>
        </w:rPr>
        <w:t>līdz</w:t>
      </w:r>
      <w:r w:rsidRPr="002D0A7B" w:rsidR="00B110A1">
        <w:rPr>
          <w:rFonts w:ascii="Times New Roman" w:hAnsi="Times New Roman" w:cs="Times New Roman"/>
          <w:sz w:val="28"/>
          <w:szCs w:val="28"/>
        </w:rPr>
        <w:t xml:space="preserve"> </w:t>
      </w:r>
      <w:r w:rsidRPr="002D0A7B">
        <w:rPr>
          <w:rFonts w:ascii="Times New Roman" w:hAnsi="Times New Roman" w:cs="Times New Roman"/>
          <w:sz w:val="28"/>
          <w:szCs w:val="28"/>
        </w:rPr>
        <w:t>5%</w:t>
      </w:r>
      <w:r w:rsidR="00B110A1">
        <w:rPr>
          <w:rFonts w:ascii="Times New Roman" w:hAnsi="Times New Roman" w:cs="Times New Roman"/>
          <w:sz w:val="28"/>
          <w:szCs w:val="28"/>
        </w:rPr>
        <w:t>,</w:t>
      </w:r>
      <w:r w:rsidRPr="002D0A7B">
        <w:rPr>
          <w:rFonts w:ascii="Times New Roman" w:hAnsi="Times New Roman" w:cs="Times New Roman"/>
          <w:sz w:val="28"/>
          <w:szCs w:val="28"/>
        </w:rPr>
        <w:t xml:space="preserve"> k</w:t>
      </w:r>
      <w:r w:rsidRPr="002D0A7B" w:rsidR="00500A96">
        <w:rPr>
          <w:rFonts w:ascii="Times New Roman" w:hAnsi="Times New Roman" w:cs="Times New Roman"/>
          <w:sz w:val="28"/>
          <w:szCs w:val="28"/>
        </w:rPr>
        <w:t xml:space="preserve">ultūras pasākumu </w:t>
      </w:r>
      <w:r w:rsidRPr="002D0A7B" w:rsidR="00B7012C">
        <w:rPr>
          <w:rFonts w:ascii="Times New Roman" w:hAnsi="Times New Roman" w:cs="Times New Roman"/>
          <w:sz w:val="28"/>
          <w:szCs w:val="28"/>
        </w:rPr>
        <w:t>biļešu kompensācij</w:t>
      </w:r>
      <w:r w:rsidRPr="002D0A7B" w:rsidR="00500A96">
        <w:rPr>
          <w:rFonts w:ascii="Times New Roman" w:hAnsi="Times New Roman" w:cs="Times New Roman"/>
          <w:sz w:val="28"/>
          <w:szCs w:val="28"/>
        </w:rPr>
        <w:t>a</w:t>
      </w:r>
      <w:r w:rsidRPr="002D0A7B" w:rsidR="00B7012C">
        <w:rPr>
          <w:rFonts w:ascii="Times New Roman" w:hAnsi="Times New Roman" w:cs="Times New Roman"/>
          <w:sz w:val="28"/>
          <w:szCs w:val="28"/>
        </w:rPr>
        <w:t xml:space="preserve"> </w:t>
      </w:r>
      <w:r w:rsidRPr="002D0A7B" w:rsidR="00500A96">
        <w:rPr>
          <w:rFonts w:ascii="Times New Roman" w:hAnsi="Times New Roman" w:cs="Times New Roman"/>
          <w:sz w:val="28"/>
          <w:szCs w:val="28"/>
        </w:rPr>
        <w:t xml:space="preserve">plānota </w:t>
      </w:r>
      <w:r w:rsidRPr="002D0A7B" w:rsidR="00442AAB">
        <w:rPr>
          <w:rFonts w:ascii="Times New Roman" w:hAnsi="Times New Roman" w:cs="Times New Roman"/>
          <w:b/>
          <w:bCs/>
          <w:sz w:val="28"/>
          <w:szCs w:val="28"/>
        </w:rPr>
        <w:t xml:space="preserve">80% </w:t>
      </w:r>
      <w:r w:rsidRPr="002D0A7B" w:rsidR="00B7012C">
        <w:rPr>
          <w:rFonts w:ascii="Times New Roman" w:hAnsi="Times New Roman" w:cs="Times New Roman"/>
          <w:b/>
          <w:bCs/>
          <w:sz w:val="28"/>
          <w:szCs w:val="28"/>
        </w:rPr>
        <w:t xml:space="preserve">apmērā no </w:t>
      </w:r>
      <w:r w:rsidRPr="002D0A7B" w:rsidR="00760F47">
        <w:rPr>
          <w:rFonts w:ascii="Times New Roman" w:hAnsi="Times New Roman" w:cs="Times New Roman"/>
          <w:b/>
          <w:bCs/>
          <w:sz w:val="28"/>
          <w:szCs w:val="28"/>
        </w:rPr>
        <w:t xml:space="preserve">skatītājiem </w:t>
      </w:r>
      <w:r w:rsidRPr="002D0A7B" w:rsidR="00663839">
        <w:rPr>
          <w:rFonts w:ascii="Times New Roman" w:hAnsi="Times New Roman" w:cs="Times New Roman"/>
          <w:b/>
          <w:bCs/>
          <w:sz w:val="28"/>
          <w:szCs w:val="28"/>
        </w:rPr>
        <w:t xml:space="preserve">atmaksātās </w:t>
      </w:r>
      <w:r w:rsidRPr="002D0A7B" w:rsidR="00760F47">
        <w:rPr>
          <w:rFonts w:ascii="Times New Roman" w:hAnsi="Times New Roman" w:cs="Times New Roman"/>
          <w:b/>
          <w:bCs/>
          <w:sz w:val="28"/>
          <w:szCs w:val="28"/>
        </w:rPr>
        <w:t>biļešu kopsummas</w:t>
      </w:r>
      <w:r w:rsidRPr="002D0A7B">
        <w:rPr>
          <w:rFonts w:ascii="Times New Roman" w:hAnsi="Times New Roman" w:cs="Times New Roman"/>
          <w:b/>
          <w:bCs/>
          <w:sz w:val="28"/>
          <w:szCs w:val="28"/>
        </w:rPr>
        <w:t xml:space="preserve"> </w:t>
      </w:r>
      <w:r w:rsidRPr="003A7CFE">
        <w:rPr>
          <w:rFonts w:ascii="Times New Roman" w:hAnsi="Times New Roman" w:cs="Times New Roman"/>
          <w:sz w:val="28"/>
          <w:szCs w:val="28"/>
        </w:rPr>
        <w:t>(</w:t>
      </w:r>
      <w:r w:rsidRPr="002D0A7B">
        <w:rPr>
          <w:rFonts w:ascii="Times New Roman" w:hAnsi="Times New Roman" w:cs="Times New Roman"/>
          <w:bCs/>
          <w:sz w:val="28"/>
          <w:szCs w:val="28"/>
        </w:rPr>
        <w:t>kas ir pasākumu rīkotāju tiešie un vienīgie ieņēmumi)</w:t>
      </w:r>
      <w:r w:rsidRPr="002D0A7B" w:rsidR="00A94BC3">
        <w:rPr>
          <w:rFonts w:ascii="Times New Roman" w:hAnsi="Times New Roman" w:cs="Times New Roman"/>
          <w:sz w:val="28"/>
          <w:szCs w:val="28"/>
        </w:rPr>
        <w:t xml:space="preserve"> un biļešu reversēšanas izmaksas.</w:t>
      </w:r>
      <w:r w:rsidRPr="002D0A7B" w:rsidR="00B7012C">
        <w:rPr>
          <w:rFonts w:ascii="Times New Roman" w:hAnsi="Times New Roman" w:cs="Times New Roman"/>
          <w:sz w:val="28"/>
          <w:szCs w:val="28"/>
        </w:rPr>
        <w:t xml:space="preserve"> </w:t>
      </w:r>
      <w:r w:rsidRPr="002D0A7B" w:rsidR="00663839">
        <w:rPr>
          <w:rFonts w:ascii="Times New Roman" w:hAnsi="Times New Roman" w:cs="Times New Roman"/>
          <w:sz w:val="28"/>
          <w:szCs w:val="28"/>
        </w:rPr>
        <w:t xml:space="preserve">Kompensācija tiks </w:t>
      </w:r>
      <w:r w:rsidRPr="0009576A" w:rsidR="00663839">
        <w:rPr>
          <w:rFonts w:ascii="Times New Roman" w:hAnsi="Times New Roman" w:cs="Times New Roman"/>
          <w:sz w:val="28"/>
          <w:szCs w:val="28"/>
        </w:rPr>
        <w:t xml:space="preserve">izmaksāta pasākuma rīkotājam par atceltajiem pasākumiem </w:t>
      </w:r>
      <w:r w:rsidRPr="0009576A" w:rsidR="00B372D0">
        <w:rPr>
          <w:rFonts w:ascii="Times New Roman" w:hAnsi="Times New Roman" w:cs="Times New Roman"/>
          <w:sz w:val="28"/>
          <w:szCs w:val="28"/>
        </w:rPr>
        <w:t>Ministru kabineta izsludinātās ārkārt</w:t>
      </w:r>
      <w:r w:rsidR="008C153D">
        <w:rPr>
          <w:rFonts w:ascii="Times New Roman" w:hAnsi="Times New Roman" w:cs="Times New Roman"/>
          <w:sz w:val="28"/>
          <w:szCs w:val="28"/>
        </w:rPr>
        <w:t>ējās</w:t>
      </w:r>
      <w:r w:rsidRPr="0009576A" w:rsidR="00663839">
        <w:rPr>
          <w:rFonts w:ascii="Times New Roman" w:hAnsi="Times New Roman" w:cs="Times New Roman"/>
          <w:sz w:val="28"/>
          <w:szCs w:val="28"/>
        </w:rPr>
        <w:t xml:space="preserve"> situācijas laikā</w:t>
      </w:r>
      <w:r w:rsidRPr="0009576A" w:rsidR="00B372D0">
        <w:rPr>
          <w:rFonts w:ascii="Times New Roman" w:hAnsi="Times New Roman" w:cs="Times New Roman"/>
          <w:sz w:val="28"/>
          <w:szCs w:val="28"/>
        </w:rPr>
        <w:t xml:space="preserve"> no 2020.gada 9.novembra līdz 2020.gada 6.decembrim</w:t>
      </w:r>
      <w:r w:rsidRPr="0009576A" w:rsidR="00B372D0">
        <w:rPr>
          <w:rFonts w:ascii="Times New Roman" w:hAnsi="Times New Roman" w:cs="Times New Roman"/>
          <w:sz w:val="28"/>
          <w:szCs w:val="28"/>
          <w:shd w:val="clear" w:color="auto" w:fill="FFFFFF"/>
        </w:rPr>
        <w:t xml:space="preserve"> </w:t>
      </w:r>
      <w:r w:rsidRPr="0009576A" w:rsidR="00663839">
        <w:rPr>
          <w:rFonts w:ascii="Times New Roman" w:hAnsi="Times New Roman" w:cs="Times New Roman"/>
          <w:sz w:val="28"/>
          <w:szCs w:val="28"/>
        </w:rPr>
        <w:t>un</w:t>
      </w:r>
      <w:r w:rsidRPr="0009576A" w:rsidR="00B372D0">
        <w:rPr>
          <w:rFonts w:ascii="Times New Roman" w:hAnsi="Times New Roman" w:cs="Times New Roman"/>
          <w:sz w:val="28"/>
          <w:szCs w:val="28"/>
        </w:rPr>
        <w:t xml:space="preserve"> turpmākajos periodos, par kuriem Ministru kabinets būs pieņēmis lēmumu par publisko pasākumu rīkošana</w:t>
      </w:r>
      <w:r w:rsidR="007E7633">
        <w:rPr>
          <w:rFonts w:ascii="Times New Roman" w:hAnsi="Times New Roman" w:cs="Times New Roman"/>
          <w:sz w:val="28"/>
          <w:szCs w:val="28"/>
        </w:rPr>
        <w:t>s</w:t>
      </w:r>
      <w:r w:rsidRPr="0009576A" w:rsidR="00B372D0">
        <w:rPr>
          <w:rFonts w:ascii="Times New Roman" w:hAnsi="Times New Roman" w:cs="Times New Roman"/>
          <w:sz w:val="28"/>
          <w:szCs w:val="28"/>
        </w:rPr>
        <w:t xml:space="preserve"> aizlieg</w:t>
      </w:r>
      <w:r w:rsidR="007E7633">
        <w:rPr>
          <w:rFonts w:ascii="Times New Roman" w:hAnsi="Times New Roman" w:cs="Times New Roman"/>
          <w:sz w:val="28"/>
          <w:szCs w:val="28"/>
        </w:rPr>
        <w:t>umu</w:t>
      </w:r>
      <w:r w:rsidRPr="0009576A" w:rsidR="00B372D0">
        <w:rPr>
          <w:rFonts w:ascii="Times New Roman" w:hAnsi="Times New Roman" w:cs="Times New Roman"/>
          <w:sz w:val="28"/>
          <w:szCs w:val="28"/>
        </w:rPr>
        <w:t>. Kompensācija tiks izmaksāta visiem publisko pasākumu rīkotājiem</w:t>
      </w:r>
      <w:r w:rsidRPr="0009576A" w:rsidR="00122DC8">
        <w:rPr>
          <w:rFonts w:ascii="Times New Roman" w:hAnsi="Times New Roman" w:cs="Times New Roman"/>
          <w:sz w:val="28"/>
          <w:szCs w:val="28"/>
        </w:rPr>
        <w:t>, kuri atcēluši pasākumus un atmaksājuši skatītājiem, neatkarīgi no pasākuma rīkotāja dibinātāja un juridiskā status</w:t>
      </w:r>
      <w:r w:rsidR="007E7633">
        <w:rPr>
          <w:rFonts w:ascii="Times New Roman" w:hAnsi="Times New Roman" w:cs="Times New Roman"/>
          <w:sz w:val="28"/>
          <w:szCs w:val="28"/>
        </w:rPr>
        <w:t>a</w:t>
      </w:r>
      <w:r w:rsidRPr="0009576A" w:rsidR="00122DC8">
        <w:rPr>
          <w:rFonts w:ascii="Times New Roman" w:hAnsi="Times New Roman" w:cs="Times New Roman"/>
          <w:sz w:val="28"/>
          <w:szCs w:val="28"/>
        </w:rPr>
        <w:t>. Pasākuma rīkotājs kompensācijas saņemšanai varēs pieteikties Valsts kultūrkapitāla fondā</w:t>
      </w:r>
      <w:r w:rsidRPr="0009576A" w:rsidR="00A94BC3">
        <w:rPr>
          <w:rFonts w:ascii="Times New Roman" w:hAnsi="Times New Roman" w:cs="Times New Roman"/>
          <w:sz w:val="28"/>
          <w:szCs w:val="28"/>
        </w:rPr>
        <w:t>, kas administrēs šo atbalsta pasākumu</w:t>
      </w:r>
      <w:r w:rsidR="00425E73">
        <w:rPr>
          <w:rFonts w:ascii="Times New Roman" w:hAnsi="Times New Roman" w:cs="Times New Roman"/>
          <w:sz w:val="28"/>
          <w:szCs w:val="28"/>
        </w:rPr>
        <w:t>.</w:t>
      </w:r>
      <w:r w:rsidRPr="0009576A" w:rsidR="00A94BC3">
        <w:rPr>
          <w:rFonts w:ascii="Times New Roman" w:hAnsi="Times New Roman" w:cs="Times New Roman"/>
          <w:sz w:val="28"/>
          <w:szCs w:val="28"/>
        </w:rPr>
        <w:t xml:space="preserve"> Lai saņemtu atbalstu</w:t>
      </w:r>
      <w:r w:rsidR="00425E73">
        <w:rPr>
          <w:rFonts w:ascii="Times New Roman" w:hAnsi="Times New Roman" w:cs="Times New Roman"/>
          <w:sz w:val="28"/>
          <w:szCs w:val="28"/>
        </w:rPr>
        <w:t>,</w:t>
      </w:r>
      <w:r w:rsidRPr="0009576A" w:rsidR="00A94BC3">
        <w:rPr>
          <w:rFonts w:ascii="Times New Roman" w:hAnsi="Times New Roman" w:cs="Times New Roman"/>
          <w:sz w:val="28"/>
          <w:szCs w:val="28"/>
        </w:rPr>
        <w:t xml:space="preserve"> atceltā pasākuma rīkotājam būs jāiesniedz </w:t>
      </w:r>
      <w:r w:rsidRPr="0009576A" w:rsidR="00A360D3">
        <w:rPr>
          <w:rFonts w:ascii="Times New Roman" w:hAnsi="Times New Roman" w:cs="Times New Roman"/>
          <w:sz w:val="28"/>
          <w:szCs w:val="28"/>
        </w:rPr>
        <w:t>darījumu apliecinoši dokumenti, kas pierāda naudas atmaks</w:t>
      </w:r>
      <w:r w:rsidR="00425E73">
        <w:rPr>
          <w:rFonts w:ascii="Times New Roman" w:hAnsi="Times New Roman" w:cs="Times New Roman"/>
          <w:sz w:val="28"/>
          <w:szCs w:val="28"/>
        </w:rPr>
        <w:t>u</w:t>
      </w:r>
      <w:r w:rsidRPr="0009576A" w:rsidR="00A360D3">
        <w:rPr>
          <w:rFonts w:ascii="Times New Roman" w:hAnsi="Times New Roman" w:cs="Times New Roman"/>
          <w:sz w:val="28"/>
          <w:szCs w:val="28"/>
        </w:rPr>
        <w:t xml:space="preserve"> skatītājiem</w:t>
      </w:r>
      <w:r w:rsidR="00425E73">
        <w:rPr>
          <w:rFonts w:ascii="Times New Roman" w:hAnsi="Times New Roman" w:cs="Times New Roman"/>
          <w:sz w:val="28"/>
          <w:szCs w:val="28"/>
        </w:rPr>
        <w:t xml:space="preserve"> – </w:t>
      </w:r>
      <w:r w:rsidRPr="00425E73" w:rsidR="00A360D3">
        <w:rPr>
          <w:rFonts w:ascii="Times New Roman" w:hAnsi="Times New Roman" w:cs="Times New Roman"/>
          <w:sz w:val="28"/>
          <w:szCs w:val="28"/>
        </w:rPr>
        <w:t xml:space="preserve">biļešu izplatītāja </w:t>
      </w:r>
      <w:r w:rsidRPr="00425E73" w:rsidR="00442AAB">
        <w:rPr>
          <w:rFonts w:ascii="Times New Roman" w:hAnsi="Times New Roman" w:cs="Times New Roman"/>
          <w:sz w:val="28"/>
          <w:szCs w:val="28"/>
        </w:rPr>
        <w:t>i</w:t>
      </w:r>
      <w:r w:rsidRPr="00425E73" w:rsidR="00A360D3">
        <w:rPr>
          <w:rFonts w:ascii="Times New Roman" w:hAnsi="Times New Roman" w:cs="Times New Roman"/>
          <w:sz w:val="28"/>
          <w:szCs w:val="28"/>
        </w:rPr>
        <w:t>z</w:t>
      </w:r>
      <w:r w:rsidRPr="00425E73" w:rsidR="00442AAB">
        <w:rPr>
          <w:rFonts w:ascii="Times New Roman" w:hAnsi="Times New Roman" w:cs="Times New Roman"/>
          <w:sz w:val="28"/>
          <w:szCs w:val="28"/>
        </w:rPr>
        <w:t>sniegtā atskaite</w:t>
      </w:r>
      <w:r w:rsidRPr="00425E73" w:rsidR="00A360D3">
        <w:rPr>
          <w:rFonts w:ascii="Times New Roman" w:hAnsi="Times New Roman" w:cs="Times New Roman"/>
          <w:sz w:val="28"/>
          <w:szCs w:val="28"/>
        </w:rPr>
        <w:t xml:space="preserve"> pasākuma rīkotājam par veikto biļešu reversu (kasē nodotajām vai automātiskajiem e-pirkumiem)</w:t>
      </w:r>
      <w:r w:rsidRPr="00425E73" w:rsidR="007E21E9">
        <w:rPr>
          <w:rFonts w:ascii="Times New Roman" w:hAnsi="Times New Roman" w:cs="Times New Roman"/>
          <w:sz w:val="28"/>
          <w:szCs w:val="28"/>
        </w:rPr>
        <w:t>, p</w:t>
      </w:r>
      <w:r w:rsidRPr="00425E73" w:rsidR="00442AAB">
        <w:rPr>
          <w:rFonts w:ascii="Times New Roman" w:hAnsi="Times New Roman" w:cs="Times New Roman"/>
          <w:sz w:val="28"/>
          <w:szCs w:val="28"/>
        </w:rPr>
        <w:t>apildus ņemot vērā biļešu reversēšanas</w:t>
      </w:r>
      <w:r w:rsidRPr="00425E73" w:rsidR="00A360D3">
        <w:rPr>
          <w:rFonts w:ascii="Times New Roman" w:hAnsi="Times New Roman" w:cs="Times New Roman"/>
          <w:sz w:val="28"/>
          <w:szCs w:val="28"/>
        </w:rPr>
        <w:t xml:space="preserve"> komisijas </w:t>
      </w:r>
      <w:r w:rsidRPr="00425E73" w:rsidR="00442AAB">
        <w:rPr>
          <w:rFonts w:ascii="Times New Roman" w:hAnsi="Times New Roman" w:cs="Times New Roman"/>
          <w:sz w:val="28"/>
          <w:szCs w:val="28"/>
        </w:rPr>
        <w:t xml:space="preserve"> izmaksas</w:t>
      </w:r>
      <w:r w:rsidR="00425E73">
        <w:rPr>
          <w:rFonts w:ascii="Times New Roman" w:hAnsi="Times New Roman" w:cs="Times New Roman"/>
          <w:sz w:val="28"/>
          <w:szCs w:val="28"/>
        </w:rPr>
        <w:t xml:space="preserve"> </w:t>
      </w:r>
      <w:r w:rsidRPr="0009576A" w:rsidR="00A360D3">
        <w:rPr>
          <w:rFonts w:ascii="Times New Roman" w:hAnsi="Times New Roman" w:cs="Times New Roman"/>
          <w:sz w:val="28"/>
          <w:szCs w:val="28"/>
        </w:rPr>
        <w:t>vai</w:t>
      </w:r>
      <w:r w:rsidRPr="0009576A" w:rsidR="00442AAB">
        <w:rPr>
          <w:rFonts w:ascii="Times New Roman" w:hAnsi="Times New Roman" w:cs="Times New Roman"/>
          <w:sz w:val="28"/>
          <w:szCs w:val="28"/>
        </w:rPr>
        <w:t xml:space="preserve"> </w:t>
      </w:r>
      <w:r w:rsidRPr="0009576A" w:rsidR="00A360D3">
        <w:rPr>
          <w:rFonts w:ascii="Times New Roman" w:hAnsi="Times New Roman" w:cs="Times New Roman"/>
          <w:sz w:val="28"/>
          <w:szCs w:val="28"/>
        </w:rPr>
        <w:t>pasākuma rīkotāja bankas maksājuma uzdevums</w:t>
      </w:r>
      <w:r w:rsidR="00425E73">
        <w:rPr>
          <w:rFonts w:ascii="Times New Roman" w:hAnsi="Times New Roman" w:cs="Times New Roman"/>
          <w:sz w:val="28"/>
          <w:szCs w:val="28"/>
        </w:rPr>
        <w:t>,</w:t>
      </w:r>
      <w:r w:rsidRPr="0009576A" w:rsidR="00A360D3">
        <w:rPr>
          <w:rFonts w:ascii="Times New Roman" w:hAnsi="Times New Roman" w:cs="Times New Roman"/>
          <w:sz w:val="28"/>
          <w:szCs w:val="28"/>
        </w:rPr>
        <w:t xml:space="preserve"> </w:t>
      </w:r>
      <w:r w:rsidRPr="0009576A" w:rsidR="00442AAB">
        <w:rPr>
          <w:rFonts w:ascii="Times New Roman" w:hAnsi="Times New Roman" w:cs="Times New Roman"/>
          <w:sz w:val="28"/>
          <w:szCs w:val="28"/>
        </w:rPr>
        <w:t>kurā rīkotājs atmaksā</w:t>
      </w:r>
      <w:r w:rsidRPr="0009576A" w:rsidR="007E21E9">
        <w:rPr>
          <w:rFonts w:ascii="Times New Roman" w:hAnsi="Times New Roman" w:cs="Times New Roman"/>
          <w:sz w:val="28"/>
          <w:szCs w:val="28"/>
        </w:rPr>
        <w:t>jis</w:t>
      </w:r>
      <w:r w:rsidRPr="0009576A" w:rsidR="00442AAB">
        <w:rPr>
          <w:rFonts w:ascii="Times New Roman" w:hAnsi="Times New Roman" w:cs="Times New Roman"/>
          <w:sz w:val="28"/>
          <w:szCs w:val="28"/>
        </w:rPr>
        <w:t xml:space="preserve"> biļetes</w:t>
      </w:r>
      <w:r w:rsidRPr="0009576A" w:rsidR="00A360D3">
        <w:rPr>
          <w:rFonts w:ascii="Times New Roman" w:hAnsi="Times New Roman" w:cs="Times New Roman"/>
          <w:sz w:val="28"/>
          <w:szCs w:val="28"/>
        </w:rPr>
        <w:t xml:space="preserve"> skatītājam</w:t>
      </w:r>
      <w:r w:rsidRPr="0009576A" w:rsidR="00442AAB">
        <w:rPr>
          <w:rFonts w:ascii="Times New Roman" w:hAnsi="Times New Roman" w:cs="Times New Roman"/>
          <w:sz w:val="28"/>
          <w:szCs w:val="28"/>
        </w:rPr>
        <w:t>, norādot maksājumā pasākuma nosaukumu, datumu un biļešu skaitu</w:t>
      </w:r>
      <w:r w:rsidRPr="0009576A" w:rsidR="00C96D5A">
        <w:rPr>
          <w:rFonts w:ascii="Times New Roman" w:hAnsi="Times New Roman" w:cs="Times New Roman"/>
          <w:sz w:val="28"/>
          <w:szCs w:val="28"/>
        </w:rPr>
        <w:t>, p</w:t>
      </w:r>
      <w:r w:rsidRPr="0009576A" w:rsidR="00442AAB">
        <w:rPr>
          <w:rFonts w:ascii="Times New Roman" w:hAnsi="Times New Roman" w:cs="Times New Roman"/>
          <w:sz w:val="28"/>
          <w:szCs w:val="28"/>
        </w:rPr>
        <w:t xml:space="preserve">apildus ņemot vērā bankas transakciju maksājumus par veiktajiem </w:t>
      </w:r>
      <w:r w:rsidRPr="0009576A" w:rsidR="00760F47">
        <w:rPr>
          <w:rFonts w:ascii="Times New Roman" w:hAnsi="Times New Roman" w:cs="Times New Roman"/>
          <w:sz w:val="28"/>
          <w:szCs w:val="28"/>
        </w:rPr>
        <w:t>pārskatījumiem</w:t>
      </w:r>
      <w:r w:rsidRPr="0009576A" w:rsidR="00A360D3">
        <w:rPr>
          <w:rFonts w:ascii="Times New Roman" w:hAnsi="Times New Roman" w:cs="Times New Roman"/>
          <w:sz w:val="28"/>
          <w:szCs w:val="28"/>
        </w:rPr>
        <w:t>, ja</w:t>
      </w:r>
      <w:r w:rsidRPr="0009576A" w:rsidR="002766E4">
        <w:rPr>
          <w:rFonts w:ascii="Times New Roman" w:hAnsi="Times New Roman" w:cs="Times New Roman"/>
          <w:sz w:val="28"/>
          <w:szCs w:val="28"/>
        </w:rPr>
        <w:t xml:space="preserve"> biļetes tirgotas neizmantojot biļešu izplatīšanas tīklu starpniecību. </w:t>
      </w:r>
      <w:r w:rsidRPr="0009576A" w:rsidR="00442AAB">
        <w:rPr>
          <w:rFonts w:ascii="Times New Roman" w:hAnsi="Times New Roman" w:cs="Times New Roman"/>
          <w:sz w:val="28"/>
          <w:szCs w:val="28"/>
        </w:rPr>
        <w:t xml:space="preserve"> </w:t>
      </w:r>
    </w:p>
    <w:p w:rsidRPr="0009576A" w:rsidR="002766E4" w:rsidP="00ED59FD" w:rsidRDefault="002766E4" w14:paraId="39964C43" w14:textId="387FD443">
      <w:pPr>
        <w:spacing w:after="0" w:line="240" w:lineRule="auto"/>
        <w:ind w:firstLine="714"/>
        <w:jc w:val="both"/>
        <w:rPr>
          <w:rFonts w:ascii="Times New Roman" w:hAnsi="Times New Roman" w:cs="Times New Roman"/>
          <w:sz w:val="28"/>
          <w:szCs w:val="28"/>
        </w:rPr>
      </w:pPr>
      <w:r w:rsidRPr="0009576A">
        <w:rPr>
          <w:rFonts w:ascii="Times New Roman" w:hAnsi="Times New Roman" w:cs="Times New Roman"/>
          <w:sz w:val="28"/>
          <w:szCs w:val="28"/>
        </w:rPr>
        <w:t>Atbalsta pasākuma ieviešanas termiņš</w:t>
      </w:r>
      <w:r w:rsidR="00425E73">
        <w:rPr>
          <w:rFonts w:ascii="Times New Roman" w:hAnsi="Times New Roman" w:cs="Times New Roman"/>
          <w:sz w:val="28"/>
          <w:szCs w:val="28"/>
        </w:rPr>
        <w:t xml:space="preserve"> –</w:t>
      </w:r>
      <w:r w:rsidRPr="0009576A">
        <w:rPr>
          <w:rFonts w:ascii="Times New Roman" w:hAnsi="Times New Roman" w:cs="Times New Roman"/>
          <w:sz w:val="28"/>
          <w:szCs w:val="28"/>
        </w:rPr>
        <w:t xml:space="preserve"> Valsts kultūrkapitāl</w:t>
      </w:r>
      <w:r w:rsidR="00425E73">
        <w:rPr>
          <w:rFonts w:ascii="Times New Roman" w:hAnsi="Times New Roman" w:cs="Times New Roman"/>
          <w:sz w:val="28"/>
          <w:szCs w:val="28"/>
        </w:rPr>
        <w:t>a fonda</w:t>
      </w:r>
      <w:r w:rsidRPr="0009576A">
        <w:rPr>
          <w:rFonts w:ascii="Times New Roman" w:hAnsi="Times New Roman" w:cs="Times New Roman"/>
          <w:sz w:val="28"/>
          <w:szCs w:val="28"/>
        </w:rPr>
        <w:t xml:space="preserve"> padome līdz 2020.gada 22.decembrim izstrādās biļešu kompensēšanas nolikumu, paredzot to, ka pasākumu rīkotāju iesniegto dokumentu atbilstības izvērtēšanu nodrošinās piesaistīts auditoru ārpakalpojums. Biļešu kompensāciju izmaksa pasākuma rīkotājiem varētu tikt uzsākta 2021.gada janvārī.</w:t>
      </w:r>
    </w:p>
    <w:p w:rsidRPr="00B34A28" w:rsidR="002766E4" w:rsidP="008C153D" w:rsidRDefault="00B34A28" w14:paraId="35C81F82" w14:textId="105BDA9B">
      <w:pPr>
        <w:spacing w:after="0" w:line="240" w:lineRule="auto"/>
        <w:ind w:firstLine="720"/>
        <w:jc w:val="both"/>
        <w:rPr>
          <w:rFonts w:ascii="Times New Roman" w:hAnsi="Times New Roman" w:cs="Times New Roman"/>
          <w:bCs/>
          <w:sz w:val="28"/>
          <w:szCs w:val="28"/>
        </w:rPr>
      </w:pPr>
      <w:r w:rsidRPr="00B34A28">
        <w:rPr>
          <w:rFonts w:ascii="Times New Roman" w:hAnsi="Times New Roman" w:cs="Times New Roman"/>
          <w:bCs/>
          <w:sz w:val="28"/>
          <w:szCs w:val="28"/>
        </w:rPr>
        <w:t xml:space="preserve">Ņemot vērā, ka plānotais atbalsta pasākums ir kvalificējams kā </w:t>
      </w:r>
      <w:r w:rsidRPr="00B34A28">
        <w:rPr>
          <w:rFonts w:ascii="Times New Roman" w:hAnsi="Times New Roman" w:cs="Times New Roman"/>
          <w:b/>
          <w:sz w:val="28"/>
          <w:szCs w:val="28"/>
        </w:rPr>
        <w:t>komercdarbības atbalsts</w:t>
      </w:r>
      <w:r w:rsidRPr="00B34A28">
        <w:rPr>
          <w:rFonts w:ascii="Times New Roman" w:hAnsi="Times New Roman" w:cs="Times New Roman"/>
          <w:bCs/>
          <w:sz w:val="28"/>
          <w:szCs w:val="28"/>
        </w:rPr>
        <w:t xml:space="preserve"> </w:t>
      </w:r>
      <w:r>
        <w:rPr>
          <w:rFonts w:ascii="Times New Roman" w:hAnsi="Times New Roman" w:cs="Times New Roman"/>
          <w:bCs/>
          <w:sz w:val="28"/>
          <w:szCs w:val="28"/>
        </w:rPr>
        <w:t>(</w:t>
      </w:r>
      <w:r w:rsidRPr="00B34A28">
        <w:rPr>
          <w:rFonts w:ascii="Times New Roman" w:hAnsi="Times New Roman" w:cs="Times New Roman"/>
          <w:bCs/>
          <w:sz w:val="28"/>
          <w:szCs w:val="28"/>
        </w:rPr>
        <w:t>kultūras pasākumu organizatoriem</w:t>
      </w:r>
      <w:r>
        <w:rPr>
          <w:rFonts w:ascii="Times New Roman" w:hAnsi="Times New Roman" w:cs="Times New Roman"/>
          <w:bCs/>
          <w:sz w:val="28"/>
          <w:szCs w:val="28"/>
        </w:rPr>
        <w:t>)</w:t>
      </w:r>
      <w:r w:rsidRPr="00B34A28">
        <w:rPr>
          <w:rFonts w:ascii="Times New Roman" w:hAnsi="Times New Roman" w:cs="Times New Roman"/>
          <w:bCs/>
          <w:sz w:val="28"/>
          <w:szCs w:val="28"/>
        </w:rPr>
        <w:t xml:space="preserve">, attiecīgi tam ir jāpiemēro atbilstošs komercdarbības atbalsta regulējums. Ņemot vērā pasākuma mērķi, ir iespējams piemērot Eiropas Komisijas paziņojuma </w:t>
      </w:r>
      <w:r w:rsidRPr="00B10DCA" w:rsidR="008C153D">
        <w:rPr>
          <w:rFonts w:ascii="Times New Roman" w:hAnsi="Times New Roman"/>
          <w:sz w:val="28"/>
          <w:szCs w:val="28"/>
        </w:rPr>
        <w:t>„</w:t>
      </w:r>
      <w:r w:rsidRPr="00B34A28">
        <w:rPr>
          <w:rFonts w:ascii="Times New Roman" w:hAnsi="Times New Roman" w:cs="Times New Roman"/>
          <w:bCs/>
          <w:sz w:val="28"/>
          <w:szCs w:val="28"/>
        </w:rPr>
        <w:t>Pagaidu regulējums valsts atbalsta pasākumiem, ar ko atbalsta ekonomiku pašreizējā Covid-19 uzliesmojuma situācijā</w:t>
      </w:r>
      <w:r>
        <w:rPr>
          <w:rFonts w:ascii="Times New Roman" w:hAnsi="Times New Roman" w:cs="Times New Roman"/>
          <w:bCs/>
          <w:sz w:val="28"/>
          <w:szCs w:val="28"/>
        </w:rPr>
        <w:t>”</w:t>
      </w:r>
      <w:r w:rsidRPr="00B34A28">
        <w:rPr>
          <w:rFonts w:ascii="Times New Roman" w:hAnsi="Times New Roman" w:cs="Times New Roman"/>
          <w:bCs/>
          <w:sz w:val="28"/>
          <w:szCs w:val="28"/>
        </w:rPr>
        <w:t xml:space="preserve"> 3.1.sadaļas nosacījumus, kas paredz iespēju piešķirt dotācijas komersantiem, nepārsniedzot 800 000 </w:t>
      </w:r>
      <w:r w:rsidRPr="008C153D" w:rsidR="008C153D">
        <w:rPr>
          <w:rFonts w:ascii="Times New Roman" w:hAnsi="Times New Roman" w:cs="Times New Roman"/>
          <w:bCs/>
          <w:i/>
          <w:iCs/>
          <w:sz w:val="28"/>
          <w:szCs w:val="28"/>
        </w:rPr>
        <w:t>euro</w:t>
      </w:r>
      <w:r w:rsidRPr="00B34A28">
        <w:rPr>
          <w:rFonts w:ascii="Times New Roman" w:hAnsi="Times New Roman" w:cs="Times New Roman"/>
          <w:bCs/>
          <w:sz w:val="28"/>
          <w:szCs w:val="28"/>
        </w:rPr>
        <w:t xml:space="preserve"> vienam uzņēmumam saistīto personu līmenī, atbilstoši </w:t>
      </w:r>
      <w:r w:rsidRPr="000B5CAF" w:rsidR="000B5CAF">
        <w:rPr>
          <w:rFonts w:ascii="Times New Roman" w:hAnsi="Times New Roman" w:cs="Times New Roman"/>
          <w:bCs/>
          <w:sz w:val="28"/>
          <w:szCs w:val="28"/>
        </w:rPr>
        <w:t xml:space="preserve">Eiropas Komisijas 2014.gada 17.jūnija </w:t>
      </w:r>
      <w:r w:rsidR="000B5CAF">
        <w:rPr>
          <w:rFonts w:ascii="Times New Roman" w:hAnsi="Times New Roman" w:cs="Times New Roman"/>
          <w:bCs/>
          <w:sz w:val="28"/>
          <w:szCs w:val="28"/>
        </w:rPr>
        <w:t>r</w:t>
      </w:r>
      <w:r w:rsidRPr="000B5CAF" w:rsidR="000B5CAF">
        <w:rPr>
          <w:rFonts w:ascii="Times New Roman" w:hAnsi="Times New Roman" w:cs="Times New Roman"/>
          <w:bCs/>
          <w:sz w:val="28"/>
          <w:szCs w:val="28"/>
        </w:rPr>
        <w:t>egul</w:t>
      </w:r>
      <w:r w:rsidR="000B5CAF">
        <w:rPr>
          <w:rFonts w:ascii="Times New Roman" w:hAnsi="Times New Roman" w:cs="Times New Roman"/>
          <w:bCs/>
          <w:sz w:val="28"/>
          <w:szCs w:val="28"/>
        </w:rPr>
        <w:t>as</w:t>
      </w:r>
      <w:r w:rsidRPr="000B5CAF" w:rsidR="000B5CAF">
        <w:rPr>
          <w:rFonts w:ascii="Times New Roman" w:hAnsi="Times New Roman" w:cs="Times New Roman"/>
          <w:bCs/>
          <w:sz w:val="28"/>
          <w:szCs w:val="28"/>
        </w:rPr>
        <w:t xml:space="preserve"> Nr.651/2014, ar ko noteiktas atbalsta kategorijas atzīst par saderīgām ar iekšējo tirgu, piemērojot Līguma 107. un 108.pantu</w:t>
      </w:r>
      <w:r w:rsidR="000B5CAF">
        <w:rPr>
          <w:rFonts w:ascii="Times New Roman" w:hAnsi="Times New Roman" w:cs="Times New Roman"/>
          <w:bCs/>
          <w:sz w:val="28"/>
          <w:szCs w:val="28"/>
        </w:rPr>
        <w:t>,</w:t>
      </w:r>
      <w:r w:rsidRPr="000B5CAF" w:rsidR="000B5CAF">
        <w:rPr>
          <w:rFonts w:ascii="Times New Roman" w:hAnsi="Times New Roman" w:cs="Times New Roman"/>
          <w:bCs/>
          <w:sz w:val="28"/>
          <w:szCs w:val="28"/>
        </w:rPr>
        <w:t xml:space="preserve"> </w:t>
      </w:r>
      <w:r w:rsidRPr="00B34A28">
        <w:rPr>
          <w:rFonts w:ascii="Times New Roman" w:hAnsi="Times New Roman" w:cs="Times New Roman"/>
          <w:bCs/>
          <w:sz w:val="28"/>
          <w:szCs w:val="28"/>
        </w:rPr>
        <w:t xml:space="preserve">1.pielikuma 3.panta 3.punktam, kā arī būs nepieciešams izvērtēt to, vai uzņēmums uz 2019.gada 31.decembri neatbilst grūtībās nonākuša uzņēmuma statusam, ievērojot </w:t>
      </w:r>
      <w:r w:rsidR="000B5CAF">
        <w:rPr>
          <w:rFonts w:ascii="Times New Roman" w:hAnsi="Times New Roman" w:cs="Times New Roman"/>
          <w:bCs/>
          <w:sz w:val="28"/>
          <w:szCs w:val="28"/>
        </w:rPr>
        <w:t xml:space="preserve">Eiropas </w:t>
      </w:r>
      <w:r w:rsidRPr="00B34A28">
        <w:rPr>
          <w:rFonts w:ascii="Times New Roman" w:hAnsi="Times New Roman" w:cs="Times New Roman"/>
          <w:bCs/>
          <w:sz w:val="28"/>
          <w:szCs w:val="28"/>
        </w:rPr>
        <w:t xml:space="preserve">Komisijas paziņojumā ietvertos nosacījumus. Atbalsta pasākumu varēs ieviest tikai pēc </w:t>
      </w:r>
      <w:r w:rsidR="00586BDC">
        <w:rPr>
          <w:rFonts w:ascii="Times New Roman" w:hAnsi="Times New Roman" w:cs="Times New Roman"/>
          <w:bCs/>
          <w:sz w:val="28"/>
          <w:szCs w:val="28"/>
        </w:rPr>
        <w:t xml:space="preserve">nolikuma </w:t>
      </w:r>
      <w:r w:rsidRPr="00B34A28">
        <w:rPr>
          <w:rFonts w:ascii="Times New Roman" w:hAnsi="Times New Roman" w:cs="Times New Roman"/>
          <w:bCs/>
          <w:sz w:val="28"/>
          <w:szCs w:val="28"/>
        </w:rPr>
        <w:t>paziņošanas Eiropas Komisijai</w:t>
      </w:r>
      <w:r w:rsidR="008C343D">
        <w:rPr>
          <w:rFonts w:ascii="Times New Roman" w:hAnsi="Times New Roman" w:cs="Times New Roman"/>
          <w:bCs/>
          <w:sz w:val="28"/>
          <w:szCs w:val="28"/>
        </w:rPr>
        <w:t xml:space="preserve"> un pozitīva lēmuma saņemšanas</w:t>
      </w:r>
      <w:r w:rsidRPr="00B34A28">
        <w:rPr>
          <w:rFonts w:ascii="Times New Roman" w:hAnsi="Times New Roman" w:cs="Times New Roman"/>
          <w:bCs/>
          <w:sz w:val="28"/>
          <w:szCs w:val="28"/>
        </w:rPr>
        <w:t>.</w:t>
      </w:r>
    </w:p>
    <w:p w:rsidR="002766E4" w:rsidP="008C153D" w:rsidRDefault="002766E4" w14:paraId="543D0654" w14:textId="1554F7AD">
      <w:pPr>
        <w:pStyle w:val="tv213"/>
        <w:spacing w:before="0" w:beforeAutospacing="0" w:after="0" w:afterAutospacing="0"/>
        <w:ind w:firstLine="720"/>
        <w:jc w:val="both"/>
        <w:rPr>
          <w:sz w:val="28"/>
          <w:szCs w:val="28"/>
        </w:rPr>
      </w:pPr>
      <w:r w:rsidRPr="0009576A">
        <w:rPr>
          <w:sz w:val="28"/>
          <w:szCs w:val="28"/>
        </w:rPr>
        <w:t xml:space="preserve">Apzinot biļešu izplatīšanas tīklu sniegto </w:t>
      </w:r>
      <w:r w:rsidRPr="0009576A" w:rsidR="0009576A">
        <w:rPr>
          <w:sz w:val="28"/>
          <w:szCs w:val="28"/>
        </w:rPr>
        <w:t xml:space="preserve">informāciju par </w:t>
      </w:r>
      <w:r w:rsidR="00425E73">
        <w:rPr>
          <w:sz w:val="28"/>
          <w:szCs w:val="28"/>
        </w:rPr>
        <w:t>to</w:t>
      </w:r>
      <w:r w:rsidRPr="0009576A" w:rsidR="0009576A">
        <w:rPr>
          <w:sz w:val="28"/>
          <w:szCs w:val="28"/>
        </w:rPr>
        <w:t xml:space="preserve"> sistēmās</w:t>
      </w:r>
      <w:r w:rsidRPr="0009576A" w:rsidR="008C153D">
        <w:rPr>
          <w:sz w:val="28"/>
          <w:szCs w:val="28"/>
        </w:rPr>
        <w:t xml:space="preserve"> </w:t>
      </w:r>
      <w:r w:rsidRPr="0009576A" w:rsidR="00A94BC3">
        <w:rPr>
          <w:sz w:val="28"/>
          <w:szCs w:val="28"/>
        </w:rPr>
        <w:t>iegādātajām biļetēm uz kultūras pasākumiem</w:t>
      </w:r>
      <w:r w:rsidRPr="0009576A" w:rsidR="0009576A">
        <w:rPr>
          <w:sz w:val="28"/>
          <w:szCs w:val="28"/>
        </w:rPr>
        <w:t xml:space="preserve"> </w:t>
      </w:r>
      <w:r w:rsidRPr="0009576A" w:rsidR="00A94BC3">
        <w:rPr>
          <w:sz w:val="28"/>
          <w:szCs w:val="28"/>
        </w:rPr>
        <w:t xml:space="preserve">laikā no </w:t>
      </w:r>
      <w:r w:rsidR="008C153D">
        <w:rPr>
          <w:sz w:val="28"/>
          <w:szCs w:val="28"/>
        </w:rPr>
        <w:t>2020.</w:t>
      </w:r>
      <w:r w:rsidRPr="0009576A" w:rsidR="00A94BC3">
        <w:rPr>
          <w:sz w:val="28"/>
          <w:szCs w:val="28"/>
        </w:rPr>
        <w:t xml:space="preserve">gada </w:t>
      </w:r>
      <w:r w:rsidR="00D11C28">
        <w:rPr>
          <w:sz w:val="28"/>
          <w:szCs w:val="28"/>
        </w:rPr>
        <w:t>9</w:t>
      </w:r>
      <w:r w:rsidRPr="0009576A" w:rsidR="00A94BC3">
        <w:rPr>
          <w:sz w:val="28"/>
          <w:szCs w:val="28"/>
        </w:rPr>
        <w:t xml:space="preserve">.novembra līdz </w:t>
      </w:r>
      <w:r w:rsidRPr="0009576A" w:rsidR="00A94BC3">
        <w:rPr>
          <w:sz w:val="28"/>
          <w:szCs w:val="28"/>
        </w:rPr>
        <w:lastRenderedPageBreak/>
        <w:t>6.decembrim,</w:t>
      </w:r>
      <w:r w:rsidRPr="0009576A" w:rsidR="0009576A">
        <w:rPr>
          <w:sz w:val="28"/>
          <w:szCs w:val="28"/>
        </w:rPr>
        <w:t xml:space="preserve"> biļešu kompensēšanai nepieciešamais finansējuma apjoms un atbalsta </w:t>
      </w:r>
      <w:r w:rsidRPr="00425E73" w:rsidR="0009576A">
        <w:rPr>
          <w:b/>
          <w:bCs/>
          <w:sz w:val="28"/>
          <w:szCs w:val="28"/>
        </w:rPr>
        <w:t xml:space="preserve">pasākuma administrēšanas izdevumi </w:t>
      </w:r>
      <w:r w:rsidR="00985D45">
        <w:rPr>
          <w:b/>
          <w:bCs/>
          <w:sz w:val="28"/>
          <w:szCs w:val="28"/>
        </w:rPr>
        <w:t>veido</w:t>
      </w:r>
      <w:r w:rsidRPr="00425E73" w:rsidR="0009576A">
        <w:rPr>
          <w:b/>
          <w:bCs/>
          <w:sz w:val="28"/>
          <w:szCs w:val="28"/>
        </w:rPr>
        <w:t xml:space="preserve"> ap 1</w:t>
      </w:r>
      <w:r w:rsidR="00F003FA">
        <w:rPr>
          <w:b/>
          <w:bCs/>
          <w:sz w:val="28"/>
          <w:szCs w:val="28"/>
        </w:rPr>
        <w:t xml:space="preserve"> 083 481 </w:t>
      </w:r>
      <w:r w:rsidR="00F003FA">
        <w:rPr>
          <w:b/>
          <w:bCs/>
          <w:i/>
          <w:sz w:val="28"/>
          <w:szCs w:val="28"/>
        </w:rPr>
        <w:t>euro</w:t>
      </w:r>
      <w:r w:rsidR="00425E73">
        <w:rPr>
          <w:sz w:val="28"/>
          <w:szCs w:val="28"/>
        </w:rPr>
        <w:t>.</w:t>
      </w:r>
      <w:r w:rsidRPr="0009576A" w:rsidR="0009576A">
        <w:rPr>
          <w:sz w:val="28"/>
          <w:szCs w:val="28"/>
        </w:rPr>
        <w:t xml:space="preserve"> </w:t>
      </w:r>
      <w:r w:rsidRPr="0009576A" w:rsidR="00A94BC3">
        <w:rPr>
          <w:sz w:val="28"/>
          <w:szCs w:val="28"/>
        </w:rPr>
        <w:t xml:space="preserve"> </w:t>
      </w:r>
      <w:r w:rsidRPr="0009576A" w:rsidR="0009576A">
        <w:rPr>
          <w:sz w:val="28"/>
          <w:szCs w:val="28"/>
        </w:rPr>
        <w:t xml:space="preserve">Atbalsts tiks sniegts  2021.gadā,  veicot  apropriācijas pārdali no programmas </w:t>
      </w:r>
      <w:r w:rsidRPr="00B10DCA" w:rsidR="008C153D">
        <w:rPr>
          <w:sz w:val="28"/>
          <w:szCs w:val="28"/>
        </w:rPr>
        <w:t>„</w:t>
      </w:r>
      <w:r w:rsidRPr="0009576A" w:rsidR="0009576A">
        <w:rPr>
          <w:sz w:val="28"/>
          <w:szCs w:val="28"/>
        </w:rPr>
        <w:t>Latvijas skolas soma</w:t>
      </w:r>
      <w:r w:rsidR="008C153D">
        <w:rPr>
          <w:sz w:val="28"/>
          <w:szCs w:val="28"/>
        </w:rPr>
        <w:t>”</w:t>
      </w:r>
      <w:r w:rsidRPr="0009576A" w:rsidR="0009576A">
        <w:rPr>
          <w:sz w:val="28"/>
          <w:szCs w:val="28"/>
        </w:rPr>
        <w:t xml:space="preserve"> 2021.gada finansējuma, ņemot vērā ietaupītos resursus 2020.gadā.</w:t>
      </w:r>
    </w:p>
    <w:p w:rsidRPr="00425E73" w:rsidR="008C153D" w:rsidP="008C153D" w:rsidRDefault="008C153D" w14:paraId="545DA521" w14:textId="77777777">
      <w:pPr>
        <w:pStyle w:val="tv213"/>
        <w:spacing w:before="0" w:beforeAutospacing="0" w:after="0" w:afterAutospacing="0"/>
        <w:ind w:firstLine="720"/>
        <w:jc w:val="both"/>
        <w:rPr>
          <w:rFonts w:eastAsiaTheme="minorHAnsi"/>
          <w:sz w:val="28"/>
          <w:szCs w:val="28"/>
        </w:rPr>
      </w:pPr>
    </w:p>
    <w:tbl>
      <w:tblPr>
        <w:tblpPr w:leftFromText="180" w:rightFromText="180" w:vertAnchor="text"/>
        <w:tblW w:w="9280" w:type="dxa"/>
        <w:tblCellMar>
          <w:left w:w="0" w:type="dxa"/>
          <w:right w:w="0" w:type="dxa"/>
        </w:tblCellMar>
        <w:tblLook w:val="04A0" w:firstRow="1" w:lastRow="0" w:firstColumn="1" w:lastColumn="0" w:noHBand="0" w:noVBand="1"/>
      </w:tblPr>
      <w:tblGrid>
        <w:gridCol w:w="6794"/>
        <w:gridCol w:w="2486"/>
      </w:tblGrid>
      <w:tr w:rsidRPr="0009576A" w:rsidR="0009576A" w:rsidTr="00D11C28" w14:paraId="30175F61" w14:textId="77777777">
        <w:trPr>
          <w:trHeight w:val="406"/>
        </w:trPr>
        <w:tc>
          <w:tcPr>
            <w:tcW w:w="6794"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00D11C28" w:rsidP="00D11C28" w:rsidRDefault="002766E4" w14:paraId="2B9B9BC8" w14:textId="77777777">
            <w:pPr>
              <w:spacing w:after="0" w:line="240" w:lineRule="auto"/>
              <w:jc w:val="center"/>
              <w:rPr>
                <w:rFonts w:ascii="Times New Roman" w:hAnsi="Times New Roman" w:cs="Times New Roman"/>
                <w:sz w:val="26"/>
                <w:szCs w:val="26"/>
                <w:lang w:eastAsia="lv-LV"/>
              </w:rPr>
            </w:pPr>
            <w:r w:rsidRPr="00D11C28">
              <w:rPr>
                <w:rFonts w:ascii="Times New Roman" w:hAnsi="Times New Roman" w:cs="Times New Roman"/>
                <w:sz w:val="26"/>
                <w:szCs w:val="26"/>
                <w:lang w:eastAsia="lv-LV"/>
              </w:rPr>
              <w:t>Ārkārtējās situācijas laiks</w:t>
            </w:r>
            <w:r w:rsidRPr="00D11C28" w:rsidR="0009576A">
              <w:rPr>
                <w:rFonts w:ascii="Times New Roman" w:hAnsi="Times New Roman" w:cs="Times New Roman"/>
                <w:sz w:val="26"/>
                <w:szCs w:val="26"/>
                <w:lang w:eastAsia="lv-LV"/>
              </w:rPr>
              <w:t xml:space="preserve"> </w:t>
            </w:r>
          </w:p>
          <w:p w:rsidRPr="00D11C28" w:rsidR="002766E4" w:rsidP="00D11C28" w:rsidRDefault="00D11C28" w14:paraId="23E8982E" w14:textId="70DE8606">
            <w:pPr>
              <w:spacing w:after="0" w:line="240" w:lineRule="auto"/>
              <w:jc w:val="center"/>
              <w:rPr>
                <w:rFonts w:ascii="Times New Roman" w:hAnsi="Times New Roman" w:cs="Times New Roman"/>
                <w:sz w:val="26"/>
                <w:szCs w:val="26"/>
                <w:lang w:eastAsia="lv-LV"/>
              </w:rPr>
            </w:pPr>
            <w:r>
              <w:rPr>
                <w:rFonts w:ascii="Times New Roman" w:hAnsi="Times New Roman" w:cs="Times New Roman"/>
                <w:sz w:val="26"/>
                <w:szCs w:val="26"/>
                <w:lang w:eastAsia="lv-LV"/>
              </w:rPr>
              <w:t>2020.gada 9</w:t>
            </w:r>
            <w:r w:rsidRPr="00D11C28" w:rsidR="0009576A">
              <w:rPr>
                <w:rFonts w:ascii="Times New Roman" w:hAnsi="Times New Roman" w:cs="Times New Roman"/>
                <w:sz w:val="26"/>
                <w:szCs w:val="26"/>
                <w:lang w:eastAsia="lv-LV"/>
              </w:rPr>
              <w:t>.novembris</w:t>
            </w:r>
            <w:r w:rsidRPr="00D11C28" w:rsidR="00425E73">
              <w:rPr>
                <w:rFonts w:ascii="Times New Roman" w:hAnsi="Times New Roman" w:cs="Times New Roman"/>
                <w:sz w:val="26"/>
                <w:szCs w:val="26"/>
                <w:lang w:eastAsia="lv-LV"/>
              </w:rPr>
              <w:t xml:space="preserve"> – </w:t>
            </w:r>
            <w:r w:rsidRPr="00D11C28" w:rsidR="0009576A">
              <w:rPr>
                <w:rFonts w:ascii="Times New Roman" w:hAnsi="Times New Roman" w:cs="Times New Roman"/>
                <w:sz w:val="26"/>
                <w:szCs w:val="26"/>
                <w:lang w:eastAsia="lv-LV"/>
              </w:rPr>
              <w:t>6.decembris</w:t>
            </w:r>
          </w:p>
        </w:tc>
        <w:tc>
          <w:tcPr>
            <w:tcW w:w="248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hideMark/>
          </w:tcPr>
          <w:p w:rsidRPr="00D11C28" w:rsidR="002766E4" w:rsidP="00D11C28" w:rsidRDefault="00F003FA" w14:paraId="2D22EE29" w14:textId="5441E793">
            <w:pPr>
              <w:spacing w:after="0" w:line="240" w:lineRule="auto"/>
              <w:jc w:val="center"/>
              <w:rPr>
                <w:rFonts w:ascii="Times New Roman" w:hAnsi="Times New Roman" w:cs="Times New Roman"/>
                <w:sz w:val="26"/>
                <w:szCs w:val="26"/>
                <w:lang w:eastAsia="lv-LV"/>
              </w:rPr>
            </w:pPr>
            <w:r w:rsidRPr="00D11C28">
              <w:rPr>
                <w:rFonts w:ascii="Times New Roman" w:hAnsi="Times New Roman" w:cs="Times New Roman"/>
                <w:sz w:val="26"/>
                <w:szCs w:val="26"/>
                <w:lang w:eastAsia="lv-LV"/>
              </w:rPr>
              <w:t>K</w:t>
            </w:r>
            <w:r w:rsidRPr="00D11C28" w:rsidR="002766E4">
              <w:rPr>
                <w:rFonts w:ascii="Times New Roman" w:hAnsi="Times New Roman" w:cs="Times New Roman"/>
                <w:sz w:val="26"/>
                <w:szCs w:val="26"/>
                <w:lang w:eastAsia="lv-LV"/>
              </w:rPr>
              <w:t>opā</w:t>
            </w:r>
            <w:r w:rsidRPr="00D11C28">
              <w:rPr>
                <w:rFonts w:ascii="Times New Roman" w:hAnsi="Times New Roman" w:cs="Times New Roman"/>
                <w:sz w:val="26"/>
                <w:szCs w:val="26"/>
                <w:lang w:eastAsia="lv-LV"/>
              </w:rPr>
              <w:t xml:space="preserve">, </w:t>
            </w:r>
            <w:r w:rsidRPr="00D11C28">
              <w:rPr>
                <w:rFonts w:ascii="Times New Roman" w:hAnsi="Times New Roman" w:cs="Times New Roman"/>
                <w:i/>
                <w:sz w:val="26"/>
                <w:szCs w:val="26"/>
                <w:lang w:eastAsia="lv-LV"/>
              </w:rPr>
              <w:t>euro</w:t>
            </w:r>
          </w:p>
        </w:tc>
      </w:tr>
      <w:tr w:rsidRPr="0009576A" w:rsidR="0009576A" w:rsidTr="00CC6021" w14:paraId="74D4197B" w14:textId="77777777">
        <w:trPr>
          <w:trHeight w:val="288"/>
        </w:trPr>
        <w:tc>
          <w:tcPr>
            <w:tcW w:w="679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D11C28" w:rsidR="002766E4" w:rsidP="00ED59FD" w:rsidRDefault="002766E4" w14:paraId="0BB2E6D5" w14:textId="77777777">
            <w:pPr>
              <w:spacing w:after="0" w:line="240" w:lineRule="auto"/>
              <w:rPr>
                <w:rFonts w:ascii="Times New Roman" w:hAnsi="Times New Roman" w:cs="Times New Roman"/>
                <w:sz w:val="26"/>
                <w:szCs w:val="26"/>
                <w:lang w:eastAsia="lv-LV"/>
              </w:rPr>
            </w:pPr>
            <w:r w:rsidRPr="00D11C28">
              <w:rPr>
                <w:rFonts w:ascii="Times New Roman" w:hAnsi="Times New Roman" w:cs="Times New Roman"/>
                <w:sz w:val="26"/>
                <w:szCs w:val="26"/>
                <w:lang w:eastAsia="lv-LV"/>
              </w:rPr>
              <w:t>Biļešu summa</w:t>
            </w:r>
          </w:p>
        </w:tc>
        <w:tc>
          <w:tcPr>
            <w:tcW w:w="248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D11C28" w:rsidR="00CC6021" w:rsidP="00D11C28" w:rsidRDefault="00983C36" w14:paraId="637794BE" w14:textId="3D4E4B61">
            <w:pPr>
              <w:spacing w:after="0" w:line="240" w:lineRule="auto"/>
              <w:jc w:val="center"/>
              <w:rPr>
                <w:rFonts w:ascii="Times New Roman" w:hAnsi="Times New Roman" w:cs="Times New Roman"/>
                <w:sz w:val="26"/>
                <w:szCs w:val="26"/>
                <w:lang w:eastAsia="lv-LV"/>
              </w:rPr>
            </w:pPr>
            <w:r w:rsidRPr="00D11C28">
              <w:rPr>
                <w:rFonts w:ascii="Times New Roman" w:hAnsi="Times New Roman" w:cs="Times New Roman"/>
                <w:sz w:val="26"/>
                <w:szCs w:val="26"/>
                <w:lang w:eastAsia="lv-LV"/>
              </w:rPr>
              <w:t>927 148</w:t>
            </w:r>
          </w:p>
          <w:p w:rsidRPr="00D11C28" w:rsidR="002766E4" w:rsidP="00D11C28" w:rsidRDefault="00CC6021" w14:paraId="694E1DA4" w14:textId="5D426FC4">
            <w:pPr>
              <w:spacing w:after="0" w:line="240" w:lineRule="auto"/>
              <w:jc w:val="center"/>
              <w:rPr>
                <w:rFonts w:ascii="Times New Roman" w:hAnsi="Times New Roman" w:cs="Times New Roman"/>
                <w:sz w:val="26"/>
                <w:szCs w:val="26"/>
                <w:lang w:eastAsia="lv-LV"/>
              </w:rPr>
            </w:pPr>
            <w:r w:rsidRPr="00D11C28">
              <w:rPr>
                <w:rFonts w:ascii="Times New Roman" w:hAnsi="Times New Roman" w:cs="Times New Roman"/>
                <w:sz w:val="26"/>
                <w:szCs w:val="26"/>
                <w:lang w:eastAsia="lv-LV"/>
              </w:rPr>
              <w:t xml:space="preserve">(100% </w:t>
            </w:r>
            <w:r w:rsidR="00D11C28">
              <w:rPr>
                <w:rFonts w:ascii="Times New Roman" w:hAnsi="Times New Roman" w:cs="Times New Roman"/>
                <w:sz w:val="26"/>
                <w:szCs w:val="26"/>
                <w:lang w:eastAsia="lv-LV"/>
              </w:rPr>
              <w:t>–</w:t>
            </w:r>
            <w:r w:rsidRPr="00D11C28">
              <w:rPr>
                <w:rFonts w:ascii="Times New Roman" w:hAnsi="Times New Roman" w:cs="Times New Roman"/>
                <w:sz w:val="26"/>
                <w:szCs w:val="26"/>
                <w:lang w:eastAsia="lv-LV"/>
              </w:rPr>
              <w:t xml:space="preserve"> </w:t>
            </w:r>
            <w:r w:rsidRPr="00D11C28" w:rsidR="0009576A">
              <w:rPr>
                <w:rFonts w:ascii="Times New Roman" w:hAnsi="Times New Roman" w:cs="Times New Roman"/>
                <w:sz w:val="26"/>
                <w:szCs w:val="26"/>
                <w:lang w:eastAsia="lv-LV"/>
              </w:rPr>
              <w:t>1 158</w:t>
            </w:r>
            <w:r w:rsidRPr="00D11C28">
              <w:rPr>
                <w:rFonts w:ascii="Times New Roman" w:hAnsi="Times New Roman" w:cs="Times New Roman"/>
                <w:sz w:val="26"/>
                <w:szCs w:val="26"/>
                <w:lang w:eastAsia="lv-LV"/>
              </w:rPr>
              <w:t> </w:t>
            </w:r>
            <w:r w:rsidRPr="00D11C28" w:rsidR="0009576A">
              <w:rPr>
                <w:rFonts w:ascii="Times New Roman" w:hAnsi="Times New Roman" w:cs="Times New Roman"/>
                <w:sz w:val="26"/>
                <w:szCs w:val="26"/>
                <w:lang w:eastAsia="lv-LV"/>
              </w:rPr>
              <w:t>935</w:t>
            </w:r>
            <w:r w:rsidRPr="00D11C28">
              <w:rPr>
                <w:rFonts w:ascii="Times New Roman" w:hAnsi="Times New Roman" w:cs="Times New Roman"/>
                <w:sz w:val="26"/>
                <w:szCs w:val="26"/>
                <w:lang w:eastAsia="lv-LV"/>
              </w:rPr>
              <w:t>)</w:t>
            </w:r>
          </w:p>
        </w:tc>
      </w:tr>
      <w:tr w:rsidRPr="0009576A" w:rsidR="0009576A" w:rsidTr="00D11C28" w14:paraId="5C8E0253" w14:textId="77777777">
        <w:trPr>
          <w:trHeight w:val="307"/>
        </w:trPr>
        <w:tc>
          <w:tcPr>
            <w:tcW w:w="6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D11C28" w:rsidR="002766E4" w:rsidP="00ED59FD" w:rsidRDefault="002766E4" w14:paraId="07E27C06" w14:textId="0E327C11">
            <w:pPr>
              <w:spacing w:after="0" w:line="240" w:lineRule="auto"/>
              <w:rPr>
                <w:rFonts w:ascii="Times New Roman" w:hAnsi="Times New Roman" w:cs="Times New Roman"/>
                <w:sz w:val="26"/>
                <w:szCs w:val="26"/>
                <w:lang w:eastAsia="lv-LV"/>
              </w:rPr>
            </w:pPr>
            <w:bookmarkStart w:name="_Hlk57380839" w:id="3"/>
            <w:r w:rsidRPr="00D11C28">
              <w:rPr>
                <w:rFonts w:ascii="Times New Roman" w:hAnsi="Times New Roman" w:cs="Times New Roman"/>
                <w:sz w:val="26"/>
                <w:szCs w:val="26"/>
                <w:lang w:eastAsia="lv-LV"/>
              </w:rPr>
              <w:t>Biļešu tirgotāja komisija pa</w:t>
            </w:r>
            <w:r w:rsidRPr="00D11C28" w:rsidR="00983C36">
              <w:rPr>
                <w:rFonts w:ascii="Times New Roman" w:hAnsi="Times New Roman" w:cs="Times New Roman"/>
                <w:sz w:val="26"/>
                <w:szCs w:val="26"/>
                <w:lang w:eastAsia="lv-LV"/>
              </w:rPr>
              <w:t>r reversu</w:t>
            </w:r>
          </w:p>
        </w:tc>
        <w:tc>
          <w:tcPr>
            <w:tcW w:w="248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D11C28" w:rsidR="002766E4" w:rsidP="00D11C28" w:rsidRDefault="0009576A" w14:paraId="16BC9ADE" w14:textId="0D811D1C">
            <w:pPr>
              <w:spacing w:after="0" w:line="240" w:lineRule="auto"/>
              <w:jc w:val="center"/>
              <w:rPr>
                <w:rFonts w:ascii="Times New Roman" w:hAnsi="Times New Roman" w:cs="Times New Roman"/>
                <w:sz w:val="26"/>
                <w:szCs w:val="26"/>
                <w:lang w:eastAsia="lv-LV"/>
              </w:rPr>
            </w:pPr>
            <w:r w:rsidRPr="00D11C28">
              <w:rPr>
                <w:rFonts w:ascii="Times New Roman" w:hAnsi="Times New Roman" w:cs="Times New Roman"/>
                <w:sz w:val="26"/>
                <w:szCs w:val="26"/>
                <w:lang w:eastAsia="lv-LV"/>
              </w:rPr>
              <w:t>104 304</w:t>
            </w:r>
          </w:p>
        </w:tc>
      </w:tr>
      <w:bookmarkEnd w:id="3"/>
      <w:tr w:rsidRPr="0009576A" w:rsidR="0009576A" w:rsidTr="00CC6021" w14:paraId="71B75755" w14:textId="77777777">
        <w:trPr>
          <w:trHeight w:val="607"/>
        </w:trPr>
        <w:tc>
          <w:tcPr>
            <w:tcW w:w="67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D11C28" w:rsidR="002766E4" w:rsidP="00ED59FD" w:rsidRDefault="002766E4" w14:paraId="7A530F01" w14:textId="12394C16">
            <w:pPr>
              <w:spacing w:after="0" w:line="240" w:lineRule="auto"/>
              <w:rPr>
                <w:rFonts w:ascii="Times New Roman" w:hAnsi="Times New Roman" w:cs="Times New Roman"/>
                <w:sz w:val="26"/>
                <w:szCs w:val="26"/>
                <w:lang w:eastAsia="lv-LV"/>
              </w:rPr>
            </w:pPr>
            <w:r w:rsidRPr="00D11C28">
              <w:rPr>
                <w:rFonts w:ascii="Times New Roman" w:hAnsi="Times New Roman" w:cs="Times New Roman"/>
                <w:sz w:val="26"/>
                <w:szCs w:val="26"/>
                <w:lang w:eastAsia="lv-LV"/>
              </w:rPr>
              <w:t>Pamatojošo dokumentu izvērtēšanas pakalpojums (</w:t>
            </w:r>
            <w:r w:rsidR="00D11C28">
              <w:rPr>
                <w:rFonts w:ascii="Times New Roman" w:hAnsi="Times New Roman" w:cs="Times New Roman"/>
                <w:sz w:val="26"/>
                <w:szCs w:val="26"/>
                <w:lang w:eastAsia="lv-LV"/>
              </w:rPr>
              <w:t>iepirkums</w:t>
            </w:r>
            <w:r w:rsidRPr="00D11C28">
              <w:rPr>
                <w:rFonts w:ascii="Times New Roman" w:hAnsi="Times New Roman" w:cs="Times New Roman"/>
                <w:sz w:val="26"/>
                <w:szCs w:val="26"/>
                <w:lang w:eastAsia="lv-LV"/>
              </w:rPr>
              <w:t>) V</w:t>
            </w:r>
            <w:r w:rsidR="00D11C28">
              <w:rPr>
                <w:rFonts w:ascii="Times New Roman" w:hAnsi="Times New Roman" w:cs="Times New Roman"/>
                <w:sz w:val="26"/>
                <w:szCs w:val="26"/>
                <w:lang w:eastAsia="lv-LV"/>
              </w:rPr>
              <w:t>alsts kultūrkapitāla fonds</w:t>
            </w:r>
          </w:p>
        </w:tc>
        <w:tc>
          <w:tcPr>
            <w:tcW w:w="248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D11C28" w:rsidR="002766E4" w:rsidP="00D11C28" w:rsidRDefault="002766E4" w14:paraId="5F739F69" w14:textId="78E783A5">
            <w:pPr>
              <w:spacing w:after="0" w:line="240" w:lineRule="auto"/>
              <w:jc w:val="center"/>
              <w:rPr>
                <w:rFonts w:ascii="Times New Roman" w:hAnsi="Times New Roman" w:cs="Times New Roman"/>
                <w:sz w:val="26"/>
                <w:szCs w:val="26"/>
                <w:lang w:eastAsia="lv-LV"/>
              </w:rPr>
            </w:pPr>
            <w:r w:rsidRPr="00D11C28">
              <w:rPr>
                <w:rFonts w:ascii="Times New Roman" w:hAnsi="Times New Roman" w:cs="Times New Roman"/>
                <w:sz w:val="26"/>
                <w:szCs w:val="26"/>
                <w:lang w:eastAsia="lv-LV"/>
              </w:rPr>
              <w:t>52 02</w:t>
            </w:r>
            <w:r w:rsidRPr="00D11C28" w:rsidR="0009576A">
              <w:rPr>
                <w:rFonts w:ascii="Times New Roman" w:hAnsi="Times New Roman" w:cs="Times New Roman"/>
                <w:sz w:val="26"/>
                <w:szCs w:val="26"/>
                <w:lang w:eastAsia="lv-LV"/>
              </w:rPr>
              <w:t>9</w:t>
            </w:r>
          </w:p>
        </w:tc>
      </w:tr>
      <w:tr w:rsidRPr="0009576A" w:rsidR="0009576A" w:rsidTr="00CC6021" w14:paraId="2B6BF410" w14:textId="77777777">
        <w:trPr>
          <w:trHeight w:val="288"/>
        </w:trPr>
        <w:tc>
          <w:tcPr>
            <w:tcW w:w="679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bottom"/>
            <w:hideMark/>
          </w:tcPr>
          <w:p w:rsidRPr="00D11C28" w:rsidR="002766E4" w:rsidP="00ED59FD" w:rsidRDefault="00D11C28" w14:paraId="219E5011" w14:textId="48A2AF7A">
            <w:pPr>
              <w:spacing w:after="0" w:line="240" w:lineRule="auto"/>
              <w:rPr>
                <w:rFonts w:ascii="Times New Roman" w:hAnsi="Times New Roman" w:cs="Times New Roman"/>
                <w:b/>
                <w:bCs/>
                <w:sz w:val="26"/>
                <w:szCs w:val="26"/>
                <w:lang w:eastAsia="lv-LV"/>
              </w:rPr>
            </w:pPr>
            <w:r w:rsidRPr="00D11C28">
              <w:rPr>
                <w:rFonts w:ascii="Times New Roman" w:hAnsi="Times New Roman" w:cs="Times New Roman"/>
                <w:b/>
                <w:bCs/>
                <w:sz w:val="26"/>
                <w:szCs w:val="26"/>
                <w:lang w:eastAsia="lv-LV"/>
              </w:rPr>
              <w:t>Kopā nepieciešamais finansējums </w:t>
            </w:r>
            <w:r w:rsidRPr="00D11C28" w:rsidR="002766E4">
              <w:rPr>
                <w:rFonts w:ascii="Times New Roman" w:hAnsi="Times New Roman" w:cs="Times New Roman"/>
                <w:b/>
                <w:bCs/>
                <w:sz w:val="26"/>
                <w:szCs w:val="26"/>
                <w:lang w:eastAsia="lv-LV"/>
              </w:rPr>
              <w:t>2021.gadā</w:t>
            </w:r>
          </w:p>
        </w:tc>
        <w:tc>
          <w:tcPr>
            <w:tcW w:w="2486" w:type="dxa"/>
            <w:tcBorders>
              <w:top w:val="nil"/>
              <w:left w:val="nil"/>
              <w:bottom w:val="single" w:color="auto" w:sz="8" w:space="0"/>
              <w:right w:val="single" w:color="auto" w:sz="8" w:space="0"/>
            </w:tcBorders>
            <w:noWrap/>
            <w:tcMar>
              <w:top w:w="0" w:type="dxa"/>
              <w:left w:w="108" w:type="dxa"/>
              <w:bottom w:w="0" w:type="dxa"/>
              <w:right w:w="108" w:type="dxa"/>
            </w:tcMar>
            <w:vAlign w:val="bottom"/>
            <w:hideMark/>
          </w:tcPr>
          <w:p w:rsidRPr="00D11C28" w:rsidR="002766E4" w:rsidP="00D11C28" w:rsidRDefault="00D11C28" w14:paraId="51725D23" w14:textId="2247AB12">
            <w:pPr>
              <w:spacing w:after="0" w:line="240" w:lineRule="auto"/>
              <w:ind w:left="32"/>
              <w:jc w:val="center"/>
              <w:rPr>
                <w:rFonts w:ascii="Times New Roman" w:hAnsi="Times New Roman" w:cs="Times New Roman"/>
                <w:b/>
                <w:bCs/>
                <w:sz w:val="26"/>
                <w:szCs w:val="26"/>
                <w:lang w:eastAsia="lv-LV"/>
              </w:rPr>
            </w:pPr>
            <w:r>
              <w:rPr>
                <w:rFonts w:ascii="Times New Roman" w:hAnsi="Times New Roman" w:cs="Times New Roman"/>
                <w:b/>
                <w:bCs/>
                <w:sz w:val="26"/>
                <w:szCs w:val="26"/>
                <w:lang w:eastAsia="lv-LV"/>
              </w:rPr>
              <w:t xml:space="preserve">1 </w:t>
            </w:r>
            <w:r w:rsidRPr="00D11C28" w:rsidR="00983C36">
              <w:rPr>
                <w:rFonts w:ascii="Times New Roman" w:hAnsi="Times New Roman" w:cs="Times New Roman"/>
                <w:b/>
                <w:bCs/>
                <w:sz w:val="26"/>
                <w:szCs w:val="26"/>
                <w:lang w:eastAsia="lv-LV"/>
              </w:rPr>
              <w:t xml:space="preserve">083 </w:t>
            </w:r>
            <w:r w:rsidR="00074283">
              <w:rPr>
                <w:rFonts w:ascii="Times New Roman" w:hAnsi="Times New Roman" w:cs="Times New Roman"/>
                <w:b/>
                <w:bCs/>
                <w:sz w:val="26"/>
                <w:szCs w:val="26"/>
                <w:lang w:eastAsia="lv-LV"/>
              </w:rPr>
              <w:t>481</w:t>
            </w:r>
          </w:p>
        </w:tc>
      </w:tr>
    </w:tbl>
    <w:p w:rsidR="00425E73" w:rsidP="00ED59FD" w:rsidRDefault="00425E73" w14:paraId="010BA1E8" w14:textId="77777777">
      <w:pPr>
        <w:spacing w:after="0" w:line="240" w:lineRule="auto"/>
        <w:jc w:val="both"/>
        <w:rPr>
          <w:rFonts w:ascii="Times New Roman" w:hAnsi="Times New Roman" w:cs="Times New Roman"/>
          <w:sz w:val="28"/>
          <w:szCs w:val="28"/>
        </w:rPr>
      </w:pPr>
    </w:p>
    <w:p w:rsidR="000B5CAF" w:rsidP="00D11C28" w:rsidRDefault="00D11C28" w14:paraId="17CB8D85" w14:textId="77777777">
      <w:pPr>
        <w:spacing w:after="0" w:line="240" w:lineRule="auto"/>
        <w:ind w:firstLine="720"/>
        <w:jc w:val="both"/>
        <w:rPr>
          <w:rFonts w:ascii="Times New Roman" w:hAnsi="Times New Roman" w:cs="Times New Roman"/>
          <w:bCs/>
          <w:sz w:val="28"/>
          <w:szCs w:val="28"/>
        </w:rPr>
      </w:pPr>
      <w:r w:rsidRPr="00D11C28">
        <w:rPr>
          <w:rFonts w:ascii="Times New Roman" w:hAnsi="Times New Roman" w:cs="Times New Roman"/>
          <w:bCs/>
          <w:sz w:val="28"/>
          <w:szCs w:val="28"/>
        </w:rPr>
        <w:t>Ņemot vērā minēto, l</w:t>
      </w:r>
      <w:r w:rsidRPr="00D11C28" w:rsidR="0009576A">
        <w:rPr>
          <w:rFonts w:ascii="Times New Roman" w:hAnsi="Times New Roman" w:cs="Times New Roman"/>
          <w:bCs/>
          <w:sz w:val="28"/>
          <w:szCs w:val="28"/>
        </w:rPr>
        <w:t>ai īstenotu izstrādāto atbalsta pasākum</w:t>
      </w:r>
      <w:r w:rsidRPr="00D11C28" w:rsidR="00425E73">
        <w:rPr>
          <w:rFonts w:ascii="Times New Roman" w:hAnsi="Times New Roman" w:cs="Times New Roman"/>
          <w:bCs/>
          <w:sz w:val="28"/>
          <w:szCs w:val="28"/>
        </w:rPr>
        <w:t>u</w:t>
      </w:r>
      <w:r w:rsidRPr="00D11C28">
        <w:rPr>
          <w:rFonts w:ascii="Times New Roman" w:hAnsi="Times New Roman" w:cs="Times New Roman"/>
          <w:bCs/>
          <w:sz w:val="28"/>
          <w:szCs w:val="28"/>
        </w:rPr>
        <w:t xml:space="preserve"> Covid-19 krīzes ietekmētajiem kultūras pasākumu rīkotājiem ārkārtējās situācijas laikā atcelto kultūras pasākumu biļešu kompensācijām</w:t>
      </w:r>
      <w:r w:rsidRPr="00D11C28" w:rsidR="0009576A">
        <w:rPr>
          <w:rFonts w:ascii="Times New Roman" w:hAnsi="Times New Roman" w:cs="Times New Roman"/>
          <w:bCs/>
          <w:sz w:val="28"/>
          <w:szCs w:val="28"/>
        </w:rPr>
        <w:t xml:space="preserve">, </w:t>
      </w:r>
      <w:r w:rsidRPr="00D11C28">
        <w:rPr>
          <w:rFonts w:ascii="Times New Roman" w:hAnsi="Times New Roman" w:cs="Times New Roman"/>
          <w:bCs/>
          <w:sz w:val="28"/>
          <w:szCs w:val="28"/>
        </w:rPr>
        <w:t>Kultūras ministrijai nepieciešams sagatavot un kultūras ministram iesniegt noteiktā kārtībā izskatīšanai Ministru kabinetā</w:t>
      </w:r>
      <w:r w:rsidR="000B5CAF">
        <w:rPr>
          <w:rFonts w:ascii="Times New Roman" w:hAnsi="Times New Roman" w:cs="Times New Roman"/>
          <w:bCs/>
          <w:sz w:val="28"/>
          <w:szCs w:val="28"/>
        </w:rPr>
        <w:t>:</w:t>
      </w:r>
    </w:p>
    <w:p w:rsidRPr="000B5CAF" w:rsidR="000B5CAF" w:rsidP="000B5CAF" w:rsidRDefault="00D11C28" w14:paraId="48D1E453" w14:textId="77777777">
      <w:pPr>
        <w:pStyle w:val="ListParagraph"/>
        <w:numPr>
          <w:ilvl w:val="0"/>
          <w:numId w:val="23"/>
        </w:numPr>
        <w:spacing w:after="0" w:line="240" w:lineRule="auto"/>
        <w:ind w:left="714" w:hanging="357"/>
        <w:jc w:val="both"/>
        <w:rPr>
          <w:rFonts w:ascii="Times New Roman" w:hAnsi="Times New Roman" w:cs="Times New Roman"/>
          <w:b/>
          <w:bCs/>
          <w:sz w:val="28"/>
          <w:szCs w:val="28"/>
        </w:rPr>
      </w:pPr>
      <w:r w:rsidRPr="000B5CAF">
        <w:rPr>
          <w:rFonts w:ascii="Times New Roman" w:hAnsi="Times New Roman" w:cs="Times New Roman"/>
          <w:bCs/>
          <w:sz w:val="28"/>
          <w:szCs w:val="28"/>
        </w:rPr>
        <w:t>grozījumus Ministru kabineta 2020.gada 21.janvāra noteikumos Nr.33 „Kārtība, kādā aprēķina un piešķir valsts budžeta finansējumu programmas „Latvijas skolas soma” īstenošanai no 2020.gada 1.janvāra līdz 2020.gada 31.decembrim” paredzot, ka 2020.gada neizlietoto finansējumu, kas uzrādīts pašvaldības iesniegtajā pārskatā, Kultūras ministrija ietur no 2021.gadā plānotā finansējuma</w:t>
      </w:r>
      <w:r w:rsidR="000B5CAF">
        <w:rPr>
          <w:rFonts w:ascii="Times New Roman" w:hAnsi="Times New Roman" w:cs="Times New Roman"/>
          <w:bCs/>
          <w:sz w:val="28"/>
          <w:szCs w:val="28"/>
        </w:rPr>
        <w:t>;</w:t>
      </w:r>
    </w:p>
    <w:p w:rsidRPr="008C343D" w:rsidR="008C343D" w:rsidP="008C343D" w:rsidRDefault="00D11C28" w14:paraId="7F320C32" w14:textId="06644E2A">
      <w:pPr>
        <w:pStyle w:val="ListParagraph"/>
        <w:numPr>
          <w:ilvl w:val="0"/>
          <w:numId w:val="23"/>
        </w:numPr>
        <w:spacing w:after="0" w:line="240" w:lineRule="auto"/>
        <w:ind w:left="714" w:hanging="357"/>
        <w:jc w:val="both"/>
        <w:rPr>
          <w:rStyle w:val="spelle"/>
          <w:rFonts w:ascii="Times New Roman" w:hAnsi="Times New Roman" w:cs="Times New Roman"/>
          <w:b/>
          <w:bCs/>
          <w:sz w:val="28"/>
          <w:szCs w:val="28"/>
        </w:rPr>
      </w:pPr>
      <w:r w:rsidRPr="000B5CAF">
        <w:rPr>
          <w:rFonts w:ascii="Times New Roman" w:hAnsi="Times New Roman" w:cs="Times New Roman"/>
          <w:bCs/>
          <w:sz w:val="28"/>
          <w:szCs w:val="28"/>
        </w:rPr>
        <w:t>Ministru kabinet</w:t>
      </w:r>
      <w:r w:rsidR="000B5CAF">
        <w:rPr>
          <w:rFonts w:ascii="Times New Roman" w:hAnsi="Times New Roman" w:cs="Times New Roman"/>
          <w:bCs/>
          <w:sz w:val="28"/>
          <w:szCs w:val="28"/>
        </w:rPr>
        <w:t>a</w:t>
      </w:r>
      <w:r w:rsidRPr="000B5CAF">
        <w:rPr>
          <w:rFonts w:ascii="Times New Roman" w:hAnsi="Times New Roman" w:cs="Times New Roman"/>
          <w:bCs/>
          <w:sz w:val="28"/>
          <w:szCs w:val="28"/>
        </w:rPr>
        <w:t xml:space="preserve"> rīkojuma projektu par apropriācijas pārdali no valsts budžeta apakšprogrammas 22.12.00 „Latvijas valsts simtgades programma” uz valsts budžeta apakšprogrammu 25.02.00 „Valsts kultūrkapitāla fonda programmu un projektu konkursi”</w:t>
      </w:r>
      <w:r w:rsidRPr="000B5CAF" w:rsidR="006C2BC5">
        <w:rPr>
          <w:rStyle w:val="spelle"/>
          <w:rFonts w:ascii="Times New Roman" w:hAnsi="Times New Roman" w:cs="Times New Roman"/>
          <w:bCs/>
          <w:sz w:val="28"/>
          <w:szCs w:val="28"/>
        </w:rPr>
        <w:t>.</w:t>
      </w:r>
      <w:r w:rsidRPr="000B5CAF" w:rsidR="006C2BC5">
        <w:rPr>
          <w:rStyle w:val="spelle"/>
          <w:sz w:val="28"/>
          <w:szCs w:val="28"/>
        </w:rPr>
        <w:t xml:space="preserve"> </w:t>
      </w:r>
      <w:r w:rsidRPr="000B5CAF" w:rsidR="0009576A">
        <w:rPr>
          <w:rStyle w:val="spelle"/>
          <w:sz w:val="28"/>
          <w:szCs w:val="28"/>
        </w:rPr>
        <w:t xml:space="preserve"> </w:t>
      </w:r>
    </w:p>
    <w:p w:rsidRPr="00EF7E7B" w:rsidR="008C343D" w:rsidP="003A7CFE" w:rsidRDefault="008C343D" w14:paraId="693A76BB" w14:textId="0D0B4F5D">
      <w:pPr>
        <w:spacing w:after="0" w:line="240" w:lineRule="auto"/>
        <w:ind w:firstLine="720"/>
        <w:jc w:val="both"/>
        <w:rPr>
          <w:rStyle w:val="spelle"/>
          <w:rFonts w:ascii="Times New Roman" w:hAnsi="Times New Roman" w:cs="Times New Roman"/>
          <w:bCs/>
          <w:sz w:val="28"/>
          <w:szCs w:val="28"/>
        </w:rPr>
      </w:pPr>
      <w:r>
        <w:rPr>
          <w:rStyle w:val="spelle"/>
          <w:rFonts w:ascii="Times New Roman" w:hAnsi="Times New Roman" w:cs="Times New Roman"/>
          <w:bCs/>
          <w:sz w:val="28"/>
          <w:szCs w:val="28"/>
        </w:rPr>
        <w:t xml:space="preserve">Papildus </w:t>
      </w:r>
      <w:r w:rsidRPr="00EF7E7B">
        <w:rPr>
          <w:rStyle w:val="spelle"/>
          <w:rFonts w:ascii="Times New Roman" w:hAnsi="Times New Roman" w:cs="Times New Roman"/>
          <w:bCs/>
          <w:sz w:val="28"/>
          <w:szCs w:val="28"/>
        </w:rPr>
        <w:t xml:space="preserve">Kultūras ministrijai </w:t>
      </w:r>
      <w:r>
        <w:rPr>
          <w:rStyle w:val="spelle"/>
          <w:rFonts w:ascii="Times New Roman" w:hAnsi="Times New Roman" w:cs="Times New Roman"/>
          <w:bCs/>
          <w:sz w:val="28"/>
          <w:szCs w:val="28"/>
        </w:rPr>
        <w:t xml:space="preserve">ir nepieciešams </w:t>
      </w:r>
      <w:r w:rsidRPr="00EF7E7B">
        <w:rPr>
          <w:rStyle w:val="spelle"/>
          <w:rFonts w:ascii="Times New Roman" w:hAnsi="Times New Roman" w:cs="Times New Roman"/>
          <w:bCs/>
          <w:sz w:val="28"/>
          <w:szCs w:val="28"/>
        </w:rPr>
        <w:t>sagatavot un līdz 2020</w:t>
      </w:r>
      <w:r w:rsidR="00B110A1">
        <w:rPr>
          <w:rStyle w:val="spelle"/>
          <w:rFonts w:ascii="Times New Roman" w:hAnsi="Times New Roman" w:cs="Times New Roman"/>
          <w:bCs/>
          <w:sz w:val="28"/>
          <w:szCs w:val="28"/>
        </w:rPr>
        <w:t>.gada 10.decembrim</w:t>
      </w:r>
      <w:r w:rsidRPr="00EF7E7B">
        <w:rPr>
          <w:rStyle w:val="spelle"/>
          <w:rFonts w:ascii="Times New Roman" w:hAnsi="Times New Roman" w:cs="Times New Roman"/>
          <w:bCs/>
          <w:sz w:val="28"/>
          <w:szCs w:val="28"/>
        </w:rPr>
        <w:t xml:space="preserve"> iesniegt paziņojumu „Par atbalsta pasākumu Covid-19 krīzes ietekmētajiem kultūras pasākum</w:t>
      </w:r>
      <w:r w:rsidRPr="008C343D">
        <w:rPr>
          <w:rStyle w:val="spelle"/>
          <w:rFonts w:ascii="Times New Roman" w:hAnsi="Times New Roman" w:cs="Times New Roman"/>
          <w:bCs/>
          <w:sz w:val="28"/>
          <w:szCs w:val="28"/>
        </w:rPr>
        <w:t>u rīkotājiem” Eiropas Komisijai lēmuma saņemšanai.</w:t>
      </w:r>
    </w:p>
    <w:p w:rsidRPr="004D08CF" w:rsidR="008C343D" w:rsidP="00EF7E7B" w:rsidRDefault="008C343D" w14:paraId="3ACCD1E3" w14:textId="77777777">
      <w:pPr>
        <w:spacing w:after="0" w:line="240" w:lineRule="auto"/>
        <w:jc w:val="both"/>
        <w:rPr>
          <w:rStyle w:val="spelle"/>
          <w:rFonts w:ascii="Times New Roman" w:hAnsi="Times New Roman" w:cs="Times New Roman"/>
          <w:sz w:val="28"/>
          <w:szCs w:val="28"/>
        </w:rPr>
      </w:pPr>
    </w:p>
    <w:p w:rsidRPr="0009576A" w:rsidR="00D11C28" w:rsidP="004D08CF" w:rsidRDefault="00D11C28" w14:paraId="564A58E5" w14:textId="77777777">
      <w:pPr>
        <w:spacing w:after="0" w:line="240" w:lineRule="auto"/>
        <w:jc w:val="both"/>
        <w:rPr>
          <w:rFonts w:ascii="Times New Roman" w:hAnsi="Times New Roman" w:cs="Times New Roman"/>
          <w:sz w:val="28"/>
          <w:szCs w:val="28"/>
          <w:shd w:val="clear" w:color="auto" w:fill="FFFFFF"/>
        </w:rPr>
      </w:pPr>
    </w:p>
    <w:p w:rsidRPr="00DA1763" w:rsidR="00ED59FD" w:rsidP="00ED59FD" w:rsidRDefault="00ED59FD" w14:paraId="560B7739" w14:textId="77777777">
      <w:pPr>
        <w:pBdr>
          <w:top w:val="nil"/>
          <w:left w:val="nil"/>
          <w:bottom w:val="nil"/>
          <w:right w:val="nil"/>
          <w:between w:val="nil"/>
        </w:pBdr>
        <w:spacing w:after="0" w:line="240" w:lineRule="auto"/>
        <w:ind w:left="142"/>
        <w:jc w:val="both"/>
        <w:rPr>
          <w:rFonts w:ascii="Times New Roman" w:hAnsi="Times New Roman" w:eastAsia="Times New Roman"/>
          <w:color w:val="000000"/>
          <w:sz w:val="28"/>
          <w:szCs w:val="28"/>
        </w:rPr>
      </w:pPr>
      <w:r w:rsidRPr="00DA1763">
        <w:rPr>
          <w:rFonts w:ascii="Times New Roman" w:hAnsi="Times New Roman" w:eastAsia="Times New Roman"/>
          <w:color w:val="000000"/>
          <w:sz w:val="28"/>
          <w:szCs w:val="28"/>
        </w:rPr>
        <w:t>Kultūras ministrs</w:t>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N.Puntulis</w:t>
      </w:r>
    </w:p>
    <w:p w:rsidRPr="00DA1763" w:rsidR="00ED59FD" w:rsidP="00ED59FD" w:rsidRDefault="00ED59FD" w14:paraId="10E9A3D2" w14:textId="77777777">
      <w:pPr>
        <w:pBdr>
          <w:top w:val="nil"/>
          <w:left w:val="nil"/>
          <w:bottom w:val="nil"/>
          <w:right w:val="nil"/>
          <w:between w:val="nil"/>
        </w:pBdr>
        <w:spacing w:after="0" w:line="240" w:lineRule="auto"/>
        <w:ind w:left="142"/>
        <w:jc w:val="both"/>
        <w:rPr>
          <w:rFonts w:ascii="Times New Roman" w:hAnsi="Times New Roman" w:eastAsia="Times New Roman"/>
          <w:color w:val="000000"/>
          <w:sz w:val="28"/>
          <w:szCs w:val="28"/>
        </w:rPr>
      </w:pPr>
    </w:p>
    <w:p w:rsidRPr="00DA1763" w:rsidR="00ED59FD" w:rsidP="00ED59FD" w:rsidRDefault="00ED59FD" w14:paraId="6E3E6828" w14:textId="77777777">
      <w:pPr>
        <w:pBdr>
          <w:top w:val="nil"/>
          <w:left w:val="nil"/>
          <w:bottom w:val="nil"/>
          <w:right w:val="nil"/>
          <w:between w:val="nil"/>
        </w:pBdr>
        <w:spacing w:after="0" w:line="240" w:lineRule="auto"/>
        <w:ind w:left="142"/>
        <w:jc w:val="both"/>
        <w:rPr>
          <w:rFonts w:ascii="Times New Roman" w:hAnsi="Times New Roman" w:eastAsia="Times New Roman"/>
          <w:color w:val="000000"/>
          <w:sz w:val="28"/>
          <w:szCs w:val="28"/>
        </w:rPr>
      </w:pPr>
      <w:r w:rsidRPr="00DA1763">
        <w:rPr>
          <w:rFonts w:ascii="Times New Roman" w:hAnsi="Times New Roman" w:eastAsia="Times New Roman"/>
          <w:color w:val="000000"/>
          <w:sz w:val="28"/>
          <w:szCs w:val="28"/>
        </w:rPr>
        <w:t>Vīza: Valsts sekretāre</w:t>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r>
      <w:r w:rsidRPr="00DA1763">
        <w:rPr>
          <w:rFonts w:ascii="Times New Roman" w:hAnsi="Times New Roman" w:eastAsia="Times New Roman"/>
          <w:color w:val="000000"/>
          <w:sz w:val="28"/>
          <w:szCs w:val="28"/>
        </w:rPr>
        <w:tab/>
        <w:t>D.Vilsone</w:t>
      </w:r>
    </w:p>
    <w:p w:rsidR="00D11C28" w:rsidP="00ED59FD" w:rsidRDefault="00D11C28" w14:paraId="4D18E620" w14:textId="77777777">
      <w:pPr>
        <w:spacing w:after="0" w:line="240" w:lineRule="auto"/>
        <w:rPr>
          <w:rFonts w:ascii="Times New Roman" w:hAnsi="Times New Roman" w:cs="Times New Roman"/>
          <w:sz w:val="28"/>
          <w:szCs w:val="28"/>
        </w:rPr>
      </w:pPr>
    </w:p>
    <w:p w:rsidR="004D08CF" w:rsidP="00ED59FD" w:rsidRDefault="004D08CF" w14:paraId="5C2F0EB7" w14:textId="77777777">
      <w:pPr>
        <w:spacing w:after="0" w:line="240" w:lineRule="auto"/>
        <w:rPr>
          <w:rFonts w:ascii="Times New Roman" w:hAnsi="Times New Roman" w:cs="Times New Roman"/>
          <w:sz w:val="28"/>
          <w:szCs w:val="28"/>
        </w:rPr>
      </w:pPr>
    </w:p>
    <w:p w:rsidRPr="0009576A" w:rsidR="00ED59FD" w:rsidP="00ED59FD" w:rsidRDefault="00ED59FD" w14:paraId="1E9582C4" w14:textId="77777777">
      <w:pPr>
        <w:spacing w:after="0" w:line="240" w:lineRule="auto"/>
        <w:rPr>
          <w:rFonts w:ascii="Times New Roman" w:hAnsi="Times New Roman" w:cs="Times New Roman"/>
          <w:sz w:val="28"/>
          <w:szCs w:val="28"/>
        </w:rPr>
      </w:pPr>
    </w:p>
    <w:p w:rsidRPr="00ED59FD" w:rsidR="00ED59FD" w:rsidP="00ED59FD" w:rsidRDefault="00ED59FD" w14:paraId="55CF4732" w14:textId="77777777">
      <w:pPr>
        <w:tabs>
          <w:tab w:val="right" w:pos="8280"/>
        </w:tabs>
        <w:spacing w:after="0" w:line="240" w:lineRule="auto"/>
        <w:jc w:val="both"/>
        <w:rPr>
          <w:rFonts w:ascii="Times New Roman" w:hAnsi="Times New Roman" w:eastAsia="Times New Roman" w:cs="Times New Roman"/>
          <w:sz w:val="20"/>
          <w:szCs w:val="20"/>
        </w:rPr>
      </w:pPr>
      <w:r w:rsidRPr="00ED59FD">
        <w:rPr>
          <w:rFonts w:ascii="Times New Roman" w:hAnsi="Times New Roman" w:eastAsia="Times New Roman" w:cs="Times New Roman"/>
          <w:sz w:val="20"/>
          <w:szCs w:val="20"/>
        </w:rPr>
        <w:t>Jaunskunga 67330216</w:t>
      </w:r>
    </w:p>
    <w:p w:rsidRPr="004D08CF" w:rsidR="00D54DB3" w:rsidP="004D08CF" w:rsidRDefault="00714144" w14:paraId="3B11E5D0" w14:textId="1454604B">
      <w:pPr>
        <w:tabs>
          <w:tab w:val="right" w:pos="8280"/>
        </w:tabs>
        <w:spacing w:after="0" w:line="240" w:lineRule="auto"/>
        <w:jc w:val="both"/>
        <w:rPr>
          <w:rFonts w:ascii="Times New Roman" w:hAnsi="Times New Roman" w:eastAsia="Times New Roman" w:cs="Times New Roman"/>
          <w:sz w:val="20"/>
          <w:szCs w:val="20"/>
        </w:rPr>
      </w:pPr>
      <w:hyperlink w:history="1" r:id="rId9">
        <w:r w:rsidRPr="00ED59FD" w:rsidR="00ED59FD">
          <w:rPr>
            <w:rFonts w:ascii="Times New Roman" w:hAnsi="Times New Roman" w:eastAsia="Times New Roman" w:cs="Times New Roman"/>
            <w:color w:val="0000FF"/>
            <w:sz w:val="20"/>
            <w:szCs w:val="20"/>
            <w:u w:val="single"/>
          </w:rPr>
          <w:t>Zanda.Jaunskunga@km.gov.lv</w:t>
        </w:r>
      </w:hyperlink>
      <w:r w:rsidRPr="00ED59FD" w:rsidR="00ED59FD">
        <w:rPr>
          <w:rFonts w:ascii="Times New Roman" w:hAnsi="Times New Roman" w:eastAsia="Times New Roman" w:cs="Times New Roman"/>
          <w:sz w:val="20"/>
          <w:szCs w:val="20"/>
        </w:rPr>
        <w:t xml:space="preserve"> </w:t>
      </w:r>
      <w:r w:rsidRPr="00E26DC1" w:rsidR="00E26DC1">
        <w:rPr>
          <w:rFonts w:ascii="Times New Roman" w:hAnsi="Times New Roman" w:cs="Times New Roman"/>
          <w:sz w:val="20"/>
          <w:szCs w:val="20"/>
        </w:rPr>
        <w:t xml:space="preserve"> </w:t>
      </w:r>
    </w:p>
    <w:sectPr w:rsidRPr="004D08CF" w:rsidR="00D54DB3" w:rsidSect="006A16B8">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CC553" w16cex:dateUtc="2020-11-28T10:47:00Z"/>
  <w16cex:commentExtensible w16cex:durableId="236CC6B4" w16cex:dateUtc="2020-11-28T10:53:00Z"/>
  <w16cex:commentExtensible w16cex:durableId="236CC65B" w16cex:dateUtc="2020-11-28T10: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E18D0" w14:textId="77777777" w:rsidR="00714144" w:rsidRDefault="00714144" w:rsidP="00E20EA7">
      <w:pPr>
        <w:spacing w:after="0" w:line="240" w:lineRule="auto"/>
      </w:pPr>
      <w:r>
        <w:separator/>
      </w:r>
    </w:p>
  </w:endnote>
  <w:endnote w:type="continuationSeparator" w:id="0">
    <w:p w14:paraId="203E1292" w14:textId="77777777" w:rsidR="00714144" w:rsidRDefault="00714144" w:rsidP="00E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EE46C" w14:textId="60C72257" w:rsidR="00CF6310" w:rsidRPr="00ED59FD" w:rsidRDefault="00ED59FD" w:rsidP="00ED59FD">
    <w:pPr>
      <w:pStyle w:val="Footer"/>
      <w:rPr>
        <w:sz w:val="20"/>
        <w:szCs w:val="20"/>
      </w:rPr>
    </w:pPr>
    <w:r w:rsidRPr="00ED59FD">
      <w:rPr>
        <w:rFonts w:ascii="Times New Roman" w:hAnsi="Times New Roman" w:cs="Times New Roman"/>
        <w:sz w:val="20"/>
        <w:szCs w:val="20"/>
      </w:rPr>
      <w:t>KMZin_</w:t>
    </w:r>
    <w:r w:rsidR="009A7F91">
      <w:rPr>
        <w:rFonts w:ascii="Times New Roman" w:hAnsi="Times New Roman" w:cs="Times New Roman"/>
        <w:sz w:val="20"/>
        <w:szCs w:val="20"/>
      </w:rPr>
      <w:t>30</w:t>
    </w:r>
    <w:r w:rsidR="003A7CFE">
      <w:rPr>
        <w:rFonts w:ascii="Times New Roman" w:hAnsi="Times New Roman" w:cs="Times New Roman"/>
        <w:sz w:val="20"/>
        <w:szCs w:val="20"/>
      </w:rPr>
      <w:t>1120</w:t>
    </w:r>
    <w:r w:rsidRPr="00ED59FD">
      <w:rPr>
        <w:rFonts w:ascii="Times New Roman" w:hAnsi="Times New Roman" w:cs="Times New Roman"/>
        <w:sz w:val="20"/>
        <w:szCs w:val="20"/>
      </w:rPr>
      <w:t>_kultura_biletes_Covid19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7B1F" w14:textId="25B9101B" w:rsidR="00D54DB3" w:rsidRPr="00ED59FD" w:rsidRDefault="00ED59FD" w:rsidP="00ED59FD">
    <w:pPr>
      <w:pStyle w:val="Footer"/>
      <w:rPr>
        <w:sz w:val="20"/>
        <w:szCs w:val="20"/>
      </w:rPr>
    </w:pPr>
    <w:r w:rsidRPr="00ED59FD">
      <w:rPr>
        <w:rFonts w:ascii="Times New Roman" w:hAnsi="Times New Roman" w:cs="Times New Roman"/>
        <w:sz w:val="20"/>
        <w:szCs w:val="20"/>
      </w:rPr>
      <w:t>KMZin_</w:t>
    </w:r>
    <w:r w:rsidR="009A7F91">
      <w:rPr>
        <w:rFonts w:ascii="Times New Roman" w:hAnsi="Times New Roman" w:cs="Times New Roman"/>
        <w:sz w:val="20"/>
        <w:szCs w:val="20"/>
      </w:rPr>
      <w:t>30</w:t>
    </w:r>
    <w:r w:rsidRPr="00ED59FD">
      <w:rPr>
        <w:rFonts w:ascii="Times New Roman" w:hAnsi="Times New Roman" w:cs="Times New Roman"/>
        <w:sz w:val="20"/>
        <w:szCs w:val="20"/>
      </w:rPr>
      <w:t>1120_kultura_biletes_Covid19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87A7D" w14:textId="77777777" w:rsidR="00714144" w:rsidRDefault="00714144" w:rsidP="00E20EA7">
      <w:pPr>
        <w:spacing w:after="0" w:line="240" w:lineRule="auto"/>
      </w:pPr>
      <w:r>
        <w:separator/>
      </w:r>
    </w:p>
  </w:footnote>
  <w:footnote w:type="continuationSeparator" w:id="0">
    <w:p w14:paraId="528CEA0D" w14:textId="77777777" w:rsidR="00714144" w:rsidRDefault="00714144" w:rsidP="00E2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417790"/>
      <w:docPartObj>
        <w:docPartGallery w:val="Page Numbers (Top of Page)"/>
        <w:docPartUnique/>
      </w:docPartObj>
    </w:sdtPr>
    <w:sdtEndPr>
      <w:rPr>
        <w:rFonts w:ascii="Times New Roman" w:hAnsi="Times New Roman" w:cs="Times New Roman"/>
        <w:sz w:val="24"/>
        <w:szCs w:val="24"/>
      </w:rPr>
    </w:sdtEndPr>
    <w:sdtContent>
      <w:p w:rsidRPr="00875277" w:rsidR="006A16B8" w:rsidP="00875277" w:rsidRDefault="00B110A1" w14:paraId="320B0507" w14:textId="7EF87284">
        <w:pPr>
          <w:pStyle w:val="Header"/>
          <w:jc w:val="center"/>
          <w:rPr>
            <w:rFonts w:ascii="Times New Roman" w:hAnsi="Times New Roman" w:cs="Times New Roman"/>
            <w:sz w:val="24"/>
            <w:szCs w:val="24"/>
          </w:rPr>
        </w:pPr>
        <w:r w:rsidRPr="003A7CFE">
          <w:rPr>
            <w:rFonts w:ascii="Times New Roman" w:hAnsi="Times New Roman" w:cs="Times New Roman"/>
            <w:sz w:val="24"/>
            <w:szCs w:val="24"/>
          </w:rPr>
          <w:fldChar w:fldCharType="begin"/>
        </w:r>
        <w:r w:rsidRPr="003A7CFE">
          <w:rPr>
            <w:rFonts w:ascii="Times New Roman" w:hAnsi="Times New Roman" w:cs="Times New Roman"/>
            <w:sz w:val="24"/>
            <w:szCs w:val="24"/>
          </w:rPr>
          <w:instrText>PAGE   \* MERGEFORMAT</w:instrText>
        </w:r>
        <w:r w:rsidRPr="003A7CFE">
          <w:rPr>
            <w:rFonts w:ascii="Times New Roman" w:hAnsi="Times New Roman" w:cs="Times New Roman"/>
            <w:sz w:val="24"/>
            <w:szCs w:val="24"/>
          </w:rPr>
          <w:fldChar w:fldCharType="separate"/>
        </w:r>
        <w:r w:rsidRPr="003A7CFE">
          <w:rPr>
            <w:rFonts w:ascii="Times New Roman" w:hAnsi="Times New Roman" w:cs="Times New Roman"/>
            <w:sz w:val="24"/>
            <w:szCs w:val="24"/>
          </w:rPr>
          <w:t>2</w:t>
        </w:r>
        <w:r w:rsidRPr="003A7CF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B9E"/>
    <w:multiLevelType w:val="hybridMultilevel"/>
    <w:tmpl w:val="87D8EC7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D58CF"/>
    <w:multiLevelType w:val="hybridMultilevel"/>
    <w:tmpl w:val="A790D9A0"/>
    <w:lvl w:ilvl="0" w:tplc="AC6632A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C317371"/>
    <w:multiLevelType w:val="hybridMultilevel"/>
    <w:tmpl w:val="FAF4F4F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4790E2B"/>
    <w:multiLevelType w:val="hybridMultilevel"/>
    <w:tmpl w:val="B7AA6EE0"/>
    <w:lvl w:ilvl="0" w:tplc="1D7221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D34095"/>
    <w:multiLevelType w:val="hybridMultilevel"/>
    <w:tmpl w:val="6AAE0C0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B4F6B56"/>
    <w:multiLevelType w:val="hybridMultilevel"/>
    <w:tmpl w:val="07848F4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04B1251"/>
    <w:multiLevelType w:val="hybridMultilevel"/>
    <w:tmpl w:val="FD3A55CA"/>
    <w:lvl w:ilvl="0" w:tplc="03CA9C5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15:restartNumberingAfterBreak="0">
    <w:nsid w:val="2D361B08"/>
    <w:multiLevelType w:val="hybridMultilevel"/>
    <w:tmpl w:val="8056FA30"/>
    <w:lvl w:ilvl="0" w:tplc="0980CB44">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8" w15:restartNumberingAfterBreak="0">
    <w:nsid w:val="3C2E633B"/>
    <w:multiLevelType w:val="hybridMultilevel"/>
    <w:tmpl w:val="18DE6382"/>
    <w:lvl w:ilvl="0" w:tplc="BE765C54">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B5773D"/>
    <w:multiLevelType w:val="hybridMultilevel"/>
    <w:tmpl w:val="800A6418"/>
    <w:lvl w:ilvl="0" w:tplc="E53A82EE">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0" w15:restartNumberingAfterBreak="0">
    <w:nsid w:val="4FCA469F"/>
    <w:multiLevelType w:val="hybridMultilevel"/>
    <w:tmpl w:val="1166D7EE"/>
    <w:lvl w:ilvl="0" w:tplc="04260003">
      <w:start w:val="1"/>
      <w:numFmt w:val="bullet"/>
      <w:lvlText w:val="o"/>
      <w:lvlJc w:val="left"/>
      <w:pPr>
        <w:ind w:left="1434" w:hanging="360"/>
      </w:pPr>
      <w:rPr>
        <w:rFonts w:ascii="Courier New" w:hAnsi="Courier New" w:cs="Courier New"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11" w15:restartNumberingAfterBreak="0">
    <w:nsid w:val="52536FD5"/>
    <w:multiLevelType w:val="hybridMultilevel"/>
    <w:tmpl w:val="51267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7F0653"/>
    <w:multiLevelType w:val="hybridMultilevel"/>
    <w:tmpl w:val="92CE4C1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ACD3267"/>
    <w:multiLevelType w:val="hybridMultilevel"/>
    <w:tmpl w:val="0C1C1236"/>
    <w:lvl w:ilvl="0" w:tplc="088C5AF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D695641"/>
    <w:multiLevelType w:val="hybridMultilevel"/>
    <w:tmpl w:val="59405FE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F7781F"/>
    <w:multiLevelType w:val="hybridMultilevel"/>
    <w:tmpl w:val="65E46E4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BFC6CB4"/>
    <w:multiLevelType w:val="hybridMultilevel"/>
    <w:tmpl w:val="1DFCD10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C2511A0"/>
    <w:multiLevelType w:val="hybridMultilevel"/>
    <w:tmpl w:val="BBBEEB6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F085BC8"/>
    <w:multiLevelType w:val="hybridMultilevel"/>
    <w:tmpl w:val="36AE3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2C4AB4"/>
    <w:multiLevelType w:val="hybridMultilevel"/>
    <w:tmpl w:val="349CA90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3E5B31"/>
    <w:multiLevelType w:val="hybridMultilevel"/>
    <w:tmpl w:val="55E0EB20"/>
    <w:lvl w:ilvl="0" w:tplc="0426000D">
      <w:start w:val="1"/>
      <w:numFmt w:val="bullet"/>
      <w:lvlText w:val=""/>
      <w:lvlJc w:val="left"/>
      <w:pPr>
        <w:ind w:left="1800" w:hanging="360"/>
      </w:pPr>
      <w:rPr>
        <w:rFonts w:ascii="Wingdings" w:hAnsi="Wingdings" w:hint="default"/>
      </w:rPr>
    </w:lvl>
    <w:lvl w:ilvl="1" w:tplc="0426000D">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15:restartNumberingAfterBreak="0">
    <w:nsid w:val="77C93263"/>
    <w:multiLevelType w:val="hybridMultilevel"/>
    <w:tmpl w:val="883E13FE"/>
    <w:lvl w:ilvl="0" w:tplc="04260003">
      <w:start w:val="1"/>
      <w:numFmt w:val="bullet"/>
      <w:lvlText w:val="o"/>
      <w:lvlJc w:val="left"/>
      <w:pPr>
        <w:ind w:left="1434" w:hanging="360"/>
      </w:pPr>
      <w:rPr>
        <w:rFonts w:ascii="Courier New" w:hAnsi="Courier New" w:cs="Courier New"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2" w15:restartNumberingAfterBreak="0">
    <w:nsid w:val="780D4CB8"/>
    <w:multiLevelType w:val="hybridMultilevel"/>
    <w:tmpl w:val="2BB4252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8"/>
  </w:num>
  <w:num w:numId="4">
    <w:abstractNumId w:val="20"/>
  </w:num>
  <w:num w:numId="5">
    <w:abstractNumId w:val="0"/>
  </w:num>
  <w:num w:numId="6">
    <w:abstractNumId w:val="2"/>
  </w:num>
  <w:num w:numId="7">
    <w:abstractNumId w:val="14"/>
  </w:num>
  <w:num w:numId="8">
    <w:abstractNumId w:val="15"/>
  </w:num>
  <w:num w:numId="9">
    <w:abstractNumId w:val="16"/>
  </w:num>
  <w:num w:numId="10">
    <w:abstractNumId w:val="4"/>
  </w:num>
  <w:num w:numId="11">
    <w:abstractNumId w:val="12"/>
  </w:num>
  <w:num w:numId="12">
    <w:abstractNumId w:val="5"/>
  </w:num>
  <w:num w:numId="13">
    <w:abstractNumId w:val="22"/>
  </w:num>
  <w:num w:numId="14">
    <w:abstractNumId w:val="10"/>
  </w:num>
  <w:num w:numId="15">
    <w:abstractNumId w:val="17"/>
  </w:num>
  <w:num w:numId="16">
    <w:abstractNumId w:val="21"/>
  </w:num>
  <w:num w:numId="17">
    <w:abstractNumId w:val="19"/>
  </w:num>
  <w:num w:numId="18">
    <w:abstractNumId w:val="9"/>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A"/>
    <w:rsid w:val="00021976"/>
    <w:rsid w:val="00046375"/>
    <w:rsid w:val="00051842"/>
    <w:rsid w:val="0005294C"/>
    <w:rsid w:val="00052BD8"/>
    <w:rsid w:val="00055381"/>
    <w:rsid w:val="000727F0"/>
    <w:rsid w:val="00074283"/>
    <w:rsid w:val="000948F7"/>
    <w:rsid w:val="0009576A"/>
    <w:rsid w:val="00097CAD"/>
    <w:rsid w:val="000A5DAA"/>
    <w:rsid w:val="000A6B2A"/>
    <w:rsid w:val="000B5CAF"/>
    <w:rsid w:val="000D4C7B"/>
    <w:rsid w:val="000F2554"/>
    <w:rsid w:val="000F4695"/>
    <w:rsid w:val="001030F0"/>
    <w:rsid w:val="00115634"/>
    <w:rsid w:val="00121964"/>
    <w:rsid w:val="00122DC8"/>
    <w:rsid w:val="0013382D"/>
    <w:rsid w:val="0014347B"/>
    <w:rsid w:val="001444BA"/>
    <w:rsid w:val="0014510D"/>
    <w:rsid w:val="001506B8"/>
    <w:rsid w:val="0015244B"/>
    <w:rsid w:val="00163FE0"/>
    <w:rsid w:val="00164C0E"/>
    <w:rsid w:val="00194546"/>
    <w:rsid w:val="001956D7"/>
    <w:rsid w:val="001A1E9C"/>
    <w:rsid w:val="001A55D2"/>
    <w:rsid w:val="001A6A9B"/>
    <w:rsid w:val="001C14D8"/>
    <w:rsid w:val="001C7FD1"/>
    <w:rsid w:val="001E2883"/>
    <w:rsid w:val="001F40A4"/>
    <w:rsid w:val="001F5F49"/>
    <w:rsid w:val="002122AB"/>
    <w:rsid w:val="00213FCD"/>
    <w:rsid w:val="00220299"/>
    <w:rsid w:val="00231764"/>
    <w:rsid w:val="002415E1"/>
    <w:rsid w:val="00241773"/>
    <w:rsid w:val="0026166A"/>
    <w:rsid w:val="002665F1"/>
    <w:rsid w:val="002747D4"/>
    <w:rsid w:val="0027488B"/>
    <w:rsid w:val="00274A60"/>
    <w:rsid w:val="002766E4"/>
    <w:rsid w:val="00282B75"/>
    <w:rsid w:val="002A36FB"/>
    <w:rsid w:val="002A46CF"/>
    <w:rsid w:val="002B1CB4"/>
    <w:rsid w:val="002B53A1"/>
    <w:rsid w:val="002B5C1A"/>
    <w:rsid w:val="002C5B2D"/>
    <w:rsid w:val="002D0A7B"/>
    <w:rsid w:val="002E6B4C"/>
    <w:rsid w:val="002F5639"/>
    <w:rsid w:val="002F6C2B"/>
    <w:rsid w:val="003067D9"/>
    <w:rsid w:val="00306E9F"/>
    <w:rsid w:val="00320DBF"/>
    <w:rsid w:val="00324629"/>
    <w:rsid w:val="00331FDC"/>
    <w:rsid w:val="00341641"/>
    <w:rsid w:val="00356439"/>
    <w:rsid w:val="003616A3"/>
    <w:rsid w:val="003807A2"/>
    <w:rsid w:val="003827EE"/>
    <w:rsid w:val="0039318C"/>
    <w:rsid w:val="003A5164"/>
    <w:rsid w:val="003A7CFE"/>
    <w:rsid w:val="003B46CE"/>
    <w:rsid w:val="003C085C"/>
    <w:rsid w:val="003C3FEF"/>
    <w:rsid w:val="003D063D"/>
    <w:rsid w:val="003D6B4A"/>
    <w:rsid w:val="003E0262"/>
    <w:rsid w:val="003F2C77"/>
    <w:rsid w:val="003F7F15"/>
    <w:rsid w:val="00425E73"/>
    <w:rsid w:val="00427FF7"/>
    <w:rsid w:val="00431936"/>
    <w:rsid w:val="00442AAB"/>
    <w:rsid w:val="00453431"/>
    <w:rsid w:val="004562C6"/>
    <w:rsid w:val="004565B7"/>
    <w:rsid w:val="0046351C"/>
    <w:rsid w:val="00470701"/>
    <w:rsid w:val="00471853"/>
    <w:rsid w:val="00473E77"/>
    <w:rsid w:val="00475354"/>
    <w:rsid w:val="004819C8"/>
    <w:rsid w:val="00482D9E"/>
    <w:rsid w:val="00486CD8"/>
    <w:rsid w:val="00496452"/>
    <w:rsid w:val="004B1190"/>
    <w:rsid w:val="004B68A0"/>
    <w:rsid w:val="004D08CF"/>
    <w:rsid w:val="004E4518"/>
    <w:rsid w:val="004F0800"/>
    <w:rsid w:val="00500A96"/>
    <w:rsid w:val="00500F11"/>
    <w:rsid w:val="005051C5"/>
    <w:rsid w:val="00505301"/>
    <w:rsid w:val="00520855"/>
    <w:rsid w:val="00524430"/>
    <w:rsid w:val="00534AD4"/>
    <w:rsid w:val="005375C3"/>
    <w:rsid w:val="0054222F"/>
    <w:rsid w:val="00547E8D"/>
    <w:rsid w:val="00551585"/>
    <w:rsid w:val="00555C4A"/>
    <w:rsid w:val="00562843"/>
    <w:rsid w:val="00566BA0"/>
    <w:rsid w:val="00576AF5"/>
    <w:rsid w:val="00586BDC"/>
    <w:rsid w:val="005A36A2"/>
    <w:rsid w:val="005D03F0"/>
    <w:rsid w:val="005D3229"/>
    <w:rsid w:val="005D5D33"/>
    <w:rsid w:val="005E684C"/>
    <w:rsid w:val="005F358D"/>
    <w:rsid w:val="005F4809"/>
    <w:rsid w:val="00600110"/>
    <w:rsid w:val="0060133C"/>
    <w:rsid w:val="006168FD"/>
    <w:rsid w:val="006252E7"/>
    <w:rsid w:val="00657889"/>
    <w:rsid w:val="00663839"/>
    <w:rsid w:val="00663B77"/>
    <w:rsid w:val="00664547"/>
    <w:rsid w:val="00680ADE"/>
    <w:rsid w:val="00682952"/>
    <w:rsid w:val="006971E9"/>
    <w:rsid w:val="0069731C"/>
    <w:rsid w:val="006A10EB"/>
    <w:rsid w:val="006A16B8"/>
    <w:rsid w:val="006A6D50"/>
    <w:rsid w:val="006A7083"/>
    <w:rsid w:val="006B0E74"/>
    <w:rsid w:val="006C2BC5"/>
    <w:rsid w:val="006C59CE"/>
    <w:rsid w:val="006F733E"/>
    <w:rsid w:val="00703F04"/>
    <w:rsid w:val="00714144"/>
    <w:rsid w:val="00721DD5"/>
    <w:rsid w:val="007269E5"/>
    <w:rsid w:val="00732D48"/>
    <w:rsid w:val="007357CF"/>
    <w:rsid w:val="007471BA"/>
    <w:rsid w:val="00747C08"/>
    <w:rsid w:val="0075310F"/>
    <w:rsid w:val="00756DAD"/>
    <w:rsid w:val="00760F47"/>
    <w:rsid w:val="00765D6C"/>
    <w:rsid w:val="0076661B"/>
    <w:rsid w:val="00767A40"/>
    <w:rsid w:val="0077209D"/>
    <w:rsid w:val="0078652D"/>
    <w:rsid w:val="00797C4A"/>
    <w:rsid w:val="007A4456"/>
    <w:rsid w:val="007C077F"/>
    <w:rsid w:val="007C6EFD"/>
    <w:rsid w:val="007C6FBC"/>
    <w:rsid w:val="007D7C00"/>
    <w:rsid w:val="007E21E9"/>
    <w:rsid w:val="007E7633"/>
    <w:rsid w:val="007F6095"/>
    <w:rsid w:val="00805512"/>
    <w:rsid w:val="008166B7"/>
    <w:rsid w:val="00820298"/>
    <w:rsid w:val="00835F76"/>
    <w:rsid w:val="00874CD7"/>
    <w:rsid w:val="00875277"/>
    <w:rsid w:val="00876313"/>
    <w:rsid w:val="0088180A"/>
    <w:rsid w:val="00895BB6"/>
    <w:rsid w:val="008A6961"/>
    <w:rsid w:val="008C0AD2"/>
    <w:rsid w:val="008C153D"/>
    <w:rsid w:val="008C343D"/>
    <w:rsid w:val="008D6932"/>
    <w:rsid w:val="008E07F5"/>
    <w:rsid w:val="008E1B36"/>
    <w:rsid w:val="008E409F"/>
    <w:rsid w:val="008F00FA"/>
    <w:rsid w:val="009130C2"/>
    <w:rsid w:val="00931631"/>
    <w:rsid w:val="00934683"/>
    <w:rsid w:val="00937CDD"/>
    <w:rsid w:val="009466F8"/>
    <w:rsid w:val="00967483"/>
    <w:rsid w:val="00983C36"/>
    <w:rsid w:val="00985D45"/>
    <w:rsid w:val="009A7F91"/>
    <w:rsid w:val="009B2353"/>
    <w:rsid w:val="009C01E2"/>
    <w:rsid w:val="009C2918"/>
    <w:rsid w:val="009D6280"/>
    <w:rsid w:val="009D72C4"/>
    <w:rsid w:val="009E3A22"/>
    <w:rsid w:val="009F52A6"/>
    <w:rsid w:val="009F5DFC"/>
    <w:rsid w:val="009F7BC9"/>
    <w:rsid w:val="00A05F06"/>
    <w:rsid w:val="00A16792"/>
    <w:rsid w:val="00A20E00"/>
    <w:rsid w:val="00A274B2"/>
    <w:rsid w:val="00A344F0"/>
    <w:rsid w:val="00A34926"/>
    <w:rsid w:val="00A360D3"/>
    <w:rsid w:val="00A37D3F"/>
    <w:rsid w:val="00A42874"/>
    <w:rsid w:val="00A5162A"/>
    <w:rsid w:val="00A570D2"/>
    <w:rsid w:val="00A62086"/>
    <w:rsid w:val="00A67871"/>
    <w:rsid w:val="00A75EC3"/>
    <w:rsid w:val="00A86CB3"/>
    <w:rsid w:val="00A94BC3"/>
    <w:rsid w:val="00A96D2C"/>
    <w:rsid w:val="00AA00FC"/>
    <w:rsid w:val="00AA239C"/>
    <w:rsid w:val="00AF14A7"/>
    <w:rsid w:val="00B110A1"/>
    <w:rsid w:val="00B15293"/>
    <w:rsid w:val="00B15790"/>
    <w:rsid w:val="00B2055D"/>
    <w:rsid w:val="00B2168B"/>
    <w:rsid w:val="00B262A1"/>
    <w:rsid w:val="00B34A28"/>
    <w:rsid w:val="00B372D0"/>
    <w:rsid w:val="00B37B15"/>
    <w:rsid w:val="00B40525"/>
    <w:rsid w:val="00B41694"/>
    <w:rsid w:val="00B43ABE"/>
    <w:rsid w:val="00B63812"/>
    <w:rsid w:val="00B7012C"/>
    <w:rsid w:val="00B76C58"/>
    <w:rsid w:val="00B8303A"/>
    <w:rsid w:val="00B86246"/>
    <w:rsid w:val="00B87784"/>
    <w:rsid w:val="00B87B63"/>
    <w:rsid w:val="00BA4AA3"/>
    <w:rsid w:val="00BB0DC3"/>
    <w:rsid w:val="00BB328F"/>
    <w:rsid w:val="00BB560C"/>
    <w:rsid w:val="00BB5660"/>
    <w:rsid w:val="00BB7C94"/>
    <w:rsid w:val="00BC1C53"/>
    <w:rsid w:val="00BE3F12"/>
    <w:rsid w:val="00BF524A"/>
    <w:rsid w:val="00C0257D"/>
    <w:rsid w:val="00C114BB"/>
    <w:rsid w:val="00C3785E"/>
    <w:rsid w:val="00C47906"/>
    <w:rsid w:val="00C64D97"/>
    <w:rsid w:val="00C76FF1"/>
    <w:rsid w:val="00C81E4E"/>
    <w:rsid w:val="00C82853"/>
    <w:rsid w:val="00C87C2E"/>
    <w:rsid w:val="00C93A8B"/>
    <w:rsid w:val="00C96D5A"/>
    <w:rsid w:val="00CA40AB"/>
    <w:rsid w:val="00CA47A7"/>
    <w:rsid w:val="00CB2CCE"/>
    <w:rsid w:val="00CC0730"/>
    <w:rsid w:val="00CC5BB1"/>
    <w:rsid w:val="00CC6021"/>
    <w:rsid w:val="00CD0329"/>
    <w:rsid w:val="00CE573A"/>
    <w:rsid w:val="00CF11C4"/>
    <w:rsid w:val="00CF3E7E"/>
    <w:rsid w:val="00CF6310"/>
    <w:rsid w:val="00D0352B"/>
    <w:rsid w:val="00D11C28"/>
    <w:rsid w:val="00D51FB6"/>
    <w:rsid w:val="00D54DB3"/>
    <w:rsid w:val="00DA7730"/>
    <w:rsid w:val="00DB69AF"/>
    <w:rsid w:val="00DC4C30"/>
    <w:rsid w:val="00DE0745"/>
    <w:rsid w:val="00DE0C87"/>
    <w:rsid w:val="00DE7FB3"/>
    <w:rsid w:val="00DF2290"/>
    <w:rsid w:val="00DF30BF"/>
    <w:rsid w:val="00DF3E5E"/>
    <w:rsid w:val="00E00680"/>
    <w:rsid w:val="00E00C4D"/>
    <w:rsid w:val="00E126D7"/>
    <w:rsid w:val="00E20EA7"/>
    <w:rsid w:val="00E26DC1"/>
    <w:rsid w:val="00E3261E"/>
    <w:rsid w:val="00E413B5"/>
    <w:rsid w:val="00E53900"/>
    <w:rsid w:val="00E67AFD"/>
    <w:rsid w:val="00E83A1E"/>
    <w:rsid w:val="00E8446E"/>
    <w:rsid w:val="00E91A18"/>
    <w:rsid w:val="00EA4F9C"/>
    <w:rsid w:val="00EA7F5F"/>
    <w:rsid w:val="00ED59FD"/>
    <w:rsid w:val="00EE6B45"/>
    <w:rsid w:val="00EF42D4"/>
    <w:rsid w:val="00EF638C"/>
    <w:rsid w:val="00EF7E7B"/>
    <w:rsid w:val="00F003FA"/>
    <w:rsid w:val="00F01E0A"/>
    <w:rsid w:val="00F20B08"/>
    <w:rsid w:val="00F22570"/>
    <w:rsid w:val="00F240CA"/>
    <w:rsid w:val="00F27E00"/>
    <w:rsid w:val="00F403D9"/>
    <w:rsid w:val="00F406A2"/>
    <w:rsid w:val="00F42C44"/>
    <w:rsid w:val="00F60ED9"/>
    <w:rsid w:val="00F64227"/>
    <w:rsid w:val="00F81DC3"/>
    <w:rsid w:val="00F87B8B"/>
    <w:rsid w:val="00F91009"/>
    <w:rsid w:val="00F920C6"/>
    <w:rsid w:val="00FA528F"/>
    <w:rsid w:val="00FB48A7"/>
    <w:rsid w:val="00FC68EC"/>
    <w:rsid w:val="00FF09EB"/>
    <w:rsid w:val="00FF0DEB"/>
    <w:rsid w:val="00FF27E8"/>
    <w:rsid w:val="00FF628D"/>
    <w:rsid w:val="00FF7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B8BD4"/>
  <w15:chartTrackingRefBased/>
  <w15:docId w15:val="{6377588F-0258-49CC-BB30-07A0A9EF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35F7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41"/>
    <w:pPr>
      <w:ind w:left="720"/>
      <w:contextualSpacing/>
    </w:pPr>
  </w:style>
  <w:style w:type="paragraph" w:styleId="FootnoteText">
    <w:name w:val="footnote text"/>
    <w:basedOn w:val="Normal"/>
    <w:link w:val="FootnoteTextChar"/>
    <w:uiPriority w:val="99"/>
    <w:semiHidden/>
    <w:unhideWhenUsed/>
    <w:rsid w:val="00E20E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EA7"/>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qFormat/>
    <w:rsid w:val="00E20EA7"/>
    <w:rPr>
      <w:vertAlign w:val="superscript"/>
    </w:rPr>
  </w:style>
  <w:style w:type="character" w:styleId="Hyperlink">
    <w:name w:val="Hyperlink"/>
    <w:basedOn w:val="DefaultParagraphFont"/>
    <w:uiPriority w:val="99"/>
    <w:unhideWhenUsed/>
    <w:rsid w:val="00E20EA7"/>
    <w:rPr>
      <w:color w:val="0563C1" w:themeColor="hyperlink"/>
      <w:u w:val="single"/>
    </w:rPr>
  </w:style>
  <w:style w:type="character" w:styleId="CommentReference">
    <w:name w:val="annotation reference"/>
    <w:basedOn w:val="DefaultParagraphFont"/>
    <w:uiPriority w:val="99"/>
    <w:semiHidden/>
    <w:unhideWhenUsed/>
    <w:rsid w:val="00B43ABE"/>
    <w:rPr>
      <w:sz w:val="16"/>
      <w:szCs w:val="16"/>
    </w:rPr>
  </w:style>
  <w:style w:type="paragraph" w:styleId="CommentText">
    <w:name w:val="annotation text"/>
    <w:basedOn w:val="Normal"/>
    <w:link w:val="CommentTextChar"/>
    <w:uiPriority w:val="99"/>
    <w:semiHidden/>
    <w:unhideWhenUsed/>
    <w:rsid w:val="00B43ABE"/>
    <w:pPr>
      <w:spacing w:line="240" w:lineRule="auto"/>
    </w:pPr>
    <w:rPr>
      <w:sz w:val="20"/>
      <w:szCs w:val="20"/>
    </w:rPr>
  </w:style>
  <w:style w:type="character" w:customStyle="1" w:styleId="CommentTextChar">
    <w:name w:val="Comment Text Char"/>
    <w:basedOn w:val="DefaultParagraphFont"/>
    <w:link w:val="CommentText"/>
    <w:uiPriority w:val="99"/>
    <w:semiHidden/>
    <w:rsid w:val="00B43ABE"/>
    <w:rPr>
      <w:sz w:val="20"/>
      <w:szCs w:val="20"/>
    </w:rPr>
  </w:style>
  <w:style w:type="paragraph" w:styleId="CommentSubject">
    <w:name w:val="annotation subject"/>
    <w:basedOn w:val="CommentText"/>
    <w:next w:val="CommentText"/>
    <w:link w:val="CommentSubjectChar"/>
    <w:uiPriority w:val="99"/>
    <w:semiHidden/>
    <w:unhideWhenUsed/>
    <w:rsid w:val="00B43ABE"/>
    <w:rPr>
      <w:b/>
      <w:bCs/>
    </w:rPr>
  </w:style>
  <w:style w:type="character" w:customStyle="1" w:styleId="CommentSubjectChar">
    <w:name w:val="Comment Subject Char"/>
    <w:basedOn w:val="CommentTextChar"/>
    <w:link w:val="CommentSubject"/>
    <w:uiPriority w:val="99"/>
    <w:semiHidden/>
    <w:rsid w:val="00B43ABE"/>
    <w:rPr>
      <w:b/>
      <w:bCs/>
      <w:sz w:val="20"/>
      <w:szCs w:val="20"/>
    </w:rPr>
  </w:style>
  <w:style w:type="paragraph" w:styleId="BalloonText">
    <w:name w:val="Balloon Text"/>
    <w:basedOn w:val="Normal"/>
    <w:link w:val="BalloonTextChar"/>
    <w:uiPriority w:val="99"/>
    <w:semiHidden/>
    <w:unhideWhenUsed/>
    <w:rsid w:val="00B43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BE"/>
    <w:rPr>
      <w:rFonts w:ascii="Segoe UI" w:hAnsi="Segoe UI" w:cs="Segoe UI"/>
      <w:sz w:val="18"/>
      <w:szCs w:val="18"/>
    </w:rPr>
  </w:style>
  <w:style w:type="paragraph" w:styleId="Header">
    <w:name w:val="header"/>
    <w:basedOn w:val="Normal"/>
    <w:link w:val="HeaderChar"/>
    <w:uiPriority w:val="99"/>
    <w:unhideWhenUsed/>
    <w:rsid w:val="00CF63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6310"/>
  </w:style>
  <w:style w:type="paragraph" w:styleId="Footer">
    <w:name w:val="footer"/>
    <w:basedOn w:val="Normal"/>
    <w:link w:val="FooterChar"/>
    <w:uiPriority w:val="99"/>
    <w:unhideWhenUsed/>
    <w:rsid w:val="00CF63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6310"/>
  </w:style>
  <w:style w:type="paragraph" w:styleId="BodyText">
    <w:name w:val="Body Text"/>
    <w:basedOn w:val="Normal"/>
    <w:link w:val="BodyTextChar"/>
    <w:uiPriority w:val="99"/>
    <w:semiHidden/>
    <w:unhideWhenUsed/>
    <w:rsid w:val="007F6095"/>
    <w:pPr>
      <w:spacing w:after="120"/>
    </w:pPr>
  </w:style>
  <w:style w:type="character" w:customStyle="1" w:styleId="BodyTextChar">
    <w:name w:val="Body Text Char"/>
    <w:basedOn w:val="DefaultParagraphFont"/>
    <w:link w:val="BodyText"/>
    <w:uiPriority w:val="99"/>
    <w:semiHidden/>
    <w:rsid w:val="007F6095"/>
  </w:style>
  <w:style w:type="paragraph" w:styleId="NormalWeb">
    <w:name w:val="Normal (Web)"/>
    <w:basedOn w:val="Normal"/>
    <w:uiPriority w:val="99"/>
    <w:unhideWhenUsed/>
    <w:rsid w:val="001506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4B1190"/>
  </w:style>
  <w:style w:type="character" w:customStyle="1" w:styleId="Heading3Char">
    <w:name w:val="Heading 3 Char"/>
    <w:basedOn w:val="DefaultParagraphFont"/>
    <w:link w:val="Heading3"/>
    <w:uiPriority w:val="9"/>
    <w:rsid w:val="00835F76"/>
    <w:rPr>
      <w:rFonts w:ascii="Times New Roman" w:eastAsia="Times New Roman" w:hAnsi="Times New Roman" w:cs="Times New Roman"/>
      <w:b/>
      <w:bCs/>
      <w:sz w:val="27"/>
      <w:szCs w:val="27"/>
      <w:lang w:eastAsia="lv-LV"/>
    </w:rPr>
  </w:style>
  <w:style w:type="character" w:customStyle="1" w:styleId="spelle">
    <w:name w:val="spelle"/>
    <w:basedOn w:val="DefaultParagraphFont"/>
    <w:rsid w:val="00DC4C30"/>
  </w:style>
  <w:style w:type="paragraph" w:customStyle="1" w:styleId="tv213">
    <w:name w:val="tv213"/>
    <w:basedOn w:val="Normal"/>
    <w:rsid w:val="004534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1E2883"/>
    <w:rPr>
      <w:color w:val="605E5C"/>
      <w:shd w:val="clear" w:color="auto" w:fill="E1DFDD"/>
    </w:rPr>
  </w:style>
  <w:style w:type="paragraph" w:styleId="EndnoteText">
    <w:name w:val="endnote text"/>
    <w:basedOn w:val="Normal"/>
    <w:link w:val="EndnoteTextChar"/>
    <w:uiPriority w:val="99"/>
    <w:semiHidden/>
    <w:unhideWhenUsed/>
    <w:rsid w:val="00D54D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4DB3"/>
    <w:rPr>
      <w:sz w:val="20"/>
      <w:szCs w:val="20"/>
    </w:rPr>
  </w:style>
  <w:style w:type="character" w:styleId="EndnoteReference">
    <w:name w:val="endnote reference"/>
    <w:basedOn w:val="DefaultParagraphFont"/>
    <w:uiPriority w:val="99"/>
    <w:semiHidden/>
    <w:unhideWhenUsed/>
    <w:rsid w:val="00D54DB3"/>
    <w:rPr>
      <w:vertAlign w:val="superscript"/>
    </w:rPr>
  </w:style>
  <w:style w:type="table" w:styleId="TableGrid">
    <w:name w:val="Table Grid"/>
    <w:basedOn w:val="TableNormal"/>
    <w:uiPriority w:val="39"/>
    <w:rsid w:val="00A9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122AB"/>
    <w:rPr>
      <w:i/>
      <w:iCs/>
    </w:rPr>
  </w:style>
  <w:style w:type="character" w:customStyle="1" w:styleId="phrase">
    <w:name w:val="phrase"/>
    <w:basedOn w:val="DefaultParagraphFont"/>
    <w:rsid w:val="00320DBF"/>
  </w:style>
  <w:style w:type="character" w:customStyle="1" w:styleId="word">
    <w:name w:val="word"/>
    <w:basedOn w:val="DefaultParagraphFont"/>
    <w:rsid w:val="00320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2893">
      <w:bodyDiv w:val="1"/>
      <w:marLeft w:val="0"/>
      <w:marRight w:val="0"/>
      <w:marTop w:val="0"/>
      <w:marBottom w:val="0"/>
      <w:divBdr>
        <w:top w:val="none" w:sz="0" w:space="0" w:color="auto"/>
        <w:left w:val="none" w:sz="0" w:space="0" w:color="auto"/>
        <w:bottom w:val="none" w:sz="0" w:space="0" w:color="auto"/>
        <w:right w:val="none" w:sz="0" w:space="0" w:color="auto"/>
      </w:divBdr>
    </w:div>
    <w:div w:id="199972348">
      <w:bodyDiv w:val="1"/>
      <w:marLeft w:val="0"/>
      <w:marRight w:val="0"/>
      <w:marTop w:val="0"/>
      <w:marBottom w:val="0"/>
      <w:divBdr>
        <w:top w:val="none" w:sz="0" w:space="0" w:color="auto"/>
        <w:left w:val="none" w:sz="0" w:space="0" w:color="auto"/>
        <w:bottom w:val="none" w:sz="0" w:space="0" w:color="auto"/>
        <w:right w:val="none" w:sz="0" w:space="0" w:color="auto"/>
      </w:divBdr>
      <w:divsChild>
        <w:div w:id="1801876058">
          <w:marLeft w:val="0"/>
          <w:marRight w:val="0"/>
          <w:marTop w:val="480"/>
          <w:marBottom w:val="240"/>
          <w:divBdr>
            <w:top w:val="none" w:sz="0" w:space="0" w:color="auto"/>
            <w:left w:val="none" w:sz="0" w:space="0" w:color="auto"/>
            <w:bottom w:val="none" w:sz="0" w:space="0" w:color="auto"/>
            <w:right w:val="none" w:sz="0" w:space="0" w:color="auto"/>
          </w:divBdr>
        </w:div>
        <w:div w:id="465436929">
          <w:marLeft w:val="0"/>
          <w:marRight w:val="0"/>
          <w:marTop w:val="0"/>
          <w:marBottom w:val="567"/>
          <w:divBdr>
            <w:top w:val="none" w:sz="0" w:space="0" w:color="auto"/>
            <w:left w:val="none" w:sz="0" w:space="0" w:color="auto"/>
            <w:bottom w:val="none" w:sz="0" w:space="0" w:color="auto"/>
            <w:right w:val="none" w:sz="0" w:space="0" w:color="auto"/>
          </w:divBdr>
        </w:div>
      </w:divsChild>
    </w:div>
    <w:div w:id="373239100">
      <w:bodyDiv w:val="1"/>
      <w:marLeft w:val="0"/>
      <w:marRight w:val="0"/>
      <w:marTop w:val="0"/>
      <w:marBottom w:val="0"/>
      <w:divBdr>
        <w:top w:val="none" w:sz="0" w:space="0" w:color="auto"/>
        <w:left w:val="none" w:sz="0" w:space="0" w:color="auto"/>
        <w:bottom w:val="none" w:sz="0" w:space="0" w:color="auto"/>
        <w:right w:val="none" w:sz="0" w:space="0" w:color="auto"/>
      </w:divBdr>
      <w:divsChild>
        <w:div w:id="1910919589">
          <w:marLeft w:val="0"/>
          <w:marRight w:val="0"/>
          <w:marTop w:val="480"/>
          <w:marBottom w:val="240"/>
          <w:divBdr>
            <w:top w:val="none" w:sz="0" w:space="0" w:color="auto"/>
            <w:left w:val="none" w:sz="0" w:space="0" w:color="auto"/>
            <w:bottom w:val="none" w:sz="0" w:space="0" w:color="auto"/>
            <w:right w:val="none" w:sz="0" w:space="0" w:color="auto"/>
          </w:divBdr>
        </w:div>
        <w:div w:id="1438520749">
          <w:marLeft w:val="0"/>
          <w:marRight w:val="0"/>
          <w:marTop w:val="0"/>
          <w:marBottom w:val="567"/>
          <w:divBdr>
            <w:top w:val="none" w:sz="0" w:space="0" w:color="auto"/>
            <w:left w:val="none" w:sz="0" w:space="0" w:color="auto"/>
            <w:bottom w:val="none" w:sz="0" w:space="0" w:color="auto"/>
            <w:right w:val="none" w:sz="0" w:space="0" w:color="auto"/>
          </w:divBdr>
        </w:div>
      </w:divsChild>
    </w:div>
    <w:div w:id="469713526">
      <w:bodyDiv w:val="1"/>
      <w:marLeft w:val="0"/>
      <w:marRight w:val="0"/>
      <w:marTop w:val="0"/>
      <w:marBottom w:val="0"/>
      <w:divBdr>
        <w:top w:val="none" w:sz="0" w:space="0" w:color="auto"/>
        <w:left w:val="none" w:sz="0" w:space="0" w:color="auto"/>
        <w:bottom w:val="none" w:sz="0" w:space="0" w:color="auto"/>
        <w:right w:val="none" w:sz="0" w:space="0" w:color="auto"/>
      </w:divBdr>
    </w:div>
    <w:div w:id="476070946">
      <w:bodyDiv w:val="1"/>
      <w:marLeft w:val="0"/>
      <w:marRight w:val="0"/>
      <w:marTop w:val="0"/>
      <w:marBottom w:val="0"/>
      <w:divBdr>
        <w:top w:val="none" w:sz="0" w:space="0" w:color="auto"/>
        <w:left w:val="none" w:sz="0" w:space="0" w:color="auto"/>
        <w:bottom w:val="none" w:sz="0" w:space="0" w:color="auto"/>
        <w:right w:val="none" w:sz="0" w:space="0" w:color="auto"/>
      </w:divBdr>
    </w:div>
    <w:div w:id="739475037">
      <w:bodyDiv w:val="1"/>
      <w:marLeft w:val="0"/>
      <w:marRight w:val="0"/>
      <w:marTop w:val="0"/>
      <w:marBottom w:val="0"/>
      <w:divBdr>
        <w:top w:val="none" w:sz="0" w:space="0" w:color="auto"/>
        <w:left w:val="none" w:sz="0" w:space="0" w:color="auto"/>
        <w:bottom w:val="none" w:sz="0" w:space="0" w:color="auto"/>
        <w:right w:val="none" w:sz="0" w:space="0" w:color="auto"/>
      </w:divBdr>
    </w:div>
    <w:div w:id="1096172015">
      <w:bodyDiv w:val="1"/>
      <w:marLeft w:val="0"/>
      <w:marRight w:val="0"/>
      <w:marTop w:val="0"/>
      <w:marBottom w:val="0"/>
      <w:divBdr>
        <w:top w:val="none" w:sz="0" w:space="0" w:color="auto"/>
        <w:left w:val="none" w:sz="0" w:space="0" w:color="auto"/>
        <w:bottom w:val="none" w:sz="0" w:space="0" w:color="auto"/>
        <w:right w:val="none" w:sz="0" w:space="0" w:color="auto"/>
      </w:divBdr>
    </w:div>
    <w:div w:id="1115370724">
      <w:bodyDiv w:val="1"/>
      <w:marLeft w:val="0"/>
      <w:marRight w:val="0"/>
      <w:marTop w:val="0"/>
      <w:marBottom w:val="0"/>
      <w:divBdr>
        <w:top w:val="none" w:sz="0" w:space="0" w:color="auto"/>
        <w:left w:val="none" w:sz="0" w:space="0" w:color="auto"/>
        <w:bottom w:val="none" w:sz="0" w:space="0" w:color="auto"/>
        <w:right w:val="none" w:sz="0" w:space="0" w:color="auto"/>
      </w:divBdr>
    </w:div>
    <w:div w:id="1141118280">
      <w:bodyDiv w:val="1"/>
      <w:marLeft w:val="0"/>
      <w:marRight w:val="0"/>
      <w:marTop w:val="0"/>
      <w:marBottom w:val="0"/>
      <w:divBdr>
        <w:top w:val="none" w:sz="0" w:space="0" w:color="auto"/>
        <w:left w:val="none" w:sz="0" w:space="0" w:color="auto"/>
        <w:bottom w:val="none" w:sz="0" w:space="0" w:color="auto"/>
        <w:right w:val="none" w:sz="0" w:space="0" w:color="auto"/>
      </w:divBdr>
    </w:div>
    <w:div w:id="1317371178">
      <w:bodyDiv w:val="1"/>
      <w:marLeft w:val="0"/>
      <w:marRight w:val="0"/>
      <w:marTop w:val="0"/>
      <w:marBottom w:val="0"/>
      <w:divBdr>
        <w:top w:val="none" w:sz="0" w:space="0" w:color="auto"/>
        <w:left w:val="none" w:sz="0" w:space="0" w:color="auto"/>
        <w:bottom w:val="none" w:sz="0" w:space="0" w:color="auto"/>
        <w:right w:val="none" w:sz="0" w:space="0" w:color="auto"/>
      </w:divBdr>
    </w:div>
    <w:div w:id="1481000687">
      <w:bodyDiv w:val="1"/>
      <w:marLeft w:val="0"/>
      <w:marRight w:val="0"/>
      <w:marTop w:val="0"/>
      <w:marBottom w:val="0"/>
      <w:divBdr>
        <w:top w:val="none" w:sz="0" w:space="0" w:color="auto"/>
        <w:left w:val="none" w:sz="0" w:space="0" w:color="auto"/>
        <w:bottom w:val="none" w:sz="0" w:space="0" w:color="auto"/>
        <w:right w:val="none" w:sz="0" w:space="0" w:color="auto"/>
      </w:divBdr>
    </w:div>
    <w:div w:id="1792167713">
      <w:bodyDiv w:val="1"/>
      <w:marLeft w:val="0"/>
      <w:marRight w:val="0"/>
      <w:marTop w:val="0"/>
      <w:marBottom w:val="0"/>
      <w:divBdr>
        <w:top w:val="none" w:sz="0" w:space="0" w:color="auto"/>
        <w:left w:val="none" w:sz="0" w:space="0" w:color="auto"/>
        <w:bottom w:val="none" w:sz="0" w:space="0" w:color="auto"/>
        <w:right w:val="none" w:sz="0" w:space="0" w:color="auto"/>
      </w:divBdr>
    </w:div>
    <w:div w:id="1919631406">
      <w:bodyDiv w:val="1"/>
      <w:marLeft w:val="0"/>
      <w:marRight w:val="0"/>
      <w:marTop w:val="0"/>
      <w:marBottom w:val="0"/>
      <w:divBdr>
        <w:top w:val="none" w:sz="0" w:space="0" w:color="auto"/>
        <w:left w:val="none" w:sz="0" w:space="0" w:color="auto"/>
        <w:bottom w:val="none" w:sz="0" w:space="0" w:color="auto"/>
        <w:right w:val="none" w:sz="0" w:space="0" w:color="auto"/>
      </w:divBdr>
    </w:div>
    <w:div w:id="1962612218">
      <w:bodyDiv w:val="1"/>
      <w:marLeft w:val="0"/>
      <w:marRight w:val="0"/>
      <w:marTop w:val="0"/>
      <w:marBottom w:val="0"/>
      <w:divBdr>
        <w:top w:val="none" w:sz="0" w:space="0" w:color="auto"/>
        <w:left w:val="none" w:sz="0" w:space="0" w:color="auto"/>
        <w:bottom w:val="none" w:sz="0" w:space="0" w:color="auto"/>
        <w:right w:val="none" w:sz="0" w:space="0" w:color="auto"/>
      </w:divBdr>
    </w:div>
    <w:div w:id="1965229748">
      <w:bodyDiv w:val="1"/>
      <w:marLeft w:val="0"/>
      <w:marRight w:val="0"/>
      <w:marTop w:val="0"/>
      <w:marBottom w:val="0"/>
      <w:divBdr>
        <w:top w:val="none" w:sz="0" w:space="0" w:color="auto"/>
        <w:left w:val="none" w:sz="0" w:space="0" w:color="auto"/>
        <w:bottom w:val="none" w:sz="0" w:space="0" w:color="auto"/>
        <w:right w:val="none" w:sz="0" w:space="0" w:color="auto"/>
      </w:divBdr>
      <w:divsChild>
        <w:div w:id="313919118">
          <w:marLeft w:val="0"/>
          <w:marRight w:val="0"/>
          <w:marTop w:val="480"/>
          <w:marBottom w:val="240"/>
          <w:divBdr>
            <w:top w:val="none" w:sz="0" w:space="0" w:color="auto"/>
            <w:left w:val="none" w:sz="0" w:space="0" w:color="auto"/>
            <w:bottom w:val="none" w:sz="0" w:space="0" w:color="auto"/>
            <w:right w:val="none" w:sz="0" w:space="0" w:color="auto"/>
          </w:divBdr>
        </w:div>
        <w:div w:id="169376349">
          <w:marLeft w:val="0"/>
          <w:marRight w:val="0"/>
          <w:marTop w:val="0"/>
          <w:marBottom w:val="567"/>
          <w:divBdr>
            <w:top w:val="none" w:sz="0" w:space="0" w:color="auto"/>
            <w:left w:val="none" w:sz="0" w:space="0" w:color="auto"/>
            <w:bottom w:val="none" w:sz="0" w:space="0" w:color="auto"/>
            <w:right w:val="none" w:sz="0" w:space="0" w:color="auto"/>
          </w:divBdr>
        </w:div>
      </w:divsChild>
    </w:div>
    <w:div w:id="2029260093">
      <w:bodyDiv w:val="1"/>
      <w:marLeft w:val="0"/>
      <w:marRight w:val="0"/>
      <w:marTop w:val="0"/>
      <w:marBottom w:val="0"/>
      <w:divBdr>
        <w:top w:val="none" w:sz="0" w:space="0" w:color="auto"/>
        <w:left w:val="none" w:sz="0" w:space="0" w:color="auto"/>
        <w:bottom w:val="none" w:sz="0" w:space="0" w:color="auto"/>
        <w:right w:val="none" w:sz="0" w:space="0" w:color="auto"/>
      </w:divBdr>
    </w:div>
    <w:div w:id="213621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775A-125D-4AD8-9F33-25A00B30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7615</Words>
  <Characters>4342</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pasākumiem Covid-19 krīzes pārvarēšanai un ekonomikas atlabšanai 2020. un 2021.gadam"</vt:lpstr>
      <vt:lpstr>Informatīvais ziņojums "Par pasākumiem Covid-19 krīzes pārvarēšanai un ekonomikas atlabšanai 2020. un 2021.gadam"</vt:lpstr>
    </vt:vector>
  </TitlesOfParts>
  <Company>Finanšu ministrija</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pasākumiem Covid-19 krīzes pārvarēšanai un ekonomikas atlabšanai 2020. un 2021.gadam"</dc:title>
  <dc:subject>Informatīvais ziņojums</dc:subject>
  <dc:creator>Zane Adijāne</dc:creator>
  <cp:keywords/>
  <dc:description>Adijāne, 67095437;_x000d_
Zane.Adijane@fm.gov.lv</dc:description>
  <cp:lastModifiedBy>Zanda Jaunskunga</cp:lastModifiedBy>
  <cp:revision>2</cp:revision>
  <cp:lastPrinted>2020-11-28T10:36:00Z</cp:lastPrinted>
  <dcterms:created xsi:type="dcterms:W3CDTF">2020-11-30T15:11:00Z</dcterms:created>
  <dcterms:modified xsi:type="dcterms:W3CDTF">2020-11-30T15:11:00Z</dcterms:modified>
</cp:coreProperties>
</file>