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4A73" w:rsidR="00B95B0A" w:rsidP="00B95B0A" w:rsidRDefault="00B95B0A" w14:paraId="4287B053" w14:textId="77777777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784A73">
        <w:rPr>
          <w:rFonts w:cs="Times New Roman"/>
          <w:b/>
          <w:sz w:val="24"/>
          <w:szCs w:val="24"/>
        </w:rPr>
        <w:t>INFORMATĪVAIS ZIŅOJUMS</w:t>
      </w:r>
    </w:p>
    <w:p w:rsidR="00A21F17" w:rsidP="00983B12" w:rsidRDefault="00983B12" w14:paraId="378AA2C6" w14:textId="7A54105F">
      <w:pPr>
        <w:spacing w:after="120" w:line="240" w:lineRule="auto"/>
        <w:ind w:firstLine="720"/>
        <w:jc w:val="center"/>
        <w:rPr>
          <w:rFonts w:cs="Times New Roman"/>
          <w:b/>
          <w:sz w:val="24"/>
          <w:szCs w:val="24"/>
        </w:rPr>
      </w:pPr>
      <w:bookmarkStart w:name="_Hlk32315205" w:id="0"/>
      <w:r w:rsidRPr="00784A73">
        <w:rPr>
          <w:rFonts w:cs="Times New Roman"/>
          <w:b/>
          <w:sz w:val="24"/>
          <w:szCs w:val="24"/>
        </w:rPr>
        <w:t>Par Rail Baltica</w:t>
      </w:r>
      <w:r w:rsidR="00A21F17">
        <w:rPr>
          <w:rFonts w:cs="Times New Roman"/>
          <w:b/>
          <w:sz w:val="24"/>
          <w:szCs w:val="24"/>
        </w:rPr>
        <w:t xml:space="preserve"> </w:t>
      </w:r>
      <w:r w:rsidR="00A85F13">
        <w:rPr>
          <w:rFonts w:cs="Times New Roman"/>
          <w:b/>
          <w:sz w:val="24"/>
          <w:szCs w:val="24"/>
        </w:rPr>
        <w:t xml:space="preserve">projekta </w:t>
      </w:r>
      <w:r w:rsidR="00C6329C">
        <w:rPr>
          <w:rFonts w:cs="Times New Roman"/>
          <w:b/>
          <w:sz w:val="24"/>
          <w:szCs w:val="24"/>
        </w:rPr>
        <w:t xml:space="preserve">otrā </w:t>
      </w:r>
      <w:r w:rsidR="00A21F17">
        <w:rPr>
          <w:rFonts w:cs="Times New Roman"/>
          <w:b/>
          <w:sz w:val="24"/>
          <w:szCs w:val="24"/>
        </w:rPr>
        <w:t>Finansēšanas līgum</w:t>
      </w:r>
      <w:r w:rsidR="00E74F75">
        <w:rPr>
          <w:rFonts w:cs="Times New Roman"/>
          <w:b/>
          <w:sz w:val="24"/>
          <w:szCs w:val="24"/>
        </w:rPr>
        <w:t xml:space="preserve">a </w:t>
      </w:r>
      <w:r w:rsidR="00AB2BB1">
        <w:rPr>
          <w:rFonts w:cs="Times New Roman"/>
          <w:b/>
          <w:sz w:val="24"/>
          <w:szCs w:val="24"/>
        </w:rPr>
        <w:t xml:space="preserve">(CEF2) </w:t>
      </w:r>
      <w:r w:rsidR="00E74F75">
        <w:rPr>
          <w:rFonts w:cs="Times New Roman"/>
          <w:b/>
          <w:sz w:val="24"/>
          <w:szCs w:val="24"/>
        </w:rPr>
        <w:t>grozījum</w:t>
      </w:r>
      <w:r w:rsidR="00A85F13">
        <w:rPr>
          <w:rFonts w:cs="Times New Roman"/>
          <w:b/>
          <w:sz w:val="24"/>
          <w:szCs w:val="24"/>
        </w:rPr>
        <w:t>iem</w:t>
      </w:r>
      <w:r w:rsidR="00E74F75">
        <w:rPr>
          <w:rFonts w:cs="Times New Roman"/>
          <w:b/>
          <w:sz w:val="24"/>
          <w:szCs w:val="24"/>
        </w:rPr>
        <w:t xml:space="preserve"> </w:t>
      </w:r>
    </w:p>
    <w:bookmarkEnd w:id="0"/>
    <w:p w:rsidRPr="000C4FE8" w:rsidR="00B9586B" w:rsidP="00B9586B" w:rsidRDefault="00B9586B" w14:paraId="4B419371" w14:textId="2D5031C7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0C4FE8">
        <w:rPr>
          <w:rFonts w:cs="Times New Roman"/>
          <w:sz w:val="24"/>
          <w:szCs w:val="24"/>
        </w:rPr>
        <w:t xml:space="preserve">Rail Baltica projekts (turpmāk – Projekts) ir </w:t>
      </w:r>
      <w:r>
        <w:rPr>
          <w:rFonts w:cs="Times New Roman"/>
          <w:sz w:val="24"/>
          <w:szCs w:val="24"/>
        </w:rPr>
        <w:t>Eiro</w:t>
      </w:r>
      <w:r w:rsidRPr="000C4FE8">
        <w:rPr>
          <w:rFonts w:cs="Times New Roman"/>
          <w:sz w:val="24"/>
          <w:szCs w:val="24"/>
        </w:rPr>
        <w:t>pas standarta platuma dzelzceļa transporta Trans-</w:t>
      </w:r>
      <w:r>
        <w:rPr>
          <w:rFonts w:cs="Times New Roman"/>
          <w:sz w:val="24"/>
          <w:szCs w:val="24"/>
        </w:rPr>
        <w:t>Eiro</w:t>
      </w:r>
      <w:r w:rsidRPr="000C4FE8">
        <w:rPr>
          <w:rFonts w:cs="Times New Roman"/>
          <w:sz w:val="24"/>
          <w:szCs w:val="24"/>
        </w:rPr>
        <w:t xml:space="preserve">pas transporta tīkla Ziemeļjūras – Baltijas koridora transporta sistēmas elements, kas aptver piecas </w:t>
      </w:r>
      <w:r>
        <w:rPr>
          <w:rFonts w:cs="Times New Roman"/>
          <w:sz w:val="24"/>
          <w:szCs w:val="24"/>
        </w:rPr>
        <w:t>Eiro</w:t>
      </w:r>
      <w:r w:rsidRPr="000C4FE8">
        <w:rPr>
          <w:rFonts w:cs="Times New Roman"/>
          <w:sz w:val="24"/>
          <w:szCs w:val="24"/>
        </w:rPr>
        <w:t>pas Savienības (turpmāk</w:t>
      </w:r>
      <w:r>
        <w:rPr>
          <w:rFonts w:cs="Times New Roman"/>
          <w:sz w:val="24"/>
          <w:szCs w:val="24"/>
        </w:rPr>
        <w:t xml:space="preserve"> </w:t>
      </w:r>
      <w:r w:rsidRPr="000C4FE8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0C4FE8">
        <w:rPr>
          <w:rFonts w:cs="Times New Roman"/>
          <w:sz w:val="24"/>
          <w:szCs w:val="24"/>
        </w:rPr>
        <w:t xml:space="preserve">ES) dalībvalstis – Igauniju, Latviju, Lietuvu, Poliju un Somiju, tālākā nākotnē paredzot </w:t>
      </w:r>
      <w:r w:rsidR="00B80912">
        <w:rPr>
          <w:rFonts w:cs="Times New Roman"/>
          <w:sz w:val="24"/>
          <w:szCs w:val="24"/>
        </w:rPr>
        <w:t>līnijas</w:t>
      </w:r>
      <w:r w:rsidRPr="000C4FE8" w:rsidR="00B80912">
        <w:rPr>
          <w:rFonts w:cs="Times New Roman"/>
          <w:sz w:val="24"/>
          <w:szCs w:val="24"/>
        </w:rPr>
        <w:t xml:space="preserve"> </w:t>
      </w:r>
      <w:r w:rsidRPr="000C4FE8">
        <w:rPr>
          <w:rFonts w:cs="Times New Roman"/>
          <w:sz w:val="24"/>
          <w:szCs w:val="24"/>
        </w:rPr>
        <w:t xml:space="preserve">pagarinājumu ar </w:t>
      </w:r>
      <w:r w:rsidRPr="000C4FE8" w:rsidR="00B80912">
        <w:rPr>
          <w:rFonts w:cs="Times New Roman"/>
          <w:sz w:val="24"/>
          <w:szCs w:val="24"/>
        </w:rPr>
        <w:t xml:space="preserve">Tallina – Helsinki </w:t>
      </w:r>
      <w:r w:rsidRPr="000C4FE8">
        <w:rPr>
          <w:rFonts w:cs="Times New Roman"/>
          <w:sz w:val="24"/>
          <w:szCs w:val="24"/>
        </w:rPr>
        <w:t xml:space="preserve">savienojumu. </w:t>
      </w:r>
      <w:r>
        <w:rPr>
          <w:rFonts w:cs="Times New Roman"/>
          <w:sz w:val="24"/>
          <w:szCs w:val="24"/>
        </w:rPr>
        <w:t>P</w:t>
      </w:r>
      <w:r w:rsidRPr="000C4FE8">
        <w:rPr>
          <w:rFonts w:cs="Times New Roman"/>
          <w:sz w:val="24"/>
          <w:szCs w:val="24"/>
        </w:rPr>
        <w:t>rojekta mērķis ir savienot Baltijas valstis ar pārējo ES</w:t>
      </w:r>
      <w:r w:rsidR="00BC01B9">
        <w:rPr>
          <w:rFonts w:cs="Times New Roman"/>
          <w:sz w:val="24"/>
          <w:szCs w:val="24"/>
        </w:rPr>
        <w:t>,</w:t>
      </w:r>
      <w:r w:rsidRPr="000C4FE8">
        <w:rPr>
          <w:rFonts w:cs="Times New Roman"/>
          <w:sz w:val="24"/>
          <w:szCs w:val="24"/>
        </w:rPr>
        <w:t xml:space="preserve"> izmantojot efektīvu, modernu, drošu, videi draudzīgu un tirgus prasībām atbilstošu dzelzceļa pārvadājumu sistēmu. Ziemeļu - Dienvidu virziena dzelzceļa līnija</w:t>
      </w:r>
      <w:r>
        <w:rPr>
          <w:rFonts w:cs="Times New Roman"/>
          <w:sz w:val="24"/>
          <w:szCs w:val="24"/>
        </w:rPr>
        <w:t xml:space="preserve">s attīstība </w:t>
      </w:r>
      <w:r w:rsidRPr="000C4FE8">
        <w:rPr>
          <w:rFonts w:cs="Times New Roman"/>
          <w:sz w:val="24"/>
          <w:szCs w:val="24"/>
        </w:rPr>
        <w:t>veicinās Baltijas valstu transporta infrastruktūras sistēmas integrāciju ES, kā arī tautsaimniecības konkurētspēju, tās ilgtspējīgu un diversificētu attīstību.</w:t>
      </w:r>
    </w:p>
    <w:p w:rsidR="003E5C3B" w:rsidP="00835F40" w:rsidRDefault="003B07CC" w14:paraId="2FDBFD0C" w14:textId="0AB20C4B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9B5608">
        <w:rPr>
          <w:rFonts w:cs="Times New Roman"/>
          <w:sz w:val="24"/>
          <w:szCs w:val="24"/>
        </w:rPr>
        <w:t xml:space="preserve">Eiropas Komisija </w:t>
      </w:r>
      <w:r w:rsidRPr="009B5608" w:rsidR="009422DE">
        <w:rPr>
          <w:rFonts w:cs="Times New Roman"/>
          <w:sz w:val="24"/>
          <w:szCs w:val="24"/>
        </w:rPr>
        <w:t>2014., 2015.</w:t>
      </w:r>
      <w:r w:rsidRPr="009B5608" w:rsidR="00671E3C">
        <w:rPr>
          <w:rFonts w:cs="Times New Roman"/>
          <w:sz w:val="24"/>
          <w:szCs w:val="24"/>
        </w:rPr>
        <w:t xml:space="preserve">, 2016. </w:t>
      </w:r>
      <w:r w:rsidRPr="009B5608" w:rsidR="009422DE">
        <w:rPr>
          <w:rFonts w:cs="Times New Roman"/>
          <w:sz w:val="24"/>
          <w:szCs w:val="24"/>
        </w:rPr>
        <w:t>un 20</w:t>
      </w:r>
      <w:r w:rsidRPr="009B5608" w:rsidR="00671E3C">
        <w:rPr>
          <w:rFonts w:cs="Times New Roman"/>
          <w:sz w:val="24"/>
          <w:szCs w:val="24"/>
        </w:rPr>
        <w:t>20</w:t>
      </w:r>
      <w:r w:rsidRPr="009B5608" w:rsidR="009422DE">
        <w:rPr>
          <w:rFonts w:cs="Times New Roman"/>
          <w:sz w:val="24"/>
          <w:szCs w:val="24"/>
        </w:rPr>
        <w:t>.</w:t>
      </w:r>
      <w:r w:rsidR="000C576A">
        <w:rPr>
          <w:rFonts w:cs="Times New Roman"/>
          <w:sz w:val="24"/>
          <w:szCs w:val="24"/>
        </w:rPr>
        <w:t xml:space="preserve"> </w:t>
      </w:r>
      <w:r w:rsidRPr="009B5608" w:rsidR="009422DE">
        <w:rPr>
          <w:rFonts w:cs="Times New Roman"/>
          <w:sz w:val="24"/>
          <w:szCs w:val="24"/>
        </w:rPr>
        <w:t xml:space="preserve">gadā izsludināja pa vienam projektu </w:t>
      </w:r>
      <w:r w:rsidR="00C76A39">
        <w:rPr>
          <w:rFonts w:cs="Times New Roman"/>
          <w:sz w:val="24"/>
          <w:szCs w:val="24"/>
        </w:rPr>
        <w:t xml:space="preserve">uzsaukumam gadā </w:t>
      </w:r>
      <w:r w:rsidRPr="009B5608" w:rsidR="009422DE">
        <w:rPr>
          <w:rFonts w:cs="Times New Roman"/>
          <w:sz w:val="24"/>
          <w:szCs w:val="24"/>
        </w:rPr>
        <w:t xml:space="preserve">par finanšu palīdzības piešķiršanu </w:t>
      </w:r>
      <w:r w:rsidR="00AD2A1E">
        <w:rPr>
          <w:rFonts w:cs="Times New Roman"/>
          <w:sz w:val="24"/>
          <w:szCs w:val="24"/>
        </w:rPr>
        <w:t>no E</w:t>
      </w:r>
      <w:r w:rsidR="00B9586B">
        <w:rPr>
          <w:rFonts w:cs="Times New Roman"/>
          <w:sz w:val="24"/>
          <w:szCs w:val="24"/>
        </w:rPr>
        <w:t>S</w:t>
      </w:r>
      <w:r w:rsidR="00AD2A1E">
        <w:rPr>
          <w:rFonts w:cs="Times New Roman"/>
          <w:sz w:val="24"/>
          <w:szCs w:val="24"/>
        </w:rPr>
        <w:t xml:space="preserve"> </w:t>
      </w:r>
      <w:r w:rsidR="00C76A39">
        <w:rPr>
          <w:rFonts w:cs="Times New Roman"/>
          <w:sz w:val="24"/>
          <w:szCs w:val="24"/>
        </w:rPr>
        <w:t xml:space="preserve">2014. – 2020. gada  </w:t>
      </w:r>
      <w:r w:rsidR="00AD2A1E">
        <w:rPr>
          <w:rFonts w:cs="Times New Roman"/>
          <w:sz w:val="24"/>
          <w:szCs w:val="24"/>
        </w:rPr>
        <w:t xml:space="preserve">Daudzgadu </w:t>
      </w:r>
      <w:r w:rsidR="003E5C3B">
        <w:rPr>
          <w:rFonts w:cs="Times New Roman"/>
          <w:sz w:val="24"/>
          <w:szCs w:val="24"/>
        </w:rPr>
        <w:t xml:space="preserve">budžeta programmas </w:t>
      </w:r>
      <w:r w:rsidRPr="009B5608" w:rsidR="00BC4E37">
        <w:rPr>
          <w:rFonts w:cs="Times New Roman"/>
          <w:sz w:val="24"/>
          <w:szCs w:val="24"/>
        </w:rPr>
        <w:t>"Eiropas infrastruktūras savienošanas instrument</w:t>
      </w:r>
      <w:r w:rsidR="003E5C3B">
        <w:rPr>
          <w:rFonts w:cs="Times New Roman"/>
          <w:sz w:val="24"/>
          <w:szCs w:val="24"/>
        </w:rPr>
        <w:t>s</w:t>
      </w:r>
      <w:r w:rsidRPr="009B5608" w:rsidR="00BC4E37">
        <w:rPr>
          <w:rFonts w:cs="Times New Roman"/>
          <w:sz w:val="24"/>
          <w:szCs w:val="24"/>
        </w:rPr>
        <w:t>" (turpmāk – EISI)</w:t>
      </w:r>
      <w:r w:rsidRPr="009B5608" w:rsidR="009422DE">
        <w:rPr>
          <w:rFonts w:cs="Times New Roman"/>
          <w:sz w:val="24"/>
          <w:szCs w:val="24"/>
        </w:rPr>
        <w:t>, kur</w:t>
      </w:r>
      <w:r w:rsidR="00C76A39">
        <w:rPr>
          <w:rFonts w:cs="Times New Roman"/>
          <w:sz w:val="24"/>
          <w:szCs w:val="24"/>
        </w:rPr>
        <w:t xml:space="preserve">u rezultātā </w:t>
      </w:r>
      <w:r w:rsidRPr="009B5608" w:rsidR="009B5608">
        <w:rPr>
          <w:rFonts w:cs="Times New Roman"/>
          <w:sz w:val="24"/>
          <w:szCs w:val="24"/>
        </w:rPr>
        <w:t>Projekt</w:t>
      </w:r>
      <w:r w:rsidR="00C76A39">
        <w:rPr>
          <w:rFonts w:cs="Times New Roman"/>
          <w:sz w:val="24"/>
          <w:szCs w:val="24"/>
        </w:rPr>
        <w:t>am tika piešķirti finanšu resursi</w:t>
      </w:r>
      <w:r w:rsidR="003E5C3B">
        <w:rPr>
          <w:rFonts w:cs="Times New Roman"/>
          <w:sz w:val="24"/>
          <w:szCs w:val="24"/>
        </w:rPr>
        <w:t xml:space="preserve">. </w:t>
      </w:r>
      <w:r w:rsidR="00C76A39">
        <w:rPr>
          <w:rFonts w:cs="Times New Roman"/>
          <w:sz w:val="24"/>
          <w:szCs w:val="24"/>
        </w:rPr>
        <w:t>L</w:t>
      </w:r>
      <w:r w:rsidRPr="009B5608" w:rsidR="003E5C3B">
        <w:rPr>
          <w:rFonts w:cs="Times New Roman"/>
          <w:sz w:val="24"/>
          <w:szCs w:val="24"/>
        </w:rPr>
        <w:t>aika posmā no 2015.</w:t>
      </w:r>
      <w:r w:rsidR="000C576A">
        <w:rPr>
          <w:rFonts w:cs="Times New Roman"/>
          <w:sz w:val="24"/>
          <w:szCs w:val="24"/>
        </w:rPr>
        <w:t xml:space="preserve"> </w:t>
      </w:r>
      <w:r w:rsidRPr="009B5608" w:rsidR="003E5C3B">
        <w:rPr>
          <w:rFonts w:cs="Times New Roman"/>
          <w:sz w:val="24"/>
          <w:szCs w:val="24"/>
        </w:rPr>
        <w:t xml:space="preserve">gada līdz </w:t>
      </w:r>
      <w:r w:rsidR="00C76A39">
        <w:rPr>
          <w:rFonts w:cs="Times New Roman"/>
          <w:sz w:val="24"/>
          <w:szCs w:val="24"/>
        </w:rPr>
        <w:t>2016</w:t>
      </w:r>
      <w:r w:rsidRPr="009B5608" w:rsidR="003E5C3B">
        <w:rPr>
          <w:rFonts w:cs="Times New Roman"/>
          <w:sz w:val="24"/>
          <w:szCs w:val="24"/>
        </w:rPr>
        <w:t>.</w:t>
      </w:r>
      <w:r w:rsidR="000C576A">
        <w:rPr>
          <w:rFonts w:cs="Times New Roman"/>
          <w:sz w:val="24"/>
          <w:szCs w:val="24"/>
        </w:rPr>
        <w:t xml:space="preserve"> </w:t>
      </w:r>
      <w:r w:rsidRPr="009B5608" w:rsidR="003E5C3B">
        <w:rPr>
          <w:rFonts w:cs="Times New Roman"/>
          <w:sz w:val="24"/>
          <w:szCs w:val="24"/>
        </w:rPr>
        <w:t>gadam, parakstot trīs finansēšanas līgumus (turpmāk – CEF</w:t>
      </w:r>
      <w:r w:rsidR="009F57A6">
        <w:rPr>
          <w:rFonts w:cs="Times New Roman"/>
          <w:sz w:val="24"/>
          <w:szCs w:val="24"/>
        </w:rPr>
        <w:t>1, CEF2 un CEF3</w:t>
      </w:r>
      <w:r w:rsidRPr="009B5608" w:rsidR="003E5C3B">
        <w:rPr>
          <w:rFonts w:cs="Times New Roman"/>
          <w:sz w:val="24"/>
          <w:szCs w:val="24"/>
        </w:rPr>
        <w:t xml:space="preserve"> līgumi), Baltijas valstis un projekta koordinators akciju sabiedrība “RB Rail” (turpmāk – RB Rail) apņēm</w:t>
      </w:r>
      <w:r w:rsidR="00C76A39">
        <w:rPr>
          <w:rFonts w:cs="Times New Roman"/>
          <w:sz w:val="24"/>
          <w:szCs w:val="24"/>
        </w:rPr>
        <w:t>ās</w:t>
      </w:r>
      <w:r w:rsidRPr="009B5608" w:rsidR="003E5C3B">
        <w:rPr>
          <w:rFonts w:cs="Times New Roman"/>
          <w:sz w:val="24"/>
          <w:szCs w:val="24"/>
        </w:rPr>
        <w:t xml:space="preserve"> </w:t>
      </w:r>
      <w:r w:rsidR="000E7720">
        <w:rPr>
          <w:rFonts w:cs="Times New Roman"/>
          <w:sz w:val="24"/>
          <w:szCs w:val="24"/>
        </w:rPr>
        <w:t xml:space="preserve">Projektā </w:t>
      </w:r>
      <w:r w:rsidRPr="009B5608" w:rsidR="003E5C3B">
        <w:rPr>
          <w:rFonts w:cs="Times New Roman"/>
          <w:sz w:val="24"/>
          <w:szCs w:val="24"/>
        </w:rPr>
        <w:t>investēt 819 855 83</w:t>
      </w:r>
      <w:r w:rsidR="003E5C3B">
        <w:rPr>
          <w:rFonts w:cs="Times New Roman"/>
          <w:sz w:val="24"/>
          <w:szCs w:val="24"/>
        </w:rPr>
        <w:t>4</w:t>
      </w:r>
      <w:r w:rsidRPr="009B5608" w:rsidR="003E5C3B">
        <w:rPr>
          <w:rFonts w:cs="Times New Roman"/>
          <w:sz w:val="24"/>
          <w:szCs w:val="24"/>
        </w:rPr>
        <w:t xml:space="preserve">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Pr="009B5608" w:rsidR="003E5C3B">
        <w:rPr>
          <w:rFonts w:cs="Times New Roman"/>
          <w:sz w:val="24"/>
          <w:szCs w:val="24"/>
        </w:rPr>
        <w:t xml:space="preserve">, kas ietver gan EISI finansējumu, gan valsts budžeta līdzfinansējumu. </w:t>
      </w:r>
      <w:r w:rsidR="003E5C3B">
        <w:rPr>
          <w:rFonts w:cs="Times New Roman"/>
          <w:sz w:val="24"/>
          <w:szCs w:val="24"/>
        </w:rPr>
        <w:t>Ā</w:t>
      </w:r>
      <w:r w:rsidRPr="009B5608" w:rsidR="003E5C3B">
        <w:rPr>
          <w:rFonts w:cs="Times New Roman"/>
          <w:sz w:val="24"/>
          <w:szCs w:val="24"/>
        </w:rPr>
        <w:t xml:space="preserve">rvalstu finanšu palīdzības daļa </w:t>
      </w:r>
      <w:r w:rsidR="00C76A39">
        <w:rPr>
          <w:rFonts w:cs="Times New Roman"/>
          <w:sz w:val="24"/>
          <w:szCs w:val="24"/>
        </w:rPr>
        <w:t>CEF1, CEF2 un CEF3</w:t>
      </w:r>
      <w:r w:rsidR="003E5C3B">
        <w:rPr>
          <w:rFonts w:cs="Times New Roman"/>
          <w:sz w:val="24"/>
          <w:szCs w:val="24"/>
        </w:rPr>
        <w:t xml:space="preserve"> </w:t>
      </w:r>
      <w:r w:rsidRPr="009B5608" w:rsidR="003E5C3B">
        <w:rPr>
          <w:rFonts w:cs="Times New Roman"/>
          <w:sz w:val="24"/>
          <w:szCs w:val="24"/>
        </w:rPr>
        <w:t>līgumiem ir 682 895</w:t>
      </w:r>
      <w:r w:rsidR="00197B93">
        <w:rPr>
          <w:rFonts w:cs="Times New Roman"/>
          <w:sz w:val="24"/>
          <w:szCs w:val="24"/>
        </w:rPr>
        <w:t> </w:t>
      </w:r>
      <w:r w:rsidRPr="009B5608" w:rsidR="003E5C3B">
        <w:rPr>
          <w:rFonts w:cs="Times New Roman"/>
          <w:sz w:val="24"/>
          <w:szCs w:val="24"/>
        </w:rPr>
        <w:t>993</w:t>
      </w:r>
      <w:r w:rsidR="00197B93">
        <w:rPr>
          <w:rFonts w:cs="Times New Roman"/>
          <w:sz w:val="24"/>
          <w:szCs w:val="24"/>
        </w:rPr>
        <w:t xml:space="preserve">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="00C76A39">
        <w:rPr>
          <w:rFonts w:cs="Times New Roman"/>
          <w:sz w:val="24"/>
          <w:szCs w:val="24"/>
        </w:rPr>
        <w:t>, kur</w:t>
      </w:r>
      <w:r w:rsidRPr="009B5608" w:rsidR="003E5C3B">
        <w:rPr>
          <w:rFonts w:cs="Times New Roman"/>
          <w:sz w:val="24"/>
          <w:szCs w:val="24"/>
        </w:rPr>
        <w:t xml:space="preserve"> Latvijas aktivitāšu īstenošanai ir paredzēts EISI finansējums 292 098 895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="000E7720">
        <w:rPr>
          <w:rFonts w:cs="Times New Roman"/>
          <w:sz w:val="24"/>
          <w:szCs w:val="24"/>
        </w:rPr>
        <w:t xml:space="preserve"> apmērā</w:t>
      </w:r>
      <w:r w:rsidRPr="009B5608" w:rsidR="003E5C3B">
        <w:rPr>
          <w:rFonts w:cs="Times New Roman"/>
          <w:sz w:val="24"/>
          <w:szCs w:val="24"/>
        </w:rPr>
        <w:t xml:space="preserve">, no tiem ārvalstu finanšu palīdzības daļa ir 240 567 215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Pr="009B5608" w:rsidR="003E5C3B">
        <w:rPr>
          <w:rFonts w:cs="Times New Roman"/>
          <w:sz w:val="24"/>
          <w:szCs w:val="24"/>
        </w:rPr>
        <w:t>.</w:t>
      </w:r>
      <w:r w:rsidR="003E5C3B">
        <w:rPr>
          <w:rFonts w:cs="Times New Roman"/>
          <w:sz w:val="24"/>
          <w:szCs w:val="24"/>
        </w:rPr>
        <w:t xml:space="preserve"> </w:t>
      </w:r>
    </w:p>
    <w:p w:rsidR="005A1B8C" w:rsidP="000355FB" w:rsidRDefault="005471A6" w14:paraId="1DF23BCB" w14:textId="3758E8F8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BE2B48">
        <w:rPr>
          <w:rFonts w:cs="Times New Roman"/>
          <w:sz w:val="24"/>
          <w:szCs w:val="24"/>
        </w:rPr>
        <w:t>2020.</w:t>
      </w:r>
      <w:r w:rsidR="000C576A">
        <w:rPr>
          <w:rFonts w:cs="Times New Roman"/>
          <w:sz w:val="24"/>
          <w:szCs w:val="24"/>
        </w:rPr>
        <w:t xml:space="preserve"> </w:t>
      </w:r>
      <w:r w:rsidRPr="00BE2B48">
        <w:rPr>
          <w:rFonts w:cs="Times New Roman"/>
          <w:sz w:val="24"/>
          <w:szCs w:val="24"/>
        </w:rPr>
        <w:t xml:space="preserve">gada </w:t>
      </w:r>
      <w:r w:rsidR="000355FB">
        <w:rPr>
          <w:rFonts w:cs="Times New Roman"/>
          <w:sz w:val="24"/>
          <w:szCs w:val="24"/>
        </w:rPr>
        <w:t>novembrī</w:t>
      </w:r>
      <w:r w:rsidRPr="00BE2B48">
        <w:rPr>
          <w:rFonts w:cs="Times New Roman"/>
          <w:sz w:val="24"/>
          <w:szCs w:val="24"/>
        </w:rPr>
        <w:t xml:space="preserve"> </w:t>
      </w:r>
      <w:r w:rsidR="000355FB">
        <w:rPr>
          <w:rFonts w:cs="Times New Roman"/>
          <w:sz w:val="24"/>
          <w:szCs w:val="24"/>
        </w:rPr>
        <w:t xml:space="preserve">ir parakstīti </w:t>
      </w:r>
      <w:r w:rsidR="00C76A39">
        <w:rPr>
          <w:rFonts w:cs="Times New Roman"/>
          <w:sz w:val="24"/>
          <w:szCs w:val="24"/>
        </w:rPr>
        <w:t>sest</w:t>
      </w:r>
      <w:r w:rsidR="000355FB">
        <w:rPr>
          <w:rFonts w:cs="Times New Roman"/>
          <w:sz w:val="24"/>
          <w:szCs w:val="24"/>
        </w:rPr>
        <w:t>ā</w:t>
      </w:r>
      <w:r w:rsidR="00C76A39">
        <w:rPr>
          <w:rFonts w:cs="Times New Roman"/>
          <w:sz w:val="24"/>
          <w:szCs w:val="24"/>
        </w:rPr>
        <w:t xml:space="preserve"> EISI</w:t>
      </w:r>
      <w:r w:rsidRPr="00BE2B48">
        <w:rPr>
          <w:rFonts w:cs="Times New Roman"/>
          <w:sz w:val="24"/>
          <w:szCs w:val="24"/>
        </w:rPr>
        <w:t xml:space="preserve"> projekt</w:t>
      </w:r>
      <w:r w:rsidR="000355FB">
        <w:rPr>
          <w:rFonts w:cs="Times New Roman"/>
          <w:sz w:val="24"/>
          <w:szCs w:val="24"/>
        </w:rPr>
        <w:t>u uzsaukuma līgumi</w:t>
      </w:r>
      <w:r w:rsidRPr="00BE2B48">
        <w:rPr>
          <w:rFonts w:cs="Times New Roman"/>
          <w:sz w:val="24"/>
          <w:szCs w:val="24"/>
        </w:rPr>
        <w:t xml:space="preserve">, </w:t>
      </w:r>
      <w:r w:rsidRPr="00BE2B48" w:rsidR="00710E8E">
        <w:rPr>
          <w:rFonts w:cs="Times New Roman"/>
          <w:sz w:val="24"/>
          <w:szCs w:val="24"/>
        </w:rPr>
        <w:t>kurā</w:t>
      </w:r>
      <w:r w:rsidRPr="00BE2B48">
        <w:rPr>
          <w:rFonts w:cs="Times New Roman"/>
          <w:sz w:val="24"/>
          <w:szCs w:val="24"/>
        </w:rPr>
        <w:t xml:space="preserve"> Latvija ir saņēmusi </w:t>
      </w:r>
      <w:r w:rsidR="004446ED">
        <w:rPr>
          <w:rFonts w:cs="Times New Roman"/>
          <w:sz w:val="24"/>
          <w:szCs w:val="24"/>
        </w:rPr>
        <w:t>84 901 168</w:t>
      </w:r>
      <w:r w:rsidRPr="00BE2B48" w:rsidR="005C6E33">
        <w:rPr>
          <w:rFonts w:cs="Times New Roman"/>
          <w:sz w:val="24"/>
          <w:szCs w:val="24"/>
        </w:rPr>
        <w:t xml:space="preserve">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Pr="00BE2B48" w:rsidR="00710E8E">
        <w:rPr>
          <w:rFonts w:cs="Times New Roman"/>
          <w:sz w:val="24"/>
          <w:szCs w:val="24"/>
        </w:rPr>
        <w:t xml:space="preserve"> </w:t>
      </w:r>
      <w:r w:rsidRPr="00BE2B48">
        <w:rPr>
          <w:rFonts w:cs="Times New Roman"/>
          <w:sz w:val="24"/>
          <w:szCs w:val="24"/>
        </w:rPr>
        <w:t>finansējum</w:t>
      </w:r>
      <w:r w:rsidR="000E7720">
        <w:rPr>
          <w:rFonts w:cs="Times New Roman"/>
          <w:sz w:val="24"/>
          <w:szCs w:val="24"/>
        </w:rPr>
        <w:t>u</w:t>
      </w:r>
      <w:r w:rsidRPr="00BE2B48">
        <w:rPr>
          <w:rFonts w:cs="Times New Roman"/>
          <w:sz w:val="24"/>
          <w:szCs w:val="24"/>
        </w:rPr>
        <w:t xml:space="preserve"> </w:t>
      </w:r>
      <w:r w:rsidRPr="009B5608" w:rsidR="005A72C0">
        <w:rPr>
          <w:rFonts w:cs="Times New Roman"/>
          <w:sz w:val="24"/>
          <w:szCs w:val="24"/>
        </w:rPr>
        <w:t>tālākai P</w:t>
      </w:r>
      <w:r w:rsidRPr="009B5608">
        <w:rPr>
          <w:rFonts w:cs="Times New Roman"/>
          <w:sz w:val="24"/>
          <w:szCs w:val="24"/>
        </w:rPr>
        <w:t>rojekta īstenošanai</w:t>
      </w:r>
      <w:r w:rsidR="004446ED">
        <w:rPr>
          <w:rFonts w:cs="Times New Roman"/>
          <w:sz w:val="24"/>
          <w:szCs w:val="24"/>
        </w:rPr>
        <w:t xml:space="preserve">, </w:t>
      </w:r>
      <w:r w:rsidRPr="000B38F1" w:rsidR="004446ED">
        <w:rPr>
          <w:rFonts w:cs="Times New Roman"/>
          <w:sz w:val="24"/>
          <w:szCs w:val="24"/>
        </w:rPr>
        <w:t xml:space="preserve">no tiem ārvalstu finanšu palīdzības daļa – 72 165 993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Pr="000B38F1">
        <w:rPr>
          <w:rFonts w:cs="Times New Roman"/>
          <w:sz w:val="24"/>
          <w:szCs w:val="24"/>
        </w:rPr>
        <w:t>.</w:t>
      </w:r>
      <w:r w:rsidRPr="009B5608" w:rsidR="00835F40">
        <w:rPr>
          <w:rFonts w:cs="Times New Roman"/>
          <w:sz w:val="24"/>
          <w:szCs w:val="24"/>
        </w:rPr>
        <w:t xml:space="preserve"> </w:t>
      </w:r>
      <w:r w:rsidR="000355FB">
        <w:rPr>
          <w:rFonts w:cs="Times New Roman"/>
          <w:sz w:val="24"/>
          <w:szCs w:val="24"/>
        </w:rPr>
        <w:t xml:space="preserve">Satiksmes ministrija </w:t>
      </w:r>
      <w:r w:rsidR="00866B65">
        <w:rPr>
          <w:rFonts w:cs="Times New Roman"/>
          <w:sz w:val="24"/>
          <w:szCs w:val="24"/>
        </w:rPr>
        <w:t xml:space="preserve">iesniegs Ministru kabinetā </w:t>
      </w:r>
      <w:r w:rsidR="000355FB">
        <w:rPr>
          <w:rFonts w:cs="Times New Roman"/>
          <w:sz w:val="24"/>
          <w:szCs w:val="24"/>
        </w:rPr>
        <w:t xml:space="preserve"> ziņojumu par sestā uzsaukuma aktuālajām </w:t>
      </w:r>
      <w:r w:rsidR="00866B65">
        <w:rPr>
          <w:rFonts w:cs="Times New Roman"/>
          <w:sz w:val="24"/>
          <w:szCs w:val="24"/>
        </w:rPr>
        <w:t xml:space="preserve">projekta </w:t>
      </w:r>
      <w:r w:rsidR="000355FB">
        <w:rPr>
          <w:rFonts w:cs="Times New Roman"/>
          <w:sz w:val="24"/>
          <w:szCs w:val="24"/>
        </w:rPr>
        <w:t>izmaksām.</w:t>
      </w:r>
    </w:p>
    <w:p w:rsidR="004446ED" w:rsidP="00835F40" w:rsidRDefault="00C76A39" w14:paraId="003BC26E" w14:textId="7B731494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Šobrīd</w:t>
      </w:r>
      <w:r w:rsidRPr="000B38F1" w:rsidR="009B5608">
        <w:rPr>
          <w:rFonts w:cs="Times New Roman"/>
          <w:sz w:val="24"/>
          <w:szCs w:val="24"/>
        </w:rPr>
        <w:t xml:space="preserve"> Latvijas aktivitāšu īstenošanai paredzēt</w:t>
      </w:r>
      <w:r w:rsidR="006A5688">
        <w:rPr>
          <w:rFonts w:cs="Times New Roman"/>
          <w:sz w:val="24"/>
          <w:szCs w:val="24"/>
        </w:rPr>
        <w:t>ais</w:t>
      </w:r>
      <w:r w:rsidRPr="000B38F1" w:rsidR="009B5608">
        <w:rPr>
          <w:rFonts w:cs="Times New Roman"/>
          <w:sz w:val="24"/>
          <w:szCs w:val="24"/>
        </w:rPr>
        <w:t xml:space="preserve"> finansējums </w:t>
      </w:r>
      <w:r w:rsidR="000E7720">
        <w:rPr>
          <w:rFonts w:cs="Times New Roman"/>
          <w:sz w:val="24"/>
          <w:szCs w:val="24"/>
        </w:rPr>
        <w:t xml:space="preserve">ir </w:t>
      </w:r>
      <w:r w:rsidRPr="000B38F1" w:rsidR="001E4655">
        <w:rPr>
          <w:rFonts w:cs="Times New Roman"/>
          <w:sz w:val="24"/>
          <w:szCs w:val="24"/>
        </w:rPr>
        <w:t xml:space="preserve">377 000 063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Pr="000B38F1" w:rsidR="009B5608">
        <w:rPr>
          <w:rFonts w:cs="Times New Roman"/>
          <w:sz w:val="24"/>
          <w:szCs w:val="24"/>
        </w:rPr>
        <w:t>, no tiem ārvalstu finanšu palīdzības daļa – 312</w:t>
      </w:r>
      <w:r w:rsidRPr="000B38F1" w:rsidR="004446ED">
        <w:rPr>
          <w:rFonts w:cs="Times New Roman"/>
          <w:sz w:val="24"/>
          <w:szCs w:val="24"/>
        </w:rPr>
        <w:t> 733 208</w:t>
      </w:r>
      <w:r w:rsidRPr="000B38F1" w:rsidR="009B5608">
        <w:rPr>
          <w:rFonts w:cs="Times New Roman"/>
          <w:sz w:val="24"/>
          <w:szCs w:val="24"/>
        </w:rPr>
        <w:t xml:space="preserve">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="001E4655">
        <w:rPr>
          <w:rFonts w:cs="Times New Roman"/>
          <w:sz w:val="24"/>
          <w:szCs w:val="24"/>
        </w:rPr>
        <w:t xml:space="preserve">. </w:t>
      </w:r>
    </w:p>
    <w:p w:rsidRPr="00BE2B48" w:rsidR="00835F40" w:rsidP="00835F40" w:rsidRDefault="00835F40" w14:paraId="79C5C650" w14:textId="79D8F153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BE2B48">
        <w:rPr>
          <w:rFonts w:cs="Times New Roman"/>
          <w:b/>
          <w:sz w:val="24"/>
          <w:szCs w:val="24"/>
        </w:rPr>
        <w:t>CEF2</w:t>
      </w:r>
      <w:r w:rsidR="009F57A6">
        <w:rPr>
          <w:rFonts w:cs="Times New Roman"/>
          <w:b/>
          <w:sz w:val="24"/>
          <w:szCs w:val="24"/>
        </w:rPr>
        <w:t xml:space="preserve"> līguma</w:t>
      </w:r>
      <w:r w:rsidRPr="00BE2B48">
        <w:rPr>
          <w:rFonts w:cs="Times New Roman"/>
          <w:b/>
          <w:sz w:val="24"/>
          <w:szCs w:val="24"/>
        </w:rPr>
        <w:t xml:space="preserve"> </w:t>
      </w:r>
      <w:r w:rsidRPr="00BE2B48" w:rsidR="00246E43">
        <w:rPr>
          <w:rFonts w:cs="Times New Roman"/>
          <w:b/>
          <w:sz w:val="24"/>
          <w:szCs w:val="24"/>
        </w:rPr>
        <w:t>īstenošanas gaita</w:t>
      </w:r>
    </w:p>
    <w:p w:rsidR="00B6105E" w:rsidP="00DE3D3E" w:rsidRDefault="009B5608" w14:paraId="5A76B893" w14:textId="7D777703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BE2B48">
        <w:rPr>
          <w:rFonts w:cs="Times New Roman"/>
          <w:sz w:val="24"/>
          <w:szCs w:val="24"/>
        </w:rPr>
        <w:t>CEF2 līgum</w:t>
      </w:r>
      <w:r w:rsidRPr="00BE2B48" w:rsidR="00663E99">
        <w:rPr>
          <w:rFonts w:cs="Times New Roman"/>
          <w:sz w:val="24"/>
          <w:szCs w:val="24"/>
        </w:rPr>
        <w:t>s tika</w:t>
      </w:r>
      <w:r w:rsidRPr="00BE2B48">
        <w:rPr>
          <w:rFonts w:cs="Times New Roman"/>
          <w:sz w:val="24"/>
          <w:szCs w:val="24"/>
        </w:rPr>
        <w:t xml:space="preserve"> parakstī</w:t>
      </w:r>
      <w:r w:rsidRPr="00BE2B48" w:rsidR="00663E99">
        <w:rPr>
          <w:rFonts w:cs="Times New Roman"/>
          <w:sz w:val="24"/>
          <w:szCs w:val="24"/>
        </w:rPr>
        <w:t xml:space="preserve">ts </w:t>
      </w:r>
      <w:r w:rsidRPr="00BE2B48">
        <w:rPr>
          <w:rFonts w:cs="Times New Roman"/>
          <w:sz w:val="24"/>
          <w:szCs w:val="24"/>
        </w:rPr>
        <w:t>2016.</w:t>
      </w:r>
      <w:r w:rsidR="000C576A">
        <w:rPr>
          <w:rFonts w:cs="Times New Roman"/>
          <w:sz w:val="24"/>
          <w:szCs w:val="24"/>
        </w:rPr>
        <w:t xml:space="preserve"> </w:t>
      </w:r>
      <w:r w:rsidRPr="00BE2B48">
        <w:rPr>
          <w:rFonts w:cs="Times New Roman"/>
          <w:sz w:val="24"/>
          <w:szCs w:val="24"/>
        </w:rPr>
        <w:t>gad</w:t>
      </w:r>
      <w:r w:rsidR="00826F2A">
        <w:rPr>
          <w:rFonts w:cs="Times New Roman"/>
          <w:sz w:val="24"/>
          <w:szCs w:val="24"/>
        </w:rPr>
        <w:t>ā</w:t>
      </w:r>
      <w:r w:rsidR="00B84A71">
        <w:rPr>
          <w:rFonts w:cs="Times New Roman"/>
          <w:sz w:val="24"/>
          <w:szCs w:val="24"/>
        </w:rPr>
        <w:t xml:space="preserve">. </w:t>
      </w:r>
      <w:r w:rsidR="00212BDB">
        <w:rPr>
          <w:rFonts w:cs="Times New Roman"/>
          <w:sz w:val="24"/>
          <w:szCs w:val="24"/>
        </w:rPr>
        <w:t xml:space="preserve">Savukārt </w:t>
      </w:r>
      <w:r w:rsidRPr="00BE2B48" w:rsidR="00B84A71">
        <w:rPr>
          <w:rFonts w:cs="Times New Roman"/>
          <w:sz w:val="24"/>
          <w:szCs w:val="24"/>
        </w:rPr>
        <w:t>2017.</w:t>
      </w:r>
      <w:r w:rsidR="000C576A">
        <w:rPr>
          <w:rFonts w:cs="Times New Roman"/>
          <w:sz w:val="24"/>
          <w:szCs w:val="24"/>
        </w:rPr>
        <w:t xml:space="preserve"> </w:t>
      </w:r>
      <w:r w:rsidRPr="00BE2B48" w:rsidR="00B84A71">
        <w:rPr>
          <w:rFonts w:cs="Times New Roman"/>
          <w:sz w:val="24"/>
          <w:szCs w:val="24"/>
        </w:rPr>
        <w:t>gad</w:t>
      </w:r>
      <w:r w:rsidR="00B84A71">
        <w:rPr>
          <w:rFonts w:cs="Times New Roman"/>
          <w:sz w:val="24"/>
          <w:szCs w:val="24"/>
        </w:rPr>
        <w:t xml:space="preserve">ā </w:t>
      </w:r>
      <w:r w:rsidRPr="00BE2B48" w:rsidR="00B84A71">
        <w:rPr>
          <w:rFonts w:cs="Times New Roman"/>
          <w:sz w:val="24"/>
          <w:szCs w:val="24"/>
        </w:rPr>
        <w:t>tika parakstīti</w:t>
      </w:r>
      <w:r w:rsidR="00B84A71">
        <w:rPr>
          <w:rFonts w:cs="Times New Roman"/>
          <w:sz w:val="24"/>
          <w:szCs w:val="24"/>
        </w:rPr>
        <w:t xml:space="preserve"> </w:t>
      </w:r>
      <w:r w:rsidR="00826F2A">
        <w:rPr>
          <w:rFonts w:cs="Times New Roman"/>
          <w:sz w:val="24"/>
          <w:szCs w:val="24"/>
        </w:rPr>
        <w:t xml:space="preserve">CEF2 </w:t>
      </w:r>
      <w:r w:rsidR="00CF260E">
        <w:rPr>
          <w:rFonts w:cs="Times New Roman"/>
          <w:sz w:val="24"/>
          <w:szCs w:val="24"/>
        </w:rPr>
        <w:t xml:space="preserve">līguma </w:t>
      </w:r>
      <w:r w:rsidR="00826F2A">
        <w:rPr>
          <w:rFonts w:cs="Times New Roman"/>
          <w:sz w:val="24"/>
          <w:szCs w:val="24"/>
        </w:rPr>
        <w:t>pirmie grozījumi, kas</w:t>
      </w:r>
      <w:r w:rsidR="00B84A71">
        <w:rPr>
          <w:rFonts w:cs="Times New Roman"/>
          <w:sz w:val="24"/>
          <w:szCs w:val="24"/>
        </w:rPr>
        <w:t xml:space="preserve"> </w:t>
      </w:r>
      <w:r w:rsidRPr="008C0E1F" w:rsidR="001D4680">
        <w:rPr>
          <w:rFonts w:cs="Times New Roman"/>
          <w:sz w:val="24"/>
          <w:szCs w:val="24"/>
        </w:rPr>
        <w:t>paredzēja samazināt finansējuma apmēru</w:t>
      </w:r>
      <w:r w:rsidR="008A7C89">
        <w:rPr>
          <w:rFonts w:cs="Times New Roman"/>
          <w:sz w:val="24"/>
          <w:szCs w:val="24"/>
        </w:rPr>
        <w:t xml:space="preserve"> Lietuvas aktivitāšu īstenošanai</w:t>
      </w:r>
      <w:r w:rsidRPr="00534510" w:rsidR="008A7C89">
        <w:rPr>
          <w:rFonts w:cs="Times New Roman"/>
          <w:sz w:val="24"/>
          <w:szCs w:val="24"/>
        </w:rPr>
        <w:t xml:space="preserve"> </w:t>
      </w:r>
      <w:r w:rsidRPr="008C0E1F" w:rsidR="001D4680">
        <w:rPr>
          <w:rFonts w:cs="Times New Roman"/>
          <w:sz w:val="24"/>
          <w:szCs w:val="24"/>
        </w:rPr>
        <w:t>par</w:t>
      </w:r>
      <w:r w:rsidR="001D4680">
        <w:rPr>
          <w:rFonts w:cs="Times New Roman"/>
          <w:sz w:val="24"/>
          <w:szCs w:val="24"/>
        </w:rPr>
        <w:t xml:space="preserve"> 71 822 392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="001D4680">
        <w:rPr>
          <w:rFonts w:cs="Times New Roman"/>
          <w:sz w:val="24"/>
          <w:szCs w:val="24"/>
        </w:rPr>
        <w:t xml:space="preserve">, </w:t>
      </w:r>
      <w:r w:rsidRPr="009B5608" w:rsidR="001D4680">
        <w:rPr>
          <w:rFonts w:cs="Times New Roman"/>
          <w:sz w:val="24"/>
          <w:szCs w:val="24"/>
        </w:rPr>
        <w:t>no tiem ārvalstu finanšu palīdzības daļa</w:t>
      </w:r>
      <w:r w:rsidR="000A08D2">
        <w:rPr>
          <w:rFonts w:cs="Times New Roman"/>
          <w:sz w:val="24"/>
          <w:szCs w:val="24"/>
        </w:rPr>
        <w:t xml:space="preserve"> -</w:t>
      </w:r>
      <w:r w:rsidRPr="009B5608" w:rsidR="001D4680">
        <w:rPr>
          <w:rFonts w:cs="Times New Roman"/>
          <w:sz w:val="24"/>
          <w:szCs w:val="24"/>
        </w:rPr>
        <w:t xml:space="preserve"> </w:t>
      </w:r>
      <w:r w:rsidR="001D4680">
        <w:rPr>
          <w:rFonts w:cs="Times New Roman"/>
          <w:sz w:val="24"/>
          <w:szCs w:val="24"/>
        </w:rPr>
        <w:t>61 049 033</w:t>
      </w:r>
      <w:r w:rsidRPr="009B5608" w:rsidR="001D4680">
        <w:rPr>
          <w:rFonts w:cs="Times New Roman"/>
          <w:sz w:val="24"/>
          <w:szCs w:val="24"/>
        </w:rPr>
        <w:t xml:space="preserve">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="00826F2A">
        <w:rPr>
          <w:rFonts w:cs="Times New Roman"/>
          <w:sz w:val="24"/>
          <w:szCs w:val="24"/>
        </w:rPr>
        <w:t>.</w:t>
      </w:r>
      <w:r w:rsidRPr="00BE2B48">
        <w:rPr>
          <w:rFonts w:cs="Times New Roman"/>
          <w:sz w:val="24"/>
          <w:szCs w:val="24"/>
        </w:rPr>
        <w:t xml:space="preserve"> </w:t>
      </w:r>
      <w:r w:rsidR="008A7C89">
        <w:rPr>
          <w:rFonts w:cs="Times New Roman"/>
          <w:sz w:val="24"/>
          <w:szCs w:val="24"/>
        </w:rPr>
        <w:t xml:space="preserve">Latvijas un Igaunijas aktivitāšu īstenošanai paredzētais finansējuma apmērs nemainījās. </w:t>
      </w:r>
      <w:r w:rsidR="00826F2A">
        <w:rPr>
          <w:rFonts w:cs="Times New Roman"/>
          <w:sz w:val="24"/>
          <w:szCs w:val="24"/>
        </w:rPr>
        <w:t xml:space="preserve">CEF2 līguma ietvarā </w:t>
      </w:r>
      <w:r w:rsidRPr="00BE2B48" w:rsidR="00DE3D3E">
        <w:rPr>
          <w:rFonts w:cs="Times New Roman"/>
          <w:sz w:val="24"/>
          <w:szCs w:val="24"/>
        </w:rPr>
        <w:t>Latvija</w:t>
      </w:r>
      <w:r w:rsidR="00826F2A">
        <w:rPr>
          <w:rFonts w:cs="Times New Roman"/>
          <w:sz w:val="24"/>
          <w:szCs w:val="24"/>
        </w:rPr>
        <w:t xml:space="preserve">i </w:t>
      </w:r>
      <w:r w:rsidRPr="00BE2B48" w:rsidR="00DE3D3E">
        <w:rPr>
          <w:rFonts w:cs="Times New Roman"/>
          <w:sz w:val="24"/>
          <w:szCs w:val="24"/>
        </w:rPr>
        <w:t xml:space="preserve">tika paredzēts 579 720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Pr="00BE2B48" w:rsidR="00DE3D3E">
        <w:rPr>
          <w:rFonts w:cs="Times New Roman"/>
          <w:sz w:val="24"/>
          <w:szCs w:val="24"/>
        </w:rPr>
        <w:t xml:space="preserve"> finansējums,</w:t>
      </w:r>
      <w:r w:rsidRPr="009B5608" w:rsidR="00DE3D3E">
        <w:rPr>
          <w:rFonts w:cs="Times New Roman"/>
          <w:sz w:val="24"/>
          <w:szCs w:val="24"/>
        </w:rPr>
        <w:t xml:space="preserve"> </w:t>
      </w:r>
      <w:r w:rsidR="009648CA">
        <w:rPr>
          <w:rFonts w:cs="Times New Roman"/>
          <w:sz w:val="24"/>
          <w:szCs w:val="24"/>
        </w:rPr>
        <w:t>kur</w:t>
      </w:r>
      <w:r w:rsidRPr="009B5608" w:rsidR="00DE3D3E">
        <w:rPr>
          <w:rFonts w:cs="Times New Roman"/>
          <w:sz w:val="24"/>
          <w:szCs w:val="24"/>
        </w:rPr>
        <w:t xml:space="preserve"> ārvalstu finanšu palīdzības daļa ir </w:t>
      </w:r>
      <w:r w:rsidR="00DE3D3E">
        <w:rPr>
          <w:rFonts w:cs="Times New Roman"/>
          <w:sz w:val="24"/>
          <w:szCs w:val="24"/>
        </w:rPr>
        <w:t>492 762</w:t>
      </w:r>
      <w:r w:rsidRPr="009B5608" w:rsidR="00DE3D3E">
        <w:rPr>
          <w:rFonts w:cs="Times New Roman"/>
          <w:sz w:val="24"/>
          <w:szCs w:val="24"/>
        </w:rPr>
        <w:t xml:space="preserve">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="00DE3D3E">
        <w:rPr>
          <w:rFonts w:cs="Times New Roman"/>
          <w:sz w:val="24"/>
          <w:szCs w:val="24"/>
        </w:rPr>
        <w:t xml:space="preserve"> un </w:t>
      </w:r>
      <w:r w:rsidRPr="009B5608" w:rsidR="00DE3D3E">
        <w:rPr>
          <w:rFonts w:cs="Times New Roman"/>
          <w:sz w:val="24"/>
          <w:szCs w:val="24"/>
        </w:rPr>
        <w:t>valsts budžeta līdzfinansējum</w:t>
      </w:r>
      <w:r w:rsidR="008055A9">
        <w:rPr>
          <w:rFonts w:cs="Times New Roman"/>
          <w:sz w:val="24"/>
          <w:szCs w:val="24"/>
        </w:rPr>
        <w:t xml:space="preserve">s - 86 958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="00A4413E">
        <w:rPr>
          <w:rFonts w:cs="Times New Roman"/>
          <w:sz w:val="24"/>
          <w:szCs w:val="24"/>
        </w:rPr>
        <w:t>, lai īstenotu sekojošas aktivitātes</w:t>
      </w:r>
      <w:r w:rsidR="00B6105E">
        <w:rPr>
          <w:rFonts w:cs="Times New Roman"/>
          <w:sz w:val="24"/>
          <w:szCs w:val="24"/>
        </w:rPr>
        <w:t xml:space="preserve">: </w:t>
      </w:r>
    </w:p>
    <w:p w:rsidRPr="00B6105E" w:rsidR="00B6105E" w:rsidP="00B6105E" w:rsidRDefault="00B6105E" w14:paraId="1475C152" w14:textId="17439DFA">
      <w:pPr>
        <w:pStyle w:val="ListParagraph"/>
        <w:numPr>
          <w:ilvl w:val="0"/>
          <w:numId w:val="17"/>
        </w:numPr>
        <w:spacing w:after="120"/>
        <w:rPr>
          <w:rFonts w:cs="Times New Roman"/>
          <w:szCs w:val="24"/>
        </w:rPr>
      </w:pPr>
      <w:r w:rsidRPr="00B6105E">
        <w:rPr>
          <w:rFonts w:cs="Times New Roman"/>
          <w:szCs w:val="24"/>
        </w:rPr>
        <w:t>Kultūr</w:t>
      </w:r>
      <w:r w:rsidR="00730396">
        <w:rPr>
          <w:rFonts w:cs="Times New Roman"/>
          <w:szCs w:val="24"/>
        </w:rPr>
        <w:t xml:space="preserve">vēsturiskā </w:t>
      </w:r>
      <w:r w:rsidRPr="00B6105E">
        <w:rPr>
          <w:rFonts w:cs="Times New Roman"/>
          <w:szCs w:val="24"/>
        </w:rPr>
        <w:t>mantojuma (tostarp arheoloģiskā mantojuma) izpēte</w:t>
      </w:r>
      <w:r>
        <w:rPr>
          <w:rFonts w:cs="Times New Roman"/>
          <w:szCs w:val="24"/>
        </w:rPr>
        <w:t>;</w:t>
      </w:r>
    </w:p>
    <w:p w:rsidRPr="00B6105E" w:rsidR="00B6105E" w:rsidP="00B6105E" w:rsidRDefault="00B6105E" w14:paraId="2BAF8614" w14:textId="7C89A588">
      <w:pPr>
        <w:pStyle w:val="ListParagraph"/>
        <w:numPr>
          <w:ilvl w:val="0"/>
          <w:numId w:val="17"/>
        </w:numPr>
        <w:spacing w:after="120"/>
        <w:rPr>
          <w:rFonts w:cs="Times New Roman"/>
          <w:szCs w:val="24"/>
        </w:rPr>
      </w:pPr>
      <w:r w:rsidRPr="00B6105E">
        <w:rPr>
          <w:rFonts w:cs="Times New Roman"/>
          <w:szCs w:val="24"/>
        </w:rPr>
        <w:t>Rail Baltica infrastruktūras atbilstības novērtēšana</w:t>
      </w:r>
      <w:r w:rsidR="007A166E">
        <w:rPr>
          <w:rFonts w:cs="Times New Roman"/>
          <w:szCs w:val="24"/>
        </w:rPr>
        <w:t xml:space="preserve"> </w:t>
      </w:r>
      <w:r w:rsidRPr="00B6105E">
        <w:rPr>
          <w:rFonts w:cs="Times New Roman"/>
          <w:szCs w:val="24"/>
        </w:rPr>
        <w:t>Starptautiskās lidostas Rīga</w:t>
      </w:r>
      <w:r w:rsidR="007A166E">
        <w:rPr>
          <w:rFonts w:cs="Times New Roman"/>
          <w:szCs w:val="24"/>
        </w:rPr>
        <w:t xml:space="preserve"> sniegtajiem </w:t>
      </w:r>
      <w:r w:rsidRPr="00B6105E">
        <w:rPr>
          <w:rFonts w:cs="Times New Roman"/>
          <w:szCs w:val="24"/>
        </w:rPr>
        <w:t>aeronovigācijas pakalpojum</w:t>
      </w:r>
      <w:r w:rsidR="007A166E">
        <w:rPr>
          <w:rFonts w:cs="Times New Roman"/>
          <w:szCs w:val="24"/>
        </w:rPr>
        <w:t>iem</w:t>
      </w:r>
      <w:r>
        <w:rPr>
          <w:rFonts w:cs="Times New Roman"/>
          <w:szCs w:val="24"/>
        </w:rPr>
        <w:t>;</w:t>
      </w:r>
    </w:p>
    <w:p w:rsidR="005A4A26" w:rsidP="00BE2B48" w:rsidRDefault="00B6105E" w14:paraId="2693011D" w14:textId="1C8B2B17">
      <w:pPr>
        <w:pStyle w:val="ListParagraph"/>
        <w:numPr>
          <w:ilvl w:val="0"/>
          <w:numId w:val="17"/>
        </w:numPr>
        <w:spacing w:after="120"/>
        <w:rPr>
          <w:rFonts w:cs="Times New Roman"/>
          <w:szCs w:val="24"/>
        </w:rPr>
      </w:pPr>
      <w:r w:rsidRPr="00B6105E">
        <w:rPr>
          <w:rFonts w:cs="Times New Roman"/>
          <w:szCs w:val="24"/>
        </w:rPr>
        <w:t>Projekta īstenošanas atbalsts pasākumi</w:t>
      </w:r>
      <w:r>
        <w:rPr>
          <w:rFonts w:cs="Times New Roman"/>
          <w:szCs w:val="24"/>
        </w:rPr>
        <w:t>.</w:t>
      </w:r>
    </w:p>
    <w:p w:rsidR="001E4655" w:rsidP="008267C2" w:rsidRDefault="001E4655" w14:paraId="3FB8F314" w14:textId="463BF41A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Īstenojot </w:t>
      </w:r>
      <w:r w:rsidR="009648CA">
        <w:rPr>
          <w:rFonts w:cs="Times New Roman"/>
          <w:sz w:val="24"/>
          <w:szCs w:val="24"/>
        </w:rPr>
        <w:t xml:space="preserve">minētās </w:t>
      </w:r>
      <w:r>
        <w:rPr>
          <w:rFonts w:cs="Times New Roman"/>
          <w:sz w:val="24"/>
          <w:szCs w:val="24"/>
        </w:rPr>
        <w:t>aktivitātes</w:t>
      </w:r>
      <w:r w:rsidR="0021676D">
        <w:rPr>
          <w:rFonts w:cs="Times New Roman"/>
          <w:sz w:val="24"/>
          <w:szCs w:val="24"/>
        </w:rPr>
        <w:t xml:space="preserve"> atbilstoši CEF2 līgumam</w:t>
      </w:r>
      <w:r w:rsidR="009648CA">
        <w:rPr>
          <w:rFonts w:cs="Times New Roman"/>
          <w:sz w:val="24"/>
          <w:szCs w:val="24"/>
        </w:rPr>
        <w:t>,</w:t>
      </w:r>
      <w:r w:rsidR="0021676D">
        <w:rPr>
          <w:rFonts w:cs="Times New Roman"/>
          <w:sz w:val="24"/>
          <w:szCs w:val="24"/>
        </w:rPr>
        <w:t xml:space="preserve"> līdz </w:t>
      </w:r>
      <w:r w:rsidR="00B84A71">
        <w:rPr>
          <w:rFonts w:cs="Times New Roman"/>
          <w:sz w:val="24"/>
          <w:szCs w:val="24"/>
        </w:rPr>
        <w:t xml:space="preserve">šī </w:t>
      </w:r>
      <w:r w:rsidR="0021676D">
        <w:rPr>
          <w:rFonts w:cs="Times New Roman"/>
          <w:sz w:val="24"/>
          <w:szCs w:val="24"/>
        </w:rPr>
        <w:t>gada</w:t>
      </w:r>
      <w:r w:rsidR="00B84A71">
        <w:rPr>
          <w:rFonts w:cs="Times New Roman"/>
          <w:sz w:val="24"/>
          <w:szCs w:val="24"/>
        </w:rPr>
        <w:t xml:space="preserve"> beig</w:t>
      </w:r>
      <w:r w:rsidR="009648CA">
        <w:rPr>
          <w:rFonts w:cs="Times New Roman"/>
          <w:sz w:val="24"/>
          <w:szCs w:val="24"/>
        </w:rPr>
        <w:t>as paredzama</w:t>
      </w:r>
      <w:r>
        <w:rPr>
          <w:rFonts w:cs="Times New Roman"/>
          <w:sz w:val="24"/>
          <w:szCs w:val="24"/>
        </w:rPr>
        <w:t xml:space="preserve"> finanšu resursu ekonomija 94 722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>
        <w:rPr>
          <w:rFonts w:cs="Times New Roman"/>
          <w:sz w:val="24"/>
          <w:szCs w:val="24"/>
        </w:rPr>
        <w:t xml:space="preserve"> apmērā, no kuriem </w:t>
      </w:r>
      <w:r w:rsidR="00F87FC9">
        <w:rPr>
          <w:rFonts w:cs="Times New Roman"/>
          <w:sz w:val="24"/>
          <w:szCs w:val="24"/>
        </w:rPr>
        <w:t>34 213</w:t>
      </w:r>
      <w:r>
        <w:rPr>
          <w:rFonts w:cs="Times New Roman"/>
          <w:sz w:val="24"/>
          <w:szCs w:val="24"/>
        </w:rPr>
        <w:t xml:space="preserve">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>
        <w:rPr>
          <w:rFonts w:cs="Times New Roman"/>
          <w:sz w:val="24"/>
          <w:szCs w:val="24"/>
        </w:rPr>
        <w:t xml:space="preserve"> ietaupī</w:t>
      </w:r>
      <w:r w:rsidR="009648CA">
        <w:rPr>
          <w:rFonts w:cs="Times New Roman"/>
          <w:sz w:val="24"/>
          <w:szCs w:val="24"/>
        </w:rPr>
        <w:t>jums</w:t>
      </w:r>
      <w:r>
        <w:rPr>
          <w:rFonts w:cs="Times New Roman"/>
          <w:sz w:val="24"/>
          <w:szCs w:val="24"/>
        </w:rPr>
        <w:t xml:space="preserve"> </w:t>
      </w:r>
      <w:r w:rsidR="009648CA">
        <w:rPr>
          <w:rFonts w:cs="Times New Roman"/>
          <w:sz w:val="24"/>
          <w:szCs w:val="24"/>
        </w:rPr>
        <w:t xml:space="preserve">rodas, </w:t>
      </w:r>
      <w:r>
        <w:rPr>
          <w:rFonts w:cs="Times New Roman"/>
          <w:sz w:val="24"/>
          <w:szCs w:val="24"/>
        </w:rPr>
        <w:t>noslēdzot līgumus par zemāku cenu nekā sākotnēji plānots</w:t>
      </w:r>
      <w:r w:rsidR="00A4413E">
        <w:rPr>
          <w:rFonts w:cs="Times New Roman"/>
          <w:sz w:val="24"/>
          <w:szCs w:val="24"/>
        </w:rPr>
        <w:t xml:space="preserve">. Papildus, </w:t>
      </w:r>
      <w:r w:rsidR="008B4F04">
        <w:rPr>
          <w:rFonts w:cs="Times New Roman"/>
          <w:sz w:val="24"/>
          <w:szCs w:val="24"/>
        </w:rPr>
        <w:t xml:space="preserve">pamatojoties uz to, ka </w:t>
      </w:r>
      <w:r w:rsidR="009F57A6">
        <w:rPr>
          <w:rFonts w:cs="Times New Roman"/>
          <w:sz w:val="24"/>
          <w:szCs w:val="24"/>
        </w:rPr>
        <w:t xml:space="preserve">netika attiecināts </w:t>
      </w:r>
      <w:r w:rsidR="00FE39C3">
        <w:rPr>
          <w:rFonts w:cs="Times New Roman"/>
          <w:sz w:val="24"/>
          <w:szCs w:val="24"/>
        </w:rPr>
        <w:t>pievienotās vērtības nodoklis (turpmāk - PVN</w:t>
      </w:r>
      <w:r w:rsidRPr="005A4A26" w:rsidR="00FE39C3">
        <w:rPr>
          <w:rFonts w:cs="Times New Roman"/>
          <w:sz w:val="24"/>
          <w:szCs w:val="24"/>
        </w:rPr>
        <w:t>)</w:t>
      </w:r>
      <w:r w:rsidR="00A4413E">
        <w:rPr>
          <w:rFonts w:cs="Times New Roman"/>
          <w:sz w:val="24"/>
          <w:szCs w:val="24"/>
        </w:rPr>
        <w:t xml:space="preserve">, </w:t>
      </w:r>
      <w:r w:rsidR="008B4F04">
        <w:rPr>
          <w:rFonts w:cs="Times New Roman"/>
          <w:sz w:val="24"/>
          <w:szCs w:val="24"/>
        </w:rPr>
        <w:t xml:space="preserve">ir </w:t>
      </w:r>
      <w:r w:rsidR="00A4413E">
        <w:rPr>
          <w:rFonts w:cs="Times New Roman"/>
          <w:sz w:val="24"/>
          <w:szCs w:val="24"/>
        </w:rPr>
        <w:t xml:space="preserve">izveidojies </w:t>
      </w:r>
      <w:r w:rsidR="00F87FC9">
        <w:rPr>
          <w:rFonts w:cs="Times New Roman"/>
          <w:sz w:val="24"/>
          <w:szCs w:val="24"/>
        </w:rPr>
        <w:t>6</w:t>
      </w:r>
      <w:r w:rsidR="008B4F04">
        <w:rPr>
          <w:rFonts w:cs="Times New Roman"/>
          <w:sz w:val="24"/>
          <w:szCs w:val="24"/>
        </w:rPr>
        <w:t>0 </w:t>
      </w:r>
      <w:r w:rsidR="00F87FC9">
        <w:rPr>
          <w:rFonts w:cs="Times New Roman"/>
          <w:sz w:val="24"/>
          <w:szCs w:val="24"/>
        </w:rPr>
        <w:t xml:space="preserve">509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="00FE39C3">
        <w:rPr>
          <w:rFonts w:cs="Times New Roman"/>
          <w:sz w:val="24"/>
          <w:szCs w:val="24"/>
        </w:rPr>
        <w:t xml:space="preserve"> </w:t>
      </w:r>
      <w:r w:rsidR="00A4413E">
        <w:rPr>
          <w:rFonts w:cs="Times New Roman"/>
          <w:sz w:val="24"/>
          <w:szCs w:val="24"/>
        </w:rPr>
        <w:t>atlikums</w:t>
      </w:r>
      <w:r w:rsidR="00FE39C3">
        <w:rPr>
          <w:rFonts w:cs="Times New Roman"/>
          <w:sz w:val="24"/>
          <w:szCs w:val="24"/>
        </w:rPr>
        <w:t>.</w:t>
      </w:r>
    </w:p>
    <w:p w:rsidR="003D6185" w:rsidP="008C0E1F" w:rsidRDefault="00FE39C3" w14:paraId="2AC36098" w14:textId="0B137FEE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Pabeigto aktivitāšu īstenošanai CEF2 līguma ietvarā no Latvijas valsts budžeta tika finansēts PVN </w:t>
      </w:r>
      <w:r w:rsidRPr="00763A9E">
        <w:rPr>
          <w:rFonts w:cs="Times New Roman"/>
          <w:sz w:val="24"/>
          <w:szCs w:val="24"/>
        </w:rPr>
        <w:t xml:space="preserve">81 361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Pr="00763A9E">
        <w:rPr>
          <w:rFonts w:cs="Times New Roman"/>
          <w:sz w:val="24"/>
          <w:szCs w:val="24"/>
        </w:rPr>
        <w:t xml:space="preserve"> ap</w:t>
      </w:r>
      <w:r>
        <w:rPr>
          <w:rFonts w:cs="Times New Roman"/>
          <w:sz w:val="24"/>
          <w:szCs w:val="24"/>
        </w:rPr>
        <w:t xml:space="preserve">mērā. Turpmākai </w:t>
      </w:r>
      <w:r w:rsidRPr="00147B8C">
        <w:rPr>
          <w:rFonts w:cs="Times New Roman"/>
          <w:sz w:val="24"/>
          <w:szCs w:val="24"/>
        </w:rPr>
        <w:t xml:space="preserve">Latvijas aktivitāšu </w:t>
      </w:r>
      <w:r w:rsidRPr="000B4DF6">
        <w:rPr>
          <w:rFonts w:cs="Times New Roman"/>
          <w:sz w:val="24"/>
          <w:szCs w:val="24"/>
        </w:rPr>
        <w:t>īstenošanai CEF2 līgum</w:t>
      </w:r>
      <w:r>
        <w:rPr>
          <w:rFonts w:cs="Times New Roman"/>
          <w:sz w:val="24"/>
          <w:szCs w:val="24"/>
        </w:rPr>
        <w:t>a</w:t>
      </w:r>
      <w:r w:rsidRPr="000B4DF6">
        <w:rPr>
          <w:rFonts w:cs="Times New Roman"/>
          <w:sz w:val="24"/>
          <w:szCs w:val="24"/>
        </w:rPr>
        <w:t xml:space="preserve"> ietvarā provizoriski</w:t>
      </w:r>
      <w:r>
        <w:rPr>
          <w:rFonts w:cs="Times New Roman"/>
          <w:sz w:val="24"/>
          <w:szCs w:val="24"/>
        </w:rPr>
        <w:t xml:space="preserve"> </w:t>
      </w:r>
      <w:r w:rsidRPr="000B4DF6">
        <w:rPr>
          <w:rFonts w:cs="Times New Roman"/>
          <w:sz w:val="24"/>
          <w:szCs w:val="24"/>
        </w:rPr>
        <w:t>būs nepieciešams</w:t>
      </w:r>
      <w:r w:rsidR="00D4630D">
        <w:rPr>
          <w:rFonts w:cs="Times New Roman"/>
          <w:sz w:val="24"/>
          <w:szCs w:val="24"/>
        </w:rPr>
        <w:t xml:space="preserve"> </w:t>
      </w:r>
      <w:r w:rsidRPr="00A44234">
        <w:rPr>
          <w:rFonts w:eastAsia="Times New Roman" w:cs="Times New Roman"/>
          <w:color w:val="000000"/>
          <w:sz w:val="22"/>
        </w:rPr>
        <w:t>19</w:t>
      </w:r>
      <w:r w:rsidRPr="00A44234" w:rsidR="00D4630D">
        <w:rPr>
          <w:rFonts w:eastAsia="Times New Roman" w:cs="Times New Roman"/>
          <w:color w:val="000000"/>
          <w:sz w:val="22"/>
        </w:rPr>
        <w:t> </w:t>
      </w:r>
      <w:r w:rsidRPr="00A44234">
        <w:rPr>
          <w:rFonts w:eastAsia="Times New Roman" w:cs="Times New Roman"/>
          <w:color w:val="000000"/>
          <w:sz w:val="22"/>
        </w:rPr>
        <w:t>891</w:t>
      </w:r>
      <w:r w:rsidRPr="00A44234" w:rsidR="00D4630D">
        <w:rPr>
          <w:rFonts w:eastAsia="Times New Roman" w:cs="Times New Roman"/>
          <w:color w:val="000000"/>
          <w:sz w:val="22"/>
        </w:rPr>
        <w:t xml:space="preserve">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="00D4630D">
        <w:rPr>
          <w:rFonts w:cs="Times New Roman"/>
          <w:sz w:val="24"/>
          <w:szCs w:val="24"/>
        </w:rPr>
        <w:t xml:space="preserve"> </w:t>
      </w:r>
      <w:r w:rsidRPr="00BE2B48">
        <w:rPr>
          <w:rFonts w:cs="Times New Roman"/>
          <w:sz w:val="24"/>
          <w:szCs w:val="24"/>
        </w:rPr>
        <w:t>PVN finansējums.</w:t>
      </w:r>
    </w:p>
    <w:p w:rsidRPr="00A038E1" w:rsidR="005A1B8C" w:rsidP="00A038E1" w:rsidRDefault="005A1B8C" w14:paraId="061F86B6" w14:textId="185CC794">
      <w:pPr>
        <w:spacing w:after="100" w:afterAutospacing="1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038E1">
        <w:rPr>
          <w:rFonts w:cs="Times New Roman"/>
          <w:sz w:val="24"/>
          <w:szCs w:val="24"/>
        </w:rPr>
        <w:t xml:space="preserve">Latvijas aktivitātēm nepieciešamo finansējumu </w:t>
      </w:r>
      <w:r w:rsidRPr="00A038E1" w:rsidR="00A038E1">
        <w:rPr>
          <w:rFonts w:cs="Times New Roman"/>
          <w:sz w:val="24"/>
          <w:szCs w:val="24"/>
        </w:rPr>
        <w:t>pievienotās vērtības nodokļa maksājum</w:t>
      </w:r>
      <w:r w:rsidR="00866B65">
        <w:rPr>
          <w:rFonts w:cs="Times New Roman"/>
          <w:sz w:val="24"/>
          <w:szCs w:val="24"/>
        </w:rPr>
        <w:t>u</w:t>
      </w:r>
      <w:r w:rsidRPr="00A038E1" w:rsidR="00A038E1">
        <w:rPr>
          <w:rFonts w:cs="Times New Roman"/>
          <w:sz w:val="24"/>
          <w:szCs w:val="24"/>
        </w:rPr>
        <w:t xml:space="preserve"> segšanai </w:t>
      </w:r>
      <w:r w:rsidRPr="00A038E1">
        <w:rPr>
          <w:rFonts w:cs="Times New Roman"/>
          <w:sz w:val="24"/>
          <w:szCs w:val="24"/>
        </w:rPr>
        <w:t xml:space="preserve">Satiksmes ministrija saskaņā ar Ministru kabineta </w:t>
      </w:r>
      <w:r w:rsidRPr="00A038E1" w:rsidR="0049690D">
        <w:rPr>
          <w:rFonts w:cs="Times New Roman"/>
          <w:sz w:val="24"/>
          <w:szCs w:val="24"/>
        </w:rPr>
        <w:t>2019.gada 10.</w:t>
      </w:r>
      <w:r w:rsidRPr="00A038E1" w:rsidR="00A038E1">
        <w:rPr>
          <w:rFonts w:cs="Times New Roman"/>
          <w:sz w:val="24"/>
          <w:szCs w:val="24"/>
        </w:rPr>
        <w:t>d</w:t>
      </w:r>
      <w:r w:rsidRPr="00A038E1" w:rsidR="0049690D">
        <w:rPr>
          <w:rFonts w:cs="Times New Roman"/>
          <w:sz w:val="24"/>
          <w:szCs w:val="24"/>
        </w:rPr>
        <w:t>ecembr</w:t>
      </w:r>
      <w:r w:rsidRPr="00A038E1" w:rsidR="00A038E1">
        <w:rPr>
          <w:rFonts w:cs="Times New Roman"/>
          <w:sz w:val="24"/>
          <w:szCs w:val="24"/>
        </w:rPr>
        <w:t>a</w:t>
      </w:r>
      <w:r w:rsidRPr="00A038E1" w:rsidR="0049690D">
        <w:rPr>
          <w:rFonts w:cs="Times New Roman"/>
          <w:sz w:val="24"/>
          <w:szCs w:val="24"/>
        </w:rPr>
        <w:t xml:space="preserve"> </w:t>
      </w:r>
      <w:r w:rsidRPr="00A038E1" w:rsidR="00A038E1">
        <w:rPr>
          <w:rFonts w:cs="Times New Roman"/>
          <w:sz w:val="24"/>
          <w:szCs w:val="24"/>
        </w:rPr>
        <w:t>lēmumu</w:t>
      </w:r>
      <w:r w:rsidRPr="00A038E1" w:rsidR="0049690D">
        <w:rPr>
          <w:rFonts w:cs="Times New Roman"/>
          <w:sz w:val="24"/>
          <w:szCs w:val="24"/>
        </w:rPr>
        <w:t xml:space="preserve"> (</w:t>
      </w:r>
      <w:r w:rsidRPr="00A038E1" w:rsidR="00A038E1">
        <w:rPr>
          <w:rFonts w:cs="Times New Roman"/>
          <w:sz w:val="24"/>
          <w:szCs w:val="24"/>
        </w:rPr>
        <w:t>prot.</w:t>
      </w:r>
      <w:r w:rsidRPr="00A038E1" w:rsidR="0049690D">
        <w:rPr>
          <w:rFonts w:cs="Times New Roman"/>
          <w:sz w:val="24"/>
          <w:szCs w:val="24"/>
        </w:rPr>
        <w:t xml:space="preserve"> Nr.57</w:t>
      </w:r>
      <w:r w:rsidRPr="00A038E1" w:rsidR="00A038E1">
        <w:rPr>
          <w:rFonts w:cs="Times New Roman"/>
          <w:sz w:val="24"/>
          <w:szCs w:val="24"/>
        </w:rPr>
        <w:t>.</w:t>
      </w:r>
      <w:r w:rsidRPr="00A038E1" w:rsidR="0049690D">
        <w:rPr>
          <w:rFonts w:cs="Times New Roman"/>
          <w:sz w:val="24"/>
          <w:szCs w:val="24"/>
        </w:rPr>
        <w:t xml:space="preserve"> 95</w:t>
      </w:r>
      <w:r w:rsidRPr="00A038E1" w:rsidR="00A038E1">
        <w:rPr>
          <w:rFonts w:cs="Times New Roman"/>
          <w:sz w:val="24"/>
          <w:szCs w:val="24"/>
        </w:rPr>
        <w:t>.</w:t>
      </w:r>
      <w:r w:rsidRPr="00A038E1" w:rsidR="0049690D">
        <w:rPr>
          <w:rFonts w:cs="Times New Roman"/>
          <w:sz w:val="24"/>
          <w:szCs w:val="24"/>
        </w:rPr>
        <w:t xml:space="preserve"> </w:t>
      </w:r>
      <w:r w:rsidRPr="00A038E1" w:rsidR="00A038E1">
        <w:rPr>
          <w:rFonts w:cs="Times New Roman"/>
          <w:sz w:val="24"/>
          <w:szCs w:val="24"/>
        </w:rPr>
        <w:t>§</w:t>
      </w:r>
      <w:r w:rsidRPr="00A038E1" w:rsidR="0049690D">
        <w:rPr>
          <w:rFonts w:cs="Times New Roman"/>
          <w:sz w:val="24"/>
          <w:szCs w:val="24"/>
        </w:rPr>
        <w:t xml:space="preserve">.) </w:t>
      </w:r>
      <w:r w:rsidRPr="00A038E1" w:rsidR="00A038E1">
        <w:rPr>
          <w:rFonts w:cs="Times New Roman"/>
          <w:sz w:val="24"/>
          <w:szCs w:val="24"/>
        </w:rPr>
        <w:t xml:space="preserve">pieprasīs no </w:t>
      </w:r>
      <w:r w:rsidRPr="00A038E1">
        <w:rPr>
          <w:rFonts w:cs="Times New Roman"/>
          <w:sz w:val="24"/>
          <w:szCs w:val="24"/>
        </w:rPr>
        <w:t>74.resora “Gadskārtējā valsts budžeta izpildes procesā pārdalāmais finansējums” budžeta programmas 80.00.00 “Nesadalītais finansējums ES politiku instrumentu un pārējās ārvalstu finanšu palīdzības līdzfinansēto projektu un pasākumu īstenošanai”</w:t>
      </w:r>
      <w:r w:rsidR="00890A22">
        <w:rPr>
          <w:rFonts w:cs="Times New Roman"/>
          <w:sz w:val="24"/>
          <w:szCs w:val="24"/>
        </w:rPr>
        <w:t xml:space="preserve">. </w:t>
      </w:r>
    </w:p>
    <w:p w:rsidRPr="0076676A" w:rsidR="0076676A" w:rsidP="003D6185" w:rsidRDefault="0076676A" w14:paraId="45D5F035" w14:textId="6C2CD07C">
      <w:pPr>
        <w:tabs>
          <w:tab w:val="left" w:pos="0"/>
        </w:tabs>
        <w:spacing w:after="120"/>
        <w:jc w:val="right"/>
        <w:rPr>
          <w:rFonts w:cs="Times New Roman"/>
          <w:sz w:val="24"/>
          <w:szCs w:val="24"/>
        </w:rPr>
      </w:pPr>
      <w:r w:rsidRPr="0076676A">
        <w:rPr>
          <w:rFonts w:cs="Times New Roman"/>
          <w:sz w:val="24"/>
          <w:szCs w:val="24"/>
        </w:rPr>
        <w:t xml:space="preserve">1.tabula. </w:t>
      </w:r>
      <w:r w:rsidR="008E2BAB">
        <w:rPr>
          <w:rFonts w:cs="Times New Roman"/>
          <w:sz w:val="24"/>
          <w:szCs w:val="24"/>
        </w:rPr>
        <w:t>Pārskats par pieejamiem un izlietotiem finanšu resursiem CEF2 līguma ietvaros</w:t>
      </w:r>
      <w:r w:rsidRPr="0076676A">
        <w:rPr>
          <w:rFonts w:cs="Times New Roman"/>
          <w:sz w:val="24"/>
          <w:szCs w:val="24"/>
        </w:rPr>
        <w:t xml:space="preserve">,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Pr="000872FF">
        <w:rPr>
          <w:rFonts w:cs="Times New Roman"/>
          <w:i/>
          <w:iCs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7249" w:type="dxa"/>
        <w:tblLayout w:type="fixed"/>
        <w:tblLook w:val="04A0" w:firstRow="1" w:lastRow="0" w:firstColumn="1" w:lastColumn="0" w:noHBand="0" w:noVBand="1"/>
      </w:tblPr>
      <w:tblGrid>
        <w:gridCol w:w="4191"/>
        <w:gridCol w:w="1529"/>
        <w:gridCol w:w="1529"/>
      </w:tblGrid>
      <w:tr w:rsidRPr="001A629D" w:rsidR="00CD4957" w:rsidTr="00BE2B48" w14:paraId="6738B67A" w14:textId="08C1DBA0">
        <w:trPr>
          <w:trHeight w:val="363"/>
        </w:trPr>
        <w:tc>
          <w:tcPr>
            <w:tcW w:w="4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E2B48" w:rsidR="00CD4957" w:rsidP="0076676A" w:rsidRDefault="00CD4957" w14:paraId="3B6CF087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E2B48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77B57" w:rsidR="00CD4957" w:rsidP="0076676A" w:rsidRDefault="00CD4957" w14:paraId="5D544BA0" w14:textId="40B24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7B5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Bez PVN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77B57" w:rsidR="00CD4957" w:rsidP="0076676A" w:rsidRDefault="00CD4957" w14:paraId="05E6182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7B5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PVN</w:t>
            </w:r>
          </w:p>
        </w:tc>
      </w:tr>
      <w:tr w:rsidRPr="001A629D" w:rsidR="00CD4957" w:rsidTr="00BE2B48" w14:paraId="67BAF037" w14:textId="4AFD8927">
        <w:trPr>
          <w:trHeight w:val="363"/>
        </w:trPr>
        <w:tc>
          <w:tcPr>
            <w:tcW w:w="4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2A79" w:rsidR="00CD4957" w:rsidP="0076676A" w:rsidRDefault="00CD4957" w14:paraId="05BD5644" w14:textId="65F5BD7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22A79">
              <w:rPr>
                <w:rFonts w:eastAsia="Times New Roman" w:cs="Times New Roman"/>
                <w:color w:val="000000"/>
                <w:sz w:val="22"/>
              </w:rPr>
              <w:t xml:space="preserve">Pieejamais finanšu resursu apjoms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2A79" w:rsidR="00CD4957" w:rsidP="0076676A" w:rsidRDefault="00CD4957" w14:paraId="4BA3306A" w14:textId="371B1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22A7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579 720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2A79" w:rsidR="00CD4957" w:rsidP="0076676A" w:rsidRDefault="00CD4957" w14:paraId="4E8537CF" w14:textId="24A7D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22A7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101 253</w:t>
            </w:r>
          </w:p>
        </w:tc>
      </w:tr>
      <w:tr w:rsidRPr="001A629D" w:rsidR="00CD4957" w:rsidTr="00BE2B48" w14:paraId="5DD35C15" w14:textId="0092B5B5">
        <w:trPr>
          <w:trHeight w:val="363"/>
        </w:trPr>
        <w:tc>
          <w:tcPr>
            <w:tcW w:w="4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2A79" w:rsidR="00CD4957" w:rsidP="0076676A" w:rsidRDefault="00CD4957" w14:paraId="099E5D07" w14:textId="15FFFE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22A79">
              <w:rPr>
                <w:rFonts w:eastAsia="Times New Roman" w:cs="Times New Roman"/>
                <w:color w:val="000000"/>
                <w:sz w:val="22"/>
              </w:rPr>
              <w:t xml:space="preserve">Faktiski </w:t>
            </w:r>
            <w:r w:rsidRPr="00722A79" w:rsidR="00C27068">
              <w:rPr>
                <w:rFonts w:eastAsia="Times New Roman" w:cs="Times New Roman"/>
                <w:color w:val="000000"/>
                <w:sz w:val="22"/>
              </w:rPr>
              <w:t>apgūtais</w:t>
            </w:r>
            <w:r w:rsidRPr="00722A79">
              <w:rPr>
                <w:rFonts w:eastAsia="Times New Roman" w:cs="Times New Roman"/>
                <w:color w:val="000000"/>
                <w:sz w:val="22"/>
              </w:rPr>
              <w:t xml:space="preserve"> finanšu resursu apjoms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2A79" w:rsidR="00CD4957" w:rsidP="0076676A" w:rsidRDefault="00CD4957" w14:paraId="1B63905D" w14:textId="508D0D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22A7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484 998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2A79" w:rsidR="00CD4957" w:rsidP="0076676A" w:rsidRDefault="00CD4957" w14:paraId="55A609D0" w14:textId="41B8D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22A7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81 361</w:t>
            </w:r>
          </w:p>
        </w:tc>
      </w:tr>
      <w:tr w:rsidRPr="001A629D" w:rsidR="00CD4957" w:rsidTr="00BE2B48" w14:paraId="016A08E0" w14:textId="31AA5659">
        <w:trPr>
          <w:trHeight w:val="363"/>
        </w:trPr>
        <w:tc>
          <w:tcPr>
            <w:tcW w:w="4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2A79" w:rsidR="00CD4957" w:rsidP="0076676A" w:rsidRDefault="00CD4957" w14:paraId="10808492" w14:textId="5DC934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22A79">
              <w:rPr>
                <w:rFonts w:eastAsia="Times New Roman" w:cs="Times New Roman"/>
                <w:color w:val="000000"/>
                <w:sz w:val="22"/>
              </w:rPr>
              <w:t xml:space="preserve">Finanšu resursu ekonomija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2A79" w:rsidR="00CD4957" w:rsidP="0076676A" w:rsidRDefault="00CD4957" w14:paraId="2D6AA0F1" w14:textId="25B844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22A7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94 722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2A79" w:rsidR="00CD4957" w:rsidP="0076676A" w:rsidRDefault="00CD4957" w14:paraId="6EAD1776" w14:textId="1321F9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22A7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19 891</w:t>
            </w:r>
          </w:p>
        </w:tc>
      </w:tr>
    </w:tbl>
    <w:p w:rsidR="00246E43" w:rsidP="00DF0B93" w:rsidRDefault="00246E43" w14:paraId="0FF1DC7D" w14:textId="49627509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CEF2 līguma otrie grozījumi</w:t>
      </w:r>
    </w:p>
    <w:p w:rsidR="001D4680" w:rsidP="00B84A71" w:rsidRDefault="007B2D35" w14:paraId="2EC095B8" w14:textId="306EFF98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2020.</w:t>
      </w:r>
      <w:r w:rsidR="000C576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gadā</w:t>
      </w:r>
      <w:r w:rsidR="009648CA">
        <w:rPr>
          <w:rFonts w:cs="Times New Roman"/>
          <w:sz w:val="24"/>
          <w:szCs w:val="24"/>
        </w:rPr>
        <w:t>,</w:t>
      </w:r>
      <w:r w:rsidR="00F50A5F">
        <w:rPr>
          <w:rFonts w:cs="Times New Roman"/>
          <w:sz w:val="24"/>
          <w:szCs w:val="24"/>
        </w:rPr>
        <w:t xml:space="preserve"> </w:t>
      </w:r>
      <w:r w:rsidR="00764CEC">
        <w:rPr>
          <w:rFonts w:cs="Times New Roman"/>
          <w:sz w:val="24"/>
          <w:szCs w:val="24"/>
        </w:rPr>
        <w:t>RB</w:t>
      </w:r>
      <w:r w:rsidR="00F50A5F">
        <w:rPr>
          <w:rFonts w:cs="Times New Roman"/>
          <w:sz w:val="24"/>
          <w:szCs w:val="24"/>
        </w:rPr>
        <w:t xml:space="preserve"> </w:t>
      </w:r>
      <w:r w:rsidR="00764CEC">
        <w:rPr>
          <w:rFonts w:cs="Times New Roman"/>
          <w:sz w:val="24"/>
          <w:szCs w:val="24"/>
        </w:rPr>
        <w:t>Rail</w:t>
      </w:r>
      <w:r w:rsidR="00F50A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iepazīstoties ar </w:t>
      </w:r>
      <w:r w:rsidR="0038078B">
        <w:rPr>
          <w:rFonts w:cs="Times New Roman"/>
          <w:sz w:val="24"/>
          <w:szCs w:val="24"/>
        </w:rPr>
        <w:t xml:space="preserve">inženiertehnisko pamatojumu </w:t>
      </w:r>
      <w:r>
        <w:rPr>
          <w:rFonts w:cs="Times New Roman"/>
          <w:sz w:val="24"/>
          <w:szCs w:val="24"/>
        </w:rPr>
        <w:t xml:space="preserve">un </w:t>
      </w:r>
      <w:r w:rsidR="005E0193">
        <w:rPr>
          <w:rFonts w:cs="Times New Roman"/>
          <w:sz w:val="24"/>
          <w:szCs w:val="24"/>
        </w:rPr>
        <w:t xml:space="preserve">aktualizētajiem </w:t>
      </w:r>
      <w:r w:rsidR="0038078B">
        <w:rPr>
          <w:rFonts w:cs="Times New Roman"/>
          <w:sz w:val="24"/>
          <w:szCs w:val="24"/>
        </w:rPr>
        <w:t>tehniskās izpētes</w:t>
      </w:r>
      <w:r>
        <w:rPr>
          <w:rFonts w:cs="Times New Roman"/>
          <w:sz w:val="24"/>
          <w:szCs w:val="24"/>
        </w:rPr>
        <w:t xml:space="preserve"> rezultātiem, tika </w:t>
      </w:r>
      <w:r w:rsidR="009648CA">
        <w:rPr>
          <w:rFonts w:cs="Times New Roman"/>
          <w:sz w:val="24"/>
          <w:szCs w:val="24"/>
        </w:rPr>
        <w:t xml:space="preserve">konstatēta nepieciešamība </w:t>
      </w:r>
      <w:r>
        <w:rPr>
          <w:rFonts w:cs="Times New Roman"/>
          <w:sz w:val="24"/>
          <w:szCs w:val="24"/>
        </w:rPr>
        <w:t xml:space="preserve">ieviest </w:t>
      </w:r>
      <w:r w:rsidR="0038078B">
        <w:rPr>
          <w:rFonts w:cs="Times New Roman"/>
          <w:sz w:val="24"/>
          <w:szCs w:val="24"/>
        </w:rPr>
        <w:t>korekcijas</w:t>
      </w:r>
      <w:r>
        <w:rPr>
          <w:rFonts w:cs="Times New Roman"/>
          <w:sz w:val="24"/>
          <w:szCs w:val="24"/>
        </w:rPr>
        <w:t xml:space="preserve"> </w:t>
      </w:r>
      <w:r w:rsidR="009648CA">
        <w:rPr>
          <w:rFonts w:cs="Times New Roman"/>
          <w:sz w:val="24"/>
          <w:szCs w:val="24"/>
        </w:rPr>
        <w:t xml:space="preserve">apstiprinātajā </w:t>
      </w:r>
      <w:r>
        <w:rPr>
          <w:rFonts w:cs="Times New Roman"/>
          <w:sz w:val="24"/>
          <w:szCs w:val="24"/>
        </w:rPr>
        <w:t xml:space="preserve">Rail Baltica </w:t>
      </w:r>
      <w:r w:rsidR="0038078B">
        <w:rPr>
          <w:rFonts w:cs="Times New Roman"/>
          <w:sz w:val="24"/>
          <w:szCs w:val="24"/>
        </w:rPr>
        <w:t xml:space="preserve">trases </w:t>
      </w:r>
      <w:r w:rsidR="009648CA">
        <w:rPr>
          <w:rFonts w:cs="Times New Roman"/>
          <w:sz w:val="24"/>
          <w:szCs w:val="24"/>
        </w:rPr>
        <w:t>no</w:t>
      </w:r>
      <w:r w:rsidR="005F04F6">
        <w:rPr>
          <w:rFonts w:cs="Times New Roman"/>
          <w:sz w:val="24"/>
          <w:szCs w:val="24"/>
        </w:rPr>
        <w:t>vietojumā</w:t>
      </w:r>
      <w:r>
        <w:rPr>
          <w:rFonts w:cs="Times New Roman"/>
          <w:sz w:val="24"/>
          <w:szCs w:val="24"/>
        </w:rPr>
        <w:t xml:space="preserve">. Izmaiņas </w:t>
      </w:r>
      <w:r w:rsidR="0038078B">
        <w:rPr>
          <w:rFonts w:cs="Times New Roman"/>
          <w:sz w:val="24"/>
          <w:szCs w:val="24"/>
        </w:rPr>
        <w:t xml:space="preserve">trases </w:t>
      </w:r>
      <w:r w:rsidR="009648CA">
        <w:rPr>
          <w:rFonts w:cs="Times New Roman"/>
          <w:sz w:val="24"/>
          <w:szCs w:val="24"/>
        </w:rPr>
        <w:t>no</w:t>
      </w:r>
      <w:r w:rsidR="005F04F6">
        <w:rPr>
          <w:rFonts w:cs="Times New Roman"/>
          <w:sz w:val="24"/>
          <w:szCs w:val="24"/>
        </w:rPr>
        <w:t>vietojumā</w:t>
      </w:r>
      <w:r>
        <w:rPr>
          <w:rFonts w:cs="Times New Roman"/>
          <w:sz w:val="24"/>
          <w:szCs w:val="24"/>
        </w:rPr>
        <w:t xml:space="preserve"> rada nepieciešamību veikt papildus izpēti kultūras un arheoloģiska</w:t>
      </w:r>
      <w:r w:rsidR="00E45A33">
        <w:rPr>
          <w:rFonts w:cs="Times New Roman"/>
          <w:sz w:val="24"/>
          <w:szCs w:val="24"/>
        </w:rPr>
        <w:t>jā</w:t>
      </w:r>
      <w:r>
        <w:rPr>
          <w:rFonts w:cs="Times New Roman"/>
          <w:sz w:val="24"/>
          <w:szCs w:val="24"/>
        </w:rPr>
        <w:t xml:space="preserve"> mantojumā. </w:t>
      </w:r>
      <w:r w:rsidR="00DF7206">
        <w:rPr>
          <w:rFonts w:cs="Times New Roman"/>
          <w:sz w:val="24"/>
          <w:szCs w:val="24"/>
        </w:rPr>
        <w:t>Turklāt</w:t>
      </w:r>
      <w:r w:rsidR="00DF0B93">
        <w:rPr>
          <w:rFonts w:cs="Times New Roman"/>
          <w:sz w:val="24"/>
          <w:szCs w:val="24"/>
        </w:rPr>
        <w:t xml:space="preserve"> trases </w:t>
      </w:r>
      <w:r w:rsidR="001935CC">
        <w:rPr>
          <w:rFonts w:cs="Times New Roman"/>
          <w:sz w:val="24"/>
          <w:szCs w:val="24"/>
        </w:rPr>
        <w:t>no</w:t>
      </w:r>
      <w:r w:rsidR="00DF0B93">
        <w:rPr>
          <w:rFonts w:cs="Times New Roman"/>
          <w:sz w:val="24"/>
          <w:szCs w:val="24"/>
        </w:rPr>
        <w:t xml:space="preserve">vietojuma izmaiņu rezultātā tiek skarti valsts aizsargājamie kultūras pieminekļi un mikrolieguma zona, </w:t>
      </w:r>
      <w:r w:rsidR="007E2D09">
        <w:rPr>
          <w:rFonts w:cs="Times New Roman"/>
          <w:sz w:val="24"/>
          <w:szCs w:val="24"/>
        </w:rPr>
        <w:t xml:space="preserve">un minēto jautājumu risināšanai ir </w:t>
      </w:r>
      <w:r w:rsidR="00DF0B93">
        <w:rPr>
          <w:rFonts w:cs="Times New Roman"/>
          <w:sz w:val="24"/>
          <w:szCs w:val="24"/>
        </w:rPr>
        <w:t xml:space="preserve">nepieciešami juridiskie </w:t>
      </w:r>
      <w:r w:rsidR="001935CC">
        <w:rPr>
          <w:rFonts w:cs="Times New Roman"/>
          <w:sz w:val="24"/>
          <w:szCs w:val="24"/>
        </w:rPr>
        <w:t>ār</w:t>
      </w:r>
      <w:r w:rsidR="007E2D09">
        <w:rPr>
          <w:rFonts w:cs="Times New Roman"/>
          <w:sz w:val="24"/>
          <w:szCs w:val="24"/>
        </w:rPr>
        <w:t xml:space="preserve">pakalpojumi. </w:t>
      </w:r>
      <w:r w:rsidR="001935CC">
        <w:rPr>
          <w:rFonts w:cs="Times New Roman"/>
          <w:sz w:val="24"/>
          <w:szCs w:val="24"/>
        </w:rPr>
        <w:t>F</w:t>
      </w:r>
      <w:r w:rsidR="007910EE">
        <w:rPr>
          <w:rFonts w:cs="Times New Roman"/>
          <w:sz w:val="24"/>
          <w:szCs w:val="24"/>
        </w:rPr>
        <w:t xml:space="preserve">inansējumu </w:t>
      </w:r>
      <w:r w:rsidR="001935CC">
        <w:rPr>
          <w:rFonts w:cs="Times New Roman"/>
          <w:sz w:val="24"/>
          <w:szCs w:val="24"/>
        </w:rPr>
        <w:t xml:space="preserve">papildus nepieciešamajai </w:t>
      </w:r>
      <w:r w:rsidR="007910EE">
        <w:rPr>
          <w:rFonts w:cs="Times New Roman"/>
          <w:sz w:val="24"/>
          <w:szCs w:val="24"/>
        </w:rPr>
        <w:t>kultūras un arheoloģiskā mantojuma izpētei</w:t>
      </w:r>
      <w:r w:rsidR="007E2D09">
        <w:rPr>
          <w:rFonts w:cs="Times New Roman"/>
          <w:sz w:val="24"/>
          <w:szCs w:val="24"/>
        </w:rPr>
        <w:t xml:space="preserve"> un juridiskajiem pakalpojumiem</w:t>
      </w:r>
      <w:r w:rsidRPr="006A5688" w:rsidR="006A5688">
        <w:rPr>
          <w:rFonts w:cs="Times New Roman"/>
          <w:sz w:val="24"/>
          <w:szCs w:val="24"/>
        </w:rPr>
        <w:t xml:space="preserve"> </w:t>
      </w:r>
      <w:r w:rsidR="006A5688">
        <w:rPr>
          <w:rFonts w:cs="Times New Roman"/>
          <w:sz w:val="24"/>
          <w:szCs w:val="24"/>
        </w:rPr>
        <w:t>var nodrošināt</w:t>
      </w:r>
      <w:r w:rsidRPr="006A5688" w:rsidR="006A5688">
        <w:rPr>
          <w:rFonts w:cs="Times New Roman"/>
          <w:sz w:val="24"/>
          <w:szCs w:val="24"/>
        </w:rPr>
        <w:t xml:space="preserve"> </w:t>
      </w:r>
      <w:r w:rsidR="006A5688">
        <w:rPr>
          <w:rFonts w:cs="Times New Roman"/>
          <w:sz w:val="24"/>
          <w:szCs w:val="24"/>
        </w:rPr>
        <w:t xml:space="preserve">pilnā apmērā izmantojot pieejamos finanšu resursus CEF2 līguma ietvaros. </w:t>
      </w:r>
      <w:r w:rsidR="00267FE9">
        <w:rPr>
          <w:rFonts w:cs="Times New Roman"/>
          <w:sz w:val="24"/>
          <w:szCs w:val="24"/>
        </w:rPr>
        <w:t xml:space="preserve">Finansējuma avots papildus pasākumiem </w:t>
      </w:r>
      <w:r w:rsidR="007910EE">
        <w:rPr>
          <w:rFonts w:cs="Times New Roman"/>
          <w:sz w:val="24"/>
          <w:szCs w:val="24"/>
        </w:rPr>
        <w:t>ir</w:t>
      </w:r>
      <w:r w:rsidR="00267FE9">
        <w:rPr>
          <w:rFonts w:cs="Times New Roman"/>
          <w:sz w:val="24"/>
          <w:szCs w:val="24"/>
        </w:rPr>
        <w:t xml:space="preserve"> izveidoj</w:t>
      </w:r>
      <w:r w:rsidR="007910EE">
        <w:rPr>
          <w:rFonts w:cs="Times New Roman"/>
          <w:sz w:val="24"/>
          <w:szCs w:val="24"/>
        </w:rPr>
        <w:t>ies</w:t>
      </w:r>
      <w:r w:rsidR="00BC01B9">
        <w:rPr>
          <w:rFonts w:cs="Times New Roman"/>
          <w:sz w:val="24"/>
          <w:szCs w:val="24"/>
        </w:rPr>
        <w:t>,</w:t>
      </w:r>
      <w:r w:rsidR="00267FE9">
        <w:rPr>
          <w:rFonts w:cs="Times New Roman"/>
          <w:sz w:val="24"/>
          <w:szCs w:val="24"/>
        </w:rPr>
        <w:t xml:space="preserve"> ietaupot finanšu līdzekļus piektajā un sestajā aktivitātē</w:t>
      </w:r>
      <w:r w:rsidR="001935CC">
        <w:rPr>
          <w:rFonts w:cs="Times New Roman"/>
          <w:sz w:val="24"/>
          <w:szCs w:val="24"/>
        </w:rPr>
        <w:t>, attiecīgi kultūras mantojuma izpēt</w:t>
      </w:r>
      <w:r w:rsidR="00BC01B9">
        <w:rPr>
          <w:rFonts w:cs="Times New Roman"/>
          <w:sz w:val="24"/>
          <w:szCs w:val="24"/>
        </w:rPr>
        <w:t>ē</w:t>
      </w:r>
      <w:r w:rsidR="001935CC">
        <w:rPr>
          <w:rFonts w:cs="Times New Roman"/>
          <w:sz w:val="24"/>
          <w:szCs w:val="24"/>
        </w:rPr>
        <w:t xml:space="preserve"> un projekta īstenošanas atbalsta pasākum</w:t>
      </w:r>
      <w:r w:rsidR="00BC01B9">
        <w:rPr>
          <w:rFonts w:cs="Times New Roman"/>
          <w:sz w:val="24"/>
          <w:szCs w:val="24"/>
        </w:rPr>
        <w:t>os</w:t>
      </w:r>
      <w:r w:rsidR="00267FE9">
        <w:rPr>
          <w:rFonts w:cs="Times New Roman"/>
          <w:sz w:val="24"/>
          <w:szCs w:val="24"/>
        </w:rPr>
        <w:t xml:space="preserve">. </w:t>
      </w:r>
    </w:p>
    <w:p w:rsidR="006A5688" w:rsidP="005864E6" w:rsidRDefault="0076676A" w14:paraId="5F5923B6" w14:textId="69143883">
      <w:pPr>
        <w:tabs>
          <w:tab w:val="left" w:pos="993"/>
        </w:tabs>
        <w:spacing w:after="120" w:line="240" w:lineRule="auto"/>
        <w:ind w:left="142" w:right="-42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2F55EC">
        <w:rPr>
          <w:sz w:val="24"/>
          <w:szCs w:val="24"/>
        </w:rPr>
        <w:t>.tabula. Latvijas aktivitā</w:t>
      </w:r>
      <w:r w:rsidR="00835F40">
        <w:rPr>
          <w:sz w:val="24"/>
          <w:szCs w:val="24"/>
        </w:rPr>
        <w:t>šu</w:t>
      </w:r>
      <w:r w:rsidR="002F55EC">
        <w:rPr>
          <w:sz w:val="24"/>
          <w:szCs w:val="24"/>
        </w:rPr>
        <w:t xml:space="preserve"> </w:t>
      </w:r>
      <w:r w:rsidR="00835F40">
        <w:rPr>
          <w:sz w:val="24"/>
          <w:szCs w:val="24"/>
        </w:rPr>
        <w:t xml:space="preserve">pārskats CEF2 līguma ietvaros par finansējuma pārdali starp aktivitātēm, </w:t>
      </w:r>
      <w:r w:rsidRPr="000872FF" w:rsidR="000872FF">
        <w:rPr>
          <w:i/>
          <w:iCs/>
          <w:sz w:val="24"/>
          <w:szCs w:val="24"/>
        </w:rPr>
        <w:t>euro</w:t>
      </w:r>
      <w:r w:rsidRPr="000872FF" w:rsidR="009C5369">
        <w:rPr>
          <w:i/>
          <w:iCs/>
          <w:sz w:val="24"/>
          <w:szCs w:val="24"/>
        </w:rPr>
        <w:t xml:space="preserve"> </w:t>
      </w:r>
    </w:p>
    <w:tbl>
      <w:tblPr>
        <w:tblW w:w="972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871"/>
        <w:gridCol w:w="1035"/>
        <w:gridCol w:w="889"/>
        <w:gridCol w:w="889"/>
        <w:gridCol w:w="890"/>
        <w:gridCol w:w="889"/>
        <w:gridCol w:w="889"/>
        <w:gridCol w:w="889"/>
        <w:gridCol w:w="890"/>
      </w:tblGrid>
      <w:tr w:rsidRPr="00096B69" w:rsidR="001D4973" w:rsidTr="005864E6" w14:paraId="51A56127" w14:textId="77777777">
        <w:trPr>
          <w:trHeight w:val="858"/>
        </w:trPr>
        <w:tc>
          <w:tcPr>
            <w:tcW w:w="1594" w:type="dxa"/>
            <w:shd w:val="clear" w:color="auto" w:fill="auto"/>
            <w:vAlign w:val="center"/>
            <w:hideMark/>
          </w:tcPr>
          <w:p w:rsidRPr="00096B69" w:rsidR="00F8585B" w:rsidP="00F8585B" w:rsidRDefault="00F8585B" w14:paraId="33CB8DC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Aktivitātes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Pr="00096B69" w:rsidR="00F8585B" w:rsidP="00F8585B" w:rsidRDefault="00F8585B" w14:paraId="2309DC7D" w14:textId="271FF6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Gro-zījumi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Pr="00096B69" w:rsidR="00F8585B" w:rsidP="00F8585B" w:rsidRDefault="00F8585B" w14:paraId="4C5C63CD" w14:textId="0B3E3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Pr="00096B69" w:rsidR="00F8585B" w:rsidP="00F8585B" w:rsidRDefault="00F8585B" w14:paraId="0F6D98C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Pr="00096B69" w:rsidR="00F8585B" w:rsidP="00F8585B" w:rsidRDefault="00F8585B" w14:paraId="7A89B917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Pr="00096B69" w:rsidR="00F8585B" w:rsidP="00F8585B" w:rsidRDefault="00F8585B" w14:paraId="108EA22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89" w:type="dxa"/>
            <w:vAlign w:val="center"/>
          </w:tcPr>
          <w:p w:rsidRPr="00096B69" w:rsidR="00F8585B" w:rsidP="00F8585B" w:rsidRDefault="00F8585B" w14:paraId="443CCA53" w14:textId="7EB893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96B69" w:rsidR="0026265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Pr="00096B69" w:rsidR="00F8585B" w:rsidP="00F8585B" w:rsidRDefault="00F8585B" w14:paraId="7270C6E4" w14:textId="6B1FF66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89" w:type="dxa"/>
            <w:vAlign w:val="center"/>
          </w:tcPr>
          <w:p w:rsidRPr="00096B69" w:rsidR="00F8585B" w:rsidP="00F8585B" w:rsidRDefault="00F8585B" w14:paraId="0347F01B" w14:textId="53E501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2022 - 202</w:t>
            </w:r>
            <w:r w:rsidRPr="00096B69" w:rsidR="000A4D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Pr="00096B69" w:rsidR="00F8585B" w:rsidP="00F8585B" w:rsidRDefault="00F8585B" w14:paraId="6B8B14AF" w14:textId="24B308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</w:p>
        </w:tc>
      </w:tr>
      <w:tr w:rsidRPr="00096B69" w:rsidR="0078552F" w:rsidTr="005864E6" w14:paraId="044CC297" w14:textId="77777777">
        <w:trPr>
          <w:trHeight w:val="945"/>
        </w:trPr>
        <w:tc>
          <w:tcPr>
            <w:tcW w:w="1594" w:type="dxa"/>
            <w:vMerge w:val="restart"/>
            <w:shd w:val="clear" w:color="000000" w:fill="FFFFFF"/>
            <w:vAlign w:val="center"/>
            <w:hideMark/>
          </w:tcPr>
          <w:p w:rsidRPr="00096B69" w:rsidR="00F8585B" w:rsidP="00F8585B" w:rsidRDefault="00F8585B" w14:paraId="508CFE71" w14:textId="45FBE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Kultūras mantojuma (tostarp arheoloģiskā mantojuma) izpēte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Pr="00096B69" w:rsidR="00F8585B" w:rsidP="00F8585B" w:rsidRDefault="00F8585B" w14:paraId="4C0A16C2" w14:textId="07987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CEF2 gro-zījumi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Pr="00096B69" w:rsidR="00F8585B" w:rsidP="00F02342" w:rsidRDefault="00F8585B" w14:paraId="3A17E4EC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Pr="00096B69" w:rsidR="00F8585B" w:rsidP="00F02342" w:rsidRDefault="00F8585B" w14:paraId="41B60069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Pr="00096B69" w:rsidR="00F8585B" w:rsidP="00F02342" w:rsidRDefault="00F8585B" w14:paraId="7E3A8B5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172 091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Pr="00096B69" w:rsidR="00F8585B" w:rsidP="00F02342" w:rsidRDefault="00F8585B" w14:paraId="2700889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105 910</w:t>
            </w:r>
          </w:p>
        </w:tc>
        <w:tc>
          <w:tcPr>
            <w:tcW w:w="889" w:type="dxa"/>
            <w:shd w:val="clear" w:color="000000" w:fill="FFFFFF"/>
            <w:vAlign w:val="center"/>
          </w:tcPr>
          <w:p w:rsidRPr="00096B69" w:rsidR="00F8585B" w:rsidP="00F02342" w:rsidRDefault="00F8585B" w14:paraId="5DEA0E65" w14:textId="5AC240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Pr="00096B69" w:rsidR="00F8585B" w:rsidP="00F02342" w:rsidRDefault="00F8585B" w14:paraId="2CDE8CBB" w14:textId="6B2AA4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88 092</w:t>
            </w:r>
          </w:p>
        </w:tc>
        <w:tc>
          <w:tcPr>
            <w:tcW w:w="889" w:type="dxa"/>
            <w:shd w:val="clear" w:color="000000" w:fill="FFFFFF"/>
            <w:vAlign w:val="center"/>
          </w:tcPr>
          <w:p w:rsidRPr="00096B69" w:rsidR="00F8585B" w:rsidP="00F02342" w:rsidRDefault="00F8585B" w14:paraId="2978149F" w14:textId="704DD0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Pr="00096B69" w:rsidR="00F8585B" w:rsidP="00F02342" w:rsidRDefault="00F8585B" w14:paraId="70C9AF08" w14:textId="79D2D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366 093</w:t>
            </w:r>
          </w:p>
        </w:tc>
      </w:tr>
      <w:tr w:rsidRPr="00096B69" w:rsidR="0078552F" w:rsidTr="005864E6" w14:paraId="3F11F712" w14:textId="77777777">
        <w:trPr>
          <w:trHeight w:val="929"/>
        </w:trPr>
        <w:tc>
          <w:tcPr>
            <w:tcW w:w="1594" w:type="dxa"/>
            <w:vMerge/>
            <w:vAlign w:val="center"/>
            <w:hideMark/>
          </w:tcPr>
          <w:p w:rsidRPr="00096B69" w:rsidR="00F8585B" w:rsidP="00F8585B" w:rsidRDefault="00F8585B" w14:paraId="0FD1D7ED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:rsidRPr="00096B69" w:rsidR="00F8585B" w:rsidP="00F8585B" w:rsidRDefault="00F8585B" w14:paraId="00555400" w14:textId="5C320F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CEF2</w:t>
            </w:r>
          </w:p>
        </w:tc>
        <w:tc>
          <w:tcPr>
            <w:tcW w:w="1035" w:type="dxa"/>
            <w:shd w:val="clear" w:color="000000" w:fill="D9D9D9"/>
            <w:vAlign w:val="center"/>
            <w:hideMark/>
          </w:tcPr>
          <w:p w:rsidRPr="00096B69" w:rsidR="00F8585B" w:rsidP="00F02342" w:rsidRDefault="00F8585B" w14:paraId="6484409D" w14:textId="4CABE3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889" w:type="dxa"/>
            <w:shd w:val="clear" w:color="000000" w:fill="D9D9D9"/>
            <w:vAlign w:val="center"/>
            <w:hideMark/>
          </w:tcPr>
          <w:p w:rsidRPr="00096B69" w:rsidR="00F8585B" w:rsidP="00F02342" w:rsidRDefault="00F8585B" w14:paraId="40AFC53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174 000</w:t>
            </w:r>
          </w:p>
        </w:tc>
        <w:tc>
          <w:tcPr>
            <w:tcW w:w="889" w:type="dxa"/>
            <w:shd w:val="clear" w:color="000000" w:fill="D9D9D9"/>
            <w:vAlign w:val="center"/>
            <w:hideMark/>
          </w:tcPr>
          <w:p w:rsidRPr="00096B69" w:rsidR="00F8585B" w:rsidP="00F02342" w:rsidRDefault="00F8585B" w14:paraId="322DB2B6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174 000</w:t>
            </w:r>
          </w:p>
        </w:tc>
        <w:tc>
          <w:tcPr>
            <w:tcW w:w="890" w:type="dxa"/>
            <w:shd w:val="clear" w:color="000000" w:fill="D9D9D9"/>
            <w:vAlign w:val="center"/>
            <w:hideMark/>
          </w:tcPr>
          <w:p w:rsidRPr="00096B69" w:rsidR="00F8585B" w:rsidP="00F02342" w:rsidRDefault="00F8585B" w14:paraId="1E2DC0E4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shd w:val="clear" w:color="000000" w:fill="D9D9D9"/>
            <w:vAlign w:val="center"/>
          </w:tcPr>
          <w:p w:rsidRPr="00096B69" w:rsidR="00F8585B" w:rsidP="00F02342" w:rsidRDefault="00F8585B" w14:paraId="17C03238" w14:textId="2940EC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shd w:val="clear" w:color="000000" w:fill="D9D9D9"/>
            <w:vAlign w:val="center"/>
            <w:hideMark/>
          </w:tcPr>
          <w:p w:rsidRPr="00096B69" w:rsidR="00F8585B" w:rsidP="00F02342" w:rsidRDefault="00F8585B" w14:paraId="2D64F278" w14:textId="773718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shd w:val="clear" w:color="000000" w:fill="D9D9D9"/>
            <w:vAlign w:val="center"/>
          </w:tcPr>
          <w:p w:rsidRPr="00096B69" w:rsidR="00F8585B" w:rsidP="00F02342" w:rsidRDefault="00F8585B" w14:paraId="096A470E" w14:textId="56BBCF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000000" w:fill="D9D9D9"/>
            <w:vAlign w:val="center"/>
            <w:hideMark/>
          </w:tcPr>
          <w:p w:rsidRPr="00096B69" w:rsidR="00F8585B" w:rsidP="00F02342" w:rsidRDefault="00F8585B" w14:paraId="14B6ACDB" w14:textId="7EBBE5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360 000</w:t>
            </w:r>
          </w:p>
        </w:tc>
      </w:tr>
    </w:tbl>
    <w:p w:rsidR="008C0E1F" w:rsidP="00197B93" w:rsidRDefault="008C0E1F" w14:paraId="0028A58B" w14:textId="5EC2F461">
      <w:pPr>
        <w:tabs>
          <w:tab w:val="left" w:pos="993"/>
        </w:tabs>
        <w:spacing w:after="120" w:line="240" w:lineRule="auto"/>
        <w:contextualSpacing/>
        <w:rPr>
          <w:sz w:val="24"/>
          <w:szCs w:val="24"/>
        </w:rPr>
      </w:pPr>
    </w:p>
    <w:p w:rsidR="00197B93" w:rsidP="00197B93" w:rsidRDefault="00197B93" w14:paraId="78260A72" w14:textId="6E3FB040">
      <w:pPr>
        <w:tabs>
          <w:tab w:val="left" w:pos="993"/>
        </w:tabs>
        <w:spacing w:after="120" w:line="240" w:lineRule="auto"/>
        <w:contextualSpacing/>
        <w:rPr>
          <w:sz w:val="24"/>
          <w:szCs w:val="24"/>
        </w:rPr>
      </w:pPr>
    </w:p>
    <w:p w:rsidR="005864E6" w:rsidP="00197B93" w:rsidRDefault="005864E6" w14:paraId="1C598129" w14:textId="30BCC9C1">
      <w:pPr>
        <w:tabs>
          <w:tab w:val="left" w:pos="993"/>
        </w:tabs>
        <w:spacing w:after="120" w:line="240" w:lineRule="auto"/>
        <w:contextualSpacing/>
        <w:rPr>
          <w:sz w:val="24"/>
          <w:szCs w:val="24"/>
        </w:rPr>
      </w:pPr>
    </w:p>
    <w:p w:rsidR="005864E6" w:rsidP="00197B93" w:rsidRDefault="005864E6" w14:paraId="5594AC02" w14:textId="439799B9">
      <w:pPr>
        <w:tabs>
          <w:tab w:val="left" w:pos="993"/>
        </w:tabs>
        <w:spacing w:after="120" w:line="240" w:lineRule="auto"/>
        <w:contextualSpacing/>
        <w:rPr>
          <w:sz w:val="24"/>
          <w:szCs w:val="24"/>
        </w:rPr>
      </w:pPr>
    </w:p>
    <w:p w:rsidR="005864E6" w:rsidP="00197B93" w:rsidRDefault="005864E6" w14:paraId="29F1359C" w14:textId="25A26EA0">
      <w:pPr>
        <w:tabs>
          <w:tab w:val="left" w:pos="993"/>
        </w:tabs>
        <w:spacing w:after="120" w:line="240" w:lineRule="auto"/>
        <w:contextualSpacing/>
        <w:rPr>
          <w:sz w:val="24"/>
          <w:szCs w:val="24"/>
        </w:rPr>
      </w:pPr>
    </w:p>
    <w:p w:rsidR="005864E6" w:rsidP="00197B93" w:rsidRDefault="005864E6" w14:paraId="637AB881" w14:textId="77777777">
      <w:pPr>
        <w:tabs>
          <w:tab w:val="left" w:pos="993"/>
        </w:tabs>
        <w:spacing w:after="120" w:line="240" w:lineRule="auto"/>
        <w:contextualSpacing/>
        <w:rPr>
          <w:sz w:val="24"/>
          <w:szCs w:val="24"/>
        </w:rPr>
      </w:pPr>
    </w:p>
    <w:p w:rsidRPr="00096B69" w:rsidR="00197B93" w:rsidP="00197B93" w:rsidRDefault="00197B93" w14:paraId="4D367CBB" w14:textId="77777777">
      <w:pPr>
        <w:tabs>
          <w:tab w:val="left" w:pos="993"/>
        </w:tabs>
        <w:spacing w:after="120" w:line="240" w:lineRule="auto"/>
        <w:contextualSpacing/>
        <w:rPr>
          <w:sz w:val="24"/>
          <w:szCs w:val="24"/>
        </w:rPr>
      </w:pPr>
    </w:p>
    <w:p w:rsidRPr="00096B69" w:rsidR="00F02342" w:rsidP="005864E6" w:rsidRDefault="005864E6" w14:paraId="7E9FBA0B" w14:textId="389C01AE">
      <w:pPr>
        <w:tabs>
          <w:tab w:val="left" w:pos="993"/>
        </w:tabs>
        <w:spacing w:after="120" w:line="240" w:lineRule="auto"/>
        <w:ind w:right="-42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096B69" w:rsidR="00CC0445">
        <w:rPr>
          <w:sz w:val="24"/>
          <w:szCs w:val="24"/>
        </w:rPr>
        <w:t xml:space="preserve">.tabula. Latvijas aktivitāšu pārskats CEF2 līguma ietvaros par finansējuma pārdali starp aktivitātēm, </w:t>
      </w:r>
      <w:r w:rsidRPr="000872FF" w:rsidR="000872FF">
        <w:rPr>
          <w:i/>
          <w:iCs/>
          <w:sz w:val="24"/>
          <w:szCs w:val="24"/>
        </w:rPr>
        <w:t>euro</w:t>
      </w:r>
      <w:r w:rsidRPr="000872FF" w:rsidR="00CC0445">
        <w:rPr>
          <w:i/>
          <w:iCs/>
          <w:sz w:val="24"/>
          <w:szCs w:val="24"/>
        </w:rPr>
        <w:t xml:space="preserve"> </w:t>
      </w:r>
      <w:r w:rsidRPr="00096B69" w:rsidR="008C0E1F">
        <w:rPr>
          <w:sz w:val="24"/>
          <w:szCs w:val="24"/>
        </w:rPr>
        <w:t>(</w:t>
      </w:r>
      <w:r w:rsidRPr="00096B69" w:rsidR="00CC0445">
        <w:rPr>
          <w:rFonts w:cs="Times New Roman"/>
          <w:sz w:val="24"/>
          <w:szCs w:val="24"/>
        </w:rPr>
        <w:t>turpinājums</w:t>
      </w:r>
      <w:r w:rsidRPr="00096B69" w:rsidR="008C0E1F">
        <w:rPr>
          <w:rFonts w:cs="Times New Roman"/>
          <w:sz w:val="24"/>
          <w:szCs w:val="24"/>
        </w:rPr>
        <w:t>)</w:t>
      </w:r>
    </w:p>
    <w:tbl>
      <w:tblPr>
        <w:tblW w:w="977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010"/>
        <w:gridCol w:w="868"/>
        <w:gridCol w:w="868"/>
        <w:gridCol w:w="869"/>
        <w:gridCol w:w="868"/>
        <w:gridCol w:w="868"/>
        <w:gridCol w:w="868"/>
        <w:gridCol w:w="1152"/>
      </w:tblGrid>
      <w:tr w:rsidRPr="00096B69" w:rsidR="00CC0445" w:rsidTr="005864E6" w14:paraId="59D7B2CA" w14:textId="77777777">
        <w:trPr>
          <w:trHeight w:val="718"/>
        </w:trPr>
        <w:tc>
          <w:tcPr>
            <w:tcW w:w="1555" w:type="dxa"/>
            <w:shd w:val="clear" w:color="auto" w:fill="auto"/>
            <w:vAlign w:val="center"/>
          </w:tcPr>
          <w:p w:rsidRPr="00096B69" w:rsidR="00CC0445" w:rsidP="00CC0445" w:rsidRDefault="00CC0445" w14:paraId="35153FC8" w14:textId="0E47F8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Aktivitātes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Pr="00096B69" w:rsidR="00CC0445" w:rsidP="00CC0445" w:rsidRDefault="00CC0445" w14:paraId="0B3CA816" w14:textId="7A1A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Gro-zījumi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Pr="00096B69" w:rsidR="00CC0445" w:rsidP="00CC0445" w:rsidRDefault="00CC0445" w14:paraId="310911F6" w14:textId="62165E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Pr="00096B69" w:rsidR="00CC0445" w:rsidP="00CC0445" w:rsidRDefault="00CC0445" w14:paraId="4402C629" w14:textId="0F2A27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Pr="00096B69" w:rsidR="00CC0445" w:rsidP="00CC0445" w:rsidRDefault="00CC0445" w14:paraId="3978EAC9" w14:textId="5F495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Pr="00096B69" w:rsidR="00CC0445" w:rsidP="00CC0445" w:rsidRDefault="00CC0445" w14:paraId="6ED3FD54" w14:textId="1CCC53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8" w:type="dxa"/>
            <w:vAlign w:val="center"/>
          </w:tcPr>
          <w:p w:rsidRPr="00096B69" w:rsidR="00CC0445" w:rsidP="00CC0445" w:rsidRDefault="00CC0445" w14:paraId="55AA7753" w14:textId="65A03A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Pr="00096B69" w:rsidR="00CC0445" w:rsidP="00CC0445" w:rsidRDefault="00CC0445" w14:paraId="07B09614" w14:textId="4EE371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8" w:type="dxa"/>
            <w:vAlign w:val="center"/>
          </w:tcPr>
          <w:p w:rsidRPr="00096B69" w:rsidR="00CC0445" w:rsidP="00CC0445" w:rsidRDefault="00CC0445" w14:paraId="1C7A3876" w14:textId="4B4FB6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2022 - 202</w:t>
            </w:r>
            <w:r w:rsidRPr="00096B69" w:rsidR="008C56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Pr="00096B69" w:rsidR="00CC0445" w:rsidP="00CC0445" w:rsidRDefault="00CC0445" w14:paraId="17D4CD61" w14:textId="186794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</w:p>
        </w:tc>
      </w:tr>
      <w:tr w:rsidRPr="00096B69" w:rsidR="00197B93" w:rsidTr="005864E6" w14:paraId="069E0D97" w14:textId="77777777">
        <w:trPr>
          <w:trHeight w:val="718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Pr="00096B69" w:rsidR="00197B93" w:rsidP="00197B93" w:rsidRDefault="00197B93" w14:paraId="7183133D" w14:textId="2871DC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Rail Baltica infrastruktūras atbilstības novērtēšana lidostas Rīga aeronovigācijas pakalpojumiem</w:t>
            </w:r>
          </w:p>
        </w:tc>
        <w:tc>
          <w:tcPr>
            <w:tcW w:w="850" w:type="dxa"/>
            <w:shd w:val="clear" w:color="auto" w:fill="auto"/>
          </w:tcPr>
          <w:p w:rsidRPr="00096B69" w:rsidR="00197B93" w:rsidP="00197B93" w:rsidRDefault="00197B93" w14:paraId="21A13AA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Pr="00096B69" w:rsidR="00197B93" w:rsidP="00197B93" w:rsidRDefault="00197B93" w14:paraId="4C85FA81" w14:textId="415438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CEF2 gro-zījumi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Pr="00096B69" w:rsidR="00197B93" w:rsidP="00197B93" w:rsidRDefault="00197B93" w14:paraId="4AE7FDB4" w14:textId="56FF5E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Pr="00096B69" w:rsidR="00197B93" w:rsidP="00197B93" w:rsidRDefault="00197B93" w14:paraId="40FCD03C" w14:textId="1DD9072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115 710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Pr="00096B69" w:rsidR="00197B93" w:rsidP="00197B93" w:rsidRDefault="00197B93" w14:paraId="3DCD7293" w14:textId="29F43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Pr="00096B69" w:rsidR="00197B93" w:rsidP="00197B93" w:rsidRDefault="00197B93" w14:paraId="0DB15702" w14:textId="189ED5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vAlign w:val="center"/>
          </w:tcPr>
          <w:p w:rsidRPr="00096B69" w:rsidR="00197B93" w:rsidP="00197B93" w:rsidRDefault="00197B93" w14:paraId="6763A6E4" w14:textId="206C41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Pr="00096B69" w:rsidR="00197B93" w:rsidP="00197B93" w:rsidRDefault="00197B93" w14:paraId="75065762" w14:textId="741026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vAlign w:val="center"/>
          </w:tcPr>
          <w:p w:rsidRPr="00096B69" w:rsidR="00197B93" w:rsidP="00197B93" w:rsidRDefault="00197B93" w14:paraId="0F5353A6" w14:textId="2AAB0F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Pr="00096B69" w:rsidR="00197B93" w:rsidP="00197B93" w:rsidRDefault="00197B93" w14:paraId="0ABCC353" w14:textId="7F7DAE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115 710</w:t>
            </w:r>
          </w:p>
        </w:tc>
      </w:tr>
      <w:tr w:rsidRPr="00096B69" w:rsidR="00197B93" w:rsidTr="005864E6" w14:paraId="12A42BE8" w14:textId="77777777">
        <w:trPr>
          <w:trHeight w:val="718"/>
        </w:trPr>
        <w:tc>
          <w:tcPr>
            <w:tcW w:w="1555" w:type="dxa"/>
            <w:vMerge/>
            <w:shd w:val="clear" w:color="auto" w:fill="auto"/>
            <w:vAlign w:val="center"/>
          </w:tcPr>
          <w:p w:rsidRPr="00096B69" w:rsidR="00197B93" w:rsidP="00197B93" w:rsidRDefault="00197B93" w14:paraId="3650C9D4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Pr="00096B69" w:rsidR="00197B93" w:rsidP="00197B93" w:rsidRDefault="00197B93" w14:paraId="407642EA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Pr="00096B69" w:rsidR="00197B93" w:rsidP="00197B93" w:rsidRDefault="00197B93" w14:paraId="545B8C1A" w14:textId="13F1F0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CEF2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Pr="00096B69" w:rsidR="00197B93" w:rsidP="00197B93" w:rsidRDefault="00197B93" w14:paraId="571AA33A" w14:textId="43A2B67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Pr="00096B69" w:rsidR="00197B93" w:rsidP="00197B93" w:rsidRDefault="00197B93" w14:paraId="33F4C37C" w14:textId="543E8D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Pr="00096B69" w:rsidR="00197B93" w:rsidP="00197B93" w:rsidRDefault="00197B93" w14:paraId="4FFC369A" w14:textId="7EBFCB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Pr="00096B69" w:rsidR="00197B93" w:rsidP="00197B93" w:rsidRDefault="00197B93" w14:paraId="19C78186" w14:textId="1EE5D9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Pr="00096B69" w:rsidR="00197B93" w:rsidP="00197B93" w:rsidRDefault="00197B93" w14:paraId="15C0A169" w14:textId="72C4B0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Pr="00096B69" w:rsidR="00197B93" w:rsidP="00197B93" w:rsidRDefault="00197B93" w14:paraId="19FD07AC" w14:textId="7EB5C9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Pr="00096B69" w:rsidR="00197B93" w:rsidP="00197B93" w:rsidRDefault="00197B93" w14:paraId="1B1C12C0" w14:textId="1EF17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Pr="00096B69" w:rsidR="00197B93" w:rsidP="00197B93" w:rsidRDefault="00197B93" w14:paraId="1F080B3F" w14:textId="2F914BC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140 000</w:t>
            </w:r>
          </w:p>
        </w:tc>
      </w:tr>
      <w:tr w:rsidRPr="00096B69" w:rsidR="00197B93" w:rsidTr="005864E6" w14:paraId="7363ACE7" w14:textId="77777777">
        <w:trPr>
          <w:trHeight w:val="718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Pr="00096B69" w:rsidR="00197B93" w:rsidP="00197B93" w:rsidRDefault="00197B93" w14:paraId="5EF3E528" w14:textId="55CBF9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Projekta īstenošanas atbalsts pasākumi</w:t>
            </w:r>
          </w:p>
        </w:tc>
        <w:tc>
          <w:tcPr>
            <w:tcW w:w="850" w:type="dxa"/>
            <w:shd w:val="clear" w:color="auto" w:fill="auto"/>
          </w:tcPr>
          <w:p w:rsidRPr="00096B69" w:rsidR="00197B93" w:rsidP="00197B93" w:rsidRDefault="00197B93" w14:paraId="4DAB0E04" w14:textId="19BD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CEF2 gro-zījumi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Pr="00096B69" w:rsidR="00197B93" w:rsidP="00197B93" w:rsidRDefault="00197B93" w14:paraId="36458B2B" w14:textId="065474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Pr="00096B69" w:rsidR="00197B93" w:rsidP="00197B93" w:rsidRDefault="00197B93" w14:paraId="24F8B0B0" w14:textId="710BCE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35 102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Pr="00096B69" w:rsidR="00197B93" w:rsidP="00197B93" w:rsidRDefault="00197B93" w14:paraId="739F0F06" w14:textId="6CEBFE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39 927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Pr="00096B69" w:rsidR="00197B93" w:rsidP="00197B93" w:rsidRDefault="00197B93" w14:paraId="38105723" w14:textId="349F5A8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16 259</w:t>
            </w:r>
          </w:p>
        </w:tc>
        <w:tc>
          <w:tcPr>
            <w:tcW w:w="868" w:type="dxa"/>
            <w:vAlign w:val="center"/>
          </w:tcPr>
          <w:p w:rsidRPr="00096B69" w:rsidR="00197B93" w:rsidP="00197B93" w:rsidRDefault="00197B93" w14:paraId="65EB9A3A" w14:textId="605FFEA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Pr="00096B69" w:rsidR="00197B93" w:rsidP="00197B93" w:rsidRDefault="00197B93" w14:paraId="1A888BF9" w14:textId="5DB9F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6 630</w:t>
            </w:r>
          </w:p>
        </w:tc>
        <w:tc>
          <w:tcPr>
            <w:tcW w:w="868" w:type="dxa"/>
            <w:vAlign w:val="center"/>
          </w:tcPr>
          <w:p w:rsidRPr="00096B69" w:rsidR="00197B93" w:rsidP="00197B93" w:rsidRDefault="00197B93" w14:paraId="036E8E53" w14:textId="42525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Pr="00096B69" w:rsidR="00197B93" w:rsidP="00197B93" w:rsidRDefault="00197B93" w14:paraId="4356C8D7" w14:textId="6B32903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</w:rPr>
              <w:t>97 917</w:t>
            </w:r>
          </w:p>
        </w:tc>
      </w:tr>
      <w:tr w:rsidRPr="00096B69" w:rsidR="00197B93" w:rsidTr="005864E6" w14:paraId="77B5C7D1" w14:textId="77777777">
        <w:trPr>
          <w:trHeight w:val="718"/>
        </w:trPr>
        <w:tc>
          <w:tcPr>
            <w:tcW w:w="1555" w:type="dxa"/>
            <w:vMerge/>
            <w:shd w:val="clear" w:color="auto" w:fill="auto"/>
            <w:vAlign w:val="center"/>
          </w:tcPr>
          <w:p w:rsidRPr="00096B69" w:rsidR="00197B93" w:rsidP="00197B93" w:rsidRDefault="00197B93" w14:paraId="030BD582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Pr="00096B69" w:rsidR="00197B93" w:rsidP="00197B93" w:rsidRDefault="00197B93" w14:paraId="0DD3B14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Pr="00197B93" w:rsidR="00197B93" w:rsidP="00197B93" w:rsidRDefault="00197B93" w14:paraId="780A9BEA" w14:textId="0D43B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CEF2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Pr="00197B93" w:rsidR="00197B93" w:rsidP="00197B93" w:rsidRDefault="00197B93" w14:paraId="4A0C48FC" w14:textId="79B55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10 000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Pr="00197B93" w:rsidR="00197B93" w:rsidP="00197B93" w:rsidRDefault="00197B93" w14:paraId="5458C862" w14:textId="3CE9C3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34 860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Pr="00197B93" w:rsidR="00197B93" w:rsidP="00197B93" w:rsidRDefault="00197B93" w14:paraId="6D0C3376" w14:textId="6EF655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34 860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Pr="00197B93" w:rsidR="00197B93" w:rsidP="00197B93" w:rsidRDefault="00197B93" w14:paraId="081F2A3C" w14:textId="7B2921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Pr="00197B93" w:rsidR="00197B93" w:rsidP="00197B93" w:rsidRDefault="00197B93" w14:paraId="2EA3F6B8" w14:textId="74090F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Pr="00197B93" w:rsidR="00197B93" w:rsidP="00197B93" w:rsidRDefault="00197B93" w14:paraId="633CD027" w14:textId="1AB488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Pr="00197B93" w:rsidR="00197B93" w:rsidP="00197B93" w:rsidRDefault="00197B93" w14:paraId="2F0A43CE" w14:textId="1AED55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Pr="00197B93" w:rsidR="00197B93" w:rsidP="00197B93" w:rsidRDefault="00197B93" w14:paraId="37D8154C" w14:textId="1DF9EA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79 720</w:t>
            </w:r>
          </w:p>
        </w:tc>
      </w:tr>
      <w:tr w:rsidRPr="00096B69" w:rsidR="00CC0445" w:rsidTr="005864E6" w14:paraId="2DD49157" w14:textId="77777777">
        <w:trPr>
          <w:trHeight w:val="718"/>
        </w:trPr>
        <w:tc>
          <w:tcPr>
            <w:tcW w:w="1555" w:type="dxa"/>
            <w:shd w:val="clear" w:color="auto" w:fill="auto"/>
            <w:vAlign w:val="center"/>
          </w:tcPr>
          <w:p w:rsidRPr="00096B69" w:rsidR="00CC0445" w:rsidP="00763A9E" w:rsidRDefault="00CC0445" w14:paraId="46E805BA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Kopā (CEF2 grozījumi)</w:t>
            </w:r>
          </w:p>
        </w:tc>
        <w:tc>
          <w:tcPr>
            <w:tcW w:w="850" w:type="dxa"/>
            <w:shd w:val="clear" w:color="auto" w:fill="auto"/>
          </w:tcPr>
          <w:p w:rsidRPr="00096B69" w:rsidR="00CC0445" w:rsidP="00763A9E" w:rsidRDefault="00CC0445" w14:paraId="4E3097E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CEF2 gro-zījumi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Pr="00096B69" w:rsidR="00CC0445" w:rsidP="00763A9E" w:rsidRDefault="00CC0445" w14:paraId="3940188A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Pr="00096B69" w:rsidR="00CC0445" w:rsidP="00763A9E" w:rsidRDefault="00CC0445" w14:paraId="6AFA32A2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150 812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Pr="00096B69" w:rsidR="00CC0445" w:rsidP="00763A9E" w:rsidRDefault="00CC0445" w14:paraId="1B755C27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212 018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Pr="00096B69" w:rsidR="00CC0445" w:rsidP="00763A9E" w:rsidRDefault="00CC0445" w14:paraId="005CFBD8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122 168</w:t>
            </w:r>
          </w:p>
        </w:tc>
        <w:tc>
          <w:tcPr>
            <w:tcW w:w="868" w:type="dxa"/>
            <w:vAlign w:val="bottom"/>
          </w:tcPr>
          <w:p w:rsidRPr="00096B69" w:rsidR="00CC0445" w:rsidP="00763A9E" w:rsidRDefault="00CC0445" w14:paraId="0A363F6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Pr="00096B69" w:rsidR="00CC0445" w:rsidP="00763A9E" w:rsidRDefault="00CC0445" w14:paraId="5E29F84D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94 722</w:t>
            </w:r>
          </w:p>
        </w:tc>
        <w:tc>
          <w:tcPr>
            <w:tcW w:w="868" w:type="dxa"/>
            <w:vAlign w:val="bottom"/>
          </w:tcPr>
          <w:p w:rsidRPr="00096B69" w:rsidR="00CC0445" w:rsidP="00763A9E" w:rsidRDefault="00CC0445" w14:paraId="0B27938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Pr="00096B69" w:rsidR="00CC0445" w:rsidP="00763A9E" w:rsidRDefault="00CC0445" w14:paraId="0854873B" w14:textId="777777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579 720</w:t>
            </w:r>
          </w:p>
        </w:tc>
      </w:tr>
      <w:tr w:rsidRPr="00096B69" w:rsidR="00CC0445" w:rsidTr="005864E6" w14:paraId="356ED0DF" w14:textId="77777777">
        <w:trPr>
          <w:trHeight w:val="123"/>
        </w:trPr>
        <w:tc>
          <w:tcPr>
            <w:tcW w:w="1555" w:type="dxa"/>
            <w:vAlign w:val="center"/>
          </w:tcPr>
          <w:p w:rsidRPr="00096B69" w:rsidR="00CC0445" w:rsidP="00763A9E" w:rsidRDefault="00CC0445" w14:paraId="4ED88534" w14:textId="777777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Kopā (CEF2)</w:t>
            </w:r>
          </w:p>
        </w:tc>
        <w:tc>
          <w:tcPr>
            <w:tcW w:w="850" w:type="dxa"/>
            <w:shd w:val="clear" w:color="000000" w:fill="D9D9D9"/>
          </w:tcPr>
          <w:p w:rsidRPr="00096B69" w:rsidR="00CC0445" w:rsidP="00763A9E" w:rsidRDefault="00CC0445" w14:paraId="637B0A7C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Pr="00096B69" w:rsidR="00CC0445" w:rsidP="00763A9E" w:rsidRDefault="00CC0445" w14:paraId="024E14C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CEF2</w:t>
            </w:r>
          </w:p>
          <w:p w:rsidRPr="00096B69" w:rsidR="00CC0445" w:rsidP="00763A9E" w:rsidRDefault="00CC0445" w14:paraId="08801F6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shd w:val="clear" w:color="000000" w:fill="D9D9D9"/>
            <w:vAlign w:val="bottom"/>
          </w:tcPr>
          <w:p w:rsidRPr="00096B69" w:rsidR="00CC0445" w:rsidP="00763A9E" w:rsidRDefault="00CC0445" w14:paraId="3641E86C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868" w:type="dxa"/>
            <w:shd w:val="clear" w:color="000000" w:fill="D9D9D9"/>
            <w:vAlign w:val="bottom"/>
          </w:tcPr>
          <w:p w:rsidRPr="00096B69" w:rsidR="00CC0445" w:rsidP="00763A9E" w:rsidRDefault="00CC0445" w14:paraId="197E4993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328 860</w:t>
            </w:r>
          </w:p>
        </w:tc>
        <w:tc>
          <w:tcPr>
            <w:tcW w:w="868" w:type="dxa"/>
            <w:shd w:val="clear" w:color="000000" w:fill="D9D9D9"/>
            <w:vAlign w:val="bottom"/>
          </w:tcPr>
          <w:p w:rsidRPr="00096B69" w:rsidR="00CC0445" w:rsidP="00763A9E" w:rsidRDefault="00CC0445" w14:paraId="1CD9487F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208 860</w:t>
            </w:r>
          </w:p>
        </w:tc>
        <w:tc>
          <w:tcPr>
            <w:tcW w:w="869" w:type="dxa"/>
            <w:shd w:val="clear" w:color="000000" w:fill="D9D9D9"/>
            <w:vAlign w:val="bottom"/>
          </w:tcPr>
          <w:p w:rsidRPr="00096B69" w:rsidR="00CC0445" w:rsidP="00763A9E" w:rsidRDefault="00CC0445" w14:paraId="56BEFD89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000000" w:fill="D9D9D9"/>
          </w:tcPr>
          <w:p w:rsidRPr="00096B69" w:rsidR="00D95E99" w:rsidP="00763A9E" w:rsidRDefault="00D95E99" w14:paraId="2B9971D2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Pr="00096B69" w:rsidR="00D95E99" w:rsidP="00763A9E" w:rsidRDefault="00D95E99" w14:paraId="5F2A7E9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Pr="00096B69" w:rsidR="00CC0445" w:rsidP="00763A9E" w:rsidRDefault="00D95E99" w14:paraId="781162F5" w14:textId="38B051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000000" w:fill="D9D9D9"/>
            <w:vAlign w:val="bottom"/>
          </w:tcPr>
          <w:p w:rsidRPr="00096B69" w:rsidR="00CC0445" w:rsidP="00763A9E" w:rsidRDefault="00CC0445" w14:paraId="4E0E4A50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000000" w:fill="D9D9D9"/>
          </w:tcPr>
          <w:p w:rsidRPr="00096B69" w:rsidR="00D95E99" w:rsidP="00D95E99" w:rsidRDefault="00D95E99" w14:paraId="5A931F95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Pr="00096B69" w:rsidR="00D95E99" w:rsidP="00D95E99" w:rsidRDefault="00D95E99" w14:paraId="10B975F8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Pr="00096B69" w:rsidR="00D95E99" w:rsidP="00D95E99" w:rsidRDefault="00D95E99" w14:paraId="1545BBE7" w14:textId="592F902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shd w:val="clear" w:color="000000" w:fill="D9D9D9"/>
            <w:vAlign w:val="bottom"/>
          </w:tcPr>
          <w:p w:rsidRPr="00096B69" w:rsidR="00CC0445" w:rsidP="00763A9E" w:rsidRDefault="00CC0445" w14:paraId="2F46426B" w14:textId="777777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579 720</w:t>
            </w:r>
          </w:p>
        </w:tc>
      </w:tr>
    </w:tbl>
    <w:p w:rsidR="008C0E1F" w:rsidP="008C0E1F" w:rsidRDefault="008C0E1F" w14:paraId="760BC2B9" w14:textId="77777777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AB58A9" w:rsidP="008C0E1F" w:rsidRDefault="001935CC" w14:paraId="4B1B5AB7" w14:textId="545E7294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Lai nodrošinātu iespēju CEF2 līguma ietvarā ietaupītos finanšu resursus </w:t>
      </w:r>
      <w:r w:rsidR="00FF7D95">
        <w:rPr>
          <w:rFonts w:cs="Times New Roman"/>
          <w:sz w:val="24"/>
          <w:szCs w:val="24"/>
        </w:rPr>
        <w:t xml:space="preserve">izlietot pēc 2020.gada, </w:t>
      </w:r>
      <w:r w:rsidR="00E86CD4">
        <w:rPr>
          <w:rFonts w:cs="Times New Roman"/>
          <w:sz w:val="24"/>
          <w:szCs w:val="24"/>
        </w:rPr>
        <w:t>novirz</w:t>
      </w:r>
      <w:r w:rsidR="00FF7D95">
        <w:rPr>
          <w:rFonts w:cs="Times New Roman"/>
          <w:sz w:val="24"/>
          <w:szCs w:val="24"/>
        </w:rPr>
        <w:t>o</w:t>
      </w:r>
      <w:r w:rsidR="00E86CD4">
        <w:rPr>
          <w:rFonts w:cs="Times New Roman"/>
          <w:sz w:val="24"/>
          <w:szCs w:val="24"/>
        </w:rPr>
        <w:t xml:space="preserve">t </w:t>
      </w:r>
      <w:r w:rsidR="00FF7D95">
        <w:rPr>
          <w:rFonts w:cs="Times New Roman"/>
          <w:sz w:val="24"/>
          <w:szCs w:val="24"/>
        </w:rPr>
        <w:t xml:space="preserve">tos </w:t>
      </w:r>
      <w:r w:rsidR="00E86CD4">
        <w:rPr>
          <w:rFonts w:cs="Times New Roman"/>
          <w:sz w:val="24"/>
          <w:szCs w:val="24"/>
        </w:rPr>
        <w:t>papildus</w:t>
      </w:r>
      <w:r w:rsidRPr="00E86CD4" w:rsidR="00E86CD4">
        <w:rPr>
          <w:rFonts w:cs="Times New Roman"/>
          <w:sz w:val="24"/>
          <w:szCs w:val="24"/>
        </w:rPr>
        <w:t xml:space="preserve"> nepieciešamajai kultūras un arheoloģiskā mantojuma izpētei un juridiskajiem pakalpojumiem</w:t>
      </w:r>
      <w:r w:rsidR="00FF7D95">
        <w:rPr>
          <w:rFonts w:cs="Times New Roman"/>
          <w:sz w:val="24"/>
          <w:szCs w:val="24"/>
        </w:rPr>
        <w:t xml:space="preserve">, ir nepieciešams grozīt CEF2 līgumā paredzēto finanšu resursu izlietojuma gala termiņu. </w:t>
      </w:r>
      <w:r w:rsidR="0021676D">
        <w:rPr>
          <w:rFonts w:cs="Times New Roman"/>
          <w:sz w:val="24"/>
          <w:szCs w:val="24"/>
        </w:rPr>
        <w:t xml:space="preserve">Atbilstoši </w:t>
      </w:r>
      <w:r w:rsidR="00FF7D95">
        <w:rPr>
          <w:rFonts w:cs="Times New Roman"/>
          <w:sz w:val="24"/>
          <w:szCs w:val="24"/>
        </w:rPr>
        <w:t xml:space="preserve">RB Rail sagatavotajiem </w:t>
      </w:r>
      <w:r w:rsidR="0021676D">
        <w:rPr>
          <w:rFonts w:cs="Times New Roman"/>
          <w:sz w:val="24"/>
          <w:szCs w:val="24"/>
        </w:rPr>
        <w:t>CEF2 līgum</w:t>
      </w:r>
      <w:r w:rsidR="00FF7D95">
        <w:rPr>
          <w:rFonts w:cs="Times New Roman"/>
          <w:sz w:val="24"/>
          <w:szCs w:val="24"/>
        </w:rPr>
        <w:t>a</w:t>
      </w:r>
      <w:r w:rsidR="0021676D">
        <w:rPr>
          <w:rFonts w:cs="Times New Roman"/>
          <w:sz w:val="24"/>
          <w:szCs w:val="24"/>
        </w:rPr>
        <w:t xml:space="preserve"> </w:t>
      </w:r>
      <w:r w:rsidR="008A7C89">
        <w:rPr>
          <w:rFonts w:cs="Times New Roman"/>
          <w:sz w:val="24"/>
          <w:szCs w:val="24"/>
        </w:rPr>
        <w:t xml:space="preserve">otriem </w:t>
      </w:r>
      <w:r w:rsidR="0021676D">
        <w:rPr>
          <w:rFonts w:cs="Times New Roman"/>
          <w:sz w:val="24"/>
          <w:szCs w:val="24"/>
        </w:rPr>
        <w:t xml:space="preserve">grozījumiem aktivitāšu īstenošana </w:t>
      </w:r>
      <w:r w:rsidR="00C02CE9">
        <w:rPr>
          <w:rFonts w:cs="Times New Roman"/>
          <w:sz w:val="24"/>
          <w:szCs w:val="24"/>
        </w:rPr>
        <w:t>tiek</w:t>
      </w:r>
      <w:r w:rsidR="0021676D">
        <w:rPr>
          <w:rFonts w:cs="Times New Roman"/>
          <w:sz w:val="24"/>
          <w:szCs w:val="24"/>
        </w:rPr>
        <w:t xml:space="preserve"> paredzēta līdz 202</w:t>
      </w:r>
      <w:r w:rsidR="008C562B">
        <w:rPr>
          <w:rFonts w:cs="Times New Roman"/>
          <w:sz w:val="24"/>
          <w:szCs w:val="24"/>
        </w:rPr>
        <w:t>3</w:t>
      </w:r>
      <w:r w:rsidR="000C576A">
        <w:rPr>
          <w:rFonts w:cs="Times New Roman"/>
          <w:sz w:val="24"/>
          <w:szCs w:val="24"/>
        </w:rPr>
        <w:t xml:space="preserve">. </w:t>
      </w:r>
      <w:r w:rsidR="0021676D">
        <w:rPr>
          <w:rFonts w:cs="Times New Roman"/>
          <w:sz w:val="24"/>
          <w:szCs w:val="24"/>
        </w:rPr>
        <w:t>gada</w:t>
      </w:r>
      <w:r w:rsidR="000C576A">
        <w:rPr>
          <w:rFonts w:cs="Times New Roman"/>
          <w:sz w:val="24"/>
          <w:szCs w:val="24"/>
        </w:rPr>
        <w:t xml:space="preserve"> </w:t>
      </w:r>
      <w:r w:rsidR="008C562B">
        <w:rPr>
          <w:rFonts w:cs="Times New Roman"/>
          <w:sz w:val="24"/>
          <w:szCs w:val="24"/>
        </w:rPr>
        <w:t>30.</w:t>
      </w:r>
      <w:r w:rsidR="000C576A">
        <w:rPr>
          <w:rFonts w:cs="Times New Roman"/>
          <w:sz w:val="24"/>
          <w:szCs w:val="24"/>
        </w:rPr>
        <w:t xml:space="preserve"> </w:t>
      </w:r>
      <w:r w:rsidR="008C562B">
        <w:rPr>
          <w:rFonts w:cs="Times New Roman"/>
          <w:sz w:val="24"/>
          <w:szCs w:val="24"/>
        </w:rPr>
        <w:t>jūnijam</w:t>
      </w:r>
      <w:r w:rsidR="0021676D">
        <w:rPr>
          <w:rFonts w:cs="Times New Roman"/>
          <w:sz w:val="24"/>
          <w:szCs w:val="24"/>
        </w:rPr>
        <w:t>.</w:t>
      </w:r>
      <w:r w:rsidR="00722A79">
        <w:rPr>
          <w:rFonts w:cs="Times New Roman"/>
          <w:sz w:val="24"/>
          <w:szCs w:val="24"/>
        </w:rPr>
        <w:t xml:space="preserve"> </w:t>
      </w:r>
      <w:r w:rsidR="00FF7D95">
        <w:rPr>
          <w:rFonts w:cs="Times New Roman"/>
          <w:sz w:val="24"/>
          <w:szCs w:val="24"/>
        </w:rPr>
        <w:t>Latvijai pieejamo finansējumu 94 72</w:t>
      </w:r>
      <w:r w:rsidR="000872FF">
        <w:rPr>
          <w:rFonts w:cs="Times New Roman"/>
          <w:sz w:val="24"/>
          <w:szCs w:val="24"/>
        </w:rPr>
        <w:t>2</w:t>
      </w:r>
      <w:r w:rsidR="00FF7D95">
        <w:rPr>
          <w:rFonts w:cs="Times New Roman"/>
          <w:sz w:val="24"/>
          <w:szCs w:val="24"/>
        </w:rPr>
        <w:t xml:space="preserve"> </w:t>
      </w:r>
      <w:r w:rsidRPr="000872FF" w:rsidR="000872FF">
        <w:rPr>
          <w:rFonts w:cs="Times New Roman"/>
          <w:i/>
          <w:iCs/>
          <w:sz w:val="24"/>
          <w:szCs w:val="24"/>
        </w:rPr>
        <w:t>euro</w:t>
      </w:r>
      <w:r w:rsidR="00FF7D95">
        <w:rPr>
          <w:rFonts w:cs="Times New Roman"/>
          <w:sz w:val="24"/>
          <w:szCs w:val="24"/>
        </w:rPr>
        <w:t xml:space="preserve"> apmērā, kas veidojas </w:t>
      </w:r>
      <w:r w:rsidR="002042DD">
        <w:rPr>
          <w:rFonts w:cs="Times New Roman"/>
          <w:sz w:val="24"/>
          <w:szCs w:val="24"/>
        </w:rPr>
        <w:t>2017. – 2019. gad</w:t>
      </w:r>
      <w:r w:rsidR="00FF7D95">
        <w:rPr>
          <w:rFonts w:cs="Times New Roman"/>
          <w:sz w:val="24"/>
          <w:szCs w:val="24"/>
        </w:rPr>
        <w:t>ā</w:t>
      </w:r>
      <w:r w:rsidR="002042DD">
        <w:rPr>
          <w:rFonts w:cs="Times New Roman"/>
          <w:sz w:val="24"/>
          <w:szCs w:val="24"/>
        </w:rPr>
        <w:t xml:space="preserve"> </w:t>
      </w:r>
      <w:r w:rsidR="00FF7D95">
        <w:rPr>
          <w:rFonts w:cs="Times New Roman"/>
          <w:sz w:val="24"/>
          <w:szCs w:val="24"/>
        </w:rPr>
        <w:t xml:space="preserve">plānoto </w:t>
      </w:r>
      <w:r w:rsidR="002042DD">
        <w:rPr>
          <w:rFonts w:cs="Times New Roman"/>
          <w:sz w:val="24"/>
          <w:szCs w:val="24"/>
        </w:rPr>
        <w:t>finanšu resursu ekonomij</w:t>
      </w:r>
      <w:r w:rsidR="00FF7D95">
        <w:rPr>
          <w:rFonts w:cs="Times New Roman"/>
          <w:sz w:val="24"/>
          <w:szCs w:val="24"/>
        </w:rPr>
        <w:t>as</w:t>
      </w:r>
      <w:r w:rsidR="002042DD">
        <w:rPr>
          <w:rFonts w:cs="Times New Roman"/>
          <w:sz w:val="24"/>
          <w:szCs w:val="24"/>
        </w:rPr>
        <w:t xml:space="preserve"> </w:t>
      </w:r>
      <w:r w:rsidR="00FF7D95">
        <w:rPr>
          <w:rFonts w:cs="Times New Roman"/>
          <w:sz w:val="24"/>
          <w:szCs w:val="24"/>
        </w:rPr>
        <w:t xml:space="preserve">rezultātā, </w:t>
      </w:r>
      <w:r w:rsidR="0076676A">
        <w:rPr>
          <w:rFonts w:cs="Times New Roman"/>
          <w:sz w:val="24"/>
          <w:szCs w:val="24"/>
        </w:rPr>
        <w:t xml:space="preserve">plānots </w:t>
      </w:r>
      <w:r w:rsidR="002042DD">
        <w:rPr>
          <w:rFonts w:cs="Times New Roman"/>
          <w:sz w:val="24"/>
          <w:szCs w:val="24"/>
        </w:rPr>
        <w:t xml:space="preserve">apgūt </w:t>
      </w:r>
      <w:r w:rsidR="0076676A">
        <w:rPr>
          <w:rFonts w:cs="Times New Roman"/>
          <w:sz w:val="24"/>
          <w:szCs w:val="24"/>
        </w:rPr>
        <w:t>2021.</w:t>
      </w:r>
      <w:r w:rsidR="000C576A">
        <w:rPr>
          <w:rFonts w:cs="Times New Roman"/>
          <w:sz w:val="24"/>
          <w:szCs w:val="24"/>
        </w:rPr>
        <w:t xml:space="preserve"> </w:t>
      </w:r>
      <w:r w:rsidR="0076676A">
        <w:rPr>
          <w:rFonts w:cs="Times New Roman"/>
          <w:sz w:val="24"/>
          <w:szCs w:val="24"/>
        </w:rPr>
        <w:t>gadā.</w:t>
      </w:r>
    </w:p>
    <w:p w:rsidR="003E023A" w:rsidP="00601B9C" w:rsidRDefault="00FF7D95" w14:paraId="5FBA27CD" w14:textId="78AE0CBA">
      <w:pPr>
        <w:spacing w:after="12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2021.gadā plānotās CEF2 līguma </w:t>
      </w:r>
      <w:r w:rsidRPr="00D871C4" w:rsidR="003E023A">
        <w:rPr>
          <w:rFonts w:cs="Times New Roman"/>
          <w:sz w:val="24"/>
          <w:szCs w:val="24"/>
        </w:rPr>
        <w:t>Latvijas aktivitātes ieviesīs</w:t>
      </w:r>
      <w:r w:rsidR="00B928C3">
        <w:rPr>
          <w:rFonts w:cs="Times New Roman"/>
          <w:sz w:val="24"/>
          <w:szCs w:val="24"/>
        </w:rPr>
        <w:t xml:space="preserve"> </w:t>
      </w:r>
      <w:r w:rsidRPr="00D871C4" w:rsidR="003E023A">
        <w:rPr>
          <w:rFonts w:cs="Times New Roman"/>
          <w:sz w:val="24"/>
          <w:szCs w:val="24"/>
        </w:rPr>
        <w:t>nacionālais projekta īstenotājs SIA “Eiropas dzelzceļa līnijas” un RB</w:t>
      </w:r>
      <w:r w:rsidR="003E023A">
        <w:rPr>
          <w:rFonts w:cs="Times New Roman"/>
          <w:sz w:val="24"/>
          <w:szCs w:val="24"/>
        </w:rPr>
        <w:t xml:space="preserve"> </w:t>
      </w:r>
      <w:r w:rsidRPr="00D871C4" w:rsidR="003E023A">
        <w:rPr>
          <w:rFonts w:cs="Times New Roman"/>
          <w:sz w:val="24"/>
          <w:szCs w:val="24"/>
        </w:rPr>
        <w:t>R</w:t>
      </w:r>
      <w:r w:rsidR="003E023A">
        <w:rPr>
          <w:rFonts w:cs="Times New Roman"/>
          <w:sz w:val="24"/>
          <w:szCs w:val="24"/>
        </w:rPr>
        <w:t>ail</w:t>
      </w:r>
      <w:r w:rsidRPr="00D871C4" w:rsidR="003E023A">
        <w:rPr>
          <w:rFonts w:cs="Times New Roman"/>
          <w:sz w:val="24"/>
          <w:szCs w:val="24"/>
        </w:rPr>
        <w:t xml:space="preserve">. Finanšu resursu apguvi uzraudzīs </w:t>
      </w:r>
      <w:r w:rsidR="00A44234">
        <w:rPr>
          <w:rFonts w:cs="Times New Roman"/>
          <w:sz w:val="24"/>
          <w:szCs w:val="24"/>
        </w:rPr>
        <w:t>Satiksmes m</w:t>
      </w:r>
      <w:r w:rsidRPr="00D871C4" w:rsidR="003E023A">
        <w:rPr>
          <w:rFonts w:cs="Times New Roman"/>
          <w:sz w:val="24"/>
          <w:szCs w:val="24"/>
        </w:rPr>
        <w:t xml:space="preserve">inistrija. </w:t>
      </w:r>
      <w:r>
        <w:rPr>
          <w:rFonts w:cs="Times New Roman"/>
          <w:sz w:val="24"/>
          <w:szCs w:val="24"/>
        </w:rPr>
        <w:t xml:space="preserve">CEF2 līguma grozījumus par Projektu atbildīgo </w:t>
      </w:r>
      <w:r w:rsidR="00DD1370">
        <w:rPr>
          <w:rFonts w:cs="Times New Roman"/>
          <w:sz w:val="24"/>
          <w:szCs w:val="24"/>
        </w:rPr>
        <w:t xml:space="preserve">Baltijas valstu </w:t>
      </w:r>
      <w:r>
        <w:rPr>
          <w:rFonts w:cs="Times New Roman"/>
          <w:sz w:val="24"/>
          <w:szCs w:val="24"/>
        </w:rPr>
        <w:t xml:space="preserve">ministriju, tostarp </w:t>
      </w:r>
      <w:r w:rsidR="00A44234">
        <w:rPr>
          <w:rFonts w:cs="Times New Roman"/>
          <w:sz w:val="24"/>
          <w:szCs w:val="24"/>
        </w:rPr>
        <w:t>Satiksmes ministrijas</w:t>
      </w:r>
      <w:r>
        <w:rPr>
          <w:rFonts w:cs="Times New Roman"/>
          <w:sz w:val="24"/>
          <w:szCs w:val="24"/>
        </w:rPr>
        <w:t xml:space="preserve"> vārdā atbilstoši pilnvarojumam parakstīs RB</w:t>
      </w:r>
      <w:r w:rsidR="009F201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</w:t>
      </w:r>
      <w:r w:rsidR="009F2015">
        <w:rPr>
          <w:rFonts w:cs="Times New Roman"/>
          <w:sz w:val="24"/>
          <w:szCs w:val="24"/>
        </w:rPr>
        <w:t>ail.</w:t>
      </w:r>
    </w:p>
    <w:p w:rsidR="00A40437" w:rsidP="00601B9C" w:rsidRDefault="00A40437" w14:paraId="74503B6E" w14:textId="4321CE8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E5693F" w:rsidP="00895BDC" w:rsidRDefault="00E5693F" w14:paraId="439077D4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4"/>
          <w:szCs w:val="24"/>
          <w:lang w:val="cs-CZ"/>
        </w:rPr>
      </w:pPr>
    </w:p>
    <w:p w:rsidRPr="00A102E7" w:rsidR="005864E6" w:rsidP="005864E6" w:rsidRDefault="005864E6" w14:paraId="055E86AD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A102E7">
        <w:rPr>
          <w:rFonts w:eastAsia="Times New Roman" w:cs="Times New Roman"/>
          <w:sz w:val="24"/>
          <w:szCs w:val="24"/>
          <w:lang w:val="cs-CZ"/>
        </w:rPr>
        <w:t>Satiksmes ministrs</w:t>
      </w:r>
      <w:r w:rsidRPr="00A102E7">
        <w:rPr>
          <w:rFonts w:eastAsia="Times New Roman" w:cs="Times New Roman"/>
          <w:sz w:val="24"/>
          <w:szCs w:val="24"/>
          <w:lang w:val="cs-CZ"/>
        </w:rPr>
        <w:tab/>
        <w:t xml:space="preserve">T. Linkaits </w:t>
      </w:r>
    </w:p>
    <w:p w:rsidRPr="00A102E7" w:rsidR="005864E6" w:rsidP="005864E6" w:rsidRDefault="005864E6" w14:paraId="166152D2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="005864E6" w:rsidP="005864E6" w:rsidRDefault="005864E6" w14:paraId="2EB31011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4"/>
          <w:szCs w:val="24"/>
          <w:lang w:val="cs-CZ"/>
        </w:rPr>
      </w:pPr>
    </w:p>
    <w:p w:rsidR="005864E6" w:rsidP="005864E6" w:rsidRDefault="005864E6" w14:paraId="267C247C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A102E7">
        <w:rPr>
          <w:rFonts w:eastAsia="Times New Roman" w:cs="Times New Roman"/>
          <w:sz w:val="24"/>
          <w:szCs w:val="24"/>
          <w:lang w:val="cs-CZ"/>
        </w:rPr>
        <w:t>Vīza:</w:t>
      </w:r>
    </w:p>
    <w:p w:rsidRPr="00A102E7" w:rsidR="005864E6" w:rsidP="005864E6" w:rsidRDefault="005864E6" w14:paraId="03906764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/>
          <w:sz w:val="24"/>
          <w:szCs w:val="24"/>
          <w:lang w:val="cs-CZ"/>
        </w:rPr>
        <w:t>v</w:t>
      </w:r>
      <w:r w:rsidRPr="00A102E7">
        <w:rPr>
          <w:rFonts w:eastAsia="Times New Roman" w:cs="Times New Roman"/>
          <w:sz w:val="24"/>
          <w:szCs w:val="24"/>
          <w:lang w:val="cs-CZ"/>
        </w:rPr>
        <w:t>alsts sekretār</w:t>
      </w:r>
      <w:r>
        <w:rPr>
          <w:rFonts w:eastAsia="Times New Roman" w:cs="Times New Roman"/>
          <w:sz w:val="24"/>
          <w:szCs w:val="24"/>
          <w:lang w:val="cs-CZ"/>
        </w:rPr>
        <w:t>e</w:t>
      </w:r>
      <w:r w:rsidRPr="00A102E7">
        <w:rPr>
          <w:rFonts w:eastAsia="Times New Roman" w:cs="Times New Roman"/>
          <w:sz w:val="24"/>
          <w:szCs w:val="24"/>
          <w:lang w:val="cs-CZ"/>
        </w:rPr>
        <w:tab/>
      </w:r>
      <w:r>
        <w:rPr>
          <w:rFonts w:eastAsia="Times New Roman" w:cs="Times New Roman"/>
          <w:sz w:val="24"/>
          <w:szCs w:val="24"/>
          <w:lang w:val="cs-CZ"/>
        </w:rPr>
        <w:t>I</w:t>
      </w:r>
      <w:r w:rsidRPr="00A102E7">
        <w:rPr>
          <w:rFonts w:eastAsia="Times New Roman" w:cs="Times New Roman"/>
          <w:sz w:val="24"/>
          <w:szCs w:val="24"/>
          <w:lang w:val="cs-CZ"/>
        </w:rPr>
        <w:t xml:space="preserve">. </w:t>
      </w:r>
      <w:r>
        <w:rPr>
          <w:rFonts w:eastAsia="Times New Roman" w:cs="Times New Roman"/>
          <w:sz w:val="24"/>
          <w:szCs w:val="24"/>
          <w:lang w:val="cs-CZ"/>
        </w:rPr>
        <w:t>Stepanova</w:t>
      </w:r>
    </w:p>
    <w:p w:rsidR="005864E6" w:rsidP="005864E6" w:rsidRDefault="005864E6" w14:paraId="55DB1F99" w14:textId="77777777">
      <w:pPr>
        <w:spacing w:after="0" w:line="240" w:lineRule="auto"/>
        <w:rPr>
          <w:rFonts w:cs="Times New Roman"/>
          <w:bCs/>
          <w:sz w:val="20"/>
          <w:szCs w:val="20"/>
        </w:rPr>
      </w:pPr>
    </w:p>
    <w:p w:rsidR="005864E6" w:rsidP="005864E6" w:rsidRDefault="005864E6" w14:paraId="52581A3B" w14:textId="77777777">
      <w:pPr>
        <w:spacing w:after="0" w:line="240" w:lineRule="auto"/>
        <w:rPr>
          <w:rFonts w:cs="Times New Roman"/>
          <w:bCs/>
          <w:sz w:val="20"/>
          <w:szCs w:val="20"/>
        </w:rPr>
      </w:pPr>
    </w:p>
    <w:p w:rsidR="005864E6" w:rsidP="005864E6" w:rsidRDefault="005864E6" w14:paraId="18F3279F" w14:textId="77777777">
      <w:pPr>
        <w:spacing w:after="0" w:line="240" w:lineRule="auto"/>
        <w:rPr>
          <w:rFonts w:cs="Times New Roman"/>
          <w:bCs/>
          <w:sz w:val="20"/>
          <w:szCs w:val="20"/>
        </w:rPr>
      </w:pPr>
    </w:p>
    <w:p w:rsidR="005864E6" w:rsidP="005864E6" w:rsidRDefault="005864E6" w14:paraId="4343BE9A" w14:textId="77777777">
      <w:pPr>
        <w:spacing w:after="0" w:line="240" w:lineRule="auto"/>
        <w:rPr>
          <w:rFonts w:cs="Times New Roman"/>
          <w:bCs/>
          <w:sz w:val="20"/>
          <w:szCs w:val="20"/>
        </w:rPr>
      </w:pPr>
      <w:r w:rsidRPr="008A6917">
        <w:rPr>
          <w:rFonts w:cs="Times New Roman"/>
          <w:bCs/>
          <w:sz w:val="20"/>
          <w:szCs w:val="20"/>
        </w:rPr>
        <w:t>Bērziņa</w:t>
      </w:r>
      <w:r>
        <w:rPr>
          <w:rFonts w:cs="Times New Roman"/>
          <w:bCs/>
          <w:sz w:val="20"/>
          <w:szCs w:val="20"/>
        </w:rPr>
        <w:t xml:space="preserve">, </w:t>
      </w:r>
      <w:r w:rsidRPr="008A6917">
        <w:rPr>
          <w:rFonts w:cs="Times New Roman"/>
          <w:bCs/>
          <w:sz w:val="20"/>
          <w:szCs w:val="20"/>
        </w:rPr>
        <w:t>67028083</w:t>
      </w:r>
    </w:p>
    <w:p w:rsidR="005864E6" w:rsidP="005864E6" w:rsidRDefault="00BC01B9" w14:paraId="18F3EA7F" w14:textId="77777777">
      <w:pPr>
        <w:spacing w:after="0" w:line="240" w:lineRule="auto"/>
        <w:rPr>
          <w:rFonts w:cs="Times New Roman"/>
          <w:bCs/>
          <w:sz w:val="20"/>
          <w:szCs w:val="20"/>
        </w:rPr>
      </w:pPr>
      <w:hyperlink w:history="1" r:id="rId8">
        <w:r w:rsidRPr="00347235" w:rsidR="005864E6">
          <w:rPr>
            <w:rStyle w:val="Hyperlink"/>
            <w:rFonts w:cs="Times New Roman"/>
            <w:bCs/>
            <w:sz w:val="20"/>
            <w:szCs w:val="20"/>
          </w:rPr>
          <w:t>Olita.Berzina@sam.gov.lv</w:t>
        </w:r>
      </w:hyperlink>
    </w:p>
    <w:p w:rsidR="005864E6" w:rsidP="005864E6" w:rsidRDefault="005864E6" w14:paraId="6077C7BA" w14:textId="77777777">
      <w:pPr>
        <w:spacing w:after="0" w:line="240" w:lineRule="auto"/>
        <w:rPr>
          <w:rFonts w:cs="Times New Roman"/>
          <w:bCs/>
          <w:sz w:val="20"/>
          <w:szCs w:val="20"/>
        </w:rPr>
      </w:pPr>
    </w:p>
    <w:p w:rsidR="005864E6" w:rsidP="005864E6" w:rsidRDefault="005864E6" w14:paraId="6E36103F" w14:textId="77777777">
      <w:pPr>
        <w:spacing w:after="0" w:line="240" w:lineRule="auto"/>
        <w:rPr>
          <w:rFonts w:cs="Times New Roman"/>
          <w:bCs/>
          <w:sz w:val="20"/>
          <w:szCs w:val="20"/>
        </w:rPr>
      </w:pPr>
    </w:p>
    <w:p w:rsidR="005864E6" w:rsidP="005864E6" w:rsidRDefault="005864E6" w14:paraId="4851D9B0" w14:textId="77777777">
      <w:pPr>
        <w:spacing w:after="0" w:line="240" w:lineRule="auto"/>
        <w:rPr>
          <w:rFonts w:cs="Times New Roman"/>
          <w:bCs/>
          <w:sz w:val="20"/>
          <w:szCs w:val="20"/>
        </w:rPr>
      </w:pPr>
    </w:p>
    <w:p w:rsidR="005864E6" w:rsidP="005864E6" w:rsidRDefault="005864E6" w14:paraId="071913BA" w14:textId="77777777">
      <w:pPr>
        <w:spacing w:after="0" w:line="240" w:lineRule="auto"/>
        <w:rPr>
          <w:rFonts w:cs="Times New Roman"/>
          <w:bCs/>
          <w:sz w:val="20"/>
          <w:szCs w:val="20"/>
        </w:rPr>
      </w:pPr>
    </w:p>
    <w:p w:rsidRPr="008A6917" w:rsidR="005864E6" w:rsidP="005864E6" w:rsidRDefault="005864E6" w14:paraId="400A5EE7" w14:textId="087D907E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cs="Times New Roman"/>
          <w:bCs/>
          <w:sz w:val="20"/>
          <w:szCs w:val="20"/>
        </w:rPr>
      </w:pPr>
      <w:r w:rsidRPr="00CA19CE">
        <w:rPr>
          <w:rFonts w:eastAsia="Calibri" w:cs="Times New Roman"/>
          <w:sz w:val="18"/>
          <w:szCs w:val="18"/>
          <w:lang w:eastAsia="lv-LV"/>
        </w:rPr>
        <w:t>DOKUMENTS IR PARAKSTĪTS AR DROŠU ELEKTRONISKO PARAKSTU UN SATUR LAIKA ZĪMOG</w:t>
      </w:r>
      <w:r>
        <w:rPr>
          <w:rFonts w:eastAsia="Calibri" w:cs="Times New Roman"/>
          <w:sz w:val="18"/>
          <w:szCs w:val="18"/>
          <w:lang w:eastAsia="lv-LV"/>
        </w:rPr>
        <w:t>U</w:t>
      </w:r>
    </w:p>
    <w:p w:rsidRPr="008A6917" w:rsidR="008A6917" w:rsidP="005864E6" w:rsidRDefault="008A6917" w14:paraId="676463A5" w14:textId="6F43569C">
      <w:pPr>
        <w:tabs>
          <w:tab w:val="left" w:pos="7088"/>
        </w:tabs>
        <w:spacing w:after="0" w:line="240" w:lineRule="auto"/>
        <w:ind w:left="851"/>
        <w:rPr>
          <w:rFonts w:cs="Times New Roman"/>
          <w:bCs/>
          <w:sz w:val="20"/>
          <w:szCs w:val="20"/>
        </w:rPr>
      </w:pPr>
    </w:p>
    <w:sectPr w:rsidRPr="008A6917" w:rsidR="008A6917" w:rsidSect="00E24C11">
      <w:footerReference w:type="default" r:id="rId9"/>
      <w:pgSz w:w="11906" w:h="16838"/>
      <w:pgMar w:top="1440" w:right="1559" w:bottom="1440" w:left="1559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CC85E" w14:textId="77777777" w:rsidR="00986431" w:rsidRDefault="00986431" w:rsidP="00B95B0A">
      <w:pPr>
        <w:spacing w:after="0" w:line="240" w:lineRule="auto"/>
      </w:pPr>
      <w:r>
        <w:separator/>
      </w:r>
    </w:p>
  </w:endnote>
  <w:endnote w:type="continuationSeparator" w:id="0">
    <w:p w14:paraId="3A1DD19D" w14:textId="77777777" w:rsidR="00986431" w:rsidRDefault="00986431" w:rsidP="00B9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0176447"/>
      <w:docPartObj>
        <w:docPartGallery w:val="Page Numbers (Bottom of Page)"/>
        <w:docPartUnique/>
      </w:docPartObj>
    </w:sdtPr>
    <w:sdtEndPr>
      <w:rPr>
        <w:noProof/>
        <w:sz w:val="24"/>
        <w:szCs w:val="20"/>
      </w:rPr>
    </w:sdtEndPr>
    <w:sdtContent>
      <w:p w14:paraId="45BC8D11" w14:textId="62D8B802" w:rsidR="00C71144" w:rsidRPr="00C10027" w:rsidRDefault="00C71144">
        <w:pPr>
          <w:pStyle w:val="Footer"/>
          <w:jc w:val="right"/>
          <w:rPr>
            <w:sz w:val="24"/>
            <w:szCs w:val="20"/>
          </w:rPr>
        </w:pPr>
        <w:r w:rsidRPr="00C10027">
          <w:rPr>
            <w:sz w:val="24"/>
            <w:szCs w:val="20"/>
          </w:rPr>
          <w:fldChar w:fldCharType="begin"/>
        </w:r>
        <w:r w:rsidRPr="00C10027">
          <w:rPr>
            <w:sz w:val="24"/>
            <w:szCs w:val="20"/>
          </w:rPr>
          <w:instrText xml:space="preserve"> PAGE   \* MERGEFORMAT </w:instrText>
        </w:r>
        <w:r w:rsidRPr="00C10027">
          <w:rPr>
            <w:sz w:val="24"/>
            <w:szCs w:val="20"/>
          </w:rPr>
          <w:fldChar w:fldCharType="separate"/>
        </w:r>
        <w:r w:rsidRPr="00C10027">
          <w:rPr>
            <w:noProof/>
            <w:sz w:val="24"/>
            <w:szCs w:val="20"/>
          </w:rPr>
          <w:t>2</w:t>
        </w:r>
        <w:r w:rsidRPr="00C10027">
          <w:rPr>
            <w:noProof/>
            <w:sz w:val="24"/>
            <w:szCs w:val="20"/>
          </w:rPr>
          <w:fldChar w:fldCharType="end"/>
        </w:r>
      </w:p>
    </w:sdtContent>
  </w:sdt>
  <w:p w14:paraId="242D00CB" w14:textId="7DFAA29C" w:rsidR="00C71144" w:rsidRPr="008165E9" w:rsidRDefault="00C71144" w:rsidP="00DA3EB9">
    <w:pPr>
      <w:pStyle w:val="Footer"/>
      <w:tabs>
        <w:tab w:val="left" w:pos="225"/>
      </w:tabs>
      <w:rPr>
        <w:sz w:val="20"/>
        <w:szCs w:val="20"/>
      </w:rPr>
    </w:pPr>
    <w:r w:rsidRPr="00C6329C">
      <w:rPr>
        <w:sz w:val="20"/>
        <w:szCs w:val="20"/>
      </w:rPr>
      <w:tab/>
    </w:r>
    <w:r w:rsidRPr="008165E9">
      <w:rPr>
        <w:sz w:val="20"/>
        <w:szCs w:val="20"/>
      </w:rPr>
      <w:t>SMzin_</w:t>
    </w:r>
    <w:r w:rsidR="005864E6">
      <w:rPr>
        <w:sz w:val="20"/>
        <w:szCs w:val="20"/>
      </w:rPr>
      <w:t>16</w:t>
    </w:r>
    <w:r w:rsidR="002C3C36" w:rsidRPr="008165E9">
      <w:rPr>
        <w:sz w:val="20"/>
        <w:szCs w:val="20"/>
      </w:rPr>
      <w:t>1120_CEF2pagarin</w:t>
    </w:r>
    <w:r w:rsidRPr="00C6329C">
      <w:rPr>
        <w:sz w:val="20"/>
        <w:szCs w:val="20"/>
      </w:rPr>
      <w:tab/>
    </w:r>
    <w:r w:rsidRPr="00C6329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4BFD" w14:textId="77777777" w:rsidR="00986431" w:rsidRDefault="00986431" w:rsidP="00B95B0A">
      <w:pPr>
        <w:spacing w:after="0" w:line="240" w:lineRule="auto"/>
      </w:pPr>
      <w:r>
        <w:separator/>
      </w:r>
    </w:p>
  </w:footnote>
  <w:footnote w:type="continuationSeparator" w:id="0">
    <w:p w14:paraId="69886F9C" w14:textId="77777777" w:rsidR="00986431" w:rsidRDefault="00986431" w:rsidP="00B9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21F5"/>
    <w:multiLevelType w:val="hybridMultilevel"/>
    <w:tmpl w:val="90E63F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E06"/>
    <w:multiLevelType w:val="hybridMultilevel"/>
    <w:tmpl w:val="274270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02FD"/>
    <w:multiLevelType w:val="hybridMultilevel"/>
    <w:tmpl w:val="A222630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B5D77"/>
    <w:multiLevelType w:val="hybridMultilevel"/>
    <w:tmpl w:val="D9E4A9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22EB0"/>
    <w:multiLevelType w:val="hybridMultilevel"/>
    <w:tmpl w:val="84ECDAE0"/>
    <w:lvl w:ilvl="0" w:tplc="B5E469EA">
      <w:start w:val="201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A40"/>
    <w:multiLevelType w:val="hybridMultilevel"/>
    <w:tmpl w:val="7248917A"/>
    <w:lvl w:ilvl="0" w:tplc="F30A4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51615"/>
    <w:multiLevelType w:val="hybridMultilevel"/>
    <w:tmpl w:val="9072D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1563"/>
    <w:multiLevelType w:val="hybridMultilevel"/>
    <w:tmpl w:val="E736A6D0"/>
    <w:lvl w:ilvl="0" w:tplc="E2020C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714223"/>
    <w:multiLevelType w:val="hybridMultilevel"/>
    <w:tmpl w:val="DE363C52"/>
    <w:lvl w:ilvl="0" w:tplc="ACC221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22CF"/>
    <w:multiLevelType w:val="hybridMultilevel"/>
    <w:tmpl w:val="E6CA796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4069B"/>
    <w:multiLevelType w:val="hybridMultilevel"/>
    <w:tmpl w:val="31ECB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2649"/>
    <w:multiLevelType w:val="hybridMultilevel"/>
    <w:tmpl w:val="CA5CB88E"/>
    <w:lvl w:ilvl="0" w:tplc="2176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71FA4"/>
    <w:multiLevelType w:val="hybridMultilevel"/>
    <w:tmpl w:val="016250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B7632"/>
    <w:multiLevelType w:val="hybridMultilevel"/>
    <w:tmpl w:val="79040C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5150E"/>
    <w:multiLevelType w:val="hybridMultilevel"/>
    <w:tmpl w:val="BC0A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6588E"/>
    <w:multiLevelType w:val="hybridMultilevel"/>
    <w:tmpl w:val="6F102148"/>
    <w:lvl w:ilvl="0" w:tplc="36C69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371702"/>
    <w:multiLevelType w:val="hybridMultilevel"/>
    <w:tmpl w:val="137A6EC2"/>
    <w:lvl w:ilvl="0" w:tplc="9C16A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9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0A"/>
    <w:rsid w:val="00000F14"/>
    <w:rsid w:val="00005BD6"/>
    <w:rsid w:val="000111D7"/>
    <w:rsid w:val="00011372"/>
    <w:rsid w:val="00015A98"/>
    <w:rsid w:val="00017BAD"/>
    <w:rsid w:val="0002078C"/>
    <w:rsid w:val="00032FD7"/>
    <w:rsid w:val="00035029"/>
    <w:rsid w:val="000355FB"/>
    <w:rsid w:val="000406D9"/>
    <w:rsid w:val="00046DEF"/>
    <w:rsid w:val="00047DD7"/>
    <w:rsid w:val="00055059"/>
    <w:rsid w:val="00056B48"/>
    <w:rsid w:val="0006051E"/>
    <w:rsid w:val="00071454"/>
    <w:rsid w:val="000818B5"/>
    <w:rsid w:val="00081DD2"/>
    <w:rsid w:val="000830C1"/>
    <w:rsid w:val="000872FF"/>
    <w:rsid w:val="000940FA"/>
    <w:rsid w:val="00096B69"/>
    <w:rsid w:val="000A0183"/>
    <w:rsid w:val="000A08D2"/>
    <w:rsid w:val="000A4DF4"/>
    <w:rsid w:val="000B38F1"/>
    <w:rsid w:val="000B4DF6"/>
    <w:rsid w:val="000B55CF"/>
    <w:rsid w:val="000B7BED"/>
    <w:rsid w:val="000B7C41"/>
    <w:rsid w:val="000C1B3C"/>
    <w:rsid w:val="000C1CD8"/>
    <w:rsid w:val="000C496C"/>
    <w:rsid w:val="000C49AD"/>
    <w:rsid w:val="000C576A"/>
    <w:rsid w:val="000C7FD8"/>
    <w:rsid w:val="000D0B29"/>
    <w:rsid w:val="000D1C60"/>
    <w:rsid w:val="000D4B5F"/>
    <w:rsid w:val="000D647B"/>
    <w:rsid w:val="000E7720"/>
    <w:rsid w:val="000F5344"/>
    <w:rsid w:val="000F74EE"/>
    <w:rsid w:val="00104557"/>
    <w:rsid w:val="00107AE5"/>
    <w:rsid w:val="00111DF3"/>
    <w:rsid w:val="001140BB"/>
    <w:rsid w:val="00114BBA"/>
    <w:rsid w:val="0011641B"/>
    <w:rsid w:val="001201A0"/>
    <w:rsid w:val="00122D9E"/>
    <w:rsid w:val="001232E1"/>
    <w:rsid w:val="00131171"/>
    <w:rsid w:val="001422C5"/>
    <w:rsid w:val="001428D3"/>
    <w:rsid w:val="00145559"/>
    <w:rsid w:val="00147F1A"/>
    <w:rsid w:val="00151E80"/>
    <w:rsid w:val="0015529B"/>
    <w:rsid w:val="001566C5"/>
    <w:rsid w:val="00157AC1"/>
    <w:rsid w:val="00164968"/>
    <w:rsid w:val="00166200"/>
    <w:rsid w:val="001768D7"/>
    <w:rsid w:val="00183C5B"/>
    <w:rsid w:val="00184119"/>
    <w:rsid w:val="001924F3"/>
    <w:rsid w:val="001935CC"/>
    <w:rsid w:val="00193F94"/>
    <w:rsid w:val="00196A70"/>
    <w:rsid w:val="00197B93"/>
    <w:rsid w:val="001A6278"/>
    <w:rsid w:val="001A629D"/>
    <w:rsid w:val="001A6CB8"/>
    <w:rsid w:val="001B33BC"/>
    <w:rsid w:val="001B417C"/>
    <w:rsid w:val="001B4E59"/>
    <w:rsid w:val="001B6601"/>
    <w:rsid w:val="001C4337"/>
    <w:rsid w:val="001D0045"/>
    <w:rsid w:val="001D19AB"/>
    <w:rsid w:val="001D4680"/>
    <w:rsid w:val="001D4973"/>
    <w:rsid w:val="001E0F60"/>
    <w:rsid w:val="001E4655"/>
    <w:rsid w:val="001E5197"/>
    <w:rsid w:val="001F16F6"/>
    <w:rsid w:val="00202746"/>
    <w:rsid w:val="0020361B"/>
    <w:rsid w:val="002042DD"/>
    <w:rsid w:val="002063A2"/>
    <w:rsid w:val="00207057"/>
    <w:rsid w:val="0021193F"/>
    <w:rsid w:val="00212BDB"/>
    <w:rsid w:val="002138C0"/>
    <w:rsid w:val="0021676D"/>
    <w:rsid w:val="00217197"/>
    <w:rsid w:val="00220898"/>
    <w:rsid w:val="00221CAE"/>
    <w:rsid w:val="00222E84"/>
    <w:rsid w:val="00230155"/>
    <w:rsid w:val="002346FD"/>
    <w:rsid w:val="0024293A"/>
    <w:rsid w:val="00246E43"/>
    <w:rsid w:val="00247148"/>
    <w:rsid w:val="0025042C"/>
    <w:rsid w:val="00251CBD"/>
    <w:rsid w:val="00253481"/>
    <w:rsid w:val="00253DB5"/>
    <w:rsid w:val="0025619E"/>
    <w:rsid w:val="0025711B"/>
    <w:rsid w:val="00257589"/>
    <w:rsid w:val="002617E8"/>
    <w:rsid w:val="0026265B"/>
    <w:rsid w:val="00263750"/>
    <w:rsid w:val="00266A41"/>
    <w:rsid w:val="00267021"/>
    <w:rsid w:val="00267FE9"/>
    <w:rsid w:val="00272D51"/>
    <w:rsid w:val="0027719D"/>
    <w:rsid w:val="00277721"/>
    <w:rsid w:val="00277EDC"/>
    <w:rsid w:val="002808EB"/>
    <w:rsid w:val="00283412"/>
    <w:rsid w:val="00284593"/>
    <w:rsid w:val="00286467"/>
    <w:rsid w:val="00290C84"/>
    <w:rsid w:val="0029465E"/>
    <w:rsid w:val="002958A5"/>
    <w:rsid w:val="00296BB7"/>
    <w:rsid w:val="002A0DB8"/>
    <w:rsid w:val="002A7D59"/>
    <w:rsid w:val="002B43BD"/>
    <w:rsid w:val="002B67DD"/>
    <w:rsid w:val="002B7CD0"/>
    <w:rsid w:val="002C2253"/>
    <w:rsid w:val="002C34E3"/>
    <w:rsid w:val="002C3C36"/>
    <w:rsid w:val="002C3EBC"/>
    <w:rsid w:val="002D4463"/>
    <w:rsid w:val="002D5AA6"/>
    <w:rsid w:val="002E177B"/>
    <w:rsid w:val="002F4532"/>
    <w:rsid w:val="002F55EC"/>
    <w:rsid w:val="002F7864"/>
    <w:rsid w:val="00300C33"/>
    <w:rsid w:val="00301C68"/>
    <w:rsid w:val="003075D3"/>
    <w:rsid w:val="00307A96"/>
    <w:rsid w:val="0031289F"/>
    <w:rsid w:val="00324F1B"/>
    <w:rsid w:val="00326967"/>
    <w:rsid w:val="003365FF"/>
    <w:rsid w:val="00341D56"/>
    <w:rsid w:val="0034200A"/>
    <w:rsid w:val="003446C6"/>
    <w:rsid w:val="00345D19"/>
    <w:rsid w:val="003467CA"/>
    <w:rsid w:val="00347062"/>
    <w:rsid w:val="00350803"/>
    <w:rsid w:val="00355158"/>
    <w:rsid w:val="00357DAD"/>
    <w:rsid w:val="0036132F"/>
    <w:rsid w:val="00361605"/>
    <w:rsid w:val="00365AD4"/>
    <w:rsid w:val="00366F16"/>
    <w:rsid w:val="00371F15"/>
    <w:rsid w:val="00374C16"/>
    <w:rsid w:val="003771B3"/>
    <w:rsid w:val="0038014F"/>
    <w:rsid w:val="0038078B"/>
    <w:rsid w:val="00383A10"/>
    <w:rsid w:val="00387C70"/>
    <w:rsid w:val="003A1363"/>
    <w:rsid w:val="003A2794"/>
    <w:rsid w:val="003A3EE1"/>
    <w:rsid w:val="003B07CC"/>
    <w:rsid w:val="003B41FB"/>
    <w:rsid w:val="003B44BF"/>
    <w:rsid w:val="003C1005"/>
    <w:rsid w:val="003C3A80"/>
    <w:rsid w:val="003C6D24"/>
    <w:rsid w:val="003D232A"/>
    <w:rsid w:val="003D6185"/>
    <w:rsid w:val="003E023A"/>
    <w:rsid w:val="003E5C3B"/>
    <w:rsid w:val="003E6E23"/>
    <w:rsid w:val="003E79E1"/>
    <w:rsid w:val="003F44CB"/>
    <w:rsid w:val="003F48EA"/>
    <w:rsid w:val="004017CD"/>
    <w:rsid w:val="00403779"/>
    <w:rsid w:val="004056D1"/>
    <w:rsid w:val="00405E36"/>
    <w:rsid w:val="004161BC"/>
    <w:rsid w:val="0042037E"/>
    <w:rsid w:val="0043113A"/>
    <w:rsid w:val="00432091"/>
    <w:rsid w:val="0043253B"/>
    <w:rsid w:val="00436147"/>
    <w:rsid w:val="00437231"/>
    <w:rsid w:val="0044116B"/>
    <w:rsid w:val="00443389"/>
    <w:rsid w:val="004446ED"/>
    <w:rsid w:val="00445AE7"/>
    <w:rsid w:val="00451D88"/>
    <w:rsid w:val="004530B4"/>
    <w:rsid w:val="00453A1C"/>
    <w:rsid w:val="00453D31"/>
    <w:rsid w:val="00454A68"/>
    <w:rsid w:val="004566C7"/>
    <w:rsid w:val="00460ADD"/>
    <w:rsid w:val="004617F8"/>
    <w:rsid w:val="00461E56"/>
    <w:rsid w:val="00462ADB"/>
    <w:rsid w:val="00463B60"/>
    <w:rsid w:val="0047067A"/>
    <w:rsid w:val="00470A6C"/>
    <w:rsid w:val="00470DB2"/>
    <w:rsid w:val="004731B8"/>
    <w:rsid w:val="0047357A"/>
    <w:rsid w:val="004807EC"/>
    <w:rsid w:val="00482F9A"/>
    <w:rsid w:val="00484F9B"/>
    <w:rsid w:val="00487152"/>
    <w:rsid w:val="00492B97"/>
    <w:rsid w:val="004959CE"/>
    <w:rsid w:val="0049690D"/>
    <w:rsid w:val="004A2D0B"/>
    <w:rsid w:val="004A3576"/>
    <w:rsid w:val="004A3E95"/>
    <w:rsid w:val="004C3C7A"/>
    <w:rsid w:val="004C7A8C"/>
    <w:rsid w:val="004D02BB"/>
    <w:rsid w:val="004D0422"/>
    <w:rsid w:val="004D42B9"/>
    <w:rsid w:val="004D6BFE"/>
    <w:rsid w:val="004E2BBB"/>
    <w:rsid w:val="004E55B6"/>
    <w:rsid w:val="004F0904"/>
    <w:rsid w:val="004F5AC9"/>
    <w:rsid w:val="004F64C6"/>
    <w:rsid w:val="00502461"/>
    <w:rsid w:val="00504BF3"/>
    <w:rsid w:val="00507AFD"/>
    <w:rsid w:val="00510647"/>
    <w:rsid w:val="00513F23"/>
    <w:rsid w:val="0051438C"/>
    <w:rsid w:val="00516A6F"/>
    <w:rsid w:val="00517B5E"/>
    <w:rsid w:val="00517D61"/>
    <w:rsid w:val="00523CD5"/>
    <w:rsid w:val="00525FDA"/>
    <w:rsid w:val="00531EED"/>
    <w:rsid w:val="0053279B"/>
    <w:rsid w:val="00534510"/>
    <w:rsid w:val="00534B96"/>
    <w:rsid w:val="00537B08"/>
    <w:rsid w:val="00540C92"/>
    <w:rsid w:val="00545D44"/>
    <w:rsid w:val="005468B7"/>
    <w:rsid w:val="005471A6"/>
    <w:rsid w:val="0054772D"/>
    <w:rsid w:val="005525E8"/>
    <w:rsid w:val="00556D89"/>
    <w:rsid w:val="00557CE4"/>
    <w:rsid w:val="00560835"/>
    <w:rsid w:val="00560B14"/>
    <w:rsid w:val="00561E03"/>
    <w:rsid w:val="0056232A"/>
    <w:rsid w:val="00563A50"/>
    <w:rsid w:val="0056444C"/>
    <w:rsid w:val="00564E0E"/>
    <w:rsid w:val="00571F37"/>
    <w:rsid w:val="00577B57"/>
    <w:rsid w:val="00583AB4"/>
    <w:rsid w:val="005864E6"/>
    <w:rsid w:val="005918B0"/>
    <w:rsid w:val="005A0DB2"/>
    <w:rsid w:val="005A1B8C"/>
    <w:rsid w:val="005A2D82"/>
    <w:rsid w:val="005A4A26"/>
    <w:rsid w:val="005A72C0"/>
    <w:rsid w:val="005A748D"/>
    <w:rsid w:val="005B5933"/>
    <w:rsid w:val="005B5D68"/>
    <w:rsid w:val="005B6878"/>
    <w:rsid w:val="005C0D72"/>
    <w:rsid w:val="005C54CA"/>
    <w:rsid w:val="005C6E33"/>
    <w:rsid w:val="005D08EA"/>
    <w:rsid w:val="005D0C0F"/>
    <w:rsid w:val="005D3952"/>
    <w:rsid w:val="005D6C04"/>
    <w:rsid w:val="005D722B"/>
    <w:rsid w:val="005E0193"/>
    <w:rsid w:val="005E3FCD"/>
    <w:rsid w:val="005E524C"/>
    <w:rsid w:val="005E62B3"/>
    <w:rsid w:val="005E782F"/>
    <w:rsid w:val="005F04F6"/>
    <w:rsid w:val="005F0FC0"/>
    <w:rsid w:val="005F1DB0"/>
    <w:rsid w:val="005F4BFD"/>
    <w:rsid w:val="005F6863"/>
    <w:rsid w:val="005F6931"/>
    <w:rsid w:val="00601526"/>
    <w:rsid w:val="00601594"/>
    <w:rsid w:val="00601B9C"/>
    <w:rsid w:val="006027B5"/>
    <w:rsid w:val="0060337E"/>
    <w:rsid w:val="00604AF6"/>
    <w:rsid w:val="00604C03"/>
    <w:rsid w:val="00604D7C"/>
    <w:rsid w:val="00605D00"/>
    <w:rsid w:val="0060605B"/>
    <w:rsid w:val="0061170A"/>
    <w:rsid w:val="00613054"/>
    <w:rsid w:val="006131C2"/>
    <w:rsid w:val="00614AA1"/>
    <w:rsid w:val="00633A2C"/>
    <w:rsid w:val="00634071"/>
    <w:rsid w:val="00634A74"/>
    <w:rsid w:val="00637488"/>
    <w:rsid w:val="00641A20"/>
    <w:rsid w:val="0064243A"/>
    <w:rsid w:val="00642BDD"/>
    <w:rsid w:val="00642BED"/>
    <w:rsid w:val="00653EFE"/>
    <w:rsid w:val="006553BB"/>
    <w:rsid w:val="00660101"/>
    <w:rsid w:val="00663E99"/>
    <w:rsid w:val="006650BF"/>
    <w:rsid w:val="00671E3C"/>
    <w:rsid w:val="006764E7"/>
    <w:rsid w:val="00680CBF"/>
    <w:rsid w:val="00687D44"/>
    <w:rsid w:val="0069060C"/>
    <w:rsid w:val="00691882"/>
    <w:rsid w:val="006925EF"/>
    <w:rsid w:val="006951E3"/>
    <w:rsid w:val="006964A5"/>
    <w:rsid w:val="006A5688"/>
    <w:rsid w:val="006B27EA"/>
    <w:rsid w:val="006B428D"/>
    <w:rsid w:val="006B6643"/>
    <w:rsid w:val="006B6CDF"/>
    <w:rsid w:val="006C3FEA"/>
    <w:rsid w:val="006C7576"/>
    <w:rsid w:val="006D14CA"/>
    <w:rsid w:val="006D1B8E"/>
    <w:rsid w:val="006D275D"/>
    <w:rsid w:val="006D64F7"/>
    <w:rsid w:val="006D76A7"/>
    <w:rsid w:val="006E23FF"/>
    <w:rsid w:val="006E4A58"/>
    <w:rsid w:val="006E5454"/>
    <w:rsid w:val="006E65A3"/>
    <w:rsid w:val="006F1116"/>
    <w:rsid w:val="00701C3D"/>
    <w:rsid w:val="00702399"/>
    <w:rsid w:val="007100A4"/>
    <w:rsid w:val="00710E8E"/>
    <w:rsid w:val="007114EA"/>
    <w:rsid w:val="00712E43"/>
    <w:rsid w:val="00713DC8"/>
    <w:rsid w:val="00721521"/>
    <w:rsid w:val="007221B6"/>
    <w:rsid w:val="00722411"/>
    <w:rsid w:val="00722A79"/>
    <w:rsid w:val="00730396"/>
    <w:rsid w:val="00731AA5"/>
    <w:rsid w:val="0073264C"/>
    <w:rsid w:val="00732F18"/>
    <w:rsid w:val="00734658"/>
    <w:rsid w:val="00735490"/>
    <w:rsid w:val="00737558"/>
    <w:rsid w:val="00737793"/>
    <w:rsid w:val="00740760"/>
    <w:rsid w:val="00740F04"/>
    <w:rsid w:val="007430B3"/>
    <w:rsid w:val="00743491"/>
    <w:rsid w:val="00746927"/>
    <w:rsid w:val="00747371"/>
    <w:rsid w:val="00750835"/>
    <w:rsid w:val="00751CFC"/>
    <w:rsid w:val="00757295"/>
    <w:rsid w:val="00757640"/>
    <w:rsid w:val="0076055A"/>
    <w:rsid w:val="00761119"/>
    <w:rsid w:val="00761BEE"/>
    <w:rsid w:val="00762AB3"/>
    <w:rsid w:val="00764CEC"/>
    <w:rsid w:val="00765DAE"/>
    <w:rsid w:val="00765F8F"/>
    <w:rsid w:val="0076676A"/>
    <w:rsid w:val="007669E0"/>
    <w:rsid w:val="0077393F"/>
    <w:rsid w:val="00775235"/>
    <w:rsid w:val="007753AF"/>
    <w:rsid w:val="007759AC"/>
    <w:rsid w:val="00777649"/>
    <w:rsid w:val="0077770F"/>
    <w:rsid w:val="00783B00"/>
    <w:rsid w:val="00784A73"/>
    <w:rsid w:val="0078552F"/>
    <w:rsid w:val="00785534"/>
    <w:rsid w:val="00786F3A"/>
    <w:rsid w:val="007902F8"/>
    <w:rsid w:val="00790580"/>
    <w:rsid w:val="007910EE"/>
    <w:rsid w:val="00791DB8"/>
    <w:rsid w:val="00792ECD"/>
    <w:rsid w:val="0079649D"/>
    <w:rsid w:val="007A166E"/>
    <w:rsid w:val="007A55BD"/>
    <w:rsid w:val="007A5FD5"/>
    <w:rsid w:val="007B2D35"/>
    <w:rsid w:val="007B417B"/>
    <w:rsid w:val="007C01C8"/>
    <w:rsid w:val="007C033B"/>
    <w:rsid w:val="007C036B"/>
    <w:rsid w:val="007C1EC8"/>
    <w:rsid w:val="007C2B42"/>
    <w:rsid w:val="007C57B5"/>
    <w:rsid w:val="007D0978"/>
    <w:rsid w:val="007D2D94"/>
    <w:rsid w:val="007D364D"/>
    <w:rsid w:val="007D4325"/>
    <w:rsid w:val="007D4356"/>
    <w:rsid w:val="007D4EAF"/>
    <w:rsid w:val="007D60CD"/>
    <w:rsid w:val="007D647A"/>
    <w:rsid w:val="007E2D09"/>
    <w:rsid w:val="007E3874"/>
    <w:rsid w:val="007E6464"/>
    <w:rsid w:val="007E7655"/>
    <w:rsid w:val="007F179C"/>
    <w:rsid w:val="00800E67"/>
    <w:rsid w:val="008055A9"/>
    <w:rsid w:val="008164D2"/>
    <w:rsid w:val="008165E9"/>
    <w:rsid w:val="00821096"/>
    <w:rsid w:val="00825494"/>
    <w:rsid w:val="008267C2"/>
    <w:rsid w:val="00826F2A"/>
    <w:rsid w:val="00831109"/>
    <w:rsid w:val="008340F2"/>
    <w:rsid w:val="00835F40"/>
    <w:rsid w:val="00837EF3"/>
    <w:rsid w:val="0084757F"/>
    <w:rsid w:val="00861CBD"/>
    <w:rsid w:val="00861E1B"/>
    <w:rsid w:val="0086200E"/>
    <w:rsid w:val="00866B65"/>
    <w:rsid w:val="0086728D"/>
    <w:rsid w:val="00870F28"/>
    <w:rsid w:val="008726DD"/>
    <w:rsid w:val="00872E05"/>
    <w:rsid w:val="00872EE6"/>
    <w:rsid w:val="008740E4"/>
    <w:rsid w:val="008759F3"/>
    <w:rsid w:val="0087651F"/>
    <w:rsid w:val="00877555"/>
    <w:rsid w:val="00881246"/>
    <w:rsid w:val="00882251"/>
    <w:rsid w:val="0088338D"/>
    <w:rsid w:val="00890A22"/>
    <w:rsid w:val="00892CAE"/>
    <w:rsid w:val="00892F82"/>
    <w:rsid w:val="0089311B"/>
    <w:rsid w:val="008947CC"/>
    <w:rsid w:val="00895BDC"/>
    <w:rsid w:val="00895F05"/>
    <w:rsid w:val="008A35E2"/>
    <w:rsid w:val="008A4118"/>
    <w:rsid w:val="008A5244"/>
    <w:rsid w:val="008A6917"/>
    <w:rsid w:val="008A7742"/>
    <w:rsid w:val="008A7C89"/>
    <w:rsid w:val="008B0B0E"/>
    <w:rsid w:val="008B0E27"/>
    <w:rsid w:val="008B1C4E"/>
    <w:rsid w:val="008B20BD"/>
    <w:rsid w:val="008B4F04"/>
    <w:rsid w:val="008B5275"/>
    <w:rsid w:val="008C0E1F"/>
    <w:rsid w:val="008C2387"/>
    <w:rsid w:val="008C562B"/>
    <w:rsid w:val="008C7364"/>
    <w:rsid w:val="008C7C54"/>
    <w:rsid w:val="008D4886"/>
    <w:rsid w:val="008E099A"/>
    <w:rsid w:val="008E2BAB"/>
    <w:rsid w:val="008E2C99"/>
    <w:rsid w:val="008E413D"/>
    <w:rsid w:val="008E54B1"/>
    <w:rsid w:val="008E6623"/>
    <w:rsid w:val="008E6A95"/>
    <w:rsid w:val="008E7595"/>
    <w:rsid w:val="008F11BA"/>
    <w:rsid w:val="008F12E0"/>
    <w:rsid w:val="008F1589"/>
    <w:rsid w:val="008F15B9"/>
    <w:rsid w:val="008F3F24"/>
    <w:rsid w:val="008F782D"/>
    <w:rsid w:val="009032D7"/>
    <w:rsid w:val="0090739F"/>
    <w:rsid w:val="00910E60"/>
    <w:rsid w:val="00910E9F"/>
    <w:rsid w:val="00921375"/>
    <w:rsid w:val="0092457F"/>
    <w:rsid w:val="00926188"/>
    <w:rsid w:val="00926332"/>
    <w:rsid w:val="00930101"/>
    <w:rsid w:val="0093022B"/>
    <w:rsid w:val="00930D95"/>
    <w:rsid w:val="00931093"/>
    <w:rsid w:val="009347CF"/>
    <w:rsid w:val="00935083"/>
    <w:rsid w:val="00935C9A"/>
    <w:rsid w:val="00936449"/>
    <w:rsid w:val="009378FE"/>
    <w:rsid w:val="009411E3"/>
    <w:rsid w:val="009422DE"/>
    <w:rsid w:val="00942DDF"/>
    <w:rsid w:val="009470BD"/>
    <w:rsid w:val="0095317A"/>
    <w:rsid w:val="00956609"/>
    <w:rsid w:val="00960D55"/>
    <w:rsid w:val="009619CF"/>
    <w:rsid w:val="00962EE9"/>
    <w:rsid w:val="009648CA"/>
    <w:rsid w:val="0097692A"/>
    <w:rsid w:val="00983B12"/>
    <w:rsid w:val="00983D2D"/>
    <w:rsid w:val="00986431"/>
    <w:rsid w:val="00986B9A"/>
    <w:rsid w:val="00991D66"/>
    <w:rsid w:val="0099766D"/>
    <w:rsid w:val="00997E7C"/>
    <w:rsid w:val="009A233F"/>
    <w:rsid w:val="009A264E"/>
    <w:rsid w:val="009A59A8"/>
    <w:rsid w:val="009A6E6E"/>
    <w:rsid w:val="009B0E45"/>
    <w:rsid w:val="009B3495"/>
    <w:rsid w:val="009B4F6F"/>
    <w:rsid w:val="009B5608"/>
    <w:rsid w:val="009B7D4D"/>
    <w:rsid w:val="009C0617"/>
    <w:rsid w:val="009C0A22"/>
    <w:rsid w:val="009C0EE3"/>
    <w:rsid w:val="009C157C"/>
    <w:rsid w:val="009C2B14"/>
    <w:rsid w:val="009C5369"/>
    <w:rsid w:val="009D0DFD"/>
    <w:rsid w:val="009D3E55"/>
    <w:rsid w:val="009D5028"/>
    <w:rsid w:val="009E05A8"/>
    <w:rsid w:val="009E1F15"/>
    <w:rsid w:val="009E3359"/>
    <w:rsid w:val="009E44A4"/>
    <w:rsid w:val="009E78A5"/>
    <w:rsid w:val="009F2015"/>
    <w:rsid w:val="009F430B"/>
    <w:rsid w:val="009F57A6"/>
    <w:rsid w:val="009F6FDE"/>
    <w:rsid w:val="00A00E10"/>
    <w:rsid w:val="00A038E1"/>
    <w:rsid w:val="00A06FA8"/>
    <w:rsid w:val="00A10BD1"/>
    <w:rsid w:val="00A11E5B"/>
    <w:rsid w:val="00A1280B"/>
    <w:rsid w:val="00A159B8"/>
    <w:rsid w:val="00A16C2D"/>
    <w:rsid w:val="00A201E3"/>
    <w:rsid w:val="00A2099C"/>
    <w:rsid w:val="00A21F17"/>
    <w:rsid w:val="00A227DA"/>
    <w:rsid w:val="00A2710B"/>
    <w:rsid w:val="00A3101E"/>
    <w:rsid w:val="00A31618"/>
    <w:rsid w:val="00A3261D"/>
    <w:rsid w:val="00A33223"/>
    <w:rsid w:val="00A37121"/>
    <w:rsid w:val="00A37578"/>
    <w:rsid w:val="00A40437"/>
    <w:rsid w:val="00A4050C"/>
    <w:rsid w:val="00A41CC9"/>
    <w:rsid w:val="00A4413E"/>
    <w:rsid w:val="00A44234"/>
    <w:rsid w:val="00A467DD"/>
    <w:rsid w:val="00A46F83"/>
    <w:rsid w:val="00A54552"/>
    <w:rsid w:val="00A55858"/>
    <w:rsid w:val="00A55ACB"/>
    <w:rsid w:val="00A620DE"/>
    <w:rsid w:val="00A630D4"/>
    <w:rsid w:val="00A651C1"/>
    <w:rsid w:val="00A70E0D"/>
    <w:rsid w:val="00A85F13"/>
    <w:rsid w:val="00A90682"/>
    <w:rsid w:val="00A9555E"/>
    <w:rsid w:val="00A95AAE"/>
    <w:rsid w:val="00AA1834"/>
    <w:rsid w:val="00AA1ED2"/>
    <w:rsid w:val="00AA3145"/>
    <w:rsid w:val="00AA3CB2"/>
    <w:rsid w:val="00AA77CE"/>
    <w:rsid w:val="00AB0C12"/>
    <w:rsid w:val="00AB2BB1"/>
    <w:rsid w:val="00AB2C22"/>
    <w:rsid w:val="00AB58A9"/>
    <w:rsid w:val="00AC3995"/>
    <w:rsid w:val="00AC7002"/>
    <w:rsid w:val="00AD18DD"/>
    <w:rsid w:val="00AD1938"/>
    <w:rsid w:val="00AD1EB4"/>
    <w:rsid w:val="00AD2A1E"/>
    <w:rsid w:val="00AD2BE4"/>
    <w:rsid w:val="00AD7D3C"/>
    <w:rsid w:val="00AE1A02"/>
    <w:rsid w:val="00AE2906"/>
    <w:rsid w:val="00AE29F3"/>
    <w:rsid w:val="00AE2E89"/>
    <w:rsid w:val="00AE5270"/>
    <w:rsid w:val="00AE757E"/>
    <w:rsid w:val="00AF2977"/>
    <w:rsid w:val="00AF2C11"/>
    <w:rsid w:val="00B05597"/>
    <w:rsid w:val="00B067C7"/>
    <w:rsid w:val="00B112B0"/>
    <w:rsid w:val="00B114D9"/>
    <w:rsid w:val="00B14057"/>
    <w:rsid w:val="00B15113"/>
    <w:rsid w:val="00B162EE"/>
    <w:rsid w:val="00B30CF0"/>
    <w:rsid w:val="00B33A9A"/>
    <w:rsid w:val="00B351FD"/>
    <w:rsid w:val="00B40B90"/>
    <w:rsid w:val="00B40D1D"/>
    <w:rsid w:val="00B502D1"/>
    <w:rsid w:val="00B517C9"/>
    <w:rsid w:val="00B51872"/>
    <w:rsid w:val="00B55E81"/>
    <w:rsid w:val="00B56B0C"/>
    <w:rsid w:val="00B6099B"/>
    <w:rsid w:val="00B60F67"/>
    <w:rsid w:val="00B6105E"/>
    <w:rsid w:val="00B6153C"/>
    <w:rsid w:val="00B722DB"/>
    <w:rsid w:val="00B73FCC"/>
    <w:rsid w:val="00B77C68"/>
    <w:rsid w:val="00B80912"/>
    <w:rsid w:val="00B84A71"/>
    <w:rsid w:val="00B928C3"/>
    <w:rsid w:val="00B942DF"/>
    <w:rsid w:val="00B9586B"/>
    <w:rsid w:val="00B95B0A"/>
    <w:rsid w:val="00B95B4C"/>
    <w:rsid w:val="00B9688E"/>
    <w:rsid w:val="00BA0E3E"/>
    <w:rsid w:val="00BA132F"/>
    <w:rsid w:val="00BA145A"/>
    <w:rsid w:val="00BA33D9"/>
    <w:rsid w:val="00BB3311"/>
    <w:rsid w:val="00BB4B0A"/>
    <w:rsid w:val="00BB6480"/>
    <w:rsid w:val="00BB7282"/>
    <w:rsid w:val="00BC0037"/>
    <w:rsid w:val="00BC01B9"/>
    <w:rsid w:val="00BC1AB1"/>
    <w:rsid w:val="00BC1E2F"/>
    <w:rsid w:val="00BC3356"/>
    <w:rsid w:val="00BC4E37"/>
    <w:rsid w:val="00BD077E"/>
    <w:rsid w:val="00BD6C01"/>
    <w:rsid w:val="00BE2B48"/>
    <w:rsid w:val="00BE31E7"/>
    <w:rsid w:val="00BE362A"/>
    <w:rsid w:val="00BE6409"/>
    <w:rsid w:val="00BF1D5B"/>
    <w:rsid w:val="00C02CE9"/>
    <w:rsid w:val="00C04594"/>
    <w:rsid w:val="00C066A2"/>
    <w:rsid w:val="00C07828"/>
    <w:rsid w:val="00C07B70"/>
    <w:rsid w:val="00C10027"/>
    <w:rsid w:val="00C16978"/>
    <w:rsid w:val="00C1745C"/>
    <w:rsid w:val="00C20758"/>
    <w:rsid w:val="00C27068"/>
    <w:rsid w:val="00C32261"/>
    <w:rsid w:val="00C37D2C"/>
    <w:rsid w:val="00C427E0"/>
    <w:rsid w:val="00C431C7"/>
    <w:rsid w:val="00C50EEE"/>
    <w:rsid w:val="00C541DD"/>
    <w:rsid w:val="00C60BD6"/>
    <w:rsid w:val="00C630A0"/>
    <w:rsid w:val="00C6329C"/>
    <w:rsid w:val="00C66103"/>
    <w:rsid w:val="00C679C7"/>
    <w:rsid w:val="00C67B47"/>
    <w:rsid w:val="00C70420"/>
    <w:rsid w:val="00C70587"/>
    <w:rsid w:val="00C71144"/>
    <w:rsid w:val="00C732C5"/>
    <w:rsid w:val="00C75A54"/>
    <w:rsid w:val="00C75E43"/>
    <w:rsid w:val="00C76A39"/>
    <w:rsid w:val="00C82C93"/>
    <w:rsid w:val="00C83B31"/>
    <w:rsid w:val="00C86809"/>
    <w:rsid w:val="00C923B3"/>
    <w:rsid w:val="00C93E09"/>
    <w:rsid w:val="00CA1034"/>
    <w:rsid w:val="00CA42B3"/>
    <w:rsid w:val="00CA6B8F"/>
    <w:rsid w:val="00CB05A1"/>
    <w:rsid w:val="00CB32D9"/>
    <w:rsid w:val="00CB5944"/>
    <w:rsid w:val="00CB67BB"/>
    <w:rsid w:val="00CB6CC0"/>
    <w:rsid w:val="00CC0445"/>
    <w:rsid w:val="00CC6885"/>
    <w:rsid w:val="00CD0CFE"/>
    <w:rsid w:val="00CD4957"/>
    <w:rsid w:val="00CE3B09"/>
    <w:rsid w:val="00CE549E"/>
    <w:rsid w:val="00CE6D75"/>
    <w:rsid w:val="00CF0A10"/>
    <w:rsid w:val="00CF0A55"/>
    <w:rsid w:val="00CF260E"/>
    <w:rsid w:val="00D0292C"/>
    <w:rsid w:val="00D05207"/>
    <w:rsid w:val="00D07D57"/>
    <w:rsid w:val="00D20A98"/>
    <w:rsid w:val="00D22092"/>
    <w:rsid w:val="00D2316A"/>
    <w:rsid w:val="00D3317F"/>
    <w:rsid w:val="00D36358"/>
    <w:rsid w:val="00D37852"/>
    <w:rsid w:val="00D43A91"/>
    <w:rsid w:val="00D458BE"/>
    <w:rsid w:val="00D4630D"/>
    <w:rsid w:val="00D47353"/>
    <w:rsid w:val="00D47CEB"/>
    <w:rsid w:val="00D50052"/>
    <w:rsid w:val="00D50823"/>
    <w:rsid w:val="00D52D82"/>
    <w:rsid w:val="00D73105"/>
    <w:rsid w:val="00D738A8"/>
    <w:rsid w:val="00D74694"/>
    <w:rsid w:val="00D76775"/>
    <w:rsid w:val="00D82458"/>
    <w:rsid w:val="00D8547E"/>
    <w:rsid w:val="00D871C4"/>
    <w:rsid w:val="00D95BC5"/>
    <w:rsid w:val="00D95E99"/>
    <w:rsid w:val="00D973B2"/>
    <w:rsid w:val="00DA1110"/>
    <w:rsid w:val="00DA1F4F"/>
    <w:rsid w:val="00DA3EB9"/>
    <w:rsid w:val="00DA476C"/>
    <w:rsid w:val="00DA5332"/>
    <w:rsid w:val="00DB00CB"/>
    <w:rsid w:val="00DB3177"/>
    <w:rsid w:val="00DB3B38"/>
    <w:rsid w:val="00DC0A61"/>
    <w:rsid w:val="00DC59E8"/>
    <w:rsid w:val="00DC5D7C"/>
    <w:rsid w:val="00DC5E0A"/>
    <w:rsid w:val="00DC6657"/>
    <w:rsid w:val="00DD11BE"/>
    <w:rsid w:val="00DD1370"/>
    <w:rsid w:val="00DD5519"/>
    <w:rsid w:val="00DE3D3E"/>
    <w:rsid w:val="00DE5F98"/>
    <w:rsid w:val="00DE660A"/>
    <w:rsid w:val="00DE68DA"/>
    <w:rsid w:val="00DF0B93"/>
    <w:rsid w:val="00DF21D2"/>
    <w:rsid w:val="00DF4035"/>
    <w:rsid w:val="00DF63E5"/>
    <w:rsid w:val="00DF7206"/>
    <w:rsid w:val="00E04A6F"/>
    <w:rsid w:val="00E102DD"/>
    <w:rsid w:val="00E17274"/>
    <w:rsid w:val="00E177A6"/>
    <w:rsid w:val="00E24C11"/>
    <w:rsid w:val="00E261E3"/>
    <w:rsid w:val="00E267EC"/>
    <w:rsid w:val="00E322E9"/>
    <w:rsid w:val="00E32440"/>
    <w:rsid w:val="00E371C0"/>
    <w:rsid w:val="00E4000F"/>
    <w:rsid w:val="00E45A33"/>
    <w:rsid w:val="00E476D0"/>
    <w:rsid w:val="00E53606"/>
    <w:rsid w:val="00E54A5C"/>
    <w:rsid w:val="00E5693F"/>
    <w:rsid w:val="00E60066"/>
    <w:rsid w:val="00E6009F"/>
    <w:rsid w:val="00E60218"/>
    <w:rsid w:val="00E62E6B"/>
    <w:rsid w:val="00E63CAF"/>
    <w:rsid w:val="00E66697"/>
    <w:rsid w:val="00E673AE"/>
    <w:rsid w:val="00E67A7C"/>
    <w:rsid w:val="00E70119"/>
    <w:rsid w:val="00E7062A"/>
    <w:rsid w:val="00E7097B"/>
    <w:rsid w:val="00E7231C"/>
    <w:rsid w:val="00E72840"/>
    <w:rsid w:val="00E72C17"/>
    <w:rsid w:val="00E74F75"/>
    <w:rsid w:val="00E806E0"/>
    <w:rsid w:val="00E82EF4"/>
    <w:rsid w:val="00E830E9"/>
    <w:rsid w:val="00E834A6"/>
    <w:rsid w:val="00E84872"/>
    <w:rsid w:val="00E86CD4"/>
    <w:rsid w:val="00E926BF"/>
    <w:rsid w:val="00EA0A63"/>
    <w:rsid w:val="00EA3601"/>
    <w:rsid w:val="00EA3F60"/>
    <w:rsid w:val="00EB0118"/>
    <w:rsid w:val="00EB1554"/>
    <w:rsid w:val="00EB3129"/>
    <w:rsid w:val="00EB5B70"/>
    <w:rsid w:val="00EC0117"/>
    <w:rsid w:val="00EC1348"/>
    <w:rsid w:val="00EC44BD"/>
    <w:rsid w:val="00ED1887"/>
    <w:rsid w:val="00ED1C7B"/>
    <w:rsid w:val="00ED3BDF"/>
    <w:rsid w:val="00ED41E0"/>
    <w:rsid w:val="00ED42C7"/>
    <w:rsid w:val="00EE0BBD"/>
    <w:rsid w:val="00EE1E10"/>
    <w:rsid w:val="00EE7FE2"/>
    <w:rsid w:val="00EF03FB"/>
    <w:rsid w:val="00EF1CD3"/>
    <w:rsid w:val="00EF3260"/>
    <w:rsid w:val="00EF41A2"/>
    <w:rsid w:val="00F02342"/>
    <w:rsid w:val="00F039FD"/>
    <w:rsid w:val="00F03E49"/>
    <w:rsid w:val="00F07B05"/>
    <w:rsid w:val="00F10FEF"/>
    <w:rsid w:val="00F17989"/>
    <w:rsid w:val="00F17F77"/>
    <w:rsid w:val="00F17FC0"/>
    <w:rsid w:val="00F201EA"/>
    <w:rsid w:val="00F20420"/>
    <w:rsid w:val="00F23621"/>
    <w:rsid w:val="00F30AE0"/>
    <w:rsid w:val="00F31703"/>
    <w:rsid w:val="00F32386"/>
    <w:rsid w:val="00F35E58"/>
    <w:rsid w:val="00F36042"/>
    <w:rsid w:val="00F366E4"/>
    <w:rsid w:val="00F42D3C"/>
    <w:rsid w:val="00F42E49"/>
    <w:rsid w:val="00F461D5"/>
    <w:rsid w:val="00F46D7F"/>
    <w:rsid w:val="00F50A5F"/>
    <w:rsid w:val="00F52741"/>
    <w:rsid w:val="00F56431"/>
    <w:rsid w:val="00F56C27"/>
    <w:rsid w:val="00F56C29"/>
    <w:rsid w:val="00F63469"/>
    <w:rsid w:val="00F636AB"/>
    <w:rsid w:val="00F66702"/>
    <w:rsid w:val="00F66967"/>
    <w:rsid w:val="00F66E1C"/>
    <w:rsid w:val="00F70CE6"/>
    <w:rsid w:val="00F757F8"/>
    <w:rsid w:val="00F7794A"/>
    <w:rsid w:val="00F825C5"/>
    <w:rsid w:val="00F83083"/>
    <w:rsid w:val="00F83295"/>
    <w:rsid w:val="00F8585B"/>
    <w:rsid w:val="00F87155"/>
    <w:rsid w:val="00F87FC9"/>
    <w:rsid w:val="00F913D4"/>
    <w:rsid w:val="00F91B4B"/>
    <w:rsid w:val="00F95CED"/>
    <w:rsid w:val="00FA2A6F"/>
    <w:rsid w:val="00FA3CFA"/>
    <w:rsid w:val="00FA45B6"/>
    <w:rsid w:val="00FA5FA0"/>
    <w:rsid w:val="00FA754E"/>
    <w:rsid w:val="00FB1550"/>
    <w:rsid w:val="00FB5B2F"/>
    <w:rsid w:val="00FC1FED"/>
    <w:rsid w:val="00FC2198"/>
    <w:rsid w:val="00FC5BC6"/>
    <w:rsid w:val="00FC7D54"/>
    <w:rsid w:val="00FD009D"/>
    <w:rsid w:val="00FD0A13"/>
    <w:rsid w:val="00FD0E82"/>
    <w:rsid w:val="00FD2AE6"/>
    <w:rsid w:val="00FE39C3"/>
    <w:rsid w:val="00FE50AC"/>
    <w:rsid w:val="00FE6E98"/>
    <w:rsid w:val="00FE7999"/>
    <w:rsid w:val="00FF6A46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C4777F"/>
  <w15:docId w15:val="{30BF09E6-1B4B-4441-B19C-4A1E3E77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5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0A"/>
  </w:style>
  <w:style w:type="paragraph" w:styleId="FootnoteText">
    <w:name w:val="footnote text"/>
    <w:basedOn w:val="Normal"/>
    <w:link w:val="FootnoteTextChar"/>
    <w:semiHidden/>
    <w:rsid w:val="00B95B0A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B95B0A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B95B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5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0A"/>
  </w:style>
  <w:style w:type="table" w:styleId="TableGrid">
    <w:name w:val="Table Grid"/>
    <w:basedOn w:val="TableNormal"/>
    <w:uiPriority w:val="39"/>
    <w:rsid w:val="00B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5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B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0A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Párrafo de lista,Normal bullet 2,Bullet list,List Paragraph1"/>
    <w:basedOn w:val="Normal"/>
    <w:link w:val="ListParagraphChar"/>
    <w:uiPriority w:val="34"/>
    <w:qFormat/>
    <w:rsid w:val="00443389"/>
    <w:pPr>
      <w:spacing w:after="0" w:line="240" w:lineRule="auto"/>
      <w:ind w:left="720"/>
      <w:contextualSpacing/>
      <w:jc w:val="both"/>
    </w:pPr>
    <w:rPr>
      <w:sz w:val="24"/>
    </w:rPr>
  </w:style>
  <w:style w:type="character" w:customStyle="1" w:styleId="ListParagraphChar">
    <w:name w:val="List Paragraph Char"/>
    <w:aliases w:val="Strip Char,Párrafo de lista Char,Normal bullet 2 Char,Bullet list Char,List Paragraph1 Char"/>
    <w:link w:val="ListParagraph"/>
    <w:uiPriority w:val="34"/>
    <w:locked/>
    <w:rsid w:val="00443389"/>
    <w:rPr>
      <w:sz w:val="24"/>
    </w:rPr>
  </w:style>
  <w:style w:type="character" w:styleId="Emphasis">
    <w:name w:val="Emphasis"/>
    <w:basedOn w:val="DefaultParagraphFont"/>
    <w:uiPriority w:val="20"/>
    <w:qFormat/>
    <w:rsid w:val="005D6C04"/>
    <w:rPr>
      <w:i/>
      <w:iCs/>
    </w:rPr>
  </w:style>
  <w:style w:type="character" w:styleId="Strong">
    <w:name w:val="Strong"/>
    <w:basedOn w:val="DefaultParagraphFont"/>
    <w:uiPriority w:val="22"/>
    <w:qFormat/>
    <w:rsid w:val="00F36042"/>
    <w:rPr>
      <w:b/>
      <w:bCs/>
    </w:rPr>
  </w:style>
  <w:style w:type="paragraph" w:styleId="NormalWeb">
    <w:name w:val="Normal (Web)"/>
    <w:basedOn w:val="Normal"/>
    <w:uiPriority w:val="99"/>
    <w:unhideWhenUsed/>
    <w:rsid w:val="00405E36"/>
    <w:pPr>
      <w:spacing w:after="360" w:line="240" w:lineRule="auto"/>
    </w:pPr>
    <w:rPr>
      <w:rFonts w:eastAsia="Times New Roman" w:cs="Times New Roman"/>
      <w:sz w:val="23"/>
      <w:szCs w:val="23"/>
      <w:lang w:eastAsia="lv-LV"/>
    </w:rPr>
  </w:style>
  <w:style w:type="character" w:styleId="Hyperlink">
    <w:name w:val="Hyperlink"/>
    <w:basedOn w:val="DefaultParagraphFont"/>
    <w:uiPriority w:val="99"/>
    <w:unhideWhenUsed/>
    <w:rsid w:val="00AD1EB4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A80"/>
    <w:rPr>
      <w:b/>
      <w:bCs/>
      <w:sz w:val="20"/>
      <w:szCs w:val="20"/>
    </w:rPr>
  </w:style>
  <w:style w:type="paragraph" w:customStyle="1" w:styleId="Default">
    <w:name w:val="Default"/>
    <w:rsid w:val="00B06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1566C5"/>
  </w:style>
  <w:style w:type="character" w:customStyle="1" w:styleId="word">
    <w:name w:val="word"/>
    <w:basedOn w:val="DefaultParagraphFont"/>
    <w:rsid w:val="001566C5"/>
  </w:style>
  <w:style w:type="paragraph" w:styleId="Revision">
    <w:name w:val="Revision"/>
    <w:hidden/>
    <w:uiPriority w:val="99"/>
    <w:semiHidden/>
    <w:rsid w:val="00FD0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75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Berzina@s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0915-5BE9-4613-B4BB-EAD4AC7E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4758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Rail Baltica projekta otrā Finansēšanas līguma (CEF2) grozījumiemu</vt:lpstr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Rail Baltica projekta otrā Finansēšanas līguma (CEF2) grozījumiemu</dc:title>
  <dc:subject>Informatīvais ziņojums</dc:subject>
  <dc:creator>Olita.Berzina@sam.gov.lv</dc:creator>
  <cp:keywords/>
  <dc:description>olita.berzina@sam.gov.lv; Tel.:67028083</dc:description>
  <cp:lastModifiedBy>Baiba Jirgena</cp:lastModifiedBy>
  <cp:revision>5</cp:revision>
  <cp:lastPrinted>2020-11-16T07:49:00Z</cp:lastPrinted>
  <dcterms:created xsi:type="dcterms:W3CDTF">2020-11-16T10:41:00Z</dcterms:created>
  <dcterms:modified xsi:type="dcterms:W3CDTF">2020-11-16T19:21:00Z</dcterms:modified>
  <cp:category>SM</cp:category>
</cp:coreProperties>
</file>