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8CA1" w14:textId="77777777" w:rsidR="003E65B1" w:rsidRDefault="00AA6F61" w:rsidP="006634C1">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D569C">
        <w:rPr>
          <w:rFonts w:ascii="Times New Roman" w:eastAsia="Times New Roman" w:hAnsi="Times New Roman" w:cs="Times New Roman"/>
          <w:b/>
          <w:bCs/>
          <w:sz w:val="28"/>
          <w:szCs w:val="28"/>
          <w:lang w:eastAsia="lv-LV"/>
        </w:rPr>
        <w:t>Ministru kabineta rīkojum</w:t>
      </w:r>
      <w:r w:rsidR="00557409" w:rsidRPr="00BD569C">
        <w:rPr>
          <w:rFonts w:ascii="Times New Roman" w:eastAsia="Times New Roman" w:hAnsi="Times New Roman" w:cs="Times New Roman"/>
          <w:b/>
          <w:bCs/>
          <w:sz w:val="28"/>
          <w:szCs w:val="28"/>
          <w:lang w:eastAsia="lv-LV"/>
        </w:rPr>
        <w:t>a</w:t>
      </w:r>
      <w:r w:rsidR="00E26B8C" w:rsidRPr="00BD569C">
        <w:rPr>
          <w:rFonts w:ascii="Times New Roman" w:eastAsia="Times New Roman" w:hAnsi="Times New Roman" w:cs="Times New Roman"/>
          <w:b/>
          <w:bCs/>
          <w:sz w:val="28"/>
          <w:szCs w:val="28"/>
          <w:lang w:eastAsia="lv-LV"/>
        </w:rPr>
        <w:t xml:space="preserve"> </w:t>
      </w:r>
      <w:r w:rsidR="00F63909" w:rsidRPr="00BD569C">
        <w:rPr>
          <w:rFonts w:ascii="Times New Roman" w:eastAsia="Times New Roman" w:hAnsi="Times New Roman" w:cs="Times New Roman"/>
          <w:b/>
          <w:bCs/>
          <w:sz w:val="28"/>
          <w:szCs w:val="28"/>
          <w:lang w:eastAsia="lv-LV"/>
        </w:rPr>
        <w:t>projekt</w:t>
      </w:r>
      <w:r w:rsidR="00557409" w:rsidRPr="00BD569C">
        <w:rPr>
          <w:rFonts w:ascii="Times New Roman" w:eastAsia="Times New Roman" w:hAnsi="Times New Roman" w:cs="Times New Roman"/>
          <w:b/>
          <w:bCs/>
          <w:sz w:val="28"/>
          <w:szCs w:val="28"/>
          <w:lang w:eastAsia="lv-LV"/>
        </w:rPr>
        <w:t>a</w:t>
      </w:r>
      <w:r w:rsidR="00E16078" w:rsidRPr="00BD569C">
        <w:rPr>
          <w:rFonts w:ascii="Times New Roman" w:eastAsia="Times New Roman" w:hAnsi="Times New Roman" w:cs="Times New Roman"/>
          <w:b/>
          <w:bCs/>
          <w:sz w:val="28"/>
          <w:szCs w:val="28"/>
          <w:lang w:eastAsia="lv-LV"/>
        </w:rPr>
        <w:t xml:space="preserve"> </w:t>
      </w:r>
      <w:r w:rsidR="006634C1" w:rsidRPr="006634C1">
        <w:rPr>
          <w:rFonts w:ascii="Times New Roman" w:eastAsia="Times New Roman" w:hAnsi="Times New Roman" w:cs="Times New Roman"/>
          <w:b/>
          <w:bCs/>
          <w:sz w:val="28"/>
          <w:szCs w:val="28"/>
          <w:lang w:eastAsia="lv-LV"/>
        </w:rPr>
        <w:t>"Par apropriācijas pārdali Tiesībsarga biroja budžeta programmas ietvaros"</w:t>
      </w:r>
      <w:r w:rsidR="00506E44" w:rsidRPr="00BD569C">
        <w:rPr>
          <w:rFonts w:ascii="Times New Roman" w:eastAsia="Times New Roman" w:hAnsi="Times New Roman" w:cs="Times New Roman"/>
          <w:b/>
          <w:bCs/>
          <w:sz w:val="28"/>
          <w:szCs w:val="28"/>
          <w:lang w:eastAsia="lv-LV"/>
        </w:rPr>
        <w:t xml:space="preserve"> </w:t>
      </w:r>
    </w:p>
    <w:p w14:paraId="7CEFA47F" w14:textId="4236E6C9" w:rsidR="00894C55" w:rsidRPr="00BD569C" w:rsidRDefault="00894C55" w:rsidP="006634C1">
      <w:pPr>
        <w:shd w:val="clear" w:color="auto" w:fill="FFFFFF"/>
        <w:spacing w:after="0" w:line="240" w:lineRule="auto"/>
        <w:jc w:val="center"/>
        <w:rPr>
          <w:rFonts w:ascii="Times New Roman" w:eastAsia="Times New Roman" w:hAnsi="Times New Roman" w:cs="Times New Roman"/>
          <w:b/>
          <w:bCs/>
          <w:sz w:val="28"/>
          <w:szCs w:val="28"/>
          <w:lang w:eastAsia="lv-LV"/>
        </w:rPr>
      </w:pPr>
      <w:r w:rsidRPr="00BD569C">
        <w:rPr>
          <w:rFonts w:ascii="Times New Roman" w:eastAsia="Times New Roman" w:hAnsi="Times New Roman" w:cs="Times New Roman"/>
          <w:b/>
          <w:bCs/>
          <w:sz w:val="28"/>
          <w:szCs w:val="28"/>
          <w:lang w:eastAsia="lv-LV"/>
        </w:rPr>
        <w:t>sākotnējās ietekmes novērtējuma ziņojums (anotācija)</w:t>
      </w:r>
    </w:p>
    <w:p w14:paraId="108686C3" w14:textId="77777777" w:rsidR="0013575C" w:rsidRPr="00BD569C" w:rsidRDefault="0013575C" w:rsidP="00856BF9">
      <w:pPr>
        <w:shd w:val="clear" w:color="auto" w:fill="FFFFFF"/>
        <w:spacing w:after="0" w:line="240" w:lineRule="auto"/>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5389"/>
        <w:gridCol w:w="4535"/>
      </w:tblGrid>
      <w:tr w:rsidR="00ED0C62" w:rsidRPr="00BD569C" w14:paraId="79A6478A" w14:textId="77777777" w:rsidTr="000A7115">
        <w:tc>
          <w:tcPr>
            <w:tcW w:w="5000" w:type="pct"/>
            <w:gridSpan w:val="2"/>
          </w:tcPr>
          <w:p w14:paraId="13ECAC9A" w14:textId="77777777" w:rsidR="00DB2C28" w:rsidRPr="00BD569C" w:rsidRDefault="00DB2C28" w:rsidP="00856BF9">
            <w:pPr>
              <w:jc w:val="center"/>
              <w:rPr>
                <w:rFonts w:ascii="Times New Roman" w:eastAsia="Times New Roman" w:hAnsi="Times New Roman" w:cs="Times New Roman"/>
                <w:b/>
                <w:bCs/>
                <w:sz w:val="28"/>
                <w:szCs w:val="26"/>
                <w:lang w:eastAsia="lv-LV"/>
              </w:rPr>
            </w:pPr>
            <w:r w:rsidRPr="00BD569C">
              <w:rPr>
                <w:rFonts w:ascii="Times New Roman" w:eastAsia="Times New Roman" w:hAnsi="Times New Roman" w:cs="Times New Roman"/>
                <w:b/>
                <w:bCs/>
                <w:sz w:val="28"/>
                <w:szCs w:val="26"/>
                <w:lang w:eastAsia="lv-LV"/>
              </w:rPr>
              <w:t>Tiesību akta projekta anotācijas kopsavilkums</w:t>
            </w:r>
          </w:p>
        </w:tc>
      </w:tr>
      <w:tr w:rsidR="00ED0C62" w:rsidRPr="00BD569C" w14:paraId="728507CE" w14:textId="77777777" w:rsidTr="00856BF9">
        <w:tc>
          <w:tcPr>
            <w:tcW w:w="2715" w:type="pct"/>
          </w:tcPr>
          <w:p w14:paraId="7B1370CA" w14:textId="77777777" w:rsidR="00DB2C28" w:rsidRPr="00BD569C" w:rsidRDefault="00DB2C28" w:rsidP="00856BF9">
            <w:pPr>
              <w:jc w:val="both"/>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Mērķis, risinājums un projekta spēkā stāšanās laiks (500 zīmes bez atstarpēm)</w:t>
            </w:r>
          </w:p>
        </w:tc>
        <w:tc>
          <w:tcPr>
            <w:tcW w:w="2285" w:type="pct"/>
          </w:tcPr>
          <w:p w14:paraId="33DAF8BC" w14:textId="41C1E4B6" w:rsidR="00DB2C28" w:rsidRPr="00BD569C" w:rsidRDefault="00DB2C28" w:rsidP="00856BF9">
            <w:pPr>
              <w:ind w:firstLine="712"/>
              <w:jc w:val="both"/>
              <w:rPr>
                <w:rFonts w:ascii="Times New Roman" w:hAnsi="Times New Roman" w:cs="Times New Roman"/>
                <w:sz w:val="28"/>
                <w:szCs w:val="26"/>
              </w:rPr>
            </w:pPr>
            <w:r w:rsidRPr="00BD569C">
              <w:rPr>
                <w:rFonts w:ascii="Times New Roman" w:eastAsia="Times New Roman" w:hAnsi="Times New Roman" w:cs="Times New Roman"/>
                <w:sz w:val="28"/>
                <w:szCs w:val="26"/>
                <w:lang w:eastAsia="lv-LV"/>
              </w:rPr>
              <w:t>Nav jāaizpilda</w:t>
            </w:r>
          </w:p>
        </w:tc>
      </w:tr>
    </w:tbl>
    <w:p w14:paraId="74895CEC" w14:textId="77777777" w:rsidR="00DB2C28" w:rsidRPr="00BD569C" w:rsidRDefault="00DB2C28" w:rsidP="00856BF9">
      <w:pPr>
        <w:shd w:val="clear" w:color="auto" w:fill="FFFFFF"/>
        <w:spacing w:after="0" w:line="240" w:lineRule="auto"/>
        <w:rPr>
          <w:rFonts w:ascii="Times New Roman" w:eastAsia="Times New Roman" w:hAnsi="Times New Roman" w:cs="Times New Roman"/>
          <w:bCs/>
          <w:sz w:val="26"/>
          <w:szCs w:val="26"/>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68"/>
        <w:gridCol w:w="2552"/>
        <w:gridCol w:w="6804"/>
      </w:tblGrid>
      <w:tr w:rsidR="00ED0C62" w:rsidRPr="00BD569C" w14:paraId="3655CDEF" w14:textId="77777777"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BEC9F0" w14:textId="77777777" w:rsidR="00894C55" w:rsidRPr="00BD569C" w:rsidRDefault="00894C55" w:rsidP="00856BF9">
            <w:pPr>
              <w:spacing w:after="0" w:line="240" w:lineRule="auto"/>
              <w:jc w:val="center"/>
              <w:rPr>
                <w:rFonts w:ascii="Times New Roman" w:eastAsia="Times New Roman" w:hAnsi="Times New Roman" w:cs="Times New Roman"/>
                <w:b/>
                <w:bCs/>
                <w:sz w:val="28"/>
                <w:szCs w:val="26"/>
                <w:lang w:eastAsia="lv-LV"/>
              </w:rPr>
            </w:pPr>
            <w:r w:rsidRPr="00BD569C">
              <w:rPr>
                <w:rFonts w:ascii="Times New Roman" w:eastAsia="Times New Roman" w:hAnsi="Times New Roman" w:cs="Times New Roman"/>
                <w:b/>
                <w:bCs/>
                <w:sz w:val="28"/>
                <w:szCs w:val="26"/>
                <w:lang w:eastAsia="lv-LV"/>
              </w:rPr>
              <w:t>I.</w:t>
            </w:r>
            <w:r w:rsidR="0050178F" w:rsidRPr="00BD569C">
              <w:rPr>
                <w:rFonts w:ascii="Times New Roman" w:eastAsia="Times New Roman" w:hAnsi="Times New Roman" w:cs="Times New Roman"/>
                <w:b/>
                <w:bCs/>
                <w:sz w:val="28"/>
                <w:szCs w:val="26"/>
                <w:lang w:eastAsia="lv-LV"/>
              </w:rPr>
              <w:t> </w:t>
            </w:r>
            <w:r w:rsidRPr="00BD569C">
              <w:rPr>
                <w:rFonts w:ascii="Times New Roman" w:eastAsia="Times New Roman" w:hAnsi="Times New Roman" w:cs="Times New Roman"/>
                <w:b/>
                <w:bCs/>
                <w:sz w:val="28"/>
                <w:szCs w:val="26"/>
                <w:lang w:eastAsia="lv-LV"/>
              </w:rPr>
              <w:t>Tiesību akta projekta izstrādes nepieciešamība</w:t>
            </w:r>
          </w:p>
        </w:tc>
      </w:tr>
      <w:tr w:rsidR="00ED0C62" w:rsidRPr="00BD569C" w14:paraId="2609FF90" w14:textId="77777777" w:rsidTr="00410D40">
        <w:trPr>
          <w:trHeight w:val="324"/>
        </w:trPr>
        <w:tc>
          <w:tcPr>
            <w:tcW w:w="286" w:type="pct"/>
            <w:tcBorders>
              <w:top w:val="outset" w:sz="6" w:space="0" w:color="414142"/>
              <w:left w:val="outset" w:sz="6" w:space="0" w:color="414142"/>
              <w:bottom w:val="outset" w:sz="6" w:space="0" w:color="414142"/>
              <w:right w:val="outset" w:sz="6" w:space="0" w:color="414142"/>
            </w:tcBorders>
            <w:hideMark/>
          </w:tcPr>
          <w:p w14:paraId="14CA2A2F" w14:textId="77777777" w:rsidR="00894C55" w:rsidRPr="00BD569C" w:rsidRDefault="00894C55" w:rsidP="00856BF9">
            <w:pPr>
              <w:spacing w:after="0" w:line="240" w:lineRule="auto"/>
              <w:jc w:val="center"/>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1.</w:t>
            </w:r>
          </w:p>
        </w:tc>
        <w:tc>
          <w:tcPr>
            <w:tcW w:w="1286" w:type="pct"/>
            <w:tcBorders>
              <w:top w:val="outset" w:sz="6" w:space="0" w:color="414142"/>
              <w:left w:val="outset" w:sz="6" w:space="0" w:color="414142"/>
              <w:bottom w:val="outset" w:sz="6" w:space="0" w:color="414142"/>
              <w:right w:val="outset" w:sz="6" w:space="0" w:color="414142"/>
            </w:tcBorders>
            <w:hideMark/>
          </w:tcPr>
          <w:p w14:paraId="2AC1172E"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Pamatojums</w:t>
            </w:r>
          </w:p>
        </w:tc>
        <w:tc>
          <w:tcPr>
            <w:tcW w:w="3428" w:type="pct"/>
            <w:tcBorders>
              <w:top w:val="outset" w:sz="6" w:space="0" w:color="414142"/>
              <w:left w:val="outset" w:sz="6" w:space="0" w:color="414142"/>
              <w:bottom w:val="outset" w:sz="6" w:space="0" w:color="414142"/>
              <w:right w:val="outset" w:sz="6" w:space="0" w:color="414142"/>
            </w:tcBorders>
            <w:hideMark/>
          </w:tcPr>
          <w:p w14:paraId="4CA30BD6" w14:textId="7A5FCDA2" w:rsidR="004F2153" w:rsidRPr="00BD569C" w:rsidRDefault="008D771F" w:rsidP="00F7030A">
            <w:pPr>
              <w:spacing w:after="0" w:line="240" w:lineRule="auto"/>
              <w:ind w:left="57" w:right="57"/>
              <w:rPr>
                <w:rFonts w:ascii="Times New Roman" w:eastAsia="Times New Roman" w:hAnsi="Times New Roman" w:cs="Times New Roman"/>
                <w:sz w:val="28"/>
                <w:szCs w:val="26"/>
                <w:lang w:eastAsia="lv-LV"/>
              </w:rPr>
            </w:pPr>
            <w:r w:rsidRPr="008D771F">
              <w:rPr>
                <w:rFonts w:ascii="Times New Roman" w:hAnsi="Times New Roman" w:cs="Times New Roman"/>
                <w:sz w:val="28"/>
                <w:szCs w:val="26"/>
              </w:rPr>
              <w:t xml:space="preserve">Projekts sagatavots, </w:t>
            </w:r>
            <w:r w:rsidR="006634C1" w:rsidRPr="006634C1">
              <w:rPr>
                <w:rFonts w:ascii="Times New Roman" w:hAnsi="Times New Roman" w:cs="Times New Roman"/>
                <w:sz w:val="28"/>
                <w:szCs w:val="26"/>
              </w:rPr>
              <w:t xml:space="preserve">pamatojoties uz Covid-19 infekcijas izplatības seku pārvarēšanas likuma </w:t>
            </w:r>
            <w:r w:rsidR="00C90ACA">
              <w:rPr>
                <w:rFonts w:ascii="Times New Roman" w:hAnsi="Times New Roman" w:cs="Times New Roman"/>
                <w:sz w:val="28"/>
                <w:szCs w:val="26"/>
              </w:rPr>
              <w:t xml:space="preserve">24. un </w:t>
            </w:r>
            <w:r w:rsidR="006634C1" w:rsidRPr="006634C1">
              <w:rPr>
                <w:rFonts w:ascii="Times New Roman" w:hAnsi="Times New Roman" w:cs="Times New Roman"/>
                <w:sz w:val="28"/>
                <w:szCs w:val="26"/>
              </w:rPr>
              <w:t>25. pantu</w:t>
            </w:r>
          </w:p>
        </w:tc>
      </w:tr>
      <w:tr w:rsidR="00ED0C62" w:rsidRPr="00BD569C" w14:paraId="038A015A" w14:textId="77777777" w:rsidTr="00410D40">
        <w:trPr>
          <w:trHeight w:val="372"/>
        </w:trPr>
        <w:tc>
          <w:tcPr>
            <w:tcW w:w="286" w:type="pct"/>
            <w:tcBorders>
              <w:top w:val="outset" w:sz="6" w:space="0" w:color="414142"/>
              <w:left w:val="outset" w:sz="6" w:space="0" w:color="414142"/>
              <w:bottom w:val="outset" w:sz="6" w:space="0" w:color="414142"/>
              <w:right w:val="outset" w:sz="6" w:space="0" w:color="414142"/>
            </w:tcBorders>
            <w:hideMark/>
          </w:tcPr>
          <w:p w14:paraId="689E0396" w14:textId="77777777" w:rsidR="00894C55" w:rsidRPr="00BD569C" w:rsidRDefault="00894C55" w:rsidP="00856BF9">
            <w:pPr>
              <w:spacing w:after="0" w:line="240" w:lineRule="auto"/>
              <w:jc w:val="center"/>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2.</w:t>
            </w:r>
          </w:p>
        </w:tc>
        <w:tc>
          <w:tcPr>
            <w:tcW w:w="1286" w:type="pct"/>
            <w:tcBorders>
              <w:top w:val="outset" w:sz="6" w:space="0" w:color="414142"/>
              <w:left w:val="outset" w:sz="6" w:space="0" w:color="414142"/>
              <w:bottom w:val="outset" w:sz="6" w:space="0" w:color="414142"/>
              <w:right w:val="outset" w:sz="6" w:space="0" w:color="414142"/>
            </w:tcBorders>
            <w:hideMark/>
          </w:tcPr>
          <w:p w14:paraId="38CDFAAE" w14:textId="52A86E37" w:rsidR="007C1B84"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Pašreizējā situācija un problēmas, kuru risināšanai tiesību akta projekts izstrādāts, tiesiskā regulējuma mērķis un būtība</w:t>
            </w:r>
          </w:p>
          <w:p w14:paraId="22991FF4" w14:textId="07A3A5A5" w:rsidR="00894C55" w:rsidRPr="007C1B84" w:rsidRDefault="00894C55" w:rsidP="00AC734E">
            <w:pPr>
              <w:rPr>
                <w:rFonts w:ascii="Times New Roman" w:eastAsia="Times New Roman" w:hAnsi="Times New Roman" w:cs="Times New Roman"/>
                <w:sz w:val="28"/>
                <w:szCs w:val="26"/>
                <w:lang w:eastAsia="lv-LV"/>
              </w:rPr>
            </w:pPr>
          </w:p>
        </w:tc>
        <w:tc>
          <w:tcPr>
            <w:tcW w:w="3428" w:type="pct"/>
            <w:tcBorders>
              <w:top w:val="outset" w:sz="6" w:space="0" w:color="414142"/>
              <w:left w:val="outset" w:sz="6" w:space="0" w:color="414142"/>
              <w:bottom w:val="outset" w:sz="6" w:space="0" w:color="414142"/>
              <w:right w:val="outset" w:sz="6" w:space="0" w:color="414142"/>
            </w:tcBorders>
            <w:hideMark/>
          </w:tcPr>
          <w:p w14:paraId="7A05CEDE" w14:textId="16DD9F5A" w:rsidR="00FD38C1" w:rsidRDefault="00856BF9" w:rsidP="00987CB1">
            <w:pPr>
              <w:pStyle w:val="NoSpacing"/>
              <w:ind w:left="57" w:right="57"/>
              <w:jc w:val="both"/>
              <w:rPr>
                <w:szCs w:val="26"/>
              </w:rPr>
            </w:pPr>
            <w:r w:rsidRPr="00BD569C">
              <w:rPr>
                <w:szCs w:val="26"/>
              </w:rPr>
              <w:t>Tiesībsarga birojam</w:t>
            </w:r>
            <w:r w:rsidR="00B93BCC">
              <w:rPr>
                <w:szCs w:val="26"/>
              </w:rPr>
              <w:t xml:space="preserve"> (turpmāk </w:t>
            </w:r>
            <w:r w:rsidR="003E65B1">
              <w:rPr>
                <w:szCs w:val="26"/>
              </w:rPr>
              <w:t>–</w:t>
            </w:r>
            <w:r w:rsidR="00B93BCC">
              <w:rPr>
                <w:szCs w:val="26"/>
              </w:rPr>
              <w:t xml:space="preserve"> Birojs)</w:t>
            </w:r>
            <w:r w:rsidRPr="00BD569C">
              <w:rPr>
                <w:szCs w:val="28"/>
              </w:rPr>
              <w:t xml:space="preserve"> </w:t>
            </w:r>
            <w:r w:rsidR="00614682">
              <w:rPr>
                <w:szCs w:val="28"/>
              </w:rPr>
              <w:t>s</w:t>
            </w:r>
            <w:r w:rsidR="00614682" w:rsidRPr="00614682">
              <w:rPr>
                <w:szCs w:val="28"/>
              </w:rPr>
              <w:t>askaņā ar likumu "Par valsts budžetu 20</w:t>
            </w:r>
            <w:r w:rsidR="00614682">
              <w:rPr>
                <w:szCs w:val="28"/>
              </w:rPr>
              <w:t>20</w:t>
            </w:r>
            <w:r w:rsidR="00614682" w:rsidRPr="00614682">
              <w:rPr>
                <w:szCs w:val="28"/>
              </w:rPr>
              <w:t xml:space="preserve">. gadam" </w:t>
            </w:r>
            <w:r w:rsidR="00C90ACA">
              <w:rPr>
                <w:szCs w:val="28"/>
              </w:rPr>
              <w:t xml:space="preserve">budžeta </w:t>
            </w:r>
            <w:r w:rsidR="00C90ACA" w:rsidRPr="00BD569C">
              <w:rPr>
                <w:szCs w:val="26"/>
              </w:rPr>
              <w:t>p</w:t>
            </w:r>
            <w:r w:rsidR="00C90ACA">
              <w:rPr>
                <w:szCs w:val="26"/>
              </w:rPr>
              <w:t xml:space="preserve">rogrammā </w:t>
            </w:r>
            <w:r w:rsidR="00341737" w:rsidRPr="00341737">
              <w:rPr>
                <w:szCs w:val="26"/>
              </w:rPr>
              <w:t xml:space="preserve">01.00.00 </w:t>
            </w:r>
            <w:r w:rsidR="003E65B1" w:rsidRPr="003A1D2F">
              <w:rPr>
                <w:szCs w:val="28"/>
              </w:rPr>
              <w:t>"</w:t>
            </w:r>
            <w:r w:rsidR="00341737" w:rsidRPr="00341737">
              <w:rPr>
                <w:szCs w:val="26"/>
              </w:rPr>
              <w:t>Tiesībsarga birojs</w:t>
            </w:r>
            <w:r w:rsidR="003E65B1" w:rsidRPr="003A1D2F">
              <w:rPr>
                <w:szCs w:val="28"/>
              </w:rPr>
              <w:t>"</w:t>
            </w:r>
            <w:r w:rsidR="00341737" w:rsidRPr="00341737">
              <w:rPr>
                <w:szCs w:val="26"/>
              </w:rPr>
              <w:t xml:space="preserve"> </w:t>
            </w:r>
            <w:r w:rsidR="00341737">
              <w:rPr>
                <w:szCs w:val="26"/>
              </w:rPr>
              <w:t xml:space="preserve">tika plānoti izdevumi </w:t>
            </w:r>
            <w:r w:rsidR="00341737" w:rsidRPr="00341737">
              <w:rPr>
                <w:szCs w:val="26"/>
              </w:rPr>
              <w:t>mācību, darba un dienesta komandējumiem un darba braucieniem</w:t>
            </w:r>
            <w:r w:rsidR="00341737">
              <w:rPr>
                <w:szCs w:val="26"/>
              </w:rPr>
              <w:t xml:space="preserve">. </w:t>
            </w:r>
            <w:r w:rsidR="00341737" w:rsidRPr="00341737">
              <w:rPr>
                <w:szCs w:val="26"/>
              </w:rPr>
              <w:t xml:space="preserve"> </w:t>
            </w:r>
          </w:p>
          <w:p w14:paraId="0A3413A4" w14:textId="40112907" w:rsidR="00B93BCC" w:rsidRDefault="00B93BCC" w:rsidP="00987CB1">
            <w:pPr>
              <w:pStyle w:val="NoSpacing"/>
              <w:ind w:left="57" w:right="57"/>
              <w:jc w:val="both"/>
              <w:rPr>
                <w:szCs w:val="26"/>
              </w:rPr>
            </w:pPr>
            <w:r>
              <w:rPr>
                <w:szCs w:val="26"/>
              </w:rPr>
              <w:t>Birojs r</w:t>
            </w:r>
            <w:r w:rsidRPr="00B93BCC">
              <w:rPr>
                <w:szCs w:val="26"/>
              </w:rPr>
              <w:t>egulāri sadarbojas ar Apvienoto Nāciju Organizāciju, Eiropas Padomi, Eiropas Ombudu</w:t>
            </w:r>
            <w:r w:rsidR="00987CB1">
              <w:rPr>
                <w:szCs w:val="26"/>
              </w:rPr>
              <w:t xml:space="preserve">, </w:t>
            </w:r>
            <w:r>
              <w:rPr>
                <w:szCs w:val="26"/>
              </w:rPr>
              <w:t xml:space="preserve">ir vairāku </w:t>
            </w:r>
            <w:r w:rsidR="00987CB1">
              <w:rPr>
                <w:szCs w:val="26"/>
              </w:rPr>
              <w:t xml:space="preserve">starptautisku institūciju biedrs, piemēram, </w:t>
            </w:r>
            <w:r w:rsidRPr="00B93BCC">
              <w:rPr>
                <w:szCs w:val="26"/>
              </w:rPr>
              <w:t>Starptautiskā Ombudu institūta (</w:t>
            </w:r>
            <w:proofErr w:type="spellStart"/>
            <w:r w:rsidRPr="000246FE">
              <w:rPr>
                <w:i/>
                <w:iCs/>
                <w:szCs w:val="26"/>
              </w:rPr>
              <w:t>International</w:t>
            </w:r>
            <w:proofErr w:type="spellEnd"/>
            <w:r w:rsidRPr="000246FE">
              <w:rPr>
                <w:i/>
                <w:iCs/>
                <w:szCs w:val="26"/>
              </w:rPr>
              <w:t xml:space="preserve"> </w:t>
            </w:r>
            <w:proofErr w:type="spellStart"/>
            <w:r w:rsidRPr="000246FE">
              <w:rPr>
                <w:i/>
                <w:iCs/>
                <w:szCs w:val="26"/>
              </w:rPr>
              <w:t>Ombudsman</w:t>
            </w:r>
            <w:proofErr w:type="spellEnd"/>
            <w:r w:rsidRPr="000246FE">
              <w:rPr>
                <w:i/>
                <w:iCs/>
                <w:szCs w:val="26"/>
              </w:rPr>
              <w:t xml:space="preserve"> </w:t>
            </w:r>
            <w:proofErr w:type="spellStart"/>
            <w:r w:rsidRPr="000246FE">
              <w:rPr>
                <w:i/>
                <w:iCs/>
                <w:szCs w:val="26"/>
              </w:rPr>
              <w:t>Institute</w:t>
            </w:r>
            <w:proofErr w:type="spellEnd"/>
            <w:r w:rsidRPr="00B93BCC">
              <w:rPr>
                <w:szCs w:val="26"/>
              </w:rPr>
              <w:t>) pilna statusa biedrs</w:t>
            </w:r>
            <w:r w:rsidR="00987CB1">
              <w:rPr>
                <w:szCs w:val="26"/>
              </w:rPr>
              <w:t xml:space="preserve">, </w:t>
            </w:r>
            <w:r w:rsidRPr="00B93BCC">
              <w:rPr>
                <w:szCs w:val="26"/>
              </w:rPr>
              <w:t>Eiropas ombudu tīkla (</w:t>
            </w:r>
            <w:proofErr w:type="spellStart"/>
            <w:r w:rsidRPr="000246FE">
              <w:rPr>
                <w:i/>
                <w:iCs/>
                <w:szCs w:val="26"/>
              </w:rPr>
              <w:t>The</w:t>
            </w:r>
            <w:proofErr w:type="spellEnd"/>
            <w:r w:rsidRPr="000246FE">
              <w:rPr>
                <w:i/>
                <w:iCs/>
                <w:szCs w:val="26"/>
              </w:rPr>
              <w:t xml:space="preserve"> </w:t>
            </w:r>
            <w:proofErr w:type="spellStart"/>
            <w:r w:rsidRPr="000246FE">
              <w:rPr>
                <w:i/>
                <w:iCs/>
                <w:szCs w:val="26"/>
              </w:rPr>
              <w:t>European</w:t>
            </w:r>
            <w:proofErr w:type="spellEnd"/>
            <w:r w:rsidRPr="000246FE">
              <w:rPr>
                <w:i/>
                <w:iCs/>
                <w:szCs w:val="26"/>
              </w:rPr>
              <w:t xml:space="preserve"> </w:t>
            </w:r>
            <w:proofErr w:type="spellStart"/>
            <w:r w:rsidRPr="000246FE">
              <w:rPr>
                <w:i/>
                <w:iCs/>
                <w:szCs w:val="26"/>
              </w:rPr>
              <w:t>Network</w:t>
            </w:r>
            <w:proofErr w:type="spellEnd"/>
            <w:r w:rsidRPr="000246FE">
              <w:rPr>
                <w:i/>
                <w:iCs/>
                <w:szCs w:val="26"/>
              </w:rPr>
              <w:t xml:space="preserve"> </w:t>
            </w:r>
            <w:proofErr w:type="spellStart"/>
            <w:r w:rsidRPr="000246FE">
              <w:rPr>
                <w:i/>
                <w:iCs/>
                <w:szCs w:val="26"/>
              </w:rPr>
              <w:t>of</w:t>
            </w:r>
            <w:proofErr w:type="spellEnd"/>
            <w:r w:rsidRPr="000246FE">
              <w:rPr>
                <w:i/>
                <w:iCs/>
                <w:szCs w:val="26"/>
              </w:rPr>
              <w:t xml:space="preserve"> </w:t>
            </w:r>
            <w:proofErr w:type="spellStart"/>
            <w:r w:rsidRPr="000246FE">
              <w:rPr>
                <w:i/>
                <w:iCs/>
                <w:szCs w:val="26"/>
              </w:rPr>
              <w:t>Ombudsmen</w:t>
            </w:r>
            <w:proofErr w:type="spellEnd"/>
            <w:r w:rsidRPr="00B93BCC">
              <w:rPr>
                <w:szCs w:val="26"/>
              </w:rPr>
              <w:t>) biedrs</w:t>
            </w:r>
            <w:r w:rsidR="00987CB1">
              <w:rPr>
                <w:szCs w:val="26"/>
              </w:rPr>
              <w:t xml:space="preserve">, </w:t>
            </w:r>
            <w:r w:rsidRPr="00B93BCC">
              <w:rPr>
                <w:szCs w:val="26"/>
              </w:rPr>
              <w:t>Eiropas Ombudu institūta (</w:t>
            </w:r>
            <w:proofErr w:type="spellStart"/>
            <w:r w:rsidRPr="000246FE">
              <w:rPr>
                <w:i/>
                <w:iCs/>
                <w:szCs w:val="26"/>
              </w:rPr>
              <w:t>European</w:t>
            </w:r>
            <w:proofErr w:type="spellEnd"/>
            <w:r w:rsidRPr="000246FE">
              <w:rPr>
                <w:i/>
                <w:iCs/>
                <w:szCs w:val="26"/>
              </w:rPr>
              <w:t xml:space="preserve"> </w:t>
            </w:r>
            <w:proofErr w:type="spellStart"/>
            <w:r w:rsidRPr="000246FE">
              <w:rPr>
                <w:i/>
                <w:iCs/>
                <w:szCs w:val="26"/>
              </w:rPr>
              <w:t>Ombudsman</w:t>
            </w:r>
            <w:proofErr w:type="spellEnd"/>
            <w:r w:rsidRPr="000246FE">
              <w:rPr>
                <w:i/>
                <w:iCs/>
                <w:szCs w:val="26"/>
              </w:rPr>
              <w:t xml:space="preserve"> </w:t>
            </w:r>
            <w:proofErr w:type="spellStart"/>
            <w:r w:rsidRPr="000246FE">
              <w:rPr>
                <w:i/>
                <w:iCs/>
                <w:szCs w:val="26"/>
              </w:rPr>
              <w:t>Institute</w:t>
            </w:r>
            <w:proofErr w:type="spellEnd"/>
            <w:r w:rsidRPr="00B93BCC">
              <w:rPr>
                <w:szCs w:val="26"/>
              </w:rPr>
              <w:t>) biedrs</w:t>
            </w:r>
            <w:r w:rsidR="00987CB1">
              <w:rPr>
                <w:szCs w:val="26"/>
              </w:rPr>
              <w:t xml:space="preserve">. Līdz </w:t>
            </w:r>
            <w:proofErr w:type="spellStart"/>
            <w:r w:rsidR="00987CB1" w:rsidRPr="00987CB1">
              <w:rPr>
                <w:szCs w:val="26"/>
              </w:rPr>
              <w:t>Covid-19</w:t>
            </w:r>
            <w:proofErr w:type="spellEnd"/>
            <w:r w:rsidR="00987CB1" w:rsidRPr="00987CB1">
              <w:rPr>
                <w:szCs w:val="26"/>
              </w:rPr>
              <w:t xml:space="preserve"> infekcijas izplatība</w:t>
            </w:r>
            <w:r w:rsidR="00987CB1">
              <w:rPr>
                <w:szCs w:val="26"/>
              </w:rPr>
              <w:t xml:space="preserve">i pasaulē </w:t>
            </w:r>
            <w:r w:rsidR="00FD38C1">
              <w:rPr>
                <w:szCs w:val="26"/>
              </w:rPr>
              <w:t>Biroja darbiniek</w:t>
            </w:r>
            <w:r w:rsidR="003E65B1">
              <w:rPr>
                <w:szCs w:val="26"/>
              </w:rPr>
              <w:t>i</w:t>
            </w:r>
            <w:r w:rsidR="00FD38C1">
              <w:rPr>
                <w:szCs w:val="26"/>
              </w:rPr>
              <w:t xml:space="preserve"> </w:t>
            </w:r>
            <w:r w:rsidR="003E65B1">
              <w:rPr>
                <w:szCs w:val="26"/>
              </w:rPr>
              <w:t>aktīvi piedalījās</w:t>
            </w:r>
            <w:r w:rsidR="00987CB1">
              <w:rPr>
                <w:szCs w:val="26"/>
              </w:rPr>
              <w:t xml:space="preserve"> starptautisko institūciju organizētajās darba grupās, semināros un apmācībās.</w:t>
            </w:r>
          </w:p>
          <w:p w14:paraId="4628B138" w14:textId="591119B4" w:rsidR="007D2AE5" w:rsidRDefault="00A80C9A" w:rsidP="007D2AE5">
            <w:pPr>
              <w:pStyle w:val="NoSpacing"/>
              <w:ind w:left="57" w:right="57"/>
              <w:jc w:val="both"/>
              <w:rPr>
                <w:szCs w:val="26"/>
              </w:rPr>
            </w:pPr>
            <w:r>
              <w:rPr>
                <w:szCs w:val="26"/>
              </w:rPr>
              <w:t>Pēc</w:t>
            </w:r>
            <w:r w:rsidR="00F62A14">
              <w:rPr>
                <w:szCs w:val="26"/>
              </w:rPr>
              <w:t xml:space="preserve"> </w:t>
            </w:r>
            <w:r w:rsidR="00F62A14" w:rsidRPr="00F62A14">
              <w:rPr>
                <w:szCs w:val="26"/>
              </w:rPr>
              <w:t xml:space="preserve">Pasaules </w:t>
            </w:r>
            <w:r w:rsidR="00BA6758" w:rsidRPr="00F62A14">
              <w:rPr>
                <w:szCs w:val="26"/>
              </w:rPr>
              <w:t xml:space="preserve">Veselības </w:t>
            </w:r>
            <w:r w:rsidR="00F62A14" w:rsidRPr="00F62A14">
              <w:rPr>
                <w:szCs w:val="26"/>
              </w:rPr>
              <w:t>organizācijas 2020. gada 11. marta paziņojum</w:t>
            </w:r>
            <w:r>
              <w:rPr>
                <w:szCs w:val="26"/>
              </w:rPr>
              <w:t>a</w:t>
            </w:r>
            <w:r w:rsidR="00F62A14" w:rsidRPr="00F62A14">
              <w:rPr>
                <w:szCs w:val="26"/>
              </w:rPr>
              <w:t>, ka Covid-19 ir sasniegusi pandēmijas apmērus</w:t>
            </w:r>
            <w:r w:rsidR="00BA6758">
              <w:rPr>
                <w:szCs w:val="26"/>
              </w:rPr>
              <w:t>,</w:t>
            </w:r>
            <w:r w:rsidR="006030DE">
              <w:rPr>
                <w:szCs w:val="26"/>
              </w:rPr>
              <w:t xml:space="preserve"> un</w:t>
            </w:r>
            <w:r>
              <w:rPr>
                <w:szCs w:val="26"/>
              </w:rPr>
              <w:t xml:space="preserve"> pēc </w:t>
            </w:r>
            <w:r w:rsidR="00F62A14">
              <w:rPr>
                <w:szCs w:val="26"/>
              </w:rPr>
              <w:t>ārkārt</w:t>
            </w:r>
            <w:r w:rsidR="00675EBE">
              <w:rPr>
                <w:szCs w:val="26"/>
              </w:rPr>
              <w:t>ējās</w:t>
            </w:r>
            <w:r w:rsidR="00F62A14">
              <w:rPr>
                <w:szCs w:val="26"/>
              </w:rPr>
              <w:t xml:space="preserve"> situācijas izsludināšan</w:t>
            </w:r>
            <w:r>
              <w:rPr>
                <w:szCs w:val="26"/>
              </w:rPr>
              <w:t>as</w:t>
            </w:r>
            <w:r w:rsidR="00F62A14">
              <w:rPr>
                <w:szCs w:val="26"/>
              </w:rPr>
              <w:t xml:space="preserve"> valstī (</w:t>
            </w:r>
            <w:r w:rsidR="006270EA" w:rsidRPr="006270EA">
              <w:rPr>
                <w:szCs w:val="26"/>
              </w:rPr>
              <w:t>M</w:t>
            </w:r>
            <w:r w:rsidR="006270EA">
              <w:rPr>
                <w:szCs w:val="26"/>
              </w:rPr>
              <w:t xml:space="preserve">K </w:t>
            </w:r>
            <w:r w:rsidR="006270EA" w:rsidRPr="006270EA">
              <w:rPr>
                <w:szCs w:val="26"/>
              </w:rPr>
              <w:t>2020. gada 12. mart</w:t>
            </w:r>
            <w:r w:rsidR="006270EA">
              <w:rPr>
                <w:szCs w:val="26"/>
              </w:rPr>
              <w:t xml:space="preserve">a </w:t>
            </w:r>
            <w:r w:rsidR="006270EA" w:rsidRPr="006270EA">
              <w:rPr>
                <w:szCs w:val="26"/>
              </w:rPr>
              <w:t>rīkojums Nr. 103</w:t>
            </w:r>
            <w:r w:rsidR="006270EA">
              <w:rPr>
                <w:szCs w:val="26"/>
              </w:rPr>
              <w:t xml:space="preserve"> </w:t>
            </w:r>
            <w:r w:rsidR="003E65B1" w:rsidRPr="003A1D2F">
              <w:rPr>
                <w:szCs w:val="28"/>
              </w:rPr>
              <w:t>"</w:t>
            </w:r>
            <w:r w:rsidR="006270EA" w:rsidRPr="006270EA">
              <w:rPr>
                <w:szCs w:val="26"/>
              </w:rPr>
              <w:t>Par ārkārtējās situācijas izsludināšanu</w:t>
            </w:r>
            <w:r w:rsidR="003E65B1" w:rsidRPr="003A1D2F">
              <w:rPr>
                <w:szCs w:val="28"/>
              </w:rPr>
              <w:t>"</w:t>
            </w:r>
            <w:r w:rsidR="006270EA">
              <w:rPr>
                <w:szCs w:val="26"/>
              </w:rPr>
              <w:t>)</w:t>
            </w:r>
            <w:r w:rsidR="00675EBE">
              <w:rPr>
                <w:szCs w:val="26"/>
              </w:rPr>
              <w:t>,</w:t>
            </w:r>
            <w:r w:rsidR="006270EA">
              <w:rPr>
                <w:szCs w:val="26"/>
              </w:rPr>
              <w:t xml:space="preserve"> </w:t>
            </w:r>
            <w:r w:rsidRPr="00A80C9A">
              <w:rPr>
                <w:szCs w:val="26"/>
              </w:rPr>
              <w:t xml:space="preserve">ņemot vērā Slimību profilakses un kontroles centra tīmekļvietnē publicēto valstu sarakstu, kurās reģistrēta tāda </w:t>
            </w:r>
            <w:proofErr w:type="spellStart"/>
            <w:r w:rsidRPr="00A80C9A">
              <w:rPr>
                <w:szCs w:val="26"/>
              </w:rPr>
              <w:t>Covid-19</w:t>
            </w:r>
            <w:proofErr w:type="spellEnd"/>
            <w:r w:rsidRPr="00A80C9A">
              <w:rPr>
                <w:szCs w:val="26"/>
              </w:rPr>
              <w:t xml:space="preserve"> infekcijas izplatība, kas var radīt nopietnu sabiedrības veselības apdraudējumu, </w:t>
            </w:r>
            <w:r w:rsidR="00675EBE">
              <w:rPr>
                <w:szCs w:val="26"/>
              </w:rPr>
              <w:t xml:space="preserve">kā arī </w:t>
            </w:r>
            <w:r w:rsidR="00675EBE" w:rsidRPr="00A80C9A">
              <w:rPr>
                <w:szCs w:val="26"/>
              </w:rPr>
              <w:t xml:space="preserve">apzinoties risku, ko rada personu </w:t>
            </w:r>
            <w:r w:rsidR="00675EBE">
              <w:rPr>
                <w:szCs w:val="26"/>
              </w:rPr>
              <w:t>pārvietošanās</w:t>
            </w:r>
            <w:r w:rsidR="00675EBE" w:rsidRPr="00A80C9A">
              <w:rPr>
                <w:szCs w:val="26"/>
              </w:rPr>
              <w:t>,</w:t>
            </w:r>
            <w:r w:rsidR="00675EBE">
              <w:rPr>
                <w:szCs w:val="26"/>
              </w:rPr>
              <w:t xml:space="preserve"> </w:t>
            </w:r>
            <w:r w:rsidR="007D2AE5">
              <w:rPr>
                <w:szCs w:val="26"/>
              </w:rPr>
              <w:t>Birojā tika pieņemts lēmums maksimāli ierobežot ārvalstu komandējumu skaitu.</w:t>
            </w:r>
          </w:p>
          <w:p w14:paraId="156494CF" w14:textId="5A4B3E08" w:rsidR="003327FD" w:rsidRDefault="00A47CFD" w:rsidP="003327FD">
            <w:pPr>
              <w:pStyle w:val="NoSpacing"/>
              <w:ind w:left="57" w:right="57"/>
              <w:jc w:val="both"/>
            </w:pPr>
            <w:r>
              <w:rPr>
                <w:szCs w:val="26"/>
              </w:rPr>
              <w:t>Tā kā</w:t>
            </w:r>
            <w:r w:rsidR="00A80C9A">
              <w:rPr>
                <w:szCs w:val="26"/>
              </w:rPr>
              <w:t xml:space="preserve"> </w:t>
            </w:r>
            <w:r w:rsidR="00F62A14" w:rsidRPr="00F62A14">
              <w:rPr>
                <w:szCs w:val="26"/>
              </w:rPr>
              <w:t>s</w:t>
            </w:r>
            <w:r w:rsidR="00F62A14">
              <w:rPr>
                <w:szCs w:val="26"/>
              </w:rPr>
              <w:t>as</w:t>
            </w:r>
            <w:r w:rsidR="00F62A14" w:rsidRPr="00F62A14">
              <w:rPr>
                <w:szCs w:val="26"/>
              </w:rPr>
              <w:t xml:space="preserve">limstības ar </w:t>
            </w:r>
            <w:proofErr w:type="spellStart"/>
            <w:r w:rsidR="00F62A14" w:rsidRPr="00F62A14">
              <w:rPr>
                <w:szCs w:val="26"/>
              </w:rPr>
              <w:t>Covid-19</w:t>
            </w:r>
            <w:proofErr w:type="spellEnd"/>
            <w:r w:rsidR="00F62A14" w:rsidRPr="00F62A14">
              <w:rPr>
                <w:szCs w:val="26"/>
              </w:rPr>
              <w:t xml:space="preserve"> kumulatīvais rādītājs </w:t>
            </w:r>
            <w:r w:rsidR="00A80C9A">
              <w:rPr>
                <w:szCs w:val="26"/>
              </w:rPr>
              <w:t xml:space="preserve">valstī pēdējā mēneša laikā ir </w:t>
            </w:r>
            <w:r w:rsidR="00F62A14" w:rsidRPr="00F62A14">
              <w:rPr>
                <w:szCs w:val="26"/>
              </w:rPr>
              <w:t xml:space="preserve">strauji audzis </w:t>
            </w:r>
            <w:r w:rsidR="00A80C9A">
              <w:rPr>
                <w:szCs w:val="26"/>
              </w:rPr>
              <w:t>un atkārtoti izsludināta ārkārt</w:t>
            </w:r>
            <w:r w:rsidR="00675EBE">
              <w:rPr>
                <w:szCs w:val="26"/>
              </w:rPr>
              <w:t>ējā</w:t>
            </w:r>
            <w:r w:rsidR="00A80C9A">
              <w:rPr>
                <w:szCs w:val="26"/>
              </w:rPr>
              <w:t xml:space="preserve"> situācija (</w:t>
            </w:r>
            <w:r w:rsidR="00A80C9A" w:rsidRPr="00A80C9A">
              <w:rPr>
                <w:szCs w:val="26"/>
              </w:rPr>
              <w:t>M</w:t>
            </w:r>
            <w:r w:rsidR="00A80C9A">
              <w:rPr>
                <w:szCs w:val="26"/>
              </w:rPr>
              <w:t>K</w:t>
            </w:r>
            <w:r w:rsidR="00A80C9A" w:rsidRPr="00A80C9A">
              <w:rPr>
                <w:szCs w:val="26"/>
              </w:rPr>
              <w:t xml:space="preserve"> </w:t>
            </w:r>
            <w:r w:rsidR="003327FD" w:rsidRPr="003327FD">
              <w:rPr>
                <w:szCs w:val="26"/>
              </w:rPr>
              <w:t>2020.</w:t>
            </w:r>
            <w:r w:rsidR="00C50A55">
              <w:rPr>
                <w:szCs w:val="26"/>
              </w:rPr>
              <w:t> </w:t>
            </w:r>
            <w:r w:rsidR="003327FD" w:rsidRPr="003327FD">
              <w:rPr>
                <w:szCs w:val="26"/>
              </w:rPr>
              <w:t>gada 6.</w:t>
            </w:r>
            <w:r w:rsidR="00675EBE">
              <w:rPr>
                <w:szCs w:val="26"/>
              </w:rPr>
              <w:t> </w:t>
            </w:r>
            <w:r w:rsidR="003327FD" w:rsidRPr="003327FD">
              <w:rPr>
                <w:szCs w:val="26"/>
              </w:rPr>
              <w:t>novembr</w:t>
            </w:r>
            <w:r w:rsidR="003327FD">
              <w:rPr>
                <w:szCs w:val="26"/>
              </w:rPr>
              <w:t xml:space="preserve">a </w:t>
            </w:r>
            <w:r w:rsidR="00A80C9A" w:rsidRPr="00A80C9A">
              <w:rPr>
                <w:szCs w:val="26"/>
              </w:rPr>
              <w:t xml:space="preserve">rīkojums Nr. </w:t>
            </w:r>
            <w:r w:rsidR="00A80C9A" w:rsidRPr="00A47CFD">
              <w:rPr>
                <w:szCs w:val="26"/>
              </w:rPr>
              <w:t>655</w:t>
            </w:r>
            <w:r w:rsidR="00675EBE" w:rsidRPr="00A47CFD">
              <w:rPr>
                <w:szCs w:val="26"/>
              </w:rPr>
              <w:t xml:space="preserve"> </w:t>
            </w:r>
            <w:r w:rsidR="00C50A55" w:rsidRPr="00A47CFD">
              <w:rPr>
                <w:szCs w:val="28"/>
              </w:rPr>
              <w:t>"</w:t>
            </w:r>
            <w:r w:rsidR="00675EBE" w:rsidRPr="00A47CFD">
              <w:rPr>
                <w:bCs/>
                <w:szCs w:val="28"/>
                <w:shd w:val="clear" w:color="auto" w:fill="FFFFFF"/>
              </w:rPr>
              <w:t>Par ārkārtējās situācijas izsludināšanu</w:t>
            </w:r>
            <w:r w:rsidR="00C50A55" w:rsidRPr="00A47CFD">
              <w:rPr>
                <w:szCs w:val="28"/>
              </w:rPr>
              <w:t>"</w:t>
            </w:r>
            <w:r w:rsidR="003327FD" w:rsidRPr="00A47CFD">
              <w:rPr>
                <w:szCs w:val="28"/>
              </w:rPr>
              <w:t>)</w:t>
            </w:r>
            <w:r w:rsidR="00C50A55" w:rsidRPr="00A47CFD">
              <w:rPr>
                <w:szCs w:val="28"/>
              </w:rPr>
              <w:t>,</w:t>
            </w:r>
            <w:r w:rsidR="003327FD" w:rsidRPr="00A47CFD">
              <w:rPr>
                <w:szCs w:val="26"/>
              </w:rPr>
              <w:t xml:space="preserve"> </w:t>
            </w:r>
            <w:r w:rsidR="000326E5">
              <w:t>d</w:t>
            </w:r>
            <w:r w:rsidR="000326E5" w:rsidRPr="000326E5">
              <w:t xml:space="preserve">arba organizācija </w:t>
            </w:r>
            <w:r w:rsidR="003327FD">
              <w:t xml:space="preserve">Birojā </w:t>
            </w:r>
            <w:r w:rsidR="000326E5" w:rsidRPr="000326E5">
              <w:t>tiek pielāgota ārkārtējās situācijas apstākļiem</w:t>
            </w:r>
            <w:r w:rsidR="003327FD">
              <w:t>, t.</w:t>
            </w:r>
            <w:r w:rsidR="003E65B1">
              <w:t> </w:t>
            </w:r>
            <w:r w:rsidR="003327FD">
              <w:t xml:space="preserve">i., </w:t>
            </w:r>
            <w:r w:rsidR="000326E5" w:rsidRPr="000326E5">
              <w:t>tiešu savstarpējo kontaktu ierobežošana, attālināta darba režīms, izvērsta darbība elektroniskajā vidē.</w:t>
            </w:r>
          </w:p>
          <w:p w14:paraId="3CDB6935" w14:textId="77777777" w:rsidR="007C2284" w:rsidRDefault="007C2284" w:rsidP="003327FD">
            <w:pPr>
              <w:pStyle w:val="NoSpacing"/>
              <w:ind w:left="57" w:right="57"/>
              <w:jc w:val="both"/>
            </w:pPr>
            <w:r>
              <w:lastRenderedPageBreak/>
              <w:t xml:space="preserve">Birojā </w:t>
            </w:r>
            <w:r w:rsidRPr="007C2284">
              <w:t>apzin</w:t>
            </w:r>
            <w:r>
              <w:t>āti</w:t>
            </w:r>
            <w:r w:rsidRPr="007C2284">
              <w:t xml:space="preserve"> tehnoloģiju un komunikācijas risk</w:t>
            </w:r>
            <w:r>
              <w:t>i</w:t>
            </w:r>
            <w:r w:rsidRPr="007C2284">
              <w:t xml:space="preserve">, kas </w:t>
            </w:r>
            <w:r>
              <w:t>v</w:t>
            </w:r>
            <w:r w:rsidRPr="007C2284">
              <w:t>ar rasties, izmantojot attālinātā darba saziņas iespējas</w:t>
            </w:r>
            <w:r>
              <w:t>,</w:t>
            </w:r>
            <w:r w:rsidRPr="007C2284">
              <w:t xml:space="preserve"> tehnoloģiju platformas un </w:t>
            </w:r>
            <w:r>
              <w:t xml:space="preserve">pieļautos </w:t>
            </w:r>
            <w:r w:rsidRPr="007C2284">
              <w:t>risinājum</w:t>
            </w:r>
            <w:r>
              <w:t>us</w:t>
            </w:r>
            <w:r w:rsidRPr="007C2284">
              <w:t>, cik tie ir droši</w:t>
            </w:r>
            <w:r>
              <w:t xml:space="preserve"> un</w:t>
            </w:r>
            <w:r w:rsidRPr="007C2284">
              <w:t xml:space="preserve"> vai pieļaujama privātu datoru un saziņas kanālu izmantošana</w:t>
            </w:r>
            <w:r>
              <w:t xml:space="preserve">. </w:t>
            </w:r>
          </w:p>
          <w:p w14:paraId="79D2825A" w14:textId="3740309F" w:rsidR="005724D7" w:rsidRPr="00BD569C" w:rsidRDefault="00320240" w:rsidP="0080347B">
            <w:pPr>
              <w:pStyle w:val="NoSpacing"/>
              <w:ind w:left="57" w:right="57"/>
              <w:jc w:val="both"/>
              <w:rPr>
                <w:szCs w:val="26"/>
              </w:rPr>
            </w:pPr>
            <w:r>
              <w:t>Lai</w:t>
            </w:r>
            <w:r w:rsidR="0080347B" w:rsidRPr="0080347B">
              <w:t xml:space="preserve"> </w:t>
            </w:r>
            <w:r w:rsidR="007C2284" w:rsidRPr="007C2284">
              <w:t>nodrošinātu attālinātu darbu</w:t>
            </w:r>
            <w:r w:rsidR="00BA6758">
              <w:t xml:space="preserve"> un</w:t>
            </w:r>
            <w:r>
              <w:t xml:space="preserve"> </w:t>
            </w:r>
            <w:r w:rsidR="0080347B" w:rsidRPr="0080347B">
              <w:t xml:space="preserve">turpinātu </w:t>
            </w:r>
            <w:r>
              <w:t>organizēt</w:t>
            </w:r>
            <w:r w:rsidR="0080347B">
              <w:t xml:space="preserve"> ikgadējās</w:t>
            </w:r>
            <w:r>
              <w:t xml:space="preserve"> konferences</w:t>
            </w:r>
            <w:r w:rsidR="00BA6758">
              <w:t>,</w:t>
            </w:r>
            <w:r>
              <w:t xml:space="preserve"> i</w:t>
            </w:r>
            <w:r w:rsidRPr="00320240">
              <w:t>zmantojot tehnoloģij</w:t>
            </w:r>
            <w:r w:rsidR="00BA6758">
              <w:t>as</w:t>
            </w:r>
            <w:r>
              <w:t>, nepieciešams veikt ieguldījumus pamatkapitāl</w:t>
            </w:r>
            <w:r w:rsidR="00BA6758">
              <w:t>ā,</w:t>
            </w:r>
            <w:r>
              <w:t xml:space="preserve"> novirzot </w:t>
            </w:r>
            <w:r w:rsidRPr="00320240">
              <w:t>mācīb</w:t>
            </w:r>
            <w:r w:rsidR="00BA6758">
              <w:t>ām</w:t>
            </w:r>
            <w:r w:rsidRPr="00320240">
              <w:t>, darba un dienesta komandējum</w:t>
            </w:r>
            <w:r w:rsidR="00BA6758">
              <w:t>iem</w:t>
            </w:r>
            <w:r w:rsidRPr="00320240">
              <w:t xml:space="preserve"> un darba braucien</w:t>
            </w:r>
            <w:r w:rsidR="00BA6758">
              <w:t>iem</w:t>
            </w:r>
            <w:r w:rsidRPr="00320240">
              <w:t xml:space="preserve"> neizlietotos valsts budžeta līdzekļus</w:t>
            </w:r>
            <w:r>
              <w:t xml:space="preserve"> </w:t>
            </w:r>
            <w:r w:rsidRPr="00320240">
              <w:t>37</w:t>
            </w:r>
            <w:r w:rsidR="00BA6758">
              <w:t> </w:t>
            </w:r>
            <w:r w:rsidRPr="00320240">
              <w:t>687</w:t>
            </w:r>
            <w:r w:rsidR="00BA6758">
              <w:t> </w:t>
            </w:r>
            <w:proofErr w:type="spellStart"/>
            <w:r w:rsidRPr="000246FE">
              <w:rPr>
                <w:i/>
                <w:iCs/>
              </w:rPr>
              <w:t>euro</w:t>
            </w:r>
            <w:proofErr w:type="spellEnd"/>
            <w:r>
              <w:t xml:space="preserve"> apmērā </w:t>
            </w:r>
            <w:r w:rsidRPr="00320240">
              <w:t>datortehnikas</w:t>
            </w:r>
            <w:r w:rsidR="006030DE">
              <w:t xml:space="preserve">, </w:t>
            </w:r>
            <w:r w:rsidRPr="00320240">
              <w:t>videokonferenču iekārtas</w:t>
            </w:r>
            <w:r w:rsidR="006030DE">
              <w:t xml:space="preserve"> un bezkontakta roku dezinfekcijas iekārtas</w:t>
            </w:r>
            <w:r>
              <w:t xml:space="preserve"> </w:t>
            </w:r>
            <w:r w:rsidRPr="00320240">
              <w:t>iegādei</w:t>
            </w:r>
            <w:r>
              <w:t>.</w:t>
            </w:r>
            <w:r w:rsidR="0080347B">
              <w:t xml:space="preserve"> </w:t>
            </w:r>
          </w:p>
          <w:p w14:paraId="57FF14DA" w14:textId="1A9C5ED3" w:rsidR="00570824" w:rsidRPr="00BD569C" w:rsidRDefault="00570824" w:rsidP="0080347B">
            <w:pPr>
              <w:pStyle w:val="NoSpacing"/>
              <w:ind w:left="57" w:right="57"/>
              <w:jc w:val="both"/>
              <w:rPr>
                <w:szCs w:val="26"/>
              </w:rPr>
            </w:pPr>
            <w:r w:rsidRPr="00570824">
              <w:rPr>
                <w:szCs w:val="26"/>
              </w:rPr>
              <w:t>Covid-19 infekcijas izplatības seku pārvarēšanas likum</w:t>
            </w:r>
            <w:r w:rsidR="0080347B">
              <w:rPr>
                <w:szCs w:val="26"/>
              </w:rPr>
              <w:t xml:space="preserve">a </w:t>
            </w:r>
            <w:r w:rsidR="00AF5386">
              <w:rPr>
                <w:szCs w:val="26"/>
              </w:rPr>
              <w:t>24.</w:t>
            </w:r>
            <w:r w:rsidR="00BA6758">
              <w:rPr>
                <w:szCs w:val="26"/>
              </w:rPr>
              <w:t> </w:t>
            </w:r>
            <w:r w:rsidR="00AF5386">
              <w:rPr>
                <w:szCs w:val="26"/>
              </w:rPr>
              <w:t xml:space="preserve">pantā noteikts, ka </w:t>
            </w:r>
            <w:r w:rsidR="00AF5386" w:rsidRPr="007C1B84">
              <w:t>pasākumus ar Covid-19 izplatību saistītā valsts apdraudējuma un tā seku novēršanai un pārvarēšanai finansē no budžeta finansētajām institūcijām iedalītajiem valsts budžeta un pašvaldību budžetu līdzekļiem</w:t>
            </w:r>
            <w:r w:rsidR="00C50A55">
              <w:t>, bet</w:t>
            </w:r>
            <w:r w:rsidR="00AF5386">
              <w:t xml:space="preserve"> </w:t>
            </w:r>
            <w:r w:rsidRPr="0080347B">
              <w:rPr>
                <w:szCs w:val="26"/>
              </w:rPr>
              <w:t>25. pant</w:t>
            </w:r>
            <w:r w:rsidR="0080347B" w:rsidRPr="0080347B">
              <w:rPr>
                <w:szCs w:val="26"/>
              </w:rPr>
              <w:t xml:space="preserve">ā noteikts, ka </w:t>
            </w:r>
            <w:r w:rsidR="0044096F">
              <w:rPr>
                <w:szCs w:val="26"/>
              </w:rPr>
              <w:t>f</w:t>
            </w:r>
            <w:r w:rsidRPr="0080347B">
              <w:rPr>
                <w:szCs w:val="26"/>
              </w:rPr>
              <w:t>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ir to izskatījusi un nav iebildusi, kā arī veikt apropriācijas pārdali ministrijai vai citai centrālajai valsts iestādei likumā noteiktās apropriācijas ietvaros starp programmām, apakšprogrammām un izdevumu kodiem atbilstoši ekonomiskajām kategorijām.</w:t>
            </w:r>
          </w:p>
          <w:p w14:paraId="19C2201D" w14:textId="1F7BF5EB" w:rsidR="00B15D67" w:rsidRPr="00BD569C" w:rsidRDefault="00B15D67" w:rsidP="00AF5F9E">
            <w:pPr>
              <w:pStyle w:val="NoSpacing"/>
              <w:ind w:left="57" w:right="57"/>
              <w:jc w:val="both"/>
              <w:rPr>
                <w:szCs w:val="26"/>
              </w:rPr>
            </w:pPr>
            <w:r w:rsidRPr="00BD569C">
              <w:rPr>
                <w:szCs w:val="26"/>
              </w:rPr>
              <w:t xml:space="preserve">Ņemot vērā minēto, Ministru kabineta rīkojuma projekts </w:t>
            </w:r>
            <w:r w:rsidR="00B2705E" w:rsidRPr="00B2705E">
              <w:rPr>
                <w:szCs w:val="26"/>
              </w:rPr>
              <w:t xml:space="preserve">"Par apropriācijas pārdali </w:t>
            </w:r>
            <w:r w:rsidR="0044096F" w:rsidRPr="0044096F">
              <w:rPr>
                <w:szCs w:val="26"/>
              </w:rPr>
              <w:t xml:space="preserve">Tiesībsarga biroja budžeta programmas </w:t>
            </w:r>
            <w:r w:rsidR="00C90ACA">
              <w:rPr>
                <w:szCs w:val="26"/>
              </w:rPr>
              <w:t>ietvaros</w:t>
            </w:r>
            <w:r w:rsidR="00B2705E" w:rsidRPr="00B2705E">
              <w:rPr>
                <w:szCs w:val="26"/>
              </w:rPr>
              <w:t xml:space="preserve">" (turpmāk – rīkojuma projekts) </w:t>
            </w:r>
            <w:r w:rsidRPr="00B2705E">
              <w:rPr>
                <w:szCs w:val="26"/>
              </w:rPr>
              <w:t>paredz</w:t>
            </w:r>
            <w:r w:rsidRPr="00BD569C">
              <w:rPr>
                <w:szCs w:val="26"/>
              </w:rPr>
              <w:t>:</w:t>
            </w:r>
          </w:p>
          <w:p w14:paraId="4756AFFB" w14:textId="10EF6D3F" w:rsidR="00B15D67" w:rsidRPr="00BD569C" w:rsidRDefault="00AF5386" w:rsidP="00AF5F9E">
            <w:pPr>
              <w:pStyle w:val="NoSpacing"/>
              <w:numPr>
                <w:ilvl w:val="0"/>
                <w:numId w:val="12"/>
              </w:numPr>
              <w:tabs>
                <w:tab w:val="left" w:pos="542"/>
              </w:tabs>
              <w:ind w:left="57" w:right="57" w:firstLine="202"/>
              <w:jc w:val="both"/>
              <w:rPr>
                <w:szCs w:val="26"/>
              </w:rPr>
            </w:pPr>
            <w:r>
              <w:rPr>
                <w:szCs w:val="26"/>
              </w:rPr>
              <w:t>a</w:t>
            </w:r>
            <w:r w:rsidRPr="003A1D2F">
              <w:rPr>
                <w:szCs w:val="28"/>
              </w:rPr>
              <w:t>tbalstīt apropriācijas pārdali Tiesībsarga biroja budžeta programmas 01.00.00 "Tiesībsarga birojs" ietvaros, samazinot finansējumu mācību, darba un dienesta komandējumiem un darba braucieniem 37</w:t>
            </w:r>
            <w:r w:rsidR="00C50A55">
              <w:rPr>
                <w:szCs w:val="28"/>
              </w:rPr>
              <w:t> </w:t>
            </w:r>
            <w:r w:rsidRPr="003A1D2F">
              <w:rPr>
                <w:szCs w:val="28"/>
              </w:rPr>
              <w:t>687</w:t>
            </w:r>
            <w:r w:rsidR="00C50A55">
              <w:rPr>
                <w:szCs w:val="28"/>
              </w:rPr>
              <w:t> </w:t>
            </w:r>
            <w:proofErr w:type="spellStart"/>
            <w:r w:rsidRPr="00C50A55">
              <w:rPr>
                <w:i/>
                <w:szCs w:val="28"/>
              </w:rPr>
              <w:t>euro</w:t>
            </w:r>
            <w:proofErr w:type="spellEnd"/>
            <w:r w:rsidRPr="003A1D2F">
              <w:rPr>
                <w:szCs w:val="28"/>
              </w:rPr>
              <w:t xml:space="preserve"> apmērā un palielinot finansējumu datortehnikas, videokonferenču tehnikas un dezinfekcijas iekārtas iegādei 37</w:t>
            </w:r>
            <w:r w:rsidR="00C50A55">
              <w:rPr>
                <w:szCs w:val="28"/>
              </w:rPr>
              <w:t> </w:t>
            </w:r>
            <w:r w:rsidRPr="003A1D2F">
              <w:rPr>
                <w:szCs w:val="28"/>
              </w:rPr>
              <w:t>687</w:t>
            </w:r>
            <w:r w:rsidR="00C50A55">
              <w:rPr>
                <w:szCs w:val="28"/>
              </w:rPr>
              <w:t> </w:t>
            </w:r>
            <w:proofErr w:type="spellStart"/>
            <w:r w:rsidRPr="00C50A55">
              <w:rPr>
                <w:i/>
                <w:szCs w:val="28"/>
              </w:rPr>
              <w:t>euro</w:t>
            </w:r>
            <w:proofErr w:type="spellEnd"/>
            <w:r w:rsidRPr="003A1D2F">
              <w:rPr>
                <w:szCs w:val="28"/>
              </w:rPr>
              <w:t xml:space="preserve"> apmērā</w:t>
            </w:r>
            <w:r w:rsidR="00B15D67" w:rsidRPr="00BD569C">
              <w:rPr>
                <w:szCs w:val="26"/>
              </w:rPr>
              <w:t>;</w:t>
            </w:r>
          </w:p>
          <w:p w14:paraId="151FE467" w14:textId="6082E629" w:rsidR="009D5991" w:rsidRPr="00BD569C" w:rsidRDefault="00B15D67" w:rsidP="00AF5F9E">
            <w:pPr>
              <w:pStyle w:val="NoSpacing"/>
              <w:numPr>
                <w:ilvl w:val="0"/>
                <w:numId w:val="12"/>
              </w:numPr>
              <w:tabs>
                <w:tab w:val="left" w:pos="542"/>
              </w:tabs>
              <w:ind w:left="57" w:right="57" w:firstLine="202"/>
              <w:jc w:val="both"/>
              <w:rPr>
                <w:szCs w:val="26"/>
              </w:rPr>
            </w:pPr>
            <w:r w:rsidRPr="00BD569C">
              <w:rPr>
                <w:szCs w:val="26"/>
              </w:rPr>
              <w:t xml:space="preserve">finanšu ministram normatīvajos aktos noteiktajā kārtībā informēt Saeimas Budžeta un finanšu (nodokļu) komisiju par apropriācijas pārdali un, ja Saeimas Budžeta un finanšu </w:t>
            </w:r>
            <w:r w:rsidRPr="00BD569C">
              <w:rPr>
                <w:szCs w:val="26"/>
              </w:rPr>
              <w:lastRenderedPageBreak/>
              <w:t xml:space="preserve">(nodokļu) komisija piecu darbdienu laikā </w:t>
            </w:r>
            <w:r w:rsidR="00B2705E">
              <w:rPr>
                <w:szCs w:val="26"/>
              </w:rPr>
              <w:t>pēc</w:t>
            </w:r>
            <w:r w:rsidRPr="00BD569C">
              <w:rPr>
                <w:szCs w:val="26"/>
              </w:rPr>
              <w:t xml:space="preserve"> attiecīgās informācijas saņemšanas nav </w:t>
            </w:r>
            <w:r w:rsidR="00B2705E">
              <w:rPr>
                <w:szCs w:val="26"/>
              </w:rPr>
              <w:t xml:space="preserve">izteikusi </w:t>
            </w:r>
            <w:r w:rsidRPr="00BD569C">
              <w:rPr>
                <w:szCs w:val="26"/>
              </w:rPr>
              <w:t>iebildu</w:t>
            </w:r>
            <w:r w:rsidR="00B2705E">
              <w:rPr>
                <w:szCs w:val="26"/>
              </w:rPr>
              <w:t>mus</w:t>
            </w:r>
            <w:r w:rsidRPr="00BD569C">
              <w:rPr>
                <w:szCs w:val="26"/>
              </w:rPr>
              <w:t>, veikt apropriācijas pārdali</w:t>
            </w:r>
          </w:p>
        </w:tc>
      </w:tr>
      <w:tr w:rsidR="00ED0C62" w:rsidRPr="00BD569C" w14:paraId="6A13CE90" w14:textId="77777777" w:rsidTr="00410D40">
        <w:trPr>
          <w:trHeight w:val="372"/>
        </w:trPr>
        <w:tc>
          <w:tcPr>
            <w:tcW w:w="286" w:type="pct"/>
            <w:tcBorders>
              <w:top w:val="outset" w:sz="6" w:space="0" w:color="414142"/>
              <w:left w:val="outset" w:sz="6" w:space="0" w:color="414142"/>
              <w:bottom w:val="outset" w:sz="6" w:space="0" w:color="414142"/>
              <w:right w:val="outset" w:sz="6" w:space="0" w:color="414142"/>
            </w:tcBorders>
            <w:hideMark/>
          </w:tcPr>
          <w:p w14:paraId="60627ED2" w14:textId="77777777" w:rsidR="00894C55" w:rsidRPr="00BD569C" w:rsidRDefault="00894C55" w:rsidP="00856BF9">
            <w:pPr>
              <w:spacing w:after="0" w:line="240" w:lineRule="auto"/>
              <w:jc w:val="center"/>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lastRenderedPageBreak/>
              <w:t>3.</w:t>
            </w:r>
          </w:p>
        </w:tc>
        <w:tc>
          <w:tcPr>
            <w:tcW w:w="1286" w:type="pct"/>
            <w:tcBorders>
              <w:top w:val="outset" w:sz="6" w:space="0" w:color="414142"/>
              <w:left w:val="outset" w:sz="6" w:space="0" w:color="414142"/>
              <w:bottom w:val="outset" w:sz="6" w:space="0" w:color="414142"/>
              <w:right w:val="outset" w:sz="6" w:space="0" w:color="414142"/>
            </w:tcBorders>
            <w:hideMark/>
          </w:tcPr>
          <w:p w14:paraId="3DA82B6C"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Projekta izstrādē iesaistītās institūcijas</w:t>
            </w:r>
            <w:r w:rsidR="00042EA9" w:rsidRPr="00BD569C">
              <w:rPr>
                <w:rFonts w:ascii="Times New Roman" w:eastAsia="Times New Roman" w:hAnsi="Times New Roman" w:cs="Times New Roman"/>
                <w:sz w:val="28"/>
                <w:szCs w:val="26"/>
                <w:lang w:eastAsia="lv-LV"/>
              </w:rPr>
              <w:t xml:space="preserve"> un publiskas personas </w:t>
            </w:r>
            <w:r w:rsidR="00042EA9" w:rsidRPr="00410D40">
              <w:rPr>
                <w:rFonts w:ascii="Times New Roman" w:eastAsia="Times New Roman" w:hAnsi="Times New Roman" w:cs="Times New Roman"/>
                <w:spacing w:val="-4"/>
                <w:sz w:val="28"/>
                <w:szCs w:val="26"/>
                <w:lang w:eastAsia="lv-LV"/>
              </w:rPr>
              <w:t>kapitālsabiedrības</w:t>
            </w:r>
          </w:p>
        </w:tc>
        <w:tc>
          <w:tcPr>
            <w:tcW w:w="3428" w:type="pct"/>
            <w:tcBorders>
              <w:top w:val="outset" w:sz="6" w:space="0" w:color="414142"/>
              <w:left w:val="outset" w:sz="6" w:space="0" w:color="414142"/>
              <w:bottom w:val="outset" w:sz="6" w:space="0" w:color="414142"/>
              <w:right w:val="outset" w:sz="6" w:space="0" w:color="414142"/>
            </w:tcBorders>
            <w:hideMark/>
          </w:tcPr>
          <w:p w14:paraId="7796AA65" w14:textId="74EB0B1A" w:rsidR="00894C55" w:rsidRPr="00BD569C" w:rsidRDefault="0073243C"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Tiesībsarga birojs</w:t>
            </w:r>
          </w:p>
        </w:tc>
      </w:tr>
      <w:tr w:rsidR="00ED0C62" w:rsidRPr="00BD569C" w14:paraId="0EDBECE6" w14:textId="77777777" w:rsidTr="00410D40">
        <w:tc>
          <w:tcPr>
            <w:tcW w:w="286" w:type="pct"/>
            <w:tcBorders>
              <w:top w:val="outset" w:sz="6" w:space="0" w:color="414142"/>
              <w:left w:val="outset" w:sz="6" w:space="0" w:color="414142"/>
              <w:bottom w:val="outset" w:sz="6" w:space="0" w:color="414142"/>
              <w:right w:val="outset" w:sz="6" w:space="0" w:color="414142"/>
            </w:tcBorders>
            <w:hideMark/>
          </w:tcPr>
          <w:p w14:paraId="14E85D7B" w14:textId="77777777" w:rsidR="00894C55" w:rsidRPr="00BD569C" w:rsidRDefault="00894C55" w:rsidP="00856BF9">
            <w:pPr>
              <w:spacing w:after="0" w:line="240" w:lineRule="auto"/>
              <w:jc w:val="center"/>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4.</w:t>
            </w:r>
          </w:p>
        </w:tc>
        <w:tc>
          <w:tcPr>
            <w:tcW w:w="1286" w:type="pct"/>
            <w:tcBorders>
              <w:top w:val="outset" w:sz="6" w:space="0" w:color="414142"/>
              <w:left w:val="outset" w:sz="6" w:space="0" w:color="414142"/>
              <w:bottom w:val="outset" w:sz="6" w:space="0" w:color="414142"/>
              <w:right w:val="outset" w:sz="6" w:space="0" w:color="414142"/>
            </w:tcBorders>
            <w:hideMark/>
          </w:tcPr>
          <w:p w14:paraId="3156F221"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Cita informācija</w:t>
            </w:r>
          </w:p>
        </w:tc>
        <w:tc>
          <w:tcPr>
            <w:tcW w:w="3428" w:type="pct"/>
            <w:tcBorders>
              <w:top w:val="outset" w:sz="6" w:space="0" w:color="414142"/>
              <w:left w:val="outset" w:sz="6" w:space="0" w:color="414142"/>
              <w:bottom w:val="outset" w:sz="6" w:space="0" w:color="414142"/>
              <w:right w:val="outset" w:sz="6" w:space="0" w:color="414142"/>
            </w:tcBorders>
            <w:hideMark/>
          </w:tcPr>
          <w:p w14:paraId="6F93A989" w14:textId="653C86CA" w:rsidR="0044096F" w:rsidRPr="00BD569C" w:rsidRDefault="00C90ACA" w:rsidP="00410D40">
            <w:pPr>
              <w:spacing w:after="0" w:line="240" w:lineRule="auto"/>
              <w:ind w:left="57" w:right="57"/>
              <w:rPr>
                <w:rFonts w:ascii="Times New Roman" w:hAnsi="Times New Roman" w:cs="Times New Roman"/>
                <w:sz w:val="28"/>
                <w:szCs w:val="26"/>
              </w:rPr>
            </w:pPr>
            <w:r>
              <w:rPr>
                <w:rFonts w:ascii="Times New Roman" w:hAnsi="Times New Roman" w:cs="Times New Roman"/>
                <w:sz w:val="28"/>
                <w:szCs w:val="26"/>
              </w:rPr>
              <w:t>Nav</w:t>
            </w:r>
          </w:p>
        </w:tc>
      </w:tr>
    </w:tbl>
    <w:p w14:paraId="261BFE69" w14:textId="77777777" w:rsidR="00672F50" w:rsidRPr="00BD569C" w:rsidRDefault="00672F50" w:rsidP="00856BF9">
      <w:pPr>
        <w:shd w:val="clear" w:color="auto" w:fill="FFFFFF"/>
        <w:spacing w:after="0" w:line="240" w:lineRule="auto"/>
        <w:rPr>
          <w:rFonts w:ascii="Times New Roman" w:eastAsia="Times New Roman" w:hAnsi="Times New Roman" w:cs="Times New Roman"/>
          <w:sz w:val="26"/>
          <w:szCs w:val="26"/>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3402"/>
        <w:gridCol w:w="6095"/>
      </w:tblGrid>
      <w:tr w:rsidR="00ED0C62" w:rsidRPr="00BD569C" w14:paraId="4816E80B" w14:textId="77777777"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FBC73B" w14:textId="77777777" w:rsidR="00894C55" w:rsidRPr="00BD569C" w:rsidRDefault="00894C55" w:rsidP="00856BF9">
            <w:pPr>
              <w:spacing w:after="0" w:line="240" w:lineRule="auto"/>
              <w:jc w:val="center"/>
              <w:rPr>
                <w:rFonts w:ascii="Times New Roman" w:eastAsia="Times New Roman" w:hAnsi="Times New Roman" w:cs="Times New Roman"/>
                <w:b/>
                <w:bCs/>
                <w:sz w:val="28"/>
                <w:szCs w:val="26"/>
                <w:lang w:eastAsia="lv-LV"/>
              </w:rPr>
            </w:pPr>
            <w:r w:rsidRPr="00BD569C">
              <w:rPr>
                <w:rFonts w:ascii="Times New Roman" w:eastAsia="Times New Roman" w:hAnsi="Times New Roman" w:cs="Times New Roman"/>
                <w:b/>
                <w:bCs/>
                <w:sz w:val="28"/>
                <w:szCs w:val="26"/>
                <w:lang w:eastAsia="lv-LV"/>
              </w:rPr>
              <w:t>II.</w:t>
            </w:r>
            <w:r w:rsidR="0050178F" w:rsidRPr="00BD569C">
              <w:rPr>
                <w:rFonts w:ascii="Times New Roman" w:eastAsia="Times New Roman" w:hAnsi="Times New Roman" w:cs="Times New Roman"/>
                <w:b/>
                <w:bCs/>
                <w:sz w:val="28"/>
                <w:szCs w:val="26"/>
                <w:lang w:eastAsia="lv-LV"/>
              </w:rPr>
              <w:t> </w:t>
            </w:r>
            <w:r w:rsidRPr="00BD569C">
              <w:rPr>
                <w:rFonts w:ascii="Times New Roman" w:eastAsia="Times New Roman" w:hAnsi="Times New Roman" w:cs="Times New Roman"/>
                <w:b/>
                <w:bCs/>
                <w:sz w:val="28"/>
                <w:szCs w:val="26"/>
                <w:lang w:eastAsia="lv-LV"/>
              </w:rPr>
              <w:t>Tiesību akta projekta ietekme uz sabiedrību, tautsaimniecības attīstību un administratīvo slogu</w:t>
            </w:r>
          </w:p>
        </w:tc>
      </w:tr>
      <w:tr w:rsidR="00ED0C62" w:rsidRPr="00BD569C" w14:paraId="78B54837" w14:textId="77777777" w:rsidTr="00F1397B">
        <w:trPr>
          <w:trHeight w:val="372"/>
        </w:trPr>
        <w:tc>
          <w:tcPr>
            <w:tcW w:w="215" w:type="pct"/>
            <w:tcBorders>
              <w:top w:val="outset" w:sz="6" w:space="0" w:color="414142"/>
              <w:left w:val="outset" w:sz="6" w:space="0" w:color="414142"/>
              <w:bottom w:val="outset" w:sz="6" w:space="0" w:color="414142"/>
              <w:right w:val="outset" w:sz="6" w:space="0" w:color="414142"/>
            </w:tcBorders>
            <w:hideMark/>
          </w:tcPr>
          <w:p w14:paraId="31D0BE05" w14:textId="77777777" w:rsidR="00894C55" w:rsidRPr="00BD569C" w:rsidRDefault="00894C55" w:rsidP="00856BF9">
            <w:pPr>
              <w:spacing w:after="0" w:line="240" w:lineRule="auto"/>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1.</w:t>
            </w:r>
          </w:p>
        </w:tc>
        <w:tc>
          <w:tcPr>
            <w:tcW w:w="1714" w:type="pct"/>
            <w:tcBorders>
              <w:top w:val="outset" w:sz="6" w:space="0" w:color="414142"/>
              <w:left w:val="outset" w:sz="6" w:space="0" w:color="414142"/>
              <w:bottom w:val="outset" w:sz="6" w:space="0" w:color="414142"/>
              <w:right w:val="outset" w:sz="6" w:space="0" w:color="414142"/>
            </w:tcBorders>
            <w:hideMark/>
          </w:tcPr>
          <w:p w14:paraId="30169F5B"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 xml:space="preserve">Sabiedrības mērķgrupas, kuras tiesiskais regulējums </w:t>
            </w:r>
            <w:r w:rsidRPr="00410D40">
              <w:rPr>
                <w:rFonts w:ascii="Times New Roman" w:eastAsia="Times New Roman" w:hAnsi="Times New Roman" w:cs="Times New Roman"/>
                <w:spacing w:val="-2"/>
                <w:sz w:val="28"/>
                <w:szCs w:val="26"/>
                <w:lang w:eastAsia="lv-LV"/>
              </w:rPr>
              <w:t>ietekmē vai varētu ietekmēt</w:t>
            </w:r>
          </w:p>
        </w:tc>
        <w:tc>
          <w:tcPr>
            <w:tcW w:w="3071" w:type="pct"/>
            <w:tcBorders>
              <w:top w:val="outset" w:sz="6" w:space="0" w:color="414142"/>
              <w:left w:val="outset" w:sz="6" w:space="0" w:color="414142"/>
              <w:bottom w:val="outset" w:sz="6" w:space="0" w:color="414142"/>
              <w:right w:val="outset" w:sz="6" w:space="0" w:color="414142"/>
            </w:tcBorders>
            <w:hideMark/>
          </w:tcPr>
          <w:p w14:paraId="6EEC4238" w14:textId="098A6780" w:rsidR="00A9006E" w:rsidRPr="00BD569C" w:rsidRDefault="00DC4006"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Tiesībsarga birojs</w:t>
            </w:r>
          </w:p>
        </w:tc>
      </w:tr>
      <w:tr w:rsidR="00ED0C62" w:rsidRPr="00BD569C" w14:paraId="1748D921" w14:textId="77777777" w:rsidTr="00F1397B">
        <w:trPr>
          <w:trHeight w:val="408"/>
        </w:trPr>
        <w:tc>
          <w:tcPr>
            <w:tcW w:w="215" w:type="pct"/>
            <w:tcBorders>
              <w:top w:val="outset" w:sz="6" w:space="0" w:color="414142"/>
              <w:left w:val="outset" w:sz="6" w:space="0" w:color="414142"/>
              <w:bottom w:val="outset" w:sz="6" w:space="0" w:color="414142"/>
              <w:right w:val="outset" w:sz="6" w:space="0" w:color="414142"/>
            </w:tcBorders>
            <w:hideMark/>
          </w:tcPr>
          <w:p w14:paraId="5DA05925" w14:textId="77777777" w:rsidR="00894C55" w:rsidRPr="00BD569C" w:rsidRDefault="00894C55" w:rsidP="00856BF9">
            <w:pPr>
              <w:spacing w:after="0" w:line="240" w:lineRule="auto"/>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2.</w:t>
            </w:r>
          </w:p>
        </w:tc>
        <w:tc>
          <w:tcPr>
            <w:tcW w:w="1714" w:type="pct"/>
            <w:tcBorders>
              <w:top w:val="outset" w:sz="6" w:space="0" w:color="414142"/>
              <w:left w:val="outset" w:sz="6" w:space="0" w:color="414142"/>
              <w:bottom w:val="outset" w:sz="6" w:space="0" w:color="414142"/>
              <w:right w:val="outset" w:sz="6" w:space="0" w:color="414142"/>
            </w:tcBorders>
            <w:hideMark/>
          </w:tcPr>
          <w:p w14:paraId="6B88C152"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Tiesiskā regulējuma ietekme uz tautsaimniecību un administratīvo slogu</w:t>
            </w:r>
          </w:p>
        </w:tc>
        <w:tc>
          <w:tcPr>
            <w:tcW w:w="3071" w:type="pct"/>
            <w:tcBorders>
              <w:top w:val="outset" w:sz="6" w:space="0" w:color="414142"/>
              <w:left w:val="outset" w:sz="6" w:space="0" w:color="414142"/>
              <w:bottom w:val="outset" w:sz="6" w:space="0" w:color="414142"/>
              <w:right w:val="outset" w:sz="6" w:space="0" w:color="414142"/>
            </w:tcBorders>
            <w:hideMark/>
          </w:tcPr>
          <w:p w14:paraId="786D61AB" w14:textId="5A8DB5F5" w:rsidR="00894C55" w:rsidRPr="00BD569C" w:rsidRDefault="00007707"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hAnsi="Times New Roman" w:cs="Times New Roman"/>
                <w:sz w:val="28"/>
                <w:szCs w:val="26"/>
                <w:lang w:eastAsia="lv-LV"/>
              </w:rPr>
              <w:t>Rīkojuma projekts tautsaimniecību kā valsts saimniecības nozari neietekmē un administratīvo slogu nerada</w:t>
            </w:r>
          </w:p>
        </w:tc>
      </w:tr>
      <w:tr w:rsidR="00ED0C62" w:rsidRPr="00BD569C" w14:paraId="1FDA9800" w14:textId="77777777" w:rsidTr="00F1397B">
        <w:trPr>
          <w:trHeight w:val="408"/>
        </w:trPr>
        <w:tc>
          <w:tcPr>
            <w:tcW w:w="215" w:type="pct"/>
            <w:tcBorders>
              <w:top w:val="outset" w:sz="6" w:space="0" w:color="414142"/>
              <w:left w:val="outset" w:sz="6" w:space="0" w:color="414142"/>
              <w:bottom w:val="outset" w:sz="6" w:space="0" w:color="414142"/>
              <w:right w:val="outset" w:sz="6" w:space="0" w:color="414142"/>
            </w:tcBorders>
            <w:hideMark/>
          </w:tcPr>
          <w:p w14:paraId="60BE9224" w14:textId="77777777" w:rsidR="00894C55" w:rsidRPr="00BD569C" w:rsidRDefault="00894C55" w:rsidP="00856BF9">
            <w:pPr>
              <w:spacing w:after="0" w:line="240" w:lineRule="auto"/>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3.</w:t>
            </w:r>
          </w:p>
        </w:tc>
        <w:tc>
          <w:tcPr>
            <w:tcW w:w="1714" w:type="pct"/>
            <w:tcBorders>
              <w:top w:val="outset" w:sz="6" w:space="0" w:color="414142"/>
              <w:left w:val="outset" w:sz="6" w:space="0" w:color="414142"/>
              <w:bottom w:val="outset" w:sz="6" w:space="0" w:color="414142"/>
              <w:right w:val="outset" w:sz="6" w:space="0" w:color="414142"/>
            </w:tcBorders>
            <w:hideMark/>
          </w:tcPr>
          <w:p w14:paraId="09F9500A"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Administratīvo izmaksu monetārs novērtējums</w:t>
            </w:r>
          </w:p>
        </w:tc>
        <w:tc>
          <w:tcPr>
            <w:tcW w:w="3071" w:type="pct"/>
            <w:tcBorders>
              <w:top w:val="outset" w:sz="6" w:space="0" w:color="414142"/>
              <w:left w:val="outset" w:sz="6" w:space="0" w:color="414142"/>
              <w:bottom w:val="outset" w:sz="6" w:space="0" w:color="414142"/>
              <w:right w:val="outset" w:sz="6" w:space="0" w:color="414142"/>
            </w:tcBorders>
            <w:hideMark/>
          </w:tcPr>
          <w:p w14:paraId="3C8044C2" w14:textId="392F1FFE" w:rsidR="00894C55" w:rsidRPr="00BD569C" w:rsidRDefault="00F31BAE"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hAnsi="Times New Roman" w:cs="Times New Roman"/>
                <w:sz w:val="28"/>
                <w:szCs w:val="26"/>
                <w:lang w:eastAsia="lv-LV"/>
              </w:rPr>
              <w:t>Projekts šo jomu neskar</w:t>
            </w:r>
          </w:p>
        </w:tc>
      </w:tr>
      <w:tr w:rsidR="00ED0C62" w:rsidRPr="00BD569C" w14:paraId="033465DF" w14:textId="77777777" w:rsidTr="00F1397B">
        <w:trPr>
          <w:trHeight w:val="408"/>
        </w:trPr>
        <w:tc>
          <w:tcPr>
            <w:tcW w:w="215" w:type="pct"/>
            <w:tcBorders>
              <w:top w:val="outset" w:sz="6" w:space="0" w:color="414142"/>
              <w:left w:val="outset" w:sz="6" w:space="0" w:color="414142"/>
              <w:bottom w:val="outset" w:sz="6" w:space="0" w:color="414142"/>
              <w:right w:val="outset" w:sz="6" w:space="0" w:color="414142"/>
            </w:tcBorders>
          </w:tcPr>
          <w:p w14:paraId="20060374" w14:textId="77777777" w:rsidR="00042EA9" w:rsidRPr="00BD569C" w:rsidRDefault="00042EA9" w:rsidP="00856BF9">
            <w:pPr>
              <w:spacing w:after="0" w:line="240" w:lineRule="auto"/>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4.</w:t>
            </w:r>
          </w:p>
        </w:tc>
        <w:tc>
          <w:tcPr>
            <w:tcW w:w="1714" w:type="pct"/>
            <w:tcBorders>
              <w:top w:val="outset" w:sz="6" w:space="0" w:color="414142"/>
              <w:left w:val="outset" w:sz="6" w:space="0" w:color="414142"/>
              <w:bottom w:val="outset" w:sz="6" w:space="0" w:color="414142"/>
              <w:right w:val="outset" w:sz="6" w:space="0" w:color="414142"/>
            </w:tcBorders>
          </w:tcPr>
          <w:p w14:paraId="21BF4F9C" w14:textId="77777777" w:rsidR="00042EA9" w:rsidRPr="00BD569C" w:rsidRDefault="00042EA9"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Atbilstības izmaksu monetārs novērtējums</w:t>
            </w:r>
          </w:p>
        </w:tc>
        <w:tc>
          <w:tcPr>
            <w:tcW w:w="3071" w:type="pct"/>
            <w:tcBorders>
              <w:top w:val="outset" w:sz="6" w:space="0" w:color="414142"/>
              <w:left w:val="outset" w:sz="6" w:space="0" w:color="414142"/>
              <w:bottom w:val="outset" w:sz="6" w:space="0" w:color="414142"/>
              <w:right w:val="outset" w:sz="6" w:space="0" w:color="414142"/>
            </w:tcBorders>
          </w:tcPr>
          <w:p w14:paraId="435DDEAD" w14:textId="5FEB223F" w:rsidR="00042EA9" w:rsidRPr="00BD569C" w:rsidRDefault="00007707" w:rsidP="00410D40">
            <w:pPr>
              <w:spacing w:after="0" w:line="240" w:lineRule="auto"/>
              <w:ind w:left="57" w:right="57"/>
              <w:rPr>
                <w:rFonts w:ascii="Times New Roman" w:hAnsi="Times New Roman" w:cs="Times New Roman"/>
                <w:sz w:val="28"/>
                <w:szCs w:val="26"/>
                <w:lang w:eastAsia="lv-LV"/>
              </w:rPr>
            </w:pPr>
            <w:r w:rsidRPr="00BD569C">
              <w:rPr>
                <w:rFonts w:ascii="Times New Roman" w:hAnsi="Times New Roman" w:cs="Times New Roman"/>
                <w:sz w:val="28"/>
                <w:szCs w:val="26"/>
                <w:lang w:eastAsia="lv-LV"/>
              </w:rPr>
              <w:t>Rīkojuma projekta tiesiskais r</w:t>
            </w:r>
            <w:r w:rsidR="00856BF9" w:rsidRPr="00BD569C">
              <w:rPr>
                <w:rFonts w:ascii="Times New Roman" w:hAnsi="Times New Roman" w:cs="Times New Roman"/>
                <w:sz w:val="28"/>
                <w:szCs w:val="26"/>
                <w:lang w:eastAsia="lv-LV"/>
              </w:rPr>
              <w:t xml:space="preserve">egulējums atbilstības izmaksas </w:t>
            </w:r>
            <w:r w:rsidRPr="00BD569C">
              <w:rPr>
                <w:rFonts w:ascii="Times New Roman" w:hAnsi="Times New Roman" w:cs="Times New Roman"/>
                <w:sz w:val="28"/>
                <w:szCs w:val="26"/>
                <w:lang w:eastAsia="lv-LV"/>
              </w:rPr>
              <w:t>neietekmē</w:t>
            </w:r>
          </w:p>
        </w:tc>
      </w:tr>
      <w:tr w:rsidR="00ED0C62" w:rsidRPr="00BD569C" w14:paraId="6C216817" w14:textId="77777777" w:rsidTr="00F1397B">
        <w:trPr>
          <w:trHeight w:val="276"/>
        </w:trPr>
        <w:tc>
          <w:tcPr>
            <w:tcW w:w="215" w:type="pct"/>
            <w:tcBorders>
              <w:top w:val="outset" w:sz="6" w:space="0" w:color="414142"/>
              <w:left w:val="outset" w:sz="6" w:space="0" w:color="414142"/>
              <w:bottom w:val="outset" w:sz="6" w:space="0" w:color="414142"/>
              <w:right w:val="outset" w:sz="6" w:space="0" w:color="414142"/>
            </w:tcBorders>
            <w:hideMark/>
          </w:tcPr>
          <w:p w14:paraId="0C34D962" w14:textId="77777777" w:rsidR="00894C55" w:rsidRPr="00BD569C" w:rsidRDefault="00042EA9" w:rsidP="00856BF9">
            <w:pPr>
              <w:spacing w:after="0" w:line="240" w:lineRule="auto"/>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5</w:t>
            </w:r>
            <w:r w:rsidR="00894C55" w:rsidRPr="00BD569C">
              <w:rPr>
                <w:rFonts w:ascii="Times New Roman" w:eastAsia="Times New Roman" w:hAnsi="Times New Roman" w:cs="Times New Roman"/>
                <w:sz w:val="28"/>
                <w:szCs w:val="26"/>
                <w:lang w:eastAsia="lv-LV"/>
              </w:rPr>
              <w:t>.</w:t>
            </w:r>
          </w:p>
        </w:tc>
        <w:tc>
          <w:tcPr>
            <w:tcW w:w="1714" w:type="pct"/>
            <w:tcBorders>
              <w:top w:val="outset" w:sz="6" w:space="0" w:color="414142"/>
              <w:left w:val="outset" w:sz="6" w:space="0" w:color="414142"/>
              <w:bottom w:val="outset" w:sz="6" w:space="0" w:color="414142"/>
              <w:right w:val="outset" w:sz="6" w:space="0" w:color="414142"/>
            </w:tcBorders>
            <w:hideMark/>
          </w:tcPr>
          <w:p w14:paraId="62842F03" w14:textId="77777777" w:rsidR="00894C55" w:rsidRPr="00BD569C" w:rsidRDefault="00894C55"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Cita informācija</w:t>
            </w:r>
          </w:p>
        </w:tc>
        <w:tc>
          <w:tcPr>
            <w:tcW w:w="3071" w:type="pct"/>
            <w:tcBorders>
              <w:top w:val="outset" w:sz="6" w:space="0" w:color="414142"/>
              <w:left w:val="outset" w:sz="6" w:space="0" w:color="414142"/>
              <w:bottom w:val="outset" w:sz="6" w:space="0" w:color="414142"/>
              <w:right w:val="outset" w:sz="6" w:space="0" w:color="414142"/>
            </w:tcBorders>
            <w:hideMark/>
          </w:tcPr>
          <w:p w14:paraId="040C6F95" w14:textId="48BDECB8" w:rsidR="00894C55" w:rsidRPr="00BD569C" w:rsidRDefault="006D576C" w:rsidP="00410D40">
            <w:pPr>
              <w:spacing w:after="0" w:line="240" w:lineRule="auto"/>
              <w:ind w:left="57" w:right="57"/>
              <w:rPr>
                <w:rFonts w:ascii="Times New Roman" w:eastAsia="Times New Roman" w:hAnsi="Times New Roman" w:cs="Times New Roman"/>
                <w:sz w:val="28"/>
                <w:szCs w:val="26"/>
                <w:lang w:eastAsia="lv-LV"/>
              </w:rPr>
            </w:pPr>
            <w:r w:rsidRPr="00BD569C">
              <w:rPr>
                <w:rFonts w:ascii="Times New Roman" w:eastAsia="Times New Roman" w:hAnsi="Times New Roman" w:cs="Times New Roman"/>
                <w:sz w:val="28"/>
                <w:szCs w:val="26"/>
                <w:lang w:eastAsia="lv-LV"/>
              </w:rPr>
              <w:t>Nav</w:t>
            </w:r>
          </w:p>
        </w:tc>
      </w:tr>
    </w:tbl>
    <w:p w14:paraId="58A326B3" w14:textId="77777777" w:rsidR="00B71DC9" w:rsidRPr="00BD569C" w:rsidRDefault="00B71DC9" w:rsidP="00856BF9">
      <w:pPr>
        <w:shd w:val="clear" w:color="auto" w:fill="FFFFFF"/>
        <w:spacing w:after="0" w:line="240" w:lineRule="auto"/>
        <w:rPr>
          <w:rFonts w:ascii="Times New Roman" w:eastAsia="Times New Roman" w:hAnsi="Times New Roman" w:cs="Times New Roman"/>
          <w:sz w:val="26"/>
          <w:szCs w:val="26"/>
          <w:lang w:eastAsia="lv-LV"/>
        </w:rPr>
      </w:pPr>
    </w:p>
    <w:tbl>
      <w:tblPr>
        <w:tblW w:w="547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915"/>
      </w:tblGrid>
      <w:tr w:rsidR="00ED0C62" w:rsidRPr="00BD569C" w14:paraId="450C3CDE" w14:textId="77777777" w:rsidTr="00ED0C6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10940C" w14:textId="77777777" w:rsidR="001E250D" w:rsidRPr="00BD569C" w:rsidRDefault="001E250D" w:rsidP="00856BF9">
            <w:pPr>
              <w:spacing w:after="0" w:line="240" w:lineRule="auto"/>
              <w:jc w:val="center"/>
              <w:rPr>
                <w:rFonts w:ascii="Times New Roman" w:eastAsia="Times New Roman" w:hAnsi="Times New Roman" w:cs="Times New Roman"/>
                <w:b/>
                <w:bCs/>
                <w:sz w:val="28"/>
                <w:szCs w:val="26"/>
                <w:lang w:eastAsia="lv-LV"/>
              </w:rPr>
            </w:pPr>
            <w:r w:rsidRPr="00BD569C">
              <w:rPr>
                <w:rFonts w:ascii="Times New Roman" w:eastAsia="Times New Roman" w:hAnsi="Times New Roman" w:cs="Times New Roman"/>
                <w:b/>
                <w:bCs/>
                <w:sz w:val="28"/>
                <w:szCs w:val="26"/>
                <w:lang w:eastAsia="lv-LV"/>
              </w:rPr>
              <w:t>III. Tiesību akta projekta ietekme uz valsts budžetu un pašvaldību budžetiem</w:t>
            </w:r>
          </w:p>
        </w:tc>
      </w:tr>
    </w:tbl>
    <w:p w14:paraId="4CE99277" w14:textId="37A4B4A6" w:rsidR="00ED0C62" w:rsidRPr="00BD569C" w:rsidRDefault="00ED0C62" w:rsidP="00BD569C">
      <w:pPr>
        <w:spacing w:after="0" w:line="240" w:lineRule="auto"/>
        <w:rPr>
          <w:rFonts w:ascii="Times New Roman" w:hAnsi="Times New Roman" w:cs="Times New Roman"/>
          <w:sz w:val="2"/>
          <w:szCs w:val="2"/>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88"/>
        <w:gridCol w:w="1136"/>
        <w:gridCol w:w="1135"/>
        <w:gridCol w:w="1133"/>
        <w:gridCol w:w="1135"/>
        <w:gridCol w:w="1133"/>
        <w:gridCol w:w="1133"/>
        <w:gridCol w:w="1131"/>
      </w:tblGrid>
      <w:tr w:rsidR="005413D2" w:rsidRPr="00BD569C" w14:paraId="7BF4988E" w14:textId="77777777" w:rsidTr="000C2896">
        <w:tc>
          <w:tcPr>
            <w:tcW w:w="1001" w:type="pct"/>
            <w:vMerge w:val="restart"/>
            <w:vAlign w:val="center"/>
            <w:hideMark/>
          </w:tcPr>
          <w:p w14:paraId="0187E672" w14:textId="466FDFCD" w:rsidR="001E250D" w:rsidRPr="00BD569C" w:rsidRDefault="001E250D" w:rsidP="005413D2">
            <w:pPr>
              <w:shd w:val="clear" w:color="auto" w:fill="FFFFFF"/>
              <w:spacing w:after="0" w:line="240" w:lineRule="auto"/>
              <w:ind w:firstLine="301"/>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Rādītāji</w:t>
            </w:r>
          </w:p>
        </w:tc>
        <w:tc>
          <w:tcPr>
            <w:tcW w:w="1144" w:type="pct"/>
            <w:gridSpan w:val="2"/>
            <w:vMerge w:val="restart"/>
            <w:vAlign w:val="center"/>
            <w:hideMark/>
          </w:tcPr>
          <w:p w14:paraId="55A05611" w14:textId="11FB0ED1" w:rsidR="001E250D" w:rsidRPr="00BD569C" w:rsidRDefault="0065352C"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20</w:t>
            </w:r>
            <w:r w:rsidR="00852790">
              <w:rPr>
                <w:rFonts w:ascii="Times New Roman" w:eastAsia="Times New Roman" w:hAnsi="Times New Roman" w:cs="Times New Roman"/>
                <w:iCs/>
                <w:sz w:val="20"/>
                <w:szCs w:val="20"/>
                <w:lang w:eastAsia="lv-LV"/>
              </w:rPr>
              <w:t>20</w:t>
            </w:r>
            <w:r w:rsidR="001E250D" w:rsidRPr="00BD569C">
              <w:rPr>
                <w:rFonts w:ascii="Times New Roman" w:eastAsia="Times New Roman" w:hAnsi="Times New Roman" w:cs="Times New Roman"/>
                <w:iCs/>
                <w:sz w:val="20"/>
                <w:szCs w:val="20"/>
                <w:lang w:eastAsia="lv-LV"/>
              </w:rPr>
              <w:t>.</w:t>
            </w:r>
            <w:r w:rsidR="00ED0C62" w:rsidRPr="00BD569C">
              <w:rPr>
                <w:rFonts w:ascii="Times New Roman" w:eastAsia="Times New Roman" w:hAnsi="Times New Roman" w:cs="Times New Roman"/>
                <w:iCs/>
                <w:sz w:val="20"/>
                <w:szCs w:val="20"/>
                <w:lang w:eastAsia="lv-LV"/>
              </w:rPr>
              <w:t> </w:t>
            </w:r>
            <w:r w:rsidR="001E250D" w:rsidRPr="00BD569C">
              <w:rPr>
                <w:rFonts w:ascii="Times New Roman" w:eastAsia="Times New Roman" w:hAnsi="Times New Roman" w:cs="Times New Roman"/>
                <w:iCs/>
                <w:sz w:val="20"/>
                <w:szCs w:val="20"/>
                <w:lang w:eastAsia="lv-LV"/>
              </w:rPr>
              <w:t>gads</w:t>
            </w:r>
          </w:p>
        </w:tc>
        <w:tc>
          <w:tcPr>
            <w:tcW w:w="2855" w:type="pct"/>
            <w:gridSpan w:val="5"/>
            <w:vAlign w:val="center"/>
            <w:hideMark/>
          </w:tcPr>
          <w:p w14:paraId="03129BEE" w14:textId="77777777" w:rsidR="001E250D" w:rsidRPr="00BD569C" w:rsidRDefault="001E250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Turpmākie trīs gadi (</w:t>
            </w:r>
            <w:proofErr w:type="spellStart"/>
            <w:r w:rsidRPr="00BD569C">
              <w:rPr>
                <w:rFonts w:ascii="Times New Roman" w:eastAsia="Times New Roman" w:hAnsi="Times New Roman" w:cs="Times New Roman"/>
                <w:i/>
                <w:iCs/>
                <w:sz w:val="20"/>
                <w:szCs w:val="20"/>
                <w:lang w:eastAsia="lv-LV"/>
              </w:rPr>
              <w:t>euro</w:t>
            </w:r>
            <w:proofErr w:type="spellEnd"/>
            <w:r w:rsidRPr="00BD569C">
              <w:rPr>
                <w:rFonts w:ascii="Times New Roman" w:eastAsia="Times New Roman" w:hAnsi="Times New Roman" w:cs="Times New Roman"/>
                <w:iCs/>
                <w:sz w:val="20"/>
                <w:szCs w:val="20"/>
                <w:lang w:eastAsia="lv-LV"/>
              </w:rPr>
              <w:t>)</w:t>
            </w:r>
          </w:p>
        </w:tc>
      </w:tr>
      <w:tr w:rsidR="000C2896" w:rsidRPr="00BD569C" w14:paraId="62AE2F99" w14:textId="77777777" w:rsidTr="000C2896">
        <w:tc>
          <w:tcPr>
            <w:tcW w:w="1001" w:type="pct"/>
            <w:vMerge/>
            <w:vAlign w:val="center"/>
            <w:hideMark/>
          </w:tcPr>
          <w:p w14:paraId="718D6809" w14:textId="77777777" w:rsidR="001E250D" w:rsidRPr="00BD569C" w:rsidRDefault="001E250D" w:rsidP="005413D2">
            <w:pPr>
              <w:shd w:val="clear" w:color="auto" w:fill="FFFFFF"/>
              <w:spacing w:after="0" w:line="240" w:lineRule="auto"/>
              <w:ind w:firstLine="301"/>
              <w:rPr>
                <w:rFonts w:ascii="Times New Roman" w:eastAsia="Times New Roman" w:hAnsi="Times New Roman" w:cs="Times New Roman"/>
                <w:iCs/>
                <w:sz w:val="20"/>
                <w:szCs w:val="20"/>
                <w:lang w:eastAsia="lv-LV"/>
              </w:rPr>
            </w:pPr>
          </w:p>
        </w:tc>
        <w:tc>
          <w:tcPr>
            <w:tcW w:w="1144" w:type="pct"/>
            <w:gridSpan w:val="2"/>
            <w:vMerge/>
            <w:vAlign w:val="center"/>
            <w:hideMark/>
          </w:tcPr>
          <w:p w14:paraId="58DD1A21" w14:textId="77777777" w:rsidR="001E250D" w:rsidRPr="00BD569C" w:rsidRDefault="001E250D" w:rsidP="00ED0C62">
            <w:pPr>
              <w:shd w:val="clear" w:color="auto" w:fill="FFFFFF"/>
              <w:spacing w:after="0" w:line="240" w:lineRule="auto"/>
              <w:ind w:firstLine="301"/>
              <w:jc w:val="both"/>
              <w:rPr>
                <w:rFonts w:ascii="Times New Roman" w:eastAsia="Times New Roman" w:hAnsi="Times New Roman" w:cs="Times New Roman"/>
                <w:iCs/>
                <w:sz w:val="20"/>
                <w:szCs w:val="20"/>
                <w:lang w:eastAsia="lv-LV"/>
              </w:rPr>
            </w:pPr>
          </w:p>
        </w:tc>
        <w:tc>
          <w:tcPr>
            <w:tcW w:w="1143" w:type="pct"/>
            <w:gridSpan w:val="2"/>
            <w:vAlign w:val="center"/>
            <w:hideMark/>
          </w:tcPr>
          <w:p w14:paraId="35403D61" w14:textId="6E9C3572" w:rsidR="001E250D" w:rsidRPr="00BD569C" w:rsidRDefault="0065352C"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202</w:t>
            </w:r>
            <w:r w:rsidR="00852790">
              <w:rPr>
                <w:rFonts w:ascii="Times New Roman" w:eastAsia="Times New Roman" w:hAnsi="Times New Roman" w:cs="Times New Roman"/>
                <w:iCs/>
                <w:sz w:val="20"/>
                <w:szCs w:val="20"/>
                <w:lang w:eastAsia="lv-LV"/>
              </w:rPr>
              <w:t>1</w:t>
            </w:r>
            <w:r w:rsidR="001E250D" w:rsidRPr="00BD569C">
              <w:rPr>
                <w:rFonts w:ascii="Times New Roman" w:eastAsia="Times New Roman" w:hAnsi="Times New Roman" w:cs="Times New Roman"/>
                <w:iCs/>
                <w:sz w:val="20"/>
                <w:szCs w:val="20"/>
                <w:lang w:eastAsia="lv-LV"/>
              </w:rPr>
              <w:t>.</w:t>
            </w:r>
            <w:r w:rsidR="00F1397B" w:rsidRPr="00BD569C">
              <w:rPr>
                <w:rFonts w:ascii="Times New Roman" w:eastAsia="Times New Roman" w:hAnsi="Times New Roman" w:cs="Times New Roman"/>
                <w:iCs/>
                <w:sz w:val="20"/>
                <w:szCs w:val="20"/>
                <w:lang w:eastAsia="lv-LV"/>
              </w:rPr>
              <w:t xml:space="preserve"> gads</w:t>
            </w:r>
          </w:p>
        </w:tc>
        <w:tc>
          <w:tcPr>
            <w:tcW w:w="1142" w:type="pct"/>
            <w:gridSpan w:val="2"/>
            <w:vAlign w:val="center"/>
            <w:hideMark/>
          </w:tcPr>
          <w:p w14:paraId="7C7F8076" w14:textId="2227C675" w:rsidR="001E250D" w:rsidRPr="00BD569C" w:rsidRDefault="0065352C"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202</w:t>
            </w:r>
            <w:r w:rsidR="00852790">
              <w:rPr>
                <w:rFonts w:ascii="Times New Roman" w:eastAsia="Times New Roman" w:hAnsi="Times New Roman" w:cs="Times New Roman"/>
                <w:iCs/>
                <w:sz w:val="20"/>
                <w:szCs w:val="20"/>
                <w:lang w:eastAsia="lv-LV"/>
              </w:rPr>
              <w:t>2</w:t>
            </w:r>
            <w:r w:rsidR="001E250D" w:rsidRPr="00BD569C">
              <w:rPr>
                <w:rFonts w:ascii="Times New Roman" w:eastAsia="Times New Roman" w:hAnsi="Times New Roman" w:cs="Times New Roman"/>
                <w:iCs/>
                <w:sz w:val="20"/>
                <w:szCs w:val="20"/>
                <w:lang w:eastAsia="lv-LV"/>
              </w:rPr>
              <w:t>.</w:t>
            </w:r>
            <w:r w:rsidR="00F1397B" w:rsidRPr="00BD569C">
              <w:rPr>
                <w:rFonts w:ascii="Times New Roman" w:eastAsia="Times New Roman" w:hAnsi="Times New Roman" w:cs="Times New Roman"/>
                <w:iCs/>
                <w:sz w:val="20"/>
                <w:szCs w:val="20"/>
                <w:lang w:eastAsia="lv-LV"/>
              </w:rPr>
              <w:t xml:space="preserve"> gads</w:t>
            </w:r>
          </w:p>
        </w:tc>
        <w:tc>
          <w:tcPr>
            <w:tcW w:w="571" w:type="pct"/>
            <w:vAlign w:val="center"/>
            <w:hideMark/>
          </w:tcPr>
          <w:p w14:paraId="427020FC" w14:textId="5F8E17D9" w:rsidR="001E250D" w:rsidRPr="00BD569C" w:rsidRDefault="0065352C"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202</w:t>
            </w:r>
            <w:r w:rsidR="00852790">
              <w:rPr>
                <w:rFonts w:ascii="Times New Roman" w:eastAsia="Times New Roman" w:hAnsi="Times New Roman" w:cs="Times New Roman"/>
                <w:iCs/>
                <w:sz w:val="20"/>
                <w:szCs w:val="20"/>
                <w:lang w:eastAsia="lv-LV"/>
              </w:rPr>
              <w:t>3</w:t>
            </w:r>
            <w:r w:rsidR="001E250D" w:rsidRPr="00BD569C">
              <w:rPr>
                <w:rFonts w:ascii="Times New Roman" w:eastAsia="Times New Roman" w:hAnsi="Times New Roman" w:cs="Times New Roman"/>
                <w:iCs/>
                <w:sz w:val="20"/>
                <w:szCs w:val="20"/>
                <w:lang w:eastAsia="lv-LV"/>
              </w:rPr>
              <w:t>.</w:t>
            </w:r>
            <w:r w:rsidR="00F1397B" w:rsidRPr="00BD569C">
              <w:rPr>
                <w:rFonts w:ascii="Times New Roman" w:eastAsia="Times New Roman" w:hAnsi="Times New Roman" w:cs="Times New Roman"/>
                <w:iCs/>
                <w:sz w:val="20"/>
                <w:szCs w:val="20"/>
                <w:lang w:eastAsia="lv-LV"/>
              </w:rPr>
              <w:t xml:space="preserve"> gads</w:t>
            </w:r>
          </w:p>
        </w:tc>
      </w:tr>
      <w:tr w:rsidR="000C2896" w:rsidRPr="00BD569C" w14:paraId="64796676" w14:textId="77777777" w:rsidTr="000C2896">
        <w:tc>
          <w:tcPr>
            <w:tcW w:w="1001" w:type="pct"/>
            <w:vMerge/>
            <w:vAlign w:val="center"/>
            <w:hideMark/>
          </w:tcPr>
          <w:p w14:paraId="4F64E86F" w14:textId="77777777" w:rsidR="001E250D" w:rsidRPr="00BD569C" w:rsidRDefault="001E250D" w:rsidP="005413D2">
            <w:pPr>
              <w:shd w:val="clear" w:color="auto" w:fill="FFFFFF"/>
              <w:spacing w:after="0" w:line="240" w:lineRule="auto"/>
              <w:ind w:firstLine="301"/>
              <w:rPr>
                <w:rFonts w:ascii="Times New Roman" w:eastAsia="Times New Roman" w:hAnsi="Times New Roman" w:cs="Times New Roman"/>
                <w:iCs/>
                <w:sz w:val="20"/>
                <w:szCs w:val="20"/>
                <w:lang w:eastAsia="lv-LV"/>
              </w:rPr>
            </w:pPr>
          </w:p>
        </w:tc>
        <w:tc>
          <w:tcPr>
            <w:tcW w:w="572" w:type="pct"/>
            <w:vAlign w:val="center"/>
            <w:hideMark/>
          </w:tcPr>
          <w:p w14:paraId="6D35BAB8" w14:textId="77777777" w:rsidR="001E250D" w:rsidRPr="000C2896" w:rsidRDefault="001E250D" w:rsidP="005413D2">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saskaņā ar valsts budžetu kārtējam gadam</w:t>
            </w:r>
          </w:p>
        </w:tc>
        <w:tc>
          <w:tcPr>
            <w:tcW w:w="572" w:type="pct"/>
            <w:vAlign w:val="center"/>
            <w:hideMark/>
          </w:tcPr>
          <w:p w14:paraId="4149213A" w14:textId="77777777" w:rsidR="001E250D" w:rsidRPr="000C2896" w:rsidRDefault="001E250D" w:rsidP="005413D2">
            <w:pPr>
              <w:shd w:val="clear" w:color="auto" w:fill="FFFFFF"/>
              <w:spacing w:after="0" w:line="240" w:lineRule="auto"/>
              <w:ind w:firstLine="10"/>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izmaiņas kārtējā gadā, salīdzinot ar valsts budžetu kārtējam gadam</w:t>
            </w:r>
          </w:p>
        </w:tc>
        <w:tc>
          <w:tcPr>
            <w:tcW w:w="571" w:type="pct"/>
            <w:vAlign w:val="center"/>
            <w:hideMark/>
          </w:tcPr>
          <w:p w14:paraId="2D8C75A1" w14:textId="77777777" w:rsidR="001E250D" w:rsidRPr="000C2896" w:rsidRDefault="001E250D" w:rsidP="005413D2">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saskaņā ar vidēja termiņa budžeta ietvaru</w:t>
            </w:r>
          </w:p>
        </w:tc>
        <w:tc>
          <w:tcPr>
            <w:tcW w:w="572" w:type="pct"/>
            <w:vAlign w:val="center"/>
            <w:hideMark/>
          </w:tcPr>
          <w:p w14:paraId="323C5A7F" w14:textId="5E0BE8A5" w:rsidR="001E250D" w:rsidRPr="000C2896" w:rsidRDefault="001E250D" w:rsidP="00C90ACA">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 xml:space="preserve">izmaiņas, salīdzinot ar vidēja </w:t>
            </w:r>
            <w:r w:rsidR="008F13D1" w:rsidRPr="000C2896">
              <w:rPr>
                <w:rFonts w:ascii="Times New Roman" w:eastAsia="Times New Roman" w:hAnsi="Times New Roman" w:cs="Times New Roman"/>
                <w:iCs/>
                <w:spacing w:val="-2"/>
                <w:sz w:val="20"/>
                <w:szCs w:val="20"/>
                <w:lang w:eastAsia="lv-LV"/>
              </w:rPr>
              <w:t xml:space="preserve">termiņa budžeta ietvaru </w:t>
            </w:r>
            <w:r w:rsidR="00C90ACA" w:rsidRPr="000C2896">
              <w:rPr>
                <w:rFonts w:ascii="Times New Roman" w:eastAsia="Times New Roman" w:hAnsi="Times New Roman" w:cs="Times New Roman"/>
                <w:iCs/>
                <w:spacing w:val="-2"/>
                <w:sz w:val="20"/>
                <w:szCs w:val="20"/>
                <w:lang w:eastAsia="lv-LV"/>
              </w:rPr>
              <w:t>202</w:t>
            </w:r>
            <w:r w:rsidR="00C90ACA">
              <w:rPr>
                <w:rFonts w:ascii="Times New Roman" w:eastAsia="Times New Roman" w:hAnsi="Times New Roman" w:cs="Times New Roman"/>
                <w:iCs/>
                <w:spacing w:val="-2"/>
                <w:sz w:val="20"/>
                <w:szCs w:val="20"/>
                <w:lang w:eastAsia="lv-LV"/>
              </w:rPr>
              <w:t>1</w:t>
            </w:r>
            <w:r w:rsidR="008F13D1" w:rsidRPr="000C2896">
              <w:rPr>
                <w:rFonts w:ascii="Times New Roman" w:eastAsia="Times New Roman" w:hAnsi="Times New Roman" w:cs="Times New Roman"/>
                <w:iCs/>
                <w:spacing w:val="-2"/>
                <w:sz w:val="20"/>
                <w:szCs w:val="20"/>
                <w:lang w:eastAsia="lv-LV"/>
              </w:rPr>
              <w:t>.</w:t>
            </w:r>
            <w:r w:rsidR="00BD569C" w:rsidRPr="000C2896">
              <w:rPr>
                <w:rFonts w:ascii="Times New Roman" w:eastAsia="Times New Roman" w:hAnsi="Times New Roman" w:cs="Times New Roman"/>
                <w:iCs/>
                <w:spacing w:val="-2"/>
                <w:sz w:val="20"/>
                <w:szCs w:val="20"/>
                <w:lang w:eastAsia="lv-LV"/>
              </w:rPr>
              <w:t> </w:t>
            </w:r>
            <w:r w:rsidRPr="000C2896">
              <w:rPr>
                <w:rFonts w:ascii="Times New Roman" w:eastAsia="Times New Roman" w:hAnsi="Times New Roman" w:cs="Times New Roman"/>
                <w:iCs/>
                <w:spacing w:val="-2"/>
                <w:sz w:val="20"/>
                <w:szCs w:val="20"/>
                <w:lang w:eastAsia="lv-LV"/>
              </w:rPr>
              <w:t>gadam</w:t>
            </w:r>
          </w:p>
        </w:tc>
        <w:tc>
          <w:tcPr>
            <w:tcW w:w="571" w:type="pct"/>
            <w:vAlign w:val="center"/>
            <w:hideMark/>
          </w:tcPr>
          <w:p w14:paraId="506879AD" w14:textId="77777777" w:rsidR="001E250D" w:rsidRPr="000C2896" w:rsidRDefault="001E250D" w:rsidP="005413D2">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saskaņā ar vidēja termiņa budžeta ietvaru</w:t>
            </w:r>
          </w:p>
        </w:tc>
        <w:tc>
          <w:tcPr>
            <w:tcW w:w="571" w:type="pct"/>
            <w:vAlign w:val="center"/>
            <w:hideMark/>
          </w:tcPr>
          <w:p w14:paraId="5310C863" w14:textId="09E8E60D" w:rsidR="001E250D" w:rsidRPr="000C2896" w:rsidRDefault="001E250D" w:rsidP="00C90ACA">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izmaiņas, salīdzinot ar vid</w:t>
            </w:r>
            <w:r w:rsidR="008F13D1" w:rsidRPr="000C2896">
              <w:rPr>
                <w:rFonts w:ascii="Times New Roman" w:eastAsia="Times New Roman" w:hAnsi="Times New Roman" w:cs="Times New Roman"/>
                <w:iCs/>
                <w:spacing w:val="-2"/>
                <w:sz w:val="20"/>
                <w:szCs w:val="20"/>
                <w:lang w:eastAsia="lv-LV"/>
              </w:rPr>
              <w:t xml:space="preserve">ēja termiņa budžeta ietvaru </w:t>
            </w:r>
            <w:r w:rsidR="00C90ACA" w:rsidRPr="000C2896">
              <w:rPr>
                <w:rFonts w:ascii="Times New Roman" w:eastAsia="Times New Roman" w:hAnsi="Times New Roman" w:cs="Times New Roman"/>
                <w:iCs/>
                <w:spacing w:val="-2"/>
                <w:sz w:val="20"/>
                <w:szCs w:val="20"/>
                <w:lang w:eastAsia="lv-LV"/>
              </w:rPr>
              <w:t>202</w:t>
            </w:r>
            <w:r w:rsidR="00C90ACA">
              <w:rPr>
                <w:rFonts w:ascii="Times New Roman" w:eastAsia="Times New Roman" w:hAnsi="Times New Roman" w:cs="Times New Roman"/>
                <w:iCs/>
                <w:spacing w:val="-2"/>
                <w:sz w:val="20"/>
                <w:szCs w:val="20"/>
                <w:lang w:eastAsia="lv-LV"/>
              </w:rPr>
              <w:t>2</w:t>
            </w:r>
            <w:r w:rsidR="00BD569C" w:rsidRPr="000C2896">
              <w:rPr>
                <w:rFonts w:ascii="Times New Roman" w:eastAsia="Times New Roman" w:hAnsi="Times New Roman" w:cs="Times New Roman"/>
                <w:iCs/>
                <w:spacing w:val="-2"/>
                <w:sz w:val="20"/>
                <w:szCs w:val="20"/>
                <w:lang w:eastAsia="lv-LV"/>
              </w:rPr>
              <w:t>. </w:t>
            </w:r>
            <w:r w:rsidRPr="000C2896">
              <w:rPr>
                <w:rFonts w:ascii="Times New Roman" w:eastAsia="Times New Roman" w:hAnsi="Times New Roman" w:cs="Times New Roman"/>
                <w:iCs/>
                <w:spacing w:val="-2"/>
                <w:sz w:val="20"/>
                <w:szCs w:val="20"/>
                <w:lang w:eastAsia="lv-LV"/>
              </w:rPr>
              <w:t>gadam</w:t>
            </w:r>
          </w:p>
        </w:tc>
        <w:tc>
          <w:tcPr>
            <w:tcW w:w="571" w:type="pct"/>
            <w:vAlign w:val="center"/>
            <w:hideMark/>
          </w:tcPr>
          <w:p w14:paraId="45E45ABA" w14:textId="46CE279C" w:rsidR="001E250D" w:rsidRPr="000C2896" w:rsidRDefault="001E250D" w:rsidP="00C90ACA">
            <w:pPr>
              <w:shd w:val="clear" w:color="auto" w:fill="FFFFFF"/>
              <w:spacing w:after="0" w:line="240" w:lineRule="auto"/>
              <w:jc w:val="center"/>
              <w:rPr>
                <w:rFonts w:ascii="Times New Roman" w:eastAsia="Times New Roman" w:hAnsi="Times New Roman" w:cs="Times New Roman"/>
                <w:iCs/>
                <w:spacing w:val="-2"/>
                <w:sz w:val="20"/>
                <w:szCs w:val="20"/>
                <w:lang w:eastAsia="lv-LV"/>
              </w:rPr>
            </w:pPr>
            <w:r w:rsidRPr="000C2896">
              <w:rPr>
                <w:rFonts w:ascii="Times New Roman" w:eastAsia="Times New Roman" w:hAnsi="Times New Roman" w:cs="Times New Roman"/>
                <w:iCs/>
                <w:spacing w:val="-2"/>
                <w:sz w:val="20"/>
                <w:szCs w:val="20"/>
                <w:lang w:eastAsia="lv-LV"/>
              </w:rPr>
              <w:t>izmaiņas, salīdzinot ar vid</w:t>
            </w:r>
            <w:r w:rsidR="008F13D1" w:rsidRPr="000C2896">
              <w:rPr>
                <w:rFonts w:ascii="Times New Roman" w:eastAsia="Times New Roman" w:hAnsi="Times New Roman" w:cs="Times New Roman"/>
                <w:iCs/>
                <w:spacing w:val="-2"/>
                <w:sz w:val="20"/>
                <w:szCs w:val="20"/>
                <w:lang w:eastAsia="lv-LV"/>
              </w:rPr>
              <w:t xml:space="preserve">ēja termiņa budžeta ietvaru </w:t>
            </w:r>
            <w:r w:rsidR="00C90ACA" w:rsidRPr="000C2896">
              <w:rPr>
                <w:rFonts w:ascii="Times New Roman" w:eastAsia="Times New Roman" w:hAnsi="Times New Roman" w:cs="Times New Roman"/>
                <w:iCs/>
                <w:spacing w:val="-2"/>
                <w:sz w:val="20"/>
                <w:szCs w:val="20"/>
                <w:lang w:eastAsia="lv-LV"/>
              </w:rPr>
              <w:t>202</w:t>
            </w:r>
            <w:r w:rsidR="00C90ACA">
              <w:rPr>
                <w:rFonts w:ascii="Times New Roman" w:eastAsia="Times New Roman" w:hAnsi="Times New Roman" w:cs="Times New Roman"/>
                <w:iCs/>
                <w:spacing w:val="-2"/>
                <w:sz w:val="20"/>
                <w:szCs w:val="20"/>
                <w:lang w:eastAsia="lv-LV"/>
              </w:rPr>
              <w:t>2</w:t>
            </w:r>
            <w:r w:rsidRPr="000C2896">
              <w:rPr>
                <w:rFonts w:ascii="Times New Roman" w:eastAsia="Times New Roman" w:hAnsi="Times New Roman" w:cs="Times New Roman"/>
                <w:iCs/>
                <w:spacing w:val="-2"/>
                <w:sz w:val="20"/>
                <w:szCs w:val="20"/>
                <w:lang w:eastAsia="lv-LV"/>
              </w:rPr>
              <w:t>.</w:t>
            </w:r>
            <w:r w:rsidR="00BD569C" w:rsidRPr="000C2896">
              <w:rPr>
                <w:rFonts w:ascii="Times New Roman" w:eastAsia="Times New Roman" w:hAnsi="Times New Roman" w:cs="Times New Roman"/>
                <w:iCs/>
                <w:spacing w:val="-2"/>
                <w:sz w:val="20"/>
                <w:szCs w:val="20"/>
                <w:lang w:eastAsia="lv-LV"/>
              </w:rPr>
              <w:t> </w:t>
            </w:r>
            <w:r w:rsidRPr="000C2896">
              <w:rPr>
                <w:rFonts w:ascii="Times New Roman" w:eastAsia="Times New Roman" w:hAnsi="Times New Roman" w:cs="Times New Roman"/>
                <w:iCs/>
                <w:spacing w:val="-2"/>
                <w:sz w:val="20"/>
                <w:szCs w:val="20"/>
                <w:lang w:eastAsia="lv-LV"/>
              </w:rPr>
              <w:t>gadam</w:t>
            </w:r>
          </w:p>
        </w:tc>
      </w:tr>
      <w:tr w:rsidR="000C2896" w:rsidRPr="00BD569C" w14:paraId="23C66792" w14:textId="77777777" w:rsidTr="000C2896">
        <w:tc>
          <w:tcPr>
            <w:tcW w:w="1001" w:type="pct"/>
            <w:vAlign w:val="center"/>
            <w:hideMark/>
          </w:tcPr>
          <w:p w14:paraId="205CB55B"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1</w:t>
            </w:r>
          </w:p>
        </w:tc>
        <w:tc>
          <w:tcPr>
            <w:tcW w:w="572" w:type="pct"/>
            <w:vAlign w:val="center"/>
            <w:hideMark/>
          </w:tcPr>
          <w:p w14:paraId="1FA61A89"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w:t>
            </w:r>
          </w:p>
        </w:tc>
        <w:tc>
          <w:tcPr>
            <w:tcW w:w="572" w:type="pct"/>
            <w:vAlign w:val="center"/>
            <w:hideMark/>
          </w:tcPr>
          <w:p w14:paraId="4254AF45"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3</w:t>
            </w:r>
          </w:p>
        </w:tc>
        <w:tc>
          <w:tcPr>
            <w:tcW w:w="571" w:type="pct"/>
            <w:vAlign w:val="center"/>
            <w:hideMark/>
          </w:tcPr>
          <w:p w14:paraId="45D4B811"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4</w:t>
            </w:r>
          </w:p>
        </w:tc>
        <w:tc>
          <w:tcPr>
            <w:tcW w:w="572" w:type="pct"/>
            <w:vAlign w:val="center"/>
            <w:hideMark/>
          </w:tcPr>
          <w:p w14:paraId="0CA64164"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5</w:t>
            </w:r>
          </w:p>
        </w:tc>
        <w:tc>
          <w:tcPr>
            <w:tcW w:w="571" w:type="pct"/>
            <w:vAlign w:val="center"/>
            <w:hideMark/>
          </w:tcPr>
          <w:p w14:paraId="61274B4E"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6</w:t>
            </w:r>
          </w:p>
        </w:tc>
        <w:tc>
          <w:tcPr>
            <w:tcW w:w="571" w:type="pct"/>
            <w:vAlign w:val="center"/>
            <w:hideMark/>
          </w:tcPr>
          <w:p w14:paraId="3B80CF18"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7</w:t>
            </w:r>
          </w:p>
        </w:tc>
        <w:tc>
          <w:tcPr>
            <w:tcW w:w="571" w:type="pct"/>
            <w:vAlign w:val="center"/>
            <w:hideMark/>
          </w:tcPr>
          <w:p w14:paraId="5795AACD" w14:textId="77777777" w:rsidR="001E250D" w:rsidRPr="00BD569C" w:rsidRDefault="001E250D" w:rsidP="00F1397B">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8</w:t>
            </w:r>
          </w:p>
        </w:tc>
      </w:tr>
      <w:tr w:rsidR="000C2896" w:rsidRPr="00BD569C" w14:paraId="04B2DFE3" w14:textId="77777777" w:rsidTr="000C2896">
        <w:tc>
          <w:tcPr>
            <w:tcW w:w="1001" w:type="pct"/>
            <w:hideMark/>
          </w:tcPr>
          <w:p w14:paraId="0D801180" w14:textId="77777777" w:rsidR="004F6C0E" w:rsidRPr="00BD569C" w:rsidRDefault="004F6C0E" w:rsidP="00BD569C">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1. Budžeta ieņēmumi</w:t>
            </w:r>
          </w:p>
        </w:tc>
        <w:tc>
          <w:tcPr>
            <w:tcW w:w="572" w:type="pct"/>
            <w:vAlign w:val="center"/>
            <w:hideMark/>
          </w:tcPr>
          <w:p w14:paraId="052C1D97" w14:textId="6DD26FEC" w:rsidR="004F6C0E" w:rsidRPr="00BD569C" w:rsidRDefault="004F6C0E"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tcPr>
          <w:p w14:paraId="0877E547" w14:textId="45E1A30C" w:rsidR="004F6C0E" w:rsidRPr="00BD569C" w:rsidRDefault="00F7030A"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71" w:type="pct"/>
            <w:vAlign w:val="center"/>
          </w:tcPr>
          <w:p w14:paraId="7AA389D7" w14:textId="77777777" w:rsidR="004F6C0E" w:rsidRPr="00BD569C" w:rsidRDefault="008D004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6EEBEE05" w14:textId="77777777" w:rsidR="004F6C0E" w:rsidRPr="00BD569C" w:rsidRDefault="008D004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6C172BD3" w14:textId="77777777" w:rsidR="004F6C0E" w:rsidRPr="00BD569C" w:rsidRDefault="008D004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4FF94127" w14:textId="77777777" w:rsidR="004F6C0E" w:rsidRPr="00BD569C" w:rsidRDefault="008D004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2845469E" w14:textId="77777777" w:rsidR="004F6C0E" w:rsidRPr="00BD569C" w:rsidRDefault="008D004D"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5BC8A7F8" w14:textId="77777777" w:rsidTr="000C2896">
        <w:tc>
          <w:tcPr>
            <w:tcW w:w="1001" w:type="pct"/>
            <w:hideMark/>
          </w:tcPr>
          <w:p w14:paraId="5D43BBB0" w14:textId="77777777" w:rsidR="00516416" w:rsidRPr="00BD569C" w:rsidRDefault="00516416"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72" w:type="pct"/>
            <w:vAlign w:val="center"/>
            <w:hideMark/>
          </w:tcPr>
          <w:p w14:paraId="0A843FEF" w14:textId="3D1CB249"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tcPr>
          <w:p w14:paraId="0E956402" w14:textId="2E12C193" w:rsidR="00516416" w:rsidRPr="00BD569C" w:rsidRDefault="00F7030A"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71" w:type="pct"/>
            <w:vAlign w:val="center"/>
          </w:tcPr>
          <w:p w14:paraId="142A4C56"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35BF4E25"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07259F30"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49589B53"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674BA368"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2E8F78DF" w14:textId="77777777" w:rsidTr="000C2896">
        <w:tc>
          <w:tcPr>
            <w:tcW w:w="1001" w:type="pct"/>
            <w:hideMark/>
          </w:tcPr>
          <w:p w14:paraId="3BE0B11B" w14:textId="77777777" w:rsidR="00516416" w:rsidRPr="00BD569C" w:rsidRDefault="00516416"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1.2. valsts speciālais budžets</w:t>
            </w:r>
          </w:p>
        </w:tc>
        <w:tc>
          <w:tcPr>
            <w:tcW w:w="572" w:type="pct"/>
            <w:vAlign w:val="center"/>
            <w:hideMark/>
          </w:tcPr>
          <w:p w14:paraId="35F734BF" w14:textId="62174AEB"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67AF585A"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4CDD7426"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66BDAE85"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15DD008E"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5A6B1210"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58A0DEC8"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20BA7103" w14:textId="77777777" w:rsidTr="000C2896">
        <w:tc>
          <w:tcPr>
            <w:tcW w:w="1001" w:type="pct"/>
            <w:hideMark/>
          </w:tcPr>
          <w:p w14:paraId="511CD129" w14:textId="77777777" w:rsidR="00516416" w:rsidRPr="00BD569C" w:rsidRDefault="00516416"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1.3. pašvaldību budžets</w:t>
            </w:r>
          </w:p>
        </w:tc>
        <w:tc>
          <w:tcPr>
            <w:tcW w:w="572" w:type="pct"/>
            <w:vAlign w:val="center"/>
            <w:hideMark/>
          </w:tcPr>
          <w:p w14:paraId="5990FD0A"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2A485F19"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574FC3A"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63FD151C"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F1FBD6B"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FB2A170"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2E8315D" w14:textId="32A1FDB4"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3652498A" w14:textId="77777777" w:rsidTr="000C2896">
        <w:tc>
          <w:tcPr>
            <w:tcW w:w="1001" w:type="pct"/>
            <w:hideMark/>
          </w:tcPr>
          <w:p w14:paraId="2B8E4AB9" w14:textId="77777777" w:rsidR="00516416" w:rsidRPr="00BD569C" w:rsidRDefault="00516416"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 Budžeta izdevumi</w:t>
            </w:r>
          </w:p>
        </w:tc>
        <w:tc>
          <w:tcPr>
            <w:tcW w:w="572" w:type="pct"/>
            <w:vAlign w:val="center"/>
            <w:hideMark/>
          </w:tcPr>
          <w:p w14:paraId="0CD56264" w14:textId="10F0769C"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712C5F3B" w14:textId="7402FB36" w:rsidR="00516416" w:rsidRPr="00BD569C" w:rsidRDefault="00C90ACA"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37 687</w:t>
            </w:r>
          </w:p>
        </w:tc>
        <w:tc>
          <w:tcPr>
            <w:tcW w:w="571" w:type="pct"/>
            <w:vAlign w:val="center"/>
            <w:hideMark/>
          </w:tcPr>
          <w:p w14:paraId="4E4E5085"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2D73E259"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51BF369D"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2F9F0D69"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3D24FF6"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161A695B" w14:textId="77777777" w:rsidTr="000C2896">
        <w:tc>
          <w:tcPr>
            <w:tcW w:w="1001" w:type="pct"/>
            <w:hideMark/>
          </w:tcPr>
          <w:p w14:paraId="0DDBFD51" w14:textId="77777777" w:rsidR="00516416" w:rsidRPr="00BD569C" w:rsidRDefault="00516416"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lastRenderedPageBreak/>
              <w:t>2.1. valsts pamatbudžets</w:t>
            </w:r>
          </w:p>
        </w:tc>
        <w:tc>
          <w:tcPr>
            <w:tcW w:w="572" w:type="pct"/>
            <w:vAlign w:val="center"/>
            <w:hideMark/>
          </w:tcPr>
          <w:p w14:paraId="4B91B928" w14:textId="316C3DD4"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30791E3B" w14:textId="208CC78F" w:rsidR="00516416" w:rsidRPr="00BD569C" w:rsidRDefault="00C90ACA"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37 687</w:t>
            </w:r>
          </w:p>
        </w:tc>
        <w:tc>
          <w:tcPr>
            <w:tcW w:w="571" w:type="pct"/>
            <w:vAlign w:val="center"/>
            <w:hideMark/>
          </w:tcPr>
          <w:p w14:paraId="31898A16"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048340DE"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A5C3414"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E46BC47"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AB1E7E6" w14:textId="795748F6"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02F7A722" w14:textId="77777777" w:rsidTr="000C2896">
        <w:tc>
          <w:tcPr>
            <w:tcW w:w="1001" w:type="pct"/>
            <w:hideMark/>
          </w:tcPr>
          <w:p w14:paraId="0E4872D9" w14:textId="77777777" w:rsidR="00516416" w:rsidRPr="00BD569C" w:rsidRDefault="00516416"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2.2. valsts speciālais budžets</w:t>
            </w:r>
          </w:p>
        </w:tc>
        <w:tc>
          <w:tcPr>
            <w:tcW w:w="572" w:type="pct"/>
            <w:vAlign w:val="center"/>
            <w:hideMark/>
          </w:tcPr>
          <w:p w14:paraId="0C6A9772" w14:textId="2497080B"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7040B51F"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D7155C0"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7FF3B1BD"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42F69DC4"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A0F36A8"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4B08554"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656FA722" w14:textId="77777777" w:rsidTr="000C2896">
        <w:tc>
          <w:tcPr>
            <w:tcW w:w="1001" w:type="pct"/>
            <w:hideMark/>
          </w:tcPr>
          <w:p w14:paraId="71D37EFE" w14:textId="77777777" w:rsidR="00516416" w:rsidRPr="00BD569C" w:rsidRDefault="00516416"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2.3. pašvaldību budžets</w:t>
            </w:r>
          </w:p>
        </w:tc>
        <w:tc>
          <w:tcPr>
            <w:tcW w:w="572" w:type="pct"/>
            <w:vAlign w:val="center"/>
            <w:hideMark/>
          </w:tcPr>
          <w:p w14:paraId="59BBC698" w14:textId="511C5F71"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13BE8A6A"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FD0CC24"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58344D6E"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698B5252"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20E1FA12"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184335B2" w14:textId="77777777" w:rsidR="00516416" w:rsidRPr="00BD569C" w:rsidRDefault="00516416"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2E31D482" w14:textId="77777777" w:rsidTr="000C2896">
        <w:tc>
          <w:tcPr>
            <w:tcW w:w="1001" w:type="pct"/>
            <w:hideMark/>
          </w:tcPr>
          <w:p w14:paraId="076BA968" w14:textId="4E004330" w:rsidR="00607B47" w:rsidRPr="00BD569C" w:rsidRDefault="00607B47"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3.</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Finansiālā ietekme</w:t>
            </w:r>
          </w:p>
        </w:tc>
        <w:tc>
          <w:tcPr>
            <w:tcW w:w="572" w:type="pct"/>
            <w:vAlign w:val="center"/>
            <w:hideMark/>
          </w:tcPr>
          <w:p w14:paraId="484EBD64"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0FC49187" w14:textId="594F5C9C" w:rsidR="00607B47" w:rsidRPr="00BD569C" w:rsidRDefault="00AC734E"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00C90ACA">
              <w:rPr>
                <w:rFonts w:ascii="Times New Roman" w:eastAsia="Times New Roman" w:hAnsi="Times New Roman" w:cs="Times New Roman"/>
                <w:iCs/>
                <w:sz w:val="20"/>
                <w:szCs w:val="20"/>
                <w:lang w:eastAsia="lv-LV"/>
              </w:rPr>
              <w:t>37 687</w:t>
            </w:r>
          </w:p>
        </w:tc>
        <w:tc>
          <w:tcPr>
            <w:tcW w:w="571" w:type="pct"/>
            <w:vAlign w:val="center"/>
          </w:tcPr>
          <w:p w14:paraId="030FA69D"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0A777BDA"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24D7111F"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69B8A23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6B336836"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3ACBDC81" w14:textId="77777777" w:rsidTr="000C2896">
        <w:tc>
          <w:tcPr>
            <w:tcW w:w="1001" w:type="pct"/>
            <w:hideMark/>
          </w:tcPr>
          <w:p w14:paraId="48B2407D" w14:textId="5B184AF3" w:rsidR="00607B47" w:rsidRPr="00BD569C" w:rsidRDefault="00607B47"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3.1.</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valsts pamatbudžets</w:t>
            </w:r>
          </w:p>
        </w:tc>
        <w:tc>
          <w:tcPr>
            <w:tcW w:w="572" w:type="pct"/>
            <w:vAlign w:val="center"/>
            <w:hideMark/>
          </w:tcPr>
          <w:p w14:paraId="7960DD4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14155C16" w14:textId="36878E91" w:rsidR="00607B47" w:rsidRPr="00BD569C" w:rsidRDefault="00AC734E" w:rsidP="00BD569C">
            <w:pPr>
              <w:shd w:val="clear" w:color="auto" w:fill="FFFFFF"/>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00C90ACA">
              <w:rPr>
                <w:rFonts w:ascii="Times New Roman" w:eastAsia="Times New Roman" w:hAnsi="Times New Roman" w:cs="Times New Roman"/>
                <w:iCs/>
                <w:sz w:val="20"/>
                <w:szCs w:val="20"/>
                <w:lang w:eastAsia="lv-LV"/>
              </w:rPr>
              <w:t>37 687</w:t>
            </w:r>
          </w:p>
        </w:tc>
        <w:tc>
          <w:tcPr>
            <w:tcW w:w="571" w:type="pct"/>
            <w:vAlign w:val="center"/>
          </w:tcPr>
          <w:p w14:paraId="127A7E81"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tcPr>
          <w:p w14:paraId="0053CB6C"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29AF965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5026A87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tcPr>
          <w:p w14:paraId="761911C6"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56B94F73" w14:textId="77777777" w:rsidTr="000C2896">
        <w:tc>
          <w:tcPr>
            <w:tcW w:w="1001" w:type="pct"/>
            <w:hideMark/>
          </w:tcPr>
          <w:p w14:paraId="39D71934" w14:textId="6DA12BC0" w:rsidR="00607B47" w:rsidRPr="00BD569C" w:rsidRDefault="00607B47"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3.2.</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speciālais budžets</w:t>
            </w:r>
          </w:p>
        </w:tc>
        <w:tc>
          <w:tcPr>
            <w:tcW w:w="572" w:type="pct"/>
            <w:vAlign w:val="center"/>
            <w:hideMark/>
          </w:tcPr>
          <w:p w14:paraId="0BEEBFA7" w14:textId="48865CE6"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613B226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4A31D10"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709EB445"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1376A385"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496BE0E2"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4A9F2773"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32DBAF53" w14:textId="77777777" w:rsidTr="000C2896">
        <w:tc>
          <w:tcPr>
            <w:tcW w:w="1001" w:type="pct"/>
            <w:hideMark/>
          </w:tcPr>
          <w:p w14:paraId="1E29E577" w14:textId="77777777" w:rsidR="00607B47" w:rsidRPr="00BD569C" w:rsidRDefault="00607B47"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3.3. pašvaldību budžets</w:t>
            </w:r>
          </w:p>
        </w:tc>
        <w:tc>
          <w:tcPr>
            <w:tcW w:w="572" w:type="pct"/>
            <w:vAlign w:val="center"/>
            <w:hideMark/>
          </w:tcPr>
          <w:p w14:paraId="4854D548" w14:textId="65A6BE24"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7986F6D5"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49B834C0"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3ACC8ED4"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54903621"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B796508"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B25C3F7"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5A4846C3" w14:textId="77777777" w:rsidTr="000C2896">
        <w:tc>
          <w:tcPr>
            <w:tcW w:w="1001" w:type="pct"/>
            <w:hideMark/>
          </w:tcPr>
          <w:p w14:paraId="30E1DFC4" w14:textId="3E5568C5" w:rsidR="00607B47" w:rsidRPr="00BD569C" w:rsidRDefault="00607B47" w:rsidP="00C036AD">
            <w:pPr>
              <w:shd w:val="clear" w:color="auto" w:fill="FFFFFF"/>
              <w:spacing w:after="0" w:line="240" w:lineRule="auto"/>
              <w:ind w:left="198" w:hanging="198"/>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4.</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Finanšu līdzekļi papildu izdevumu finansēšanai (kompensējošu izdevumu samazinājumu norāda ar "+"</w:t>
            </w:r>
            <w:r w:rsidR="00BD569C">
              <w:rPr>
                <w:rFonts w:ascii="Times New Roman" w:eastAsia="Times New Roman" w:hAnsi="Times New Roman" w:cs="Times New Roman"/>
                <w:iCs/>
                <w:sz w:val="20"/>
                <w:szCs w:val="20"/>
                <w:lang w:eastAsia="lv-LV"/>
              </w:rPr>
              <w:t> </w:t>
            </w:r>
            <w:r w:rsidRPr="00BD569C">
              <w:rPr>
                <w:rFonts w:ascii="Times New Roman" w:eastAsia="Times New Roman" w:hAnsi="Times New Roman" w:cs="Times New Roman"/>
                <w:iCs/>
                <w:sz w:val="20"/>
                <w:szCs w:val="20"/>
                <w:lang w:eastAsia="lv-LV"/>
              </w:rPr>
              <w:t>zīmi)</w:t>
            </w:r>
          </w:p>
        </w:tc>
        <w:tc>
          <w:tcPr>
            <w:tcW w:w="572" w:type="pct"/>
            <w:vAlign w:val="center"/>
            <w:hideMark/>
          </w:tcPr>
          <w:p w14:paraId="64522929" w14:textId="77777777" w:rsidR="00607B47" w:rsidRPr="00BD569C" w:rsidRDefault="00BB0FBB"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2" w:type="pct"/>
            <w:vAlign w:val="center"/>
            <w:hideMark/>
          </w:tcPr>
          <w:p w14:paraId="3F01E442" w14:textId="655FFA11" w:rsidR="00607B47" w:rsidRPr="00BD569C" w:rsidRDefault="00C90ACA"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37 687</w:t>
            </w:r>
          </w:p>
        </w:tc>
        <w:tc>
          <w:tcPr>
            <w:tcW w:w="571" w:type="pct"/>
            <w:vAlign w:val="center"/>
            <w:hideMark/>
          </w:tcPr>
          <w:p w14:paraId="469E9410" w14:textId="77777777" w:rsidR="00607B47" w:rsidRPr="00BD569C" w:rsidRDefault="00BB0FBB"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0</w:t>
            </w:r>
          </w:p>
        </w:tc>
        <w:tc>
          <w:tcPr>
            <w:tcW w:w="572" w:type="pct"/>
            <w:vAlign w:val="center"/>
            <w:hideMark/>
          </w:tcPr>
          <w:p w14:paraId="4CA30CB8" w14:textId="77777777"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0</w:t>
            </w:r>
          </w:p>
        </w:tc>
        <w:tc>
          <w:tcPr>
            <w:tcW w:w="571" w:type="pct"/>
            <w:vAlign w:val="center"/>
            <w:hideMark/>
          </w:tcPr>
          <w:p w14:paraId="262BBFB1" w14:textId="77777777" w:rsidR="00607B47" w:rsidRPr="00BD569C" w:rsidRDefault="00BB0FBB"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0</w:t>
            </w:r>
          </w:p>
        </w:tc>
        <w:tc>
          <w:tcPr>
            <w:tcW w:w="571" w:type="pct"/>
            <w:vAlign w:val="center"/>
            <w:hideMark/>
          </w:tcPr>
          <w:p w14:paraId="7765C2C3" w14:textId="63A9C3D2"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0</w:t>
            </w:r>
          </w:p>
        </w:tc>
        <w:tc>
          <w:tcPr>
            <w:tcW w:w="571" w:type="pct"/>
            <w:vAlign w:val="center"/>
            <w:hideMark/>
          </w:tcPr>
          <w:p w14:paraId="15EDAE66" w14:textId="02CA3233" w:rsidR="00607B47" w:rsidRPr="00BD569C" w:rsidRDefault="00607B47" w:rsidP="00BD569C">
            <w:pPr>
              <w:shd w:val="clear" w:color="auto" w:fill="FFFFFF"/>
              <w:spacing w:after="0" w:line="240" w:lineRule="auto"/>
              <w:jc w:val="center"/>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0</w:t>
            </w:r>
          </w:p>
        </w:tc>
      </w:tr>
      <w:tr w:rsidR="000C2896" w:rsidRPr="00BD569C" w14:paraId="074B809C" w14:textId="77777777" w:rsidTr="000C2896">
        <w:tc>
          <w:tcPr>
            <w:tcW w:w="1001" w:type="pct"/>
            <w:hideMark/>
          </w:tcPr>
          <w:p w14:paraId="21CF7A2A" w14:textId="7655C00E" w:rsidR="002B53D7" w:rsidRPr="00BD569C" w:rsidRDefault="002B53D7" w:rsidP="00C036AD">
            <w:pPr>
              <w:shd w:val="clear" w:color="auto" w:fill="FFFFFF"/>
              <w:spacing w:after="0" w:line="240" w:lineRule="auto"/>
              <w:ind w:left="198" w:hanging="198"/>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5.</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Precizēta finansiālā ietekme</w:t>
            </w:r>
          </w:p>
        </w:tc>
        <w:tc>
          <w:tcPr>
            <w:tcW w:w="572" w:type="pct"/>
            <w:vMerge w:val="restart"/>
            <w:vAlign w:val="center"/>
            <w:hideMark/>
          </w:tcPr>
          <w:p w14:paraId="2F8E5023"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X</w:t>
            </w:r>
          </w:p>
        </w:tc>
        <w:tc>
          <w:tcPr>
            <w:tcW w:w="572" w:type="pct"/>
            <w:vAlign w:val="center"/>
            <w:hideMark/>
          </w:tcPr>
          <w:p w14:paraId="01A50F02" w14:textId="39B96560" w:rsidR="002B53D7" w:rsidRPr="00BD569C" w:rsidRDefault="00D079FF"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restart"/>
            <w:vAlign w:val="center"/>
            <w:hideMark/>
          </w:tcPr>
          <w:p w14:paraId="343D6D5C"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X</w:t>
            </w:r>
          </w:p>
        </w:tc>
        <w:tc>
          <w:tcPr>
            <w:tcW w:w="572" w:type="pct"/>
            <w:vAlign w:val="center"/>
            <w:hideMark/>
          </w:tcPr>
          <w:p w14:paraId="33992DA7"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restart"/>
            <w:vAlign w:val="center"/>
            <w:hideMark/>
          </w:tcPr>
          <w:p w14:paraId="16792CBC" w14:textId="21F47904"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X</w:t>
            </w:r>
          </w:p>
        </w:tc>
        <w:tc>
          <w:tcPr>
            <w:tcW w:w="571" w:type="pct"/>
            <w:vAlign w:val="center"/>
            <w:hideMark/>
          </w:tcPr>
          <w:p w14:paraId="41B5E7F3"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7A902795"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520B5DC6" w14:textId="77777777" w:rsidTr="000C2896">
        <w:tc>
          <w:tcPr>
            <w:tcW w:w="1001" w:type="pct"/>
            <w:hideMark/>
          </w:tcPr>
          <w:p w14:paraId="76918F59" w14:textId="5D433504" w:rsidR="002B53D7" w:rsidRPr="00BD569C" w:rsidRDefault="002B53D7"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5.1.</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valsts pamatbudžets</w:t>
            </w:r>
          </w:p>
        </w:tc>
        <w:tc>
          <w:tcPr>
            <w:tcW w:w="572" w:type="pct"/>
            <w:vMerge/>
            <w:vAlign w:val="center"/>
            <w:hideMark/>
          </w:tcPr>
          <w:p w14:paraId="49354FC1"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1D4173DC" w14:textId="0AF12459" w:rsidR="002B53D7" w:rsidRPr="00BD569C" w:rsidRDefault="00D079FF"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7306831B"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5BE087E3"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4FC9EAA7"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1" w:type="pct"/>
            <w:vAlign w:val="center"/>
            <w:hideMark/>
          </w:tcPr>
          <w:p w14:paraId="103BE4AF"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64C0C325"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23ADCF40" w14:textId="77777777" w:rsidTr="000C2896">
        <w:tc>
          <w:tcPr>
            <w:tcW w:w="1001" w:type="pct"/>
            <w:hideMark/>
          </w:tcPr>
          <w:p w14:paraId="19194E06" w14:textId="77777777" w:rsidR="002B53D7" w:rsidRPr="00BD569C" w:rsidRDefault="002B53D7"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5.2. speciālais budžets</w:t>
            </w:r>
          </w:p>
        </w:tc>
        <w:tc>
          <w:tcPr>
            <w:tcW w:w="572" w:type="pct"/>
            <w:vMerge/>
            <w:vAlign w:val="center"/>
            <w:hideMark/>
          </w:tcPr>
          <w:p w14:paraId="7AD2EE87"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0915B3A6"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20998B7F"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3D8956B6"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58D05A35"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1" w:type="pct"/>
            <w:vAlign w:val="center"/>
            <w:hideMark/>
          </w:tcPr>
          <w:p w14:paraId="4C219824"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3FD684B4"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0C2896" w:rsidRPr="00BD569C" w14:paraId="67376B8E" w14:textId="77777777" w:rsidTr="000C2896">
        <w:tc>
          <w:tcPr>
            <w:tcW w:w="1001" w:type="pct"/>
            <w:hideMark/>
          </w:tcPr>
          <w:p w14:paraId="5DF48644" w14:textId="0DDC7362" w:rsidR="002B53D7" w:rsidRPr="00BD569C" w:rsidRDefault="002B53D7" w:rsidP="005413D2">
            <w:pPr>
              <w:shd w:val="clear" w:color="auto" w:fill="FFFFFF"/>
              <w:spacing w:after="0" w:line="240" w:lineRule="auto"/>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5.3.</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pašvaldību budžets</w:t>
            </w:r>
          </w:p>
        </w:tc>
        <w:tc>
          <w:tcPr>
            <w:tcW w:w="572" w:type="pct"/>
            <w:vMerge/>
            <w:vAlign w:val="center"/>
            <w:hideMark/>
          </w:tcPr>
          <w:p w14:paraId="08CFCB81"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26BEBD73"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7E76B758"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2" w:type="pct"/>
            <w:vAlign w:val="center"/>
            <w:hideMark/>
          </w:tcPr>
          <w:p w14:paraId="2B64B19E"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Merge/>
            <w:vAlign w:val="center"/>
            <w:hideMark/>
          </w:tcPr>
          <w:p w14:paraId="50FEBD9C"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p>
        </w:tc>
        <w:tc>
          <w:tcPr>
            <w:tcW w:w="571" w:type="pct"/>
            <w:vAlign w:val="center"/>
            <w:hideMark/>
          </w:tcPr>
          <w:p w14:paraId="57BCE0E3"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c>
          <w:tcPr>
            <w:tcW w:w="571" w:type="pct"/>
            <w:vAlign w:val="center"/>
            <w:hideMark/>
          </w:tcPr>
          <w:p w14:paraId="040C4ECB" w14:textId="77777777" w:rsidR="002B53D7" w:rsidRPr="00BD569C" w:rsidRDefault="002B53D7" w:rsidP="00BD569C">
            <w:pPr>
              <w:shd w:val="clear" w:color="auto" w:fill="FFFFFF"/>
              <w:spacing w:after="0" w:line="240" w:lineRule="auto"/>
              <w:jc w:val="center"/>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0</w:t>
            </w:r>
          </w:p>
        </w:tc>
      </w:tr>
      <w:tr w:rsidR="00ED0C62" w:rsidRPr="00BD569C" w14:paraId="1889B063" w14:textId="77777777" w:rsidTr="000C2896">
        <w:tc>
          <w:tcPr>
            <w:tcW w:w="1001" w:type="pct"/>
            <w:hideMark/>
          </w:tcPr>
          <w:p w14:paraId="54260E10" w14:textId="4F4B111D" w:rsidR="00607B47" w:rsidRPr="00BD569C" w:rsidRDefault="00607B47" w:rsidP="00C036AD">
            <w:pPr>
              <w:shd w:val="clear" w:color="auto" w:fill="FFFFFF"/>
              <w:spacing w:after="0" w:line="240" w:lineRule="auto"/>
              <w:ind w:left="198" w:hanging="198"/>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6.</w:t>
            </w:r>
            <w:r w:rsidR="00BD569C">
              <w:rPr>
                <w:rFonts w:ascii="Times New Roman" w:eastAsia="Times New Roman" w:hAnsi="Times New Roman" w:cs="Times New Roman"/>
                <w:iCs/>
                <w:sz w:val="20"/>
                <w:szCs w:val="20"/>
                <w:lang w:eastAsia="lv-LV"/>
              </w:rPr>
              <w:t xml:space="preserve"> </w:t>
            </w:r>
            <w:r w:rsidRPr="00BD569C">
              <w:rPr>
                <w:rFonts w:ascii="Times New Roman" w:eastAsia="Times New Roman" w:hAnsi="Times New Roman" w:cs="Times New Roman"/>
                <w:iCs/>
                <w:sz w:val="20"/>
                <w:szCs w:val="20"/>
                <w:lang w:eastAsia="lv-LV"/>
              </w:rPr>
              <w:t>Detalizēts ieņēmumu un izdevumu aprēķins (ja nepieciešams, detalizētu ieņēmumu un izdevumu aprēķinu var pievienot anotācijas pielikumā)</w:t>
            </w:r>
          </w:p>
        </w:tc>
        <w:tc>
          <w:tcPr>
            <w:tcW w:w="3999" w:type="pct"/>
            <w:gridSpan w:val="7"/>
            <w:vMerge w:val="restart"/>
            <w:vAlign w:val="center"/>
            <w:hideMark/>
          </w:tcPr>
          <w:p w14:paraId="7076B121" w14:textId="41A8E41D" w:rsidR="00852790" w:rsidRDefault="00C90ACA" w:rsidP="00852790">
            <w:pPr>
              <w:pStyle w:val="NoSpacing"/>
              <w:ind w:right="71"/>
              <w:rPr>
                <w:sz w:val="20"/>
                <w:szCs w:val="20"/>
                <w:lang w:eastAsia="lv-LV"/>
              </w:rPr>
            </w:pPr>
            <w:r>
              <w:rPr>
                <w:sz w:val="20"/>
                <w:szCs w:val="20"/>
                <w:lang w:eastAsia="lv-LV"/>
              </w:rPr>
              <w:t>Rīkojuma projekts tiks īstenots Ties</w:t>
            </w:r>
            <w:r w:rsidR="00AF5386">
              <w:rPr>
                <w:sz w:val="20"/>
                <w:szCs w:val="20"/>
                <w:lang w:eastAsia="lv-LV"/>
              </w:rPr>
              <w:t xml:space="preserve">ībsarga birojam budžeta programmā 01.00.00 </w:t>
            </w:r>
            <w:r w:rsidR="00AC734E" w:rsidRPr="00BD569C">
              <w:rPr>
                <w:iCs/>
                <w:sz w:val="20"/>
                <w:szCs w:val="20"/>
                <w:lang w:eastAsia="lv-LV"/>
              </w:rPr>
              <w:t>"</w:t>
            </w:r>
            <w:r w:rsidR="00AF5386">
              <w:rPr>
                <w:sz w:val="20"/>
                <w:szCs w:val="20"/>
                <w:lang w:eastAsia="lv-LV"/>
              </w:rPr>
              <w:t>Tiesībsarga birojs</w:t>
            </w:r>
            <w:r w:rsidR="00AC734E" w:rsidRPr="00BD569C">
              <w:rPr>
                <w:iCs/>
                <w:sz w:val="20"/>
                <w:szCs w:val="20"/>
                <w:lang w:eastAsia="lv-LV"/>
              </w:rPr>
              <w:t>"</w:t>
            </w:r>
            <w:r>
              <w:rPr>
                <w:sz w:val="20"/>
                <w:szCs w:val="20"/>
                <w:lang w:eastAsia="lv-LV"/>
              </w:rPr>
              <w:t xml:space="preserve"> piešķirto valsts budžeta līdzekļu ietvaros, komandējumiem paredzēto</w:t>
            </w:r>
            <w:r w:rsidR="008A676C">
              <w:rPr>
                <w:sz w:val="20"/>
                <w:szCs w:val="20"/>
                <w:lang w:eastAsia="lv-LV"/>
              </w:rPr>
              <w:t xml:space="preserve"> finansējumu </w:t>
            </w:r>
            <w:r w:rsidR="00AF5386">
              <w:rPr>
                <w:sz w:val="20"/>
                <w:szCs w:val="20"/>
                <w:lang w:eastAsia="lv-LV"/>
              </w:rPr>
              <w:t>37</w:t>
            </w:r>
            <w:r w:rsidR="00AC734E">
              <w:rPr>
                <w:sz w:val="20"/>
                <w:szCs w:val="20"/>
                <w:lang w:eastAsia="lv-LV"/>
              </w:rPr>
              <w:t> </w:t>
            </w:r>
            <w:r w:rsidR="00AF5386">
              <w:rPr>
                <w:sz w:val="20"/>
                <w:szCs w:val="20"/>
                <w:lang w:eastAsia="lv-LV"/>
              </w:rPr>
              <w:t>687</w:t>
            </w:r>
            <w:r w:rsidR="00AC734E">
              <w:rPr>
                <w:sz w:val="20"/>
                <w:szCs w:val="20"/>
                <w:lang w:eastAsia="lv-LV"/>
              </w:rPr>
              <w:t> </w:t>
            </w:r>
            <w:proofErr w:type="spellStart"/>
            <w:r w:rsidR="00AF5386" w:rsidRPr="007C1B84">
              <w:rPr>
                <w:i/>
                <w:sz w:val="20"/>
                <w:szCs w:val="20"/>
                <w:lang w:eastAsia="lv-LV"/>
              </w:rPr>
              <w:t>euro</w:t>
            </w:r>
            <w:proofErr w:type="spellEnd"/>
            <w:r w:rsidR="00AF5386">
              <w:rPr>
                <w:sz w:val="20"/>
                <w:szCs w:val="20"/>
                <w:lang w:eastAsia="lv-LV"/>
              </w:rPr>
              <w:t xml:space="preserve"> apmērā </w:t>
            </w:r>
            <w:r w:rsidR="008A676C">
              <w:rPr>
                <w:sz w:val="20"/>
                <w:szCs w:val="20"/>
                <w:lang w:eastAsia="lv-LV"/>
              </w:rPr>
              <w:t xml:space="preserve">novirzot kapitālajiem izdevumiem. </w:t>
            </w:r>
            <w:r w:rsidR="00852790" w:rsidRPr="00852790">
              <w:rPr>
                <w:sz w:val="20"/>
                <w:szCs w:val="20"/>
                <w:lang w:eastAsia="lv-LV"/>
              </w:rPr>
              <w:t>Kapitālo</w:t>
            </w:r>
            <w:r w:rsidR="00AC734E">
              <w:rPr>
                <w:sz w:val="20"/>
                <w:szCs w:val="20"/>
                <w:lang w:eastAsia="lv-LV"/>
              </w:rPr>
              <w:t>s</w:t>
            </w:r>
            <w:r w:rsidR="00852790" w:rsidRPr="00852790">
              <w:rPr>
                <w:sz w:val="20"/>
                <w:szCs w:val="20"/>
                <w:lang w:eastAsia="lv-LV"/>
              </w:rPr>
              <w:t xml:space="preserve"> izdevumu</w:t>
            </w:r>
            <w:r w:rsidR="00AC734E">
              <w:rPr>
                <w:sz w:val="20"/>
                <w:szCs w:val="20"/>
                <w:lang w:eastAsia="lv-LV"/>
              </w:rPr>
              <w:t>s</w:t>
            </w:r>
            <w:r w:rsidR="00852790" w:rsidRPr="00852790">
              <w:rPr>
                <w:sz w:val="20"/>
                <w:szCs w:val="20"/>
                <w:lang w:eastAsia="lv-LV"/>
              </w:rPr>
              <w:t xml:space="preserve"> veido šādu datortehnikas un videokonferenču tehnikas vienību iegāde atbilstoši Elektronisko iepirkumu sistēmā esošajai informācijai un tirgus cenu izpētei:</w:t>
            </w:r>
          </w:p>
          <w:p w14:paraId="71AA24A1" w14:textId="07440D59" w:rsidR="00852790" w:rsidRPr="00852790" w:rsidRDefault="00852790" w:rsidP="00852790">
            <w:pPr>
              <w:pStyle w:val="NoSpacing"/>
              <w:ind w:right="71"/>
              <w:rPr>
                <w:sz w:val="20"/>
                <w:szCs w:val="20"/>
                <w:lang w:eastAsia="lv-LV"/>
              </w:rPr>
            </w:pPr>
            <w:r w:rsidRPr="00852790">
              <w:rPr>
                <w:sz w:val="20"/>
                <w:szCs w:val="20"/>
                <w:lang w:eastAsia="lv-LV"/>
              </w:rPr>
              <w:t xml:space="preserve">*Stacionārais dators </w:t>
            </w:r>
            <w:proofErr w:type="spellStart"/>
            <w:r w:rsidRPr="00852790">
              <w:rPr>
                <w:sz w:val="20"/>
                <w:szCs w:val="20"/>
                <w:lang w:eastAsia="lv-LV"/>
              </w:rPr>
              <w:t>Dell</w:t>
            </w:r>
            <w:proofErr w:type="spellEnd"/>
            <w:r w:rsidRPr="00852790">
              <w:rPr>
                <w:sz w:val="20"/>
                <w:szCs w:val="20"/>
                <w:lang w:eastAsia="lv-LV"/>
              </w:rPr>
              <w:t xml:space="preserve"> </w:t>
            </w:r>
            <w:proofErr w:type="spellStart"/>
            <w:r w:rsidRPr="00852790">
              <w:rPr>
                <w:sz w:val="20"/>
                <w:szCs w:val="20"/>
                <w:lang w:eastAsia="lv-LV"/>
              </w:rPr>
              <w:t>OptiPlex</w:t>
            </w:r>
            <w:proofErr w:type="spellEnd"/>
            <w:r w:rsidRPr="00852790">
              <w:rPr>
                <w:sz w:val="20"/>
                <w:szCs w:val="20"/>
                <w:lang w:eastAsia="lv-LV"/>
              </w:rPr>
              <w:t xml:space="preserve"> 3070, 8 gab., 8 063 </w:t>
            </w:r>
            <w:proofErr w:type="spellStart"/>
            <w:r w:rsidRPr="00AC734E">
              <w:rPr>
                <w:i/>
                <w:sz w:val="20"/>
                <w:szCs w:val="20"/>
                <w:lang w:eastAsia="lv-LV"/>
              </w:rPr>
              <w:t>euro</w:t>
            </w:r>
            <w:proofErr w:type="spellEnd"/>
            <w:r w:rsidRPr="00852790">
              <w:rPr>
                <w:sz w:val="20"/>
                <w:szCs w:val="20"/>
                <w:lang w:eastAsia="lv-LV"/>
              </w:rPr>
              <w:t>;</w:t>
            </w:r>
          </w:p>
          <w:p w14:paraId="274C38BD" w14:textId="5B7DFCAB" w:rsidR="00852790" w:rsidRPr="00852790" w:rsidRDefault="00852790" w:rsidP="00852790">
            <w:pPr>
              <w:pStyle w:val="NoSpacing"/>
              <w:ind w:right="71"/>
              <w:rPr>
                <w:sz w:val="20"/>
                <w:szCs w:val="20"/>
                <w:lang w:eastAsia="lv-LV"/>
              </w:rPr>
            </w:pPr>
            <w:r w:rsidRPr="00852790">
              <w:rPr>
                <w:sz w:val="20"/>
                <w:szCs w:val="20"/>
                <w:lang w:eastAsia="lv-LV"/>
              </w:rPr>
              <w:t xml:space="preserve">* Portatīvais dators HP </w:t>
            </w:r>
            <w:proofErr w:type="spellStart"/>
            <w:r w:rsidRPr="00852790">
              <w:rPr>
                <w:sz w:val="20"/>
                <w:szCs w:val="20"/>
                <w:lang w:eastAsia="lv-LV"/>
              </w:rPr>
              <w:t>ProBook</w:t>
            </w:r>
            <w:proofErr w:type="spellEnd"/>
            <w:r w:rsidRPr="00852790">
              <w:rPr>
                <w:sz w:val="20"/>
                <w:szCs w:val="20"/>
                <w:lang w:eastAsia="lv-LV"/>
              </w:rPr>
              <w:t>, 15</w:t>
            </w:r>
            <w:r w:rsidR="006030DE">
              <w:rPr>
                <w:sz w:val="20"/>
                <w:szCs w:val="20"/>
                <w:lang w:eastAsia="lv-LV"/>
              </w:rPr>
              <w:t xml:space="preserve"> </w:t>
            </w:r>
            <w:r w:rsidRPr="00852790">
              <w:rPr>
                <w:sz w:val="20"/>
                <w:szCs w:val="20"/>
                <w:lang w:eastAsia="lv-LV"/>
              </w:rPr>
              <w:t>gab.,</w:t>
            </w:r>
            <w:r w:rsidR="00AC734E">
              <w:rPr>
                <w:sz w:val="20"/>
                <w:szCs w:val="20"/>
                <w:lang w:eastAsia="lv-LV"/>
              </w:rPr>
              <w:t xml:space="preserve"> </w:t>
            </w:r>
            <w:r w:rsidRPr="00852790">
              <w:rPr>
                <w:sz w:val="20"/>
                <w:szCs w:val="20"/>
                <w:lang w:eastAsia="lv-LV"/>
              </w:rPr>
              <w:t xml:space="preserve">11 680 </w:t>
            </w:r>
            <w:proofErr w:type="spellStart"/>
            <w:r w:rsidRPr="00AC734E">
              <w:rPr>
                <w:i/>
                <w:sz w:val="20"/>
                <w:szCs w:val="20"/>
                <w:lang w:eastAsia="lv-LV"/>
              </w:rPr>
              <w:t>euro</w:t>
            </w:r>
            <w:proofErr w:type="spellEnd"/>
            <w:r w:rsidRPr="00852790">
              <w:rPr>
                <w:sz w:val="20"/>
                <w:szCs w:val="20"/>
                <w:lang w:eastAsia="lv-LV"/>
              </w:rPr>
              <w:t>;</w:t>
            </w:r>
          </w:p>
          <w:p w14:paraId="32297511" w14:textId="1CF4195E" w:rsidR="00852790" w:rsidRPr="00852790" w:rsidRDefault="00852790" w:rsidP="00852790">
            <w:pPr>
              <w:pStyle w:val="NoSpacing"/>
              <w:ind w:right="71"/>
              <w:rPr>
                <w:sz w:val="20"/>
                <w:szCs w:val="20"/>
                <w:lang w:eastAsia="lv-LV"/>
              </w:rPr>
            </w:pPr>
            <w:r w:rsidRPr="00852790">
              <w:rPr>
                <w:sz w:val="20"/>
                <w:szCs w:val="20"/>
                <w:lang w:eastAsia="lv-LV"/>
              </w:rPr>
              <w:t xml:space="preserve">* Portatīvais dators Fujitsu </w:t>
            </w:r>
            <w:proofErr w:type="spellStart"/>
            <w:r w:rsidRPr="00852790">
              <w:rPr>
                <w:sz w:val="20"/>
                <w:szCs w:val="20"/>
                <w:lang w:eastAsia="lv-LV"/>
              </w:rPr>
              <w:t>LifeBook</w:t>
            </w:r>
            <w:proofErr w:type="spellEnd"/>
            <w:r w:rsidRPr="00852790">
              <w:rPr>
                <w:sz w:val="20"/>
                <w:szCs w:val="20"/>
                <w:lang w:eastAsia="lv-LV"/>
              </w:rPr>
              <w:t xml:space="preserve">, 10 gab., 11 084 </w:t>
            </w:r>
            <w:proofErr w:type="spellStart"/>
            <w:r w:rsidRPr="00AC734E">
              <w:rPr>
                <w:i/>
                <w:sz w:val="20"/>
                <w:szCs w:val="20"/>
                <w:lang w:eastAsia="lv-LV"/>
              </w:rPr>
              <w:t>euro</w:t>
            </w:r>
            <w:proofErr w:type="spellEnd"/>
            <w:r w:rsidRPr="00852790">
              <w:rPr>
                <w:sz w:val="20"/>
                <w:szCs w:val="20"/>
                <w:lang w:eastAsia="lv-LV"/>
              </w:rPr>
              <w:t>;</w:t>
            </w:r>
          </w:p>
          <w:p w14:paraId="7B7CCECF" w14:textId="13557E56" w:rsidR="00852790" w:rsidRPr="00852790" w:rsidRDefault="00852790" w:rsidP="00852790">
            <w:pPr>
              <w:pStyle w:val="NoSpacing"/>
              <w:ind w:right="71"/>
              <w:rPr>
                <w:sz w:val="20"/>
                <w:szCs w:val="20"/>
                <w:lang w:eastAsia="lv-LV"/>
              </w:rPr>
            </w:pPr>
            <w:r w:rsidRPr="00852790">
              <w:rPr>
                <w:sz w:val="20"/>
                <w:szCs w:val="20"/>
                <w:lang w:eastAsia="lv-LV"/>
              </w:rPr>
              <w:t xml:space="preserve">* </w:t>
            </w:r>
            <w:proofErr w:type="spellStart"/>
            <w:r w:rsidRPr="00852790">
              <w:rPr>
                <w:sz w:val="20"/>
                <w:szCs w:val="20"/>
                <w:lang w:eastAsia="lv-LV"/>
              </w:rPr>
              <w:t>Logitec</w:t>
            </w:r>
            <w:proofErr w:type="spellEnd"/>
            <w:r w:rsidRPr="00852790">
              <w:rPr>
                <w:sz w:val="20"/>
                <w:szCs w:val="20"/>
                <w:lang w:eastAsia="lv-LV"/>
              </w:rPr>
              <w:t xml:space="preserve"> </w:t>
            </w:r>
            <w:proofErr w:type="spellStart"/>
            <w:r w:rsidRPr="00852790">
              <w:rPr>
                <w:sz w:val="20"/>
                <w:szCs w:val="20"/>
                <w:lang w:eastAsia="lv-LV"/>
              </w:rPr>
              <w:t>Rally</w:t>
            </w:r>
            <w:proofErr w:type="spellEnd"/>
            <w:r w:rsidRPr="00852790">
              <w:rPr>
                <w:sz w:val="20"/>
                <w:szCs w:val="20"/>
                <w:lang w:eastAsia="lv-LV"/>
              </w:rPr>
              <w:t xml:space="preserve"> </w:t>
            </w:r>
            <w:proofErr w:type="spellStart"/>
            <w:r w:rsidRPr="00852790">
              <w:rPr>
                <w:sz w:val="20"/>
                <w:szCs w:val="20"/>
                <w:lang w:eastAsia="lv-LV"/>
              </w:rPr>
              <w:t>Ultra-HD</w:t>
            </w:r>
            <w:proofErr w:type="spellEnd"/>
            <w:r w:rsidRPr="00852790">
              <w:rPr>
                <w:sz w:val="20"/>
                <w:szCs w:val="20"/>
                <w:lang w:eastAsia="lv-LV"/>
              </w:rPr>
              <w:t xml:space="preserve"> videokonferenču kameras un mikrofonu/skaļruņu sistēma ar sekošanu runātājam 2 765 </w:t>
            </w:r>
            <w:proofErr w:type="spellStart"/>
            <w:r w:rsidRPr="00AC734E">
              <w:rPr>
                <w:i/>
                <w:sz w:val="20"/>
                <w:szCs w:val="20"/>
                <w:lang w:eastAsia="lv-LV"/>
              </w:rPr>
              <w:t>euro</w:t>
            </w:r>
            <w:proofErr w:type="spellEnd"/>
            <w:r w:rsidRPr="00852790">
              <w:rPr>
                <w:sz w:val="20"/>
                <w:szCs w:val="20"/>
                <w:lang w:eastAsia="lv-LV"/>
              </w:rPr>
              <w:t>;</w:t>
            </w:r>
          </w:p>
          <w:p w14:paraId="7E16DFE5" w14:textId="51DC6077" w:rsidR="00852790" w:rsidRPr="00852790" w:rsidRDefault="00852790" w:rsidP="00852790">
            <w:pPr>
              <w:pStyle w:val="NoSpacing"/>
              <w:ind w:right="71"/>
              <w:rPr>
                <w:sz w:val="20"/>
                <w:szCs w:val="20"/>
                <w:lang w:eastAsia="lv-LV"/>
              </w:rPr>
            </w:pPr>
            <w:r w:rsidRPr="00852790">
              <w:rPr>
                <w:sz w:val="20"/>
                <w:szCs w:val="20"/>
                <w:lang w:eastAsia="lv-LV"/>
              </w:rPr>
              <w:t xml:space="preserve">* Samsung 65"FLIP monitors (izmantojams kā elektroniska tāfele) 2 584 </w:t>
            </w:r>
            <w:proofErr w:type="spellStart"/>
            <w:r w:rsidRPr="00AC734E">
              <w:rPr>
                <w:i/>
                <w:sz w:val="20"/>
                <w:szCs w:val="20"/>
                <w:lang w:eastAsia="lv-LV"/>
              </w:rPr>
              <w:t>euro</w:t>
            </w:r>
            <w:proofErr w:type="spellEnd"/>
            <w:r w:rsidRPr="00852790">
              <w:rPr>
                <w:sz w:val="20"/>
                <w:szCs w:val="20"/>
                <w:lang w:eastAsia="lv-LV"/>
              </w:rPr>
              <w:t>;</w:t>
            </w:r>
          </w:p>
          <w:p w14:paraId="4E984868" w14:textId="0E6D8A0D" w:rsidR="00852790" w:rsidRPr="00852790" w:rsidRDefault="00852790" w:rsidP="00852790">
            <w:pPr>
              <w:pStyle w:val="NoSpacing"/>
              <w:ind w:right="71"/>
              <w:rPr>
                <w:sz w:val="20"/>
                <w:szCs w:val="20"/>
                <w:lang w:eastAsia="lv-LV"/>
              </w:rPr>
            </w:pPr>
            <w:r w:rsidRPr="00852790">
              <w:rPr>
                <w:sz w:val="20"/>
                <w:szCs w:val="20"/>
                <w:lang w:eastAsia="lv-LV"/>
              </w:rPr>
              <w:t xml:space="preserve">* Portatīvais dators </w:t>
            </w:r>
            <w:proofErr w:type="spellStart"/>
            <w:r w:rsidRPr="00852790">
              <w:rPr>
                <w:sz w:val="20"/>
                <w:szCs w:val="20"/>
                <w:lang w:eastAsia="lv-LV"/>
              </w:rPr>
              <w:t>Lenovo</w:t>
            </w:r>
            <w:proofErr w:type="spellEnd"/>
            <w:r w:rsidRPr="00852790">
              <w:rPr>
                <w:sz w:val="20"/>
                <w:szCs w:val="20"/>
                <w:lang w:eastAsia="lv-LV"/>
              </w:rPr>
              <w:t xml:space="preserve"> </w:t>
            </w:r>
            <w:proofErr w:type="spellStart"/>
            <w:r w:rsidRPr="00852790">
              <w:rPr>
                <w:sz w:val="20"/>
                <w:szCs w:val="20"/>
                <w:lang w:eastAsia="lv-LV"/>
              </w:rPr>
              <w:t>ThinkPad</w:t>
            </w:r>
            <w:proofErr w:type="spellEnd"/>
            <w:r w:rsidRPr="00852790">
              <w:rPr>
                <w:sz w:val="20"/>
                <w:szCs w:val="20"/>
                <w:lang w:eastAsia="lv-LV"/>
              </w:rPr>
              <w:t xml:space="preserve"> L15, 1 gab., 882 </w:t>
            </w:r>
            <w:proofErr w:type="spellStart"/>
            <w:r w:rsidRPr="00AC734E">
              <w:rPr>
                <w:i/>
                <w:sz w:val="20"/>
                <w:szCs w:val="20"/>
                <w:lang w:eastAsia="lv-LV"/>
              </w:rPr>
              <w:t>euro</w:t>
            </w:r>
            <w:proofErr w:type="spellEnd"/>
            <w:r w:rsidRPr="00852790">
              <w:rPr>
                <w:sz w:val="20"/>
                <w:szCs w:val="20"/>
                <w:lang w:eastAsia="lv-LV"/>
              </w:rPr>
              <w:t>;</w:t>
            </w:r>
          </w:p>
          <w:p w14:paraId="49362B4D" w14:textId="1B55DFE1" w:rsidR="00781F34" w:rsidRPr="007002E8" w:rsidRDefault="00852790" w:rsidP="00852790">
            <w:pPr>
              <w:pStyle w:val="NoSpacing"/>
              <w:ind w:right="71"/>
              <w:rPr>
                <w:sz w:val="16"/>
                <w:szCs w:val="16"/>
                <w:lang w:eastAsia="lv-LV"/>
              </w:rPr>
            </w:pPr>
            <w:r w:rsidRPr="00852790">
              <w:rPr>
                <w:sz w:val="20"/>
                <w:szCs w:val="20"/>
                <w:lang w:eastAsia="lv-LV"/>
              </w:rPr>
              <w:t xml:space="preserve">* Bezkontakta roku dezinfekcijas iekārta 629 </w:t>
            </w:r>
            <w:proofErr w:type="spellStart"/>
            <w:r w:rsidRPr="00AC734E">
              <w:rPr>
                <w:i/>
                <w:sz w:val="20"/>
                <w:szCs w:val="20"/>
                <w:lang w:eastAsia="lv-LV"/>
              </w:rPr>
              <w:t>euro</w:t>
            </w:r>
            <w:proofErr w:type="spellEnd"/>
            <w:r w:rsidRPr="00852790">
              <w:rPr>
                <w:sz w:val="20"/>
                <w:szCs w:val="20"/>
                <w:lang w:eastAsia="lv-LV"/>
              </w:rPr>
              <w:t>.</w:t>
            </w:r>
          </w:p>
          <w:p w14:paraId="3175756D" w14:textId="77777777" w:rsidR="00781F34" w:rsidRPr="007002E8" w:rsidRDefault="00781F34" w:rsidP="00BD569C">
            <w:pPr>
              <w:pStyle w:val="NoSpacing"/>
              <w:ind w:left="1266" w:right="71" w:hanging="593"/>
              <w:rPr>
                <w:sz w:val="16"/>
                <w:szCs w:val="16"/>
                <w:lang w:eastAsia="lv-LV"/>
              </w:rPr>
            </w:pPr>
          </w:p>
          <w:p w14:paraId="721B333D" w14:textId="1052CE00" w:rsidR="00607B47" w:rsidRPr="00BD569C" w:rsidRDefault="00D079FF" w:rsidP="000C2896">
            <w:pPr>
              <w:spacing w:after="0" w:line="240" w:lineRule="auto"/>
              <w:ind w:left="57" w:right="74"/>
              <w:rPr>
                <w:rFonts w:ascii="Times New Roman" w:hAnsi="Times New Roman" w:cs="Times New Roman"/>
                <w:bCs/>
                <w:sz w:val="20"/>
                <w:szCs w:val="20"/>
              </w:rPr>
            </w:pPr>
            <w:r w:rsidRPr="00BD569C">
              <w:rPr>
                <w:rFonts w:ascii="Times New Roman" w:hAnsi="Times New Roman" w:cs="Times New Roman"/>
                <w:sz w:val="20"/>
                <w:szCs w:val="20"/>
                <w:lang w:eastAsia="lv-LV"/>
              </w:rPr>
              <w:t>Rīkojuma projektam nav ietekmes uz kopējiem valsts budžeta izdevumiem</w:t>
            </w:r>
          </w:p>
        </w:tc>
      </w:tr>
      <w:tr w:rsidR="00ED0C62" w:rsidRPr="00BD569C" w14:paraId="31EB0DEF" w14:textId="77777777" w:rsidTr="000C2896">
        <w:tc>
          <w:tcPr>
            <w:tcW w:w="1001" w:type="pct"/>
            <w:hideMark/>
          </w:tcPr>
          <w:p w14:paraId="754077F0" w14:textId="40149D5F" w:rsidR="00607B47" w:rsidRPr="00C036AD" w:rsidRDefault="00607B47"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C036AD">
              <w:rPr>
                <w:rFonts w:ascii="Times New Roman" w:eastAsia="Times New Roman" w:hAnsi="Times New Roman" w:cs="Times New Roman"/>
                <w:iCs/>
                <w:sz w:val="20"/>
                <w:szCs w:val="20"/>
                <w:lang w:eastAsia="lv-LV"/>
              </w:rPr>
              <w:t>6.1.</w:t>
            </w:r>
            <w:r w:rsidR="00BD569C" w:rsidRPr="00C036AD">
              <w:rPr>
                <w:rFonts w:ascii="Times New Roman" w:eastAsia="Times New Roman" w:hAnsi="Times New Roman" w:cs="Times New Roman"/>
                <w:iCs/>
                <w:sz w:val="20"/>
                <w:szCs w:val="20"/>
                <w:lang w:eastAsia="lv-LV"/>
              </w:rPr>
              <w:t xml:space="preserve"> </w:t>
            </w:r>
            <w:r w:rsidRPr="00C036AD">
              <w:rPr>
                <w:rFonts w:ascii="Times New Roman" w:eastAsia="Times New Roman" w:hAnsi="Times New Roman" w:cs="Times New Roman"/>
                <w:iCs/>
                <w:sz w:val="20"/>
                <w:szCs w:val="20"/>
                <w:lang w:eastAsia="lv-LV"/>
              </w:rPr>
              <w:t>detalizēts ieņēmumu aprēķins</w:t>
            </w:r>
          </w:p>
        </w:tc>
        <w:tc>
          <w:tcPr>
            <w:tcW w:w="3999" w:type="pct"/>
            <w:gridSpan w:val="7"/>
            <w:vMerge/>
            <w:vAlign w:val="center"/>
            <w:hideMark/>
          </w:tcPr>
          <w:p w14:paraId="4546384F" w14:textId="77777777" w:rsidR="00607B47" w:rsidRPr="00BD569C" w:rsidRDefault="00607B47" w:rsidP="00ED0C62">
            <w:pPr>
              <w:shd w:val="clear" w:color="auto" w:fill="FFFFFF"/>
              <w:spacing w:after="0" w:line="240" w:lineRule="auto"/>
              <w:ind w:firstLine="301"/>
              <w:jc w:val="both"/>
              <w:rPr>
                <w:rFonts w:ascii="Times New Roman" w:eastAsia="Times New Roman" w:hAnsi="Times New Roman" w:cs="Times New Roman"/>
                <w:iCs/>
                <w:sz w:val="20"/>
                <w:szCs w:val="20"/>
                <w:lang w:val="en-US" w:eastAsia="lv-LV"/>
              </w:rPr>
            </w:pPr>
          </w:p>
        </w:tc>
      </w:tr>
      <w:tr w:rsidR="00ED0C62" w:rsidRPr="00BD569C" w14:paraId="5DA4C4E5" w14:textId="77777777" w:rsidTr="000C2896">
        <w:tc>
          <w:tcPr>
            <w:tcW w:w="1001" w:type="pct"/>
            <w:hideMark/>
          </w:tcPr>
          <w:p w14:paraId="21825E7F" w14:textId="71E60BDE" w:rsidR="00607B47" w:rsidRPr="00C036AD" w:rsidRDefault="00607B47" w:rsidP="00C036AD">
            <w:pPr>
              <w:shd w:val="clear" w:color="auto" w:fill="FFFFFF"/>
              <w:spacing w:after="0" w:line="240" w:lineRule="auto"/>
              <w:ind w:left="340" w:hanging="340"/>
              <w:rPr>
                <w:rFonts w:ascii="Times New Roman" w:eastAsia="Times New Roman" w:hAnsi="Times New Roman" w:cs="Times New Roman"/>
                <w:iCs/>
                <w:sz w:val="20"/>
                <w:szCs w:val="20"/>
                <w:lang w:eastAsia="lv-LV"/>
              </w:rPr>
            </w:pPr>
            <w:r w:rsidRPr="00C036AD">
              <w:rPr>
                <w:rFonts w:ascii="Times New Roman" w:eastAsia="Times New Roman" w:hAnsi="Times New Roman" w:cs="Times New Roman"/>
                <w:iCs/>
                <w:sz w:val="20"/>
                <w:szCs w:val="20"/>
                <w:lang w:eastAsia="lv-LV"/>
              </w:rPr>
              <w:t>6.2.</w:t>
            </w:r>
            <w:r w:rsidR="00BD569C" w:rsidRPr="00C036AD">
              <w:rPr>
                <w:rFonts w:ascii="Times New Roman" w:eastAsia="Times New Roman" w:hAnsi="Times New Roman" w:cs="Times New Roman"/>
                <w:iCs/>
                <w:sz w:val="20"/>
                <w:szCs w:val="20"/>
                <w:lang w:eastAsia="lv-LV"/>
              </w:rPr>
              <w:t xml:space="preserve"> </w:t>
            </w:r>
            <w:r w:rsidRPr="00C036AD">
              <w:rPr>
                <w:rFonts w:ascii="Times New Roman" w:eastAsia="Times New Roman" w:hAnsi="Times New Roman" w:cs="Times New Roman"/>
                <w:iCs/>
                <w:sz w:val="20"/>
                <w:szCs w:val="20"/>
                <w:lang w:eastAsia="lv-LV"/>
              </w:rPr>
              <w:t>detalizēts izdevumu aprēķins</w:t>
            </w:r>
          </w:p>
        </w:tc>
        <w:tc>
          <w:tcPr>
            <w:tcW w:w="3999" w:type="pct"/>
            <w:gridSpan w:val="7"/>
            <w:vMerge/>
            <w:vAlign w:val="center"/>
            <w:hideMark/>
          </w:tcPr>
          <w:p w14:paraId="216FEB5B" w14:textId="77777777" w:rsidR="00607B47" w:rsidRPr="00BD569C" w:rsidRDefault="00607B47" w:rsidP="00ED0C62">
            <w:pPr>
              <w:shd w:val="clear" w:color="auto" w:fill="FFFFFF"/>
              <w:spacing w:after="0" w:line="240" w:lineRule="auto"/>
              <w:ind w:firstLine="301"/>
              <w:jc w:val="both"/>
              <w:rPr>
                <w:rFonts w:ascii="Times New Roman" w:eastAsia="Times New Roman" w:hAnsi="Times New Roman" w:cs="Times New Roman"/>
                <w:iCs/>
                <w:sz w:val="20"/>
                <w:szCs w:val="20"/>
                <w:lang w:val="en-US" w:eastAsia="lv-LV"/>
              </w:rPr>
            </w:pPr>
          </w:p>
        </w:tc>
      </w:tr>
      <w:tr w:rsidR="00ED0C62" w:rsidRPr="00BD569C" w14:paraId="083F08D9" w14:textId="77777777" w:rsidTr="000C2896">
        <w:tc>
          <w:tcPr>
            <w:tcW w:w="1001" w:type="pct"/>
            <w:hideMark/>
          </w:tcPr>
          <w:p w14:paraId="15225FEF" w14:textId="77777777" w:rsidR="00607B47" w:rsidRPr="00BD569C" w:rsidRDefault="00607B47" w:rsidP="00C036AD">
            <w:pPr>
              <w:shd w:val="clear" w:color="auto" w:fill="FFFFFF"/>
              <w:spacing w:after="0" w:line="240" w:lineRule="auto"/>
              <w:ind w:left="198" w:hanging="198"/>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 xml:space="preserve">7. Amata </w:t>
            </w:r>
            <w:proofErr w:type="spellStart"/>
            <w:r w:rsidRPr="00BD569C">
              <w:rPr>
                <w:rFonts w:ascii="Times New Roman" w:eastAsia="Times New Roman" w:hAnsi="Times New Roman" w:cs="Times New Roman"/>
                <w:iCs/>
                <w:sz w:val="20"/>
                <w:szCs w:val="20"/>
                <w:lang w:val="en-US" w:eastAsia="lv-LV"/>
              </w:rPr>
              <w:t>vietu</w:t>
            </w:r>
            <w:proofErr w:type="spellEnd"/>
            <w:r w:rsidRPr="00BD569C">
              <w:rPr>
                <w:rFonts w:ascii="Times New Roman" w:eastAsia="Times New Roman" w:hAnsi="Times New Roman" w:cs="Times New Roman"/>
                <w:iCs/>
                <w:sz w:val="20"/>
                <w:szCs w:val="20"/>
                <w:lang w:val="en-US" w:eastAsia="lv-LV"/>
              </w:rPr>
              <w:t xml:space="preserve"> </w:t>
            </w:r>
            <w:proofErr w:type="spellStart"/>
            <w:r w:rsidRPr="00BD569C">
              <w:rPr>
                <w:rFonts w:ascii="Times New Roman" w:eastAsia="Times New Roman" w:hAnsi="Times New Roman" w:cs="Times New Roman"/>
                <w:iCs/>
                <w:sz w:val="20"/>
                <w:szCs w:val="20"/>
                <w:lang w:val="en-US" w:eastAsia="lv-LV"/>
              </w:rPr>
              <w:t>skaita</w:t>
            </w:r>
            <w:proofErr w:type="spellEnd"/>
            <w:r w:rsidRPr="00BD569C">
              <w:rPr>
                <w:rFonts w:ascii="Times New Roman" w:eastAsia="Times New Roman" w:hAnsi="Times New Roman" w:cs="Times New Roman"/>
                <w:iCs/>
                <w:sz w:val="20"/>
                <w:szCs w:val="20"/>
                <w:lang w:val="en-US" w:eastAsia="lv-LV"/>
              </w:rPr>
              <w:t xml:space="preserve"> </w:t>
            </w:r>
            <w:proofErr w:type="spellStart"/>
            <w:r w:rsidRPr="00BD569C">
              <w:rPr>
                <w:rFonts w:ascii="Times New Roman" w:eastAsia="Times New Roman" w:hAnsi="Times New Roman" w:cs="Times New Roman"/>
                <w:iCs/>
                <w:sz w:val="20"/>
                <w:szCs w:val="20"/>
                <w:lang w:val="en-US" w:eastAsia="lv-LV"/>
              </w:rPr>
              <w:t>izmaiņas</w:t>
            </w:r>
            <w:proofErr w:type="spellEnd"/>
          </w:p>
        </w:tc>
        <w:tc>
          <w:tcPr>
            <w:tcW w:w="3999" w:type="pct"/>
            <w:gridSpan w:val="7"/>
            <w:hideMark/>
          </w:tcPr>
          <w:p w14:paraId="62C70606" w14:textId="70DE042B" w:rsidR="00607B47" w:rsidRPr="00BD569C" w:rsidRDefault="00607B47" w:rsidP="000C2896">
            <w:pPr>
              <w:shd w:val="clear" w:color="auto" w:fill="FFFFFF"/>
              <w:spacing w:after="0" w:line="240" w:lineRule="auto"/>
              <w:ind w:left="57"/>
              <w:jc w:val="both"/>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bCs/>
                <w:iCs/>
                <w:sz w:val="20"/>
                <w:szCs w:val="20"/>
                <w:lang w:eastAsia="lv-LV"/>
              </w:rPr>
              <w:t>Projekts šo jomu neskar</w:t>
            </w:r>
          </w:p>
        </w:tc>
      </w:tr>
      <w:tr w:rsidR="00ED0C62" w:rsidRPr="00BD569C" w14:paraId="3032F25D" w14:textId="77777777" w:rsidTr="000C2896">
        <w:tc>
          <w:tcPr>
            <w:tcW w:w="1001" w:type="pct"/>
            <w:hideMark/>
          </w:tcPr>
          <w:p w14:paraId="75431930" w14:textId="216232FE" w:rsidR="00607B47" w:rsidRPr="00BD569C" w:rsidRDefault="00607B47" w:rsidP="005413D2">
            <w:pPr>
              <w:shd w:val="clear" w:color="auto" w:fill="FFFFFF"/>
              <w:spacing w:after="0" w:line="240" w:lineRule="auto"/>
              <w:rPr>
                <w:rFonts w:ascii="Times New Roman" w:eastAsia="Times New Roman" w:hAnsi="Times New Roman" w:cs="Times New Roman"/>
                <w:iCs/>
                <w:sz w:val="20"/>
                <w:szCs w:val="20"/>
                <w:lang w:val="en-US" w:eastAsia="lv-LV"/>
              </w:rPr>
            </w:pPr>
            <w:r w:rsidRPr="00BD569C">
              <w:rPr>
                <w:rFonts w:ascii="Times New Roman" w:eastAsia="Times New Roman" w:hAnsi="Times New Roman" w:cs="Times New Roman"/>
                <w:iCs/>
                <w:sz w:val="20"/>
                <w:szCs w:val="20"/>
                <w:lang w:val="en-US" w:eastAsia="lv-LV"/>
              </w:rPr>
              <w:t>8.</w:t>
            </w:r>
            <w:r w:rsidR="00BD569C">
              <w:rPr>
                <w:rFonts w:ascii="Times New Roman" w:eastAsia="Times New Roman" w:hAnsi="Times New Roman" w:cs="Times New Roman"/>
                <w:iCs/>
                <w:sz w:val="20"/>
                <w:szCs w:val="20"/>
                <w:lang w:val="en-US" w:eastAsia="lv-LV"/>
              </w:rPr>
              <w:t xml:space="preserve"> </w:t>
            </w:r>
            <w:proofErr w:type="spellStart"/>
            <w:r w:rsidRPr="00BD569C">
              <w:rPr>
                <w:rFonts w:ascii="Times New Roman" w:eastAsia="Times New Roman" w:hAnsi="Times New Roman" w:cs="Times New Roman"/>
                <w:iCs/>
                <w:sz w:val="20"/>
                <w:szCs w:val="20"/>
                <w:lang w:val="en-US" w:eastAsia="lv-LV"/>
              </w:rPr>
              <w:t>Cita</w:t>
            </w:r>
            <w:proofErr w:type="spellEnd"/>
            <w:r w:rsidRPr="00BD569C">
              <w:rPr>
                <w:rFonts w:ascii="Times New Roman" w:eastAsia="Times New Roman" w:hAnsi="Times New Roman" w:cs="Times New Roman"/>
                <w:iCs/>
                <w:sz w:val="20"/>
                <w:szCs w:val="20"/>
                <w:lang w:val="en-US" w:eastAsia="lv-LV"/>
              </w:rPr>
              <w:t xml:space="preserve"> </w:t>
            </w:r>
            <w:proofErr w:type="spellStart"/>
            <w:r w:rsidRPr="00BD569C">
              <w:rPr>
                <w:rFonts w:ascii="Times New Roman" w:eastAsia="Times New Roman" w:hAnsi="Times New Roman" w:cs="Times New Roman"/>
                <w:iCs/>
                <w:sz w:val="20"/>
                <w:szCs w:val="20"/>
                <w:lang w:val="en-US" w:eastAsia="lv-LV"/>
              </w:rPr>
              <w:t>informācija</w:t>
            </w:r>
            <w:proofErr w:type="spellEnd"/>
          </w:p>
        </w:tc>
        <w:tc>
          <w:tcPr>
            <w:tcW w:w="3999" w:type="pct"/>
            <w:gridSpan w:val="7"/>
            <w:hideMark/>
          </w:tcPr>
          <w:p w14:paraId="2A2A34A9" w14:textId="4130313F" w:rsidR="00607B47" w:rsidRPr="00BD569C" w:rsidRDefault="00630BC8" w:rsidP="000C2896">
            <w:pPr>
              <w:shd w:val="clear" w:color="auto" w:fill="FFFFFF"/>
              <w:spacing w:after="0" w:line="240" w:lineRule="auto"/>
              <w:ind w:left="57"/>
              <w:jc w:val="both"/>
              <w:rPr>
                <w:rFonts w:ascii="Times New Roman" w:eastAsia="Times New Roman" w:hAnsi="Times New Roman" w:cs="Times New Roman"/>
                <w:iCs/>
                <w:sz w:val="20"/>
                <w:szCs w:val="20"/>
                <w:lang w:eastAsia="lv-LV"/>
              </w:rPr>
            </w:pPr>
            <w:r w:rsidRPr="00BD569C">
              <w:rPr>
                <w:rFonts w:ascii="Times New Roman" w:eastAsia="Times New Roman" w:hAnsi="Times New Roman" w:cs="Times New Roman"/>
                <w:iCs/>
                <w:sz w:val="20"/>
                <w:szCs w:val="20"/>
                <w:lang w:eastAsia="lv-LV"/>
              </w:rPr>
              <w:t>Nav</w:t>
            </w:r>
          </w:p>
        </w:tc>
      </w:tr>
    </w:tbl>
    <w:p w14:paraId="2D88B1C1" w14:textId="77777777" w:rsidR="0013575C" w:rsidRPr="00410D40" w:rsidRDefault="0013575C" w:rsidP="00856BF9">
      <w:pPr>
        <w:shd w:val="clear" w:color="auto" w:fill="FFFFFF"/>
        <w:spacing w:after="0" w:line="240" w:lineRule="auto"/>
        <w:rPr>
          <w:rFonts w:ascii="Times New Roman" w:eastAsia="Times New Roman" w:hAnsi="Times New Roman" w:cs="Times New Roman"/>
          <w:sz w:val="28"/>
          <w:szCs w:val="26"/>
          <w:lang w:eastAsia="lv-LV"/>
        </w:rPr>
      </w:pPr>
    </w:p>
    <w:tbl>
      <w:tblPr>
        <w:tblW w:w="5633" w:type="pct"/>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ED0C62" w:rsidRPr="00410D40" w14:paraId="62465E3B" w14:textId="77777777" w:rsidTr="00410D40">
        <w:tc>
          <w:tcPr>
            <w:tcW w:w="4971" w:type="pct"/>
            <w:tcBorders>
              <w:top w:val="single" w:sz="4" w:space="0" w:color="auto"/>
              <w:left w:val="single" w:sz="4" w:space="0" w:color="auto"/>
              <w:bottom w:val="single" w:sz="4" w:space="0" w:color="auto"/>
              <w:right w:val="single" w:sz="4" w:space="0" w:color="auto"/>
            </w:tcBorders>
            <w:vAlign w:val="center"/>
            <w:hideMark/>
          </w:tcPr>
          <w:p w14:paraId="7017F607" w14:textId="77777777" w:rsidR="008D711F" w:rsidRPr="00410D40" w:rsidRDefault="008D711F" w:rsidP="00410D40">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
                <w:bCs/>
                <w:sz w:val="28"/>
                <w:szCs w:val="26"/>
                <w:lang w:eastAsia="lv-LV"/>
              </w:rPr>
              <w:t>IV. Tiesību akta projekta ietekme uz spēkā esošo tiesību normu sistēmu</w:t>
            </w:r>
          </w:p>
        </w:tc>
      </w:tr>
      <w:tr w:rsidR="00ED0C62" w:rsidRPr="00410D40" w14:paraId="6B7F4C18" w14:textId="77777777" w:rsidTr="00410D40">
        <w:tc>
          <w:tcPr>
            <w:tcW w:w="4971" w:type="pct"/>
            <w:tcBorders>
              <w:top w:val="single" w:sz="4" w:space="0" w:color="auto"/>
              <w:left w:val="single" w:sz="4" w:space="0" w:color="auto"/>
              <w:bottom w:val="single" w:sz="4" w:space="0" w:color="auto"/>
              <w:right w:val="single" w:sz="4" w:space="0" w:color="auto"/>
            </w:tcBorders>
            <w:vAlign w:val="center"/>
          </w:tcPr>
          <w:p w14:paraId="4099E8A8" w14:textId="77777777" w:rsidR="00DE3170" w:rsidRPr="00410D40" w:rsidRDefault="00DE3170" w:rsidP="00410D40">
            <w:pPr>
              <w:spacing w:after="0" w:line="240" w:lineRule="auto"/>
              <w:ind w:firstLine="300"/>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Cs/>
                <w:sz w:val="28"/>
                <w:szCs w:val="26"/>
                <w:lang w:eastAsia="lv-LV"/>
              </w:rPr>
              <w:t>Projekts šo jomu neskar</w:t>
            </w:r>
          </w:p>
        </w:tc>
      </w:tr>
    </w:tbl>
    <w:p w14:paraId="0D973779" w14:textId="77777777" w:rsidR="0013575C" w:rsidRPr="00410D40" w:rsidRDefault="0013575C" w:rsidP="00410D40">
      <w:pPr>
        <w:shd w:val="clear" w:color="auto" w:fill="FFFFFF"/>
        <w:spacing w:after="0" w:line="240" w:lineRule="auto"/>
        <w:rPr>
          <w:rFonts w:ascii="Times New Roman" w:eastAsia="Times New Roman" w:hAnsi="Times New Roman" w:cs="Times New Roman"/>
          <w:sz w:val="28"/>
          <w:szCs w:val="26"/>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ED0C62" w:rsidRPr="00410D40" w14:paraId="61104652"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37CF15" w14:textId="77777777" w:rsidR="00943C42" w:rsidRPr="00410D40" w:rsidRDefault="00943C42" w:rsidP="00410D40">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
                <w:bCs/>
                <w:sz w:val="28"/>
                <w:szCs w:val="26"/>
                <w:lang w:eastAsia="lv-LV"/>
              </w:rPr>
              <w:t>V. </w:t>
            </w:r>
            <w:r w:rsidR="006A4715" w:rsidRPr="00410D40">
              <w:rPr>
                <w:rFonts w:ascii="Times New Roman" w:eastAsia="Times New Roman" w:hAnsi="Times New Roman" w:cs="Times New Roman"/>
                <w:b/>
                <w:bCs/>
                <w:sz w:val="28"/>
                <w:szCs w:val="26"/>
                <w:lang w:eastAsia="lv-LV"/>
              </w:rPr>
              <w:t xml:space="preserve">Tiesību akta projekta atbilstība Latvijas </w:t>
            </w:r>
            <w:r w:rsidR="00B50CEB" w:rsidRPr="00410D40">
              <w:rPr>
                <w:rFonts w:ascii="Times New Roman" w:eastAsia="Times New Roman" w:hAnsi="Times New Roman" w:cs="Times New Roman"/>
                <w:b/>
                <w:bCs/>
                <w:sz w:val="28"/>
                <w:szCs w:val="26"/>
                <w:lang w:eastAsia="lv-LV"/>
              </w:rPr>
              <w:t>R</w:t>
            </w:r>
            <w:r w:rsidR="006A4715" w:rsidRPr="00410D40">
              <w:rPr>
                <w:rFonts w:ascii="Times New Roman" w:eastAsia="Times New Roman" w:hAnsi="Times New Roman" w:cs="Times New Roman"/>
                <w:b/>
                <w:bCs/>
                <w:sz w:val="28"/>
                <w:szCs w:val="26"/>
                <w:lang w:eastAsia="lv-LV"/>
              </w:rPr>
              <w:t>epublikas starptautiskajām saistībām</w:t>
            </w:r>
          </w:p>
        </w:tc>
      </w:tr>
      <w:tr w:rsidR="00BD569C" w:rsidRPr="00410D40" w14:paraId="273A621F"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866B4FE" w14:textId="77777777" w:rsidR="00943C42" w:rsidRPr="00410D40" w:rsidRDefault="006A4715" w:rsidP="00410D40">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Cs/>
                <w:sz w:val="28"/>
                <w:szCs w:val="26"/>
                <w:lang w:eastAsia="lv-LV"/>
              </w:rPr>
              <w:t>Projekts šo jomu neskar</w:t>
            </w:r>
          </w:p>
        </w:tc>
      </w:tr>
    </w:tbl>
    <w:p w14:paraId="05D2FDAE" w14:textId="77777777" w:rsidR="00377A46" w:rsidRPr="00410D40" w:rsidRDefault="00377A46" w:rsidP="00410D40">
      <w:pPr>
        <w:shd w:val="clear" w:color="auto" w:fill="FFFFFF"/>
        <w:spacing w:after="0" w:line="240" w:lineRule="auto"/>
        <w:rPr>
          <w:rFonts w:ascii="Times New Roman" w:eastAsia="Times New Roman" w:hAnsi="Times New Roman" w:cs="Times New Roman"/>
          <w:sz w:val="28"/>
          <w:szCs w:val="26"/>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ED0C62" w:rsidRPr="00410D40" w14:paraId="55D6104E"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A5ABB74" w14:textId="77777777" w:rsidR="00894C55" w:rsidRPr="00410D40" w:rsidRDefault="00894C55" w:rsidP="00410D40">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
                <w:bCs/>
                <w:sz w:val="28"/>
                <w:szCs w:val="26"/>
                <w:lang w:eastAsia="lv-LV"/>
              </w:rPr>
              <w:t>VI.</w:t>
            </w:r>
            <w:r w:rsidR="00816C11" w:rsidRPr="00410D40">
              <w:rPr>
                <w:rFonts w:ascii="Times New Roman" w:eastAsia="Times New Roman" w:hAnsi="Times New Roman" w:cs="Times New Roman"/>
                <w:b/>
                <w:bCs/>
                <w:sz w:val="28"/>
                <w:szCs w:val="26"/>
                <w:lang w:eastAsia="lv-LV"/>
              </w:rPr>
              <w:t> </w:t>
            </w:r>
            <w:r w:rsidRPr="00410D40">
              <w:rPr>
                <w:rFonts w:ascii="Times New Roman" w:eastAsia="Times New Roman" w:hAnsi="Times New Roman" w:cs="Times New Roman"/>
                <w:b/>
                <w:bCs/>
                <w:sz w:val="28"/>
                <w:szCs w:val="26"/>
                <w:lang w:eastAsia="lv-LV"/>
              </w:rPr>
              <w:t>Sabiedrības līdzdalība un komunikācijas aktivitātes</w:t>
            </w:r>
          </w:p>
        </w:tc>
      </w:tr>
      <w:tr w:rsidR="00BD569C" w:rsidRPr="00410D40" w14:paraId="771159DE"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03C5EE6" w14:textId="77777777" w:rsidR="00C94169" w:rsidRPr="00410D40" w:rsidRDefault="00C94169" w:rsidP="00410D40">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Cs/>
                <w:sz w:val="28"/>
                <w:szCs w:val="26"/>
                <w:lang w:eastAsia="lv-LV"/>
              </w:rPr>
              <w:t>Projekts šo jomu neskar</w:t>
            </w:r>
          </w:p>
        </w:tc>
      </w:tr>
    </w:tbl>
    <w:p w14:paraId="75D431C7" w14:textId="77777777" w:rsidR="00EB530B" w:rsidRPr="00410D40" w:rsidRDefault="00EB530B" w:rsidP="00410D40">
      <w:pPr>
        <w:spacing w:after="0" w:line="240" w:lineRule="auto"/>
        <w:rPr>
          <w:rFonts w:ascii="Times New Roman" w:hAnsi="Times New Roman" w:cs="Times New Roman"/>
          <w:sz w:val="28"/>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5103"/>
        <w:gridCol w:w="4677"/>
      </w:tblGrid>
      <w:tr w:rsidR="00ED0C62" w:rsidRPr="00410D40" w14:paraId="4037D3A4" w14:textId="77777777" w:rsidTr="00EB530B">
        <w:trPr>
          <w:trHeight w:val="38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F9708C2" w14:textId="05F912CC" w:rsidR="00662AD2" w:rsidRPr="00410D40" w:rsidRDefault="00894C55" w:rsidP="00EB530B">
            <w:pPr>
              <w:spacing w:after="0" w:line="240" w:lineRule="auto"/>
              <w:jc w:val="center"/>
              <w:rPr>
                <w:rFonts w:ascii="Times New Roman" w:eastAsia="Times New Roman" w:hAnsi="Times New Roman" w:cs="Times New Roman"/>
                <w:b/>
                <w:bCs/>
                <w:sz w:val="28"/>
                <w:szCs w:val="26"/>
                <w:lang w:eastAsia="lv-LV"/>
              </w:rPr>
            </w:pPr>
            <w:r w:rsidRPr="00410D40">
              <w:rPr>
                <w:rFonts w:ascii="Times New Roman" w:eastAsia="Times New Roman" w:hAnsi="Times New Roman" w:cs="Times New Roman"/>
                <w:b/>
                <w:bCs/>
                <w:sz w:val="28"/>
                <w:szCs w:val="26"/>
                <w:lang w:eastAsia="lv-LV"/>
              </w:rPr>
              <w:lastRenderedPageBreak/>
              <w:t>VII.</w:t>
            </w:r>
            <w:r w:rsidR="00816C11" w:rsidRPr="00410D40">
              <w:rPr>
                <w:rFonts w:ascii="Times New Roman" w:eastAsia="Times New Roman" w:hAnsi="Times New Roman" w:cs="Times New Roman"/>
                <w:b/>
                <w:bCs/>
                <w:sz w:val="28"/>
                <w:szCs w:val="26"/>
                <w:lang w:eastAsia="lv-LV"/>
              </w:rPr>
              <w:t> </w:t>
            </w:r>
            <w:r w:rsidRPr="00410D40">
              <w:rPr>
                <w:rFonts w:ascii="Times New Roman" w:eastAsia="Times New Roman" w:hAnsi="Times New Roman" w:cs="Times New Roman"/>
                <w:b/>
                <w:bCs/>
                <w:sz w:val="28"/>
                <w:szCs w:val="26"/>
                <w:lang w:eastAsia="lv-LV"/>
              </w:rPr>
              <w:t>Tiesību akta projekta izpildes nodrošināšana un tās ietekme uz institūcijām</w:t>
            </w:r>
          </w:p>
        </w:tc>
      </w:tr>
      <w:tr w:rsidR="00ED0C62" w:rsidRPr="00BD569C" w14:paraId="134DA982" w14:textId="77777777" w:rsidTr="0018732F">
        <w:trPr>
          <w:trHeight w:val="336"/>
          <w:jc w:val="center"/>
        </w:trPr>
        <w:tc>
          <w:tcPr>
            <w:tcW w:w="205" w:type="pct"/>
            <w:tcBorders>
              <w:top w:val="outset" w:sz="6" w:space="0" w:color="414142"/>
              <w:left w:val="outset" w:sz="6" w:space="0" w:color="414142"/>
              <w:bottom w:val="outset" w:sz="6" w:space="0" w:color="414142"/>
              <w:right w:val="outset" w:sz="6" w:space="0" w:color="414142"/>
            </w:tcBorders>
            <w:hideMark/>
          </w:tcPr>
          <w:p w14:paraId="38BF1A43" w14:textId="77777777" w:rsidR="00894C55" w:rsidRPr="00BD569C" w:rsidRDefault="00894C55" w:rsidP="00856BF9">
            <w:pPr>
              <w:spacing w:after="0" w:line="240" w:lineRule="auto"/>
              <w:rPr>
                <w:rFonts w:ascii="Times New Roman" w:eastAsia="Times New Roman" w:hAnsi="Times New Roman" w:cs="Times New Roman"/>
                <w:sz w:val="26"/>
                <w:szCs w:val="26"/>
                <w:lang w:eastAsia="lv-LV"/>
              </w:rPr>
            </w:pPr>
            <w:r w:rsidRPr="00BD569C">
              <w:rPr>
                <w:rFonts w:ascii="Times New Roman" w:eastAsia="Times New Roman" w:hAnsi="Times New Roman" w:cs="Times New Roman"/>
                <w:sz w:val="26"/>
                <w:szCs w:val="26"/>
                <w:lang w:eastAsia="lv-LV"/>
              </w:rPr>
              <w:t>1.</w:t>
            </w:r>
          </w:p>
        </w:tc>
        <w:tc>
          <w:tcPr>
            <w:tcW w:w="2502" w:type="pct"/>
            <w:tcBorders>
              <w:top w:val="outset" w:sz="6" w:space="0" w:color="414142"/>
              <w:left w:val="outset" w:sz="6" w:space="0" w:color="414142"/>
              <w:bottom w:val="outset" w:sz="6" w:space="0" w:color="414142"/>
              <w:right w:val="outset" w:sz="6" w:space="0" w:color="414142"/>
            </w:tcBorders>
            <w:hideMark/>
          </w:tcPr>
          <w:p w14:paraId="165F5475" w14:textId="77777777" w:rsidR="00894C55" w:rsidRPr="00410D40" w:rsidRDefault="00894C55"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Projekta izpildē iesaistītās institūcijas</w:t>
            </w:r>
          </w:p>
        </w:tc>
        <w:tc>
          <w:tcPr>
            <w:tcW w:w="2293" w:type="pct"/>
            <w:tcBorders>
              <w:top w:val="outset" w:sz="6" w:space="0" w:color="414142"/>
              <w:left w:val="outset" w:sz="6" w:space="0" w:color="414142"/>
              <w:bottom w:val="outset" w:sz="6" w:space="0" w:color="414142"/>
              <w:right w:val="outset" w:sz="6" w:space="0" w:color="414142"/>
            </w:tcBorders>
            <w:hideMark/>
          </w:tcPr>
          <w:p w14:paraId="6237D75B" w14:textId="4109E8E9" w:rsidR="00894C55" w:rsidRPr="00410D40" w:rsidRDefault="00D079FF" w:rsidP="00410D40">
            <w:pPr>
              <w:spacing w:after="0" w:line="240" w:lineRule="auto"/>
              <w:ind w:left="57" w:right="57"/>
              <w:jc w:val="both"/>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Tiesībsarga birojs</w:t>
            </w:r>
            <w:r w:rsidR="00FA557C" w:rsidRPr="00410D40">
              <w:rPr>
                <w:rFonts w:ascii="Times New Roman" w:eastAsia="Times New Roman" w:hAnsi="Times New Roman" w:cs="Times New Roman"/>
                <w:sz w:val="28"/>
                <w:szCs w:val="28"/>
                <w:lang w:eastAsia="lv-LV"/>
              </w:rPr>
              <w:t>, Finanšu ministrija</w:t>
            </w:r>
          </w:p>
        </w:tc>
      </w:tr>
      <w:tr w:rsidR="00ED0C62" w:rsidRPr="00BD569C" w14:paraId="51F1E7F2" w14:textId="77777777" w:rsidTr="0018732F">
        <w:trPr>
          <w:trHeight w:val="360"/>
          <w:jc w:val="center"/>
        </w:trPr>
        <w:tc>
          <w:tcPr>
            <w:tcW w:w="205" w:type="pct"/>
            <w:tcBorders>
              <w:top w:val="outset" w:sz="6" w:space="0" w:color="414142"/>
              <w:left w:val="outset" w:sz="6" w:space="0" w:color="414142"/>
              <w:bottom w:val="outset" w:sz="6" w:space="0" w:color="414142"/>
              <w:right w:val="outset" w:sz="6" w:space="0" w:color="414142"/>
            </w:tcBorders>
            <w:hideMark/>
          </w:tcPr>
          <w:p w14:paraId="256CA5D6" w14:textId="77777777" w:rsidR="00894C55" w:rsidRPr="00BD569C" w:rsidRDefault="00894C55" w:rsidP="00856BF9">
            <w:pPr>
              <w:spacing w:after="0" w:line="240" w:lineRule="auto"/>
              <w:rPr>
                <w:rFonts w:ascii="Times New Roman" w:eastAsia="Times New Roman" w:hAnsi="Times New Roman" w:cs="Times New Roman"/>
                <w:sz w:val="26"/>
                <w:szCs w:val="26"/>
                <w:lang w:eastAsia="lv-LV"/>
              </w:rPr>
            </w:pPr>
            <w:r w:rsidRPr="00BD569C">
              <w:rPr>
                <w:rFonts w:ascii="Times New Roman" w:eastAsia="Times New Roman" w:hAnsi="Times New Roman" w:cs="Times New Roman"/>
                <w:sz w:val="26"/>
                <w:szCs w:val="26"/>
                <w:lang w:eastAsia="lv-LV"/>
              </w:rPr>
              <w:t>2.</w:t>
            </w:r>
          </w:p>
        </w:tc>
        <w:tc>
          <w:tcPr>
            <w:tcW w:w="2502" w:type="pct"/>
            <w:tcBorders>
              <w:top w:val="outset" w:sz="6" w:space="0" w:color="414142"/>
              <w:left w:val="outset" w:sz="6" w:space="0" w:color="414142"/>
              <w:bottom w:val="outset" w:sz="6" w:space="0" w:color="414142"/>
              <w:right w:val="outset" w:sz="6" w:space="0" w:color="414142"/>
            </w:tcBorders>
            <w:hideMark/>
          </w:tcPr>
          <w:p w14:paraId="5422D2C4" w14:textId="77777777" w:rsidR="00B50CEB" w:rsidRPr="00410D40" w:rsidRDefault="00894C55"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Projekta izpildes ietekme uz pārvaldes funkcijām un institucionālo struktūru.</w:t>
            </w:r>
            <w:r w:rsidR="00B50CEB" w:rsidRPr="00410D40">
              <w:rPr>
                <w:rFonts w:ascii="Times New Roman" w:eastAsia="Times New Roman" w:hAnsi="Times New Roman" w:cs="Times New Roman"/>
                <w:sz w:val="28"/>
                <w:szCs w:val="28"/>
                <w:lang w:eastAsia="lv-LV"/>
              </w:rPr>
              <w:t xml:space="preserve"> </w:t>
            </w:r>
          </w:p>
          <w:p w14:paraId="56FC82BE" w14:textId="77777777" w:rsidR="00894C55" w:rsidRPr="00410D40" w:rsidRDefault="00894C55"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293" w:type="pct"/>
            <w:tcBorders>
              <w:top w:val="outset" w:sz="6" w:space="0" w:color="414142"/>
              <w:left w:val="outset" w:sz="6" w:space="0" w:color="414142"/>
              <w:bottom w:val="outset" w:sz="6" w:space="0" w:color="414142"/>
              <w:right w:val="outset" w:sz="6" w:space="0" w:color="414142"/>
            </w:tcBorders>
            <w:hideMark/>
          </w:tcPr>
          <w:p w14:paraId="30308F30" w14:textId="0A42D59F" w:rsidR="00894C55" w:rsidRPr="00410D40" w:rsidRDefault="00015F8A"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hAnsi="Times New Roman" w:cs="Times New Roman"/>
                <w:sz w:val="28"/>
                <w:szCs w:val="28"/>
                <w:lang w:eastAsia="lv-LV"/>
              </w:rPr>
              <w:t>Projekts šo jomu neskar</w:t>
            </w:r>
          </w:p>
        </w:tc>
      </w:tr>
      <w:tr w:rsidR="00BD569C" w:rsidRPr="00BD569C" w14:paraId="4158C3B4" w14:textId="77777777" w:rsidTr="0018732F">
        <w:trPr>
          <w:trHeight w:val="312"/>
          <w:jc w:val="center"/>
        </w:trPr>
        <w:tc>
          <w:tcPr>
            <w:tcW w:w="205" w:type="pct"/>
            <w:tcBorders>
              <w:top w:val="outset" w:sz="6" w:space="0" w:color="414142"/>
              <w:left w:val="outset" w:sz="6" w:space="0" w:color="414142"/>
              <w:bottom w:val="outset" w:sz="6" w:space="0" w:color="414142"/>
              <w:right w:val="outset" w:sz="6" w:space="0" w:color="414142"/>
            </w:tcBorders>
            <w:hideMark/>
          </w:tcPr>
          <w:p w14:paraId="485C2201" w14:textId="77777777" w:rsidR="00894C55" w:rsidRPr="00BD569C" w:rsidRDefault="00894C55" w:rsidP="00856BF9">
            <w:pPr>
              <w:spacing w:after="0" w:line="240" w:lineRule="auto"/>
              <w:rPr>
                <w:rFonts w:ascii="Times New Roman" w:eastAsia="Times New Roman" w:hAnsi="Times New Roman" w:cs="Times New Roman"/>
                <w:sz w:val="26"/>
                <w:szCs w:val="26"/>
                <w:lang w:eastAsia="lv-LV"/>
              </w:rPr>
            </w:pPr>
            <w:r w:rsidRPr="00BD569C">
              <w:rPr>
                <w:rFonts w:ascii="Times New Roman" w:eastAsia="Times New Roman" w:hAnsi="Times New Roman" w:cs="Times New Roman"/>
                <w:sz w:val="26"/>
                <w:szCs w:val="26"/>
                <w:lang w:eastAsia="lv-LV"/>
              </w:rPr>
              <w:t>3.</w:t>
            </w:r>
          </w:p>
        </w:tc>
        <w:tc>
          <w:tcPr>
            <w:tcW w:w="2502" w:type="pct"/>
            <w:tcBorders>
              <w:top w:val="outset" w:sz="6" w:space="0" w:color="414142"/>
              <w:left w:val="outset" w:sz="6" w:space="0" w:color="414142"/>
              <w:bottom w:val="outset" w:sz="6" w:space="0" w:color="414142"/>
              <w:right w:val="outset" w:sz="6" w:space="0" w:color="414142"/>
            </w:tcBorders>
            <w:hideMark/>
          </w:tcPr>
          <w:p w14:paraId="11915A35" w14:textId="77777777" w:rsidR="00894C55" w:rsidRPr="00410D40" w:rsidRDefault="00894C55"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Cita informācija</w:t>
            </w:r>
          </w:p>
        </w:tc>
        <w:tc>
          <w:tcPr>
            <w:tcW w:w="2293" w:type="pct"/>
            <w:tcBorders>
              <w:top w:val="outset" w:sz="6" w:space="0" w:color="414142"/>
              <w:left w:val="outset" w:sz="6" w:space="0" w:color="414142"/>
              <w:bottom w:val="outset" w:sz="6" w:space="0" w:color="414142"/>
              <w:right w:val="outset" w:sz="6" w:space="0" w:color="414142"/>
            </w:tcBorders>
            <w:hideMark/>
          </w:tcPr>
          <w:p w14:paraId="103E4E91" w14:textId="34391CAB" w:rsidR="00894C55" w:rsidRPr="00410D40" w:rsidRDefault="00015F8A" w:rsidP="00410D40">
            <w:pPr>
              <w:spacing w:after="0" w:line="240" w:lineRule="auto"/>
              <w:ind w:left="57" w:right="57"/>
              <w:rPr>
                <w:rFonts w:ascii="Times New Roman" w:eastAsia="Times New Roman" w:hAnsi="Times New Roman" w:cs="Times New Roman"/>
                <w:sz w:val="28"/>
                <w:szCs w:val="28"/>
                <w:lang w:eastAsia="lv-LV"/>
              </w:rPr>
            </w:pPr>
            <w:r w:rsidRPr="00410D40">
              <w:rPr>
                <w:rFonts w:ascii="Times New Roman" w:eastAsia="Times New Roman" w:hAnsi="Times New Roman" w:cs="Times New Roman"/>
                <w:sz w:val="28"/>
                <w:szCs w:val="28"/>
                <w:lang w:eastAsia="lv-LV"/>
              </w:rPr>
              <w:t>Nav</w:t>
            </w:r>
          </w:p>
        </w:tc>
      </w:tr>
    </w:tbl>
    <w:p w14:paraId="459CBEF9" w14:textId="77777777" w:rsidR="00256202" w:rsidRPr="00BD569C" w:rsidRDefault="00256202" w:rsidP="00856BF9">
      <w:pPr>
        <w:pStyle w:val="Body"/>
        <w:spacing w:after="0" w:line="240" w:lineRule="auto"/>
        <w:ind w:firstLine="709"/>
        <w:jc w:val="both"/>
        <w:rPr>
          <w:rFonts w:ascii="Times New Roman" w:hAnsi="Times New Roman" w:cs="Times New Roman"/>
          <w:color w:val="auto"/>
          <w:sz w:val="28"/>
          <w:lang w:val="de-DE"/>
        </w:rPr>
      </w:pPr>
    </w:p>
    <w:p w14:paraId="29572CB4" w14:textId="77777777" w:rsidR="00256202" w:rsidRPr="00BD569C" w:rsidRDefault="00256202" w:rsidP="00856BF9">
      <w:pPr>
        <w:pStyle w:val="Body"/>
        <w:spacing w:after="0" w:line="240" w:lineRule="auto"/>
        <w:ind w:firstLine="709"/>
        <w:jc w:val="both"/>
        <w:rPr>
          <w:rFonts w:ascii="Times New Roman" w:hAnsi="Times New Roman" w:cs="Times New Roman"/>
          <w:color w:val="auto"/>
          <w:sz w:val="28"/>
          <w:lang w:val="de-DE"/>
        </w:rPr>
      </w:pPr>
    </w:p>
    <w:p w14:paraId="105AAB7E" w14:textId="77777777" w:rsidR="00256202" w:rsidRPr="00BD569C" w:rsidRDefault="00256202" w:rsidP="00856BF9">
      <w:pPr>
        <w:pStyle w:val="Body"/>
        <w:spacing w:after="0" w:line="240" w:lineRule="auto"/>
        <w:ind w:firstLine="709"/>
        <w:jc w:val="both"/>
        <w:rPr>
          <w:rFonts w:ascii="Times New Roman" w:hAnsi="Times New Roman" w:cs="Times New Roman"/>
          <w:color w:val="auto"/>
          <w:sz w:val="28"/>
          <w:lang w:val="de-DE"/>
        </w:rPr>
      </w:pPr>
    </w:p>
    <w:p w14:paraId="71A7567C" w14:textId="4F4805C4" w:rsidR="00256202" w:rsidRDefault="00256202" w:rsidP="00410D40">
      <w:pPr>
        <w:tabs>
          <w:tab w:val="left" w:pos="6521"/>
        </w:tabs>
        <w:spacing w:after="0" w:line="240" w:lineRule="auto"/>
        <w:ind w:firstLine="709"/>
        <w:jc w:val="both"/>
        <w:rPr>
          <w:rFonts w:ascii="Times New Roman" w:hAnsi="Times New Roman" w:cs="Times New Roman"/>
          <w:sz w:val="28"/>
          <w:szCs w:val="28"/>
        </w:rPr>
      </w:pPr>
      <w:r w:rsidRPr="00BD569C">
        <w:rPr>
          <w:rFonts w:ascii="Times New Roman" w:hAnsi="Times New Roman" w:cs="Times New Roman"/>
          <w:sz w:val="28"/>
          <w:szCs w:val="28"/>
        </w:rPr>
        <w:t>Ministru prezidents</w:t>
      </w:r>
      <w:r w:rsidRPr="00BD569C">
        <w:rPr>
          <w:rFonts w:ascii="Times New Roman" w:hAnsi="Times New Roman" w:cs="Times New Roman"/>
          <w:sz w:val="28"/>
          <w:szCs w:val="28"/>
        </w:rPr>
        <w:tab/>
        <w:t>A. K. Kariņš</w:t>
      </w:r>
    </w:p>
    <w:p w14:paraId="19121848" w14:textId="663A4118" w:rsidR="00FB1AC8" w:rsidRDefault="00FB1AC8" w:rsidP="00410D40">
      <w:pPr>
        <w:tabs>
          <w:tab w:val="left" w:pos="6521"/>
        </w:tabs>
        <w:spacing w:after="0" w:line="240" w:lineRule="auto"/>
        <w:ind w:firstLine="709"/>
        <w:jc w:val="both"/>
        <w:rPr>
          <w:rFonts w:ascii="Times New Roman" w:hAnsi="Times New Roman" w:cs="Times New Roman"/>
          <w:sz w:val="28"/>
          <w:szCs w:val="28"/>
        </w:rPr>
      </w:pPr>
    </w:p>
    <w:p w14:paraId="63E025BC" w14:textId="29148C58" w:rsidR="00FB1AC8" w:rsidRDefault="00FB1AC8" w:rsidP="00410D40">
      <w:pPr>
        <w:tabs>
          <w:tab w:val="left" w:pos="6521"/>
        </w:tabs>
        <w:spacing w:after="0" w:line="240" w:lineRule="auto"/>
        <w:ind w:firstLine="709"/>
        <w:jc w:val="both"/>
        <w:rPr>
          <w:rFonts w:ascii="Times New Roman" w:hAnsi="Times New Roman" w:cs="Times New Roman"/>
          <w:sz w:val="28"/>
          <w:szCs w:val="28"/>
        </w:rPr>
      </w:pPr>
    </w:p>
    <w:p w14:paraId="2CCEFD6A" w14:textId="77777777" w:rsidR="00FB1AC8" w:rsidRPr="004B2DC4" w:rsidRDefault="00FB1AC8" w:rsidP="00FB1AC8">
      <w:pPr>
        <w:tabs>
          <w:tab w:val="left" w:pos="6096"/>
        </w:tabs>
        <w:spacing w:after="0" w:line="240" w:lineRule="auto"/>
        <w:jc w:val="both"/>
        <w:rPr>
          <w:rFonts w:ascii="Times New Roman" w:eastAsia="Calibri" w:hAnsi="Times New Roman" w:cs="Times New Roman"/>
          <w:spacing w:val="-2"/>
          <w:sz w:val="28"/>
          <w:szCs w:val="28"/>
          <w:lang w:eastAsia="lv-LV"/>
        </w:rPr>
      </w:pPr>
    </w:p>
    <w:p w14:paraId="1BDC90AB" w14:textId="77777777" w:rsidR="00FB1AC8" w:rsidRPr="004B2DC4" w:rsidRDefault="00FB1AC8" w:rsidP="00FB1AC8">
      <w:pPr>
        <w:tabs>
          <w:tab w:val="left" w:pos="6096"/>
        </w:tabs>
        <w:spacing w:after="0" w:line="240" w:lineRule="auto"/>
        <w:ind w:firstLine="709"/>
        <w:jc w:val="both"/>
        <w:rPr>
          <w:rFonts w:ascii="Times New Roman" w:eastAsia="Calibri" w:hAnsi="Times New Roman" w:cs="Times New Roman"/>
          <w:spacing w:val="-2"/>
          <w:sz w:val="28"/>
          <w:szCs w:val="28"/>
          <w:lang w:eastAsia="lv-LV"/>
        </w:rPr>
      </w:pPr>
      <w:r w:rsidRPr="004B2DC4">
        <w:rPr>
          <w:rFonts w:ascii="Times New Roman" w:eastAsia="Calibri" w:hAnsi="Times New Roman" w:cs="Times New Roman"/>
          <w:spacing w:val="-2"/>
          <w:sz w:val="28"/>
          <w:szCs w:val="28"/>
          <w:lang w:eastAsia="lv-LV"/>
        </w:rPr>
        <w:t>Vizē:</w:t>
      </w:r>
    </w:p>
    <w:p w14:paraId="77A6BCB2" w14:textId="77777777" w:rsidR="00FB1AC8" w:rsidRPr="004B2DC4" w:rsidRDefault="00FB1AC8" w:rsidP="00FB1AC8">
      <w:pPr>
        <w:tabs>
          <w:tab w:val="left" w:pos="6521"/>
        </w:tabs>
        <w:spacing w:after="0" w:line="240" w:lineRule="auto"/>
        <w:ind w:firstLine="709"/>
        <w:jc w:val="both"/>
        <w:rPr>
          <w:rFonts w:ascii="Times New Roman" w:eastAsia="Arial Unicode MS" w:hAnsi="Times New Roman" w:cs="Times New Roman"/>
          <w:spacing w:val="-2"/>
          <w:sz w:val="28"/>
          <w:szCs w:val="28"/>
          <w:u w:color="000000"/>
          <w:lang w:eastAsia="lv-LV"/>
        </w:rPr>
      </w:pPr>
      <w:r w:rsidRPr="004B2DC4">
        <w:rPr>
          <w:rFonts w:ascii="Times New Roman" w:eastAsia="Arial Unicode MS" w:hAnsi="Times New Roman" w:cs="Times New Roman"/>
          <w:spacing w:val="-2"/>
          <w:sz w:val="28"/>
          <w:szCs w:val="28"/>
          <w:u w:color="000000"/>
          <w:lang w:eastAsia="lv-LV"/>
        </w:rPr>
        <w:t xml:space="preserve">Valsts kancelejas direktors </w:t>
      </w:r>
      <w:r w:rsidRPr="0031705C">
        <w:rPr>
          <w:rFonts w:ascii="Times New Roman" w:eastAsia="Arial Unicode MS" w:hAnsi="Times New Roman" w:cs="Times New Roman"/>
          <w:spacing w:val="-2"/>
          <w:sz w:val="24"/>
          <w:szCs w:val="24"/>
          <w:u w:color="000000"/>
          <w:lang w:eastAsia="lv-LV"/>
        </w:rPr>
        <w:t>_______________________</w:t>
      </w:r>
      <w:r w:rsidRPr="004B2DC4">
        <w:rPr>
          <w:rFonts w:ascii="Times New Roman" w:eastAsia="Arial Unicode MS" w:hAnsi="Times New Roman" w:cs="Times New Roman"/>
          <w:spacing w:val="-2"/>
          <w:sz w:val="28"/>
          <w:szCs w:val="28"/>
          <w:u w:color="000000"/>
          <w:lang w:eastAsia="lv-LV"/>
        </w:rPr>
        <w:t xml:space="preserve"> J. Citskovskis</w:t>
      </w:r>
    </w:p>
    <w:p w14:paraId="52A1EAEE" w14:textId="67DC461D" w:rsidR="00FB1AC8" w:rsidRDefault="00FB1AC8" w:rsidP="00FB1AC8">
      <w:pPr>
        <w:spacing w:after="0" w:line="240" w:lineRule="auto"/>
        <w:rPr>
          <w:rFonts w:ascii="Times New Roman" w:hAnsi="Times New Roman" w:cs="Times New Roman"/>
          <w:spacing w:val="-2"/>
          <w:sz w:val="28"/>
          <w:szCs w:val="28"/>
        </w:rPr>
      </w:pPr>
    </w:p>
    <w:p w14:paraId="087AA89F" w14:textId="64A38652" w:rsidR="00FB1AC8" w:rsidRDefault="00FB1AC8" w:rsidP="00FB1AC8">
      <w:pPr>
        <w:spacing w:after="0" w:line="240" w:lineRule="auto"/>
        <w:rPr>
          <w:rFonts w:ascii="Times New Roman" w:hAnsi="Times New Roman" w:cs="Times New Roman"/>
          <w:spacing w:val="-2"/>
          <w:sz w:val="28"/>
          <w:szCs w:val="28"/>
        </w:rPr>
      </w:pPr>
    </w:p>
    <w:p w14:paraId="7064D838" w14:textId="77777777" w:rsidR="00FB1AC8" w:rsidRDefault="00FB1AC8" w:rsidP="00FB1AC8">
      <w:pPr>
        <w:spacing w:after="0" w:line="240" w:lineRule="auto"/>
        <w:rPr>
          <w:rFonts w:ascii="Times New Roman" w:hAnsi="Times New Roman" w:cs="Times New Roman"/>
          <w:spacing w:val="-2"/>
          <w:sz w:val="28"/>
          <w:szCs w:val="28"/>
        </w:rPr>
      </w:pPr>
    </w:p>
    <w:p w14:paraId="0BB73614" w14:textId="0A1292AB" w:rsidR="00FB1AC8" w:rsidRPr="00FB1AC8" w:rsidRDefault="00FB1AC8" w:rsidP="00FB1AC8">
      <w:pPr>
        <w:spacing w:after="0" w:line="240" w:lineRule="auto"/>
        <w:rPr>
          <w:rFonts w:ascii="Times New Roman" w:hAnsi="Times New Roman" w:cs="Times New Roman"/>
          <w:spacing w:val="-2"/>
          <w:sz w:val="20"/>
          <w:szCs w:val="20"/>
        </w:rPr>
      </w:pPr>
      <w:r w:rsidRPr="00FB1AC8">
        <w:rPr>
          <w:rFonts w:ascii="Times New Roman" w:hAnsi="Times New Roman" w:cs="Times New Roman"/>
          <w:spacing w:val="-2"/>
          <w:sz w:val="20"/>
          <w:szCs w:val="20"/>
        </w:rPr>
        <w:t>12</w:t>
      </w:r>
      <w:r w:rsidR="00AC734E">
        <w:rPr>
          <w:rFonts w:ascii="Times New Roman" w:hAnsi="Times New Roman" w:cs="Times New Roman"/>
          <w:spacing w:val="-2"/>
          <w:sz w:val="20"/>
          <w:szCs w:val="20"/>
        </w:rPr>
        <w:t>0</w:t>
      </w:r>
      <w:r w:rsidR="001D3F8C">
        <w:rPr>
          <w:rFonts w:ascii="Times New Roman" w:hAnsi="Times New Roman" w:cs="Times New Roman"/>
          <w:spacing w:val="-2"/>
          <w:sz w:val="20"/>
          <w:szCs w:val="20"/>
        </w:rPr>
        <w:t>2</w:t>
      </w:r>
    </w:p>
    <w:sectPr w:rsidR="00FB1AC8" w:rsidRPr="00FB1AC8" w:rsidSect="00256202">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A92E" w14:textId="77777777" w:rsidR="00202FCA" w:rsidRDefault="00202FCA" w:rsidP="00894C55">
      <w:pPr>
        <w:spacing w:after="0" w:line="240" w:lineRule="auto"/>
      </w:pPr>
      <w:r>
        <w:separator/>
      </w:r>
    </w:p>
  </w:endnote>
  <w:endnote w:type="continuationSeparator" w:id="0">
    <w:p w14:paraId="451C580C" w14:textId="77777777" w:rsidR="00202FCA" w:rsidRDefault="00202F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6195" w14:textId="577C36F9" w:rsidR="000D721E" w:rsidRPr="00256202" w:rsidRDefault="00FB1AC8" w:rsidP="00745476">
    <w:pPr>
      <w:pStyle w:val="Footer"/>
      <w:rPr>
        <w:rFonts w:ascii="Times New Roman" w:hAnsi="Times New Roman" w:cs="Times New Roman"/>
        <w:sz w:val="20"/>
        <w:szCs w:val="20"/>
      </w:rPr>
    </w:pPr>
    <w:r w:rsidRPr="00FB1AC8">
      <w:rPr>
        <w:rFonts w:ascii="Times New Roman" w:hAnsi="Times New Roman" w:cs="Times New Roman"/>
        <w:sz w:val="20"/>
        <w:szCs w:val="20"/>
      </w:rPr>
      <w:t>VKanot_17112020_Tiesibsargs_a20201120142938</w:t>
    </w:r>
    <w:r w:rsidR="00256202">
      <w:rPr>
        <w:rFonts w:ascii="Times New Roman" w:hAnsi="Times New Roman" w:cs="Times New Roman"/>
        <w:sz w:val="20"/>
        <w:szCs w:val="20"/>
      </w:rPr>
      <w:t xml:space="preserve"> </w:t>
    </w:r>
    <w:r>
      <w:rPr>
        <w:rFonts w:ascii="Times New Roman" w:hAnsi="Times New Roman" w:cs="Times New Roman"/>
        <w:sz w:val="20"/>
        <w:szCs w:val="20"/>
      </w:rPr>
      <w:t>(20003)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FBC" w14:textId="11A91987" w:rsidR="007C1B84" w:rsidRPr="00256202" w:rsidRDefault="00FB1AC8" w:rsidP="00745476">
    <w:pPr>
      <w:pStyle w:val="Footer"/>
      <w:rPr>
        <w:rFonts w:ascii="Times New Roman" w:hAnsi="Times New Roman" w:cs="Times New Roman"/>
        <w:sz w:val="20"/>
        <w:szCs w:val="20"/>
      </w:rPr>
    </w:pPr>
    <w:r w:rsidRPr="00FB1AC8">
      <w:rPr>
        <w:rFonts w:ascii="Times New Roman" w:hAnsi="Times New Roman" w:cs="Times New Roman"/>
        <w:sz w:val="20"/>
        <w:szCs w:val="20"/>
      </w:rPr>
      <w:t xml:space="preserve">VKanot_17112020_Tiesibsargs_a20201120142938 </w:t>
    </w:r>
    <w:r>
      <w:rPr>
        <w:rFonts w:ascii="Times New Roman" w:hAnsi="Times New Roman" w:cs="Times New Roman"/>
        <w:sz w:val="20"/>
        <w:szCs w:val="20"/>
      </w:rPr>
      <w:t>(20003)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46CD" w14:textId="77777777" w:rsidR="00202FCA" w:rsidRDefault="00202FCA" w:rsidP="00894C55">
      <w:pPr>
        <w:spacing w:after="0" w:line="240" w:lineRule="auto"/>
      </w:pPr>
      <w:r>
        <w:separator/>
      </w:r>
    </w:p>
  </w:footnote>
  <w:footnote w:type="continuationSeparator" w:id="0">
    <w:p w14:paraId="4D523131" w14:textId="77777777" w:rsidR="00202FCA" w:rsidRDefault="00202FC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2922B3" w14:textId="16680099" w:rsidR="000D721E" w:rsidRPr="00C25B49" w:rsidRDefault="000D72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1B8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EC5"/>
    <w:multiLevelType w:val="multilevel"/>
    <w:tmpl w:val="C8D070EA"/>
    <w:lvl w:ilvl="0">
      <w:start w:val="1"/>
      <w:numFmt w:val="decimal"/>
      <w:lvlText w:val="%1."/>
      <w:lvlJc w:val="left"/>
      <w:pPr>
        <w:ind w:left="906"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786"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586" w:hanging="2160"/>
      </w:pPr>
      <w:rPr>
        <w:rFonts w:hint="default"/>
      </w:rPr>
    </w:lvl>
  </w:abstractNum>
  <w:abstractNum w:abstractNumId="1" w15:restartNumberingAfterBreak="0">
    <w:nsid w:val="24674166"/>
    <w:multiLevelType w:val="hybridMultilevel"/>
    <w:tmpl w:val="5A4A3AEC"/>
    <w:lvl w:ilvl="0" w:tplc="04260001">
      <w:start w:val="1"/>
      <w:numFmt w:val="bullet"/>
      <w:lvlText w:val=""/>
      <w:lvlJc w:val="left"/>
      <w:pPr>
        <w:ind w:left="1266" w:hanging="360"/>
      </w:pPr>
      <w:rPr>
        <w:rFonts w:ascii="Symbol" w:hAnsi="Symbol" w:hint="default"/>
      </w:rPr>
    </w:lvl>
    <w:lvl w:ilvl="1" w:tplc="04260003" w:tentative="1">
      <w:start w:val="1"/>
      <w:numFmt w:val="bullet"/>
      <w:lvlText w:val="o"/>
      <w:lvlJc w:val="left"/>
      <w:pPr>
        <w:ind w:left="1986" w:hanging="360"/>
      </w:pPr>
      <w:rPr>
        <w:rFonts w:ascii="Courier New" w:hAnsi="Courier New" w:cs="Courier New" w:hint="default"/>
      </w:rPr>
    </w:lvl>
    <w:lvl w:ilvl="2" w:tplc="04260005" w:tentative="1">
      <w:start w:val="1"/>
      <w:numFmt w:val="bullet"/>
      <w:lvlText w:val=""/>
      <w:lvlJc w:val="left"/>
      <w:pPr>
        <w:ind w:left="2706" w:hanging="360"/>
      </w:pPr>
      <w:rPr>
        <w:rFonts w:ascii="Wingdings" w:hAnsi="Wingdings" w:hint="default"/>
      </w:rPr>
    </w:lvl>
    <w:lvl w:ilvl="3" w:tplc="04260001" w:tentative="1">
      <w:start w:val="1"/>
      <w:numFmt w:val="bullet"/>
      <w:lvlText w:val=""/>
      <w:lvlJc w:val="left"/>
      <w:pPr>
        <w:ind w:left="3426" w:hanging="360"/>
      </w:pPr>
      <w:rPr>
        <w:rFonts w:ascii="Symbol" w:hAnsi="Symbol" w:hint="default"/>
      </w:rPr>
    </w:lvl>
    <w:lvl w:ilvl="4" w:tplc="04260003" w:tentative="1">
      <w:start w:val="1"/>
      <w:numFmt w:val="bullet"/>
      <w:lvlText w:val="o"/>
      <w:lvlJc w:val="left"/>
      <w:pPr>
        <w:ind w:left="4146" w:hanging="360"/>
      </w:pPr>
      <w:rPr>
        <w:rFonts w:ascii="Courier New" w:hAnsi="Courier New" w:cs="Courier New" w:hint="default"/>
      </w:rPr>
    </w:lvl>
    <w:lvl w:ilvl="5" w:tplc="04260005" w:tentative="1">
      <w:start w:val="1"/>
      <w:numFmt w:val="bullet"/>
      <w:lvlText w:val=""/>
      <w:lvlJc w:val="left"/>
      <w:pPr>
        <w:ind w:left="4866" w:hanging="360"/>
      </w:pPr>
      <w:rPr>
        <w:rFonts w:ascii="Wingdings" w:hAnsi="Wingdings" w:hint="default"/>
      </w:rPr>
    </w:lvl>
    <w:lvl w:ilvl="6" w:tplc="04260001" w:tentative="1">
      <w:start w:val="1"/>
      <w:numFmt w:val="bullet"/>
      <w:lvlText w:val=""/>
      <w:lvlJc w:val="left"/>
      <w:pPr>
        <w:ind w:left="5586" w:hanging="360"/>
      </w:pPr>
      <w:rPr>
        <w:rFonts w:ascii="Symbol" w:hAnsi="Symbol" w:hint="default"/>
      </w:rPr>
    </w:lvl>
    <w:lvl w:ilvl="7" w:tplc="04260003" w:tentative="1">
      <w:start w:val="1"/>
      <w:numFmt w:val="bullet"/>
      <w:lvlText w:val="o"/>
      <w:lvlJc w:val="left"/>
      <w:pPr>
        <w:ind w:left="6306" w:hanging="360"/>
      </w:pPr>
      <w:rPr>
        <w:rFonts w:ascii="Courier New" w:hAnsi="Courier New" w:cs="Courier New" w:hint="default"/>
      </w:rPr>
    </w:lvl>
    <w:lvl w:ilvl="8" w:tplc="04260005" w:tentative="1">
      <w:start w:val="1"/>
      <w:numFmt w:val="bullet"/>
      <w:lvlText w:val=""/>
      <w:lvlJc w:val="left"/>
      <w:pPr>
        <w:ind w:left="7026" w:hanging="360"/>
      </w:pPr>
      <w:rPr>
        <w:rFonts w:ascii="Wingdings" w:hAnsi="Wingdings" w:hint="default"/>
      </w:rPr>
    </w:lvl>
  </w:abstractNum>
  <w:abstractNum w:abstractNumId="2" w15:restartNumberingAfterBreak="0">
    <w:nsid w:val="28E517C4"/>
    <w:multiLevelType w:val="hybridMultilevel"/>
    <w:tmpl w:val="CAC6BF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3B1D72"/>
    <w:multiLevelType w:val="hybridMultilevel"/>
    <w:tmpl w:val="7792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8"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11"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8"/>
  </w:num>
  <w:num w:numId="5">
    <w:abstractNumId w:val="9"/>
  </w:num>
  <w:num w:numId="6">
    <w:abstractNumId w:val="7"/>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0DB4"/>
    <w:rsid w:val="000010F8"/>
    <w:rsid w:val="00002172"/>
    <w:rsid w:val="00005D09"/>
    <w:rsid w:val="00006560"/>
    <w:rsid w:val="00007707"/>
    <w:rsid w:val="000109DE"/>
    <w:rsid w:val="00012D99"/>
    <w:rsid w:val="0001304C"/>
    <w:rsid w:val="00015F8A"/>
    <w:rsid w:val="000246FE"/>
    <w:rsid w:val="00024801"/>
    <w:rsid w:val="000248B5"/>
    <w:rsid w:val="00030C08"/>
    <w:rsid w:val="000311A6"/>
    <w:rsid w:val="000326E5"/>
    <w:rsid w:val="000360C1"/>
    <w:rsid w:val="000402A4"/>
    <w:rsid w:val="000419C7"/>
    <w:rsid w:val="00042EA9"/>
    <w:rsid w:val="0004413E"/>
    <w:rsid w:val="000445BE"/>
    <w:rsid w:val="00046847"/>
    <w:rsid w:val="00046A28"/>
    <w:rsid w:val="000574AB"/>
    <w:rsid w:val="00057C6D"/>
    <w:rsid w:val="00062AB9"/>
    <w:rsid w:val="00066772"/>
    <w:rsid w:val="00070418"/>
    <w:rsid w:val="000708DF"/>
    <w:rsid w:val="00072087"/>
    <w:rsid w:val="00081CEE"/>
    <w:rsid w:val="00091369"/>
    <w:rsid w:val="00095EA4"/>
    <w:rsid w:val="000961ED"/>
    <w:rsid w:val="000975A7"/>
    <w:rsid w:val="000A0221"/>
    <w:rsid w:val="000A0DE7"/>
    <w:rsid w:val="000A6F5E"/>
    <w:rsid w:val="000B3E2E"/>
    <w:rsid w:val="000B5205"/>
    <w:rsid w:val="000B5720"/>
    <w:rsid w:val="000B6B47"/>
    <w:rsid w:val="000C0CB6"/>
    <w:rsid w:val="000C2896"/>
    <w:rsid w:val="000C3296"/>
    <w:rsid w:val="000C6FAA"/>
    <w:rsid w:val="000D17E5"/>
    <w:rsid w:val="000D1C74"/>
    <w:rsid w:val="000D6C29"/>
    <w:rsid w:val="000D6F41"/>
    <w:rsid w:val="000D721E"/>
    <w:rsid w:val="000D7919"/>
    <w:rsid w:val="000E1C4A"/>
    <w:rsid w:val="000E1E4A"/>
    <w:rsid w:val="000E429D"/>
    <w:rsid w:val="000E5FBE"/>
    <w:rsid w:val="000E60EE"/>
    <w:rsid w:val="000F7C59"/>
    <w:rsid w:val="00101E10"/>
    <w:rsid w:val="00105538"/>
    <w:rsid w:val="00106E81"/>
    <w:rsid w:val="00107C76"/>
    <w:rsid w:val="00111CAC"/>
    <w:rsid w:val="00112EC4"/>
    <w:rsid w:val="00115862"/>
    <w:rsid w:val="00116D18"/>
    <w:rsid w:val="00122A14"/>
    <w:rsid w:val="00125879"/>
    <w:rsid w:val="00125C9A"/>
    <w:rsid w:val="001262D9"/>
    <w:rsid w:val="001267D5"/>
    <w:rsid w:val="001341F7"/>
    <w:rsid w:val="0013575C"/>
    <w:rsid w:val="00140CBD"/>
    <w:rsid w:val="00143B16"/>
    <w:rsid w:val="0014423E"/>
    <w:rsid w:val="00146010"/>
    <w:rsid w:val="001479A5"/>
    <w:rsid w:val="00150D64"/>
    <w:rsid w:val="00151A2C"/>
    <w:rsid w:val="00152B6C"/>
    <w:rsid w:val="0016259A"/>
    <w:rsid w:val="00162C96"/>
    <w:rsid w:val="00164024"/>
    <w:rsid w:val="0016486A"/>
    <w:rsid w:val="00166B4B"/>
    <w:rsid w:val="00170D0A"/>
    <w:rsid w:val="00172FE8"/>
    <w:rsid w:val="0017511C"/>
    <w:rsid w:val="00176150"/>
    <w:rsid w:val="00176228"/>
    <w:rsid w:val="00180526"/>
    <w:rsid w:val="00180623"/>
    <w:rsid w:val="00180B78"/>
    <w:rsid w:val="00182C1C"/>
    <w:rsid w:val="001832CA"/>
    <w:rsid w:val="0018732F"/>
    <w:rsid w:val="001909C6"/>
    <w:rsid w:val="00193904"/>
    <w:rsid w:val="00194C78"/>
    <w:rsid w:val="0019539A"/>
    <w:rsid w:val="001955B5"/>
    <w:rsid w:val="00195EB2"/>
    <w:rsid w:val="001A0883"/>
    <w:rsid w:val="001A5E18"/>
    <w:rsid w:val="001A757C"/>
    <w:rsid w:val="001B1305"/>
    <w:rsid w:val="001B73F6"/>
    <w:rsid w:val="001C1208"/>
    <w:rsid w:val="001C2C17"/>
    <w:rsid w:val="001D02E0"/>
    <w:rsid w:val="001D2708"/>
    <w:rsid w:val="001D3F8C"/>
    <w:rsid w:val="001E2394"/>
    <w:rsid w:val="001E250D"/>
    <w:rsid w:val="001E7767"/>
    <w:rsid w:val="001F00D5"/>
    <w:rsid w:val="001F174D"/>
    <w:rsid w:val="001F391A"/>
    <w:rsid w:val="001F446A"/>
    <w:rsid w:val="001F691C"/>
    <w:rsid w:val="0020000D"/>
    <w:rsid w:val="00202F0E"/>
    <w:rsid w:val="00202FCA"/>
    <w:rsid w:val="0020301F"/>
    <w:rsid w:val="00203F69"/>
    <w:rsid w:val="00206DCA"/>
    <w:rsid w:val="002144F0"/>
    <w:rsid w:val="00222346"/>
    <w:rsid w:val="002261F5"/>
    <w:rsid w:val="00227AB2"/>
    <w:rsid w:val="00227B96"/>
    <w:rsid w:val="0023473B"/>
    <w:rsid w:val="00234775"/>
    <w:rsid w:val="00234B10"/>
    <w:rsid w:val="00235504"/>
    <w:rsid w:val="00240839"/>
    <w:rsid w:val="002418AF"/>
    <w:rsid w:val="00243012"/>
    <w:rsid w:val="00243426"/>
    <w:rsid w:val="002447DB"/>
    <w:rsid w:val="00245324"/>
    <w:rsid w:val="00246DD7"/>
    <w:rsid w:val="0025196E"/>
    <w:rsid w:val="0025407D"/>
    <w:rsid w:val="00256202"/>
    <w:rsid w:val="00260A58"/>
    <w:rsid w:val="00263059"/>
    <w:rsid w:val="00263EA2"/>
    <w:rsid w:val="0027220B"/>
    <w:rsid w:val="0027602A"/>
    <w:rsid w:val="00281159"/>
    <w:rsid w:val="00281F88"/>
    <w:rsid w:val="00282A8E"/>
    <w:rsid w:val="0028343F"/>
    <w:rsid w:val="00284E61"/>
    <w:rsid w:val="00290C5B"/>
    <w:rsid w:val="002916FD"/>
    <w:rsid w:val="00293C68"/>
    <w:rsid w:val="00295982"/>
    <w:rsid w:val="002968DE"/>
    <w:rsid w:val="002A3115"/>
    <w:rsid w:val="002A43CB"/>
    <w:rsid w:val="002A65CB"/>
    <w:rsid w:val="002B2206"/>
    <w:rsid w:val="002B4ED4"/>
    <w:rsid w:val="002B53D7"/>
    <w:rsid w:val="002B78D2"/>
    <w:rsid w:val="002C19AE"/>
    <w:rsid w:val="002C49EE"/>
    <w:rsid w:val="002D0A65"/>
    <w:rsid w:val="002D15DF"/>
    <w:rsid w:val="002D1663"/>
    <w:rsid w:val="002D1B66"/>
    <w:rsid w:val="002F163E"/>
    <w:rsid w:val="002F30B5"/>
    <w:rsid w:val="002F3624"/>
    <w:rsid w:val="002F44E0"/>
    <w:rsid w:val="002F74B6"/>
    <w:rsid w:val="00303AF7"/>
    <w:rsid w:val="003068AE"/>
    <w:rsid w:val="00313A7E"/>
    <w:rsid w:val="00315051"/>
    <w:rsid w:val="0032014D"/>
    <w:rsid w:val="00320240"/>
    <w:rsid w:val="00324CDE"/>
    <w:rsid w:val="00327254"/>
    <w:rsid w:val="003300F4"/>
    <w:rsid w:val="0033109D"/>
    <w:rsid w:val="0033214D"/>
    <w:rsid w:val="003327FD"/>
    <w:rsid w:val="00334DBC"/>
    <w:rsid w:val="00334FA2"/>
    <w:rsid w:val="0034116E"/>
    <w:rsid w:val="00341737"/>
    <w:rsid w:val="003469A1"/>
    <w:rsid w:val="0034730F"/>
    <w:rsid w:val="0035115A"/>
    <w:rsid w:val="003525A0"/>
    <w:rsid w:val="00354387"/>
    <w:rsid w:val="00361858"/>
    <w:rsid w:val="00362A61"/>
    <w:rsid w:val="00364B32"/>
    <w:rsid w:val="0036726F"/>
    <w:rsid w:val="00370552"/>
    <w:rsid w:val="00375572"/>
    <w:rsid w:val="00375691"/>
    <w:rsid w:val="00377A46"/>
    <w:rsid w:val="00381B3D"/>
    <w:rsid w:val="00382BE1"/>
    <w:rsid w:val="0038356D"/>
    <w:rsid w:val="00386F7A"/>
    <w:rsid w:val="00387231"/>
    <w:rsid w:val="00391A7C"/>
    <w:rsid w:val="003A1245"/>
    <w:rsid w:val="003A751E"/>
    <w:rsid w:val="003B0BF9"/>
    <w:rsid w:val="003B44E4"/>
    <w:rsid w:val="003C0EE5"/>
    <w:rsid w:val="003C2B69"/>
    <w:rsid w:val="003D0CFF"/>
    <w:rsid w:val="003E0791"/>
    <w:rsid w:val="003E2281"/>
    <w:rsid w:val="003E3473"/>
    <w:rsid w:val="003E38BF"/>
    <w:rsid w:val="003E6374"/>
    <w:rsid w:val="003E65B1"/>
    <w:rsid w:val="003E6C34"/>
    <w:rsid w:val="003F28AC"/>
    <w:rsid w:val="003F2A6A"/>
    <w:rsid w:val="003F321F"/>
    <w:rsid w:val="003F578C"/>
    <w:rsid w:val="00400526"/>
    <w:rsid w:val="00403828"/>
    <w:rsid w:val="00404E1A"/>
    <w:rsid w:val="004057D8"/>
    <w:rsid w:val="00406702"/>
    <w:rsid w:val="00410D40"/>
    <w:rsid w:val="004121A8"/>
    <w:rsid w:val="0041384D"/>
    <w:rsid w:val="00413F7B"/>
    <w:rsid w:val="00423AC2"/>
    <w:rsid w:val="00425FB1"/>
    <w:rsid w:val="00426E5A"/>
    <w:rsid w:val="004335ED"/>
    <w:rsid w:val="00434DB9"/>
    <w:rsid w:val="00435044"/>
    <w:rsid w:val="0044096F"/>
    <w:rsid w:val="00441970"/>
    <w:rsid w:val="004454FE"/>
    <w:rsid w:val="00446171"/>
    <w:rsid w:val="004468B3"/>
    <w:rsid w:val="00447592"/>
    <w:rsid w:val="00450F80"/>
    <w:rsid w:val="00454042"/>
    <w:rsid w:val="00454C33"/>
    <w:rsid w:val="00456F71"/>
    <w:rsid w:val="00457264"/>
    <w:rsid w:val="00461A2A"/>
    <w:rsid w:val="00461B85"/>
    <w:rsid w:val="004673C6"/>
    <w:rsid w:val="00471F27"/>
    <w:rsid w:val="00473326"/>
    <w:rsid w:val="00473E4C"/>
    <w:rsid w:val="00475B8C"/>
    <w:rsid w:val="00475BFB"/>
    <w:rsid w:val="004816E5"/>
    <w:rsid w:val="004838A3"/>
    <w:rsid w:val="004848EC"/>
    <w:rsid w:val="00484A15"/>
    <w:rsid w:val="0048776E"/>
    <w:rsid w:val="00493590"/>
    <w:rsid w:val="00493C20"/>
    <w:rsid w:val="00494F1C"/>
    <w:rsid w:val="00496C74"/>
    <w:rsid w:val="00497B49"/>
    <w:rsid w:val="004A0218"/>
    <w:rsid w:val="004A3DA6"/>
    <w:rsid w:val="004A6FC3"/>
    <w:rsid w:val="004B0B1B"/>
    <w:rsid w:val="004B1661"/>
    <w:rsid w:val="004B570F"/>
    <w:rsid w:val="004C1608"/>
    <w:rsid w:val="004C3567"/>
    <w:rsid w:val="004C6987"/>
    <w:rsid w:val="004C7005"/>
    <w:rsid w:val="004C7E72"/>
    <w:rsid w:val="004C7EF9"/>
    <w:rsid w:val="004D0B41"/>
    <w:rsid w:val="004D1121"/>
    <w:rsid w:val="004D175F"/>
    <w:rsid w:val="004D2AB4"/>
    <w:rsid w:val="004D2B79"/>
    <w:rsid w:val="004D7B6D"/>
    <w:rsid w:val="004E01C5"/>
    <w:rsid w:val="004E20E5"/>
    <w:rsid w:val="004E5EFF"/>
    <w:rsid w:val="004F2153"/>
    <w:rsid w:val="004F2B8F"/>
    <w:rsid w:val="004F2F36"/>
    <w:rsid w:val="004F359F"/>
    <w:rsid w:val="004F5529"/>
    <w:rsid w:val="004F59F8"/>
    <w:rsid w:val="004F685F"/>
    <w:rsid w:val="004F6C0E"/>
    <w:rsid w:val="0050178F"/>
    <w:rsid w:val="0050230E"/>
    <w:rsid w:val="005028E7"/>
    <w:rsid w:val="00502B19"/>
    <w:rsid w:val="00505FDF"/>
    <w:rsid w:val="00506A5E"/>
    <w:rsid w:val="00506E44"/>
    <w:rsid w:val="005134E6"/>
    <w:rsid w:val="00513D9E"/>
    <w:rsid w:val="0051491C"/>
    <w:rsid w:val="0051508F"/>
    <w:rsid w:val="00516416"/>
    <w:rsid w:val="0051660D"/>
    <w:rsid w:val="00517A36"/>
    <w:rsid w:val="00521E85"/>
    <w:rsid w:val="00522395"/>
    <w:rsid w:val="0052584B"/>
    <w:rsid w:val="005260F8"/>
    <w:rsid w:val="005330D4"/>
    <w:rsid w:val="00533EC3"/>
    <w:rsid w:val="00540032"/>
    <w:rsid w:val="005413D2"/>
    <w:rsid w:val="00545D40"/>
    <w:rsid w:val="005463C6"/>
    <w:rsid w:val="00554EB1"/>
    <w:rsid w:val="00555DFE"/>
    <w:rsid w:val="00557409"/>
    <w:rsid w:val="00557A74"/>
    <w:rsid w:val="005603AD"/>
    <w:rsid w:val="00563C8D"/>
    <w:rsid w:val="00567BBF"/>
    <w:rsid w:val="00570824"/>
    <w:rsid w:val="005724D7"/>
    <w:rsid w:val="005726CE"/>
    <w:rsid w:val="00574B50"/>
    <w:rsid w:val="00577A7A"/>
    <w:rsid w:val="00583290"/>
    <w:rsid w:val="005833C1"/>
    <w:rsid w:val="00585636"/>
    <w:rsid w:val="00586945"/>
    <w:rsid w:val="0059026D"/>
    <w:rsid w:val="00591C7C"/>
    <w:rsid w:val="00596203"/>
    <w:rsid w:val="00596AE1"/>
    <w:rsid w:val="00597808"/>
    <w:rsid w:val="005A2DC4"/>
    <w:rsid w:val="005A59C5"/>
    <w:rsid w:val="005A6AA6"/>
    <w:rsid w:val="005B00AC"/>
    <w:rsid w:val="005B2063"/>
    <w:rsid w:val="005B25B6"/>
    <w:rsid w:val="005B4F91"/>
    <w:rsid w:val="005C11C9"/>
    <w:rsid w:val="005C55A6"/>
    <w:rsid w:val="005C5A47"/>
    <w:rsid w:val="005C61D9"/>
    <w:rsid w:val="005C6834"/>
    <w:rsid w:val="005D0060"/>
    <w:rsid w:val="005D04EA"/>
    <w:rsid w:val="005D09CE"/>
    <w:rsid w:val="005D1538"/>
    <w:rsid w:val="005E5266"/>
    <w:rsid w:val="005F1304"/>
    <w:rsid w:val="005F47B0"/>
    <w:rsid w:val="005F4D79"/>
    <w:rsid w:val="00600514"/>
    <w:rsid w:val="006014F7"/>
    <w:rsid w:val="0060247E"/>
    <w:rsid w:val="006030DE"/>
    <w:rsid w:val="00604FD2"/>
    <w:rsid w:val="00607B47"/>
    <w:rsid w:val="0061223F"/>
    <w:rsid w:val="00612BF5"/>
    <w:rsid w:val="00614010"/>
    <w:rsid w:val="00614682"/>
    <w:rsid w:val="00620816"/>
    <w:rsid w:val="00620D1E"/>
    <w:rsid w:val="006257C3"/>
    <w:rsid w:val="00626DF0"/>
    <w:rsid w:val="006270EA"/>
    <w:rsid w:val="00630062"/>
    <w:rsid w:val="00630BC8"/>
    <w:rsid w:val="00631462"/>
    <w:rsid w:val="00635711"/>
    <w:rsid w:val="00635C5E"/>
    <w:rsid w:val="006360BD"/>
    <w:rsid w:val="00637839"/>
    <w:rsid w:val="00640059"/>
    <w:rsid w:val="0064111B"/>
    <w:rsid w:val="00641950"/>
    <w:rsid w:val="0064246C"/>
    <w:rsid w:val="00643EA0"/>
    <w:rsid w:val="006444EC"/>
    <w:rsid w:val="0065352C"/>
    <w:rsid w:val="00654B16"/>
    <w:rsid w:val="0065778A"/>
    <w:rsid w:val="00662334"/>
    <w:rsid w:val="00662AD2"/>
    <w:rsid w:val="006634C1"/>
    <w:rsid w:val="0066589A"/>
    <w:rsid w:val="00667347"/>
    <w:rsid w:val="006703A3"/>
    <w:rsid w:val="00670B90"/>
    <w:rsid w:val="006717F8"/>
    <w:rsid w:val="00672F50"/>
    <w:rsid w:val="00675EBE"/>
    <w:rsid w:val="00677E62"/>
    <w:rsid w:val="006830DE"/>
    <w:rsid w:val="006860F0"/>
    <w:rsid w:val="006868F9"/>
    <w:rsid w:val="00690B81"/>
    <w:rsid w:val="00692C69"/>
    <w:rsid w:val="00693702"/>
    <w:rsid w:val="00694288"/>
    <w:rsid w:val="00694454"/>
    <w:rsid w:val="00694AD0"/>
    <w:rsid w:val="00695580"/>
    <w:rsid w:val="0069693F"/>
    <w:rsid w:val="00697D29"/>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6F7F36"/>
    <w:rsid w:val="007002E8"/>
    <w:rsid w:val="00702A6B"/>
    <w:rsid w:val="00703753"/>
    <w:rsid w:val="00704D05"/>
    <w:rsid w:val="00712358"/>
    <w:rsid w:val="007123D1"/>
    <w:rsid w:val="00712402"/>
    <w:rsid w:val="00712590"/>
    <w:rsid w:val="007135D7"/>
    <w:rsid w:val="00713FFD"/>
    <w:rsid w:val="00720585"/>
    <w:rsid w:val="0072349B"/>
    <w:rsid w:val="00727F1F"/>
    <w:rsid w:val="0073243C"/>
    <w:rsid w:val="007343B9"/>
    <w:rsid w:val="007346B3"/>
    <w:rsid w:val="00736DA5"/>
    <w:rsid w:val="007416F7"/>
    <w:rsid w:val="007425F3"/>
    <w:rsid w:val="00742951"/>
    <w:rsid w:val="00743749"/>
    <w:rsid w:val="00745476"/>
    <w:rsid w:val="007467A1"/>
    <w:rsid w:val="00746BE0"/>
    <w:rsid w:val="00746E98"/>
    <w:rsid w:val="00751398"/>
    <w:rsid w:val="00752E74"/>
    <w:rsid w:val="00754FE8"/>
    <w:rsid w:val="00762252"/>
    <w:rsid w:val="0076231A"/>
    <w:rsid w:val="00762328"/>
    <w:rsid w:val="00765D80"/>
    <w:rsid w:val="00771240"/>
    <w:rsid w:val="00772521"/>
    <w:rsid w:val="00773AF6"/>
    <w:rsid w:val="00780608"/>
    <w:rsid w:val="007807C1"/>
    <w:rsid w:val="00781D71"/>
    <w:rsid w:val="00781F34"/>
    <w:rsid w:val="00785ADA"/>
    <w:rsid w:val="007866BE"/>
    <w:rsid w:val="0078778E"/>
    <w:rsid w:val="00790D10"/>
    <w:rsid w:val="00791670"/>
    <w:rsid w:val="00791CC7"/>
    <w:rsid w:val="00793841"/>
    <w:rsid w:val="007939C5"/>
    <w:rsid w:val="00795EAC"/>
    <w:rsid w:val="00795F71"/>
    <w:rsid w:val="00796178"/>
    <w:rsid w:val="00796862"/>
    <w:rsid w:val="00796C42"/>
    <w:rsid w:val="0079764D"/>
    <w:rsid w:val="007A126A"/>
    <w:rsid w:val="007A2D83"/>
    <w:rsid w:val="007A4199"/>
    <w:rsid w:val="007A54C5"/>
    <w:rsid w:val="007B09D0"/>
    <w:rsid w:val="007B12C1"/>
    <w:rsid w:val="007B3D35"/>
    <w:rsid w:val="007B4793"/>
    <w:rsid w:val="007B5595"/>
    <w:rsid w:val="007B66AF"/>
    <w:rsid w:val="007B6FF1"/>
    <w:rsid w:val="007B7AB0"/>
    <w:rsid w:val="007C1B84"/>
    <w:rsid w:val="007C2284"/>
    <w:rsid w:val="007C25DF"/>
    <w:rsid w:val="007C28A8"/>
    <w:rsid w:val="007C5A85"/>
    <w:rsid w:val="007D0E8D"/>
    <w:rsid w:val="007D2190"/>
    <w:rsid w:val="007D2AE5"/>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338A"/>
    <w:rsid w:val="0080347B"/>
    <w:rsid w:val="008044D8"/>
    <w:rsid w:val="00806210"/>
    <w:rsid w:val="0080709A"/>
    <w:rsid w:val="00811976"/>
    <w:rsid w:val="00811AD1"/>
    <w:rsid w:val="008120F2"/>
    <w:rsid w:val="00812E35"/>
    <w:rsid w:val="0081397C"/>
    <w:rsid w:val="00816C11"/>
    <w:rsid w:val="00820188"/>
    <w:rsid w:val="00825388"/>
    <w:rsid w:val="00825A55"/>
    <w:rsid w:val="0083357F"/>
    <w:rsid w:val="008354A2"/>
    <w:rsid w:val="008453D5"/>
    <w:rsid w:val="00846F02"/>
    <w:rsid w:val="00852790"/>
    <w:rsid w:val="00855AEC"/>
    <w:rsid w:val="00856BF9"/>
    <w:rsid w:val="00863113"/>
    <w:rsid w:val="00864420"/>
    <w:rsid w:val="00864CCB"/>
    <w:rsid w:val="00864F45"/>
    <w:rsid w:val="008664C7"/>
    <w:rsid w:val="00866A57"/>
    <w:rsid w:val="00867A04"/>
    <w:rsid w:val="008771B1"/>
    <w:rsid w:val="00877364"/>
    <w:rsid w:val="00877566"/>
    <w:rsid w:val="008812ED"/>
    <w:rsid w:val="008837D0"/>
    <w:rsid w:val="008846B9"/>
    <w:rsid w:val="00890CBF"/>
    <w:rsid w:val="00890F2C"/>
    <w:rsid w:val="008947BC"/>
    <w:rsid w:val="00894C55"/>
    <w:rsid w:val="008A40B9"/>
    <w:rsid w:val="008A676C"/>
    <w:rsid w:val="008A67BC"/>
    <w:rsid w:val="008A69AB"/>
    <w:rsid w:val="008A7330"/>
    <w:rsid w:val="008B097A"/>
    <w:rsid w:val="008B0CB8"/>
    <w:rsid w:val="008B2D32"/>
    <w:rsid w:val="008B502F"/>
    <w:rsid w:val="008B5C70"/>
    <w:rsid w:val="008C1386"/>
    <w:rsid w:val="008C159E"/>
    <w:rsid w:val="008C20AB"/>
    <w:rsid w:val="008C3AF3"/>
    <w:rsid w:val="008C3C10"/>
    <w:rsid w:val="008C5359"/>
    <w:rsid w:val="008C7B4C"/>
    <w:rsid w:val="008D004D"/>
    <w:rsid w:val="008D1603"/>
    <w:rsid w:val="008D6CE3"/>
    <w:rsid w:val="008D711F"/>
    <w:rsid w:val="008D7340"/>
    <w:rsid w:val="008D771F"/>
    <w:rsid w:val="008E0CA1"/>
    <w:rsid w:val="008E0D6B"/>
    <w:rsid w:val="008E36FA"/>
    <w:rsid w:val="008E37DB"/>
    <w:rsid w:val="008E5CED"/>
    <w:rsid w:val="008E5FDE"/>
    <w:rsid w:val="008E6E55"/>
    <w:rsid w:val="008F13D1"/>
    <w:rsid w:val="008F20D2"/>
    <w:rsid w:val="008F645D"/>
    <w:rsid w:val="008F7CF0"/>
    <w:rsid w:val="0090048B"/>
    <w:rsid w:val="009031AE"/>
    <w:rsid w:val="00905051"/>
    <w:rsid w:val="009107B9"/>
    <w:rsid w:val="00910D66"/>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24B"/>
    <w:rsid w:val="00943C42"/>
    <w:rsid w:val="00943DD2"/>
    <w:rsid w:val="009449AE"/>
    <w:rsid w:val="00950823"/>
    <w:rsid w:val="00950BF7"/>
    <w:rsid w:val="009515EA"/>
    <w:rsid w:val="0095190A"/>
    <w:rsid w:val="00953A23"/>
    <w:rsid w:val="00957818"/>
    <w:rsid w:val="00957B96"/>
    <w:rsid w:val="009608DC"/>
    <w:rsid w:val="00960B97"/>
    <w:rsid w:val="00961F1C"/>
    <w:rsid w:val="009643A9"/>
    <w:rsid w:val="00967772"/>
    <w:rsid w:val="00970892"/>
    <w:rsid w:val="00975091"/>
    <w:rsid w:val="009773A5"/>
    <w:rsid w:val="00977962"/>
    <w:rsid w:val="00980EB4"/>
    <w:rsid w:val="0098183A"/>
    <w:rsid w:val="00982542"/>
    <w:rsid w:val="00982E53"/>
    <w:rsid w:val="00987CB1"/>
    <w:rsid w:val="00990155"/>
    <w:rsid w:val="009955D8"/>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5991"/>
    <w:rsid w:val="009D7514"/>
    <w:rsid w:val="009E0B02"/>
    <w:rsid w:val="009E0B64"/>
    <w:rsid w:val="009F274D"/>
    <w:rsid w:val="00A00775"/>
    <w:rsid w:val="00A0174C"/>
    <w:rsid w:val="00A038B0"/>
    <w:rsid w:val="00A03D63"/>
    <w:rsid w:val="00A05A33"/>
    <w:rsid w:val="00A05AB2"/>
    <w:rsid w:val="00A05E1F"/>
    <w:rsid w:val="00A069EA"/>
    <w:rsid w:val="00A10D0F"/>
    <w:rsid w:val="00A1507F"/>
    <w:rsid w:val="00A169D2"/>
    <w:rsid w:val="00A17557"/>
    <w:rsid w:val="00A20A8E"/>
    <w:rsid w:val="00A21D92"/>
    <w:rsid w:val="00A278C3"/>
    <w:rsid w:val="00A30EFC"/>
    <w:rsid w:val="00A3312C"/>
    <w:rsid w:val="00A34DEA"/>
    <w:rsid w:val="00A369F3"/>
    <w:rsid w:val="00A40567"/>
    <w:rsid w:val="00A41D2C"/>
    <w:rsid w:val="00A42FD4"/>
    <w:rsid w:val="00A4778E"/>
    <w:rsid w:val="00A4779D"/>
    <w:rsid w:val="00A47CFD"/>
    <w:rsid w:val="00A57D53"/>
    <w:rsid w:val="00A6027D"/>
    <w:rsid w:val="00A6073E"/>
    <w:rsid w:val="00A63CC4"/>
    <w:rsid w:val="00A65114"/>
    <w:rsid w:val="00A67007"/>
    <w:rsid w:val="00A67947"/>
    <w:rsid w:val="00A75507"/>
    <w:rsid w:val="00A76455"/>
    <w:rsid w:val="00A80A87"/>
    <w:rsid w:val="00A80C9A"/>
    <w:rsid w:val="00A814C7"/>
    <w:rsid w:val="00A83287"/>
    <w:rsid w:val="00A9006E"/>
    <w:rsid w:val="00A90144"/>
    <w:rsid w:val="00A93DDF"/>
    <w:rsid w:val="00A94057"/>
    <w:rsid w:val="00A97884"/>
    <w:rsid w:val="00AA50F6"/>
    <w:rsid w:val="00AA5EB7"/>
    <w:rsid w:val="00AA665C"/>
    <w:rsid w:val="00AA6F61"/>
    <w:rsid w:val="00AB08B0"/>
    <w:rsid w:val="00AB3F90"/>
    <w:rsid w:val="00AB462B"/>
    <w:rsid w:val="00AB6BE7"/>
    <w:rsid w:val="00AC734E"/>
    <w:rsid w:val="00AD1839"/>
    <w:rsid w:val="00AD2FE4"/>
    <w:rsid w:val="00AD5FB2"/>
    <w:rsid w:val="00AD6A40"/>
    <w:rsid w:val="00AD7A56"/>
    <w:rsid w:val="00AE30DD"/>
    <w:rsid w:val="00AE4BA7"/>
    <w:rsid w:val="00AE5567"/>
    <w:rsid w:val="00AE6869"/>
    <w:rsid w:val="00AF00B4"/>
    <w:rsid w:val="00AF46DF"/>
    <w:rsid w:val="00AF5386"/>
    <w:rsid w:val="00AF5BC4"/>
    <w:rsid w:val="00AF5F9E"/>
    <w:rsid w:val="00AF6674"/>
    <w:rsid w:val="00B0125C"/>
    <w:rsid w:val="00B06D50"/>
    <w:rsid w:val="00B07C18"/>
    <w:rsid w:val="00B1140D"/>
    <w:rsid w:val="00B1279C"/>
    <w:rsid w:val="00B13A1F"/>
    <w:rsid w:val="00B15D67"/>
    <w:rsid w:val="00B2165C"/>
    <w:rsid w:val="00B23E2D"/>
    <w:rsid w:val="00B25907"/>
    <w:rsid w:val="00B2705E"/>
    <w:rsid w:val="00B33D6A"/>
    <w:rsid w:val="00B36400"/>
    <w:rsid w:val="00B40B87"/>
    <w:rsid w:val="00B4137F"/>
    <w:rsid w:val="00B415F4"/>
    <w:rsid w:val="00B43486"/>
    <w:rsid w:val="00B50CEB"/>
    <w:rsid w:val="00B51483"/>
    <w:rsid w:val="00B54648"/>
    <w:rsid w:val="00B5715E"/>
    <w:rsid w:val="00B611DD"/>
    <w:rsid w:val="00B63164"/>
    <w:rsid w:val="00B642F3"/>
    <w:rsid w:val="00B6687C"/>
    <w:rsid w:val="00B71DC9"/>
    <w:rsid w:val="00B72759"/>
    <w:rsid w:val="00B769DF"/>
    <w:rsid w:val="00B76FD7"/>
    <w:rsid w:val="00B84451"/>
    <w:rsid w:val="00B853D2"/>
    <w:rsid w:val="00B912D5"/>
    <w:rsid w:val="00B916BC"/>
    <w:rsid w:val="00B920FD"/>
    <w:rsid w:val="00B93BCC"/>
    <w:rsid w:val="00B94AEB"/>
    <w:rsid w:val="00B95C4B"/>
    <w:rsid w:val="00B96645"/>
    <w:rsid w:val="00B97B9A"/>
    <w:rsid w:val="00BA1922"/>
    <w:rsid w:val="00BA20AA"/>
    <w:rsid w:val="00BA6758"/>
    <w:rsid w:val="00BA7C3E"/>
    <w:rsid w:val="00BA7FD7"/>
    <w:rsid w:val="00BB0FBB"/>
    <w:rsid w:val="00BB259C"/>
    <w:rsid w:val="00BB42C2"/>
    <w:rsid w:val="00BB5818"/>
    <w:rsid w:val="00BB7BF8"/>
    <w:rsid w:val="00BC18FB"/>
    <w:rsid w:val="00BC5D94"/>
    <w:rsid w:val="00BC786E"/>
    <w:rsid w:val="00BD0D88"/>
    <w:rsid w:val="00BD33AA"/>
    <w:rsid w:val="00BD4348"/>
    <w:rsid w:val="00BD4425"/>
    <w:rsid w:val="00BD569C"/>
    <w:rsid w:val="00BD6AD6"/>
    <w:rsid w:val="00BD74FB"/>
    <w:rsid w:val="00BD777F"/>
    <w:rsid w:val="00BE4172"/>
    <w:rsid w:val="00BE4207"/>
    <w:rsid w:val="00BE4830"/>
    <w:rsid w:val="00BE57CF"/>
    <w:rsid w:val="00BE5BA0"/>
    <w:rsid w:val="00BE605C"/>
    <w:rsid w:val="00BF098C"/>
    <w:rsid w:val="00BF2013"/>
    <w:rsid w:val="00BF360A"/>
    <w:rsid w:val="00BF5F44"/>
    <w:rsid w:val="00BF77A5"/>
    <w:rsid w:val="00C00945"/>
    <w:rsid w:val="00C00C3B"/>
    <w:rsid w:val="00C01128"/>
    <w:rsid w:val="00C02514"/>
    <w:rsid w:val="00C0357B"/>
    <w:rsid w:val="00C036AD"/>
    <w:rsid w:val="00C063A3"/>
    <w:rsid w:val="00C13095"/>
    <w:rsid w:val="00C13E83"/>
    <w:rsid w:val="00C15D4A"/>
    <w:rsid w:val="00C167D9"/>
    <w:rsid w:val="00C204CE"/>
    <w:rsid w:val="00C25014"/>
    <w:rsid w:val="00C25B49"/>
    <w:rsid w:val="00C26B81"/>
    <w:rsid w:val="00C30B4D"/>
    <w:rsid w:val="00C3459E"/>
    <w:rsid w:val="00C35CFF"/>
    <w:rsid w:val="00C41E53"/>
    <w:rsid w:val="00C45028"/>
    <w:rsid w:val="00C472B5"/>
    <w:rsid w:val="00C50A55"/>
    <w:rsid w:val="00C52288"/>
    <w:rsid w:val="00C52EE5"/>
    <w:rsid w:val="00C5529C"/>
    <w:rsid w:val="00C60F9F"/>
    <w:rsid w:val="00C61D93"/>
    <w:rsid w:val="00C6704B"/>
    <w:rsid w:val="00C75769"/>
    <w:rsid w:val="00C76A41"/>
    <w:rsid w:val="00C8148A"/>
    <w:rsid w:val="00C837AD"/>
    <w:rsid w:val="00C8797F"/>
    <w:rsid w:val="00C90ACA"/>
    <w:rsid w:val="00C93902"/>
    <w:rsid w:val="00C94169"/>
    <w:rsid w:val="00C96122"/>
    <w:rsid w:val="00C97CE2"/>
    <w:rsid w:val="00C97D19"/>
    <w:rsid w:val="00C97DBD"/>
    <w:rsid w:val="00CA0819"/>
    <w:rsid w:val="00CA1DD5"/>
    <w:rsid w:val="00CA7BF7"/>
    <w:rsid w:val="00CA7CF2"/>
    <w:rsid w:val="00CA7DFD"/>
    <w:rsid w:val="00CB670B"/>
    <w:rsid w:val="00CB6D2B"/>
    <w:rsid w:val="00CB6F74"/>
    <w:rsid w:val="00CB7359"/>
    <w:rsid w:val="00CC4BB0"/>
    <w:rsid w:val="00CC51CB"/>
    <w:rsid w:val="00CC5638"/>
    <w:rsid w:val="00CD2894"/>
    <w:rsid w:val="00CD3001"/>
    <w:rsid w:val="00CE04A5"/>
    <w:rsid w:val="00CE410D"/>
    <w:rsid w:val="00CE4357"/>
    <w:rsid w:val="00CE5657"/>
    <w:rsid w:val="00CF3CC5"/>
    <w:rsid w:val="00CF3D6A"/>
    <w:rsid w:val="00CF52E0"/>
    <w:rsid w:val="00CF59D5"/>
    <w:rsid w:val="00CF6A43"/>
    <w:rsid w:val="00CF6EDB"/>
    <w:rsid w:val="00D00469"/>
    <w:rsid w:val="00D03FF9"/>
    <w:rsid w:val="00D04701"/>
    <w:rsid w:val="00D06061"/>
    <w:rsid w:val="00D079FF"/>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69BF"/>
    <w:rsid w:val="00D47C80"/>
    <w:rsid w:val="00D51559"/>
    <w:rsid w:val="00D55F16"/>
    <w:rsid w:val="00D6072B"/>
    <w:rsid w:val="00D60B43"/>
    <w:rsid w:val="00D637F1"/>
    <w:rsid w:val="00D63F33"/>
    <w:rsid w:val="00D650E5"/>
    <w:rsid w:val="00D66CCF"/>
    <w:rsid w:val="00D701F7"/>
    <w:rsid w:val="00D74CAD"/>
    <w:rsid w:val="00D7680B"/>
    <w:rsid w:val="00D76E73"/>
    <w:rsid w:val="00D775E0"/>
    <w:rsid w:val="00D80853"/>
    <w:rsid w:val="00D81B6A"/>
    <w:rsid w:val="00D85DAA"/>
    <w:rsid w:val="00D86C7D"/>
    <w:rsid w:val="00DB1D03"/>
    <w:rsid w:val="00DB2C28"/>
    <w:rsid w:val="00DB37CD"/>
    <w:rsid w:val="00DB40EF"/>
    <w:rsid w:val="00DB4F67"/>
    <w:rsid w:val="00DC0F89"/>
    <w:rsid w:val="00DC2FE3"/>
    <w:rsid w:val="00DC32D0"/>
    <w:rsid w:val="00DC4006"/>
    <w:rsid w:val="00DD21BA"/>
    <w:rsid w:val="00DD48B6"/>
    <w:rsid w:val="00DD5199"/>
    <w:rsid w:val="00DD5640"/>
    <w:rsid w:val="00DD5E99"/>
    <w:rsid w:val="00DD5FCF"/>
    <w:rsid w:val="00DD62C6"/>
    <w:rsid w:val="00DD635B"/>
    <w:rsid w:val="00DD66A7"/>
    <w:rsid w:val="00DD708E"/>
    <w:rsid w:val="00DD7A71"/>
    <w:rsid w:val="00DE2148"/>
    <w:rsid w:val="00DE3170"/>
    <w:rsid w:val="00DE49D3"/>
    <w:rsid w:val="00DE7E54"/>
    <w:rsid w:val="00DF49A7"/>
    <w:rsid w:val="00DF5C32"/>
    <w:rsid w:val="00DF6462"/>
    <w:rsid w:val="00DF6C27"/>
    <w:rsid w:val="00E050BF"/>
    <w:rsid w:val="00E0548E"/>
    <w:rsid w:val="00E0744E"/>
    <w:rsid w:val="00E11982"/>
    <w:rsid w:val="00E11C35"/>
    <w:rsid w:val="00E159A0"/>
    <w:rsid w:val="00E15B81"/>
    <w:rsid w:val="00E16078"/>
    <w:rsid w:val="00E26AF1"/>
    <w:rsid w:val="00E26B8C"/>
    <w:rsid w:val="00E30742"/>
    <w:rsid w:val="00E31D7B"/>
    <w:rsid w:val="00E32173"/>
    <w:rsid w:val="00E3348E"/>
    <w:rsid w:val="00E36DDE"/>
    <w:rsid w:val="00E3716B"/>
    <w:rsid w:val="00E371BB"/>
    <w:rsid w:val="00E4169A"/>
    <w:rsid w:val="00E45394"/>
    <w:rsid w:val="00E47D6A"/>
    <w:rsid w:val="00E50F36"/>
    <w:rsid w:val="00E54CC2"/>
    <w:rsid w:val="00E54D16"/>
    <w:rsid w:val="00E57035"/>
    <w:rsid w:val="00E602CC"/>
    <w:rsid w:val="00E617AE"/>
    <w:rsid w:val="00E638A8"/>
    <w:rsid w:val="00E64BB5"/>
    <w:rsid w:val="00E65B30"/>
    <w:rsid w:val="00E72867"/>
    <w:rsid w:val="00E73657"/>
    <w:rsid w:val="00E74C10"/>
    <w:rsid w:val="00E759B1"/>
    <w:rsid w:val="00E7774A"/>
    <w:rsid w:val="00E8107E"/>
    <w:rsid w:val="00E834FD"/>
    <w:rsid w:val="00E854EF"/>
    <w:rsid w:val="00E86063"/>
    <w:rsid w:val="00E90C01"/>
    <w:rsid w:val="00E9613B"/>
    <w:rsid w:val="00E97C4B"/>
    <w:rsid w:val="00EA0294"/>
    <w:rsid w:val="00EA486E"/>
    <w:rsid w:val="00EA730F"/>
    <w:rsid w:val="00EB1482"/>
    <w:rsid w:val="00EB268A"/>
    <w:rsid w:val="00EB2DCB"/>
    <w:rsid w:val="00EB4908"/>
    <w:rsid w:val="00EB530B"/>
    <w:rsid w:val="00EB66C7"/>
    <w:rsid w:val="00EB7004"/>
    <w:rsid w:val="00EC1F71"/>
    <w:rsid w:val="00EC2C7C"/>
    <w:rsid w:val="00EC4519"/>
    <w:rsid w:val="00EC4668"/>
    <w:rsid w:val="00EC4D51"/>
    <w:rsid w:val="00EC50B4"/>
    <w:rsid w:val="00EC60F5"/>
    <w:rsid w:val="00EC613A"/>
    <w:rsid w:val="00ED0C62"/>
    <w:rsid w:val="00ED29DA"/>
    <w:rsid w:val="00ED3B0B"/>
    <w:rsid w:val="00ED6B18"/>
    <w:rsid w:val="00ED747A"/>
    <w:rsid w:val="00EE3B9E"/>
    <w:rsid w:val="00EE5505"/>
    <w:rsid w:val="00EE6304"/>
    <w:rsid w:val="00EE6FAF"/>
    <w:rsid w:val="00EE7405"/>
    <w:rsid w:val="00EE754A"/>
    <w:rsid w:val="00EF5CB3"/>
    <w:rsid w:val="00EF62A3"/>
    <w:rsid w:val="00F028C2"/>
    <w:rsid w:val="00F02F8F"/>
    <w:rsid w:val="00F034D0"/>
    <w:rsid w:val="00F05BCC"/>
    <w:rsid w:val="00F07667"/>
    <w:rsid w:val="00F10194"/>
    <w:rsid w:val="00F127FD"/>
    <w:rsid w:val="00F1397B"/>
    <w:rsid w:val="00F13BC9"/>
    <w:rsid w:val="00F150D4"/>
    <w:rsid w:val="00F151E9"/>
    <w:rsid w:val="00F15B21"/>
    <w:rsid w:val="00F22C87"/>
    <w:rsid w:val="00F26F52"/>
    <w:rsid w:val="00F270A9"/>
    <w:rsid w:val="00F3171F"/>
    <w:rsid w:val="00F31BAE"/>
    <w:rsid w:val="00F32667"/>
    <w:rsid w:val="00F33AD0"/>
    <w:rsid w:val="00F366A7"/>
    <w:rsid w:val="00F404DD"/>
    <w:rsid w:val="00F406EE"/>
    <w:rsid w:val="00F40B02"/>
    <w:rsid w:val="00F4245F"/>
    <w:rsid w:val="00F43B0C"/>
    <w:rsid w:val="00F50436"/>
    <w:rsid w:val="00F5368B"/>
    <w:rsid w:val="00F546DD"/>
    <w:rsid w:val="00F57B0C"/>
    <w:rsid w:val="00F60410"/>
    <w:rsid w:val="00F615D0"/>
    <w:rsid w:val="00F62A14"/>
    <w:rsid w:val="00F63909"/>
    <w:rsid w:val="00F65491"/>
    <w:rsid w:val="00F66785"/>
    <w:rsid w:val="00F66EFD"/>
    <w:rsid w:val="00F67966"/>
    <w:rsid w:val="00F7030A"/>
    <w:rsid w:val="00F7215C"/>
    <w:rsid w:val="00F76963"/>
    <w:rsid w:val="00F81403"/>
    <w:rsid w:val="00F83B76"/>
    <w:rsid w:val="00F8773B"/>
    <w:rsid w:val="00F911AA"/>
    <w:rsid w:val="00F91775"/>
    <w:rsid w:val="00F943F8"/>
    <w:rsid w:val="00F95E7F"/>
    <w:rsid w:val="00F96D19"/>
    <w:rsid w:val="00FA48DC"/>
    <w:rsid w:val="00FA557C"/>
    <w:rsid w:val="00FA6596"/>
    <w:rsid w:val="00FA6DFD"/>
    <w:rsid w:val="00FB097A"/>
    <w:rsid w:val="00FB0C35"/>
    <w:rsid w:val="00FB1AC8"/>
    <w:rsid w:val="00FB2EDB"/>
    <w:rsid w:val="00FB38A7"/>
    <w:rsid w:val="00FB7E67"/>
    <w:rsid w:val="00FC17A0"/>
    <w:rsid w:val="00FC2563"/>
    <w:rsid w:val="00FC265C"/>
    <w:rsid w:val="00FC35BA"/>
    <w:rsid w:val="00FD29B7"/>
    <w:rsid w:val="00FD38C1"/>
    <w:rsid w:val="00FE06F6"/>
    <w:rsid w:val="00FE20C8"/>
    <w:rsid w:val="00FE2892"/>
    <w:rsid w:val="00FE2E06"/>
    <w:rsid w:val="00FE308A"/>
    <w:rsid w:val="00FE332C"/>
    <w:rsid w:val="00FE3590"/>
    <w:rsid w:val="00FF31FD"/>
    <w:rsid w:val="00FF4235"/>
    <w:rsid w:val="00FF53E4"/>
    <w:rsid w:val="00FF5EA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46469"/>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 w:type="paragraph" w:customStyle="1" w:styleId="tv2131">
    <w:name w:val="tv2131"/>
    <w:basedOn w:val="Normal"/>
    <w:rsid w:val="009D599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Normal"/>
    <w:uiPriority w:val="99"/>
    <w:rsid w:val="00A67007"/>
    <w:pPr>
      <w:spacing w:before="75" w:after="75" w:line="240" w:lineRule="auto"/>
    </w:pPr>
    <w:rPr>
      <w:rFonts w:ascii="Times New Roman" w:eastAsia="Calibri" w:hAnsi="Times New Roman" w:cs="Times New Roman"/>
      <w:sz w:val="24"/>
      <w:szCs w:val="24"/>
      <w:lang w:eastAsia="lv-LV"/>
    </w:rPr>
  </w:style>
  <w:style w:type="paragraph" w:customStyle="1" w:styleId="Body">
    <w:name w:val="Body"/>
    <w:rsid w:val="0025620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9472712">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3632">
      <w:bodyDiv w:val="1"/>
      <w:marLeft w:val="0"/>
      <w:marRight w:val="0"/>
      <w:marTop w:val="0"/>
      <w:marBottom w:val="0"/>
      <w:divBdr>
        <w:top w:val="none" w:sz="0" w:space="0" w:color="auto"/>
        <w:left w:val="none" w:sz="0" w:space="0" w:color="auto"/>
        <w:bottom w:val="none" w:sz="0" w:space="0" w:color="auto"/>
        <w:right w:val="none" w:sz="0" w:space="0" w:color="auto"/>
      </w:divBdr>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9424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documentManagement/types"/>
    <ds:schemaRef ds:uri="1c33a644-f6cf-45d4-832d-e32e0e370d6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7772C0-C9FD-4BB9-8E34-D2139AAD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5736</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Luste</dc:creator>
  <cp:keywords/>
  <dc:description/>
  <cp:lastModifiedBy>Irena Plaveniece</cp:lastModifiedBy>
  <cp:revision>2</cp:revision>
  <cp:lastPrinted>2020-11-23T11:33:00Z</cp:lastPrinted>
  <dcterms:created xsi:type="dcterms:W3CDTF">2020-12-01T09:00:00Z</dcterms:created>
  <dcterms:modified xsi:type="dcterms:W3CDTF">2020-12-01T09:00:00Z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