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0D9BB" w14:textId="77777777" w:rsidR="008E5FBE" w:rsidRPr="00656811" w:rsidRDefault="0005464C" w:rsidP="006409C0">
      <w:pPr>
        <w:ind w:left="395"/>
        <w:jc w:val="center"/>
        <w:rPr>
          <w:b/>
          <w:sz w:val="28"/>
          <w:szCs w:val="28"/>
        </w:rPr>
      </w:pPr>
      <w:r w:rsidRPr="00656811">
        <w:rPr>
          <w:b/>
          <w:sz w:val="28"/>
          <w:szCs w:val="28"/>
        </w:rPr>
        <w:t>Ministru kabineta noteikumu projekt</w:t>
      </w:r>
      <w:r w:rsidR="00C929C1" w:rsidRPr="00656811">
        <w:rPr>
          <w:b/>
          <w:sz w:val="28"/>
          <w:szCs w:val="28"/>
        </w:rPr>
        <w:t>a</w:t>
      </w:r>
      <w:r w:rsidRPr="00656811">
        <w:rPr>
          <w:b/>
          <w:sz w:val="28"/>
          <w:szCs w:val="28"/>
        </w:rPr>
        <w:t xml:space="preserve"> </w:t>
      </w:r>
    </w:p>
    <w:p w14:paraId="5661FAE9" w14:textId="551223B6" w:rsidR="00F82C7E" w:rsidRPr="00656811" w:rsidRDefault="006409C0" w:rsidP="006409C0">
      <w:pPr>
        <w:ind w:left="395"/>
        <w:jc w:val="center"/>
        <w:rPr>
          <w:b/>
          <w:sz w:val="28"/>
          <w:szCs w:val="28"/>
        </w:rPr>
      </w:pPr>
      <w:r w:rsidRPr="00656811">
        <w:rPr>
          <w:b/>
          <w:sz w:val="28"/>
          <w:szCs w:val="28"/>
        </w:rPr>
        <w:t>“G</w:t>
      </w:r>
      <w:r w:rsidR="00F82C7E" w:rsidRPr="00656811">
        <w:rPr>
          <w:b/>
          <w:sz w:val="28"/>
          <w:szCs w:val="28"/>
        </w:rPr>
        <w:t>rozījumi Ministru kabineta 2006. gada 17. janvāra noteikumos Nr. 57 “</w:t>
      </w:r>
      <w:hyperlink r:id="rId7" w:tgtFrame="_blank" w:history="1">
        <w:r w:rsidR="00F82C7E" w:rsidRPr="00656811">
          <w:rPr>
            <w:rStyle w:val="Hyperlink"/>
            <w:b/>
            <w:color w:val="auto"/>
            <w:sz w:val="28"/>
            <w:szCs w:val="28"/>
            <w:u w:val="none"/>
          </w:rPr>
          <w:t>Noteikumi par zāļu marķēšanas kārtību un zāļu lietošanas instrukcijai izvirzāmajām prasībām</w:t>
        </w:r>
      </w:hyperlink>
      <w:r w:rsidR="00F82C7E" w:rsidRPr="00656811">
        <w:rPr>
          <w:b/>
          <w:sz w:val="28"/>
          <w:szCs w:val="28"/>
        </w:rPr>
        <w:t>”</w:t>
      </w:r>
      <w:r w:rsidRPr="00656811">
        <w:rPr>
          <w:b/>
          <w:sz w:val="28"/>
          <w:szCs w:val="28"/>
        </w:rPr>
        <w:t>”</w:t>
      </w:r>
    </w:p>
    <w:p w14:paraId="4360F71F" w14:textId="4BFB0BF3" w:rsidR="0005464C" w:rsidRPr="00656811" w:rsidRDefault="0005464C" w:rsidP="00F82C7E">
      <w:pPr>
        <w:ind w:left="395"/>
        <w:jc w:val="center"/>
        <w:rPr>
          <w:b/>
          <w:sz w:val="28"/>
          <w:szCs w:val="28"/>
        </w:rPr>
      </w:pPr>
      <w:r w:rsidRPr="00656811">
        <w:rPr>
          <w:b/>
          <w:sz w:val="28"/>
          <w:szCs w:val="28"/>
        </w:rPr>
        <w:t>sākotnējās</w:t>
      </w:r>
      <w:r w:rsidRPr="00656811">
        <w:rPr>
          <w:b/>
          <w:bCs/>
          <w:sz w:val="28"/>
          <w:szCs w:val="28"/>
        </w:rPr>
        <w:t xml:space="preserve"> ietekmes novērtējuma ziņojums (anotācija)</w:t>
      </w:r>
    </w:p>
    <w:p w14:paraId="79F52857" w14:textId="77777777" w:rsidR="0005464C" w:rsidRPr="00656811" w:rsidRDefault="0005464C" w:rsidP="00DC62AA">
      <w:pPr>
        <w:shd w:val="clear" w:color="auto" w:fill="FFFFFF"/>
        <w:spacing w:before="130" w:line="260" w:lineRule="exac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63"/>
        <w:gridCol w:w="6798"/>
      </w:tblGrid>
      <w:tr w:rsidR="00656811" w:rsidRPr="00656811" w14:paraId="677A5546" w14:textId="77777777" w:rsidTr="007C323A">
        <w:trPr>
          <w:cantSplit/>
        </w:trPr>
        <w:tc>
          <w:tcPr>
            <w:tcW w:w="9061" w:type="dxa"/>
            <w:gridSpan w:val="2"/>
            <w:shd w:val="clear" w:color="auto" w:fill="FFFFFF"/>
            <w:vAlign w:val="center"/>
            <w:hideMark/>
          </w:tcPr>
          <w:p w14:paraId="4D1987C4" w14:textId="77777777" w:rsidR="0005464C" w:rsidRPr="00656811" w:rsidRDefault="0005464C" w:rsidP="00D44D6F">
            <w:pPr>
              <w:jc w:val="center"/>
              <w:rPr>
                <w:b/>
                <w:iCs/>
                <w:lang w:eastAsia="en-US"/>
              </w:rPr>
            </w:pPr>
            <w:r w:rsidRPr="00656811">
              <w:rPr>
                <w:b/>
                <w:iCs/>
                <w:lang w:eastAsia="en-US"/>
              </w:rPr>
              <w:t>Tiesību akta projekta anotācijas kopsavilkums</w:t>
            </w:r>
          </w:p>
        </w:tc>
      </w:tr>
      <w:tr w:rsidR="00656811" w:rsidRPr="00656811" w14:paraId="4FE7C78C" w14:textId="77777777" w:rsidTr="007C323A">
        <w:trPr>
          <w:cantSplit/>
        </w:trPr>
        <w:tc>
          <w:tcPr>
            <w:tcW w:w="2263" w:type="dxa"/>
            <w:shd w:val="clear" w:color="auto" w:fill="FFFFFF"/>
            <w:hideMark/>
          </w:tcPr>
          <w:p w14:paraId="5B264DEC" w14:textId="77777777" w:rsidR="0005464C" w:rsidRPr="00656811" w:rsidRDefault="0005464C" w:rsidP="00D44D6F">
            <w:pPr>
              <w:rPr>
                <w:iCs/>
                <w:lang w:eastAsia="en-US"/>
              </w:rPr>
            </w:pPr>
            <w:r w:rsidRPr="00656811">
              <w:rPr>
                <w:iCs/>
                <w:lang w:eastAsia="en-US"/>
              </w:rPr>
              <w:t>Mērķis, risinājums un projekta spēkā stāšanās laiks (500 zīmes bez atstarpēm)</w:t>
            </w:r>
          </w:p>
        </w:tc>
        <w:tc>
          <w:tcPr>
            <w:tcW w:w="6798" w:type="dxa"/>
            <w:shd w:val="clear" w:color="auto" w:fill="FFFFFF"/>
            <w:hideMark/>
          </w:tcPr>
          <w:p w14:paraId="7EEB41F2" w14:textId="6421F812" w:rsidR="00F2626E" w:rsidRPr="00656811" w:rsidRDefault="00C10B85" w:rsidP="00C10B85">
            <w:pPr>
              <w:jc w:val="both"/>
              <w:rPr>
                <w:iCs/>
                <w:shd w:val="clear" w:color="auto" w:fill="FFFFFF"/>
              </w:rPr>
            </w:pPr>
            <w:r w:rsidRPr="00656811">
              <w:rPr>
                <w:iCs/>
                <w:shd w:val="clear" w:color="auto" w:fill="FFFFFF"/>
              </w:rPr>
              <w:t>Ministru kabineta noteikumu projekt</w:t>
            </w:r>
            <w:r w:rsidR="00AA5B79" w:rsidRPr="00656811">
              <w:rPr>
                <w:iCs/>
                <w:shd w:val="clear" w:color="auto" w:fill="FFFFFF"/>
              </w:rPr>
              <w:t>a “</w:t>
            </w:r>
            <w:r w:rsidRPr="00656811">
              <w:t>Grozījumi Ministru kabineta 2006. gada 17. janvāra noteikumos Nr. 57 “</w:t>
            </w:r>
            <w:hyperlink r:id="rId8" w:tgtFrame="_blank" w:history="1">
              <w:r w:rsidRPr="00656811">
                <w:rPr>
                  <w:rStyle w:val="Hyperlink"/>
                  <w:color w:val="auto"/>
                  <w:u w:val="none"/>
                </w:rPr>
                <w:t>Noteikumi par zāļu marķēšanas kārtību un zāļu lietošanas instrukcijai izvirzāmajām prasībām</w:t>
              </w:r>
            </w:hyperlink>
            <w:r w:rsidRPr="00656811">
              <w:t>”</w:t>
            </w:r>
            <w:r w:rsidR="00AA5B79" w:rsidRPr="00656811">
              <w:t xml:space="preserve">” </w:t>
            </w:r>
            <w:r w:rsidR="00C97506" w:rsidRPr="00656811">
              <w:t>(turpmāk</w:t>
            </w:r>
            <w:r w:rsidR="00462CFB" w:rsidRPr="00656811">
              <w:t> </w:t>
            </w:r>
            <w:r w:rsidR="00C97506" w:rsidRPr="00656811">
              <w:t>–</w:t>
            </w:r>
            <w:r w:rsidR="00462CFB" w:rsidRPr="00656811">
              <w:t> </w:t>
            </w:r>
            <w:r w:rsidR="00C97506" w:rsidRPr="00656811">
              <w:t xml:space="preserve">Noteikumu projekts) </w:t>
            </w:r>
            <w:r w:rsidRPr="00656811">
              <w:rPr>
                <w:iCs/>
                <w:shd w:val="clear" w:color="auto" w:fill="FFFFFF"/>
              </w:rPr>
              <w:t>mērķis ir īstenot ārkārtas pasākumus, lai mazinātu risku zāļu piegādes pārtraukumiem</w:t>
            </w:r>
            <w:r w:rsidR="007D11A9" w:rsidRPr="00656811">
              <w:rPr>
                <w:iCs/>
                <w:shd w:val="clear" w:color="auto" w:fill="FFFFFF"/>
              </w:rPr>
              <w:t xml:space="preserve"> un veicinātu alternatīvas zāļu piegādes veidus pacientiem risk</w:t>
            </w:r>
            <w:r w:rsidR="00F2626E" w:rsidRPr="00656811">
              <w:rPr>
                <w:iCs/>
                <w:shd w:val="clear" w:color="auto" w:fill="FFFFFF"/>
              </w:rPr>
              <w:t>a</w:t>
            </w:r>
            <w:r w:rsidR="007D11A9" w:rsidRPr="00656811">
              <w:rPr>
                <w:iCs/>
                <w:shd w:val="clear" w:color="auto" w:fill="FFFFFF"/>
              </w:rPr>
              <w:t xml:space="preserve"> grupās</w:t>
            </w:r>
            <w:r w:rsidR="00F2626E" w:rsidRPr="00656811">
              <w:rPr>
                <w:iCs/>
                <w:shd w:val="clear" w:color="auto" w:fill="FFFFFF"/>
              </w:rPr>
              <w:t>.</w:t>
            </w:r>
          </w:p>
          <w:p w14:paraId="33B0B8A1" w14:textId="77777777" w:rsidR="004A4941" w:rsidRPr="00656811" w:rsidRDefault="004A4941" w:rsidP="004A4941">
            <w:pPr>
              <w:jc w:val="both"/>
              <w:rPr>
                <w:iCs/>
                <w:shd w:val="clear" w:color="auto" w:fill="FFFFFF"/>
              </w:rPr>
            </w:pPr>
          </w:p>
          <w:p w14:paraId="732FC687" w14:textId="52039319" w:rsidR="0005464C" w:rsidRPr="00656811" w:rsidRDefault="00F2626E" w:rsidP="004A4941">
            <w:pPr>
              <w:jc w:val="both"/>
            </w:pPr>
            <w:r w:rsidRPr="00656811">
              <w:rPr>
                <w:iCs/>
                <w:shd w:val="clear" w:color="auto" w:fill="FFFFFF"/>
              </w:rPr>
              <w:t xml:space="preserve">Tā kā </w:t>
            </w:r>
            <w:r w:rsidRPr="00656811">
              <w:t>Ministru kabineta 2006. gada 17. janvāra noteikumos Nr. 57 “</w:t>
            </w:r>
            <w:hyperlink r:id="rId9" w:tgtFrame="_blank" w:history="1">
              <w:r w:rsidRPr="00656811">
                <w:rPr>
                  <w:rStyle w:val="Hyperlink"/>
                  <w:color w:val="auto"/>
                  <w:u w:val="none"/>
                </w:rPr>
                <w:t>Noteikumi par zāļu marķēšanas kārtību un zāļu lietošanas instrukcijai izvirzāmajām prasībām</w:t>
              </w:r>
            </w:hyperlink>
            <w:r w:rsidRPr="00656811">
              <w:t xml:space="preserve">” </w:t>
            </w:r>
            <w:r w:rsidR="00C97506" w:rsidRPr="00656811">
              <w:t>(turpmāk </w:t>
            </w:r>
            <w:r w:rsidR="00462CFB" w:rsidRPr="00656811">
              <w:t>‒ </w:t>
            </w:r>
            <w:r w:rsidR="00C97506" w:rsidRPr="00656811">
              <w:t>MK noteikumi 57)</w:t>
            </w:r>
            <w:r w:rsidR="00462CFB" w:rsidRPr="00656811">
              <w:t xml:space="preserve"> </w:t>
            </w:r>
            <w:r w:rsidR="00D138F7" w:rsidRPr="00656811">
              <w:t>41.</w:t>
            </w:r>
            <w:r w:rsidR="00462CFB" w:rsidRPr="00656811">
              <w:t> </w:t>
            </w:r>
            <w:r w:rsidR="00D138F7" w:rsidRPr="00656811">
              <w:t xml:space="preserve">punkta normai </w:t>
            </w:r>
            <w:r w:rsidRPr="00656811">
              <w:t xml:space="preserve">ir </w:t>
            </w:r>
            <w:r w:rsidRPr="00656811">
              <w:rPr>
                <w:iCs/>
                <w:shd w:val="clear" w:color="auto" w:fill="FFFFFF"/>
              </w:rPr>
              <w:t>noteikts spēkā esamības termiņš līdz 2020.</w:t>
            </w:r>
            <w:r w:rsidR="008E73E4" w:rsidRPr="00656811">
              <w:rPr>
                <w:iCs/>
                <w:shd w:val="clear" w:color="auto" w:fill="FFFFFF"/>
              </w:rPr>
              <w:t> </w:t>
            </w:r>
            <w:r w:rsidRPr="00656811">
              <w:rPr>
                <w:iCs/>
                <w:shd w:val="clear" w:color="auto" w:fill="FFFFFF"/>
              </w:rPr>
              <w:t>gada 31.</w:t>
            </w:r>
            <w:r w:rsidR="008E73E4" w:rsidRPr="00656811">
              <w:rPr>
                <w:iCs/>
                <w:shd w:val="clear" w:color="auto" w:fill="FFFFFF"/>
              </w:rPr>
              <w:t> </w:t>
            </w:r>
            <w:r w:rsidRPr="00656811">
              <w:rPr>
                <w:iCs/>
                <w:shd w:val="clear" w:color="auto" w:fill="FFFFFF"/>
              </w:rPr>
              <w:t>decembrim COVID </w:t>
            </w:r>
            <w:r w:rsidR="004A4941" w:rsidRPr="00656811">
              <w:rPr>
                <w:iCs/>
                <w:shd w:val="clear" w:color="auto" w:fill="FFFFFF"/>
              </w:rPr>
              <w:t>-</w:t>
            </w:r>
            <w:r w:rsidRPr="00656811">
              <w:rPr>
                <w:iCs/>
                <w:shd w:val="clear" w:color="auto" w:fill="FFFFFF"/>
              </w:rPr>
              <w:t> 19 situācijas sakarā, kas, ņemot vērā pašreizējo situāciju COVID </w:t>
            </w:r>
            <w:r w:rsidR="004A4941" w:rsidRPr="00656811">
              <w:rPr>
                <w:iCs/>
                <w:shd w:val="clear" w:color="auto" w:fill="FFFFFF"/>
              </w:rPr>
              <w:t>-</w:t>
            </w:r>
            <w:r w:rsidRPr="00656811">
              <w:rPr>
                <w:iCs/>
                <w:shd w:val="clear" w:color="auto" w:fill="FFFFFF"/>
              </w:rPr>
              <w:t> 19 uzliesmojuma izplatībā, ir pārceļams vismaz par pusgadu.</w:t>
            </w:r>
          </w:p>
          <w:p w14:paraId="524262BD" w14:textId="77777777" w:rsidR="005E3D96" w:rsidRPr="00656811" w:rsidRDefault="005E3D96" w:rsidP="00C10B85">
            <w:pPr>
              <w:jc w:val="both"/>
              <w:rPr>
                <w:iCs/>
                <w:shd w:val="clear" w:color="auto" w:fill="FFFFFF"/>
              </w:rPr>
            </w:pPr>
          </w:p>
          <w:p w14:paraId="57D2BEEE" w14:textId="28FA51E8" w:rsidR="005E3D96" w:rsidRPr="00656811" w:rsidRDefault="005E3D96" w:rsidP="005E3D96">
            <w:pPr>
              <w:pStyle w:val="Bezatstarpm1"/>
              <w:rPr>
                <w:rFonts w:ascii="Times New Roman" w:hAnsi="Times New Roman"/>
                <w:sz w:val="24"/>
                <w:szCs w:val="24"/>
                <w:lang w:val="lv-LV"/>
              </w:rPr>
            </w:pPr>
            <w:r w:rsidRPr="00656811">
              <w:rPr>
                <w:rFonts w:ascii="Times New Roman" w:hAnsi="Times New Roman"/>
                <w:sz w:val="24"/>
                <w:szCs w:val="24"/>
                <w:lang w:val="lv-LV"/>
              </w:rPr>
              <w:t>Projekt</w:t>
            </w:r>
            <w:r w:rsidR="00D138F7" w:rsidRPr="00656811">
              <w:rPr>
                <w:rFonts w:ascii="Times New Roman" w:hAnsi="Times New Roman"/>
                <w:sz w:val="24"/>
                <w:szCs w:val="24"/>
                <w:lang w:val="lv-LV"/>
              </w:rPr>
              <w:t xml:space="preserve">s </w:t>
            </w:r>
            <w:r w:rsidRPr="00656811">
              <w:rPr>
                <w:rFonts w:ascii="Times New Roman" w:hAnsi="Times New Roman"/>
                <w:sz w:val="24"/>
                <w:szCs w:val="24"/>
                <w:lang w:val="lv-LV"/>
              </w:rPr>
              <w:t>stājas spēkā 2021.</w:t>
            </w:r>
            <w:r w:rsidR="008E73E4" w:rsidRPr="00656811">
              <w:rPr>
                <w:rFonts w:ascii="Times New Roman" w:hAnsi="Times New Roman"/>
                <w:sz w:val="24"/>
                <w:szCs w:val="24"/>
                <w:lang w:val="lv-LV"/>
              </w:rPr>
              <w:t> </w:t>
            </w:r>
            <w:r w:rsidRPr="00656811">
              <w:rPr>
                <w:rFonts w:ascii="Times New Roman" w:hAnsi="Times New Roman"/>
                <w:sz w:val="24"/>
                <w:szCs w:val="24"/>
                <w:lang w:val="lv-LV"/>
              </w:rPr>
              <w:t>gada 1.</w:t>
            </w:r>
            <w:r w:rsidR="008E73E4" w:rsidRPr="00656811">
              <w:rPr>
                <w:rFonts w:ascii="Times New Roman" w:hAnsi="Times New Roman"/>
                <w:sz w:val="24"/>
                <w:szCs w:val="24"/>
                <w:lang w:val="lv-LV"/>
              </w:rPr>
              <w:t> </w:t>
            </w:r>
            <w:r w:rsidRPr="00656811">
              <w:rPr>
                <w:rFonts w:ascii="Times New Roman" w:hAnsi="Times New Roman"/>
                <w:sz w:val="24"/>
                <w:szCs w:val="24"/>
                <w:lang w:val="lv-LV"/>
              </w:rPr>
              <w:t>janvārī.</w:t>
            </w:r>
          </w:p>
          <w:p w14:paraId="705A3673" w14:textId="0AE01997" w:rsidR="005E3D96" w:rsidRPr="00656811" w:rsidRDefault="005E3D96" w:rsidP="00C10B85">
            <w:pPr>
              <w:jc w:val="both"/>
              <w:rPr>
                <w:iCs/>
                <w:shd w:val="clear" w:color="auto" w:fill="FFFFFF"/>
              </w:rPr>
            </w:pPr>
          </w:p>
        </w:tc>
      </w:tr>
    </w:tbl>
    <w:p w14:paraId="09DF23C0" w14:textId="77777777" w:rsidR="0005464C" w:rsidRPr="00656811" w:rsidRDefault="0005464C" w:rsidP="007520AF">
      <w:pPr>
        <w:pStyle w:val="Title"/>
        <w:jc w:val="both"/>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1842"/>
        <w:gridCol w:w="6804"/>
      </w:tblGrid>
      <w:tr w:rsidR="00656811" w:rsidRPr="00656811" w14:paraId="38D2ED83" w14:textId="77777777" w:rsidTr="007C323A">
        <w:trPr>
          <w:cantSplit/>
        </w:trPr>
        <w:tc>
          <w:tcPr>
            <w:tcW w:w="9067" w:type="dxa"/>
            <w:gridSpan w:val="3"/>
            <w:vAlign w:val="center"/>
            <w:hideMark/>
          </w:tcPr>
          <w:p w14:paraId="506B20B7" w14:textId="77777777" w:rsidR="0005464C" w:rsidRPr="00656811" w:rsidRDefault="0005464C" w:rsidP="00D44D6F">
            <w:pPr>
              <w:jc w:val="center"/>
              <w:rPr>
                <w:b/>
                <w:bCs/>
              </w:rPr>
            </w:pPr>
            <w:r w:rsidRPr="00656811">
              <w:rPr>
                <w:b/>
                <w:bCs/>
              </w:rPr>
              <w:t>I. Tiesību akta projekta izstrādes nepieciešamība</w:t>
            </w:r>
          </w:p>
        </w:tc>
      </w:tr>
      <w:tr w:rsidR="00656811" w:rsidRPr="00656811" w14:paraId="0936F87F" w14:textId="77777777" w:rsidTr="007C323A">
        <w:trPr>
          <w:cantSplit/>
        </w:trPr>
        <w:tc>
          <w:tcPr>
            <w:tcW w:w="421" w:type="dxa"/>
            <w:hideMark/>
          </w:tcPr>
          <w:p w14:paraId="0EEE9D0D" w14:textId="77777777" w:rsidR="0005464C" w:rsidRPr="00656811" w:rsidRDefault="0005464C" w:rsidP="00D44D6F">
            <w:pPr>
              <w:jc w:val="center"/>
            </w:pPr>
            <w:r w:rsidRPr="00656811">
              <w:t>1.</w:t>
            </w:r>
          </w:p>
        </w:tc>
        <w:tc>
          <w:tcPr>
            <w:tcW w:w="1842" w:type="dxa"/>
            <w:hideMark/>
          </w:tcPr>
          <w:p w14:paraId="730BA2C2" w14:textId="77777777" w:rsidR="0005464C" w:rsidRPr="00656811" w:rsidRDefault="0005464C" w:rsidP="00D44D6F">
            <w:r w:rsidRPr="00656811">
              <w:t>Pamatojums</w:t>
            </w:r>
          </w:p>
          <w:p w14:paraId="5DD47DEF" w14:textId="77777777" w:rsidR="0005464C" w:rsidRPr="00656811" w:rsidRDefault="0005464C" w:rsidP="00D44D6F"/>
        </w:tc>
        <w:tc>
          <w:tcPr>
            <w:tcW w:w="6804" w:type="dxa"/>
            <w:hideMark/>
          </w:tcPr>
          <w:p w14:paraId="355EF499" w14:textId="1D563105" w:rsidR="007D11A9" w:rsidRPr="00656811" w:rsidRDefault="007D11A9" w:rsidP="009A46B5">
            <w:pPr>
              <w:jc w:val="both"/>
              <w:rPr>
                <w:iCs/>
              </w:rPr>
            </w:pPr>
            <w:r w:rsidRPr="00656811">
              <w:rPr>
                <w:iCs/>
              </w:rPr>
              <w:t>Projekt</w:t>
            </w:r>
            <w:r w:rsidR="00C97506" w:rsidRPr="00656811">
              <w:rPr>
                <w:iCs/>
              </w:rPr>
              <w:t>s</w:t>
            </w:r>
            <w:r w:rsidRPr="00656811">
              <w:rPr>
                <w:iCs/>
              </w:rPr>
              <w:t xml:space="preserve"> ir izstrādāt</w:t>
            </w:r>
            <w:r w:rsidR="00C97506" w:rsidRPr="00656811">
              <w:rPr>
                <w:iCs/>
              </w:rPr>
              <w:t>s</w:t>
            </w:r>
            <w:r w:rsidRPr="00656811">
              <w:rPr>
                <w:iCs/>
              </w:rPr>
              <w:t xml:space="preserve"> pēc Veselības ministrijas iniciatīvas.</w:t>
            </w:r>
          </w:p>
          <w:p w14:paraId="527AB560" w14:textId="77777777" w:rsidR="007D11A9" w:rsidRPr="00656811" w:rsidRDefault="007D11A9" w:rsidP="009A46B5">
            <w:pPr>
              <w:jc w:val="both"/>
              <w:rPr>
                <w:iCs/>
              </w:rPr>
            </w:pPr>
          </w:p>
          <w:p w14:paraId="3BF0353B" w14:textId="5B83059B" w:rsidR="001B52D2" w:rsidRPr="00656811" w:rsidRDefault="009A46B5" w:rsidP="007D11A9">
            <w:pPr>
              <w:jc w:val="both"/>
            </w:pPr>
            <w:r w:rsidRPr="00656811">
              <w:t>Farmācijas likuma 5.</w:t>
            </w:r>
            <w:r w:rsidR="00462CFB" w:rsidRPr="00656811">
              <w:t> </w:t>
            </w:r>
            <w:r w:rsidRPr="00656811">
              <w:t>panta 3</w:t>
            </w:r>
            <w:r w:rsidR="00B45678" w:rsidRPr="00656811">
              <w:t>.</w:t>
            </w:r>
            <w:r w:rsidR="00C97506" w:rsidRPr="00656811">
              <w:t xml:space="preserve"> un </w:t>
            </w:r>
            <w:r w:rsidR="00B45678" w:rsidRPr="00656811">
              <w:t>12</w:t>
            </w:r>
            <w:r w:rsidRPr="00656811">
              <w:t>.</w:t>
            </w:r>
            <w:r w:rsidR="00462CFB" w:rsidRPr="00656811">
              <w:t> </w:t>
            </w:r>
            <w:r w:rsidRPr="00656811">
              <w:t>punkts.</w:t>
            </w:r>
          </w:p>
        </w:tc>
      </w:tr>
      <w:tr w:rsidR="00656811" w:rsidRPr="00656811" w14:paraId="37115413" w14:textId="77777777" w:rsidTr="007C323A">
        <w:trPr>
          <w:trHeight w:val="961"/>
        </w:trPr>
        <w:tc>
          <w:tcPr>
            <w:tcW w:w="421" w:type="dxa"/>
          </w:tcPr>
          <w:p w14:paraId="1CE7CE5F" w14:textId="77777777" w:rsidR="0005464C" w:rsidRPr="00656811" w:rsidRDefault="0005464C" w:rsidP="00D44D6F">
            <w:pPr>
              <w:jc w:val="center"/>
            </w:pPr>
            <w:r w:rsidRPr="00656811">
              <w:t>2.</w:t>
            </w:r>
          </w:p>
        </w:tc>
        <w:tc>
          <w:tcPr>
            <w:tcW w:w="1842" w:type="dxa"/>
          </w:tcPr>
          <w:p w14:paraId="03E4C8C4" w14:textId="77777777" w:rsidR="0005464C" w:rsidRPr="00656811" w:rsidRDefault="0005464C" w:rsidP="00D44D6F">
            <w:r w:rsidRPr="00656811">
              <w:t>Pašreizējā situācija un problēmas, kuru risināšanai tiesību akta projekts izstrādāts, tiesiskā regulējuma mērķis un būtība</w:t>
            </w:r>
          </w:p>
        </w:tc>
        <w:tc>
          <w:tcPr>
            <w:tcW w:w="6804" w:type="dxa"/>
          </w:tcPr>
          <w:p w14:paraId="604F0F92" w14:textId="5A399AE4" w:rsidR="004F0483" w:rsidRPr="00656811" w:rsidRDefault="00C97506" w:rsidP="00C97506">
            <w:r w:rsidRPr="00656811">
              <w:t>Noteikumu projekts nosaka:</w:t>
            </w:r>
          </w:p>
          <w:p w14:paraId="28AD75BE" w14:textId="77777777" w:rsidR="00C97506" w:rsidRPr="00656811" w:rsidRDefault="00C97506" w:rsidP="00282FEA">
            <w:pPr>
              <w:jc w:val="both"/>
              <w:rPr>
                <w:b/>
                <w:bCs/>
              </w:rPr>
            </w:pPr>
          </w:p>
          <w:p w14:paraId="280AC3D1" w14:textId="5E596862" w:rsidR="005026B8" w:rsidRPr="00656811" w:rsidRDefault="00AA7AE0" w:rsidP="00282FEA">
            <w:pPr>
              <w:jc w:val="both"/>
            </w:pPr>
            <w:r w:rsidRPr="00656811">
              <w:rPr>
                <w:b/>
                <w:bCs/>
              </w:rPr>
              <w:t>Atļaut arī pēc 202</w:t>
            </w:r>
            <w:r w:rsidR="002B1C2E" w:rsidRPr="00656811">
              <w:rPr>
                <w:b/>
                <w:bCs/>
              </w:rPr>
              <w:t>0</w:t>
            </w:r>
            <w:r w:rsidRPr="00656811">
              <w:rPr>
                <w:b/>
                <w:bCs/>
              </w:rPr>
              <w:t>.</w:t>
            </w:r>
            <w:r w:rsidR="005026B8" w:rsidRPr="00656811">
              <w:rPr>
                <w:b/>
                <w:bCs/>
              </w:rPr>
              <w:t> </w:t>
            </w:r>
            <w:r w:rsidRPr="00656811">
              <w:rPr>
                <w:b/>
                <w:bCs/>
              </w:rPr>
              <w:t>gada 31.</w:t>
            </w:r>
            <w:r w:rsidR="005026B8" w:rsidRPr="00656811">
              <w:rPr>
                <w:b/>
                <w:bCs/>
              </w:rPr>
              <w:t> </w:t>
            </w:r>
            <w:r w:rsidRPr="00656811">
              <w:rPr>
                <w:b/>
                <w:bCs/>
              </w:rPr>
              <w:t xml:space="preserve">decembra </w:t>
            </w:r>
            <w:r w:rsidR="005026B8" w:rsidRPr="00656811">
              <w:rPr>
                <w:b/>
                <w:bCs/>
              </w:rPr>
              <w:t xml:space="preserve">nepiemērot </w:t>
            </w:r>
            <w:r w:rsidR="00C94977" w:rsidRPr="00656811">
              <w:rPr>
                <w:b/>
                <w:bCs/>
              </w:rPr>
              <w:t>MK</w:t>
            </w:r>
            <w:r w:rsidR="005026B8" w:rsidRPr="00656811">
              <w:rPr>
                <w:b/>
                <w:bCs/>
              </w:rPr>
              <w:t xml:space="preserve"> noteikum</w:t>
            </w:r>
            <w:r w:rsidR="002B1C2E" w:rsidRPr="00656811">
              <w:rPr>
                <w:b/>
                <w:bCs/>
              </w:rPr>
              <w:t>u</w:t>
            </w:r>
            <w:r w:rsidR="005026B8" w:rsidRPr="00656811">
              <w:rPr>
                <w:b/>
                <w:bCs/>
              </w:rPr>
              <w:t xml:space="preserve"> Nr. 57 5. punkt</w:t>
            </w:r>
            <w:r w:rsidR="00C94977" w:rsidRPr="00656811">
              <w:rPr>
                <w:b/>
                <w:bCs/>
              </w:rPr>
              <w:t>a normu,</w:t>
            </w:r>
            <w:r w:rsidR="008E73E4" w:rsidRPr="00656811">
              <w:rPr>
                <w:b/>
                <w:bCs/>
              </w:rPr>
              <w:t> </w:t>
            </w:r>
            <w:r w:rsidR="00C10B85" w:rsidRPr="00656811">
              <w:rPr>
                <w:b/>
                <w:bCs/>
              </w:rPr>
              <w:t>-</w:t>
            </w:r>
            <w:r w:rsidR="008E73E4" w:rsidRPr="00656811">
              <w:rPr>
                <w:b/>
                <w:bCs/>
              </w:rPr>
              <w:t> </w:t>
            </w:r>
            <w:r w:rsidR="00C94977" w:rsidRPr="00656811">
              <w:rPr>
                <w:b/>
                <w:bCs/>
              </w:rPr>
              <w:t>tas</w:t>
            </w:r>
            <w:r w:rsidR="005026B8" w:rsidRPr="00656811">
              <w:rPr>
                <w:b/>
                <w:bCs/>
              </w:rPr>
              <w:t xml:space="preserve"> nozīmē </w:t>
            </w:r>
            <w:r w:rsidR="00620EE0" w:rsidRPr="00656811">
              <w:rPr>
                <w:b/>
                <w:bCs/>
              </w:rPr>
              <w:t xml:space="preserve">turpināt </w:t>
            </w:r>
            <w:r w:rsidR="005026B8" w:rsidRPr="00656811">
              <w:rPr>
                <w:b/>
                <w:bCs/>
              </w:rPr>
              <w:t xml:space="preserve">atļaut </w:t>
            </w:r>
            <w:r w:rsidR="00341340" w:rsidRPr="00656811">
              <w:rPr>
                <w:b/>
                <w:bCs/>
              </w:rPr>
              <w:t xml:space="preserve">zāļu lieltirgotavām </w:t>
            </w:r>
            <w:r w:rsidR="00C01917" w:rsidRPr="00656811">
              <w:rPr>
                <w:b/>
                <w:bCs/>
              </w:rPr>
              <w:t>izplatīt zāles</w:t>
            </w:r>
            <w:r w:rsidR="00620EE0" w:rsidRPr="00656811">
              <w:rPr>
                <w:rStyle w:val="Noklusjumarindkopasfonts1"/>
              </w:rPr>
              <w:t>, kuras īslaicīgi, bet ne ilgāk kā sešus mēnešus nav pieejamas Latvijas tirgum paredzētajā iepakojumā, tādos iepakojumos, kas paredzēti citai Eiropas Savienības dalībvalstij vai Eiropas Ekonomikas zonas valstij</w:t>
            </w:r>
            <w:r w:rsidR="00C01917" w:rsidRPr="00656811">
              <w:rPr>
                <w:rStyle w:val="Noklusjumarindkopasfonts1"/>
              </w:rPr>
              <w:t xml:space="preserve">. </w:t>
            </w:r>
            <w:r w:rsidR="00C01917" w:rsidRPr="00656811">
              <w:rPr>
                <w:rStyle w:val="Noklusjumarindkopasfonts1"/>
                <w:b/>
                <w:bCs/>
              </w:rPr>
              <w:t>Šīm zālēm lietošanas instrukciju valsts valodā pievienos farmaceits, tās izsniedzot pacientam/klientam</w:t>
            </w:r>
            <w:r w:rsidR="00C01917" w:rsidRPr="00656811">
              <w:rPr>
                <w:rStyle w:val="Noklusjumarindkopasfonts1"/>
              </w:rPr>
              <w:t>. Līdz ar to zāļu lieltirgotavai nav jāveic šo zāļu pārpakošana</w:t>
            </w:r>
            <w:r w:rsidR="00462CFB" w:rsidRPr="00656811">
              <w:rPr>
                <w:rStyle w:val="Noklusjumarindkopasfonts1"/>
              </w:rPr>
              <w:t> </w:t>
            </w:r>
            <w:r w:rsidR="00C01917" w:rsidRPr="00656811">
              <w:rPr>
                <w:rStyle w:val="Noklusjumarindkopasfonts1"/>
              </w:rPr>
              <w:t>–</w:t>
            </w:r>
            <w:r w:rsidR="00462CFB" w:rsidRPr="00656811">
              <w:rPr>
                <w:rStyle w:val="Noklusjumarindkopasfonts1"/>
              </w:rPr>
              <w:t> </w:t>
            </w:r>
            <w:r w:rsidR="00C01917" w:rsidRPr="00656811">
              <w:rPr>
                <w:rStyle w:val="Noklusjumarindkopasfonts1"/>
              </w:rPr>
              <w:t xml:space="preserve">nav jāpiestiprina </w:t>
            </w:r>
            <w:r w:rsidR="00C01917" w:rsidRPr="00656811">
              <w:t>zāļu iepakojumam uzlīme</w:t>
            </w:r>
            <w:r w:rsidR="005026B8" w:rsidRPr="00656811">
              <w:rPr>
                <w:shd w:val="clear" w:color="auto" w:fill="FFFFFF"/>
              </w:rPr>
              <w:t xml:space="preserve"> ar marķējumā sniegtās informācijas tulkojumu valsts valodā</w:t>
            </w:r>
            <w:r w:rsidR="00C10B85" w:rsidRPr="00656811">
              <w:rPr>
                <w:shd w:val="clear" w:color="auto" w:fill="FFFFFF"/>
              </w:rPr>
              <w:t xml:space="preserve"> un </w:t>
            </w:r>
            <w:r w:rsidR="005026B8" w:rsidRPr="00656811">
              <w:rPr>
                <w:shd w:val="clear" w:color="auto" w:fill="FFFFFF"/>
              </w:rPr>
              <w:t xml:space="preserve">lietošanas instrukcija valsts valodā </w:t>
            </w:r>
            <w:r w:rsidR="00C01917" w:rsidRPr="00656811">
              <w:rPr>
                <w:shd w:val="clear" w:color="auto" w:fill="FFFFFF"/>
              </w:rPr>
              <w:t>n</w:t>
            </w:r>
            <w:r w:rsidR="00C01917" w:rsidRPr="00656811">
              <w:rPr>
                <w:shd w:val="clear" w:color="auto" w:fill="FFFFFF"/>
              </w:rPr>
              <w:t>ebūs jāievieto</w:t>
            </w:r>
            <w:r w:rsidR="005026B8" w:rsidRPr="00656811">
              <w:rPr>
                <w:shd w:val="clear" w:color="auto" w:fill="FFFFFF"/>
              </w:rPr>
              <w:t xml:space="preserve"> sekundārā iepakojumā vai </w:t>
            </w:r>
            <w:r w:rsidR="003B7E5D" w:rsidRPr="00656811">
              <w:rPr>
                <w:shd w:val="clear" w:color="auto" w:fill="FFFFFF"/>
              </w:rPr>
              <w:t>j</w:t>
            </w:r>
            <w:r w:rsidR="00C01917" w:rsidRPr="00656811">
              <w:rPr>
                <w:shd w:val="clear" w:color="auto" w:fill="FFFFFF"/>
              </w:rPr>
              <w:t>ā</w:t>
            </w:r>
            <w:r w:rsidR="005026B8" w:rsidRPr="00656811">
              <w:rPr>
                <w:shd w:val="clear" w:color="auto" w:fill="FFFFFF"/>
              </w:rPr>
              <w:t>piestiprina pie zāļu sekundārā vai primārā iepakojuma.</w:t>
            </w:r>
          </w:p>
          <w:p w14:paraId="61EF640A" w14:textId="77777777" w:rsidR="00072178" w:rsidRPr="00656811" w:rsidRDefault="00072178" w:rsidP="00282FEA">
            <w:pPr>
              <w:jc w:val="both"/>
              <w:rPr>
                <w:highlight w:val="yellow"/>
              </w:rPr>
            </w:pPr>
          </w:p>
          <w:p w14:paraId="5B3DB11F" w14:textId="48A8CD30" w:rsidR="00341340" w:rsidRPr="00656811" w:rsidRDefault="00462CFB" w:rsidP="00341340">
            <w:pPr>
              <w:pStyle w:val="Bezatstarpm1"/>
              <w:jc w:val="both"/>
              <w:rPr>
                <w:rFonts w:ascii="Times New Roman" w:hAnsi="Times New Roman"/>
                <w:bCs/>
                <w:sz w:val="24"/>
                <w:szCs w:val="24"/>
                <w:lang w:val="lv-LV"/>
              </w:rPr>
            </w:pPr>
            <w:r w:rsidRPr="00656811">
              <w:rPr>
                <w:rFonts w:ascii="Times New Roman" w:hAnsi="Times New Roman"/>
                <w:bCs/>
                <w:sz w:val="24"/>
                <w:szCs w:val="24"/>
                <w:lang w:val="lv-LV"/>
              </w:rPr>
              <w:t>1) </w:t>
            </w:r>
            <w:r w:rsidR="00341340" w:rsidRPr="00656811">
              <w:rPr>
                <w:rFonts w:ascii="Times New Roman" w:hAnsi="Times New Roman"/>
                <w:bCs/>
                <w:sz w:val="24"/>
                <w:szCs w:val="24"/>
                <w:lang w:val="lv-LV"/>
              </w:rPr>
              <w:t>Farmācijas likuma 17.</w:t>
            </w:r>
            <w:r w:rsidRPr="00656811">
              <w:rPr>
                <w:rFonts w:ascii="Times New Roman" w:hAnsi="Times New Roman"/>
                <w:bCs/>
                <w:sz w:val="24"/>
                <w:szCs w:val="24"/>
                <w:lang w:val="lv-LV"/>
              </w:rPr>
              <w:t> </w:t>
            </w:r>
            <w:r w:rsidR="00341340" w:rsidRPr="00656811">
              <w:rPr>
                <w:rFonts w:ascii="Times New Roman" w:hAnsi="Times New Roman"/>
                <w:bCs/>
                <w:sz w:val="24"/>
                <w:szCs w:val="24"/>
                <w:lang w:val="lv-LV"/>
              </w:rPr>
              <w:t>pants nosaka, ka atļauts izplatīt Latvijas Republikā reģistrētās un Latvijas zāļu reģistrā iekļautās zāles.</w:t>
            </w:r>
          </w:p>
          <w:p w14:paraId="68C0CCC6" w14:textId="7070807A" w:rsidR="00341340" w:rsidRPr="00656811" w:rsidRDefault="00341340" w:rsidP="00341340">
            <w:pPr>
              <w:pStyle w:val="Bezatstarpm1"/>
              <w:jc w:val="both"/>
              <w:rPr>
                <w:rFonts w:ascii="Times New Roman" w:hAnsi="Times New Roman"/>
                <w:bCs/>
                <w:sz w:val="24"/>
                <w:szCs w:val="24"/>
                <w:lang w:val="lv-LV"/>
              </w:rPr>
            </w:pPr>
            <w:r w:rsidRPr="00656811">
              <w:rPr>
                <w:rFonts w:ascii="Times New Roman" w:hAnsi="Times New Roman"/>
                <w:bCs/>
                <w:sz w:val="24"/>
                <w:szCs w:val="24"/>
                <w:lang w:val="lv-LV"/>
              </w:rPr>
              <w:t xml:space="preserve">Zāļu marķēšanas kārtības un zāļu lietošanas instrukcijai izvirzāmo prasību pašreizējais tiesiskais regulējums situācijā, kas ir izveidojusies pasaulē un Latvijā sakarā ar </w:t>
            </w:r>
            <w:proofErr w:type="spellStart"/>
            <w:r w:rsidRPr="00656811">
              <w:rPr>
                <w:rFonts w:ascii="Times New Roman" w:hAnsi="Times New Roman"/>
                <w:bCs/>
                <w:sz w:val="24"/>
                <w:szCs w:val="24"/>
                <w:lang w:val="lv-LV"/>
              </w:rPr>
              <w:t>Covid</w:t>
            </w:r>
            <w:proofErr w:type="spellEnd"/>
            <w:r w:rsidR="00462CFB" w:rsidRPr="00656811">
              <w:rPr>
                <w:rFonts w:ascii="Times New Roman" w:hAnsi="Times New Roman"/>
                <w:bCs/>
                <w:sz w:val="24"/>
                <w:szCs w:val="24"/>
                <w:lang w:val="lv-LV"/>
              </w:rPr>
              <w:t> </w:t>
            </w:r>
            <w:r w:rsidRPr="00656811">
              <w:rPr>
                <w:rFonts w:ascii="Times New Roman" w:hAnsi="Times New Roman"/>
                <w:bCs/>
                <w:sz w:val="24"/>
                <w:szCs w:val="24"/>
                <w:lang w:val="lv-LV"/>
              </w:rPr>
              <w:t>-</w:t>
            </w:r>
            <w:r w:rsidR="00462CFB" w:rsidRPr="00656811">
              <w:rPr>
                <w:rFonts w:ascii="Times New Roman" w:hAnsi="Times New Roman"/>
                <w:bCs/>
                <w:sz w:val="24"/>
                <w:szCs w:val="24"/>
                <w:lang w:val="lv-LV"/>
              </w:rPr>
              <w:t> </w:t>
            </w:r>
            <w:r w:rsidRPr="00656811">
              <w:rPr>
                <w:rFonts w:ascii="Times New Roman" w:hAnsi="Times New Roman"/>
                <w:bCs/>
                <w:sz w:val="24"/>
                <w:szCs w:val="24"/>
                <w:lang w:val="lv-LV"/>
              </w:rPr>
              <w:t xml:space="preserve">19 pandēmiju, ir nepilnīgs, jo </w:t>
            </w:r>
            <w:r w:rsidRPr="00656811">
              <w:rPr>
                <w:rFonts w:ascii="Times New Roman" w:hAnsi="Times New Roman"/>
                <w:bCs/>
                <w:sz w:val="24"/>
                <w:szCs w:val="24"/>
                <w:lang w:val="lv-LV"/>
              </w:rPr>
              <w:lastRenderedPageBreak/>
              <w:t>noteikumos paredzētais regulējums rada lielu administratīvo slogu un attur zāļu reģistrācijas apliecības īpašniekus no risinājumu meklēšanas īslaicīgu zāļu pieejamības pārtraukumu laikā vai var būtiski sadārdzināt zāles, ja konkrētās Latvijas Republikā reģistrētās un Latvijas zāļu reģistrā iekļautās zāles vai tām analogās zāles (zāles ar tādu pašu aktīvo vielu, stiprumu, zāļu formu un paredzētas tādam pašam lietošanas veidam) Latvijas tirgum paredzētajā marķējumā īslaicīgi (ne ilgāk par sešiem mēnešiem) nav pieejamas, bet zāļu reģistrācijas īpašniekam tās ir iespējams izplatīt citas Eiropas Savienības dalībvalsts marķējumā.</w:t>
            </w:r>
          </w:p>
          <w:p w14:paraId="21B8D840" w14:textId="77777777" w:rsidR="00341340" w:rsidRPr="00656811" w:rsidRDefault="00341340" w:rsidP="00282FEA">
            <w:pPr>
              <w:jc w:val="both"/>
              <w:rPr>
                <w:shd w:val="clear" w:color="auto" w:fill="FFFFFF"/>
              </w:rPr>
            </w:pPr>
          </w:p>
          <w:p w14:paraId="409E3ACD" w14:textId="71B1E676" w:rsidR="006D1D34" w:rsidRPr="00656811" w:rsidRDefault="002B1C2E" w:rsidP="00AB054B">
            <w:pPr>
              <w:jc w:val="both"/>
              <w:rPr>
                <w:bCs/>
              </w:rPr>
            </w:pPr>
            <w:r w:rsidRPr="00656811">
              <w:rPr>
                <w:shd w:val="clear" w:color="auto" w:fill="FFFFFF"/>
              </w:rPr>
              <w:t>MK noteikumu Nr.</w:t>
            </w:r>
            <w:r w:rsidR="006362F2" w:rsidRPr="00656811">
              <w:rPr>
                <w:shd w:val="clear" w:color="auto" w:fill="FFFFFF"/>
              </w:rPr>
              <w:t> </w:t>
            </w:r>
            <w:r w:rsidRPr="00656811">
              <w:rPr>
                <w:shd w:val="clear" w:color="auto" w:fill="FFFFFF"/>
              </w:rPr>
              <w:t>57 5.</w:t>
            </w:r>
            <w:r w:rsidR="006362F2" w:rsidRPr="00656811">
              <w:rPr>
                <w:shd w:val="clear" w:color="auto" w:fill="FFFFFF"/>
              </w:rPr>
              <w:t> </w:t>
            </w:r>
            <w:r w:rsidRPr="00656811">
              <w:rPr>
                <w:shd w:val="clear" w:color="auto" w:fill="FFFFFF"/>
              </w:rPr>
              <w:t xml:space="preserve">punkta norma </w:t>
            </w:r>
            <w:r w:rsidR="00072178" w:rsidRPr="00656811">
              <w:rPr>
                <w:shd w:val="clear" w:color="auto" w:fill="FFFFFF"/>
              </w:rPr>
              <w:t>pieļauj zāļu iepakojuma marķējuma informāciju valsts valodā piestiprināt pie iepakojuma  uzlīmes veidā un lietošanas instrukciju valsts valodā pievienot pie iepakojuma vai ievietot tajā</w:t>
            </w:r>
            <w:r w:rsidR="00357DBD" w:rsidRPr="00656811">
              <w:rPr>
                <w:shd w:val="clear" w:color="auto" w:fill="FFFFFF"/>
              </w:rPr>
              <w:t>. MK noteikumu 5.</w:t>
            </w:r>
            <w:r w:rsidR="00462CFB" w:rsidRPr="00656811">
              <w:rPr>
                <w:shd w:val="clear" w:color="auto" w:fill="FFFFFF"/>
              </w:rPr>
              <w:t> </w:t>
            </w:r>
            <w:r w:rsidR="00357DBD" w:rsidRPr="00656811">
              <w:rPr>
                <w:shd w:val="clear" w:color="auto" w:fill="FFFFFF"/>
              </w:rPr>
              <w:t xml:space="preserve">punkts </w:t>
            </w:r>
            <w:r w:rsidRPr="00656811">
              <w:rPr>
                <w:shd w:val="clear" w:color="auto" w:fill="FFFFFF"/>
              </w:rPr>
              <w:t>nosaka sekojošo. J</w:t>
            </w:r>
            <w:r w:rsidR="005026B8" w:rsidRPr="00656811">
              <w:rPr>
                <w:shd w:val="clear" w:color="auto" w:fill="FFFFFF"/>
              </w:rPr>
              <w:t xml:space="preserve">a zāles </w:t>
            </w:r>
            <w:r w:rsidR="006466EA" w:rsidRPr="00656811">
              <w:rPr>
                <w:shd w:val="clear" w:color="auto" w:fill="FFFFFF"/>
              </w:rPr>
              <w:t xml:space="preserve">ieved Latvijā, </w:t>
            </w:r>
            <w:r w:rsidR="005026B8" w:rsidRPr="00656811">
              <w:rPr>
                <w:shd w:val="clear" w:color="auto" w:fill="FFFFFF"/>
              </w:rPr>
              <w:t xml:space="preserve">kurām </w:t>
            </w:r>
            <w:r w:rsidR="006466EA" w:rsidRPr="00656811">
              <w:rPr>
                <w:shd w:val="clear" w:color="auto" w:fill="FFFFFF"/>
              </w:rPr>
              <w:t>informācija marķējumā un lietošanas instrukcijā nav norādīta valsts valodā, tad</w:t>
            </w:r>
            <w:r w:rsidRPr="00656811">
              <w:rPr>
                <w:shd w:val="clear" w:color="auto" w:fill="FFFFFF"/>
              </w:rPr>
              <w:t xml:space="preserve"> tās </w:t>
            </w:r>
            <w:r w:rsidR="006466EA" w:rsidRPr="00656811">
              <w:rPr>
                <w:shd w:val="clear" w:color="auto" w:fill="FFFFFF"/>
              </w:rPr>
              <w:t xml:space="preserve">izplatot, zāļu iepakojumam </w:t>
            </w:r>
            <w:r w:rsidRPr="00656811">
              <w:rPr>
                <w:shd w:val="clear" w:color="auto" w:fill="FFFFFF"/>
              </w:rPr>
              <w:t xml:space="preserve">ir </w:t>
            </w:r>
            <w:r w:rsidR="005026B8" w:rsidRPr="00656811">
              <w:rPr>
                <w:shd w:val="clear" w:color="auto" w:fill="FFFFFF"/>
              </w:rPr>
              <w:t>jā</w:t>
            </w:r>
            <w:r w:rsidR="006466EA" w:rsidRPr="00656811">
              <w:rPr>
                <w:shd w:val="clear" w:color="auto" w:fill="FFFFFF"/>
              </w:rPr>
              <w:t>piestiprina uzlīm</w:t>
            </w:r>
            <w:r w:rsidR="005026B8" w:rsidRPr="00656811">
              <w:rPr>
                <w:shd w:val="clear" w:color="auto" w:fill="FFFFFF"/>
              </w:rPr>
              <w:t>e</w:t>
            </w:r>
            <w:r w:rsidR="006466EA" w:rsidRPr="00656811">
              <w:rPr>
                <w:shd w:val="clear" w:color="auto" w:fill="FFFFFF"/>
              </w:rPr>
              <w:t xml:space="preserve"> ar marķējumā sniegtās informācijas tulkojumu valsts valodā un lietošanas instrukcij</w:t>
            </w:r>
            <w:r w:rsidR="005026B8" w:rsidRPr="00656811">
              <w:rPr>
                <w:shd w:val="clear" w:color="auto" w:fill="FFFFFF"/>
              </w:rPr>
              <w:t>a</w:t>
            </w:r>
            <w:r w:rsidRPr="00656811">
              <w:rPr>
                <w:shd w:val="clear" w:color="auto" w:fill="FFFFFF"/>
              </w:rPr>
              <w:t xml:space="preserve">i </w:t>
            </w:r>
            <w:r w:rsidR="006466EA" w:rsidRPr="00656811">
              <w:rPr>
                <w:shd w:val="clear" w:color="auto" w:fill="FFFFFF"/>
              </w:rPr>
              <w:t xml:space="preserve">valsts valodā </w:t>
            </w:r>
            <w:r w:rsidRPr="00656811">
              <w:rPr>
                <w:shd w:val="clear" w:color="auto" w:fill="FFFFFF"/>
              </w:rPr>
              <w:t xml:space="preserve">ir jābūt </w:t>
            </w:r>
            <w:r w:rsidR="006466EA" w:rsidRPr="00656811">
              <w:rPr>
                <w:shd w:val="clear" w:color="auto" w:fill="FFFFFF"/>
              </w:rPr>
              <w:t>ieviet</w:t>
            </w:r>
            <w:r w:rsidR="005026B8" w:rsidRPr="00656811">
              <w:rPr>
                <w:shd w:val="clear" w:color="auto" w:fill="FFFFFF"/>
              </w:rPr>
              <w:t>o</w:t>
            </w:r>
            <w:r w:rsidRPr="00656811">
              <w:rPr>
                <w:shd w:val="clear" w:color="auto" w:fill="FFFFFF"/>
              </w:rPr>
              <w:t>tai</w:t>
            </w:r>
            <w:r w:rsidR="006466EA" w:rsidRPr="00656811">
              <w:rPr>
                <w:shd w:val="clear" w:color="auto" w:fill="FFFFFF"/>
              </w:rPr>
              <w:t xml:space="preserve"> sekundārā iepakojumā vai </w:t>
            </w:r>
            <w:r w:rsidRPr="00656811">
              <w:rPr>
                <w:shd w:val="clear" w:color="auto" w:fill="FFFFFF"/>
              </w:rPr>
              <w:t>piestiprinātai</w:t>
            </w:r>
            <w:r w:rsidR="006466EA" w:rsidRPr="00656811">
              <w:rPr>
                <w:shd w:val="clear" w:color="auto" w:fill="FFFFFF"/>
              </w:rPr>
              <w:t xml:space="preserve"> pie sekundārā vai primārā iepakojuma (neattiecas uz zālēm, kuras izplata vairumtirdzniecībā, lai tās eksportētu uz trešajām valstīm vai piegādātu citai Eiropas Ekonomikas zonas dalībvalstij)</w:t>
            </w:r>
            <w:r w:rsidRPr="00656811">
              <w:rPr>
                <w:shd w:val="clear" w:color="auto" w:fill="FFFFFF"/>
              </w:rPr>
              <w:t>. Tas</w:t>
            </w:r>
            <w:r w:rsidR="005026B8" w:rsidRPr="00656811">
              <w:rPr>
                <w:shd w:val="clear" w:color="auto" w:fill="FFFFFF"/>
              </w:rPr>
              <w:t xml:space="preserve"> </w:t>
            </w:r>
            <w:r w:rsidR="00304858" w:rsidRPr="00656811">
              <w:rPr>
                <w:shd w:val="clear" w:color="auto" w:fill="FFFFFF"/>
              </w:rPr>
              <w:t xml:space="preserve">prasa </w:t>
            </w:r>
            <w:r w:rsidRPr="00656811">
              <w:rPr>
                <w:shd w:val="clear" w:color="auto" w:fill="FFFFFF"/>
              </w:rPr>
              <w:t>zāles pārpakot</w:t>
            </w:r>
            <w:r w:rsidR="006D1D34" w:rsidRPr="00656811">
              <w:rPr>
                <w:shd w:val="clear" w:color="auto" w:fill="FFFFFF"/>
              </w:rPr>
              <w:t>,</w:t>
            </w:r>
            <w:r w:rsidR="002E498B" w:rsidRPr="00656811">
              <w:rPr>
                <w:shd w:val="clear" w:color="auto" w:fill="FFFFFF"/>
              </w:rPr>
              <w:t xml:space="preserve"> </w:t>
            </w:r>
            <w:r w:rsidRPr="00656811">
              <w:rPr>
                <w:shd w:val="clear" w:color="auto" w:fill="FFFFFF"/>
              </w:rPr>
              <w:t xml:space="preserve">un to var darīt arī vairumtirgotājs, kurš ir saņēmis </w:t>
            </w:r>
            <w:r w:rsidR="00C10B85" w:rsidRPr="00656811">
              <w:rPr>
                <w:shd w:val="clear" w:color="auto" w:fill="FFFFFF"/>
              </w:rPr>
              <w:t xml:space="preserve">licenci </w:t>
            </w:r>
            <w:r w:rsidRPr="00656811">
              <w:rPr>
                <w:shd w:val="clear" w:color="auto" w:fill="FFFFFF"/>
              </w:rPr>
              <w:t>ar tiesībām veikt zāļu pārpakošanu (licence zāļu ražošanai)</w:t>
            </w:r>
            <w:r w:rsidR="00072178" w:rsidRPr="00656811">
              <w:rPr>
                <w:shd w:val="clear" w:color="auto" w:fill="FFFFFF"/>
              </w:rPr>
              <w:t>.</w:t>
            </w:r>
            <w:r w:rsidR="00AB054B" w:rsidRPr="00656811">
              <w:rPr>
                <w:shd w:val="clear" w:color="auto" w:fill="FFFFFF"/>
              </w:rPr>
              <w:t xml:space="preserve"> </w:t>
            </w:r>
            <w:r w:rsidR="006D1D34" w:rsidRPr="00656811">
              <w:rPr>
                <w:shd w:val="clear" w:color="auto" w:fill="FFFFFF"/>
              </w:rPr>
              <w:t xml:space="preserve">Pārpakošana </w:t>
            </w:r>
            <w:r w:rsidR="00F47CEA" w:rsidRPr="00656811">
              <w:rPr>
                <w:bCs/>
              </w:rPr>
              <w:t xml:space="preserve">rada administratīvo slogu </w:t>
            </w:r>
            <w:r w:rsidR="00AB054B" w:rsidRPr="00656811">
              <w:rPr>
                <w:bCs/>
              </w:rPr>
              <w:t>zāļu vairumtirgotājiem, kā arī</w:t>
            </w:r>
            <w:r w:rsidR="00F47CEA" w:rsidRPr="00656811">
              <w:rPr>
                <w:bCs/>
              </w:rPr>
              <w:t xml:space="preserve"> attur zāļu reģistrācijas apliecības īpašniekus no risinājumu meklēšanas, lai mazinātu zāļu </w:t>
            </w:r>
            <w:r w:rsidR="00496F1E" w:rsidRPr="00656811">
              <w:rPr>
                <w:bCs/>
              </w:rPr>
              <w:t>ne</w:t>
            </w:r>
            <w:r w:rsidR="00F47CEA" w:rsidRPr="00656811">
              <w:rPr>
                <w:bCs/>
              </w:rPr>
              <w:t>pieejamīb</w:t>
            </w:r>
            <w:r w:rsidR="00496F1E" w:rsidRPr="00656811">
              <w:rPr>
                <w:bCs/>
              </w:rPr>
              <w:t>u</w:t>
            </w:r>
            <w:r w:rsidR="00AB054B" w:rsidRPr="00656811">
              <w:rPr>
                <w:bCs/>
              </w:rPr>
              <w:t>.</w:t>
            </w:r>
          </w:p>
          <w:p w14:paraId="60158ED8" w14:textId="356BF2BD" w:rsidR="00341340" w:rsidRPr="00656811" w:rsidRDefault="00AB054B" w:rsidP="0033275E">
            <w:pPr>
              <w:jc w:val="both"/>
              <w:rPr>
                <w:bCs/>
              </w:rPr>
            </w:pPr>
            <w:r w:rsidRPr="00656811">
              <w:rPr>
                <w:bCs/>
              </w:rPr>
              <w:t>P</w:t>
            </w:r>
            <w:r w:rsidR="00F47CEA" w:rsidRPr="00656811">
              <w:rPr>
                <w:bCs/>
              </w:rPr>
              <w:t xml:space="preserve">rasība pārpakot zāles, lai </w:t>
            </w:r>
            <w:r w:rsidR="00F47CEA" w:rsidRPr="00656811">
              <w:rPr>
                <w:bCs/>
                <w:shd w:val="clear" w:color="auto" w:fill="FFFFFF"/>
              </w:rPr>
              <w:t>uzlīm</w:t>
            </w:r>
            <w:r w:rsidRPr="00656811">
              <w:rPr>
                <w:bCs/>
                <w:shd w:val="clear" w:color="auto" w:fill="FFFFFF"/>
              </w:rPr>
              <w:t>i</w:t>
            </w:r>
            <w:r w:rsidR="00F47CEA" w:rsidRPr="00656811">
              <w:rPr>
                <w:bCs/>
                <w:shd w:val="clear" w:color="auto" w:fill="FFFFFF"/>
              </w:rPr>
              <w:t xml:space="preserve"> ar marķējumā sniegtās informācijas tulkojumu valsts valodā </w:t>
            </w:r>
            <w:r w:rsidRPr="00656811">
              <w:rPr>
                <w:bCs/>
                <w:shd w:val="clear" w:color="auto" w:fill="FFFFFF"/>
              </w:rPr>
              <w:t xml:space="preserve">piestiprinātu pie zāļu iepakojuma, </w:t>
            </w:r>
            <w:r w:rsidR="00F47CEA" w:rsidRPr="00656811">
              <w:rPr>
                <w:bCs/>
                <w:shd w:val="clear" w:color="auto" w:fill="FFFFFF"/>
              </w:rPr>
              <w:t>un lietošanas instrukcij</w:t>
            </w:r>
            <w:r w:rsidRPr="00656811">
              <w:rPr>
                <w:bCs/>
                <w:shd w:val="clear" w:color="auto" w:fill="FFFFFF"/>
              </w:rPr>
              <w:t>u</w:t>
            </w:r>
            <w:r w:rsidR="00F47CEA" w:rsidRPr="00656811">
              <w:rPr>
                <w:bCs/>
                <w:shd w:val="clear" w:color="auto" w:fill="FFFFFF"/>
              </w:rPr>
              <w:t xml:space="preserve"> valsts valodā </w:t>
            </w:r>
            <w:r w:rsidRPr="00656811">
              <w:rPr>
                <w:bCs/>
                <w:shd w:val="clear" w:color="auto" w:fill="FFFFFF"/>
              </w:rPr>
              <w:t>ievietotu</w:t>
            </w:r>
            <w:r w:rsidR="00F47CEA" w:rsidRPr="00656811">
              <w:rPr>
                <w:bCs/>
                <w:shd w:val="clear" w:color="auto" w:fill="FFFFFF"/>
              </w:rPr>
              <w:t xml:space="preserve"> zāļu iepakojumā vai </w:t>
            </w:r>
            <w:r w:rsidRPr="00656811">
              <w:rPr>
                <w:bCs/>
                <w:shd w:val="clear" w:color="auto" w:fill="FFFFFF"/>
              </w:rPr>
              <w:t>piestiprinātu</w:t>
            </w:r>
            <w:r w:rsidR="00F47CEA" w:rsidRPr="00656811">
              <w:rPr>
                <w:bCs/>
                <w:shd w:val="clear" w:color="auto" w:fill="FFFFFF"/>
              </w:rPr>
              <w:t xml:space="preserve"> pie tā, </w:t>
            </w:r>
            <w:r w:rsidR="00F47CEA" w:rsidRPr="00656811">
              <w:rPr>
                <w:bCs/>
              </w:rPr>
              <w:t>šobrīd var aizkavēt zāļu nokļūšanu līdz pacient</w:t>
            </w:r>
            <w:r w:rsidR="006D1D34" w:rsidRPr="00656811">
              <w:rPr>
                <w:bCs/>
              </w:rPr>
              <w:t>iem</w:t>
            </w:r>
            <w:r w:rsidR="00F47CEA" w:rsidRPr="00656811">
              <w:rPr>
                <w:bCs/>
              </w:rPr>
              <w:t xml:space="preserve">, </w:t>
            </w:r>
            <w:r w:rsidR="00B27125" w:rsidRPr="00656811">
              <w:rPr>
                <w:bCs/>
              </w:rPr>
              <w:t xml:space="preserve">jo jāsaņem licence zāļu ražošanai (pārpakošanai) un jāveic pārpakošanas darbības, kā arī </w:t>
            </w:r>
            <w:r w:rsidR="00F47CEA" w:rsidRPr="00656811">
              <w:rPr>
                <w:bCs/>
              </w:rPr>
              <w:t xml:space="preserve">gadījumā ar centralizēti reģistrētajām zālēm, </w:t>
            </w:r>
            <w:r w:rsidR="00B27125" w:rsidRPr="00656811">
              <w:rPr>
                <w:bCs/>
              </w:rPr>
              <w:t>to</w:t>
            </w:r>
            <w:r w:rsidR="00F47CEA" w:rsidRPr="00656811">
              <w:rPr>
                <w:bCs/>
              </w:rPr>
              <w:t xml:space="preserve"> pārm</w:t>
            </w:r>
            <w:r w:rsidR="00B27125" w:rsidRPr="00656811">
              <w:rPr>
                <w:bCs/>
              </w:rPr>
              <w:t>a</w:t>
            </w:r>
            <w:r w:rsidR="00F47CEA" w:rsidRPr="00656811">
              <w:rPr>
                <w:bCs/>
              </w:rPr>
              <w:t xml:space="preserve">rķēšana būtu jāsaskaņo ar Eiropas Zāļu aģentūru, </w:t>
            </w:r>
            <w:r w:rsidR="00B27125" w:rsidRPr="00656811">
              <w:rPr>
                <w:bCs/>
              </w:rPr>
              <w:t xml:space="preserve">un </w:t>
            </w:r>
            <w:r w:rsidRPr="00656811">
              <w:rPr>
                <w:bCs/>
              </w:rPr>
              <w:t xml:space="preserve">šādas </w:t>
            </w:r>
            <w:r w:rsidR="00F47CEA" w:rsidRPr="00656811">
              <w:rPr>
                <w:bCs/>
              </w:rPr>
              <w:t xml:space="preserve">nepieciešamās formalitātes var liegt pacientam tiesības uz </w:t>
            </w:r>
            <w:r w:rsidR="00B27125" w:rsidRPr="00656811">
              <w:rPr>
                <w:bCs/>
              </w:rPr>
              <w:t xml:space="preserve">ātru zāļu saņemšanu, kas var ietekmēt </w:t>
            </w:r>
            <w:r w:rsidR="00F47CEA" w:rsidRPr="00656811">
              <w:rPr>
                <w:bCs/>
              </w:rPr>
              <w:t>ārstniecību</w:t>
            </w:r>
            <w:r w:rsidRPr="00656811">
              <w:rPr>
                <w:bCs/>
              </w:rPr>
              <w:t>.</w:t>
            </w:r>
          </w:p>
          <w:p w14:paraId="383009C3" w14:textId="77777777" w:rsidR="00341340" w:rsidRPr="00656811" w:rsidRDefault="00341340" w:rsidP="00341340">
            <w:pPr>
              <w:jc w:val="both"/>
              <w:rPr>
                <w:shd w:val="clear" w:color="auto" w:fill="FFFFFF"/>
              </w:rPr>
            </w:pPr>
          </w:p>
          <w:p w14:paraId="4E05CB8B" w14:textId="39C470A8" w:rsidR="00341340" w:rsidRPr="00656811" w:rsidRDefault="00341340" w:rsidP="00341340">
            <w:pPr>
              <w:jc w:val="both"/>
              <w:rPr>
                <w:shd w:val="clear" w:color="auto" w:fill="FFFFFF"/>
              </w:rPr>
            </w:pPr>
            <w:r w:rsidRPr="00656811">
              <w:rPr>
                <w:shd w:val="clear" w:color="auto" w:fill="FFFFFF"/>
              </w:rPr>
              <w:t>Pašreizējais regulējums MK noteikumu Nr. 57 41. punktā pieļauj atkāpes no MK noteikumu Nr. 57 5. punkta normas izpildes līdz 2020. gada 31. decembrim COVID </w:t>
            </w:r>
            <w:r w:rsidR="00462CFB" w:rsidRPr="00656811">
              <w:rPr>
                <w:shd w:val="clear" w:color="auto" w:fill="FFFFFF"/>
              </w:rPr>
              <w:t>-</w:t>
            </w:r>
            <w:r w:rsidRPr="00656811">
              <w:rPr>
                <w:shd w:val="clear" w:color="auto" w:fill="FFFFFF"/>
              </w:rPr>
              <w:t> 19 uzliesmojuma saistībā.</w:t>
            </w:r>
          </w:p>
          <w:p w14:paraId="1B6C3092" w14:textId="41801CDF" w:rsidR="00341340" w:rsidRPr="00656811" w:rsidRDefault="0084355A" w:rsidP="00341340">
            <w:pPr>
              <w:pStyle w:val="Bezatstarpm1"/>
              <w:jc w:val="both"/>
              <w:rPr>
                <w:rFonts w:ascii="Times New Roman" w:hAnsi="Times New Roman"/>
                <w:bCs/>
                <w:sz w:val="24"/>
                <w:szCs w:val="24"/>
                <w:lang w:val="lv-LV"/>
              </w:rPr>
            </w:pPr>
            <w:r w:rsidRPr="00656811">
              <w:rPr>
                <w:rFonts w:ascii="Times New Roman" w:hAnsi="Times New Roman"/>
                <w:bCs/>
                <w:sz w:val="24"/>
                <w:szCs w:val="24"/>
                <w:lang w:val="lv-LV"/>
              </w:rPr>
              <w:t>P</w:t>
            </w:r>
            <w:r w:rsidR="006D1D34" w:rsidRPr="00656811">
              <w:rPr>
                <w:rFonts w:ascii="Times New Roman" w:hAnsi="Times New Roman"/>
                <w:bCs/>
                <w:sz w:val="24"/>
                <w:szCs w:val="24"/>
                <w:lang w:val="lv-LV"/>
              </w:rPr>
              <w:t>ēc Zāļu valsts aģentūras ierosinājuma MK noteikumu Nr. 57 5. punkta normas izpilde būt</w:t>
            </w:r>
            <w:r w:rsidR="003B7E5D" w:rsidRPr="00656811">
              <w:rPr>
                <w:rFonts w:ascii="Times New Roman" w:hAnsi="Times New Roman"/>
                <w:bCs/>
                <w:sz w:val="24"/>
                <w:szCs w:val="24"/>
                <w:lang w:val="lv-LV"/>
              </w:rPr>
              <w:t>u</w:t>
            </w:r>
            <w:r w:rsidR="006D1D34" w:rsidRPr="00656811">
              <w:rPr>
                <w:rFonts w:ascii="Times New Roman" w:hAnsi="Times New Roman"/>
                <w:bCs/>
                <w:sz w:val="24"/>
                <w:szCs w:val="24"/>
                <w:lang w:val="lv-LV"/>
              </w:rPr>
              <w:t xml:space="preserve"> atliekama </w:t>
            </w:r>
            <w:r w:rsidR="00341340" w:rsidRPr="00656811">
              <w:rPr>
                <w:rFonts w:ascii="Times New Roman" w:hAnsi="Times New Roman"/>
                <w:bCs/>
                <w:sz w:val="24"/>
                <w:szCs w:val="24"/>
                <w:lang w:val="lv-LV"/>
              </w:rPr>
              <w:t xml:space="preserve">vēl </w:t>
            </w:r>
            <w:r w:rsidR="006D1D34" w:rsidRPr="00656811">
              <w:rPr>
                <w:rFonts w:ascii="Times New Roman" w:hAnsi="Times New Roman"/>
                <w:bCs/>
                <w:sz w:val="24"/>
                <w:szCs w:val="24"/>
                <w:lang w:val="lv-LV"/>
              </w:rPr>
              <w:t>vismaz par sešiem mēnešiem</w:t>
            </w:r>
            <w:r w:rsidRPr="00656811">
              <w:rPr>
                <w:rFonts w:ascii="Times New Roman" w:hAnsi="Times New Roman"/>
                <w:bCs/>
                <w:sz w:val="24"/>
                <w:szCs w:val="24"/>
                <w:lang w:val="lv-LV"/>
              </w:rPr>
              <w:t>.</w:t>
            </w:r>
            <w:r w:rsidR="00072178" w:rsidRPr="00656811">
              <w:rPr>
                <w:rFonts w:ascii="Times New Roman" w:hAnsi="Times New Roman"/>
                <w:bCs/>
                <w:sz w:val="24"/>
                <w:szCs w:val="24"/>
                <w:lang w:val="lv-LV"/>
              </w:rPr>
              <w:t xml:space="preserve"> </w:t>
            </w:r>
            <w:r w:rsidRPr="00656811">
              <w:rPr>
                <w:rFonts w:ascii="Times New Roman" w:hAnsi="Times New Roman"/>
                <w:bCs/>
                <w:sz w:val="24"/>
                <w:szCs w:val="24"/>
                <w:lang w:val="lv-LV"/>
              </w:rPr>
              <w:t>I</w:t>
            </w:r>
            <w:r w:rsidR="00341340" w:rsidRPr="00656811">
              <w:rPr>
                <w:rFonts w:ascii="Times New Roman" w:hAnsi="Times New Roman"/>
                <w:bCs/>
                <w:sz w:val="24"/>
                <w:szCs w:val="24"/>
                <w:lang w:val="lv-LV"/>
              </w:rPr>
              <w:t xml:space="preserve">zvērtējot lietderību un riskus, ko var radīt zāļu pieejamības pārtraukums vai citas valsts tirgum paredzēto zāļu izplatīšana Latvijā, noteikumu par zāļu marķēšanas kārtību un zāļu lietošanas instrukcijai izvirzāmajām prasībām, kādas nepieciešams ievērot, ja Latvijas Republikā reģistrētās un Latvijas zāļu reģistrā iekļautās zāles ir nepieciešams izplatīt citai Eiropas Ekonomikas zonas valstij paredzētajā marķējumā īslaicīgā zāļu pieejamības pārtraukuma </w:t>
            </w:r>
            <w:r w:rsidR="00341340" w:rsidRPr="00656811">
              <w:rPr>
                <w:rFonts w:ascii="Times New Roman" w:hAnsi="Times New Roman"/>
                <w:bCs/>
                <w:sz w:val="24"/>
                <w:szCs w:val="24"/>
                <w:lang w:val="lv-LV"/>
              </w:rPr>
              <w:lastRenderedPageBreak/>
              <w:t>gadījumā, pārejas noteikumiem tiek pagarināts termiņš līdz 2021.</w:t>
            </w:r>
            <w:r w:rsidR="00462CFB" w:rsidRPr="00656811">
              <w:rPr>
                <w:rFonts w:ascii="Times New Roman" w:hAnsi="Times New Roman"/>
                <w:bCs/>
                <w:sz w:val="24"/>
                <w:szCs w:val="24"/>
                <w:lang w:val="lv-LV"/>
              </w:rPr>
              <w:t> </w:t>
            </w:r>
            <w:r w:rsidR="00341340" w:rsidRPr="00656811">
              <w:rPr>
                <w:rFonts w:ascii="Times New Roman" w:hAnsi="Times New Roman"/>
                <w:bCs/>
                <w:sz w:val="24"/>
                <w:szCs w:val="24"/>
                <w:lang w:val="lv-LV"/>
              </w:rPr>
              <w:t>gada 3</w:t>
            </w:r>
            <w:r w:rsidRPr="00656811">
              <w:rPr>
                <w:rFonts w:ascii="Times New Roman" w:hAnsi="Times New Roman"/>
                <w:bCs/>
                <w:sz w:val="24"/>
                <w:szCs w:val="24"/>
                <w:lang w:val="lv-LV"/>
              </w:rPr>
              <w:t>0</w:t>
            </w:r>
            <w:r w:rsidR="00341340" w:rsidRPr="00656811">
              <w:rPr>
                <w:rFonts w:ascii="Times New Roman" w:hAnsi="Times New Roman"/>
                <w:bCs/>
                <w:sz w:val="24"/>
                <w:szCs w:val="24"/>
                <w:lang w:val="lv-LV"/>
              </w:rPr>
              <w:t>.</w:t>
            </w:r>
            <w:r w:rsidR="00462CFB" w:rsidRPr="00656811">
              <w:rPr>
                <w:rFonts w:ascii="Times New Roman" w:hAnsi="Times New Roman"/>
                <w:bCs/>
                <w:sz w:val="24"/>
                <w:szCs w:val="24"/>
                <w:lang w:val="lv-LV"/>
              </w:rPr>
              <w:t> </w:t>
            </w:r>
            <w:r w:rsidRPr="00656811">
              <w:rPr>
                <w:rFonts w:ascii="Times New Roman" w:hAnsi="Times New Roman"/>
                <w:bCs/>
                <w:sz w:val="24"/>
                <w:szCs w:val="24"/>
                <w:lang w:val="lv-LV"/>
              </w:rPr>
              <w:t>jūnijam.</w:t>
            </w:r>
          </w:p>
          <w:p w14:paraId="69F61694" w14:textId="08FACECE" w:rsidR="0033275E" w:rsidRPr="00656811" w:rsidRDefault="0084355A" w:rsidP="0033275E">
            <w:pPr>
              <w:jc w:val="both"/>
              <w:rPr>
                <w:bCs/>
              </w:rPr>
            </w:pPr>
            <w:r w:rsidRPr="00656811">
              <w:rPr>
                <w:bCs/>
              </w:rPr>
              <w:t xml:space="preserve">Tas nozīmē to, ka </w:t>
            </w:r>
            <w:r w:rsidR="00620EE0" w:rsidRPr="00656811">
              <w:rPr>
                <w:bCs/>
              </w:rPr>
              <w:t xml:space="preserve">Latvijas Republikā reģistrētās un Latvijas zāļu reģistrā iekļautās zāles vai tām analogās zāles (zāles ar tādu pašu aktīvo vielu, stiprumu, zāļu formu un paredzētas tādam pašam lietošanas veidam) </w:t>
            </w:r>
            <w:r w:rsidRPr="00656811">
              <w:rPr>
                <w:bCs/>
              </w:rPr>
              <w:t>arī pēc 2020.</w:t>
            </w:r>
            <w:r w:rsidR="00462CFB" w:rsidRPr="00656811">
              <w:rPr>
                <w:bCs/>
              </w:rPr>
              <w:t> </w:t>
            </w:r>
            <w:r w:rsidRPr="00656811">
              <w:rPr>
                <w:bCs/>
              </w:rPr>
              <w:t>gada 31.</w:t>
            </w:r>
            <w:r w:rsidR="00462CFB" w:rsidRPr="00656811">
              <w:rPr>
                <w:bCs/>
              </w:rPr>
              <w:t> </w:t>
            </w:r>
            <w:r w:rsidRPr="00656811">
              <w:rPr>
                <w:bCs/>
              </w:rPr>
              <w:t xml:space="preserve">decembra varēs izplatīt arī citas Eiropas Savienības dalībvalsts marķējumā, bet šajā gadījumā aptiekā farmaceits </w:t>
            </w:r>
            <w:r w:rsidR="00462CFB" w:rsidRPr="00656811">
              <w:rPr>
                <w:bCs/>
              </w:rPr>
              <w:t>klientam/</w:t>
            </w:r>
            <w:r w:rsidRPr="00656811">
              <w:rPr>
                <w:bCs/>
              </w:rPr>
              <w:t>pacientam izsniegs zāļu lietošanas instrukciju valsts valodā kopā ar zāļu iepakojumu.</w:t>
            </w:r>
          </w:p>
          <w:p w14:paraId="1A9B9825" w14:textId="77777777" w:rsidR="0084355A" w:rsidRPr="00656811" w:rsidRDefault="0084355A" w:rsidP="0033275E">
            <w:pPr>
              <w:jc w:val="both"/>
              <w:rPr>
                <w:bCs/>
              </w:rPr>
            </w:pPr>
          </w:p>
          <w:p w14:paraId="5ECEF45A" w14:textId="3394A434" w:rsidR="00072178" w:rsidRPr="00656811" w:rsidRDefault="0033275E" w:rsidP="0033275E">
            <w:pPr>
              <w:jc w:val="both"/>
            </w:pPr>
            <w:r w:rsidRPr="00656811">
              <w:rPr>
                <w:bCs/>
              </w:rPr>
              <w:t xml:space="preserve">Vienlaicīgi informējam, ka </w:t>
            </w:r>
            <w:r w:rsidR="00E5474D" w:rsidRPr="00656811">
              <w:rPr>
                <w:bCs/>
              </w:rPr>
              <w:t>Eiropas Komisijas (EK), Eiropas Zāļu aģentūras (</w:t>
            </w:r>
            <w:proofErr w:type="spellStart"/>
            <w:r w:rsidR="00E5474D" w:rsidRPr="00656811">
              <w:rPr>
                <w:bCs/>
              </w:rPr>
              <w:t>EMAs</w:t>
            </w:r>
            <w:proofErr w:type="spellEnd"/>
            <w:r w:rsidR="00E5474D" w:rsidRPr="00656811">
              <w:rPr>
                <w:bCs/>
              </w:rPr>
              <w:t xml:space="preserve">) </w:t>
            </w:r>
            <w:r w:rsidR="00E5474D" w:rsidRPr="00656811">
              <w:t xml:space="preserve">un Eiropas zāļu aģentūru vadītāju 2020. gada 10. aprīļa paziņojuma “Jautājumu un atbilžu dokuments par zāļu reglamentējuma jautājumiem </w:t>
            </w:r>
            <w:proofErr w:type="spellStart"/>
            <w:r w:rsidR="00E5474D" w:rsidRPr="00656811">
              <w:t>Covid</w:t>
            </w:r>
            <w:proofErr w:type="spellEnd"/>
            <w:r w:rsidR="00E5474D" w:rsidRPr="00656811">
              <w:t> - 19 pandēmijas laikā”</w:t>
            </w:r>
            <w:r w:rsidRPr="00656811">
              <w:t xml:space="preserve"> A 5.a punktā </w:t>
            </w:r>
            <w:r w:rsidR="00462CFB" w:rsidRPr="00656811">
              <w:t>(</w:t>
            </w:r>
            <w:hyperlink r:id="rId10" w:history="1">
              <w:r w:rsidRPr="00656811">
                <w:rPr>
                  <w:rStyle w:val="Hyperlink"/>
                  <w:color w:val="auto"/>
                </w:rPr>
                <w:t>file:///C:/Users/User/Documents/darbs/2020/Projekti/COVID-situacija/gmp-gdo-304-416-344/guidance_regulatory_covid19_en.pdf</w:t>
              </w:r>
            </w:hyperlink>
            <w:r w:rsidR="00462CFB" w:rsidRPr="00656811">
              <w:rPr>
                <w:rStyle w:val="Hyperlink"/>
                <w:color w:val="auto"/>
              </w:rPr>
              <w:t>)</w:t>
            </w:r>
            <w:r w:rsidRPr="00656811">
              <w:t xml:space="preserve"> ir sniegti norādījumi dalībvalstīm par elastību zāļu marķēšanas un iepakošanas prasībās, lai atvieglotu zāļu apriti ES. Kā minētajā dokumentā norādīts zāļu aprite ES ir jāatvieglo, lai </w:t>
            </w:r>
            <w:r w:rsidR="00462CFB" w:rsidRPr="00656811">
              <w:t>zāles</w:t>
            </w:r>
            <w:r w:rsidRPr="00656811">
              <w:t xml:space="preserve"> vajadzības gadījumā būtu pieejamas dalībvalstīs </w:t>
            </w:r>
            <w:proofErr w:type="spellStart"/>
            <w:r w:rsidRPr="00656811">
              <w:t>Covid</w:t>
            </w:r>
            <w:proofErr w:type="spellEnd"/>
            <w:r w:rsidR="0063623E" w:rsidRPr="00656811">
              <w:t> </w:t>
            </w:r>
            <w:r w:rsidRPr="00656811">
              <w:t>-</w:t>
            </w:r>
            <w:r w:rsidR="0063623E" w:rsidRPr="00656811">
              <w:t> </w:t>
            </w:r>
            <w:r w:rsidRPr="00656811">
              <w:t xml:space="preserve">19 uzliesmojuma saistībā, un pašreizējos izņēmuma gadījumos būtu pilnībā jāizmanto </w:t>
            </w:r>
            <w:r w:rsidR="00B94C11" w:rsidRPr="00656811">
              <w:t>Direktīv</w:t>
            </w:r>
            <w:r w:rsidR="00462CFB" w:rsidRPr="00656811">
              <w:t>ā</w:t>
            </w:r>
            <w:r w:rsidR="00B94C11" w:rsidRPr="00656811">
              <w:t xml:space="preserve"> 2001/83</w:t>
            </w:r>
            <w:r w:rsidR="00B94C11" w:rsidRPr="00656811">
              <w:rPr>
                <w:rStyle w:val="FootnoteReference"/>
              </w:rPr>
              <w:footnoteReference w:id="1"/>
            </w:r>
            <w:r w:rsidR="00B94C11" w:rsidRPr="00656811">
              <w:t xml:space="preserve"> </w:t>
            </w:r>
            <w:r w:rsidRPr="00656811">
              <w:t>paredzētās regulatīvās elastības iespējas. Saskaņā ar Direktīvas 2001/83 63.</w:t>
            </w:r>
            <w:r w:rsidR="0063623E" w:rsidRPr="00656811">
              <w:t> </w:t>
            </w:r>
            <w:r w:rsidRPr="00656811">
              <w:t>panta 3. punktu dalībvalstis var piešķirt pilnīgu vai daļēju atbrīvojumu no dažām marķēšanas un iepakošanas prasībām, lai risinātu nopietnas problēmas saistībā ar zāļu pieejamību. Tādēļ COVID</w:t>
            </w:r>
            <w:r w:rsidR="0063623E" w:rsidRPr="00656811">
              <w:t> </w:t>
            </w:r>
            <w:r w:rsidRPr="00656811">
              <w:t>-</w:t>
            </w:r>
            <w:r w:rsidR="0063623E" w:rsidRPr="00656811">
              <w:t> </w:t>
            </w:r>
            <w:r w:rsidRPr="00656811">
              <w:t xml:space="preserve">19 pandēmijas laikā dalībvalstis var </w:t>
            </w:r>
            <w:r w:rsidR="00462CFB" w:rsidRPr="00656811">
              <w:t xml:space="preserve">pat </w:t>
            </w:r>
            <w:r w:rsidRPr="00656811">
              <w:t xml:space="preserve">pieņemt, ka to teritorijā tirgoto produktu informāciju nav </w:t>
            </w:r>
            <w:proofErr w:type="spellStart"/>
            <w:r w:rsidRPr="00656811">
              <w:t>jātulkot</w:t>
            </w:r>
            <w:proofErr w:type="spellEnd"/>
            <w:r w:rsidRPr="00656811">
              <w:t xml:space="preserve"> attiecīgajā oficiālajā valodā, ja pastāv nopietnas problēmas saistībā ar šo zāļu pieejamību dalībvalstī. Turklāt šajos ārkārtas apstākļos var pieņemt, ka valsts īpašā informācija nav redzama iepakojumā/marķējumā vai ka noformējums atšķiras no noformējumiem, kas atļauti dalībvalstī, kurā produktu lai</w:t>
            </w:r>
            <w:r w:rsidR="0084355A" w:rsidRPr="00656811">
              <w:t>ž</w:t>
            </w:r>
            <w:r w:rsidRPr="00656811">
              <w:t xml:space="preserve"> tirg</w:t>
            </w:r>
            <w:r w:rsidR="0084355A" w:rsidRPr="00656811">
              <w:t>ū</w:t>
            </w:r>
            <w:r w:rsidRPr="00656811">
              <w:t>.</w:t>
            </w:r>
          </w:p>
          <w:p w14:paraId="3FC9888C" w14:textId="77777777" w:rsidR="0033275E" w:rsidRPr="00656811" w:rsidRDefault="0033275E" w:rsidP="00240E22">
            <w:pPr>
              <w:pStyle w:val="NoSpacing"/>
              <w:jc w:val="both"/>
              <w:rPr>
                <w:rFonts w:ascii="Times New Roman" w:hAnsi="Times New Roman" w:cs="Times New Roman"/>
                <w:sz w:val="24"/>
                <w:szCs w:val="24"/>
              </w:rPr>
            </w:pPr>
          </w:p>
          <w:p w14:paraId="5E6609DD" w14:textId="6E598731" w:rsidR="00240E22" w:rsidRPr="00656811" w:rsidRDefault="00987C7C" w:rsidP="00240E22">
            <w:pPr>
              <w:pStyle w:val="NoSpacing"/>
              <w:jc w:val="both"/>
              <w:rPr>
                <w:rFonts w:ascii="Times New Roman" w:hAnsi="Times New Roman" w:cs="Times New Roman"/>
                <w:sz w:val="24"/>
                <w:szCs w:val="24"/>
              </w:rPr>
            </w:pPr>
            <w:r w:rsidRPr="00656811">
              <w:rPr>
                <w:rFonts w:ascii="Times New Roman" w:hAnsi="Times New Roman" w:cs="Times New Roman"/>
                <w:sz w:val="24"/>
                <w:szCs w:val="24"/>
              </w:rPr>
              <w:t>2 ) </w:t>
            </w:r>
            <w:r w:rsidR="00127C5A" w:rsidRPr="00656811">
              <w:rPr>
                <w:rFonts w:ascii="Times New Roman" w:hAnsi="Times New Roman" w:cs="Times New Roman"/>
                <w:sz w:val="24"/>
                <w:szCs w:val="24"/>
              </w:rPr>
              <w:t>Pašreizēj</w:t>
            </w:r>
            <w:r w:rsidR="00B27125" w:rsidRPr="00656811">
              <w:rPr>
                <w:rFonts w:ascii="Times New Roman" w:hAnsi="Times New Roman" w:cs="Times New Roman"/>
                <w:sz w:val="24"/>
                <w:szCs w:val="24"/>
              </w:rPr>
              <w:t>ais</w:t>
            </w:r>
            <w:r w:rsidR="00127C5A" w:rsidRPr="00656811">
              <w:rPr>
                <w:rFonts w:ascii="Times New Roman" w:hAnsi="Times New Roman" w:cs="Times New Roman"/>
                <w:sz w:val="24"/>
                <w:szCs w:val="24"/>
              </w:rPr>
              <w:t xml:space="preserve"> regulējum</w:t>
            </w:r>
            <w:r w:rsidR="00B27125" w:rsidRPr="00656811">
              <w:rPr>
                <w:rFonts w:ascii="Times New Roman" w:hAnsi="Times New Roman" w:cs="Times New Roman"/>
                <w:sz w:val="24"/>
                <w:szCs w:val="24"/>
              </w:rPr>
              <w:t>s</w:t>
            </w:r>
            <w:r w:rsidR="00F47CEA" w:rsidRPr="00656811">
              <w:rPr>
                <w:rFonts w:ascii="Times New Roman" w:hAnsi="Times New Roman" w:cs="Times New Roman"/>
                <w:sz w:val="24"/>
                <w:szCs w:val="24"/>
              </w:rPr>
              <w:t xml:space="preserve"> </w:t>
            </w:r>
            <w:r w:rsidR="00127C5A" w:rsidRPr="00656811">
              <w:rPr>
                <w:rFonts w:ascii="Times New Roman" w:hAnsi="Times New Roman" w:cs="Times New Roman"/>
                <w:sz w:val="24"/>
                <w:szCs w:val="24"/>
                <w:shd w:val="clear" w:color="auto" w:fill="FFFFFF"/>
              </w:rPr>
              <w:t>MK noteikum</w:t>
            </w:r>
            <w:r w:rsidR="00C10B85" w:rsidRPr="00656811">
              <w:rPr>
                <w:rFonts w:ascii="Times New Roman" w:hAnsi="Times New Roman" w:cs="Times New Roman"/>
                <w:sz w:val="24"/>
                <w:szCs w:val="24"/>
                <w:shd w:val="clear" w:color="auto" w:fill="FFFFFF"/>
              </w:rPr>
              <w:t>os</w:t>
            </w:r>
            <w:r w:rsidR="00127C5A" w:rsidRPr="00656811">
              <w:rPr>
                <w:rFonts w:ascii="Times New Roman" w:hAnsi="Times New Roman" w:cs="Times New Roman"/>
                <w:sz w:val="24"/>
                <w:szCs w:val="24"/>
                <w:shd w:val="clear" w:color="auto" w:fill="FFFFFF"/>
              </w:rPr>
              <w:t xml:space="preserve"> Nr.</w:t>
            </w:r>
            <w:r w:rsidR="00127C5A" w:rsidRPr="00656811">
              <w:rPr>
                <w:rFonts w:ascii="Times New Roman" w:hAnsi="Times New Roman" w:cs="Times New Roman"/>
                <w:shd w:val="clear" w:color="auto" w:fill="FFFFFF"/>
              </w:rPr>
              <w:t> </w:t>
            </w:r>
            <w:r w:rsidR="00127C5A" w:rsidRPr="00656811">
              <w:rPr>
                <w:rFonts w:ascii="Times New Roman" w:hAnsi="Times New Roman" w:cs="Times New Roman"/>
                <w:sz w:val="24"/>
                <w:szCs w:val="24"/>
                <w:shd w:val="clear" w:color="auto" w:fill="FFFFFF"/>
              </w:rPr>
              <w:t>57 41.1. </w:t>
            </w:r>
            <w:r w:rsidR="00127C5A" w:rsidRPr="00656811">
              <w:rPr>
                <w:rFonts w:ascii="Times New Roman" w:hAnsi="Times New Roman" w:cs="Times New Roman"/>
                <w:shd w:val="clear" w:color="auto" w:fill="FFFFFF"/>
              </w:rPr>
              <w:t>apakš</w:t>
            </w:r>
            <w:r w:rsidR="00127C5A" w:rsidRPr="00656811">
              <w:rPr>
                <w:rFonts w:ascii="Times New Roman" w:hAnsi="Times New Roman" w:cs="Times New Roman"/>
                <w:sz w:val="24"/>
                <w:szCs w:val="24"/>
                <w:shd w:val="clear" w:color="auto" w:fill="FFFFFF"/>
              </w:rPr>
              <w:t>punkt</w:t>
            </w:r>
            <w:r w:rsidR="008A4EB6" w:rsidRPr="00656811">
              <w:rPr>
                <w:rFonts w:ascii="Times New Roman" w:hAnsi="Times New Roman" w:cs="Times New Roman"/>
                <w:sz w:val="24"/>
                <w:szCs w:val="24"/>
                <w:shd w:val="clear" w:color="auto" w:fill="FFFFFF"/>
              </w:rPr>
              <w:t>ā</w:t>
            </w:r>
            <w:r w:rsidR="00F47CEA" w:rsidRPr="00656811">
              <w:rPr>
                <w:rFonts w:ascii="Times New Roman" w:hAnsi="Times New Roman" w:cs="Times New Roman"/>
                <w:sz w:val="24"/>
                <w:szCs w:val="24"/>
                <w:shd w:val="clear" w:color="auto" w:fill="FFFFFF"/>
              </w:rPr>
              <w:t xml:space="preserve"> </w:t>
            </w:r>
            <w:r w:rsidR="004A4941" w:rsidRPr="00656811">
              <w:rPr>
                <w:rFonts w:ascii="Times New Roman" w:hAnsi="Times New Roman" w:cs="Times New Roman"/>
                <w:sz w:val="24"/>
                <w:szCs w:val="24"/>
                <w:shd w:val="clear" w:color="auto" w:fill="FFFFFF"/>
              </w:rPr>
              <w:t>rada</w:t>
            </w:r>
            <w:r w:rsidR="00C433A2" w:rsidRPr="00656811">
              <w:rPr>
                <w:rFonts w:ascii="Times New Roman" w:hAnsi="Times New Roman" w:cs="Times New Roman"/>
                <w:sz w:val="24"/>
                <w:szCs w:val="24"/>
                <w:shd w:val="clear" w:color="auto" w:fill="FFFFFF"/>
              </w:rPr>
              <w:t xml:space="preserve"> </w:t>
            </w:r>
            <w:r w:rsidR="00C56B8A" w:rsidRPr="00656811">
              <w:rPr>
                <w:rFonts w:ascii="Times New Roman" w:hAnsi="Times New Roman" w:cs="Times New Roman"/>
                <w:sz w:val="24"/>
                <w:szCs w:val="24"/>
                <w:shd w:val="clear" w:color="auto" w:fill="FFFFFF"/>
              </w:rPr>
              <w:t>risk</w:t>
            </w:r>
            <w:r w:rsidR="004A4941" w:rsidRPr="00656811">
              <w:rPr>
                <w:rFonts w:ascii="Times New Roman" w:hAnsi="Times New Roman" w:cs="Times New Roman"/>
                <w:sz w:val="24"/>
                <w:szCs w:val="24"/>
                <w:shd w:val="clear" w:color="auto" w:fill="FFFFFF"/>
              </w:rPr>
              <w:t>u</w:t>
            </w:r>
            <w:r w:rsidR="00240E22" w:rsidRPr="00656811">
              <w:rPr>
                <w:rFonts w:ascii="Times New Roman" w:hAnsi="Times New Roman" w:cs="Times New Roman"/>
                <w:sz w:val="24"/>
                <w:szCs w:val="24"/>
                <w:shd w:val="clear" w:color="auto" w:fill="FFFFFF"/>
              </w:rPr>
              <w:t>, ka zāļu vairumtirgotājs var nepiegādāt vispārējā tipa aptiek</w:t>
            </w:r>
            <w:r w:rsidR="00C433A2" w:rsidRPr="00656811">
              <w:rPr>
                <w:rFonts w:ascii="Times New Roman" w:hAnsi="Times New Roman" w:cs="Times New Roman"/>
                <w:sz w:val="24"/>
                <w:szCs w:val="24"/>
                <w:shd w:val="clear" w:color="auto" w:fill="FFFFFF"/>
              </w:rPr>
              <w:t>ai</w:t>
            </w:r>
            <w:r w:rsidR="00240E22" w:rsidRPr="00656811">
              <w:rPr>
                <w:rFonts w:ascii="Times New Roman" w:hAnsi="Times New Roman" w:cs="Times New Roman"/>
                <w:sz w:val="24"/>
                <w:szCs w:val="24"/>
                <w:shd w:val="clear" w:color="auto" w:fill="FFFFFF"/>
              </w:rPr>
              <w:t xml:space="preserve"> zāļu lietošanas instrukcij</w:t>
            </w:r>
            <w:r w:rsidR="00C433A2" w:rsidRPr="00656811">
              <w:rPr>
                <w:rFonts w:ascii="Times New Roman" w:hAnsi="Times New Roman" w:cs="Times New Roman"/>
                <w:sz w:val="24"/>
                <w:szCs w:val="24"/>
                <w:shd w:val="clear" w:color="auto" w:fill="FFFFFF"/>
              </w:rPr>
              <w:t xml:space="preserve">as valsts valodā pietiekošā </w:t>
            </w:r>
            <w:r w:rsidR="00240E22" w:rsidRPr="00656811">
              <w:rPr>
                <w:rFonts w:ascii="Times New Roman" w:hAnsi="Times New Roman" w:cs="Times New Roman"/>
                <w:sz w:val="24"/>
                <w:szCs w:val="24"/>
                <w:shd w:val="clear" w:color="auto" w:fill="FFFFFF"/>
              </w:rPr>
              <w:t>daudzum</w:t>
            </w:r>
            <w:r w:rsidR="00C433A2" w:rsidRPr="00656811">
              <w:rPr>
                <w:rFonts w:ascii="Times New Roman" w:hAnsi="Times New Roman" w:cs="Times New Roman"/>
                <w:sz w:val="24"/>
                <w:szCs w:val="24"/>
                <w:shd w:val="clear" w:color="auto" w:fill="FFFFFF"/>
              </w:rPr>
              <w:t>ā</w:t>
            </w:r>
            <w:r w:rsidR="00C56B8A" w:rsidRPr="00656811">
              <w:rPr>
                <w:rFonts w:ascii="Times New Roman" w:hAnsi="Times New Roman" w:cs="Times New Roman"/>
                <w:sz w:val="24"/>
                <w:szCs w:val="24"/>
                <w:shd w:val="clear" w:color="auto" w:fill="FFFFFF"/>
              </w:rPr>
              <w:t>. T</w:t>
            </w:r>
            <w:r w:rsidR="00240E22" w:rsidRPr="00656811">
              <w:rPr>
                <w:rFonts w:ascii="Times New Roman" w:hAnsi="Times New Roman" w:cs="Times New Roman"/>
                <w:sz w:val="24"/>
                <w:szCs w:val="24"/>
                <w:shd w:val="clear" w:color="auto" w:fill="FFFFFF"/>
              </w:rPr>
              <w:t xml:space="preserve">āpēc </w:t>
            </w:r>
            <w:r w:rsidR="00AB054B" w:rsidRPr="00656811">
              <w:rPr>
                <w:rFonts w:ascii="Times New Roman" w:hAnsi="Times New Roman" w:cs="Times New Roman"/>
                <w:sz w:val="24"/>
                <w:szCs w:val="24"/>
                <w:shd w:val="clear" w:color="auto" w:fill="FFFFFF"/>
              </w:rPr>
              <w:t>regulējums</w:t>
            </w:r>
            <w:r w:rsidR="00240E22" w:rsidRPr="00656811">
              <w:rPr>
                <w:rFonts w:ascii="Times New Roman" w:hAnsi="Times New Roman" w:cs="Times New Roman"/>
                <w:sz w:val="24"/>
                <w:szCs w:val="24"/>
                <w:shd w:val="clear" w:color="auto" w:fill="FFFFFF"/>
              </w:rPr>
              <w:t xml:space="preserve"> </w:t>
            </w:r>
            <w:r w:rsidR="00C56B8A" w:rsidRPr="00656811">
              <w:rPr>
                <w:rFonts w:ascii="Times New Roman" w:hAnsi="Times New Roman" w:cs="Times New Roman"/>
                <w:sz w:val="24"/>
                <w:szCs w:val="24"/>
                <w:shd w:val="clear" w:color="auto" w:fill="FFFFFF"/>
              </w:rPr>
              <w:t xml:space="preserve">MK noteikumos Nr. 57 </w:t>
            </w:r>
            <w:r w:rsidR="004A4941" w:rsidRPr="00656811">
              <w:rPr>
                <w:rFonts w:ascii="Times New Roman" w:hAnsi="Times New Roman" w:cs="Times New Roman"/>
                <w:sz w:val="24"/>
                <w:szCs w:val="24"/>
                <w:shd w:val="clear" w:color="auto" w:fill="FFFFFF"/>
              </w:rPr>
              <w:t xml:space="preserve">41.1. apakšpunktā </w:t>
            </w:r>
            <w:r w:rsidR="0079576F" w:rsidRPr="00656811">
              <w:rPr>
                <w:rFonts w:ascii="Times New Roman" w:hAnsi="Times New Roman" w:cs="Times New Roman"/>
                <w:sz w:val="24"/>
                <w:szCs w:val="24"/>
                <w:shd w:val="clear" w:color="auto" w:fill="FFFFFF"/>
              </w:rPr>
              <w:t xml:space="preserve">regulējums </w:t>
            </w:r>
            <w:r w:rsidR="004A4941" w:rsidRPr="00656811">
              <w:rPr>
                <w:rFonts w:ascii="Times New Roman" w:hAnsi="Times New Roman" w:cs="Times New Roman"/>
                <w:sz w:val="24"/>
                <w:szCs w:val="24"/>
                <w:shd w:val="clear" w:color="auto" w:fill="FFFFFF"/>
              </w:rPr>
              <w:t xml:space="preserve">pēc Zāļu valsts aģentūras ierosinājuma </w:t>
            </w:r>
            <w:r w:rsidR="00C56B8A" w:rsidRPr="00656811">
              <w:rPr>
                <w:rFonts w:ascii="Times New Roman" w:hAnsi="Times New Roman" w:cs="Times New Roman"/>
                <w:sz w:val="24"/>
                <w:szCs w:val="24"/>
                <w:shd w:val="clear" w:color="auto" w:fill="FFFFFF"/>
              </w:rPr>
              <w:t>tiek konkretizē</w:t>
            </w:r>
            <w:r w:rsidR="0079576F" w:rsidRPr="00656811">
              <w:rPr>
                <w:rFonts w:ascii="Times New Roman" w:hAnsi="Times New Roman" w:cs="Times New Roman"/>
                <w:sz w:val="24"/>
                <w:szCs w:val="24"/>
                <w:shd w:val="clear" w:color="auto" w:fill="FFFFFF"/>
              </w:rPr>
              <w:t>s, nosakot</w:t>
            </w:r>
            <w:r w:rsidR="004A4941" w:rsidRPr="00656811">
              <w:rPr>
                <w:rFonts w:ascii="Times New Roman" w:hAnsi="Times New Roman" w:cs="Times New Roman"/>
                <w:sz w:val="24"/>
                <w:szCs w:val="24"/>
                <w:shd w:val="clear" w:color="auto" w:fill="FFFFFF"/>
              </w:rPr>
              <w:t xml:space="preserve"> </w:t>
            </w:r>
            <w:r w:rsidR="00240E22" w:rsidRPr="00656811">
              <w:rPr>
                <w:rFonts w:ascii="Times New Roman" w:hAnsi="Times New Roman" w:cs="Times New Roman"/>
                <w:sz w:val="24"/>
                <w:szCs w:val="24"/>
                <w:shd w:val="clear" w:color="auto" w:fill="FFFFFF"/>
              </w:rPr>
              <w:t>zāļu vairumtirgotāja</w:t>
            </w:r>
            <w:r w:rsidR="004A4941" w:rsidRPr="00656811">
              <w:rPr>
                <w:rFonts w:ascii="Times New Roman" w:hAnsi="Times New Roman" w:cs="Times New Roman"/>
                <w:sz w:val="24"/>
                <w:szCs w:val="24"/>
                <w:shd w:val="clear" w:color="auto" w:fill="FFFFFF"/>
              </w:rPr>
              <w:t xml:space="preserve"> pienākum</w:t>
            </w:r>
            <w:r w:rsidR="0079576F" w:rsidRPr="00656811">
              <w:rPr>
                <w:rFonts w:ascii="Times New Roman" w:hAnsi="Times New Roman" w:cs="Times New Roman"/>
                <w:sz w:val="24"/>
                <w:szCs w:val="24"/>
                <w:shd w:val="clear" w:color="auto" w:fill="FFFFFF"/>
              </w:rPr>
              <w:t>u piegādāt aptiekai zāļu lietošanas instrukcijas nepieciešamajā daudzumā</w:t>
            </w:r>
            <w:r w:rsidR="004A4941" w:rsidRPr="00656811">
              <w:rPr>
                <w:rFonts w:ascii="Times New Roman" w:hAnsi="Times New Roman" w:cs="Times New Roman"/>
                <w:sz w:val="24"/>
                <w:szCs w:val="24"/>
                <w:shd w:val="clear" w:color="auto" w:fill="FFFFFF"/>
              </w:rPr>
              <w:t>.</w:t>
            </w:r>
          </w:p>
          <w:p w14:paraId="51B79800" w14:textId="0B955D0C" w:rsidR="00127C5A" w:rsidRPr="00656811" w:rsidRDefault="00127C5A" w:rsidP="00EE12CA">
            <w:pPr>
              <w:pStyle w:val="NoSpacing"/>
              <w:jc w:val="both"/>
              <w:rPr>
                <w:rFonts w:ascii="Times New Roman" w:hAnsi="Times New Roman" w:cs="Times New Roman"/>
                <w:sz w:val="24"/>
                <w:szCs w:val="24"/>
                <w:shd w:val="clear" w:color="auto" w:fill="FFFFFF"/>
              </w:rPr>
            </w:pPr>
          </w:p>
          <w:p w14:paraId="22F0DC2B" w14:textId="77777777" w:rsidR="00432486" w:rsidRPr="00656811" w:rsidRDefault="00987C7C" w:rsidP="003B7E5D">
            <w:pPr>
              <w:pStyle w:val="Bezatstarpm1"/>
              <w:jc w:val="both"/>
              <w:rPr>
                <w:rStyle w:val="Noklusjumarindkopasfonts1"/>
                <w:rFonts w:ascii="Times New Roman" w:hAnsi="Times New Roman"/>
                <w:sz w:val="24"/>
                <w:szCs w:val="24"/>
                <w:lang w:val="lv-LV"/>
              </w:rPr>
            </w:pPr>
            <w:r w:rsidRPr="00656811">
              <w:rPr>
                <w:rFonts w:ascii="Times New Roman" w:hAnsi="Times New Roman"/>
                <w:sz w:val="24"/>
                <w:szCs w:val="24"/>
                <w:lang w:val="lv-LV"/>
              </w:rPr>
              <w:t>3 ) </w:t>
            </w:r>
            <w:r w:rsidR="00240E22" w:rsidRPr="00656811">
              <w:rPr>
                <w:rFonts w:ascii="Times New Roman" w:hAnsi="Times New Roman"/>
                <w:sz w:val="24"/>
                <w:szCs w:val="24"/>
                <w:lang w:val="lv-LV"/>
              </w:rPr>
              <w:t>Pašreizēj</w:t>
            </w:r>
            <w:r w:rsidR="008A4EB6" w:rsidRPr="00656811">
              <w:rPr>
                <w:rFonts w:ascii="Times New Roman" w:hAnsi="Times New Roman"/>
                <w:sz w:val="24"/>
                <w:szCs w:val="24"/>
                <w:lang w:val="lv-LV"/>
              </w:rPr>
              <w:t>ā</w:t>
            </w:r>
            <w:r w:rsidR="00240E22" w:rsidRPr="00656811">
              <w:rPr>
                <w:rFonts w:ascii="Times New Roman" w:hAnsi="Times New Roman"/>
                <w:sz w:val="24"/>
                <w:szCs w:val="24"/>
                <w:lang w:val="lv-LV"/>
              </w:rPr>
              <w:t xml:space="preserve"> regulējum</w:t>
            </w:r>
            <w:r w:rsidR="008A4EB6" w:rsidRPr="00656811">
              <w:rPr>
                <w:rFonts w:ascii="Times New Roman" w:hAnsi="Times New Roman"/>
                <w:sz w:val="24"/>
                <w:szCs w:val="24"/>
                <w:lang w:val="lv-LV"/>
              </w:rPr>
              <w:t>a</w:t>
            </w:r>
            <w:r w:rsidR="00C433A2" w:rsidRPr="00656811">
              <w:rPr>
                <w:rFonts w:ascii="Times New Roman" w:hAnsi="Times New Roman"/>
                <w:sz w:val="24"/>
                <w:szCs w:val="24"/>
                <w:lang w:val="lv-LV"/>
              </w:rPr>
              <w:t xml:space="preserve"> </w:t>
            </w:r>
            <w:r w:rsidR="00240E22" w:rsidRPr="00656811">
              <w:rPr>
                <w:rFonts w:ascii="Times New Roman" w:hAnsi="Times New Roman"/>
                <w:sz w:val="24"/>
                <w:szCs w:val="24"/>
                <w:shd w:val="clear" w:color="auto" w:fill="FFFFFF"/>
                <w:lang w:val="lv-LV"/>
              </w:rPr>
              <w:t>MK noteikumu Nr.</w:t>
            </w:r>
            <w:r w:rsidR="00240E22" w:rsidRPr="00656811">
              <w:rPr>
                <w:rFonts w:ascii="Times New Roman" w:hAnsi="Times New Roman"/>
                <w:shd w:val="clear" w:color="auto" w:fill="FFFFFF"/>
                <w:lang w:val="lv-LV"/>
              </w:rPr>
              <w:t> </w:t>
            </w:r>
            <w:r w:rsidR="00240E22" w:rsidRPr="00656811">
              <w:rPr>
                <w:rFonts w:ascii="Times New Roman" w:hAnsi="Times New Roman"/>
                <w:sz w:val="24"/>
                <w:szCs w:val="24"/>
                <w:shd w:val="clear" w:color="auto" w:fill="FFFFFF"/>
                <w:lang w:val="lv-LV"/>
              </w:rPr>
              <w:t>57 41.2. </w:t>
            </w:r>
            <w:r w:rsidR="00240E22" w:rsidRPr="00656811">
              <w:rPr>
                <w:rFonts w:ascii="Times New Roman" w:hAnsi="Times New Roman"/>
                <w:shd w:val="clear" w:color="auto" w:fill="FFFFFF"/>
                <w:lang w:val="lv-LV"/>
              </w:rPr>
              <w:t>apakš</w:t>
            </w:r>
            <w:r w:rsidR="00240E22" w:rsidRPr="00656811">
              <w:rPr>
                <w:rFonts w:ascii="Times New Roman" w:hAnsi="Times New Roman"/>
                <w:sz w:val="24"/>
                <w:szCs w:val="24"/>
                <w:shd w:val="clear" w:color="auto" w:fill="FFFFFF"/>
                <w:lang w:val="lv-LV"/>
              </w:rPr>
              <w:t>punkt</w:t>
            </w:r>
            <w:r w:rsidR="0079576F" w:rsidRPr="00656811">
              <w:rPr>
                <w:rFonts w:ascii="Times New Roman" w:hAnsi="Times New Roman"/>
                <w:sz w:val="24"/>
                <w:szCs w:val="24"/>
                <w:shd w:val="clear" w:color="auto" w:fill="FFFFFF"/>
                <w:lang w:val="lv-LV"/>
              </w:rPr>
              <w:t xml:space="preserve">a norma </w:t>
            </w:r>
            <w:r w:rsidR="00C433A2" w:rsidRPr="00656811">
              <w:rPr>
                <w:rFonts w:ascii="Times New Roman" w:hAnsi="Times New Roman"/>
                <w:sz w:val="24"/>
                <w:szCs w:val="24"/>
                <w:shd w:val="clear" w:color="auto" w:fill="FFFFFF"/>
                <w:lang w:val="lv-LV"/>
              </w:rPr>
              <w:t xml:space="preserve">nav </w:t>
            </w:r>
            <w:r w:rsidR="008A4EB6" w:rsidRPr="00656811">
              <w:rPr>
                <w:rFonts w:ascii="Times New Roman" w:hAnsi="Times New Roman"/>
                <w:sz w:val="24"/>
                <w:szCs w:val="24"/>
                <w:shd w:val="clear" w:color="auto" w:fill="FFFFFF"/>
                <w:lang w:val="lv-LV"/>
              </w:rPr>
              <w:t xml:space="preserve">arī pietiekoši </w:t>
            </w:r>
            <w:r w:rsidR="00C433A2" w:rsidRPr="00656811">
              <w:rPr>
                <w:rFonts w:ascii="Times New Roman" w:hAnsi="Times New Roman"/>
                <w:sz w:val="24"/>
                <w:szCs w:val="24"/>
                <w:shd w:val="clear" w:color="auto" w:fill="FFFFFF"/>
                <w:lang w:val="lv-LV"/>
              </w:rPr>
              <w:t>skaidr</w:t>
            </w:r>
            <w:r w:rsidR="0079576F" w:rsidRPr="00656811">
              <w:rPr>
                <w:rFonts w:ascii="Times New Roman" w:hAnsi="Times New Roman"/>
                <w:sz w:val="24"/>
                <w:szCs w:val="24"/>
                <w:shd w:val="clear" w:color="auto" w:fill="FFFFFF"/>
                <w:lang w:val="lv-LV"/>
              </w:rPr>
              <w:t>a</w:t>
            </w:r>
            <w:r w:rsidR="00240E22" w:rsidRPr="00656811">
              <w:rPr>
                <w:rFonts w:ascii="Times New Roman" w:hAnsi="Times New Roman"/>
                <w:sz w:val="24"/>
                <w:szCs w:val="24"/>
                <w:shd w:val="clear" w:color="auto" w:fill="FFFFFF"/>
                <w:lang w:val="lv-LV"/>
              </w:rPr>
              <w:t xml:space="preserve"> </w:t>
            </w:r>
            <w:r w:rsidR="0079576F" w:rsidRPr="00656811">
              <w:rPr>
                <w:rFonts w:ascii="Times New Roman" w:hAnsi="Times New Roman"/>
                <w:sz w:val="24"/>
                <w:szCs w:val="24"/>
                <w:shd w:val="clear" w:color="auto" w:fill="FFFFFF"/>
                <w:lang w:val="lv-LV"/>
              </w:rPr>
              <w:t xml:space="preserve">attiecībā uz to, </w:t>
            </w:r>
            <w:r w:rsidR="00240E22" w:rsidRPr="00656811">
              <w:rPr>
                <w:rFonts w:ascii="Times New Roman" w:hAnsi="Times New Roman"/>
                <w:sz w:val="24"/>
                <w:szCs w:val="24"/>
                <w:shd w:val="clear" w:color="auto" w:fill="FFFFFF"/>
                <w:lang w:val="lv-LV"/>
              </w:rPr>
              <w:t xml:space="preserve">kādā veidā pacients var saņemt </w:t>
            </w:r>
            <w:r w:rsidR="00496F1E" w:rsidRPr="00656811">
              <w:rPr>
                <w:rFonts w:ascii="Times New Roman" w:hAnsi="Times New Roman"/>
                <w:sz w:val="24"/>
                <w:szCs w:val="24"/>
                <w:shd w:val="clear" w:color="auto" w:fill="FFFFFF"/>
                <w:lang w:val="lv-LV"/>
              </w:rPr>
              <w:t>zāļu</w:t>
            </w:r>
            <w:r w:rsidR="00240E22" w:rsidRPr="00656811">
              <w:rPr>
                <w:rFonts w:ascii="Times New Roman" w:hAnsi="Times New Roman"/>
                <w:sz w:val="24"/>
                <w:szCs w:val="24"/>
                <w:shd w:val="clear" w:color="auto" w:fill="FFFFFF"/>
                <w:lang w:val="lv-LV"/>
              </w:rPr>
              <w:t xml:space="preserve"> lietošanas instrukciju</w:t>
            </w:r>
            <w:r w:rsidR="001F1506" w:rsidRPr="00656811">
              <w:rPr>
                <w:rFonts w:ascii="Times New Roman" w:hAnsi="Times New Roman"/>
                <w:sz w:val="24"/>
                <w:szCs w:val="24"/>
                <w:shd w:val="clear" w:color="auto" w:fill="FFFFFF"/>
                <w:lang w:val="lv-LV"/>
              </w:rPr>
              <w:t xml:space="preserve"> valsts valodā</w:t>
            </w:r>
            <w:r w:rsidR="00C433A2" w:rsidRPr="00656811">
              <w:rPr>
                <w:rFonts w:ascii="Times New Roman" w:hAnsi="Times New Roman"/>
                <w:sz w:val="24"/>
                <w:szCs w:val="24"/>
                <w:shd w:val="clear" w:color="auto" w:fill="FFFFFF"/>
                <w:lang w:val="lv-LV"/>
              </w:rPr>
              <w:t>. T</w:t>
            </w:r>
            <w:r w:rsidR="00240E22" w:rsidRPr="00656811">
              <w:rPr>
                <w:rFonts w:ascii="Times New Roman" w:hAnsi="Times New Roman"/>
                <w:sz w:val="24"/>
                <w:szCs w:val="24"/>
                <w:shd w:val="clear" w:color="auto" w:fill="FFFFFF"/>
                <w:lang w:val="lv-LV"/>
              </w:rPr>
              <w:t xml:space="preserve">āpēc </w:t>
            </w:r>
            <w:r w:rsidR="00032D77" w:rsidRPr="00656811">
              <w:rPr>
                <w:rFonts w:ascii="Times New Roman" w:hAnsi="Times New Roman"/>
                <w:sz w:val="24"/>
                <w:szCs w:val="24"/>
                <w:shd w:val="clear" w:color="auto" w:fill="FFFFFF"/>
                <w:lang w:val="lv-LV"/>
              </w:rPr>
              <w:t>regulējum</w:t>
            </w:r>
            <w:r w:rsidR="0079576F" w:rsidRPr="00656811">
              <w:rPr>
                <w:rFonts w:ascii="Times New Roman" w:hAnsi="Times New Roman"/>
                <w:sz w:val="24"/>
                <w:szCs w:val="24"/>
                <w:shd w:val="clear" w:color="auto" w:fill="FFFFFF"/>
                <w:lang w:val="lv-LV"/>
              </w:rPr>
              <w:t>ā</w:t>
            </w:r>
            <w:r w:rsidR="00240E22" w:rsidRPr="00656811">
              <w:rPr>
                <w:rFonts w:ascii="Times New Roman" w:hAnsi="Times New Roman"/>
                <w:sz w:val="24"/>
                <w:szCs w:val="24"/>
                <w:shd w:val="clear" w:color="auto" w:fill="FFFFFF"/>
                <w:lang w:val="lv-LV"/>
              </w:rPr>
              <w:t xml:space="preserve"> </w:t>
            </w:r>
            <w:r w:rsidR="00C433A2" w:rsidRPr="00656811">
              <w:rPr>
                <w:rFonts w:ascii="Times New Roman" w:hAnsi="Times New Roman"/>
                <w:sz w:val="24"/>
                <w:szCs w:val="24"/>
                <w:shd w:val="clear" w:color="auto" w:fill="FFFFFF"/>
                <w:lang w:val="lv-LV"/>
              </w:rPr>
              <w:t xml:space="preserve">MK </w:t>
            </w:r>
            <w:r w:rsidR="00C433A2" w:rsidRPr="00656811">
              <w:rPr>
                <w:rFonts w:ascii="Times New Roman" w:hAnsi="Times New Roman"/>
                <w:sz w:val="24"/>
                <w:szCs w:val="24"/>
                <w:shd w:val="clear" w:color="auto" w:fill="FFFFFF"/>
                <w:lang w:val="lv-LV"/>
              </w:rPr>
              <w:lastRenderedPageBreak/>
              <w:t xml:space="preserve">noteikumos Nr. 57 </w:t>
            </w:r>
            <w:r w:rsidR="004A4941" w:rsidRPr="00656811">
              <w:rPr>
                <w:rFonts w:ascii="Times New Roman" w:hAnsi="Times New Roman"/>
                <w:sz w:val="24"/>
                <w:szCs w:val="24"/>
                <w:shd w:val="clear" w:color="auto" w:fill="FFFFFF"/>
                <w:lang w:val="lv-LV"/>
              </w:rPr>
              <w:t xml:space="preserve">41.2. apakšpunktā </w:t>
            </w:r>
            <w:r w:rsidR="00A13B8C" w:rsidRPr="00656811">
              <w:rPr>
                <w:rFonts w:ascii="Times New Roman" w:hAnsi="Times New Roman"/>
                <w:sz w:val="24"/>
                <w:szCs w:val="24"/>
                <w:shd w:val="clear" w:color="auto" w:fill="FFFFFF"/>
                <w:lang w:val="lv-LV"/>
              </w:rPr>
              <w:t xml:space="preserve">pēc Zāļu valsts aģentūras ierosinājuma </w:t>
            </w:r>
            <w:r w:rsidR="004A4941" w:rsidRPr="00656811">
              <w:rPr>
                <w:rFonts w:ascii="Times New Roman" w:hAnsi="Times New Roman"/>
                <w:sz w:val="24"/>
                <w:szCs w:val="24"/>
                <w:shd w:val="clear" w:color="auto" w:fill="FFFFFF"/>
                <w:lang w:val="lv-LV"/>
              </w:rPr>
              <w:t>tiek konkretizēt</w:t>
            </w:r>
            <w:r w:rsidR="0079576F" w:rsidRPr="00656811">
              <w:rPr>
                <w:rFonts w:ascii="Times New Roman" w:hAnsi="Times New Roman"/>
                <w:sz w:val="24"/>
                <w:szCs w:val="24"/>
                <w:shd w:val="clear" w:color="auto" w:fill="FFFFFF"/>
                <w:lang w:val="lv-LV"/>
              </w:rPr>
              <w:t>i</w:t>
            </w:r>
            <w:r w:rsidR="004A4941" w:rsidRPr="00656811">
              <w:rPr>
                <w:rFonts w:ascii="Times New Roman" w:hAnsi="Times New Roman"/>
                <w:sz w:val="24"/>
                <w:szCs w:val="24"/>
                <w:shd w:val="clear" w:color="auto" w:fill="FFFFFF"/>
                <w:lang w:val="lv-LV"/>
              </w:rPr>
              <w:t xml:space="preserve"> farmaceita pienākumi</w:t>
            </w:r>
            <w:r w:rsidR="0079576F" w:rsidRPr="00656811">
              <w:rPr>
                <w:rFonts w:ascii="Times New Roman" w:hAnsi="Times New Roman"/>
                <w:sz w:val="24"/>
                <w:szCs w:val="24"/>
                <w:shd w:val="clear" w:color="auto" w:fill="FFFFFF"/>
                <w:lang w:val="lv-LV"/>
              </w:rPr>
              <w:t>:</w:t>
            </w:r>
            <w:r w:rsidR="0079576F" w:rsidRPr="00656811">
              <w:rPr>
                <w:rStyle w:val="NoSpacingChar"/>
                <w:rFonts w:ascii="Times New Roman" w:hAnsi="Times New Roman"/>
                <w:sz w:val="28"/>
                <w:szCs w:val="28"/>
                <w:lang w:val="lv-LV"/>
              </w:rPr>
              <w:t xml:space="preserve"> </w:t>
            </w:r>
            <w:r w:rsidR="0079576F" w:rsidRPr="00656811">
              <w:rPr>
                <w:rStyle w:val="Noklusjumarindkopasfonts1"/>
                <w:rFonts w:ascii="Times New Roman" w:hAnsi="Times New Roman"/>
                <w:sz w:val="24"/>
                <w:szCs w:val="24"/>
                <w:lang w:val="lv-LV"/>
              </w:rPr>
              <w:t>farmaceits, informē pacientu par zāļu pareizo lietošanu un to, ka zāles ir identiskas Latvijā reģistrētajām zālēm, bet tās nav Latvijas tirgum paredzētajā iepakojumā, un ka iepakojumā nav ievietota zāļu lietošanas instrukcija valsts valodā, kā arī izsniedz zā</w:t>
            </w:r>
            <w:r w:rsidRPr="00656811">
              <w:rPr>
                <w:rStyle w:val="Noklusjumarindkopasfonts1"/>
                <w:rFonts w:ascii="Times New Roman" w:hAnsi="Times New Roman"/>
                <w:sz w:val="24"/>
                <w:szCs w:val="24"/>
                <w:lang w:val="lv-LV"/>
              </w:rPr>
              <w:t>les vienlaicīgi izsniedz arī</w:t>
            </w:r>
            <w:r w:rsidR="0079576F" w:rsidRPr="00656811">
              <w:rPr>
                <w:rStyle w:val="Noklusjumarindkopasfonts1"/>
                <w:rFonts w:ascii="Times New Roman" w:hAnsi="Times New Roman"/>
                <w:sz w:val="24"/>
                <w:szCs w:val="24"/>
                <w:lang w:val="lv-LV"/>
              </w:rPr>
              <w:t xml:space="preserve"> lietošanas instrukciju valsts valodā, to pievienojot pie iepakojuma</w:t>
            </w:r>
            <w:r w:rsidR="00357DBD" w:rsidRPr="00656811">
              <w:rPr>
                <w:rStyle w:val="Noklusjumarindkopasfonts1"/>
                <w:rFonts w:ascii="Times New Roman" w:hAnsi="Times New Roman"/>
                <w:sz w:val="24"/>
                <w:szCs w:val="24"/>
                <w:lang w:val="lv-LV"/>
              </w:rPr>
              <w:t>.</w:t>
            </w:r>
          </w:p>
          <w:p w14:paraId="327E0A8B" w14:textId="77777777" w:rsidR="00656811" w:rsidRPr="00656811" w:rsidRDefault="00656811" w:rsidP="003B7E5D">
            <w:pPr>
              <w:pStyle w:val="Bezatstarpm1"/>
              <w:jc w:val="both"/>
              <w:rPr>
                <w:rStyle w:val="Noklusjumarindkopasfonts1"/>
                <w:rFonts w:ascii="Times New Roman" w:hAnsi="Times New Roman"/>
                <w:sz w:val="24"/>
                <w:szCs w:val="24"/>
                <w:lang w:val="lv-LV"/>
              </w:rPr>
            </w:pPr>
          </w:p>
          <w:p w14:paraId="1BD78B8D" w14:textId="7381EA0F" w:rsidR="00656811" w:rsidRPr="00656811" w:rsidRDefault="00656811" w:rsidP="003B7E5D">
            <w:pPr>
              <w:pStyle w:val="Bezatstarpm1"/>
              <w:jc w:val="both"/>
              <w:rPr>
                <w:rFonts w:ascii="Times New Roman" w:hAnsi="Times New Roman"/>
                <w:sz w:val="24"/>
                <w:szCs w:val="24"/>
                <w:lang w:val="lv-LV"/>
              </w:rPr>
            </w:pPr>
            <w:r w:rsidRPr="00656811">
              <w:rPr>
                <w:rFonts w:ascii="Times New Roman" w:hAnsi="Times New Roman"/>
                <w:bCs/>
                <w:sz w:val="24"/>
                <w:szCs w:val="24"/>
                <w:lang w:val="lv-LV"/>
              </w:rPr>
              <w:t>Vienlaicīgi ar projektu precizētā kārtība ne tikai novērš esošā regulējuma nepilnības, bet pārejas periodā līdz 2021.</w:t>
            </w:r>
            <w:r w:rsidR="003141B6">
              <w:rPr>
                <w:rFonts w:ascii="Times New Roman" w:hAnsi="Times New Roman"/>
                <w:bCs/>
                <w:sz w:val="24"/>
                <w:szCs w:val="24"/>
                <w:lang w:val="lv-LV"/>
              </w:rPr>
              <w:t> </w:t>
            </w:r>
            <w:r w:rsidRPr="00656811">
              <w:rPr>
                <w:rFonts w:ascii="Times New Roman" w:hAnsi="Times New Roman"/>
                <w:bCs/>
                <w:sz w:val="24"/>
                <w:szCs w:val="24"/>
                <w:lang w:val="lv-LV"/>
              </w:rPr>
              <w:t>gada 3</w:t>
            </w:r>
            <w:r w:rsidRPr="00656811">
              <w:rPr>
                <w:rFonts w:ascii="Times New Roman" w:hAnsi="Times New Roman"/>
                <w:bCs/>
                <w:sz w:val="24"/>
                <w:szCs w:val="24"/>
                <w:lang w:val="lv-LV"/>
              </w:rPr>
              <w:t>0</w:t>
            </w:r>
            <w:r w:rsidRPr="00656811">
              <w:rPr>
                <w:rFonts w:ascii="Times New Roman" w:hAnsi="Times New Roman"/>
                <w:bCs/>
                <w:sz w:val="24"/>
                <w:szCs w:val="24"/>
                <w:lang w:val="lv-LV"/>
              </w:rPr>
              <w:t>.</w:t>
            </w:r>
            <w:r w:rsidR="003141B6">
              <w:rPr>
                <w:rFonts w:ascii="Times New Roman" w:hAnsi="Times New Roman"/>
                <w:bCs/>
                <w:sz w:val="24"/>
                <w:szCs w:val="24"/>
                <w:lang w:val="lv-LV"/>
              </w:rPr>
              <w:t> </w:t>
            </w:r>
            <w:r w:rsidRPr="00656811">
              <w:rPr>
                <w:rFonts w:ascii="Times New Roman" w:hAnsi="Times New Roman"/>
                <w:bCs/>
                <w:sz w:val="24"/>
                <w:szCs w:val="24"/>
                <w:lang w:val="lv-LV"/>
              </w:rPr>
              <w:t>jūnijam</w:t>
            </w:r>
            <w:r w:rsidRPr="00656811">
              <w:rPr>
                <w:rFonts w:ascii="Times New Roman" w:hAnsi="Times New Roman"/>
                <w:bCs/>
                <w:sz w:val="24"/>
                <w:szCs w:val="24"/>
                <w:lang w:val="lv-LV"/>
              </w:rPr>
              <w:t xml:space="preserve"> būtiski uzlabo zāļu pieejamību Latvijas pacientiem un samazina administratīvo slogu īslaicīgā zāļu pieejamības pārtraukuma gadījumā, ļaujot zāļu piegādātājiem nodrošināt nepārtrauktu zāļu pieejamību, kamēr tiek atjaunota regulāra zāļu ražošana.</w:t>
            </w:r>
          </w:p>
        </w:tc>
      </w:tr>
      <w:tr w:rsidR="00656811" w:rsidRPr="00656811" w14:paraId="528A141F" w14:textId="77777777" w:rsidTr="007C323A">
        <w:trPr>
          <w:cantSplit/>
        </w:trPr>
        <w:tc>
          <w:tcPr>
            <w:tcW w:w="421" w:type="dxa"/>
            <w:hideMark/>
          </w:tcPr>
          <w:p w14:paraId="2ED32B0E" w14:textId="77777777" w:rsidR="0005464C" w:rsidRPr="00656811" w:rsidRDefault="0005464C" w:rsidP="00D44D6F">
            <w:pPr>
              <w:jc w:val="center"/>
            </w:pPr>
            <w:r w:rsidRPr="00656811">
              <w:lastRenderedPageBreak/>
              <w:t>3.</w:t>
            </w:r>
          </w:p>
        </w:tc>
        <w:tc>
          <w:tcPr>
            <w:tcW w:w="1842" w:type="dxa"/>
            <w:hideMark/>
          </w:tcPr>
          <w:p w14:paraId="76277CDE" w14:textId="77777777" w:rsidR="0005464C" w:rsidRPr="00656811" w:rsidRDefault="0005464C" w:rsidP="00D44D6F">
            <w:r w:rsidRPr="00656811">
              <w:t>Projekta izstrādē iesaistītās institūcijas un publiskas personas kapitālsabiedrības</w:t>
            </w:r>
          </w:p>
          <w:p w14:paraId="63EE471C" w14:textId="77777777" w:rsidR="0005464C" w:rsidRPr="00656811" w:rsidRDefault="0005464C" w:rsidP="00D44D6F"/>
        </w:tc>
        <w:tc>
          <w:tcPr>
            <w:tcW w:w="6804" w:type="dxa"/>
            <w:hideMark/>
          </w:tcPr>
          <w:p w14:paraId="472ADDC1" w14:textId="01480364" w:rsidR="00A5089F" w:rsidRPr="00656811" w:rsidRDefault="007C323A" w:rsidP="00D44D6F">
            <w:pPr>
              <w:jc w:val="both"/>
            </w:pPr>
            <w:r w:rsidRPr="00656811">
              <w:t>Veselības ministrija</w:t>
            </w:r>
            <w:r w:rsidR="00C23391" w:rsidRPr="00656811">
              <w:t>,</w:t>
            </w:r>
            <w:r w:rsidRPr="00656811">
              <w:t xml:space="preserve"> </w:t>
            </w:r>
            <w:r w:rsidR="00283F65" w:rsidRPr="00656811">
              <w:t>Zāļu valsts aģentūra</w:t>
            </w:r>
            <w:r w:rsidR="00C23391" w:rsidRPr="00656811">
              <w:t xml:space="preserve"> un Veselības inspekcija</w:t>
            </w:r>
          </w:p>
        </w:tc>
      </w:tr>
      <w:tr w:rsidR="0005464C" w:rsidRPr="00656811" w14:paraId="10E8BC5D" w14:textId="77777777" w:rsidTr="007C323A">
        <w:trPr>
          <w:cantSplit/>
        </w:trPr>
        <w:tc>
          <w:tcPr>
            <w:tcW w:w="421" w:type="dxa"/>
            <w:hideMark/>
          </w:tcPr>
          <w:p w14:paraId="1632CF64" w14:textId="77777777" w:rsidR="0005464C" w:rsidRPr="00656811" w:rsidRDefault="0005464C" w:rsidP="00D44D6F">
            <w:pPr>
              <w:jc w:val="center"/>
            </w:pPr>
            <w:r w:rsidRPr="00656811">
              <w:t>4.</w:t>
            </w:r>
          </w:p>
        </w:tc>
        <w:tc>
          <w:tcPr>
            <w:tcW w:w="1842" w:type="dxa"/>
            <w:hideMark/>
          </w:tcPr>
          <w:p w14:paraId="364AF8E9" w14:textId="77777777" w:rsidR="0005464C" w:rsidRPr="00656811" w:rsidRDefault="0005464C" w:rsidP="00D44D6F">
            <w:r w:rsidRPr="00656811">
              <w:t>Cita informācija</w:t>
            </w:r>
          </w:p>
        </w:tc>
        <w:tc>
          <w:tcPr>
            <w:tcW w:w="6804" w:type="dxa"/>
            <w:hideMark/>
          </w:tcPr>
          <w:p w14:paraId="753BC45B" w14:textId="4C8326B1" w:rsidR="0005464C" w:rsidRPr="00656811" w:rsidRDefault="0005464C" w:rsidP="00D44D6F">
            <w:r w:rsidRPr="00656811">
              <w:t>Nav</w:t>
            </w:r>
          </w:p>
        </w:tc>
      </w:tr>
    </w:tbl>
    <w:p w14:paraId="4B8F0570" w14:textId="77777777" w:rsidR="0005464C" w:rsidRPr="00656811" w:rsidRDefault="0005464C" w:rsidP="007520AF">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267"/>
        <w:gridCol w:w="6230"/>
      </w:tblGrid>
      <w:tr w:rsidR="00656811" w:rsidRPr="00656811" w14:paraId="031A4F1F" w14:textId="77777777" w:rsidTr="00D44D6F">
        <w:trPr>
          <w:cantSplit/>
        </w:trPr>
        <w:tc>
          <w:tcPr>
            <w:tcW w:w="5000" w:type="pct"/>
            <w:gridSpan w:val="3"/>
            <w:vAlign w:val="center"/>
            <w:hideMark/>
          </w:tcPr>
          <w:p w14:paraId="48D088BB" w14:textId="2119C77A" w:rsidR="0005464C" w:rsidRPr="00656811" w:rsidRDefault="0005464C" w:rsidP="00D44D6F">
            <w:pPr>
              <w:jc w:val="center"/>
              <w:rPr>
                <w:b/>
                <w:bCs/>
              </w:rPr>
            </w:pPr>
            <w:r w:rsidRPr="00656811">
              <w:rPr>
                <w:b/>
                <w:bCs/>
              </w:rPr>
              <w:t>II.</w:t>
            </w:r>
            <w:r w:rsidR="008E73E4" w:rsidRPr="00656811">
              <w:rPr>
                <w:b/>
                <w:bCs/>
              </w:rPr>
              <w:t> </w:t>
            </w:r>
            <w:r w:rsidRPr="00656811">
              <w:rPr>
                <w:b/>
                <w:bCs/>
              </w:rPr>
              <w:t>Tiesību akta projekta ietekme uz sabiedrību, tautsaimniecības attīstību un administratīvo slogu</w:t>
            </w:r>
          </w:p>
        </w:tc>
      </w:tr>
      <w:tr w:rsidR="00656811" w:rsidRPr="00656811" w14:paraId="7808A7F7" w14:textId="77777777" w:rsidTr="00E059A0">
        <w:trPr>
          <w:cantSplit/>
        </w:trPr>
        <w:tc>
          <w:tcPr>
            <w:tcW w:w="311" w:type="pct"/>
            <w:hideMark/>
          </w:tcPr>
          <w:p w14:paraId="2359FBEE" w14:textId="77777777" w:rsidR="0005464C" w:rsidRPr="00656811" w:rsidRDefault="0005464C" w:rsidP="00D44D6F">
            <w:pPr>
              <w:jc w:val="center"/>
            </w:pPr>
            <w:r w:rsidRPr="00656811">
              <w:t>1.</w:t>
            </w:r>
          </w:p>
        </w:tc>
        <w:tc>
          <w:tcPr>
            <w:tcW w:w="1251" w:type="pct"/>
            <w:hideMark/>
          </w:tcPr>
          <w:p w14:paraId="4E229E9F" w14:textId="77777777" w:rsidR="0005464C" w:rsidRPr="00656811" w:rsidRDefault="0005464C" w:rsidP="00D44D6F">
            <w:r w:rsidRPr="00656811">
              <w:t xml:space="preserve">Sabiedrības </w:t>
            </w:r>
            <w:proofErr w:type="spellStart"/>
            <w:r w:rsidRPr="00656811">
              <w:t>mērķgrupas</w:t>
            </w:r>
            <w:proofErr w:type="spellEnd"/>
            <w:r w:rsidRPr="00656811">
              <w:t>, kuras tiesiskais regulējums ietekmē vai varētu ietekmēt</w:t>
            </w:r>
          </w:p>
        </w:tc>
        <w:tc>
          <w:tcPr>
            <w:tcW w:w="3438" w:type="pct"/>
            <w:hideMark/>
          </w:tcPr>
          <w:p w14:paraId="0D906894" w14:textId="613C81AA" w:rsidR="0005464C" w:rsidRPr="00656811" w:rsidRDefault="001357E2" w:rsidP="00D44D6F">
            <w:pPr>
              <w:jc w:val="both"/>
            </w:pPr>
            <w:r w:rsidRPr="00656811">
              <w:t>Pacienti un zāļu reģistrācijas īpašnieki, zāļu vairumtirgotāji un mazumtirgotāji, kā arī citas personas, kurām ir tiesības piegādāt zāles iedzīvotājiem, tajā skaitā ārstniecības iestādes, sociālās aprūpes iestādes</w:t>
            </w:r>
          </w:p>
        </w:tc>
      </w:tr>
      <w:tr w:rsidR="00656811" w:rsidRPr="00656811" w14:paraId="2FD968CE" w14:textId="77777777" w:rsidTr="00E059A0">
        <w:trPr>
          <w:cantSplit/>
        </w:trPr>
        <w:tc>
          <w:tcPr>
            <w:tcW w:w="311" w:type="pct"/>
            <w:hideMark/>
          </w:tcPr>
          <w:p w14:paraId="7F20A364" w14:textId="77777777" w:rsidR="0005464C" w:rsidRPr="00656811" w:rsidRDefault="0005464C" w:rsidP="00D44D6F">
            <w:pPr>
              <w:jc w:val="center"/>
            </w:pPr>
            <w:r w:rsidRPr="00656811">
              <w:t>2.</w:t>
            </w:r>
          </w:p>
        </w:tc>
        <w:tc>
          <w:tcPr>
            <w:tcW w:w="1251" w:type="pct"/>
            <w:hideMark/>
          </w:tcPr>
          <w:p w14:paraId="22292C7D" w14:textId="77777777" w:rsidR="0005464C" w:rsidRPr="00656811" w:rsidRDefault="0005464C" w:rsidP="00D44D6F">
            <w:r w:rsidRPr="00656811">
              <w:t>Tiesiskā regulējuma ietekme uz tautsaimniecību un administratīvo slogu</w:t>
            </w:r>
          </w:p>
        </w:tc>
        <w:tc>
          <w:tcPr>
            <w:tcW w:w="3438" w:type="pct"/>
            <w:hideMark/>
          </w:tcPr>
          <w:p w14:paraId="209C8650" w14:textId="42D826FD" w:rsidR="0005464C" w:rsidRPr="00656811" w:rsidRDefault="001357E2">
            <w:pPr>
              <w:jc w:val="both"/>
            </w:pPr>
            <w:r w:rsidRPr="00656811">
              <w:t>Administratīvais slogs zāļu reģistrācijas īpašniekiem samazinās un zāļu pieejamība pacientiem uzlabojas. Minētā kārtība faktiski efektīvā veidā izslēdz riskus, kas saistīti ar zāļu piegādes traucējumiem Latvijas Republikā reģistrēto un Latvijas zāļu reģistrā iekļauto zāļu gadījumos.</w:t>
            </w:r>
          </w:p>
        </w:tc>
      </w:tr>
      <w:tr w:rsidR="00656811" w:rsidRPr="00656811" w14:paraId="382744EA" w14:textId="77777777" w:rsidTr="00E059A0">
        <w:trPr>
          <w:cantSplit/>
        </w:trPr>
        <w:tc>
          <w:tcPr>
            <w:tcW w:w="311" w:type="pct"/>
            <w:hideMark/>
          </w:tcPr>
          <w:p w14:paraId="42967416" w14:textId="77777777" w:rsidR="001357E2" w:rsidRPr="00656811" w:rsidRDefault="001357E2" w:rsidP="001357E2">
            <w:pPr>
              <w:jc w:val="center"/>
            </w:pPr>
            <w:r w:rsidRPr="00656811">
              <w:t>3.</w:t>
            </w:r>
          </w:p>
        </w:tc>
        <w:tc>
          <w:tcPr>
            <w:tcW w:w="1251" w:type="pct"/>
            <w:hideMark/>
          </w:tcPr>
          <w:p w14:paraId="20F05440" w14:textId="77777777" w:rsidR="001357E2" w:rsidRPr="00656811" w:rsidRDefault="001357E2" w:rsidP="001357E2">
            <w:r w:rsidRPr="00656811">
              <w:t>Administratīvo izmaksu monetārs novērtējums</w:t>
            </w:r>
          </w:p>
        </w:tc>
        <w:tc>
          <w:tcPr>
            <w:tcW w:w="3438" w:type="pct"/>
            <w:hideMark/>
          </w:tcPr>
          <w:p w14:paraId="3EDCD013" w14:textId="18E60414" w:rsidR="001357E2" w:rsidRPr="00656811" w:rsidRDefault="001357E2" w:rsidP="001357E2">
            <w:pPr>
              <w:jc w:val="both"/>
            </w:pPr>
            <w:r w:rsidRPr="00656811">
              <w:t>Projekts šo jomu neskar</w:t>
            </w:r>
          </w:p>
        </w:tc>
      </w:tr>
      <w:tr w:rsidR="00656811" w:rsidRPr="00656811" w14:paraId="7D71DB30" w14:textId="77777777" w:rsidTr="00E059A0">
        <w:trPr>
          <w:cantSplit/>
        </w:trPr>
        <w:tc>
          <w:tcPr>
            <w:tcW w:w="311" w:type="pct"/>
            <w:hideMark/>
          </w:tcPr>
          <w:p w14:paraId="558BA0F2" w14:textId="77777777" w:rsidR="001357E2" w:rsidRPr="00656811" w:rsidRDefault="001357E2" w:rsidP="001357E2">
            <w:pPr>
              <w:jc w:val="center"/>
            </w:pPr>
            <w:r w:rsidRPr="00656811">
              <w:t>4.</w:t>
            </w:r>
          </w:p>
        </w:tc>
        <w:tc>
          <w:tcPr>
            <w:tcW w:w="1251" w:type="pct"/>
            <w:hideMark/>
          </w:tcPr>
          <w:p w14:paraId="68AA38E1" w14:textId="77777777" w:rsidR="001357E2" w:rsidRPr="00656811" w:rsidRDefault="001357E2" w:rsidP="001357E2">
            <w:r w:rsidRPr="00656811">
              <w:t>Atbilstības izmaksu monetārs novērtējums</w:t>
            </w:r>
          </w:p>
        </w:tc>
        <w:tc>
          <w:tcPr>
            <w:tcW w:w="3438" w:type="pct"/>
            <w:hideMark/>
          </w:tcPr>
          <w:p w14:paraId="0B34A385" w14:textId="4B3741B7" w:rsidR="001357E2" w:rsidRPr="00656811" w:rsidRDefault="001357E2" w:rsidP="001357E2">
            <w:pPr>
              <w:jc w:val="both"/>
            </w:pPr>
            <w:r w:rsidRPr="00656811">
              <w:t>Projekts šo jomu neskar</w:t>
            </w:r>
          </w:p>
        </w:tc>
      </w:tr>
      <w:tr w:rsidR="002742C2" w:rsidRPr="00656811" w14:paraId="1007B905" w14:textId="77777777" w:rsidTr="00E059A0">
        <w:trPr>
          <w:cantSplit/>
        </w:trPr>
        <w:tc>
          <w:tcPr>
            <w:tcW w:w="311" w:type="pct"/>
            <w:hideMark/>
          </w:tcPr>
          <w:p w14:paraId="13F2B148" w14:textId="77777777" w:rsidR="0005464C" w:rsidRPr="00656811" w:rsidRDefault="0005464C" w:rsidP="00D44D6F">
            <w:pPr>
              <w:jc w:val="center"/>
            </w:pPr>
            <w:r w:rsidRPr="00656811">
              <w:t>5.</w:t>
            </w:r>
          </w:p>
        </w:tc>
        <w:tc>
          <w:tcPr>
            <w:tcW w:w="1251" w:type="pct"/>
            <w:hideMark/>
          </w:tcPr>
          <w:p w14:paraId="6087DFE9" w14:textId="77777777" w:rsidR="0005464C" w:rsidRPr="00656811" w:rsidRDefault="0005464C" w:rsidP="00D44D6F">
            <w:r w:rsidRPr="00656811">
              <w:t>Cita informācija</w:t>
            </w:r>
          </w:p>
        </w:tc>
        <w:tc>
          <w:tcPr>
            <w:tcW w:w="3438" w:type="pct"/>
            <w:hideMark/>
          </w:tcPr>
          <w:p w14:paraId="57A5D5CB" w14:textId="21E0EA24" w:rsidR="0005464C" w:rsidRPr="00656811" w:rsidRDefault="0005464C" w:rsidP="00D44D6F">
            <w:r w:rsidRPr="00656811">
              <w:t>Nav</w:t>
            </w:r>
          </w:p>
        </w:tc>
      </w:tr>
    </w:tbl>
    <w:p w14:paraId="5B444D11" w14:textId="664D7CE9" w:rsidR="00147A68" w:rsidRPr="00656811" w:rsidRDefault="00147A68" w:rsidP="007520AF">
      <w:pPr>
        <w:pStyle w:val="Title"/>
        <w:jc w:val="both"/>
        <w:rPr>
          <w:i/>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47"/>
      </w:tblGrid>
      <w:tr w:rsidR="00656811" w:rsidRPr="00656811" w14:paraId="58BDA79F" w14:textId="77777777" w:rsidTr="00147A68">
        <w:trPr>
          <w:trHeight w:val="57"/>
        </w:trPr>
        <w:tc>
          <w:tcPr>
            <w:tcW w:w="0" w:type="auto"/>
            <w:shd w:val="clear" w:color="auto" w:fill="FFFFFF"/>
            <w:vAlign w:val="center"/>
            <w:hideMark/>
          </w:tcPr>
          <w:p w14:paraId="7F180D28" w14:textId="6CCF4142" w:rsidR="00147A68" w:rsidRPr="00656811" w:rsidRDefault="00147A68" w:rsidP="00E059A0">
            <w:pPr>
              <w:pStyle w:val="Bezatstarpm1"/>
              <w:jc w:val="center"/>
              <w:rPr>
                <w:rFonts w:ascii="Times New Roman" w:hAnsi="Times New Roman"/>
                <w:b/>
                <w:bCs/>
                <w:sz w:val="24"/>
                <w:szCs w:val="24"/>
                <w:lang w:val="lv-LV"/>
              </w:rPr>
            </w:pPr>
            <w:r w:rsidRPr="00656811">
              <w:rPr>
                <w:rFonts w:ascii="Times New Roman" w:hAnsi="Times New Roman"/>
                <w:b/>
                <w:bCs/>
                <w:sz w:val="24"/>
                <w:szCs w:val="24"/>
                <w:lang w:val="lv-LV"/>
              </w:rPr>
              <w:t>III.</w:t>
            </w:r>
            <w:r w:rsidR="008E73E4" w:rsidRPr="00656811">
              <w:rPr>
                <w:rFonts w:ascii="Times New Roman" w:hAnsi="Times New Roman"/>
                <w:b/>
                <w:bCs/>
                <w:sz w:val="24"/>
                <w:szCs w:val="24"/>
                <w:lang w:val="lv-LV"/>
              </w:rPr>
              <w:t> </w:t>
            </w:r>
            <w:r w:rsidRPr="00656811">
              <w:rPr>
                <w:rFonts w:ascii="Times New Roman" w:hAnsi="Times New Roman"/>
                <w:b/>
                <w:bCs/>
                <w:sz w:val="24"/>
                <w:szCs w:val="24"/>
                <w:lang w:val="lv-LV"/>
              </w:rPr>
              <w:t>Tiesību akta projekta ietekme uz valsts budžetu un pašvaldību budžetiem</w:t>
            </w:r>
          </w:p>
        </w:tc>
      </w:tr>
      <w:tr w:rsidR="00656811" w:rsidRPr="00927BA6" w14:paraId="3790ACFE" w14:textId="77777777" w:rsidTr="00147A68">
        <w:trPr>
          <w:trHeight w:val="590"/>
        </w:trPr>
        <w:tc>
          <w:tcPr>
            <w:tcW w:w="5000" w:type="pct"/>
            <w:shd w:val="clear" w:color="auto" w:fill="FFFFFF"/>
            <w:vAlign w:val="center"/>
            <w:hideMark/>
          </w:tcPr>
          <w:p w14:paraId="7ED474C5" w14:textId="77777777" w:rsidR="00147A68" w:rsidRPr="00927BA6" w:rsidRDefault="00147A68" w:rsidP="00E059A0">
            <w:pPr>
              <w:pStyle w:val="Bezatstarpm1"/>
              <w:jc w:val="center"/>
              <w:rPr>
                <w:rFonts w:ascii="Times New Roman" w:hAnsi="Times New Roman"/>
                <w:sz w:val="24"/>
                <w:szCs w:val="24"/>
                <w:lang w:val="lv-LV"/>
              </w:rPr>
            </w:pPr>
            <w:bookmarkStart w:id="0" w:name="_Hlk41388818"/>
            <w:r w:rsidRPr="00927BA6">
              <w:rPr>
                <w:rFonts w:ascii="Times New Roman" w:hAnsi="Times New Roman"/>
                <w:iCs/>
                <w:sz w:val="24"/>
                <w:szCs w:val="24"/>
                <w:lang w:val="lv-LV"/>
              </w:rPr>
              <w:t>Projekts šo jomu neskar</w:t>
            </w:r>
          </w:p>
        </w:tc>
      </w:tr>
      <w:bookmarkEnd w:id="0"/>
    </w:tbl>
    <w:p w14:paraId="444956D4" w14:textId="0256276B" w:rsidR="00147A68" w:rsidRPr="00927BA6" w:rsidRDefault="00147A68" w:rsidP="00E059A0">
      <w:pPr>
        <w:pStyle w:val="Bezatstarpm1"/>
        <w:jc w:val="center"/>
        <w:rPr>
          <w:rFonts w:ascii="Times New Roman" w:hAnsi="Times New Roman"/>
          <w:b/>
          <w:bCs/>
          <w:iCs/>
          <w:sz w:val="24"/>
          <w:szCs w:val="24"/>
          <w:lang w:val="lv-LV"/>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47"/>
      </w:tblGrid>
      <w:tr w:rsidR="00656811" w:rsidRPr="00927BA6" w14:paraId="1CA0EC64" w14:textId="77777777" w:rsidTr="00B41DBA">
        <w:trPr>
          <w:trHeight w:val="57"/>
        </w:trPr>
        <w:tc>
          <w:tcPr>
            <w:tcW w:w="0" w:type="auto"/>
            <w:shd w:val="clear" w:color="auto" w:fill="FFFFFF"/>
            <w:vAlign w:val="center"/>
            <w:hideMark/>
          </w:tcPr>
          <w:p w14:paraId="4B33C888" w14:textId="48A31714" w:rsidR="00147A68" w:rsidRPr="00927BA6" w:rsidRDefault="00147A68" w:rsidP="00E059A0">
            <w:pPr>
              <w:pStyle w:val="Bezatstarpm1"/>
              <w:jc w:val="center"/>
              <w:rPr>
                <w:rFonts w:ascii="Times New Roman" w:hAnsi="Times New Roman"/>
                <w:b/>
                <w:bCs/>
                <w:sz w:val="24"/>
                <w:szCs w:val="24"/>
                <w:lang w:val="lv-LV"/>
              </w:rPr>
            </w:pPr>
            <w:r w:rsidRPr="00927BA6">
              <w:rPr>
                <w:rFonts w:ascii="Times New Roman" w:hAnsi="Times New Roman"/>
                <w:b/>
                <w:bCs/>
                <w:iCs/>
                <w:sz w:val="24"/>
                <w:szCs w:val="24"/>
                <w:lang w:val="lv-LV"/>
              </w:rPr>
              <w:t>IV.</w:t>
            </w:r>
            <w:r w:rsidR="008E73E4" w:rsidRPr="00927BA6">
              <w:rPr>
                <w:rFonts w:ascii="Times New Roman" w:hAnsi="Times New Roman"/>
                <w:b/>
                <w:bCs/>
                <w:iCs/>
                <w:sz w:val="24"/>
                <w:szCs w:val="24"/>
                <w:lang w:val="lv-LV"/>
              </w:rPr>
              <w:t> </w:t>
            </w:r>
            <w:r w:rsidRPr="00927BA6">
              <w:rPr>
                <w:rFonts w:ascii="Times New Roman" w:hAnsi="Times New Roman"/>
                <w:b/>
                <w:bCs/>
                <w:iCs/>
                <w:sz w:val="24"/>
                <w:szCs w:val="24"/>
                <w:lang w:val="lv-LV"/>
              </w:rPr>
              <w:t>Tiesību akta projekta ietekme uz spēkā esošo tiesību normu sistēmu</w:t>
            </w:r>
          </w:p>
        </w:tc>
      </w:tr>
      <w:tr w:rsidR="00656811" w:rsidRPr="00927BA6" w14:paraId="6C7BF2FF" w14:textId="77777777" w:rsidTr="00B41DBA">
        <w:trPr>
          <w:trHeight w:val="590"/>
        </w:trPr>
        <w:tc>
          <w:tcPr>
            <w:tcW w:w="5000" w:type="pct"/>
            <w:shd w:val="clear" w:color="auto" w:fill="FFFFFF"/>
            <w:vAlign w:val="center"/>
            <w:hideMark/>
          </w:tcPr>
          <w:p w14:paraId="649969C7" w14:textId="77777777" w:rsidR="00147A68" w:rsidRPr="00927BA6" w:rsidRDefault="00147A68" w:rsidP="00E059A0">
            <w:pPr>
              <w:pStyle w:val="Bezatstarpm1"/>
              <w:jc w:val="center"/>
              <w:rPr>
                <w:rFonts w:ascii="Times New Roman" w:hAnsi="Times New Roman"/>
                <w:sz w:val="24"/>
                <w:szCs w:val="24"/>
                <w:lang w:val="lv-LV"/>
              </w:rPr>
            </w:pPr>
            <w:r w:rsidRPr="00927BA6">
              <w:rPr>
                <w:rFonts w:ascii="Times New Roman" w:hAnsi="Times New Roman"/>
                <w:iCs/>
                <w:sz w:val="24"/>
                <w:szCs w:val="24"/>
                <w:lang w:val="lv-LV"/>
              </w:rPr>
              <w:lastRenderedPageBreak/>
              <w:t>Projekts šo jomu neskar</w:t>
            </w:r>
          </w:p>
        </w:tc>
      </w:tr>
    </w:tbl>
    <w:p w14:paraId="45BDDA86" w14:textId="77777777" w:rsidR="00147A68" w:rsidRPr="00656811" w:rsidRDefault="00147A68" w:rsidP="00E059A0">
      <w:pPr>
        <w:pStyle w:val="Bezatstarpm1"/>
        <w:jc w:val="center"/>
        <w:rPr>
          <w:rFonts w:ascii="Times New Roman" w:hAnsi="Times New Roman"/>
          <w:b/>
          <w:bCs/>
          <w:iCs/>
          <w:sz w:val="24"/>
          <w:szCs w:val="24"/>
        </w:rPr>
      </w:pPr>
    </w:p>
    <w:tbl>
      <w:tblPr>
        <w:tblW w:w="500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29"/>
        <w:gridCol w:w="838"/>
        <w:gridCol w:w="1244"/>
        <w:gridCol w:w="1822"/>
        <w:gridCol w:w="3122"/>
      </w:tblGrid>
      <w:tr w:rsidR="00656811" w:rsidRPr="00656811" w14:paraId="2B0896D8" w14:textId="77777777" w:rsidTr="007F301C">
        <w:tc>
          <w:tcPr>
            <w:tcW w:w="5000" w:type="pct"/>
            <w:gridSpan w:val="5"/>
            <w:tcBorders>
              <w:top w:val="single" w:sz="4" w:space="0" w:color="auto"/>
              <w:left w:val="outset" w:sz="6" w:space="0" w:color="000000"/>
              <w:bottom w:val="outset" w:sz="6" w:space="0" w:color="000000"/>
              <w:right w:val="outset" w:sz="6" w:space="0" w:color="000000"/>
            </w:tcBorders>
            <w:shd w:val="clear" w:color="auto" w:fill="auto"/>
          </w:tcPr>
          <w:p w14:paraId="015167D2" w14:textId="641655B6" w:rsidR="0005464C" w:rsidRPr="00656811" w:rsidRDefault="0005464C" w:rsidP="00D44D6F">
            <w:pPr>
              <w:pStyle w:val="NormalWeb"/>
              <w:spacing w:before="0" w:beforeAutospacing="0" w:after="0" w:afterAutospacing="0"/>
              <w:jc w:val="center"/>
              <w:rPr>
                <w:b/>
                <w:bCs/>
                <w:lang w:val="lv-LV"/>
              </w:rPr>
            </w:pPr>
            <w:r w:rsidRPr="00656811">
              <w:rPr>
                <w:b/>
                <w:bCs/>
                <w:lang w:val="lv-LV"/>
              </w:rPr>
              <w:t>V.</w:t>
            </w:r>
            <w:r w:rsidR="008E73E4" w:rsidRPr="00656811">
              <w:rPr>
                <w:b/>
                <w:bCs/>
                <w:lang w:val="lv-LV"/>
              </w:rPr>
              <w:t> </w:t>
            </w:r>
            <w:r w:rsidRPr="00656811">
              <w:rPr>
                <w:b/>
                <w:bCs/>
                <w:lang w:val="lv-LV"/>
              </w:rPr>
              <w:t>Tiesību akta projekta atbilstība Latvijas Republikas starptautiskajām saistībām</w:t>
            </w:r>
          </w:p>
        </w:tc>
      </w:tr>
      <w:tr w:rsidR="00656811" w:rsidRPr="00656811" w14:paraId="53F232BC" w14:textId="77777777" w:rsidTr="003B7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83" w:type="pct"/>
            <w:gridSpan w:val="2"/>
          </w:tcPr>
          <w:p w14:paraId="038F9A40" w14:textId="6BE1DA94" w:rsidR="0005464C" w:rsidRPr="00656811" w:rsidRDefault="0005464C" w:rsidP="00D44D6F">
            <w:pPr>
              <w:pStyle w:val="NormalWeb"/>
              <w:spacing w:before="0" w:beforeAutospacing="0" w:after="0" w:afterAutospacing="0"/>
              <w:rPr>
                <w:lang w:val="lv-LV"/>
              </w:rPr>
            </w:pPr>
            <w:r w:rsidRPr="00656811">
              <w:rPr>
                <w:lang w:val="lv-LV"/>
              </w:rPr>
              <w:t>1.</w:t>
            </w:r>
            <w:r w:rsidR="008E73E4" w:rsidRPr="00656811">
              <w:rPr>
                <w:lang w:val="lv-LV"/>
              </w:rPr>
              <w:t> </w:t>
            </w:r>
            <w:r w:rsidRPr="00656811">
              <w:rPr>
                <w:lang w:val="lv-LV"/>
              </w:rPr>
              <w:t>Saistības pret Eiropas Savienību</w:t>
            </w:r>
          </w:p>
        </w:tc>
        <w:tc>
          <w:tcPr>
            <w:tcW w:w="3417" w:type="pct"/>
            <w:gridSpan w:val="3"/>
          </w:tcPr>
          <w:p w14:paraId="360C7EC3" w14:textId="77777777" w:rsidR="00A3286A" w:rsidRPr="00656811" w:rsidRDefault="00C23391" w:rsidP="00147A68">
            <w:pPr>
              <w:jc w:val="both"/>
            </w:pPr>
            <w:r w:rsidRPr="00656811">
              <w:t xml:space="preserve">EK, EZA un Eiropas zāļu aģentūru vadītāju 2020. gada 10. aprīļa paziņojuma “Jautājumu un atbilžu dokuments par zāļu reglamentējuma jautājumiem </w:t>
            </w:r>
            <w:proofErr w:type="spellStart"/>
            <w:r w:rsidRPr="00656811">
              <w:t>Covid</w:t>
            </w:r>
            <w:proofErr w:type="spellEnd"/>
            <w:r w:rsidRPr="00656811">
              <w:t> - 19 pandēmijas laikā”</w:t>
            </w:r>
          </w:p>
          <w:p w14:paraId="626F02B3" w14:textId="4011B3F9" w:rsidR="00A3286A" w:rsidRPr="00656811" w:rsidRDefault="00A3286A" w:rsidP="00147A68">
            <w:pPr>
              <w:jc w:val="both"/>
            </w:pPr>
            <w:r w:rsidRPr="00656811">
              <w:t>ile:///C:/Users/User/Documents/darbs/2020/Projekti/COVID-situacija/gmp-gdo-304-416-344/guidance_regulatory_covid19_en.pdf</w:t>
            </w:r>
          </w:p>
          <w:p w14:paraId="02322948" w14:textId="77777777" w:rsidR="00A3286A" w:rsidRPr="00656811" w:rsidRDefault="00A3286A" w:rsidP="00147A68">
            <w:pPr>
              <w:jc w:val="both"/>
            </w:pPr>
          </w:p>
          <w:p w14:paraId="75BFA38C" w14:textId="4D06287A" w:rsidR="00147A68" w:rsidRPr="00656811" w:rsidRDefault="00A3286A" w:rsidP="00987C7C">
            <w:pPr>
              <w:pStyle w:val="FootnoteText"/>
              <w:jc w:val="both"/>
              <w:rPr>
                <w:rFonts w:ascii="Times New Roman" w:eastAsia="Times New Roman" w:hAnsi="Times New Roman"/>
                <w:sz w:val="22"/>
                <w:szCs w:val="22"/>
                <w:shd w:val="clear" w:color="auto" w:fill="FFFFFF"/>
                <w:lang w:eastAsia="lv-LV"/>
              </w:rPr>
            </w:pPr>
            <w:r w:rsidRPr="00656811">
              <w:rPr>
                <w:rFonts w:ascii="Times New Roman" w:eastAsia="Times New Roman" w:hAnsi="Times New Roman"/>
                <w:sz w:val="22"/>
                <w:szCs w:val="22"/>
                <w:shd w:val="clear" w:color="auto" w:fill="FFFFFF"/>
                <w:lang w:eastAsia="lv-LV"/>
              </w:rPr>
              <w:t>Eiropas Parlamenta un Padomes 2001. gada 6. novembra Direktīvas</w:t>
            </w:r>
            <w:r w:rsidR="00987C7C" w:rsidRPr="00656811">
              <w:rPr>
                <w:rFonts w:ascii="Times New Roman" w:eastAsia="Times New Roman" w:hAnsi="Times New Roman"/>
                <w:sz w:val="22"/>
                <w:szCs w:val="22"/>
                <w:shd w:val="clear" w:color="auto" w:fill="FFFFFF"/>
                <w:lang w:eastAsia="lv-LV"/>
              </w:rPr>
              <w:t xml:space="preserve"> </w:t>
            </w:r>
            <w:hyperlink r:id="rId11" w:history="1">
              <w:r w:rsidRPr="00656811">
                <w:rPr>
                  <w:rFonts w:ascii="Times New Roman" w:eastAsia="Times New Roman" w:hAnsi="Times New Roman"/>
                  <w:sz w:val="22"/>
                  <w:szCs w:val="22"/>
                  <w:shd w:val="clear" w:color="auto" w:fill="FFFFFF"/>
                  <w:lang w:eastAsia="lv-LV"/>
                </w:rPr>
                <w:t>2001/83/EK</w:t>
              </w:r>
            </w:hyperlink>
            <w:r w:rsidR="00987C7C" w:rsidRPr="00656811">
              <w:rPr>
                <w:rFonts w:ascii="Times New Roman" w:eastAsia="Times New Roman" w:hAnsi="Times New Roman"/>
                <w:sz w:val="22"/>
                <w:szCs w:val="22"/>
                <w:shd w:val="clear" w:color="auto" w:fill="FFFFFF"/>
                <w:lang w:eastAsia="lv-LV"/>
              </w:rPr>
              <w:t xml:space="preserve"> </w:t>
            </w:r>
            <w:r w:rsidRPr="00656811">
              <w:rPr>
                <w:rFonts w:ascii="Times New Roman" w:eastAsia="Times New Roman" w:hAnsi="Times New Roman"/>
                <w:sz w:val="22"/>
                <w:szCs w:val="22"/>
                <w:shd w:val="clear" w:color="auto" w:fill="FFFFFF"/>
                <w:lang w:eastAsia="lv-LV"/>
              </w:rPr>
              <w:t xml:space="preserve">par Kopienas kodeksu, kas attiecas uz cilvēkiem paredzētām zālēm </w:t>
            </w:r>
            <w:hyperlink r:id="rId12" w:history="1">
              <w:r w:rsidRPr="00656811">
                <w:rPr>
                  <w:rStyle w:val="Hyperlink"/>
                  <w:rFonts w:ascii="Times New Roman" w:eastAsia="Times New Roman" w:hAnsi="Times New Roman"/>
                  <w:color w:val="auto"/>
                  <w:sz w:val="22"/>
                  <w:szCs w:val="22"/>
                  <w:shd w:val="clear" w:color="auto" w:fill="FFFFFF"/>
                  <w:lang w:eastAsia="lv-LV"/>
                </w:rPr>
                <w:t>https://eur-lex.europa.eu/legal-content/LV/TXT/HTML/?uri=CELEX:02001L0083-20121116&amp;from=EN</w:t>
              </w:r>
            </w:hyperlink>
          </w:p>
        </w:tc>
      </w:tr>
      <w:tr w:rsidR="00656811" w:rsidRPr="00656811" w14:paraId="51E387BD" w14:textId="77777777" w:rsidTr="003B7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83" w:type="pct"/>
            <w:gridSpan w:val="2"/>
          </w:tcPr>
          <w:p w14:paraId="0D914053" w14:textId="77777777" w:rsidR="0005464C" w:rsidRPr="00656811" w:rsidRDefault="0005464C" w:rsidP="00D44D6F">
            <w:pPr>
              <w:pStyle w:val="NormalWeb"/>
              <w:spacing w:before="0" w:beforeAutospacing="0" w:after="0" w:afterAutospacing="0"/>
              <w:jc w:val="both"/>
              <w:rPr>
                <w:lang w:val="lv-LV"/>
              </w:rPr>
            </w:pPr>
            <w:r w:rsidRPr="00656811">
              <w:rPr>
                <w:lang w:val="lv-LV"/>
              </w:rPr>
              <w:t>2. Citas starptautiskās saistības</w:t>
            </w:r>
          </w:p>
        </w:tc>
        <w:tc>
          <w:tcPr>
            <w:tcW w:w="3417" w:type="pct"/>
            <w:gridSpan w:val="3"/>
          </w:tcPr>
          <w:p w14:paraId="185D6474" w14:textId="1D97EFF7" w:rsidR="0005464C" w:rsidRPr="00656811" w:rsidRDefault="004C3F4B" w:rsidP="00D44D6F">
            <w:r w:rsidRPr="00656811">
              <w:rPr>
                <w:bCs/>
              </w:rPr>
              <w:t>Projekts šo jomu neskar</w:t>
            </w:r>
          </w:p>
        </w:tc>
      </w:tr>
      <w:tr w:rsidR="00656811" w:rsidRPr="00656811" w14:paraId="3D31AD33" w14:textId="77777777" w:rsidTr="003B7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83" w:type="pct"/>
            <w:gridSpan w:val="2"/>
          </w:tcPr>
          <w:p w14:paraId="20DB3015" w14:textId="77777777" w:rsidR="0005464C" w:rsidRPr="00656811" w:rsidRDefault="0005464C" w:rsidP="00D44D6F">
            <w:pPr>
              <w:pStyle w:val="NormalWeb"/>
              <w:spacing w:before="0" w:beforeAutospacing="0" w:after="0" w:afterAutospacing="0"/>
              <w:jc w:val="both"/>
              <w:rPr>
                <w:lang w:val="lv-LV"/>
              </w:rPr>
            </w:pPr>
            <w:r w:rsidRPr="00656811">
              <w:rPr>
                <w:lang w:val="lv-LV"/>
              </w:rPr>
              <w:t>3. Cita informācija</w:t>
            </w:r>
          </w:p>
        </w:tc>
        <w:tc>
          <w:tcPr>
            <w:tcW w:w="3417" w:type="pct"/>
            <w:gridSpan w:val="3"/>
          </w:tcPr>
          <w:p w14:paraId="13D067FA" w14:textId="5BEC9188" w:rsidR="0005464C" w:rsidRPr="00656811" w:rsidRDefault="0005464C" w:rsidP="00D44D6F">
            <w:r w:rsidRPr="00656811">
              <w:t>Nav</w:t>
            </w:r>
          </w:p>
        </w:tc>
      </w:tr>
      <w:tr w:rsidR="00656811" w:rsidRPr="00656811" w14:paraId="7E8476C3"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5"/>
          </w:tcPr>
          <w:p w14:paraId="35CE4D07" w14:textId="1A8DD470" w:rsidR="0005464C" w:rsidRPr="00656811" w:rsidRDefault="0005464C" w:rsidP="00D44D6F">
            <w:pPr>
              <w:jc w:val="center"/>
              <w:rPr>
                <w:b/>
              </w:rPr>
            </w:pPr>
            <w:r w:rsidRPr="00656811">
              <w:rPr>
                <w:b/>
              </w:rPr>
              <w:t>1.</w:t>
            </w:r>
            <w:r w:rsidR="008E73E4" w:rsidRPr="00656811">
              <w:rPr>
                <w:b/>
              </w:rPr>
              <w:t> </w:t>
            </w:r>
            <w:r w:rsidRPr="00656811">
              <w:rPr>
                <w:b/>
              </w:rPr>
              <w:t xml:space="preserve">tabula </w:t>
            </w:r>
          </w:p>
          <w:p w14:paraId="466DD4AB" w14:textId="77777777" w:rsidR="0005464C" w:rsidRPr="00656811" w:rsidRDefault="0005464C" w:rsidP="00D44D6F">
            <w:pPr>
              <w:jc w:val="center"/>
            </w:pPr>
            <w:r w:rsidRPr="00656811">
              <w:rPr>
                <w:b/>
              </w:rPr>
              <w:t>Tiesību akta projekta atbilstība ES tiesību aktiem</w:t>
            </w:r>
          </w:p>
        </w:tc>
      </w:tr>
      <w:tr w:rsidR="00656811" w:rsidRPr="00656811" w14:paraId="6E558DAE" w14:textId="77777777" w:rsidTr="003B7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0" w:type="pct"/>
            <w:gridSpan w:val="3"/>
          </w:tcPr>
          <w:p w14:paraId="3ACD2474" w14:textId="77777777" w:rsidR="0005464C" w:rsidRPr="00656811" w:rsidRDefault="0005464C" w:rsidP="00D44D6F">
            <w:pPr>
              <w:pStyle w:val="naisc"/>
              <w:spacing w:before="0" w:after="0"/>
              <w:jc w:val="both"/>
              <w:rPr>
                <w:sz w:val="24"/>
                <w:szCs w:val="24"/>
                <w:lang w:val="lv-LV"/>
              </w:rPr>
            </w:pPr>
            <w:r w:rsidRPr="00656811">
              <w:rPr>
                <w:sz w:val="24"/>
                <w:szCs w:val="24"/>
                <w:lang w:val="lv-LV"/>
              </w:rPr>
              <w:t>Attiecīgo Eiropas Savienības tiesību aktu datums, numurs un nosaukums</w:t>
            </w:r>
          </w:p>
        </w:tc>
        <w:tc>
          <w:tcPr>
            <w:tcW w:w="2730" w:type="pct"/>
            <w:gridSpan w:val="2"/>
          </w:tcPr>
          <w:p w14:paraId="6AFC5BAB" w14:textId="68DD9D3C" w:rsidR="0005464C" w:rsidRPr="00656811" w:rsidRDefault="004C3F4B" w:rsidP="00D44D6F">
            <w:pPr>
              <w:jc w:val="both"/>
            </w:pPr>
            <w:r w:rsidRPr="00656811">
              <w:rPr>
                <w:bCs/>
              </w:rPr>
              <w:t>Projekts šo jomu neskar</w:t>
            </w:r>
          </w:p>
        </w:tc>
      </w:tr>
      <w:tr w:rsidR="00656811" w:rsidRPr="00656811" w14:paraId="3DFE82F3"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5"/>
          </w:tcPr>
          <w:p w14:paraId="63292F0A" w14:textId="77777777" w:rsidR="0005464C" w:rsidRPr="00656811" w:rsidRDefault="0005464C" w:rsidP="00D44D6F">
            <w:pPr>
              <w:pStyle w:val="naisc"/>
              <w:spacing w:before="0" w:after="0"/>
              <w:jc w:val="right"/>
              <w:rPr>
                <w:sz w:val="24"/>
                <w:szCs w:val="24"/>
                <w:lang w:val="lv-LV"/>
              </w:rPr>
            </w:pPr>
          </w:p>
        </w:tc>
      </w:tr>
      <w:tr w:rsidR="00656811" w:rsidRPr="00656811" w14:paraId="64A3A4F4" w14:textId="77777777" w:rsidTr="003B7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0" w:type="pct"/>
          </w:tcPr>
          <w:p w14:paraId="67F288D4" w14:textId="77777777" w:rsidR="0005464C" w:rsidRPr="00656811" w:rsidRDefault="0005464C" w:rsidP="00D44D6F">
            <w:pPr>
              <w:pStyle w:val="naisc"/>
              <w:spacing w:before="0" w:after="0"/>
              <w:rPr>
                <w:sz w:val="24"/>
                <w:szCs w:val="24"/>
                <w:lang w:val="lv-LV"/>
              </w:rPr>
            </w:pPr>
            <w:r w:rsidRPr="00656811">
              <w:rPr>
                <w:sz w:val="24"/>
                <w:szCs w:val="24"/>
                <w:lang w:val="lv-LV"/>
              </w:rPr>
              <w:t>A</w:t>
            </w:r>
          </w:p>
        </w:tc>
        <w:tc>
          <w:tcPr>
            <w:tcW w:w="1150" w:type="pct"/>
            <w:gridSpan w:val="2"/>
          </w:tcPr>
          <w:p w14:paraId="5E782413" w14:textId="77777777" w:rsidR="0005464C" w:rsidRPr="00656811" w:rsidRDefault="0005464C" w:rsidP="00D44D6F">
            <w:pPr>
              <w:pStyle w:val="naisc"/>
              <w:spacing w:before="0" w:after="0"/>
              <w:rPr>
                <w:sz w:val="24"/>
                <w:szCs w:val="24"/>
                <w:lang w:val="lv-LV"/>
              </w:rPr>
            </w:pPr>
            <w:r w:rsidRPr="00656811">
              <w:rPr>
                <w:sz w:val="24"/>
                <w:szCs w:val="24"/>
                <w:lang w:val="lv-LV"/>
              </w:rPr>
              <w:t>B</w:t>
            </w:r>
          </w:p>
        </w:tc>
        <w:tc>
          <w:tcPr>
            <w:tcW w:w="1006" w:type="pct"/>
          </w:tcPr>
          <w:p w14:paraId="420CDECB" w14:textId="77777777" w:rsidR="0005464C" w:rsidRPr="00656811" w:rsidRDefault="0005464C" w:rsidP="00D44D6F">
            <w:pPr>
              <w:pStyle w:val="naisc"/>
              <w:spacing w:before="0" w:after="0"/>
              <w:rPr>
                <w:sz w:val="24"/>
                <w:szCs w:val="24"/>
                <w:lang w:val="lv-LV"/>
              </w:rPr>
            </w:pPr>
            <w:r w:rsidRPr="00656811">
              <w:rPr>
                <w:sz w:val="24"/>
                <w:szCs w:val="24"/>
                <w:lang w:val="lv-LV"/>
              </w:rPr>
              <w:t>C</w:t>
            </w:r>
          </w:p>
        </w:tc>
        <w:tc>
          <w:tcPr>
            <w:tcW w:w="1724" w:type="pct"/>
          </w:tcPr>
          <w:p w14:paraId="02CBEF30" w14:textId="77777777" w:rsidR="0005464C" w:rsidRPr="00656811" w:rsidRDefault="0005464C" w:rsidP="00D44D6F">
            <w:pPr>
              <w:pStyle w:val="naisc"/>
              <w:spacing w:before="0" w:after="0"/>
              <w:rPr>
                <w:sz w:val="24"/>
                <w:szCs w:val="24"/>
                <w:lang w:val="lv-LV"/>
              </w:rPr>
            </w:pPr>
            <w:r w:rsidRPr="00656811">
              <w:rPr>
                <w:sz w:val="24"/>
                <w:szCs w:val="24"/>
                <w:lang w:val="lv-LV"/>
              </w:rPr>
              <w:t>D</w:t>
            </w:r>
          </w:p>
        </w:tc>
      </w:tr>
      <w:tr w:rsidR="00656811" w:rsidRPr="00656811" w14:paraId="04C38974" w14:textId="77777777" w:rsidTr="003B7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0" w:type="pct"/>
          </w:tcPr>
          <w:p w14:paraId="74FC1E66" w14:textId="77777777" w:rsidR="0005464C" w:rsidRPr="00656811" w:rsidRDefault="0005464C" w:rsidP="00D44D6F">
            <w:pPr>
              <w:pStyle w:val="naisc"/>
              <w:spacing w:before="0" w:after="0"/>
              <w:jc w:val="both"/>
              <w:rPr>
                <w:sz w:val="24"/>
                <w:szCs w:val="24"/>
                <w:lang w:val="lv-LV"/>
              </w:rPr>
            </w:pPr>
            <w:r w:rsidRPr="00656811">
              <w:rPr>
                <w:sz w:val="24"/>
                <w:szCs w:val="24"/>
                <w:lang w:val="lv-LV"/>
              </w:rPr>
              <w:t>Attiecīgā ES tiesību akta panta numurs (uzskaitot katru tiesību akta vienību-pantu, daļu, punktu, apakšpunktu)</w:t>
            </w:r>
          </w:p>
        </w:tc>
        <w:tc>
          <w:tcPr>
            <w:tcW w:w="1150" w:type="pct"/>
            <w:gridSpan w:val="2"/>
          </w:tcPr>
          <w:p w14:paraId="07272645" w14:textId="77777777" w:rsidR="0005464C" w:rsidRPr="00656811" w:rsidRDefault="0005464C" w:rsidP="00D44D6F">
            <w:pPr>
              <w:pStyle w:val="naisc"/>
              <w:spacing w:before="0" w:after="0"/>
              <w:jc w:val="both"/>
              <w:rPr>
                <w:sz w:val="24"/>
                <w:szCs w:val="24"/>
                <w:lang w:val="lv-LV"/>
              </w:rPr>
            </w:pPr>
            <w:r w:rsidRPr="00656811">
              <w:rPr>
                <w:sz w:val="24"/>
                <w:szCs w:val="24"/>
                <w:lang w:val="lv-LV"/>
              </w:rPr>
              <w:t>Projekta vienība, kas pārņem vai ievieš katru šī tabulas A ailē minēto ES tiesību akta vienību vai tiesību akts, kur attiecīgā ES tiesību akta vienība pārņemta vai ieviesta</w:t>
            </w:r>
          </w:p>
        </w:tc>
        <w:tc>
          <w:tcPr>
            <w:tcW w:w="1006" w:type="pct"/>
          </w:tcPr>
          <w:p w14:paraId="03F3D83F" w14:textId="77777777" w:rsidR="0005464C" w:rsidRPr="00656811" w:rsidRDefault="0005464C" w:rsidP="00D44D6F">
            <w:pPr>
              <w:pStyle w:val="naisc"/>
              <w:spacing w:before="0" w:after="0"/>
              <w:jc w:val="both"/>
              <w:rPr>
                <w:sz w:val="24"/>
                <w:szCs w:val="24"/>
                <w:lang w:val="lv-LV"/>
              </w:rPr>
            </w:pPr>
            <w:r w:rsidRPr="00656811">
              <w:rPr>
                <w:sz w:val="24"/>
                <w:szCs w:val="24"/>
                <w:lang w:val="lv-LV"/>
              </w:rPr>
              <w:t xml:space="preserve">Informācija par to, vai šis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 Norāda institūciju, kas ir atbildīga par šo </w:t>
            </w:r>
            <w:r w:rsidRPr="00656811">
              <w:rPr>
                <w:sz w:val="24"/>
                <w:szCs w:val="24"/>
                <w:lang w:val="lv-LV"/>
              </w:rPr>
              <w:lastRenderedPageBreak/>
              <w:t>saistību izpildi pilnībā</w:t>
            </w:r>
          </w:p>
        </w:tc>
        <w:tc>
          <w:tcPr>
            <w:tcW w:w="1724" w:type="pct"/>
          </w:tcPr>
          <w:p w14:paraId="3CBB9EB0" w14:textId="77777777" w:rsidR="0005464C" w:rsidRPr="00656811" w:rsidRDefault="0005464C" w:rsidP="00D44D6F">
            <w:pPr>
              <w:pStyle w:val="naisc"/>
              <w:spacing w:before="0" w:after="0"/>
              <w:jc w:val="both"/>
              <w:rPr>
                <w:sz w:val="24"/>
                <w:szCs w:val="24"/>
                <w:lang w:val="lv-LV"/>
              </w:rPr>
            </w:pPr>
            <w:r w:rsidRPr="00656811">
              <w:rPr>
                <w:sz w:val="24"/>
                <w:szCs w:val="24"/>
                <w:lang w:val="lv-LV"/>
              </w:rPr>
              <w:lastRenderedPageBreak/>
              <w:t>Informācija par to, vai šīs tabulas B ailē minētās projekta vienības paredz stingrākas prasības nekā šis tabulas A ailē minētās ES tiesību akta vienības. Ja projekts satur stingrākas prasības nekā attiecīgais ES tiesību akts,- norāda pamatojumu un samērīgumu. Norāda iespējamās alternatīvas (t.sk. alternatīvas, kas neparedz tiesiskā regulējuma izstrādi)- kādos gadījumos būtu iespējams izvairīties no stingrāku prasību noteikšanas, nekā paredzēts attiecīgajos ES tiesību aktos</w:t>
            </w:r>
          </w:p>
        </w:tc>
      </w:tr>
      <w:tr w:rsidR="00656811" w:rsidRPr="00656811" w14:paraId="49052231" w14:textId="77777777" w:rsidTr="003B7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0" w:type="pct"/>
          </w:tcPr>
          <w:p w14:paraId="5C7CCD81" w14:textId="17BE23FF" w:rsidR="0005464C" w:rsidRPr="00656811" w:rsidRDefault="00A3286A" w:rsidP="00D44D6F">
            <w:pPr>
              <w:pStyle w:val="naisc"/>
              <w:spacing w:before="0" w:after="0"/>
              <w:jc w:val="both"/>
              <w:rPr>
                <w:sz w:val="24"/>
                <w:szCs w:val="24"/>
                <w:lang w:val="lv-LV"/>
              </w:rPr>
            </w:pPr>
            <w:r w:rsidRPr="00656811">
              <w:rPr>
                <w:sz w:val="24"/>
                <w:szCs w:val="24"/>
                <w:lang w:val="lv-LV"/>
              </w:rPr>
              <w:t>Direktīva 2001/83 63.</w:t>
            </w:r>
            <w:r w:rsidR="00987C7C" w:rsidRPr="00656811">
              <w:rPr>
                <w:sz w:val="24"/>
                <w:szCs w:val="24"/>
                <w:lang w:val="lv-LV"/>
              </w:rPr>
              <w:t> </w:t>
            </w:r>
            <w:r w:rsidRPr="00656811">
              <w:rPr>
                <w:sz w:val="24"/>
                <w:szCs w:val="24"/>
                <w:lang w:val="lv-LV"/>
              </w:rPr>
              <w:t>pants 3.</w:t>
            </w:r>
            <w:r w:rsidR="00987C7C" w:rsidRPr="00656811">
              <w:rPr>
                <w:sz w:val="24"/>
                <w:szCs w:val="24"/>
                <w:lang w:val="lv-LV"/>
              </w:rPr>
              <w:t> </w:t>
            </w:r>
            <w:r w:rsidRPr="00656811">
              <w:rPr>
                <w:sz w:val="24"/>
                <w:szCs w:val="24"/>
                <w:lang w:val="lv-LV"/>
              </w:rPr>
              <w:t>punkts</w:t>
            </w:r>
          </w:p>
        </w:tc>
        <w:tc>
          <w:tcPr>
            <w:tcW w:w="1150" w:type="pct"/>
            <w:gridSpan w:val="2"/>
          </w:tcPr>
          <w:p w14:paraId="3AE4A7B4" w14:textId="30047DD3" w:rsidR="0005464C" w:rsidRPr="00656811" w:rsidRDefault="00A3286A" w:rsidP="00D44D6F">
            <w:pPr>
              <w:pStyle w:val="naisc"/>
              <w:spacing w:before="0" w:after="0"/>
              <w:jc w:val="both"/>
              <w:rPr>
                <w:sz w:val="24"/>
                <w:szCs w:val="24"/>
                <w:lang w:val="lv-LV"/>
              </w:rPr>
            </w:pPr>
            <w:r w:rsidRPr="00656811">
              <w:rPr>
                <w:sz w:val="24"/>
                <w:szCs w:val="24"/>
                <w:lang w:val="lv-LV"/>
              </w:rPr>
              <w:t>MK noteikumu 41.</w:t>
            </w:r>
            <w:r w:rsidR="00987C7C" w:rsidRPr="00656811">
              <w:rPr>
                <w:sz w:val="24"/>
                <w:szCs w:val="24"/>
                <w:lang w:val="lv-LV"/>
              </w:rPr>
              <w:t> </w:t>
            </w:r>
            <w:r w:rsidRPr="00656811">
              <w:rPr>
                <w:sz w:val="24"/>
                <w:szCs w:val="24"/>
                <w:lang w:val="lv-LV"/>
              </w:rPr>
              <w:t>punkts</w:t>
            </w:r>
          </w:p>
        </w:tc>
        <w:tc>
          <w:tcPr>
            <w:tcW w:w="1006" w:type="pct"/>
          </w:tcPr>
          <w:p w14:paraId="7102760F" w14:textId="375BD2CE" w:rsidR="0005464C" w:rsidRPr="00656811" w:rsidRDefault="00A3286A" w:rsidP="00D44D6F">
            <w:pPr>
              <w:pStyle w:val="naisc"/>
              <w:spacing w:before="0" w:after="0"/>
              <w:jc w:val="both"/>
              <w:rPr>
                <w:sz w:val="24"/>
                <w:szCs w:val="24"/>
                <w:lang w:val="lv-LV"/>
              </w:rPr>
            </w:pPr>
            <w:r w:rsidRPr="00656811">
              <w:rPr>
                <w:sz w:val="24"/>
                <w:szCs w:val="24"/>
                <w:lang w:val="lv-LV"/>
              </w:rPr>
              <w:t>Pilnībā ieviests</w:t>
            </w:r>
          </w:p>
        </w:tc>
        <w:tc>
          <w:tcPr>
            <w:tcW w:w="1724" w:type="pct"/>
          </w:tcPr>
          <w:p w14:paraId="06781D35" w14:textId="3737EF75" w:rsidR="0005464C" w:rsidRPr="00656811" w:rsidRDefault="00A3286A" w:rsidP="00D44D6F">
            <w:pPr>
              <w:pStyle w:val="naisc"/>
              <w:spacing w:before="0" w:after="0"/>
              <w:jc w:val="both"/>
              <w:rPr>
                <w:sz w:val="24"/>
                <w:szCs w:val="24"/>
                <w:lang w:val="lv-LV"/>
              </w:rPr>
            </w:pPr>
            <w:r w:rsidRPr="00656811">
              <w:rPr>
                <w:sz w:val="24"/>
                <w:szCs w:val="24"/>
                <w:lang w:val="lv-LV"/>
              </w:rPr>
              <w:t>Stingrākas prasības neparedz</w:t>
            </w:r>
          </w:p>
        </w:tc>
      </w:tr>
      <w:tr w:rsidR="00656811" w:rsidRPr="00656811" w14:paraId="4839F907" w14:textId="77777777" w:rsidTr="003B7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0" w:type="pct"/>
          </w:tcPr>
          <w:p w14:paraId="64FD8485" w14:textId="77777777" w:rsidR="0005464C" w:rsidRPr="00656811" w:rsidRDefault="0005464C" w:rsidP="00D44D6F">
            <w:pPr>
              <w:pStyle w:val="naisc"/>
              <w:spacing w:before="0" w:after="0"/>
              <w:jc w:val="both"/>
              <w:rPr>
                <w:sz w:val="24"/>
                <w:szCs w:val="24"/>
                <w:lang w:val="lv-LV"/>
              </w:rPr>
            </w:pPr>
            <w:r w:rsidRPr="00656811">
              <w:rPr>
                <w:sz w:val="24"/>
                <w:szCs w:val="24"/>
                <w:lang w:val="lv-LV"/>
              </w:rPr>
              <w:t>Kā ir i</w:t>
            </w:r>
            <w:smartTag w:uri="urn:schemas-microsoft-com:office:smarttags" w:element="place">
              <w:r w:rsidRPr="00656811">
                <w:rPr>
                  <w:sz w:val="24"/>
                  <w:szCs w:val="24"/>
                  <w:lang w:val="lv-LV"/>
                </w:rPr>
                <w:t>zm</w:t>
              </w:r>
            </w:smartTag>
            <w:r w:rsidRPr="00656811">
              <w:rPr>
                <w:sz w:val="24"/>
                <w:szCs w:val="24"/>
                <w:lang w:val="lv-LV"/>
              </w:rPr>
              <w:t>antota ES tiesību aktā paredzētā rīcības brīvība dalībvalstij pārņemt vai ieviest noteiktas ES tiesību akta normas. Kādēļ?</w:t>
            </w:r>
          </w:p>
        </w:tc>
        <w:tc>
          <w:tcPr>
            <w:tcW w:w="3880" w:type="pct"/>
            <w:gridSpan w:val="4"/>
          </w:tcPr>
          <w:p w14:paraId="6CD1D089" w14:textId="67468168" w:rsidR="0005464C" w:rsidRPr="00656811" w:rsidRDefault="004C3F4B" w:rsidP="00D44D6F">
            <w:pPr>
              <w:pStyle w:val="naisc"/>
              <w:spacing w:before="0" w:beforeAutospacing="0" w:after="0" w:afterAutospacing="0"/>
              <w:jc w:val="both"/>
              <w:rPr>
                <w:sz w:val="24"/>
                <w:szCs w:val="24"/>
                <w:lang w:val="lv-LV"/>
              </w:rPr>
            </w:pPr>
            <w:r w:rsidRPr="00656811">
              <w:rPr>
                <w:bCs/>
                <w:sz w:val="24"/>
                <w:szCs w:val="24"/>
                <w:lang w:val="lv-LV"/>
              </w:rPr>
              <w:t>Projekts šo jomu neskar.</w:t>
            </w:r>
          </w:p>
        </w:tc>
      </w:tr>
      <w:tr w:rsidR="00656811" w:rsidRPr="00656811" w14:paraId="1AB4ABA8" w14:textId="77777777" w:rsidTr="003B7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0" w:type="pct"/>
          </w:tcPr>
          <w:p w14:paraId="731352B0" w14:textId="77777777" w:rsidR="0005464C" w:rsidRPr="00656811" w:rsidRDefault="0005464C" w:rsidP="00D44D6F">
            <w:pPr>
              <w:pStyle w:val="naisc"/>
              <w:spacing w:before="0" w:after="0"/>
              <w:jc w:val="both"/>
              <w:rPr>
                <w:sz w:val="24"/>
                <w:szCs w:val="24"/>
                <w:lang w:val="lv-LV"/>
              </w:rPr>
            </w:pPr>
            <w:r w:rsidRPr="00656811">
              <w:rPr>
                <w:sz w:val="24"/>
                <w:szCs w:val="24"/>
                <w:lang w:val="lv-LV"/>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3880" w:type="pct"/>
            <w:gridSpan w:val="4"/>
          </w:tcPr>
          <w:p w14:paraId="47581F46" w14:textId="16DF553D" w:rsidR="0005464C" w:rsidRPr="00656811" w:rsidRDefault="004C3F4B" w:rsidP="00D44D6F">
            <w:pPr>
              <w:pStyle w:val="naisc"/>
              <w:spacing w:before="0" w:after="0"/>
              <w:jc w:val="both"/>
              <w:rPr>
                <w:sz w:val="24"/>
                <w:szCs w:val="24"/>
                <w:lang w:val="lv-LV"/>
              </w:rPr>
            </w:pPr>
            <w:r w:rsidRPr="00656811">
              <w:rPr>
                <w:bCs/>
                <w:sz w:val="24"/>
                <w:szCs w:val="24"/>
                <w:lang w:val="lv-LV"/>
              </w:rPr>
              <w:t>Projekts šo jomu neskar.</w:t>
            </w:r>
          </w:p>
        </w:tc>
      </w:tr>
      <w:tr w:rsidR="00656811" w:rsidRPr="00656811" w14:paraId="346C152E" w14:textId="77777777" w:rsidTr="003B7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0" w:type="pct"/>
          </w:tcPr>
          <w:p w14:paraId="2029FCBD" w14:textId="77777777" w:rsidR="0005464C" w:rsidRPr="00656811" w:rsidRDefault="0005464C" w:rsidP="00D44D6F">
            <w:pPr>
              <w:pStyle w:val="naisc"/>
              <w:spacing w:before="0" w:after="0"/>
              <w:jc w:val="both"/>
              <w:rPr>
                <w:sz w:val="24"/>
                <w:szCs w:val="24"/>
                <w:lang w:val="lv-LV"/>
              </w:rPr>
            </w:pPr>
            <w:r w:rsidRPr="00656811">
              <w:rPr>
                <w:sz w:val="24"/>
                <w:szCs w:val="24"/>
                <w:lang w:val="lv-LV"/>
              </w:rPr>
              <w:t>Cita informācija</w:t>
            </w:r>
          </w:p>
        </w:tc>
        <w:tc>
          <w:tcPr>
            <w:tcW w:w="3880" w:type="pct"/>
            <w:gridSpan w:val="4"/>
          </w:tcPr>
          <w:p w14:paraId="06F457C2" w14:textId="09AF57F4" w:rsidR="00035C2A" w:rsidRPr="00656811" w:rsidRDefault="00035C2A" w:rsidP="00035C2A">
            <w:pPr>
              <w:pStyle w:val="naisc"/>
              <w:spacing w:before="0" w:beforeAutospacing="0" w:after="0" w:afterAutospacing="0"/>
              <w:jc w:val="both"/>
              <w:rPr>
                <w:sz w:val="24"/>
                <w:szCs w:val="24"/>
                <w:lang w:val="lv-LV"/>
              </w:rPr>
            </w:pPr>
            <w:r w:rsidRPr="00656811">
              <w:rPr>
                <w:sz w:val="24"/>
                <w:szCs w:val="24"/>
                <w:lang w:val="lv-LV"/>
              </w:rPr>
              <w:t>Grozījumi MK noteikumos 57</w:t>
            </w:r>
            <w:r w:rsidR="003141B6">
              <w:rPr>
                <w:sz w:val="24"/>
                <w:szCs w:val="24"/>
                <w:lang w:val="lv-LV"/>
              </w:rPr>
              <w:t> </w:t>
            </w:r>
            <w:r w:rsidRPr="00656811">
              <w:rPr>
                <w:sz w:val="24"/>
                <w:szCs w:val="24"/>
                <w:lang w:val="lv-LV"/>
              </w:rPr>
              <w:t>atbilst:</w:t>
            </w:r>
          </w:p>
          <w:p w14:paraId="7CBB31A2" w14:textId="3656AE63" w:rsidR="00035C2A" w:rsidRPr="00656811" w:rsidRDefault="00035C2A" w:rsidP="00987C7C">
            <w:pPr>
              <w:jc w:val="both"/>
            </w:pPr>
            <w:r w:rsidRPr="00656811">
              <w:t xml:space="preserve">EK, EZA un Eiropas zāļu aģentūru vadītāju 2020. gada 10. aprīļa paziņojuma “Jautājumu un atbilžu dokuments par zāļu reglamentējuma jautājumiem </w:t>
            </w:r>
            <w:proofErr w:type="spellStart"/>
            <w:r w:rsidRPr="00656811">
              <w:t>Covid</w:t>
            </w:r>
            <w:proofErr w:type="spellEnd"/>
            <w:r w:rsidRPr="00656811">
              <w:t> - 19 pandēmijas laikā” A sadaļas 5.1.</w:t>
            </w:r>
            <w:r w:rsidR="00987C7C" w:rsidRPr="00656811">
              <w:t> </w:t>
            </w:r>
            <w:r w:rsidRPr="00656811">
              <w:t>apakšpunktam.</w:t>
            </w:r>
          </w:p>
        </w:tc>
      </w:tr>
      <w:tr w:rsidR="00656811" w:rsidRPr="00656811" w14:paraId="633C8FA2"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5"/>
          </w:tcPr>
          <w:p w14:paraId="63FBD967" w14:textId="0FB780F1" w:rsidR="00E059A0" w:rsidRPr="00656811" w:rsidRDefault="0005464C" w:rsidP="00E059A0">
            <w:pPr>
              <w:pStyle w:val="Bezatstarpm1"/>
              <w:jc w:val="center"/>
              <w:rPr>
                <w:rFonts w:ascii="Times New Roman" w:hAnsi="Times New Roman"/>
                <w:b/>
                <w:bCs/>
                <w:sz w:val="24"/>
                <w:szCs w:val="24"/>
                <w:lang w:val="lv-LV"/>
              </w:rPr>
            </w:pPr>
            <w:r w:rsidRPr="00656811">
              <w:rPr>
                <w:rFonts w:ascii="Times New Roman" w:hAnsi="Times New Roman"/>
                <w:b/>
                <w:bCs/>
                <w:sz w:val="24"/>
                <w:szCs w:val="24"/>
                <w:lang w:val="lv-LV"/>
              </w:rPr>
              <w:t>2.</w:t>
            </w:r>
            <w:r w:rsidR="008E73E4" w:rsidRPr="00656811">
              <w:rPr>
                <w:rFonts w:ascii="Times New Roman" w:hAnsi="Times New Roman"/>
                <w:b/>
                <w:bCs/>
                <w:sz w:val="24"/>
                <w:szCs w:val="24"/>
                <w:lang w:val="lv-LV"/>
              </w:rPr>
              <w:t> </w:t>
            </w:r>
            <w:r w:rsidRPr="00656811">
              <w:rPr>
                <w:rFonts w:ascii="Times New Roman" w:hAnsi="Times New Roman"/>
                <w:b/>
                <w:bCs/>
                <w:sz w:val="24"/>
                <w:szCs w:val="24"/>
                <w:lang w:val="lv-LV"/>
              </w:rPr>
              <w:t>tabula</w:t>
            </w:r>
          </w:p>
          <w:p w14:paraId="2B678F25" w14:textId="3B771F62" w:rsidR="0005464C" w:rsidRPr="00656811" w:rsidRDefault="0005464C" w:rsidP="00E059A0">
            <w:pPr>
              <w:pStyle w:val="Bezatstarpm1"/>
              <w:jc w:val="center"/>
              <w:rPr>
                <w:rFonts w:ascii="Times New Roman" w:hAnsi="Times New Roman"/>
                <w:b/>
                <w:bCs/>
                <w:sz w:val="24"/>
                <w:szCs w:val="24"/>
                <w:lang w:val="lv-LV"/>
              </w:rPr>
            </w:pPr>
            <w:r w:rsidRPr="00656811">
              <w:rPr>
                <w:rFonts w:ascii="Times New Roman" w:hAnsi="Times New Roman"/>
                <w:b/>
                <w:bCs/>
                <w:sz w:val="24"/>
                <w:szCs w:val="24"/>
                <w:lang w:val="lv-LV"/>
              </w:rPr>
              <w:t>Ar tiesību akta projektu uzņemtās saistības, kas izriet no starptautiskajiem tiesību aktiem vai starptautiskas institūcijas vai organizācijas dokumentiem</w:t>
            </w:r>
          </w:p>
          <w:p w14:paraId="3EEB482C" w14:textId="77777777" w:rsidR="0005464C" w:rsidRPr="00656811" w:rsidRDefault="0005464C" w:rsidP="00E059A0">
            <w:pPr>
              <w:pStyle w:val="Bezatstarpm1"/>
              <w:jc w:val="center"/>
              <w:rPr>
                <w:rFonts w:ascii="Times New Roman" w:hAnsi="Times New Roman"/>
                <w:b/>
                <w:bCs/>
                <w:sz w:val="24"/>
                <w:szCs w:val="24"/>
              </w:rPr>
            </w:pPr>
            <w:proofErr w:type="spellStart"/>
            <w:r w:rsidRPr="00656811">
              <w:rPr>
                <w:rFonts w:ascii="Times New Roman" w:hAnsi="Times New Roman"/>
                <w:b/>
                <w:bCs/>
                <w:sz w:val="24"/>
                <w:szCs w:val="24"/>
              </w:rPr>
              <w:t>Pasākumi</w:t>
            </w:r>
            <w:proofErr w:type="spellEnd"/>
            <w:r w:rsidRPr="00656811">
              <w:rPr>
                <w:rFonts w:ascii="Times New Roman" w:hAnsi="Times New Roman"/>
                <w:b/>
                <w:bCs/>
                <w:sz w:val="24"/>
                <w:szCs w:val="24"/>
              </w:rPr>
              <w:t xml:space="preserve"> </w:t>
            </w:r>
            <w:proofErr w:type="spellStart"/>
            <w:r w:rsidRPr="00656811">
              <w:rPr>
                <w:rFonts w:ascii="Times New Roman" w:hAnsi="Times New Roman"/>
                <w:b/>
                <w:bCs/>
                <w:sz w:val="24"/>
                <w:szCs w:val="24"/>
              </w:rPr>
              <w:t>šo</w:t>
            </w:r>
            <w:proofErr w:type="spellEnd"/>
            <w:r w:rsidRPr="00656811">
              <w:rPr>
                <w:rFonts w:ascii="Times New Roman" w:hAnsi="Times New Roman"/>
                <w:b/>
                <w:bCs/>
                <w:sz w:val="24"/>
                <w:szCs w:val="24"/>
              </w:rPr>
              <w:t xml:space="preserve"> </w:t>
            </w:r>
            <w:proofErr w:type="spellStart"/>
            <w:r w:rsidRPr="00656811">
              <w:rPr>
                <w:rFonts w:ascii="Times New Roman" w:hAnsi="Times New Roman"/>
                <w:b/>
                <w:bCs/>
                <w:sz w:val="24"/>
                <w:szCs w:val="24"/>
              </w:rPr>
              <w:t>saistību</w:t>
            </w:r>
            <w:proofErr w:type="spellEnd"/>
            <w:r w:rsidRPr="00656811">
              <w:rPr>
                <w:rFonts w:ascii="Times New Roman" w:hAnsi="Times New Roman"/>
                <w:b/>
                <w:bCs/>
                <w:sz w:val="24"/>
                <w:szCs w:val="24"/>
              </w:rPr>
              <w:t xml:space="preserve"> </w:t>
            </w:r>
            <w:proofErr w:type="spellStart"/>
            <w:r w:rsidRPr="00656811">
              <w:rPr>
                <w:rFonts w:ascii="Times New Roman" w:hAnsi="Times New Roman"/>
                <w:b/>
                <w:bCs/>
                <w:sz w:val="24"/>
                <w:szCs w:val="24"/>
              </w:rPr>
              <w:t>izpildei</w:t>
            </w:r>
            <w:proofErr w:type="spellEnd"/>
          </w:p>
        </w:tc>
      </w:tr>
      <w:tr w:rsidR="00656811" w:rsidRPr="00656811" w14:paraId="4BFED969"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5"/>
          </w:tcPr>
          <w:p w14:paraId="255F16EA" w14:textId="1BA30D19" w:rsidR="0005464C" w:rsidRPr="00656811" w:rsidRDefault="00FA2EF8" w:rsidP="00A5089F">
            <w:pPr>
              <w:pStyle w:val="naisc"/>
              <w:spacing w:before="0" w:after="0"/>
              <w:rPr>
                <w:bCs/>
                <w:sz w:val="24"/>
                <w:szCs w:val="24"/>
                <w:lang w:val="lv-LV"/>
              </w:rPr>
            </w:pPr>
            <w:r w:rsidRPr="00656811">
              <w:rPr>
                <w:bCs/>
                <w:sz w:val="24"/>
                <w:szCs w:val="24"/>
                <w:lang w:val="lv-LV"/>
              </w:rPr>
              <w:t>Projekts šo jomu neskar</w:t>
            </w:r>
            <w:r w:rsidR="0005464C" w:rsidRPr="00656811">
              <w:rPr>
                <w:bCs/>
                <w:sz w:val="24"/>
                <w:szCs w:val="24"/>
                <w:lang w:val="lv-LV"/>
              </w:rPr>
              <w:t>.</w:t>
            </w:r>
          </w:p>
        </w:tc>
      </w:tr>
    </w:tbl>
    <w:p w14:paraId="0AE77926" w14:textId="77777777" w:rsidR="0005464C" w:rsidRPr="00656811" w:rsidRDefault="0005464C" w:rsidP="007520AF">
      <w:pPr>
        <w:pStyle w:val="Title"/>
        <w:jc w:val="both"/>
        <w:rPr>
          <w:sz w:val="24"/>
          <w:szCs w:val="24"/>
        </w:rPr>
      </w:pPr>
    </w:p>
    <w:tbl>
      <w:tblPr>
        <w:tblpPr w:leftFromText="180" w:rightFromText="180" w:vertAnchor="text" w:horzAnchor="margin" w:tblpY="117"/>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94"/>
        <w:gridCol w:w="5670"/>
      </w:tblGrid>
      <w:tr w:rsidR="00656811" w:rsidRPr="00656811" w14:paraId="6783C611" w14:textId="77777777" w:rsidTr="00E059A0">
        <w:trPr>
          <w:cantSplit/>
        </w:trPr>
        <w:tc>
          <w:tcPr>
            <w:tcW w:w="5000" w:type="pct"/>
            <w:gridSpan w:val="3"/>
            <w:vAlign w:val="center"/>
            <w:hideMark/>
          </w:tcPr>
          <w:p w14:paraId="6D1F5EC6" w14:textId="0D37D623" w:rsidR="0005464C" w:rsidRPr="00656811" w:rsidRDefault="0005464C" w:rsidP="00D44D6F">
            <w:pPr>
              <w:jc w:val="center"/>
              <w:rPr>
                <w:b/>
                <w:bCs/>
              </w:rPr>
            </w:pPr>
            <w:r w:rsidRPr="00656811">
              <w:rPr>
                <w:b/>
                <w:bCs/>
              </w:rPr>
              <w:t>VI.</w:t>
            </w:r>
            <w:r w:rsidR="008E73E4" w:rsidRPr="00656811">
              <w:rPr>
                <w:b/>
                <w:bCs/>
              </w:rPr>
              <w:t> </w:t>
            </w:r>
            <w:r w:rsidRPr="00656811">
              <w:rPr>
                <w:b/>
                <w:bCs/>
              </w:rPr>
              <w:t>Sabiedrības līdzdalība un komunikācijas aktivitātes</w:t>
            </w:r>
          </w:p>
        </w:tc>
      </w:tr>
      <w:tr w:rsidR="00656811" w:rsidRPr="00656811" w14:paraId="7AC41147" w14:textId="77777777" w:rsidTr="00E059A0">
        <w:trPr>
          <w:cantSplit/>
        </w:trPr>
        <w:tc>
          <w:tcPr>
            <w:tcW w:w="315" w:type="pct"/>
            <w:hideMark/>
          </w:tcPr>
          <w:p w14:paraId="455268FF" w14:textId="77777777" w:rsidR="00B12E0C" w:rsidRPr="00656811" w:rsidRDefault="00B12E0C" w:rsidP="00B12E0C">
            <w:pPr>
              <w:jc w:val="center"/>
            </w:pPr>
            <w:r w:rsidRPr="00656811">
              <w:t>1.</w:t>
            </w:r>
          </w:p>
        </w:tc>
        <w:tc>
          <w:tcPr>
            <w:tcW w:w="1509" w:type="pct"/>
            <w:hideMark/>
          </w:tcPr>
          <w:p w14:paraId="0592CAEB" w14:textId="77777777" w:rsidR="00B12E0C" w:rsidRPr="00656811" w:rsidRDefault="00B12E0C" w:rsidP="00B12E0C">
            <w:r w:rsidRPr="00656811">
              <w:t>Plānotās sabiedrības līdzdalības un komunikācijas aktivitātes saistībā ar projektu</w:t>
            </w:r>
          </w:p>
        </w:tc>
        <w:tc>
          <w:tcPr>
            <w:tcW w:w="3177" w:type="pct"/>
            <w:hideMark/>
          </w:tcPr>
          <w:p w14:paraId="11BB9CB8" w14:textId="77777777" w:rsidR="006D0FFF" w:rsidRPr="00656811" w:rsidRDefault="00B12E0C" w:rsidP="00B12E0C">
            <w:pPr>
              <w:jc w:val="both"/>
            </w:pPr>
            <w:r w:rsidRPr="00656811">
              <w:t>Nav attiecināms</w:t>
            </w:r>
          </w:p>
          <w:p w14:paraId="44FCCC72" w14:textId="77777777" w:rsidR="006D0FFF" w:rsidRPr="00656811" w:rsidRDefault="006D0FFF" w:rsidP="00B12E0C">
            <w:pPr>
              <w:jc w:val="both"/>
            </w:pPr>
          </w:p>
          <w:p w14:paraId="0D2FB875" w14:textId="04BEB567" w:rsidR="00B12E0C" w:rsidRPr="00656811" w:rsidRDefault="006C3606" w:rsidP="00B12E0C">
            <w:pPr>
              <w:jc w:val="both"/>
              <w:rPr>
                <w:highlight w:val="cyan"/>
              </w:rPr>
            </w:pPr>
            <w:r w:rsidRPr="00656811">
              <w:t>Par</w:t>
            </w:r>
            <w:r w:rsidR="006D0FFF" w:rsidRPr="00656811">
              <w:t xml:space="preserve"> </w:t>
            </w:r>
            <w:r w:rsidRPr="00656811">
              <w:t>projektu tā</w:t>
            </w:r>
            <w:r w:rsidR="006D0FFF" w:rsidRPr="00656811">
              <w:t xml:space="preserve"> virzības laikā p</w:t>
            </w:r>
            <w:r w:rsidRPr="00656811">
              <w:t>aredzēts</w:t>
            </w:r>
            <w:r w:rsidR="006D0FFF" w:rsidRPr="00656811">
              <w:t xml:space="preserve"> </w:t>
            </w:r>
            <w:r w:rsidRPr="00656811">
              <w:t>informēt</w:t>
            </w:r>
            <w:r w:rsidR="006D0FFF" w:rsidRPr="00656811">
              <w:t xml:space="preserve"> Farmācijas jomas konsultatīvās padomes locek</w:t>
            </w:r>
            <w:r w:rsidRPr="00656811">
              <w:t>ļ</w:t>
            </w:r>
            <w:r w:rsidR="006D0FFF" w:rsidRPr="00656811">
              <w:t>us.</w:t>
            </w:r>
          </w:p>
        </w:tc>
      </w:tr>
      <w:tr w:rsidR="00656811" w:rsidRPr="00656811" w14:paraId="3141261D" w14:textId="77777777" w:rsidTr="00E059A0">
        <w:trPr>
          <w:cantSplit/>
        </w:trPr>
        <w:tc>
          <w:tcPr>
            <w:tcW w:w="315" w:type="pct"/>
            <w:hideMark/>
          </w:tcPr>
          <w:p w14:paraId="4ED7DA83" w14:textId="77777777" w:rsidR="00B12E0C" w:rsidRPr="00656811" w:rsidRDefault="00B12E0C" w:rsidP="00B12E0C">
            <w:pPr>
              <w:jc w:val="center"/>
            </w:pPr>
            <w:r w:rsidRPr="00656811">
              <w:t>2.</w:t>
            </w:r>
          </w:p>
        </w:tc>
        <w:tc>
          <w:tcPr>
            <w:tcW w:w="1509" w:type="pct"/>
            <w:hideMark/>
          </w:tcPr>
          <w:p w14:paraId="49E6A809" w14:textId="77777777" w:rsidR="00B12E0C" w:rsidRPr="00656811" w:rsidRDefault="00B12E0C" w:rsidP="00B12E0C">
            <w:r w:rsidRPr="00656811">
              <w:t>Sabiedrības līdzdalība projekta izstrādē</w:t>
            </w:r>
          </w:p>
        </w:tc>
        <w:tc>
          <w:tcPr>
            <w:tcW w:w="3177" w:type="pct"/>
            <w:hideMark/>
          </w:tcPr>
          <w:p w14:paraId="30C92FF2" w14:textId="52C326D5" w:rsidR="00B12E0C" w:rsidRPr="00656811" w:rsidRDefault="00B12E0C" w:rsidP="006D0FFF">
            <w:pPr>
              <w:jc w:val="both"/>
            </w:pPr>
            <w:r w:rsidRPr="00656811">
              <w:t xml:space="preserve">Tā kā Projekts tiek virzīts steidzamības kārtā, sabiedrības iesaiste Projekta izstrādē </w:t>
            </w:r>
            <w:r w:rsidR="000F1030" w:rsidRPr="00656811">
              <w:t>nav</w:t>
            </w:r>
            <w:r w:rsidRPr="00656811">
              <w:t xml:space="preserve"> organizēta.</w:t>
            </w:r>
          </w:p>
        </w:tc>
      </w:tr>
      <w:tr w:rsidR="00656811" w:rsidRPr="00656811" w14:paraId="74934CDD" w14:textId="77777777" w:rsidTr="00E059A0">
        <w:trPr>
          <w:cantSplit/>
        </w:trPr>
        <w:tc>
          <w:tcPr>
            <w:tcW w:w="315" w:type="pct"/>
            <w:hideMark/>
          </w:tcPr>
          <w:p w14:paraId="2B600027" w14:textId="77777777" w:rsidR="0005464C" w:rsidRPr="00656811" w:rsidRDefault="0005464C" w:rsidP="00D44D6F">
            <w:pPr>
              <w:jc w:val="center"/>
            </w:pPr>
            <w:r w:rsidRPr="00656811">
              <w:t>3.</w:t>
            </w:r>
          </w:p>
        </w:tc>
        <w:tc>
          <w:tcPr>
            <w:tcW w:w="1509" w:type="pct"/>
            <w:hideMark/>
          </w:tcPr>
          <w:p w14:paraId="1CF294F0" w14:textId="77777777" w:rsidR="0005464C" w:rsidRPr="00656811" w:rsidRDefault="0005464C" w:rsidP="00D44D6F">
            <w:r w:rsidRPr="00656811">
              <w:t>Sabiedrības līdzdalības rezultāti</w:t>
            </w:r>
          </w:p>
        </w:tc>
        <w:tc>
          <w:tcPr>
            <w:tcW w:w="3177" w:type="pct"/>
            <w:hideMark/>
          </w:tcPr>
          <w:p w14:paraId="21487A94" w14:textId="373BE05D" w:rsidR="0005464C" w:rsidRPr="00656811" w:rsidRDefault="006D0FFF" w:rsidP="000F1030">
            <w:pPr>
              <w:jc w:val="both"/>
              <w:rPr>
                <w:i/>
                <w:iCs/>
              </w:rPr>
            </w:pPr>
            <w:r w:rsidRPr="00656811">
              <w:t>Grozījumu MK noteikumos Nr.</w:t>
            </w:r>
            <w:r w:rsidR="002A4209" w:rsidRPr="00656811">
              <w:t> </w:t>
            </w:r>
            <w:r w:rsidRPr="00656811">
              <w:t xml:space="preserve">57 izstrādē ir ņemts vērā iepriekš izteiktais Latvijas </w:t>
            </w:r>
            <w:proofErr w:type="spellStart"/>
            <w:r w:rsidRPr="00656811">
              <w:t>Patentbrīvo</w:t>
            </w:r>
            <w:proofErr w:type="spellEnd"/>
            <w:r w:rsidRPr="00656811">
              <w:t xml:space="preserve"> Medikamentu Asociācijas viedoklis </w:t>
            </w:r>
            <w:r w:rsidR="000F1030" w:rsidRPr="00656811">
              <w:t>MK noteikumu Nr.</w:t>
            </w:r>
            <w:r w:rsidR="008E73E4" w:rsidRPr="00656811">
              <w:t> </w:t>
            </w:r>
            <w:r w:rsidR="000F1030" w:rsidRPr="00656811">
              <w:t xml:space="preserve">57 41. punkta normas spēkā esamības termiņa pagarināšanai līdz </w:t>
            </w:r>
            <w:r w:rsidR="000F1030" w:rsidRPr="00656811">
              <w:lastRenderedPageBreak/>
              <w:t>2021.</w:t>
            </w:r>
            <w:r w:rsidR="008E73E4" w:rsidRPr="00656811">
              <w:t> </w:t>
            </w:r>
            <w:r w:rsidR="000F1030" w:rsidRPr="00656811">
              <w:t xml:space="preserve">gada vidum </w:t>
            </w:r>
            <w:r w:rsidRPr="00656811">
              <w:t>zāļu pieejamības</w:t>
            </w:r>
            <w:r w:rsidR="000F1030" w:rsidRPr="00656811">
              <w:t xml:space="preserve"> uzlabošanai un</w:t>
            </w:r>
            <w:r w:rsidRPr="00656811">
              <w:t xml:space="preserve"> zāļu izplatīšanas kārtības atvieglošan</w:t>
            </w:r>
            <w:r w:rsidR="000F1030" w:rsidRPr="00656811">
              <w:t>ai</w:t>
            </w:r>
            <w:r w:rsidRPr="00656811">
              <w:t xml:space="preserve"> ārstniecības iestādēm</w:t>
            </w:r>
            <w:r w:rsidR="000F1030" w:rsidRPr="00656811">
              <w:t>.</w:t>
            </w:r>
          </w:p>
        </w:tc>
        <w:bookmarkStart w:id="1" w:name="_GoBack"/>
        <w:bookmarkEnd w:id="1"/>
      </w:tr>
      <w:tr w:rsidR="00656811" w:rsidRPr="00656811" w14:paraId="2E054F68" w14:textId="77777777" w:rsidTr="00E059A0">
        <w:trPr>
          <w:cantSplit/>
        </w:trPr>
        <w:tc>
          <w:tcPr>
            <w:tcW w:w="315" w:type="pct"/>
            <w:hideMark/>
          </w:tcPr>
          <w:p w14:paraId="51F8B6F7" w14:textId="77777777" w:rsidR="0005464C" w:rsidRPr="00656811" w:rsidRDefault="0005464C" w:rsidP="00D44D6F">
            <w:pPr>
              <w:jc w:val="center"/>
            </w:pPr>
            <w:r w:rsidRPr="00656811">
              <w:lastRenderedPageBreak/>
              <w:t>4.</w:t>
            </w:r>
          </w:p>
        </w:tc>
        <w:tc>
          <w:tcPr>
            <w:tcW w:w="1509" w:type="pct"/>
            <w:hideMark/>
          </w:tcPr>
          <w:p w14:paraId="4D900529" w14:textId="77777777" w:rsidR="0005464C" w:rsidRPr="00656811" w:rsidRDefault="0005464C" w:rsidP="00D44D6F">
            <w:r w:rsidRPr="00656811">
              <w:t>Cita informācija</w:t>
            </w:r>
          </w:p>
        </w:tc>
        <w:tc>
          <w:tcPr>
            <w:tcW w:w="3177" w:type="pct"/>
            <w:hideMark/>
          </w:tcPr>
          <w:p w14:paraId="37BECE83" w14:textId="4B38B571" w:rsidR="0005464C" w:rsidRPr="00656811" w:rsidRDefault="0005464C" w:rsidP="00D44D6F">
            <w:r w:rsidRPr="00656811">
              <w:t>Nav</w:t>
            </w:r>
          </w:p>
        </w:tc>
      </w:tr>
    </w:tbl>
    <w:p w14:paraId="1CC41E21" w14:textId="77777777" w:rsidR="0005464C" w:rsidRPr="00656811" w:rsidRDefault="0005464C" w:rsidP="007520AF">
      <w:pPr>
        <w:pStyle w:val="Title"/>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656811" w:rsidRPr="00656811" w14:paraId="50834D46" w14:textId="77777777" w:rsidTr="00D44D6F">
        <w:trPr>
          <w:cantSplit/>
        </w:trPr>
        <w:tc>
          <w:tcPr>
            <w:tcW w:w="5000" w:type="pct"/>
            <w:gridSpan w:val="3"/>
            <w:vAlign w:val="center"/>
            <w:hideMark/>
          </w:tcPr>
          <w:p w14:paraId="2AC48732" w14:textId="77777777" w:rsidR="0005464C" w:rsidRPr="00656811" w:rsidRDefault="0005464C" w:rsidP="00D44D6F">
            <w:pPr>
              <w:jc w:val="center"/>
              <w:rPr>
                <w:b/>
                <w:bCs/>
              </w:rPr>
            </w:pPr>
            <w:r w:rsidRPr="00656811">
              <w:rPr>
                <w:b/>
                <w:bCs/>
              </w:rPr>
              <w:t>VII. Tiesību akta projekta izpildes nodrošināšana un tās ietekme uz institūcijām</w:t>
            </w:r>
          </w:p>
        </w:tc>
      </w:tr>
      <w:tr w:rsidR="00656811" w:rsidRPr="00656811" w14:paraId="6B898E23" w14:textId="77777777" w:rsidTr="00C23391">
        <w:trPr>
          <w:cantSplit/>
        </w:trPr>
        <w:tc>
          <w:tcPr>
            <w:tcW w:w="311" w:type="pct"/>
            <w:hideMark/>
          </w:tcPr>
          <w:p w14:paraId="5838548A" w14:textId="77777777" w:rsidR="0005464C" w:rsidRPr="00656811" w:rsidRDefault="0005464C" w:rsidP="00D44D6F">
            <w:pPr>
              <w:jc w:val="center"/>
            </w:pPr>
            <w:r w:rsidRPr="00656811">
              <w:t>1.</w:t>
            </w:r>
          </w:p>
        </w:tc>
        <w:tc>
          <w:tcPr>
            <w:tcW w:w="1485" w:type="pct"/>
            <w:hideMark/>
          </w:tcPr>
          <w:p w14:paraId="0410115F" w14:textId="77777777" w:rsidR="0005464C" w:rsidRPr="00656811" w:rsidRDefault="0005464C" w:rsidP="00D44D6F">
            <w:r w:rsidRPr="00656811">
              <w:t>Projekta izpildē iesaistītās institūcijas</w:t>
            </w:r>
          </w:p>
        </w:tc>
        <w:tc>
          <w:tcPr>
            <w:tcW w:w="3203" w:type="pct"/>
            <w:hideMark/>
          </w:tcPr>
          <w:p w14:paraId="2ED99082" w14:textId="1A107BBB" w:rsidR="0005464C" w:rsidRPr="00656811" w:rsidRDefault="0005464C" w:rsidP="00D44D6F">
            <w:r w:rsidRPr="00656811">
              <w:t>Zāļu valsts aģentūra</w:t>
            </w:r>
            <w:r w:rsidR="00B12E0C" w:rsidRPr="00656811">
              <w:t>, Veselības inspekcija</w:t>
            </w:r>
          </w:p>
        </w:tc>
      </w:tr>
      <w:tr w:rsidR="00656811" w:rsidRPr="00656811" w14:paraId="7954485E" w14:textId="77777777" w:rsidTr="00C23391">
        <w:trPr>
          <w:cantSplit/>
        </w:trPr>
        <w:tc>
          <w:tcPr>
            <w:tcW w:w="311" w:type="pct"/>
            <w:hideMark/>
          </w:tcPr>
          <w:p w14:paraId="171EB66D" w14:textId="77777777" w:rsidR="0005464C" w:rsidRPr="00656811" w:rsidRDefault="0005464C" w:rsidP="00D44D6F">
            <w:pPr>
              <w:jc w:val="center"/>
            </w:pPr>
            <w:r w:rsidRPr="00656811">
              <w:t>2.</w:t>
            </w:r>
          </w:p>
        </w:tc>
        <w:tc>
          <w:tcPr>
            <w:tcW w:w="1485" w:type="pct"/>
            <w:hideMark/>
          </w:tcPr>
          <w:p w14:paraId="104921AF" w14:textId="77777777" w:rsidR="0005464C" w:rsidRPr="00656811" w:rsidRDefault="0005464C" w:rsidP="00D44D6F">
            <w:r w:rsidRPr="00656811">
              <w:t>Projekta izpildes ietekme uz pārvaldes funkcijām un institucionālo struktūru.</w:t>
            </w:r>
            <w:r w:rsidRPr="00656811">
              <w:br/>
              <w:t>Jaunu institūciju izveide, esošu institūciju likvidācija vai reorganizācija, to ietekme uz institūcijas cilvēkresursiem</w:t>
            </w:r>
          </w:p>
        </w:tc>
        <w:tc>
          <w:tcPr>
            <w:tcW w:w="3203" w:type="pct"/>
            <w:hideMark/>
          </w:tcPr>
          <w:p w14:paraId="609DDEE2" w14:textId="5E3D2C28" w:rsidR="0005464C" w:rsidRPr="00656811" w:rsidRDefault="0005464C" w:rsidP="00D44D6F">
            <w:pPr>
              <w:jc w:val="both"/>
              <w:rPr>
                <w:szCs w:val="22"/>
              </w:rPr>
            </w:pPr>
            <w:r w:rsidRPr="00656811">
              <w:rPr>
                <w:szCs w:val="22"/>
              </w:rPr>
              <w:t xml:space="preserve">Noteikumu projekta izpildei nav nepieciešams paplašināt </w:t>
            </w:r>
            <w:r w:rsidR="00975D84" w:rsidRPr="00656811">
              <w:rPr>
                <w:szCs w:val="22"/>
              </w:rPr>
              <w:t>institūciju</w:t>
            </w:r>
            <w:r w:rsidRPr="00656811">
              <w:rPr>
                <w:szCs w:val="22"/>
              </w:rPr>
              <w:t xml:space="preserve"> funkcijas un uzdevumus.</w:t>
            </w:r>
          </w:p>
          <w:p w14:paraId="237C79AB" w14:textId="2FC90217" w:rsidR="0005464C" w:rsidRPr="00656811" w:rsidRDefault="0005464C" w:rsidP="00D44D6F">
            <w:pPr>
              <w:jc w:val="both"/>
            </w:pPr>
            <w:r w:rsidRPr="00656811">
              <w:t>Noteikumu projekta izpilde neietekmēs institūcijām pieejamos cilvēkresursus.</w:t>
            </w:r>
          </w:p>
        </w:tc>
      </w:tr>
      <w:tr w:rsidR="002742C2" w:rsidRPr="00656811" w14:paraId="295D0665" w14:textId="77777777" w:rsidTr="00C23391">
        <w:trPr>
          <w:cantSplit/>
        </w:trPr>
        <w:tc>
          <w:tcPr>
            <w:tcW w:w="311" w:type="pct"/>
            <w:hideMark/>
          </w:tcPr>
          <w:p w14:paraId="316947A5" w14:textId="77777777" w:rsidR="0005464C" w:rsidRPr="00656811" w:rsidRDefault="0005464C" w:rsidP="00D44D6F">
            <w:pPr>
              <w:jc w:val="center"/>
            </w:pPr>
            <w:r w:rsidRPr="00656811">
              <w:t>3.</w:t>
            </w:r>
          </w:p>
        </w:tc>
        <w:tc>
          <w:tcPr>
            <w:tcW w:w="1485" w:type="pct"/>
            <w:hideMark/>
          </w:tcPr>
          <w:p w14:paraId="2EEE4468" w14:textId="77777777" w:rsidR="0005464C" w:rsidRPr="00656811" w:rsidRDefault="0005464C" w:rsidP="00D44D6F">
            <w:r w:rsidRPr="00656811">
              <w:t>Cita informācija</w:t>
            </w:r>
          </w:p>
        </w:tc>
        <w:tc>
          <w:tcPr>
            <w:tcW w:w="3203" w:type="pct"/>
            <w:hideMark/>
          </w:tcPr>
          <w:p w14:paraId="05C31DDB" w14:textId="4935144A" w:rsidR="0005464C" w:rsidRPr="00656811" w:rsidRDefault="0005464C" w:rsidP="00D44D6F">
            <w:r w:rsidRPr="00656811">
              <w:t>Nav</w:t>
            </w:r>
          </w:p>
        </w:tc>
      </w:tr>
    </w:tbl>
    <w:p w14:paraId="38EA0618" w14:textId="77777777" w:rsidR="0005464C" w:rsidRPr="00656811" w:rsidRDefault="0005464C" w:rsidP="0005464C"/>
    <w:p w14:paraId="04F8952C" w14:textId="77777777" w:rsidR="0005464C" w:rsidRPr="00656811" w:rsidRDefault="0005464C" w:rsidP="0005464C"/>
    <w:p w14:paraId="0D989717" w14:textId="77777777" w:rsidR="00C23391" w:rsidRPr="00656811" w:rsidRDefault="00C23391" w:rsidP="00C23391">
      <w:pPr>
        <w:tabs>
          <w:tab w:val="left" w:pos="7230"/>
        </w:tabs>
        <w:ind w:right="-765"/>
        <w:rPr>
          <w:rFonts w:eastAsia="Calibri"/>
          <w:sz w:val="27"/>
          <w:szCs w:val="27"/>
        </w:rPr>
      </w:pPr>
      <w:r w:rsidRPr="00656811">
        <w:rPr>
          <w:rFonts w:eastAsia="Calibri"/>
          <w:sz w:val="28"/>
          <w:szCs w:val="28"/>
        </w:rPr>
        <w:t xml:space="preserve">Veselības ministre </w:t>
      </w:r>
      <w:r w:rsidRPr="00656811">
        <w:rPr>
          <w:rFonts w:eastAsia="Calibri"/>
          <w:sz w:val="28"/>
          <w:szCs w:val="28"/>
        </w:rPr>
        <w:tab/>
        <w:t>I. Viņķele</w:t>
      </w:r>
      <w:r w:rsidRPr="00656811">
        <w:rPr>
          <w:rFonts w:eastAsia="Calibri"/>
          <w:sz w:val="27"/>
          <w:szCs w:val="27"/>
        </w:rPr>
        <w:tab/>
      </w:r>
    </w:p>
    <w:p w14:paraId="31E90F38" w14:textId="77777777" w:rsidR="00C23391" w:rsidRPr="00656811" w:rsidRDefault="00C23391" w:rsidP="00C23391">
      <w:pPr>
        <w:tabs>
          <w:tab w:val="right" w:pos="9072"/>
        </w:tabs>
        <w:ind w:right="-1"/>
        <w:rPr>
          <w:rFonts w:eastAsia="Calibri"/>
          <w:sz w:val="27"/>
          <w:szCs w:val="27"/>
        </w:rPr>
      </w:pPr>
    </w:p>
    <w:p w14:paraId="54F9A438" w14:textId="77777777" w:rsidR="00C23391" w:rsidRPr="00656811" w:rsidRDefault="00C23391" w:rsidP="00C23391">
      <w:pPr>
        <w:tabs>
          <w:tab w:val="right" w:pos="9072"/>
        </w:tabs>
        <w:ind w:right="-1"/>
        <w:rPr>
          <w:rFonts w:eastAsia="Calibri"/>
          <w:sz w:val="27"/>
          <w:szCs w:val="27"/>
        </w:rPr>
      </w:pPr>
    </w:p>
    <w:p w14:paraId="081DE020" w14:textId="77777777" w:rsidR="00C23391" w:rsidRPr="00656811" w:rsidRDefault="00C23391" w:rsidP="00C23391">
      <w:pPr>
        <w:tabs>
          <w:tab w:val="right" w:pos="9072"/>
        </w:tabs>
        <w:ind w:right="-1"/>
        <w:rPr>
          <w:rFonts w:eastAsia="Calibri"/>
          <w:sz w:val="28"/>
          <w:szCs w:val="28"/>
        </w:rPr>
      </w:pPr>
      <w:r w:rsidRPr="00656811">
        <w:rPr>
          <w:rFonts w:eastAsia="Calibri"/>
          <w:sz w:val="27"/>
          <w:szCs w:val="27"/>
        </w:rPr>
        <w:t xml:space="preserve">Vīza: Valsts sekretāre                                                D. </w:t>
      </w:r>
      <w:proofErr w:type="spellStart"/>
      <w:r w:rsidRPr="00656811">
        <w:rPr>
          <w:rFonts w:eastAsia="Calibri"/>
          <w:sz w:val="27"/>
          <w:szCs w:val="27"/>
        </w:rPr>
        <w:t>Mūrmane-Umbraško</w:t>
      </w:r>
      <w:proofErr w:type="spellEnd"/>
      <w:r w:rsidRPr="00656811">
        <w:rPr>
          <w:rFonts w:eastAsia="Calibri"/>
          <w:sz w:val="28"/>
          <w:szCs w:val="28"/>
        </w:rPr>
        <w:t xml:space="preserve"> </w:t>
      </w:r>
    </w:p>
    <w:p w14:paraId="786A28BA" w14:textId="77777777" w:rsidR="00F66230" w:rsidRPr="00656811" w:rsidRDefault="00F66230" w:rsidP="00F66230">
      <w:pPr>
        <w:tabs>
          <w:tab w:val="left" w:pos="6237"/>
        </w:tabs>
        <w:rPr>
          <w:rFonts w:eastAsiaTheme="minorHAnsi"/>
          <w:sz w:val="28"/>
          <w:szCs w:val="28"/>
        </w:rPr>
      </w:pPr>
    </w:p>
    <w:p w14:paraId="0AF83AA9" w14:textId="77777777" w:rsidR="008639CB" w:rsidRPr="00656811" w:rsidRDefault="008639CB" w:rsidP="00F66230">
      <w:pPr>
        <w:tabs>
          <w:tab w:val="left" w:pos="6237"/>
        </w:tabs>
        <w:rPr>
          <w:szCs w:val="28"/>
        </w:rPr>
      </w:pPr>
    </w:p>
    <w:p w14:paraId="488A56DD" w14:textId="77777777" w:rsidR="00C07B08" w:rsidRPr="00656811" w:rsidRDefault="00C07B08" w:rsidP="00F66230">
      <w:pPr>
        <w:tabs>
          <w:tab w:val="left" w:pos="6237"/>
        </w:tabs>
        <w:rPr>
          <w:szCs w:val="28"/>
        </w:rPr>
      </w:pPr>
    </w:p>
    <w:p w14:paraId="0D7C7DA1" w14:textId="77777777" w:rsidR="00C07B08" w:rsidRPr="00656811" w:rsidRDefault="00C07B08" w:rsidP="00F66230">
      <w:pPr>
        <w:tabs>
          <w:tab w:val="left" w:pos="6237"/>
        </w:tabs>
        <w:rPr>
          <w:szCs w:val="28"/>
        </w:rPr>
      </w:pPr>
    </w:p>
    <w:p w14:paraId="3078A694" w14:textId="77777777" w:rsidR="00C07B08" w:rsidRPr="00656811" w:rsidRDefault="00C07B08" w:rsidP="00F66230">
      <w:pPr>
        <w:tabs>
          <w:tab w:val="left" w:pos="6237"/>
        </w:tabs>
        <w:rPr>
          <w:szCs w:val="28"/>
        </w:rPr>
      </w:pPr>
    </w:p>
    <w:p w14:paraId="21199C0F" w14:textId="77777777" w:rsidR="00C07B08" w:rsidRPr="00656811" w:rsidRDefault="00C07B08" w:rsidP="00F66230">
      <w:pPr>
        <w:tabs>
          <w:tab w:val="left" w:pos="6237"/>
        </w:tabs>
        <w:rPr>
          <w:szCs w:val="28"/>
        </w:rPr>
      </w:pPr>
    </w:p>
    <w:p w14:paraId="08E45697" w14:textId="77777777" w:rsidR="00987C7C" w:rsidRPr="00656811" w:rsidRDefault="00987C7C" w:rsidP="00F66230">
      <w:pPr>
        <w:tabs>
          <w:tab w:val="left" w:pos="6237"/>
        </w:tabs>
        <w:rPr>
          <w:szCs w:val="28"/>
        </w:rPr>
      </w:pPr>
    </w:p>
    <w:p w14:paraId="71099792" w14:textId="77777777" w:rsidR="00987C7C" w:rsidRPr="00656811" w:rsidRDefault="00987C7C" w:rsidP="00F66230">
      <w:pPr>
        <w:tabs>
          <w:tab w:val="left" w:pos="6237"/>
        </w:tabs>
        <w:rPr>
          <w:szCs w:val="28"/>
        </w:rPr>
      </w:pPr>
    </w:p>
    <w:p w14:paraId="1FD762F8" w14:textId="77777777" w:rsidR="00987C7C" w:rsidRPr="00656811" w:rsidRDefault="00987C7C" w:rsidP="00F66230">
      <w:pPr>
        <w:tabs>
          <w:tab w:val="left" w:pos="6237"/>
        </w:tabs>
        <w:rPr>
          <w:szCs w:val="28"/>
        </w:rPr>
      </w:pPr>
    </w:p>
    <w:p w14:paraId="05CE7ED8" w14:textId="77777777" w:rsidR="00987C7C" w:rsidRPr="00656811" w:rsidRDefault="00987C7C" w:rsidP="00F66230">
      <w:pPr>
        <w:tabs>
          <w:tab w:val="left" w:pos="6237"/>
        </w:tabs>
        <w:rPr>
          <w:szCs w:val="28"/>
        </w:rPr>
      </w:pPr>
    </w:p>
    <w:p w14:paraId="2D23A8C5" w14:textId="77777777" w:rsidR="00987C7C" w:rsidRPr="00656811" w:rsidRDefault="00987C7C" w:rsidP="00F66230">
      <w:pPr>
        <w:tabs>
          <w:tab w:val="left" w:pos="6237"/>
        </w:tabs>
        <w:rPr>
          <w:szCs w:val="28"/>
        </w:rPr>
      </w:pPr>
    </w:p>
    <w:p w14:paraId="6011ED68" w14:textId="77777777" w:rsidR="00987C7C" w:rsidRPr="00656811" w:rsidRDefault="00987C7C" w:rsidP="00F66230">
      <w:pPr>
        <w:tabs>
          <w:tab w:val="left" w:pos="6237"/>
        </w:tabs>
        <w:rPr>
          <w:szCs w:val="28"/>
        </w:rPr>
      </w:pPr>
    </w:p>
    <w:p w14:paraId="2E96B88A" w14:textId="77777777" w:rsidR="00987C7C" w:rsidRPr="00656811" w:rsidRDefault="00987C7C" w:rsidP="00F66230">
      <w:pPr>
        <w:tabs>
          <w:tab w:val="left" w:pos="6237"/>
        </w:tabs>
        <w:rPr>
          <w:szCs w:val="28"/>
        </w:rPr>
      </w:pPr>
    </w:p>
    <w:p w14:paraId="12E641A4" w14:textId="77777777" w:rsidR="00987C7C" w:rsidRPr="00656811" w:rsidRDefault="00987C7C" w:rsidP="00F66230">
      <w:pPr>
        <w:tabs>
          <w:tab w:val="left" w:pos="6237"/>
        </w:tabs>
        <w:rPr>
          <w:szCs w:val="28"/>
        </w:rPr>
      </w:pPr>
    </w:p>
    <w:p w14:paraId="546B18F0" w14:textId="77777777" w:rsidR="00987C7C" w:rsidRPr="00656811" w:rsidRDefault="00987C7C" w:rsidP="00F66230">
      <w:pPr>
        <w:tabs>
          <w:tab w:val="left" w:pos="6237"/>
        </w:tabs>
        <w:rPr>
          <w:szCs w:val="28"/>
        </w:rPr>
      </w:pPr>
    </w:p>
    <w:p w14:paraId="7C80B8FF" w14:textId="77777777" w:rsidR="00987C7C" w:rsidRPr="00656811" w:rsidRDefault="00987C7C" w:rsidP="00F66230">
      <w:pPr>
        <w:tabs>
          <w:tab w:val="left" w:pos="6237"/>
        </w:tabs>
        <w:rPr>
          <w:szCs w:val="28"/>
        </w:rPr>
      </w:pPr>
    </w:p>
    <w:p w14:paraId="24D720C2" w14:textId="77777777" w:rsidR="00987C7C" w:rsidRPr="00656811" w:rsidRDefault="00987C7C" w:rsidP="00F66230">
      <w:pPr>
        <w:tabs>
          <w:tab w:val="left" w:pos="6237"/>
        </w:tabs>
        <w:rPr>
          <w:szCs w:val="28"/>
        </w:rPr>
      </w:pPr>
    </w:p>
    <w:p w14:paraId="4E5779F7" w14:textId="77777777" w:rsidR="00987C7C" w:rsidRPr="00656811" w:rsidRDefault="00987C7C" w:rsidP="00F66230">
      <w:pPr>
        <w:tabs>
          <w:tab w:val="left" w:pos="6237"/>
        </w:tabs>
        <w:rPr>
          <w:szCs w:val="28"/>
        </w:rPr>
      </w:pPr>
    </w:p>
    <w:p w14:paraId="40B500DA" w14:textId="77777777" w:rsidR="00987C7C" w:rsidRPr="00656811" w:rsidRDefault="00987C7C" w:rsidP="00F66230">
      <w:pPr>
        <w:tabs>
          <w:tab w:val="left" w:pos="6237"/>
        </w:tabs>
        <w:rPr>
          <w:szCs w:val="28"/>
        </w:rPr>
      </w:pPr>
    </w:p>
    <w:p w14:paraId="282561F7" w14:textId="77777777" w:rsidR="00987C7C" w:rsidRPr="00656811" w:rsidRDefault="00987C7C" w:rsidP="00F66230">
      <w:pPr>
        <w:tabs>
          <w:tab w:val="left" w:pos="6237"/>
        </w:tabs>
        <w:rPr>
          <w:szCs w:val="28"/>
        </w:rPr>
      </w:pPr>
    </w:p>
    <w:p w14:paraId="5D8BC129" w14:textId="77777777" w:rsidR="00987C7C" w:rsidRPr="00656811" w:rsidRDefault="00987C7C" w:rsidP="00F66230">
      <w:pPr>
        <w:tabs>
          <w:tab w:val="left" w:pos="6237"/>
        </w:tabs>
        <w:rPr>
          <w:szCs w:val="28"/>
        </w:rPr>
      </w:pPr>
    </w:p>
    <w:p w14:paraId="658CE3D7" w14:textId="77777777" w:rsidR="00987C7C" w:rsidRPr="00656811" w:rsidRDefault="00987C7C" w:rsidP="00F66230">
      <w:pPr>
        <w:tabs>
          <w:tab w:val="left" w:pos="6237"/>
        </w:tabs>
        <w:rPr>
          <w:szCs w:val="28"/>
        </w:rPr>
      </w:pPr>
    </w:p>
    <w:p w14:paraId="4C0E46C0" w14:textId="77777777" w:rsidR="00987C7C" w:rsidRPr="00656811" w:rsidRDefault="00987C7C" w:rsidP="00F66230">
      <w:pPr>
        <w:tabs>
          <w:tab w:val="left" w:pos="6237"/>
        </w:tabs>
        <w:rPr>
          <w:szCs w:val="28"/>
        </w:rPr>
      </w:pPr>
    </w:p>
    <w:p w14:paraId="2448CE4D" w14:textId="77777777" w:rsidR="00987C7C" w:rsidRPr="00656811" w:rsidRDefault="00987C7C" w:rsidP="00F66230">
      <w:pPr>
        <w:tabs>
          <w:tab w:val="left" w:pos="6237"/>
        </w:tabs>
        <w:rPr>
          <w:szCs w:val="28"/>
        </w:rPr>
      </w:pPr>
    </w:p>
    <w:p w14:paraId="7F50455F" w14:textId="77777777" w:rsidR="00987C7C" w:rsidRPr="00656811" w:rsidRDefault="00987C7C" w:rsidP="00F66230">
      <w:pPr>
        <w:tabs>
          <w:tab w:val="left" w:pos="6237"/>
        </w:tabs>
        <w:rPr>
          <w:szCs w:val="28"/>
        </w:rPr>
      </w:pPr>
    </w:p>
    <w:p w14:paraId="42C8AFDA" w14:textId="0A32A93E" w:rsidR="00F66230" w:rsidRPr="00656811" w:rsidRDefault="00F66230" w:rsidP="00F66230">
      <w:pPr>
        <w:tabs>
          <w:tab w:val="left" w:pos="6237"/>
        </w:tabs>
        <w:rPr>
          <w:szCs w:val="28"/>
        </w:rPr>
      </w:pPr>
      <w:r w:rsidRPr="00656811">
        <w:rPr>
          <w:szCs w:val="28"/>
        </w:rPr>
        <w:t>Mača 67876117</w:t>
      </w:r>
    </w:p>
    <w:p w14:paraId="65EEC4E1" w14:textId="23B59984" w:rsidR="00F66230" w:rsidRPr="00656811" w:rsidRDefault="00F66230" w:rsidP="00F66230">
      <w:pPr>
        <w:tabs>
          <w:tab w:val="left" w:pos="6237"/>
        </w:tabs>
        <w:rPr>
          <w:szCs w:val="28"/>
        </w:rPr>
      </w:pPr>
      <w:r w:rsidRPr="00656811">
        <w:rPr>
          <w:szCs w:val="28"/>
        </w:rPr>
        <w:t>inguna.maca@vm.gov.lv</w:t>
      </w:r>
    </w:p>
    <w:sectPr w:rsidR="00F66230" w:rsidRPr="00656811" w:rsidSect="0026524D">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71311" w14:textId="77777777" w:rsidR="005903E9" w:rsidRDefault="005903E9">
      <w:r>
        <w:separator/>
      </w:r>
    </w:p>
  </w:endnote>
  <w:endnote w:type="continuationSeparator" w:id="0">
    <w:p w14:paraId="23BAB542" w14:textId="77777777" w:rsidR="005903E9" w:rsidRDefault="0059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CDA2" w14:textId="77777777" w:rsidR="00B94C11" w:rsidRDefault="00B94C11" w:rsidP="00E12C10">
    <w:pPr>
      <w:pStyle w:val="Footer"/>
      <w:rPr>
        <w:sz w:val="20"/>
        <w:szCs w:val="20"/>
      </w:rPr>
    </w:pPr>
  </w:p>
  <w:p w14:paraId="4361E720" w14:textId="5A65E67B" w:rsidR="00496F1E" w:rsidRPr="00E12C10" w:rsidRDefault="00496F1E" w:rsidP="00E12C10">
    <w:pPr>
      <w:pStyle w:val="Footer"/>
    </w:pPr>
    <w:r>
      <w:rPr>
        <w:sz w:val="20"/>
        <w:szCs w:val="20"/>
      </w:rPr>
      <w:t>V</w:t>
    </w:r>
    <w:r w:rsidRPr="00E12C10">
      <w:rPr>
        <w:sz w:val="20"/>
        <w:szCs w:val="20"/>
      </w:rPr>
      <w:t>Manot_</w:t>
    </w:r>
    <w:r w:rsidR="00656811">
      <w:rPr>
        <w:sz w:val="20"/>
        <w:szCs w:val="20"/>
      </w:rPr>
      <w:t>0112</w:t>
    </w:r>
    <w:r w:rsidR="001C719D">
      <w:rPr>
        <w:sz w:val="20"/>
        <w:szCs w:val="20"/>
      </w:rPr>
      <w:t>20_</w:t>
    </w:r>
    <w:r w:rsidR="00C07B08">
      <w:rPr>
        <w:sz w:val="20"/>
        <w:szCs w:val="20"/>
      </w:rPr>
      <w:t>mk57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C522" w14:textId="3A5C5132" w:rsidR="00496F1E" w:rsidRPr="00E12C10" w:rsidRDefault="00C04338" w:rsidP="00E12C10">
    <w:pPr>
      <w:pStyle w:val="Footer"/>
    </w:pPr>
    <w:r>
      <w:rPr>
        <w:sz w:val="20"/>
        <w:szCs w:val="20"/>
      </w:rPr>
      <w:t>V</w:t>
    </w:r>
    <w:r w:rsidR="00496F1E" w:rsidRPr="00E12C10">
      <w:rPr>
        <w:sz w:val="20"/>
        <w:szCs w:val="20"/>
      </w:rPr>
      <w:t>Manot_</w:t>
    </w:r>
    <w:r w:rsidR="00656811">
      <w:rPr>
        <w:sz w:val="20"/>
        <w:szCs w:val="20"/>
      </w:rPr>
      <w:t>0112</w:t>
    </w:r>
    <w:r w:rsidR="001C719D">
      <w:rPr>
        <w:sz w:val="20"/>
        <w:szCs w:val="20"/>
      </w:rPr>
      <w:t>20</w:t>
    </w:r>
    <w:r w:rsidR="00496F1E" w:rsidRPr="00E12C10">
      <w:rPr>
        <w:sz w:val="20"/>
        <w:szCs w:val="20"/>
      </w:rPr>
      <w:t>_</w:t>
    </w:r>
    <w:r w:rsidR="00C07B08">
      <w:rPr>
        <w:sz w:val="20"/>
        <w:szCs w:val="20"/>
      </w:rPr>
      <w:t>mk57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67C38" w14:textId="77777777" w:rsidR="005903E9" w:rsidRDefault="005903E9">
      <w:r>
        <w:separator/>
      </w:r>
    </w:p>
  </w:footnote>
  <w:footnote w:type="continuationSeparator" w:id="0">
    <w:p w14:paraId="47F1E0F2" w14:textId="77777777" w:rsidR="005903E9" w:rsidRDefault="005903E9">
      <w:r>
        <w:continuationSeparator/>
      </w:r>
    </w:p>
  </w:footnote>
  <w:footnote w:id="1">
    <w:p w14:paraId="78827C4A" w14:textId="77777777" w:rsidR="00B94C11" w:rsidRPr="006E6E19" w:rsidRDefault="00B94C11" w:rsidP="00B94C11">
      <w:pPr>
        <w:pStyle w:val="FootnoteText"/>
        <w:jc w:val="both"/>
        <w:rPr>
          <w:rFonts w:ascii="Times New Roman" w:eastAsia="Times New Roman" w:hAnsi="Times New Roman"/>
          <w:shd w:val="clear" w:color="auto" w:fill="FFFFFF"/>
          <w:lang w:eastAsia="lv-LV"/>
        </w:rPr>
      </w:pPr>
      <w:r>
        <w:rPr>
          <w:rStyle w:val="FootnoteReference"/>
        </w:rPr>
        <w:footnoteRef/>
      </w:r>
      <w:r>
        <w:t xml:space="preserve"> </w:t>
      </w:r>
      <w:r w:rsidRPr="006E6E19">
        <w:rPr>
          <w:rFonts w:ascii="Times New Roman" w:eastAsia="Times New Roman" w:hAnsi="Times New Roman"/>
          <w:shd w:val="clear" w:color="auto" w:fill="FFFFFF"/>
          <w:lang w:eastAsia="lv-LV"/>
        </w:rPr>
        <w:t>Eiropas Parlamenta un Padomes 2001. gada 6. novembra Direktīvas </w:t>
      </w:r>
      <w:hyperlink r:id="rId1" w:history="1">
        <w:r w:rsidRPr="006E6E19">
          <w:rPr>
            <w:rFonts w:ascii="Times New Roman" w:eastAsia="Times New Roman" w:hAnsi="Times New Roman"/>
            <w:shd w:val="clear" w:color="auto" w:fill="FFFFFF"/>
            <w:lang w:eastAsia="lv-LV"/>
          </w:rPr>
          <w:t>2001/83/EK</w:t>
        </w:r>
      </w:hyperlink>
      <w:r w:rsidRPr="006E6E19">
        <w:rPr>
          <w:rFonts w:ascii="Times New Roman" w:eastAsia="Times New Roman" w:hAnsi="Times New Roman"/>
          <w:shd w:val="clear" w:color="auto" w:fill="FFFFFF"/>
          <w:lang w:eastAsia="lv-LV"/>
        </w:rPr>
        <w:t xml:space="preserve"> par Kopienas kodeksu, kas attiecas uz cilvēkiem paredzētām zālēm </w:t>
      </w:r>
      <w:hyperlink r:id="rId2" w:history="1">
        <w:r w:rsidRPr="006E6E19">
          <w:rPr>
            <w:rStyle w:val="Hyperlink"/>
            <w:rFonts w:ascii="Times New Roman" w:eastAsia="Times New Roman" w:hAnsi="Times New Roman"/>
            <w:color w:val="auto"/>
            <w:shd w:val="clear" w:color="auto" w:fill="FFFFFF"/>
            <w:lang w:eastAsia="lv-LV"/>
          </w:rPr>
          <w:t>https://eur-lex.europa.eu/legal-content/LV/TXT/HTML/?uri=CELEX:02001L0083-20121116&amp;from=EN</w:t>
        </w:r>
      </w:hyperlink>
    </w:p>
    <w:p w14:paraId="40E72841" w14:textId="77777777" w:rsidR="00B94C11" w:rsidRPr="002E498B" w:rsidRDefault="00B94C11" w:rsidP="00B94C11">
      <w:pPr>
        <w:pStyle w:val="FootnoteText"/>
        <w:jc w:val="both"/>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273333"/>
      <w:docPartObj>
        <w:docPartGallery w:val="Page Numbers (Top of Page)"/>
        <w:docPartUnique/>
      </w:docPartObj>
    </w:sdtPr>
    <w:sdtEndPr>
      <w:rPr>
        <w:noProof/>
      </w:rPr>
    </w:sdtEndPr>
    <w:sdtContent>
      <w:p w14:paraId="677B4D7C" w14:textId="7A3E677A" w:rsidR="00496F1E" w:rsidRDefault="00496F1E">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00586D5C" w14:textId="77777777" w:rsidR="00496F1E" w:rsidRDefault="00496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4A69"/>
    <w:multiLevelType w:val="hybridMultilevel"/>
    <w:tmpl w:val="47BC6A6C"/>
    <w:lvl w:ilvl="0" w:tplc="A2C620E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8449FA"/>
    <w:multiLevelType w:val="hybridMultilevel"/>
    <w:tmpl w:val="356833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EF685F"/>
    <w:multiLevelType w:val="hybridMultilevel"/>
    <w:tmpl w:val="C3448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E35D68"/>
    <w:multiLevelType w:val="multilevel"/>
    <w:tmpl w:val="6F1640BE"/>
    <w:lvl w:ilvl="0">
      <w:start w:val="1"/>
      <w:numFmt w:val="decimal"/>
      <w:lvlText w:val="%1)"/>
      <w:lvlJc w:val="left"/>
      <w:pPr>
        <w:ind w:left="720" w:hanging="360"/>
      </w:pPr>
      <w:rPr>
        <w:rFonts w:ascii="Calibri Light" w:hAnsi="Calibri Light" w:cs="Calibri Light"/>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BB12F9"/>
    <w:multiLevelType w:val="hybridMultilevel"/>
    <w:tmpl w:val="9326BA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9816C3"/>
    <w:multiLevelType w:val="hybridMultilevel"/>
    <w:tmpl w:val="48F65B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3728E9"/>
    <w:multiLevelType w:val="hybridMultilevel"/>
    <w:tmpl w:val="800E28E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695F21"/>
    <w:multiLevelType w:val="hybridMultilevel"/>
    <w:tmpl w:val="CE88B2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C72B8A"/>
    <w:multiLevelType w:val="hybridMultilevel"/>
    <w:tmpl w:val="66F2B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1DE2DCB"/>
    <w:multiLevelType w:val="hybridMultilevel"/>
    <w:tmpl w:val="55309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6A7BE8"/>
    <w:multiLevelType w:val="hybridMultilevel"/>
    <w:tmpl w:val="A78C44B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8"/>
  </w:num>
  <w:num w:numId="6">
    <w:abstractNumId w:val="10"/>
  </w:num>
  <w:num w:numId="7">
    <w:abstractNumId w:val="9"/>
  </w:num>
  <w:num w:numId="8">
    <w:abstractNumId w:val="4"/>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4C"/>
    <w:rsid w:val="00015E54"/>
    <w:rsid w:val="0002283A"/>
    <w:rsid w:val="000251E6"/>
    <w:rsid w:val="00032D77"/>
    <w:rsid w:val="00035C2A"/>
    <w:rsid w:val="0004024C"/>
    <w:rsid w:val="0005464C"/>
    <w:rsid w:val="00055FDD"/>
    <w:rsid w:val="00061ED3"/>
    <w:rsid w:val="00072178"/>
    <w:rsid w:val="000F1030"/>
    <w:rsid w:val="000F5AB0"/>
    <w:rsid w:val="00112A3A"/>
    <w:rsid w:val="00112CF8"/>
    <w:rsid w:val="00116ED9"/>
    <w:rsid w:val="0012389D"/>
    <w:rsid w:val="00127C5A"/>
    <w:rsid w:val="001357E2"/>
    <w:rsid w:val="00147A68"/>
    <w:rsid w:val="001541D0"/>
    <w:rsid w:val="00164627"/>
    <w:rsid w:val="001730EB"/>
    <w:rsid w:val="001732A2"/>
    <w:rsid w:val="001820F4"/>
    <w:rsid w:val="001A2F1E"/>
    <w:rsid w:val="001B0AEB"/>
    <w:rsid w:val="001B52D2"/>
    <w:rsid w:val="001C43FE"/>
    <w:rsid w:val="001C719D"/>
    <w:rsid w:val="001C7E2C"/>
    <w:rsid w:val="001D2374"/>
    <w:rsid w:val="001D7921"/>
    <w:rsid w:val="001F1506"/>
    <w:rsid w:val="00203608"/>
    <w:rsid w:val="00204EC7"/>
    <w:rsid w:val="002102A2"/>
    <w:rsid w:val="00230606"/>
    <w:rsid w:val="00230A32"/>
    <w:rsid w:val="00232A9E"/>
    <w:rsid w:val="002344E9"/>
    <w:rsid w:val="00240E22"/>
    <w:rsid w:val="00252F0E"/>
    <w:rsid w:val="00254F5E"/>
    <w:rsid w:val="0026018E"/>
    <w:rsid w:val="0026524D"/>
    <w:rsid w:val="00273E37"/>
    <w:rsid w:val="00273F74"/>
    <w:rsid w:val="002742C2"/>
    <w:rsid w:val="00282FEA"/>
    <w:rsid w:val="00283D3D"/>
    <w:rsid w:val="00283F65"/>
    <w:rsid w:val="002A4209"/>
    <w:rsid w:val="002B06A7"/>
    <w:rsid w:val="002B1C2E"/>
    <w:rsid w:val="002C0612"/>
    <w:rsid w:val="002C3E19"/>
    <w:rsid w:val="002C7DF9"/>
    <w:rsid w:val="002D4BF8"/>
    <w:rsid w:val="002E498B"/>
    <w:rsid w:val="00304858"/>
    <w:rsid w:val="00304C6C"/>
    <w:rsid w:val="0030711F"/>
    <w:rsid w:val="003078CC"/>
    <w:rsid w:val="003141B6"/>
    <w:rsid w:val="00315CDB"/>
    <w:rsid w:val="0033275E"/>
    <w:rsid w:val="00341340"/>
    <w:rsid w:val="00341FE9"/>
    <w:rsid w:val="00351853"/>
    <w:rsid w:val="00357DBD"/>
    <w:rsid w:val="003651A0"/>
    <w:rsid w:val="00376603"/>
    <w:rsid w:val="0037798B"/>
    <w:rsid w:val="0038073F"/>
    <w:rsid w:val="00380E81"/>
    <w:rsid w:val="003830DA"/>
    <w:rsid w:val="00387020"/>
    <w:rsid w:val="00397250"/>
    <w:rsid w:val="003A630F"/>
    <w:rsid w:val="003B7E5D"/>
    <w:rsid w:val="003C4D1F"/>
    <w:rsid w:val="003C59BA"/>
    <w:rsid w:val="003D315C"/>
    <w:rsid w:val="003E23FF"/>
    <w:rsid w:val="003E4557"/>
    <w:rsid w:val="00432486"/>
    <w:rsid w:val="00455AB3"/>
    <w:rsid w:val="00462CFB"/>
    <w:rsid w:val="00465344"/>
    <w:rsid w:val="0047762D"/>
    <w:rsid w:val="0049481D"/>
    <w:rsid w:val="00496F1E"/>
    <w:rsid w:val="004A39FB"/>
    <w:rsid w:val="004A4941"/>
    <w:rsid w:val="004B5F0A"/>
    <w:rsid w:val="004C38A6"/>
    <w:rsid w:val="004C3F4B"/>
    <w:rsid w:val="004C48BF"/>
    <w:rsid w:val="004D5B4F"/>
    <w:rsid w:val="004E234E"/>
    <w:rsid w:val="004E65E3"/>
    <w:rsid w:val="004F0483"/>
    <w:rsid w:val="004F6F74"/>
    <w:rsid w:val="004F7512"/>
    <w:rsid w:val="005026B8"/>
    <w:rsid w:val="005114AE"/>
    <w:rsid w:val="0052008B"/>
    <w:rsid w:val="0052040B"/>
    <w:rsid w:val="00520459"/>
    <w:rsid w:val="00520844"/>
    <w:rsid w:val="00523486"/>
    <w:rsid w:val="005275DE"/>
    <w:rsid w:val="00544754"/>
    <w:rsid w:val="00552B64"/>
    <w:rsid w:val="00552D84"/>
    <w:rsid w:val="005539B3"/>
    <w:rsid w:val="00563073"/>
    <w:rsid w:val="00577322"/>
    <w:rsid w:val="00577E5F"/>
    <w:rsid w:val="0058483D"/>
    <w:rsid w:val="005903E9"/>
    <w:rsid w:val="0059190F"/>
    <w:rsid w:val="0059450A"/>
    <w:rsid w:val="005A3DA3"/>
    <w:rsid w:val="005C35BA"/>
    <w:rsid w:val="005C48F9"/>
    <w:rsid w:val="005C63D0"/>
    <w:rsid w:val="005E06D6"/>
    <w:rsid w:val="005E3D96"/>
    <w:rsid w:val="005E6674"/>
    <w:rsid w:val="005F1249"/>
    <w:rsid w:val="005F1ED2"/>
    <w:rsid w:val="005F6826"/>
    <w:rsid w:val="005F74B4"/>
    <w:rsid w:val="005F7662"/>
    <w:rsid w:val="006111EA"/>
    <w:rsid w:val="006127CF"/>
    <w:rsid w:val="00620EE0"/>
    <w:rsid w:val="00635C24"/>
    <w:rsid w:val="00635DC6"/>
    <w:rsid w:val="00635F1A"/>
    <w:rsid w:val="0063623E"/>
    <w:rsid w:val="006362F2"/>
    <w:rsid w:val="006409C0"/>
    <w:rsid w:val="00642C50"/>
    <w:rsid w:val="006466EA"/>
    <w:rsid w:val="0065626A"/>
    <w:rsid w:val="00656811"/>
    <w:rsid w:val="006601E0"/>
    <w:rsid w:val="00684FCF"/>
    <w:rsid w:val="00694159"/>
    <w:rsid w:val="006A0014"/>
    <w:rsid w:val="006C3606"/>
    <w:rsid w:val="006D0FFF"/>
    <w:rsid w:val="006D1D34"/>
    <w:rsid w:val="006E6E19"/>
    <w:rsid w:val="006F07F8"/>
    <w:rsid w:val="00706BDA"/>
    <w:rsid w:val="007200F0"/>
    <w:rsid w:val="007233DB"/>
    <w:rsid w:val="007520AF"/>
    <w:rsid w:val="007613C3"/>
    <w:rsid w:val="007631CF"/>
    <w:rsid w:val="00766BF2"/>
    <w:rsid w:val="007712D0"/>
    <w:rsid w:val="007735DB"/>
    <w:rsid w:val="0077733A"/>
    <w:rsid w:val="0078283C"/>
    <w:rsid w:val="00790425"/>
    <w:rsid w:val="0079576F"/>
    <w:rsid w:val="007B65DC"/>
    <w:rsid w:val="007C323A"/>
    <w:rsid w:val="007C5B5D"/>
    <w:rsid w:val="007D0F39"/>
    <w:rsid w:val="007D11A9"/>
    <w:rsid w:val="007F301C"/>
    <w:rsid w:val="008036DB"/>
    <w:rsid w:val="00814353"/>
    <w:rsid w:val="00816B3F"/>
    <w:rsid w:val="008236F5"/>
    <w:rsid w:val="00824C98"/>
    <w:rsid w:val="00831DF1"/>
    <w:rsid w:val="00833257"/>
    <w:rsid w:val="0084355A"/>
    <w:rsid w:val="0084583F"/>
    <w:rsid w:val="008518A0"/>
    <w:rsid w:val="008639CB"/>
    <w:rsid w:val="00874201"/>
    <w:rsid w:val="00891B07"/>
    <w:rsid w:val="008A4EB6"/>
    <w:rsid w:val="008C22BB"/>
    <w:rsid w:val="008E5FBE"/>
    <w:rsid w:val="008E73E4"/>
    <w:rsid w:val="008E73FC"/>
    <w:rsid w:val="00927BA6"/>
    <w:rsid w:val="0093031D"/>
    <w:rsid w:val="00932464"/>
    <w:rsid w:val="00932AC7"/>
    <w:rsid w:val="00932C38"/>
    <w:rsid w:val="00956857"/>
    <w:rsid w:val="00964944"/>
    <w:rsid w:val="00975D84"/>
    <w:rsid w:val="00987C7C"/>
    <w:rsid w:val="0099190A"/>
    <w:rsid w:val="009A46B5"/>
    <w:rsid w:val="009D2F2B"/>
    <w:rsid w:val="009D4759"/>
    <w:rsid w:val="009E4E45"/>
    <w:rsid w:val="009F2C81"/>
    <w:rsid w:val="009F3E35"/>
    <w:rsid w:val="009F603C"/>
    <w:rsid w:val="009F6916"/>
    <w:rsid w:val="00A05529"/>
    <w:rsid w:val="00A055C1"/>
    <w:rsid w:val="00A13B8C"/>
    <w:rsid w:val="00A3286A"/>
    <w:rsid w:val="00A40E35"/>
    <w:rsid w:val="00A4379C"/>
    <w:rsid w:val="00A5089F"/>
    <w:rsid w:val="00A51642"/>
    <w:rsid w:val="00A5331E"/>
    <w:rsid w:val="00A64017"/>
    <w:rsid w:val="00A64018"/>
    <w:rsid w:val="00A657D7"/>
    <w:rsid w:val="00A720C7"/>
    <w:rsid w:val="00A734BE"/>
    <w:rsid w:val="00A86F94"/>
    <w:rsid w:val="00A95A08"/>
    <w:rsid w:val="00AA5B79"/>
    <w:rsid w:val="00AA6E4C"/>
    <w:rsid w:val="00AA7AE0"/>
    <w:rsid w:val="00AB00F3"/>
    <w:rsid w:val="00AB054B"/>
    <w:rsid w:val="00AB0722"/>
    <w:rsid w:val="00AC495D"/>
    <w:rsid w:val="00AC79FC"/>
    <w:rsid w:val="00AD0FB3"/>
    <w:rsid w:val="00AD6C78"/>
    <w:rsid w:val="00B0021F"/>
    <w:rsid w:val="00B12E0C"/>
    <w:rsid w:val="00B21DB9"/>
    <w:rsid w:val="00B27125"/>
    <w:rsid w:val="00B3027C"/>
    <w:rsid w:val="00B45678"/>
    <w:rsid w:val="00B50CBF"/>
    <w:rsid w:val="00B6076B"/>
    <w:rsid w:val="00B82955"/>
    <w:rsid w:val="00B94C11"/>
    <w:rsid w:val="00B962E2"/>
    <w:rsid w:val="00BB27CE"/>
    <w:rsid w:val="00BD16A6"/>
    <w:rsid w:val="00BE7BB4"/>
    <w:rsid w:val="00BF49E0"/>
    <w:rsid w:val="00BF4A7B"/>
    <w:rsid w:val="00C01917"/>
    <w:rsid w:val="00C01EDE"/>
    <w:rsid w:val="00C03709"/>
    <w:rsid w:val="00C04338"/>
    <w:rsid w:val="00C07B08"/>
    <w:rsid w:val="00C10B85"/>
    <w:rsid w:val="00C23391"/>
    <w:rsid w:val="00C34CF6"/>
    <w:rsid w:val="00C433A2"/>
    <w:rsid w:val="00C44C18"/>
    <w:rsid w:val="00C56B8A"/>
    <w:rsid w:val="00C60DD9"/>
    <w:rsid w:val="00C86279"/>
    <w:rsid w:val="00C86DD1"/>
    <w:rsid w:val="00C929C1"/>
    <w:rsid w:val="00C94977"/>
    <w:rsid w:val="00C97506"/>
    <w:rsid w:val="00CA3FC4"/>
    <w:rsid w:val="00CC2669"/>
    <w:rsid w:val="00CC5931"/>
    <w:rsid w:val="00CD03F2"/>
    <w:rsid w:val="00CD0D9E"/>
    <w:rsid w:val="00CE5C88"/>
    <w:rsid w:val="00CE7CF7"/>
    <w:rsid w:val="00CF27C6"/>
    <w:rsid w:val="00D07A43"/>
    <w:rsid w:val="00D10CD8"/>
    <w:rsid w:val="00D138F7"/>
    <w:rsid w:val="00D20C36"/>
    <w:rsid w:val="00D22BB5"/>
    <w:rsid w:val="00D269E2"/>
    <w:rsid w:val="00D32F05"/>
    <w:rsid w:val="00D44B27"/>
    <w:rsid w:val="00D44D6F"/>
    <w:rsid w:val="00D568B1"/>
    <w:rsid w:val="00D616EF"/>
    <w:rsid w:val="00D622D1"/>
    <w:rsid w:val="00D77C81"/>
    <w:rsid w:val="00D86417"/>
    <w:rsid w:val="00D943F0"/>
    <w:rsid w:val="00DA28CE"/>
    <w:rsid w:val="00DB3393"/>
    <w:rsid w:val="00DC124B"/>
    <w:rsid w:val="00DC62AA"/>
    <w:rsid w:val="00DC7069"/>
    <w:rsid w:val="00DC7738"/>
    <w:rsid w:val="00DE7919"/>
    <w:rsid w:val="00E059A0"/>
    <w:rsid w:val="00E12C10"/>
    <w:rsid w:val="00E52C62"/>
    <w:rsid w:val="00E5474D"/>
    <w:rsid w:val="00E602DD"/>
    <w:rsid w:val="00E8008E"/>
    <w:rsid w:val="00E86499"/>
    <w:rsid w:val="00E91636"/>
    <w:rsid w:val="00EA076F"/>
    <w:rsid w:val="00EA1274"/>
    <w:rsid w:val="00ED32CE"/>
    <w:rsid w:val="00EE0194"/>
    <w:rsid w:val="00EE12CA"/>
    <w:rsid w:val="00F133C7"/>
    <w:rsid w:val="00F204BE"/>
    <w:rsid w:val="00F21721"/>
    <w:rsid w:val="00F2626E"/>
    <w:rsid w:val="00F41123"/>
    <w:rsid w:val="00F434DB"/>
    <w:rsid w:val="00F47CEA"/>
    <w:rsid w:val="00F66230"/>
    <w:rsid w:val="00F72590"/>
    <w:rsid w:val="00F756E9"/>
    <w:rsid w:val="00F82C7E"/>
    <w:rsid w:val="00F94EF4"/>
    <w:rsid w:val="00F962D0"/>
    <w:rsid w:val="00F97E2A"/>
    <w:rsid w:val="00FA0130"/>
    <w:rsid w:val="00FA2EF8"/>
    <w:rsid w:val="00FA5A45"/>
    <w:rsid w:val="00FA70F8"/>
    <w:rsid w:val="00FD34DE"/>
    <w:rsid w:val="00FD53B8"/>
    <w:rsid w:val="00FE001C"/>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766578B"/>
  <w15:chartTrackingRefBased/>
  <w15:docId w15:val="{7C1FD270-9044-4C60-9717-1929F646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64C"/>
    <w:pPr>
      <w:ind w:firstLine="0"/>
      <w:jc w:val="left"/>
    </w:pPr>
    <w:rPr>
      <w:rFonts w:eastAsia="Times New Roman"/>
      <w:szCs w:val="24"/>
      <w:lang w:eastAsia="lv-LV"/>
    </w:rPr>
  </w:style>
  <w:style w:type="paragraph" w:styleId="Heading1">
    <w:name w:val="heading 1"/>
    <w:basedOn w:val="Normal"/>
    <w:next w:val="Normal"/>
    <w:link w:val="Heading1Char"/>
    <w:uiPriority w:val="9"/>
    <w:qFormat/>
    <w:rsid w:val="00C03709"/>
    <w:pPr>
      <w:keepNext/>
      <w:keepLines/>
      <w:spacing w:before="240"/>
      <w:ind w:firstLine="720"/>
      <w:jc w:val="both"/>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709"/>
    <w:rPr>
      <w:rFonts w:asciiTheme="majorHAnsi" w:eastAsiaTheme="majorEastAsia" w:hAnsiTheme="majorHAnsi" w:cstheme="majorBidi"/>
      <w:color w:val="2F5496" w:themeColor="accent1" w:themeShade="BF"/>
      <w:sz w:val="32"/>
      <w:szCs w:val="32"/>
    </w:rPr>
  </w:style>
  <w:style w:type="paragraph" w:styleId="TOCHeading">
    <w:name w:val="TOC Heading"/>
    <w:aliases w:val="Satura rādītājs"/>
    <w:basedOn w:val="Heading1"/>
    <w:next w:val="Normal"/>
    <w:uiPriority w:val="39"/>
    <w:unhideWhenUsed/>
    <w:qFormat/>
    <w:rsid w:val="00C03709"/>
    <w:pPr>
      <w:tabs>
        <w:tab w:val="left" w:pos="8505"/>
      </w:tabs>
      <w:spacing w:before="0"/>
      <w:ind w:firstLine="0"/>
      <w:jc w:val="left"/>
      <w:outlineLvl w:val="9"/>
    </w:pPr>
    <w:rPr>
      <w:rFonts w:ascii="Bookman Old Style" w:eastAsia="Times New Roman" w:hAnsi="Bookman Old Style" w:cs="Times New Roman"/>
      <w:b/>
      <w:color w:val="auto"/>
      <w:sz w:val="28"/>
      <w:lang w:eastAsia="lv-LV"/>
    </w:rPr>
  </w:style>
  <w:style w:type="paragraph" w:styleId="Title">
    <w:name w:val="Title"/>
    <w:basedOn w:val="Normal"/>
    <w:link w:val="TitleChar"/>
    <w:qFormat/>
    <w:rsid w:val="0005464C"/>
    <w:pPr>
      <w:jc w:val="center"/>
    </w:pPr>
    <w:rPr>
      <w:sz w:val="28"/>
      <w:szCs w:val="20"/>
      <w:lang w:eastAsia="en-US"/>
    </w:rPr>
  </w:style>
  <w:style w:type="character" w:customStyle="1" w:styleId="TitleChar">
    <w:name w:val="Title Char"/>
    <w:basedOn w:val="DefaultParagraphFont"/>
    <w:link w:val="Title"/>
    <w:rsid w:val="0005464C"/>
    <w:rPr>
      <w:rFonts w:eastAsia="Times New Roman"/>
      <w:sz w:val="28"/>
      <w:szCs w:val="20"/>
    </w:rPr>
  </w:style>
  <w:style w:type="character" w:styleId="Hyperlink">
    <w:name w:val="Hyperlink"/>
    <w:basedOn w:val="DefaultParagraphFont"/>
    <w:unhideWhenUsed/>
    <w:rsid w:val="0005464C"/>
    <w:rPr>
      <w:color w:val="0000FF"/>
      <w:u w:val="single"/>
    </w:rPr>
  </w:style>
  <w:style w:type="paragraph" w:styleId="Header">
    <w:name w:val="header"/>
    <w:basedOn w:val="Normal"/>
    <w:link w:val="HeaderChar"/>
    <w:uiPriority w:val="99"/>
    <w:unhideWhenUsed/>
    <w:rsid w:val="0005464C"/>
    <w:pPr>
      <w:tabs>
        <w:tab w:val="center" w:pos="4153"/>
        <w:tab w:val="right" w:pos="8306"/>
      </w:tabs>
    </w:pPr>
  </w:style>
  <w:style w:type="character" w:customStyle="1" w:styleId="HeaderChar">
    <w:name w:val="Header Char"/>
    <w:basedOn w:val="DefaultParagraphFont"/>
    <w:link w:val="Header"/>
    <w:uiPriority w:val="99"/>
    <w:rsid w:val="0005464C"/>
    <w:rPr>
      <w:rFonts w:eastAsia="Times New Roman"/>
      <w:szCs w:val="24"/>
      <w:lang w:eastAsia="lv-LV"/>
    </w:rPr>
  </w:style>
  <w:style w:type="paragraph" w:styleId="Footer">
    <w:name w:val="footer"/>
    <w:basedOn w:val="Normal"/>
    <w:link w:val="FooterChar"/>
    <w:uiPriority w:val="99"/>
    <w:unhideWhenUsed/>
    <w:rsid w:val="0005464C"/>
    <w:pPr>
      <w:tabs>
        <w:tab w:val="center" w:pos="4153"/>
        <w:tab w:val="right" w:pos="8306"/>
      </w:tabs>
    </w:pPr>
  </w:style>
  <w:style w:type="character" w:customStyle="1" w:styleId="FooterChar">
    <w:name w:val="Footer Char"/>
    <w:basedOn w:val="DefaultParagraphFont"/>
    <w:link w:val="Footer"/>
    <w:uiPriority w:val="99"/>
    <w:rsid w:val="0005464C"/>
    <w:rPr>
      <w:rFonts w:eastAsia="Times New Roman"/>
      <w:szCs w:val="24"/>
      <w:lang w:eastAsia="lv-LV"/>
    </w:rPr>
  </w:style>
  <w:style w:type="paragraph" w:styleId="NormalWeb">
    <w:name w:val="Normal (Web)"/>
    <w:basedOn w:val="Normal"/>
    <w:link w:val="NormalWebChar"/>
    <w:rsid w:val="0005464C"/>
    <w:pPr>
      <w:spacing w:before="100" w:beforeAutospacing="1" w:after="100" w:afterAutospacing="1"/>
    </w:pPr>
    <w:rPr>
      <w:rFonts w:eastAsia="Arial Unicode MS"/>
      <w:lang w:val="en-GB" w:eastAsia="en-US"/>
    </w:rPr>
  </w:style>
  <w:style w:type="paragraph" w:customStyle="1" w:styleId="naisc">
    <w:name w:val="naisc"/>
    <w:basedOn w:val="Normal"/>
    <w:rsid w:val="0005464C"/>
    <w:pPr>
      <w:spacing w:before="100" w:beforeAutospacing="1" w:after="100" w:afterAutospacing="1"/>
      <w:jc w:val="center"/>
    </w:pPr>
    <w:rPr>
      <w:rFonts w:eastAsia="Arial Unicode MS"/>
      <w:sz w:val="26"/>
      <w:szCs w:val="26"/>
      <w:lang w:val="en-GB" w:eastAsia="en-US"/>
    </w:rPr>
  </w:style>
  <w:style w:type="character" w:customStyle="1" w:styleId="NormalWebChar">
    <w:name w:val="Normal (Web) Char"/>
    <w:basedOn w:val="DefaultParagraphFont"/>
    <w:link w:val="NormalWeb"/>
    <w:locked/>
    <w:rsid w:val="0005464C"/>
    <w:rPr>
      <w:rFonts w:eastAsia="Arial Unicode MS"/>
      <w:szCs w:val="24"/>
      <w:lang w:val="en-GB"/>
    </w:rPr>
  </w:style>
  <w:style w:type="paragraph" w:styleId="BalloonText">
    <w:name w:val="Balloon Text"/>
    <w:basedOn w:val="Normal"/>
    <w:link w:val="BalloonTextChar"/>
    <w:uiPriority w:val="99"/>
    <w:semiHidden/>
    <w:unhideWhenUsed/>
    <w:rsid w:val="00975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D8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C3F4B"/>
    <w:rPr>
      <w:sz w:val="16"/>
      <w:szCs w:val="16"/>
    </w:rPr>
  </w:style>
  <w:style w:type="paragraph" w:styleId="CommentText">
    <w:name w:val="annotation text"/>
    <w:basedOn w:val="Normal"/>
    <w:link w:val="CommentTextChar"/>
    <w:uiPriority w:val="99"/>
    <w:semiHidden/>
    <w:unhideWhenUsed/>
    <w:rsid w:val="004C3F4B"/>
    <w:rPr>
      <w:sz w:val="20"/>
      <w:szCs w:val="20"/>
    </w:rPr>
  </w:style>
  <w:style w:type="character" w:customStyle="1" w:styleId="CommentTextChar">
    <w:name w:val="Comment Text Char"/>
    <w:basedOn w:val="DefaultParagraphFont"/>
    <w:link w:val="CommentText"/>
    <w:uiPriority w:val="99"/>
    <w:semiHidden/>
    <w:rsid w:val="004C3F4B"/>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C3F4B"/>
    <w:rPr>
      <w:b/>
      <w:bCs/>
    </w:rPr>
  </w:style>
  <w:style w:type="character" w:customStyle="1" w:styleId="CommentSubjectChar">
    <w:name w:val="Comment Subject Char"/>
    <w:basedOn w:val="CommentTextChar"/>
    <w:link w:val="CommentSubject"/>
    <w:uiPriority w:val="99"/>
    <w:semiHidden/>
    <w:rsid w:val="004C3F4B"/>
    <w:rPr>
      <w:rFonts w:eastAsia="Times New Roman"/>
      <w:b/>
      <w:bCs/>
      <w:sz w:val="20"/>
      <w:szCs w:val="20"/>
      <w:lang w:eastAsia="lv-LV"/>
    </w:rPr>
  </w:style>
  <w:style w:type="character" w:styleId="FollowedHyperlink">
    <w:name w:val="FollowedHyperlink"/>
    <w:basedOn w:val="DefaultParagraphFont"/>
    <w:uiPriority w:val="99"/>
    <w:semiHidden/>
    <w:unhideWhenUsed/>
    <w:rsid w:val="00283D3D"/>
    <w:rPr>
      <w:color w:val="954F72" w:themeColor="followedHyperlink"/>
      <w:u w:val="single"/>
    </w:rPr>
  </w:style>
  <w:style w:type="character" w:customStyle="1" w:styleId="UnresolvedMention1">
    <w:name w:val="Unresolved Mention1"/>
    <w:basedOn w:val="DefaultParagraphFont"/>
    <w:uiPriority w:val="99"/>
    <w:semiHidden/>
    <w:unhideWhenUsed/>
    <w:rsid w:val="00874201"/>
    <w:rPr>
      <w:color w:val="605E5C"/>
      <w:shd w:val="clear" w:color="auto" w:fill="E1DFDD"/>
    </w:rPr>
  </w:style>
  <w:style w:type="paragraph" w:styleId="NoSpacing">
    <w:name w:val="No Spacing"/>
    <w:link w:val="NoSpacingChar"/>
    <w:qFormat/>
    <w:rsid w:val="00B45678"/>
    <w:pPr>
      <w:ind w:firstLine="0"/>
      <w:jc w:val="left"/>
    </w:pPr>
    <w:rPr>
      <w:rFonts w:asciiTheme="minorHAnsi" w:hAnsiTheme="minorHAnsi" w:cstheme="minorBidi"/>
      <w:sz w:val="22"/>
    </w:rPr>
  </w:style>
  <w:style w:type="paragraph" w:customStyle="1" w:styleId="Bezatstarpm1">
    <w:name w:val="Bez atstarpēm1"/>
    <w:uiPriority w:val="1"/>
    <w:qFormat/>
    <w:rsid w:val="00B45678"/>
    <w:pPr>
      <w:ind w:firstLine="0"/>
      <w:jc w:val="left"/>
    </w:pPr>
    <w:rPr>
      <w:rFonts w:ascii="Calibri" w:eastAsia="Times New Roman" w:hAnsi="Calibri"/>
      <w:sz w:val="22"/>
      <w:lang w:val="en-US"/>
    </w:rPr>
  </w:style>
  <w:style w:type="character" w:customStyle="1" w:styleId="NoSpacingChar">
    <w:name w:val="No Spacing Char"/>
    <w:link w:val="NoSpacing"/>
    <w:uiPriority w:val="1"/>
    <w:rsid w:val="00B45678"/>
    <w:rPr>
      <w:rFonts w:asciiTheme="minorHAnsi" w:hAnsiTheme="minorHAnsi" w:cstheme="minorBidi"/>
      <w:sz w:val="22"/>
    </w:rPr>
  </w:style>
  <w:style w:type="character" w:styleId="UnresolvedMention">
    <w:name w:val="Unresolved Mention"/>
    <w:basedOn w:val="DefaultParagraphFont"/>
    <w:uiPriority w:val="99"/>
    <w:semiHidden/>
    <w:unhideWhenUsed/>
    <w:rsid w:val="005275DE"/>
    <w:rPr>
      <w:color w:val="605E5C"/>
      <w:shd w:val="clear" w:color="auto" w:fill="E1DFDD"/>
    </w:rPr>
  </w:style>
  <w:style w:type="paragraph" w:styleId="ListParagraph">
    <w:name w:val="List Paragraph"/>
    <w:basedOn w:val="Normal"/>
    <w:qFormat/>
    <w:rsid w:val="001732A2"/>
    <w:pPr>
      <w:ind w:left="720"/>
      <w:contextualSpacing/>
    </w:pPr>
  </w:style>
  <w:style w:type="paragraph" w:styleId="FootnoteText">
    <w:name w:val="footnote text"/>
    <w:basedOn w:val="Normal"/>
    <w:link w:val="FootnoteTextChar"/>
    <w:uiPriority w:val="99"/>
    <w:unhideWhenUsed/>
    <w:rsid w:val="001C43FE"/>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1C43FE"/>
    <w:rPr>
      <w:rFonts w:ascii="Calibri" w:eastAsia="Calibri" w:hAnsi="Calibri"/>
      <w:sz w:val="20"/>
      <w:szCs w:val="20"/>
    </w:rPr>
  </w:style>
  <w:style w:type="character" w:styleId="FootnoteReference">
    <w:name w:val="footnote reference"/>
    <w:basedOn w:val="DefaultParagraphFont"/>
    <w:uiPriority w:val="99"/>
    <w:semiHidden/>
    <w:unhideWhenUsed/>
    <w:rsid w:val="001C43FE"/>
    <w:rPr>
      <w:vertAlign w:val="superscript"/>
    </w:rPr>
  </w:style>
  <w:style w:type="character" w:customStyle="1" w:styleId="Bodytext">
    <w:name w:val="Body text_"/>
    <w:basedOn w:val="DefaultParagraphFont"/>
    <w:link w:val="BodyText1"/>
    <w:rsid w:val="00FA70F8"/>
    <w:rPr>
      <w:rFonts w:eastAsia="Times New Roman"/>
      <w:sz w:val="19"/>
      <w:szCs w:val="19"/>
      <w:shd w:val="clear" w:color="auto" w:fill="FFFFFF"/>
    </w:rPr>
  </w:style>
  <w:style w:type="paragraph" w:customStyle="1" w:styleId="BodyText1">
    <w:name w:val="Body Text1"/>
    <w:basedOn w:val="Normal"/>
    <w:link w:val="Bodytext"/>
    <w:rsid w:val="00FA70F8"/>
    <w:pPr>
      <w:widowControl w:val="0"/>
      <w:shd w:val="clear" w:color="auto" w:fill="FFFFFF"/>
      <w:spacing w:after="180" w:line="0" w:lineRule="atLeast"/>
      <w:ind w:hanging="980"/>
      <w:jc w:val="both"/>
    </w:pPr>
    <w:rPr>
      <w:sz w:val="19"/>
      <w:szCs w:val="19"/>
      <w:lang w:eastAsia="en-US"/>
    </w:rPr>
  </w:style>
  <w:style w:type="paragraph" w:customStyle="1" w:styleId="tv213">
    <w:name w:val="tv213"/>
    <w:basedOn w:val="Normal"/>
    <w:rsid w:val="001C719D"/>
    <w:pPr>
      <w:spacing w:before="100" w:beforeAutospacing="1" w:after="100" w:afterAutospacing="1"/>
    </w:pPr>
    <w:rPr>
      <w:lang w:bidi="hi-IN"/>
    </w:rPr>
  </w:style>
  <w:style w:type="paragraph" w:customStyle="1" w:styleId="labojumupamats">
    <w:name w:val="labojumu_pamats"/>
    <w:basedOn w:val="Normal"/>
    <w:rsid w:val="001C719D"/>
    <w:pPr>
      <w:spacing w:before="100" w:beforeAutospacing="1" w:after="100" w:afterAutospacing="1"/>
    </w:pPr>
    <w:rPr>
      <w:lang w:bidi="hi-IN"/>
    </w:rPr>
  </w:style>
  <w:style w:type="character" w:customStyle="1" w:styleId="Noklusjumarindkopasfonts1">
    <w:name w:val="Noklusējuma rindkopas fonts1"/>
    <w:rsid w:val="0079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34820">
      <w:bodyDiv w:val="1"/>
      <w:marLeft w:val="0"/>
      <w:marRight w:val="0"/>
      <w:marTop w:val="0"/>
      <w:marBottom w:val="0"/>
      <w:divBdr>
        <w:top w:val="none" w:sz="0" w:space="0" w:color="auto"/>
        <w:left w:val="none" w:sz="0" w:space="0" w:color="auto"/>
        <w:bottom w:val="none" w:sz="0" w:space="0" w:color="auto"/>
        <w:right w:val="none" w:sz="0" w:space="0" w:color="auto"/>
      </w:divBdr>
    </w:div>
    <w:div w:id="1295720336">
      <w:bodyDiv w:val="1"/>
      <w:marLeft w:val="0"/>
      <w:marRight w:val="0"/>
      <w:marTop w:val="0"/>
      <w:marBottom w:val="0"/>
      <w:divBdr>
        <w:top w:val="none" w:sz="0" w:space="0" w:color="auto"/>
        <w:left w:val="none" w:sz="0" w:space="0" w:color="auto"/>
        <w:bottom w:val="none" w:sz="0" w:space="0" w:color="auto"/>
        <w:right w:val="none" w:sz="0" w:space="0" w:color="auto"/>
      </w:divBdr>
    </w:div>
    <w:div w:id="1745951733">
      <w:bodyDiv w:val="1"/>
      <w:marLeft w:val="0"/>
      <w:marRight w:val="0"/>
      <w:marTop w:val="0"/>
      <w:marBottom w:val="0"/>
      <w:divBdr>
        <w:top w:val="none" w:sz="0" w:space="0" w:color="auto"/>
        <w:left w:val="none" w:sz="0" w:space="0" w:color="auto"/>
        <w:bottom w:val="none" w:sz="0" w:space="0" w:color="auto"/>
        <w:right w:val="none" w:sz="0" w:space="0" w:color="auto"/>
      </w:divBdr>
    </w:div>
    <w:div w:id="21368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2634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126348" TargetMode="External"/><Relationship Id="rId12" Type="http://schemas.openxmlformats.org/officeDocument/2006/relationships/hyperlink" Target="https://eur-lex.europa.eu/legal-content/LV/TXT/HTML/?uri=CELEX:02001L0083-20121116&amp;from=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dir/2001/83/oj/?locale=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Users/User/Documents/darbs/2020/Projekti/COVID-situacija/gmp-gdo-304-416-344/guidance_regulatory_covid19_en.pdf" TargetMode="External"/><Relationship Id="rId4" Type="http://schemas.openxmlformats.org/officeDocument/2006/relationships/webSettings" Target="webSettings.xml"/><Relationship Id="rId9" Type="http://schemas.openxmlformats.org/officeDocument/2006/relationships/hyperlink" Target="http://www.likumi.lv/doc.php?id=12634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HTML/?uri=CELEX:02001L0083-20121116&amp;from=EN" TargetMode="External"/><Relationship Id="rId1" Type="http://schemas.openxmlformats.org/officeDocument/2006/relationships/hyperlink" Target="http://eur-lex.europa.eu/eli/dir/2001/83/oj/?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9975</Words>
  <Characters>5687</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2006. gada 17. janvāra noteikumos Nr. 57 "Noteikumi par zāļu marķēšanas kārtību un zāļu lietošanas instrukcijai izvirzāmajām prasībām"" sākotnējās ietekmes novērtējuma ziņojums (anotācija)</vt:lpstr>
      <vt:lpstr>Ministru kabineta noteikumu projekta "Grozījumi Ministru kabineta 2006. gada 17. janvāra noteikumos Nr. 57 "Noteikumi par zāļu marķēšanas kārtību un zāļu lietošanas instrukcijai izvirzāmajām prasībām"" sākotnējās ietekmes novērtējuma ziņojums (anotācija)</vt:lpstr>
    </vt:vector>
  </TitlesOfParts>
  <Company>Veselības Ministrija</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17. janvāra noteikumos Nr. 57 "Noteikumi par zāļu marķēšanas kārtību un zāļu lietošanas instrukcijai izvirzāmajām prasībām"" sākotnējās ietekmes novērtējuma ziņojums (anotācija)</dc:title>
  <dc:subject>Anotācija</dc:subject>
  <dc:creator>Ingūna Mača</dc:creator>
  <cp:keywords/>
  <dc:description>inguna.maca@vm.gov.lv, 67876117</dc:description>
  <cp:lastModifiedBy>Ingūna Mača</cp:lastModifiedBy>
  <cp:revision>16</cp:revision>
  <dcterms:created xsi:type="dcterms:W3CDTF">2020-11-30T07:21:00Z</dcterms:created>
  <dcterms:modified xsi:type="dcterms:W3CDTF">2020-12-01T08:33:00Z</dcterms:modified>
</cp:coreProperties>
</file>