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4FAE" w14:textId="77777777" w:rsidR="00773D4B" w:rsidRDefault="004D0F31">
      <w:pPr>
        <w:pStyle w:val="naisnod"/>
        <w:spacing w:before="0" w:after="0"/>
        <w:ind w:firstLine="720"/>
        <w:rPr>
          <w:sz w:val="28"/>
          <w:szCs w:val="28"/>
        </w:rPr>
      </w:pPr>
      <w:r>
        <w:rPr>
          <w:sz w:val="28"/>
          <w:szCs w:val="28"/>
        </w:rPr>
        <w:t xml:space="preserve">Izziņa par atzinumos sniegtajiem iebildumiem par </w:t>
      </w:r>
    </w:p>
    <w:tbl>
      <w:tblPr>
        <w:tblW w:w="0" w:type="auto"/>
        <w:jc w:val="center"/>
        <w:tblLook w:val="04A0" w:firstRow="1" w:lastRow="0" w:firstColumn="1" w:lastColumn="0" w:noHBand="0" w:noVBand="1"/>
      </w:tblPr>
      <w:tblGrid>
        <w:gridCol w:w="10188"/>
      </w:tblGrid>
      <w:tr w:rsidR="00773D4B" w14:paraId="76534FB0" w14:textId="77777777">
        <w:trPr>
          <w:jc w:val="center"/>
        </w:trPr>
        <w:tc>
          <w:tcPr>
            <w:tcW w:w="10188" w:type="dxa"/>
            <w:tcBorders>
              <w:bottom w:val="single" w:sz="6" w:space="0" w:color="000000"/>
            </w:tcBorders>
          </w:tcPr>
          <w:p w14:paraId="76534FAF" w14:textId="77777777" w:rsidR="00773D4B" w:rsidRDefault="004D0F31">
            <w:pPr>
              <w:jc w:val="center"/>
              <w:rPr>
                <w:b/>
                <w:sz w:val="28"/>
                <w:szCs w:val="28"/>
              </w:rPr>
            </w:pPr>
            <w:bookmarkStart w:id="0" w:name="_Hlk46845194"/>
            <w:r>
              <w:rPr>
                <w:b/>
                <w:sz w:val="28"/>
                <w:szCs w:val="28"/>
              </w:rPr>
              <w:t xml:space="preserve">Ministru kabineta </w:t>
            </w:r>
            <w:r>
              <w:rPr>
                <w:b/>
                <w:sz w:val="28"/>
                <w:szCs w:val="28"/>
                <w:lang w:val="en-US"/>
              </w:rPr>
              <w:t xml:space="preserve"> noteikumu projektu “Grozījums </w:t>
            </w:r>
            <w:r>
              <w:rPr>
                <w:b/>
                <w:sz w:val="28"/>
                <w:szCs w:val="28"/>
              </w:rPr>
              <w:t>2012. gada 13. marta noteikumos Nr. 172 “</w:t>
            </w:r>
            <w:r>
              <w:rPr>
                <w:b/>
                <w:bCs/>
                <w:sz w:val="28"/>
                <w:szCs w:val="28"/>
              </w:rPr>
              <w:t>Noteikumi par uztura normām izglītības iestāžu izglītojamiem, sociālās aprūpes un sociālās rehabilitācijas institūciju klientiem un ārstniecības iestāžu pacientiem</w:t>
            </w:r>
            <w:r>
              <w:rPr>
                <w:b/>
                <w:sz w:val="28"/>
                <w:szCs w:val="28"/>
              </w:rPr>
              <w:t>”</w:t>
            </w:r>
            <w:bookmarkEnd w:id="0"/>
          </w:p>
        </w:tc>
      </w:tr>
    </w:tbl>
    <w:p w14:paraId="76534FB1" w14:textId="77777777" w:rsidR="00773D4B" w:rsidRDefault="004D0F31">
      <w:pPr>
        <w:pStyle w:val="naisc"/>
        <w:spacing w:before="0" w:after="0"/>
        <w:ind w:firstLine="1080"/>
      </w:pPr>
      <w:r>
        <w:t>(dokumenta veids un nosaukums)</w:t>
      </w:r>
    </w:p>
    <w:p w14:paraId="76534FB2" w14:textId="77777777" w:rsidR="00773D4B" w:rsidRDefault="00773D4B">
      <w:pPr>
        <w:pStyle w:val="naisf"/>
        <w:spacing w:before="0" w:after="0"/>
        <w:ind w:firstLine="720"/>
      </w:pPr>
    </w:p>
    <w:p w14:paraId="76534FB3" w14:textId="77777777" w:rsidR="00773D4B" w:rsidRDefault="004D0F31">
      <w:pPr>
        <w:pStyle w:val="naisf"/>
        <w:spacing w:before="0" w:after="0"/>
        <w:ind w:firstLine="0"/>
        <w:jc w:val="center"/>
        <w:rPr>
          <w:b/>
        </w:rPr>
      </w:pPr>
      <w:r>
        <w:rPr>
          <w:b/>
        </w:rPr>
        <w:t>I. Jautājumi, par kuriem saskaņošanā vienošanās nav panākta</w:t>
      </w:r>
    </w:p>
    <w:p w14:paraId="76534FB4" w14:textId="77777777" w:rsidR="00773D4B" w:rsidRDefault="00773D4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086"/>
        <w:gridCol w:w="3118"/>
        <w:gridCol w:w="2977"/>
        <w:gridCol w:w="2459"/>
        <w:gridCol w:w="1920"/>
      </w:tblGrid>
      <w:tr w:rsidR="00773D4B" w14:paraId="76534FBB"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6534FB5" w14:textId="77777777" w:rsidR="00773D4B" w:rsidRDefault="004D0F31">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76534FB6" w14:textId="77777777" w:rsidR="00773D4B" w:rsidRDefault="004D0F31">
            <w:pPr>
              <w:pStyle w:val="naisc"/>
              <w:spacing w:before="0" w:after="0"/>
              <w:ind w:firstLine="12"/>
            </w:pPr>
            <w: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6534FB7" w14:textId="77777777" w:rsidR="00773D4B" w:rsidRDefault="004D0F31">
            <w:pPr>
              <w:pStyle w:val="naisc"/>
              <w:spacing w:before="0" w:after="0"/>
              <w:ind w:right="3"/>
            </w:pPr>
            <w: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6534FB8" w14:textId="77777777" w:rsidR="00773D4B" w:rsidRDefault="004D0F31">
            <w:pPr>
              <w:pStyle w:val="naisc"/>
              <w:spacing w:before="0" w:after="0"/>
              <w:ind w:firstLine="21"/>
            </w:pPr>
            <w: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6534FB9" w14:textId="77777777" w:rsidR="00773D4B" w:rsidRDefault="004D0F31">
            <w:pPr>
              <w:jc w:val="center"/>
            </w:pPr>
            <w: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6534FBA" w14:textId="77777777" w:rsidR="00773D4B" w:rsidRDefault="004D0F31">
            <w:pPr>
              <w:jc w:val="center"/>
            </w:pPr>
            <w:r>
              <w:t>Projekta attiecīgā punkta (panta) galīgā redakcija</w:t>
            </w:r>
          </w:p>
        </w:tc>
      </w:tr>
      <w:tr w:rsidR="00773D4B" w14:paraId="76534FC2" w14:textId="77777777">
        <w:tc>
          <w:tcPr>
            <w:tcW w:w="708" w:type="dxa"/>
            <w:tcBorders>
              <w:top w:val="single" w:sz="6" w:space="0" w:color="000000"/>
              <w:left w:val="single" w:sz="6" w:space="0" w:color="000000"/>
              <w:bottom w:val="single" w:sz="6" w:space="0" w:color="000000"/>
              <w:right w:val="single" w:sz="6" w:space="0" w:color="000000"/>
            </w:tcBorders>
          </w:tcPr>
          <w:p w14:paraId="76534FBC" w14:textId="77777777" w:rsidR="00773D4B" w:rsidRDefault="004D0F31">
            <w:pPr>
              <w:pStyle w:val="naisc"/>
              <w:spacing w:before="0" w:after="0"/>
              <w:rPr>
                <w:sz w:val="20"/>
                <w:szCs w:val="20"/>
              </w:rPr>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6534FBD" w14:textId="77777777" w:rsidR="00773D4B" w:rsidRDefault="004D0F31">
            <w:pPr>
              <w:pStyle w:val="naisc"/>
              <w:spacing w:before="0" w:after="0"/>
              <w:ind w:firstLine="720"/>
              <w:rPr>
                <w:sz w:val="20"/>
                <w:szCs w:val="20"/>
              </w:rPr>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6534FBE" w14:textId="77777777" w:rsidR="00773D4B" w:rsidRDefault="004D0F31">
            <w:pPr>
              <w:pStyle w:val="naisc"/>
              <w:spacing w:before="0" w:after="0"/>
              <w:ind w:firstLine="720"/>
              <w:rPr>
                <w:sz w:val="20"/>
                <w:szCs w:val="20"/>
              </w:rPr>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6534FBF" w14:textId="77777777" w:rsidR="00773D4B" w:rsidRDefault="004D0F31">
            <w:pPr>
              <w:pStyle w:val="naisc"/>
              <w:spacing w:before="0" w:after="0"/>
              <w:ind w:firstLine="720"/>
              <w:rPr>
                <w:sz w:val="20"/>
                <w:szCs w:val="20"/>
              </w:rPr>
            </w:pPr>
            <w:r>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6534FC0" w14:textId="77777777" w:rsidR="00773D4B" w:rsidRDefault="004D0F31">
            <w:pPr>
              <w:jc w:val="center"/>
              <w:rPr>
                <w:sz w:val="20"/>
                <w:szCs w:val="20"/>
              </w:rPr>
            </w:pPr>
            <w:r>
              <w:rPr>
                <w:sz w:val="20"/>
                <w:szCs w:val="20"/>
              </w:rPr>
              <w:t>5</w:t>
            </w:r>
          </w:p>
        </w:tc>
        <w:tc>
          <w:tcPr>
            <w:tcW w:w="1920" w:type="dxa"/>
            <w:tcBorders>
              <w:top w:val="single" w:sz="4" w:space="0" w:color="auto"/>
              <w:left w:val="single" w:sz="4" w:space="0" w:color="auto"/>
              <w:bottom w:val="single" w:sz="4" w:space="0" w:color="auto"/>
            </w:tcBorders>
          </w:tcPr>
          <w:p w14:paraId="76534FC1" w14:textId="77777777" w:rsidR="00773D4B" w:rsidRDefault="004D0F31">
            <w:pPr>
              <w:jc w:val="center"/>
              <w:rPr>
                <w:sz w:val="20"/>
                <w:szCs w:val="20"/>
              </w:rPr>
            </w:pPr>
            <w:r>
              <w:rPr>
                <w:sz w:val="20"/>
                <w:szCs w:val="20"/>
              </w:rPr>
              <w:t>6</w:t>
            </w:r>
          </w:p>
        </w:tc>
      </w:tr>
      <w:tr w:rsidR="00773D4B" w14:paraId="76534FC9" w14:textId="77777777">
        <w:tc>
          <w:tcPr>
            <w:tcW w:w="708" w:type="dxa"/>
            <w:tcBorders>
              <w:top w:val="single" w:sz="6" w:space="0" w:color="000000"/>
              <w:left w:val="single" w:sz="6" w:space="0" w:color="000000"/>
              <w:bottom w:val="single" w:sz="6" w:space="0" w:color="000000"/>
              <w:right w:val="single" w:sz="6" w:space="0" w:color="000000"/>
            </w:tcBorders>
          </w:tcPr>
          <w:p w14:paraId="76534FC3" w14:textId="77777777" w:rsidR="00773D4B" w:rsidRDefault="00773D4B">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76534FC4" w14:textId="77777777" w:rsidR="00773D4B" w:rsidRDefault="00773D4B">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76534FC5" w14:textId="77777777" w:rsidR="00773D4B" w:rsidRDefault="00773D4B">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76534FC6" w14:textId="77777777" w:rsidR="00773D4B" w:rsidRDefault="00773D4B">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6534FC7" w14:textId="77777777" w:rsidR="00773D4B" w:rsidRDefault="00773D4B">
            <w:pPr>
              <w:jc w:val="center"/>
              <w:rPr>
                <w:sz w:val="20"/>
                <w:szCs w:val="20"/>
              </w:rPr>
            </w:pPr>
          </w:p>
        </w:tc>
        <w:tc>
          <w:tcPr>
            <w:tcW w:w="1920" w:type="dxa"/>
            <w:tcBorders>
              <w:top w:val="single" w:sz="4" w:space="0" w:color="auto"/>
              <w:left w:val="single" w:sz="4" w:space="0" w:color="auto"/>
              <w:bottom w:val="single" w:sz="4" w:space="0" w:color="auto"/>
            </w:tcBorders>
          </w:tcPr>
          <w:p w14:paraId="76534FC8" w14:textId="77777777" w:rsidR="00773D4B" w:rsidRDefault="00773D4B">
            <w:pPr>
              <w:jc w:val="center"/>
              <w:rPr>
                <w:sz w:val="20"/>
                <w:szCs w:val="20"/>
              </w:rPr>
            </w:pPr>
          </w:p>
        </w:tc>
      </w:tr>
      <w:tr w:rsidR="00773D4B" w14:paraId="76534FD0" w14:textId="77777777">
        <w:tc>
          <w:tcPr>
            <w:tcW w:w="708" w:type="dxa"/>
            <w:tcBorders>
              <w:top w:val="single" w:sz="6" w:space="0" w:color="000000"/>
              <w:left w:val="single" w:sz="6" w:space="0" w:color="000000"/>
              <w:bottom w:val="single" w:sz="6" w:space="0" w:color="000000"/>
              <w:right w:val="single" w:sz="6" w:space="0" w:color="000000"/>
            </w:tcBorders>
          </w:tcPr>
          <w:p w14:paraId="76534FCA" w14:textId="77777777" w:rsidR="00773D4B" w:rsidRDefault="00773D4B">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76534FCB" w14:textId="77777777" w:rsidR="00773D4B" w:rsidRDefault="00773D4B">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76534FCC" w14:textId="77777777" w:rsidR="00773D4B" w:rsidRDefault="00773D4B">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76534FCD" w14:textId="77777777" w:rsidR="00773D4B" w:rsidRDefault="00773D4B">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6534FCE" w14:textId="77777777" w:rsidR="00773D4B" w:rsidRDefault="00773D4B">
            <w:pPr>
              <w:jc w:val="center"/>
              <w:rPr>
                <w:sz w:val="20"/>
                <w:szCs w:val="20"/>
              </w:rPr>
            </w:pPr>
          </w:p>
        </w:tc>
        <w:tc>
          <w:tcPr>
            <w:tcW w:w="1920" w:type="dxa"/>
            <w:tcBorders>
              <w:top w:val="single" w:sz="4" w:space="0" w:color="auto"/>
              <w:left w:val="single" w:sz="4" w:space="0" w:color="auto"/>
              <w:bottom w:val="single" w:sz="4" w:space="0" w:color="auto"/>
            </w:tcBorders>
          </w:tcPr>
          <w:p w14:paraId="76534FCF" w14:textId="77777777" w:rsidR="00773D4B" w:rsidRDefault="00773D4B">
            <w:pPr>
              <w:jc w:val="center"/>
              <w:rPr>
                <w:sz w:val="20"/>
                <w:szCs w:val="20"/>
              </w:rPr>
            </w:pPr>
          </w:p>
        </w:tc>
      </w:tr>
    </w:tbl>
    <w:p w14:paraId="76534FD1" w14:textId="77777777" w:rsidR="00773D4B" w:rsidRDefault="00773D4B">
      <w:pPr>
        <w:pStyle w:val="naisf"/>
        <w:spacing w:before="0" w:after="0"/>
        <w:ind w:firstLine="0"/>
        <w:rPr>
          <w:b/>
        </w:rPr>
      </w:pPr>
    </w:p>
    <w:p w14:paraId="76534FD2" w14:textId="77777777" w:rsidR="00773D4B" w:rsidRDefault="004D0F31">
      <w:pPr>
        <w:pStyle w:val="naisf"/>
        <w:spacing w:before="0" w:after="0"/>
        <w:ind w:firstLine="0"/>
        <w:rPr>
          <w:b/>
        </w:rPr>
      </w:pPr>
      <w:r>
        <w:rPr>
          <w:b/>
        </w:rPr>
        <w:t>Informācija par starpministriju (starpinstitūciju) sanāksmi vai elektronisko saskaņošanu</w:t>
      </w:r>
    </w:p>
    <w:p w14:paraId="76534FD3" w14:textId="77777777" w:rsidR="00773D4B" w:rsidRDefault="00773D4B">
      <w:pPr>
        <w:pStyle w:val="naisf"/>
        <w:spacing w:before="0" w:after="0"/>
        <w:ind w:firstLine="0"/>
        <w:rPr>
          <w:b/>
        </w:rPr>
      </w:pPr>
    </w:p>
    <w:tbl>
      <w:tblPr>
        <w:tblW w:w="12582" w:type="dxa"/>
        <w:tblLook w:val="04A0" w:firstRow="1" w:lastRow="0" w:firstColumn="1" w:lastColumn="0" w:noHBand="0" w:noVBand="1"/>
      </w:tblPr>
      <w:tblGrid>
        <w:gridCol w:w="6345"/>
        <w:gridCol w:w="1203"/>
        <w:gridCol w:w="5034"/>
      </w:tblGrid>
      <w:tr w:rsidR="00773D4B" w14:paraId="76534FD6" w14:textId="77777777">
        <w:tc>
          <w:tcPr>
            <w:tcW w:w="6345" w:type="dxa"/>
          </w:tcPr>
          <w:p w14:paraId="76534FD4" w14:textId="77777777" w:rsidR="00773D4B" w:rsidRDefault="004D0F31">
            <w:pPr>
              <w:pStyle w:val="naisf"/>
              <w:spacing w:before="0" w:after="0"/>
              <w:ind w:firstLine="0"/>
            </w:pPr>
            <w:r>
              <w:t>Datums</w:t>
            </w:r>
          </w:p>
        </w:tc>
        <w:tc>
          <w:tcPr>
            <w:tcW w:w="6237" w:type="dxa"/>
            <w:gridSpan w:val="2"/>
            <w:tcBorders>
              <w:bottom w:val="single" w:sz="4" w:space="0" w:color="auto"/>
            </w:tcBorders>
          </w:tcPr>
          <w:p w14:paraId="76534FD5" w14:textId="77777777" w:rsidR="00773D4B" w:rsidRDefault="004D0F31">
            <w:pPr>
              <w:pStyle w:val="NormalWeb"/>
              <w:spacing w:before="0" w:beforeAutospacing="0" w:after="0" w:afterAutospacing="0"/>
            </w:pPr>
            <w:r>
              <w:t>Elektroniskā saskaņošana norisinājās laikā no 2020.gada 10. - 11.decembrim</w:t>
            </w:r>
          </w:p>
        </w:tc>
      </w:tr>
      <w:tr w:rsidR="00773D4B" w14:paraId="76534FD9" w14:textId="77777777">
        <w:tc>
          <w:tcPr>
            <w:tcW w:w="6345" w:type="dxa"/>
          </w:tcPr>
          <w:p w14:paraId="76534FD7" w14:textId="77777777" w:rsidR="00773D4B" w:rsidRDefault="00773D4B">
            <w:pPr>
              <w:pStyle w:val="naisf"/>
              <w:spacing w:before="0" w:after="0"/>
              <w:ind w:firstLine="0"/>
            </w:pPr>
          </w:p>
        </w:tc>
        <w:tc>
          <w:tcPr>
            <w:tcW w:w="6237" w:type="dxa"/>
            <w:gridSpan w:val="2"/>
            <w:tcBorders>
              <w:top w:val="single" w:sz="4" w:space="0" w:color="auto"/>
            </w:tcBorders>
          </w:tcPr>
          <w:p w14:paraId="76534FD8" w14:textId="77777777" w:rsidR="00773D4B" w:rsidRDefault="00773D4B">
            <w:pPr>
              <w:pStyle w:val="NormalWeb"/>
              <w:spacing w:before="0" w:beforeAutospacing="0" w:after="0" w:afterAutospacing="0"/>
              <w:ind w:firstLine="720"/>
            </w:pPr>
          </w:p>
        </w:tc>
      </w:tr>
      <w:tr w:rsidR="00773D4B" w14:paraId="76534FDC" w14:textId="77777777">
        <w:tc>
          <w:tcPr>
            <w:tcW w:w="6345" w:type="dxa"/>
          </w:tcPr>
          <w:p w14:paraId="76534FDA" w14:textId="77777777" w:rsidR="00773D4B" w:rsidRDefault="004D0F31">
            <w:pPr>
              <w:pStyle w:val="naiskr"/>
              <w:spacing w:before="0" w:after="0"/>
            </w:pPr>
            <w:r>
              <w:t>Saskaņošanas dalībnieki</w:t>
            </w:r>
          </w:p>
        </w:tc>
        <w:tc>
          <w:tcPr>
            <w:tcW w:w="6237" w:type="dxa"/>
            <w:gridSpan w:val="2"/>
            <w:tcBorders>
              <w:bottom w:val="single" w:sz="4" w:space="0" w:color="auto"/>
            </w:tcBorders>
          </w:tcPr>
          <w:p w14:paraId="76534FDB" w14:textId="77777777" w:rsidR="00773D4B" w:rsidRDefault="004D0F31">
            <w:pPr>
              <w:pStyle w:val="NormalWeb"/>
              <w:spacing w:before="0" w:beforeAutospacing="0" w:after="0" w:afterAutospacing="0"/>
            </w:pPr>
            <w:r>
              <w:t>Tieslietu ministrija, Izglītības un zinātnes ministrija, Finanšu ministrija, Zemkopības ministrija</w:t>
            </w:r>
          </w:p>
        </w:tc>
      </w:tr>
      <w:tr w:rsidR="00773D4B" w14:paraId="76534FE0" w14:textId="77777777">
        <w:trPr>
          <w:trHeight w:val="285"/>
        </w:trPr>
        <w:tc>
          <w:tcPr>
            <w:tcW w:w="6345" w:type="dxa"/>
          </w:tcPr>
          <w:p w14:paraId="76534FDD" w14:textId="77777777" w:rsidR="00773D4B" w:rsidRDefault="00773D4B">
            <w:pPr>
              <w:pStyle w:val="naiskr"/>
              <w:spacing w:before="0" w:after="0"/>
            </w:pPr>
          </w:p>
        </w:tc>
        <w:tc>
          <w:tcPr>
            <w:tcW w:w="1203" w:type="dxa"/>
            <w:tcBorders>
              <w:top w:val="single" w:sz="4" w:space="0" w:color="auto"/>
            </w:tcBorders>
          </w:tcPr>
          <w:p w14:paraId="76534FDE" w14:textId="77777777" w:rsidR="00773D4B" w:rsidRDefault="00773D4B">
            <w:pPr>
              <w:pStyle w:val="naiskr"/>
              <w:spacing w:before="0" w:after="0"/>
              <w:ind w:firstLine="720"/>
            </w:pPr>
          </w:p>
        </w:tc>
        <w:tc>
          <w:tcPr>
            <w:tcW w:w="5034" w:type="dxa"/>
            <w:tcBorders>
              <w:top w:val="single" w:sz="4" w:space="0" w:color="auto"/>
            </w:tcBorders>
          </w:tcPr>
          <w:p w14:paraId="76534FDF" w14:textId="77777777" w:rsidR="00773D4B" w:rsidRDefault="00773D4B">
            <w:pPr>
              <w:pStyle w:val="naiskr"/>
              <w:spacing w:before="0" w:after="0"/>
              <w:ind w:firstLine="12"/>
            </w:pPr>
          </w:p>
        </w:tc>
      </w:tr>
    </w:tbl>
    <w:p w14:paraId="76534FE1" w14:textId="77777777" w:rsidR="00773D4B" w:rsidRDefault="00773D4B"/>
    <w:tbl>
      <w:tblPr>
        <w:tblW w:w="12582" w:type="dxa"/>
        <w:tblLook w:val="04A0" w:firstRow="1" w:lastRow="0" w:firstColumn="1" w:lastColumn="0" w:noHBand="0" w:noVBand="1"/>
      </w:tblPr>
      <w:tblGrid>
        <w:gridCol w:w="6708"/>
        <w:gridCol w:w="840"/>
        <w:gridCol w:w="5034"/>
      </w:tblGrid>
      <w:tr w:rsidR="00773D4B" w14:paraId="76534FE5" w14:textId="77777777">
        <w:trPr>
          <w:trHeight w:val="285"/>
        </w:trPr>
        <w:tc>
          <w:tcPr>
            <w:tcW w:w="6708" w:type="dxa"/>
          </w:tcPr>
          <w:p w14:paraId="76534FE2" w14:textId="77777777" w:rsidR="00773D4B" w:rsidRDefault="004D0F31">
            <w:pPr>
              <w:pStyle w:val="naiskr"/>
              <w:spacing w:before="0" w:after="0"/>
            </w:pPr>
            <w:r>
              <w:t>Saskaņošanas dalībnieki izskatīja šādu ministriju (citu institūciju) iebildumus</w:t>
            </w:r>
          </w:p>
        </w:tc>
        <w:tc>
          <w:tcPr>
            <w:tcW w:w="840" w:type="dxa"/>
          </w:tcPr>
          <w:p w14:paraId="76534FE3" w14:textId="77777777" w:rsidR="00773D4B" w:rsidRDefault="00773D4B">
            <w:pPr>
              <w:pStyle w:val="naiskr"/>
              <w:spacing w:before="0" w:after="0"/>
              <w:ind w:firstLine="720"/>
            </w:pPr>
          </w:p>
        </w:tc>
        <w:tc>
          <w:tcPr>
            <w:tcW w:w="5034" w:type="dxa"/>
            <w:tcBorders>
              <w:bottom w:val="single" w:sz="4" w:space="0" w:color="auto"/>
            </w:tcBorders>
          </w:tcPr>
          <w:p w14:paraId="76534FE4" w14:textId="77777777" w:rsidR="00773D4B" w:rsidRDefault="004D0F31">
            <w:pPr>
              <w:pStyle w:val="naiskr"/>
              <w:spacing w:before="0" w:after="0"/>
              <w:ind w:firstLine="12"/>
            </w:pPr>
            <w:r>
              <w:t>Atkārota elektroniskā  saskaņošana vai saskaņošanas sanāksme netika īstenota.</w:t>
            </w:r>
          </w:p>
        </w:tc>
      </w:tr>
      <w:tr w:rsidR="00773D4B" w14:paraId="76534FEB" w14:textId="77777777">
        <w:tc>
          <w:tcPr>
            <w:tcW w:w="6708" w:type="dxa"/>
          </w:tcPr>
          <w:p w14:paraId="76534FE6" w14:textId="77777777" w:rsidR="00773D4B" w:rsidRDefault="00773D4B">
            <w:pPr>
              <w:pStyle w:val="naiskr"/>
              <w:spacing w:before="0" w:after="0"/>
            </w:pPr>
          </w:p>
          <w:p w14:paraId="76534FE7" w14:textId="77777777" w:rsidR="00773D4B" w:rsidRDefault="004D0F31">
            <w:pPr>
              <w:pStyle w:val="naiskr"/>
              <w:spacing w:before="0" w:after="0"/>
            </w:pPr>
            <w:r>
              <w:lastRenderedPageBreak/>
              <w:t>Ministrijas (citas institūcijas), kuras nav ieradušās uz sanāksmi vai kuras nav atbildējušas uz uzaicinājumu piedalīties elektroniskajā saskaņošanā</w:t>
            </w:r>
          </w:p>
        </w:tc>
        <w:tc>
          <w:tcPr>
            <w:tcW w:w="5874" w:type="dxa"/>
            <w:gridSpan w:val="2"/>
          </w:tcPr>
          <w:p w14:paraId="76534FE8" w14:textId="77777777" w:rsidR="00773D4B" w:rsidRDefault="004D0F31">
            <w:pPr>
              <w:pBdr>
                <w:bottom w:val="single" w:sz="4" w:space="1" w:color="auto"/>
              </w:pBdr>
            </w:pPr>
            <w:r>
              <w:lastRenderedPageBreak/>
              <w:tab/>
            </w:r>
          </w:p>
          <w:p w14:paraId="76534FE9" w14:textId="77777777" w:rsidR="00773D4B" w:rsidRDefault="00773D4B">
            <w:pPr>
              <w:pBdr>
                <w:bottom w:val="single" w:sz="4" w:space="1" w:color="auto"/>
              </w:pBdr>
            </w:pPr>
          </w:p>
          <w:p w14:paraId="76534FEA" w14:textId="77777777" w:rsidR="00773D4B" w:rsidRDefault="004D0F31">
            <w:pPr>
              <w:pBdr>
                <w:bottom w:val="single" w:sz="4" w:space="1" w:color="auto"/>
              </w:pBdr>
            </w:pPr>
            <w:r>
              <w:t>Atkārota elektroniskā  saskaņošana vai saskaņošanas sanāksme netika īstenota.</w:t>
            </w:r>
          </w:p>
        </w:tc>
      </w:tr>
    </w:tbl>
    <w:p w14:paraId="76534FEC" w14:textId="77777777" w:rsidR="00773D4B" w:rsidRDefault="004D0F31">
      <w:pPr>
        <w:pStyle w:val="naisf"/>
        <w:spacing w:before="0" w:after="0"/>
        <w:ind w:firstLine="0"/>
        <w:jc w:val="center"/>
        <w:rPr>
          <w:b/>
        </w:rPr>
      </w:pPr>
      <w:r>
        <w:rPr>
          <w:b/>
        </w:rPr>
        <w:lastRenderedPageBreak/>
        <w:t>II. Jautājumi, par kuriem saskaņošanā vienošanās ir panākta</w:t>
      </w:r>
    </w:p>
    <w:p w14:paraId="76534FED" w14:textId="77777777" w:rsidR="00773D4B" w:rsidRDefault="00773D4B">
      <w:pPr>
        <w:pStyle w:val="naisf"/>
        <w:spacing w:before="0" w:after="0"/>
        <w:ind w:firstLine="720"/>
        <w:jc w:val="center"/>
      </w:pPr>
    </w:p>
    <w:tbl>
      <w:tblPr>
        <w:tblW w:w="149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2400"/>
        <w:gridCol w:w="686"/>
        <w:gridCol w:w="4394"/>
        <w:gridCol w:w="1099"/>
        <w:gridCol w:w="2896"/>
        <w:gridCol w:w="2809"/>
      </w:tblGrid>
      <w:tr w:rsidR="00773D4B" w14:paraId="76534FF3"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6534FEE" w14:textId="77777777" w:rsidR="00773D4B" w:rsidRDefault="004D0F31">
            <w:pPr>
              <w:pStyle w:val="naisc"/>
              <w:spacing w:before="0" w:after="0"/>
            </w:pPr>
            <w: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76534FEF" w14:textId="77777777" w:rsidR="00773D4B" w:rsidRDefault="004D0F31">
            <w:pPr>
              <w:pStyle w:val="naisc"/>
              <w:spacing w:before="0" w:after="0"/>
              <w:ind w:firstLine="12"/>
            </w:pPr>
            <w: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6534FF0" w14:textId="77777777" w:rsidR="00773D4B" w:rsidRDefault="004D0F31">
            <w:pPr>
              <w:pStyle w:val="naisc"/>
              <w:spacing w:before="0" w:after="0"/>
              <w:ind w:right="3"/>
            </w:pPr>
            <w:r>
              <w:t>Atzinumā norādītais ministrijas (citas institūcijas) iebildums, kā arī saskaņošanā papildus izteiktais iebildums par projekta konkrēto punktu (pantu)</w:t>
            </w:r>
          </w:p>
        </w:tc>
        <w:tc>
          <w:tcPr>
            <w:tcW w:w="3995" w:type="dxa"/>
            <w:gridSpan w:val="2"/>
            <w:tcBorders>
              <w:top w:val="single" w:sz="6" w:space="0" w:color="000000"/>
              <w:left w:val="single" w:sz="6" w:space="0" w:color="000000"/>
              <w:bottom w:val="single" w:sz="6" w:space="0" w:color="000000"/>
              <w:right w:val="single" w:sz="6" w:space="0" w:color="000000"/>
            </w:tcBorders>
            <w:vAlign w:val="center"/>
          </w:tcPr>
          <w:p w14:paraId="76534FF1" w14:textId="77777777" w:rsidR="00773D4B" w:rsidRDefault="004D0F31">
            <w:pPr>
              <w:pStyle w:val="naisc"/>
              <w:spacing w:before="0" w:after="0"/>
              <w:ind w:firstLine="21"/>
            </w:pPr>
            <w:r>
              <w:t>Atbildīgās ministrijas norāde par to, ka iebildums ir ņemts vērā, vai informācija par saskaņošanā panākto alternatīvo risinājumu</w:t>
            </w:r>
          </w:p>
        </w:tc>
        <w:tc>
          <w:tcPr>
            <w:tcW w:w="2809" w:type="dxa"/>
            <w:tcBorders>
              <w:top w:val="single" w:sz="4" w:space="0" w:color="auto"/>
              <w:left w:val="single" w:sz="4" w:space="0" w:color="auto"/>
              <w:bottom w:val="single" w:sz="4" w:space="0" w:color="auto"/>
            </w:tcBorders>
            <w:vAlign w:val="center"/>
          </w:tcPr>
          <w:p w14:paraId="76534FF2" w14:textId="77777777" w:rsidR="00773D4B" w:rsidRDefault="004D0F31">
            <w:pPr>
              <w:jc w:val="center"/>
            </w:pPr>
            <w:r>
              <w:t>Projekta attiecīgā punkta (panta) galīgā redakcija</w:t>
            </w:r>
          </w:p>
        </w:tc>
      </w:tr>
      <w:tr w:rsidR="00773D4B" w14:paraId="76534FF9" w14:textId="77777777">
        <w:tc>
          <w:tcPr>
            <w:tcW w:w="708" w:type="dxa"/>
            <w:tcBorders>
              <w:top w:val="single" w:sz="6" w:space="0" w:color="000000"/>
              <w:left w:val="single" w:sz="6" w:space="0" w:color="000000"/>
              <w:bottom w:val="single" w:sz="6" w:space="0" w:color="000000"/>
              <w:right w:val="single" w:sz="6" w:space="0" w:color="000000"/>
            </w:tcBorders>
          </w:tcPr>
          <w:p w14:paraId="76534FF4" w14:textId="77777777" w:rsidR="00773D4B" w:rsidRDefault="004D0F31">
            <w:pPr>
              <w:pStyle w:val="naisc"/>
              <w:spacing w:before="0" w:after="0"/>
              <w:rPr>
                <w:sz w:val="20"/>
                <w:szCs w:val="20"/>
              </w:rPr>
            </w:pPr>
            <w:r>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6534FF5" w14:textId="77777777" w:rsidR="00773D4B" w:rsidRDefault="004D0F31">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534FF6" w14:textId="77777777" w:rsidR="00773D4B" w:rsidRDefault="004D0F31">
            <w:pPr>
              <w:pStyle w:val="naisc"/>
              <w:spacing w:before="0" w:after="0"/>
              <w:ind w:firstLine="720"/>
              <w:rPr>
                <w:sz w:val="20"/>
                <w:szCs w:val="20"/>
              </w:rPr>
            </w:pPr>
            <w:r>
              <w:rPr>
                <w:sz w:val="20"/>
                <w:szCs w:val="20"/>
              </w:rPr>
              <w:t>3</w:t>
            </w:r>
          </w:p>
        </w:tc>
        <w:tc>
          <w:tcPr>
            <w:tcW w:w="3995" w:type="dxa"/>
            <w:gridSpan w:val="2"/>
            <w:tcBorders>
              <w:top w:val="single" w:sz="6" w:space="0" w:color="000000"/>
              <w:left w:val="single" w:sz="6" w:space="0" w:color="000000"/>
              <w:bottom w:val="single" w:sz="6" w:space="0" w:color="000000"/>
              <w:right w:val="single" w:sz="6" w:space="0" w:color="000000"/>
            </w:tcBorders>
          </w:tcPr>
          <w:p w14:paraId="76534FF7" w14:textId="77777777" w:rsidR="00773D4B" w:rsidRDefault="004D0F31">
            <w:pPr>
              <w:pStyle w:val="naisc"/>
              <w:spacing w:before="0" w:after="0"/>
              <w:ind w:firstLine="720"/>
              <w:rPr>
                <w:sz w:val="20"/>
                <w:szCs w:val="20"/>
              </w:rPr>
            </w:pPr>
            <w:r>
              <w:rPr>
                <w:sz w:val="20"/>
                <w:szCs w:val="20"/>
              </w:rPr>
              <w:t>4</w:t>
            </w:r>
          </w:p>
        </w:tc>
        <w:tc>
          <w:tcPr>
            <w:tcW w:w="2809" w:type="dxa"/>
            <w:tcBorders>
              <w:top w:val="single" w:sz="4" w:space="0" w:color="auto"/>
              <w:left w:val="single" w:sz="4" w:space="0" w:color="auto"/>
              <w:bottom w:val="single" w:sz="4" w:space="0" w:color="auto"/>
            </w:tcBorders>
          </w:tcPr>
          <w:p w14:paraId="76534FF8" w14:textId="77777777" w:rsidR="00773D4B" w:rsidRDefault="004D0F31">
            <w:pPr>
              <w:jc w:val="center"/>
              <w:rPr>
                <w:sz w:val="20"/>
                <w:szCs w:val="20"/>
              </w:rPr>
            </w:pPr>
            <w:r>
              <w:rPr>
                <w:sz w:val="20"/>
                <w:szCs w:val="20"/>
              </w:rPr>
              <w:t>5</w:t>
            </w:r>
          </w:p>
        </w:tc>
      </w:tr>
      <w:tr w:rsidR="00773D4B" w14:paraId="76534FFC" w14:textId="77777777">
        <w:tc>
          <w:tcPr>
            <w:tcW w:w="14992" w:type="dxa"/>
            <w:gridSpan w:val="7"/>
            <w:tcBorders>
              <w:left w:val="single" w:sz="6" w:space="0" w:color="000000"/>
              <w:bottom w:val="single" w:sz="4" w:space="0" w:color="auto"/>
            </w:tcBorders>
          </w:tcPr>
          <w:p w14:paraId="76534FFA" w14:textId="77777777" w:rsidR="00773D4B" w:rsidRDefault="004D0F31">
            <w:pPr>
              <w:jc w:val="center"/>
              <w:rPr>
                <w:b/>
              </w:rPr>
            </w:pPr>
            <w:r>
              <w:rPr>
                <w:b/>
              </w:rPr>
              <w:t>Tieslietu ministrija</w:t>
            </w:r>
          </w:p>
          <w:p w14:paraId="76534FFB" w14:textId="77777777" w:rsidR="00773D4B" w:rsidRDefault="00773D4B">
            <w:pPr>
              <w:jc w:val="center"/>
              <w:rPr>
                <w:b/>
              </w:rPr>
            </w:pPr>
          </w:p>
        </w:tc>
      </w:tr>
      <w:tr w:rsidR="00773D4B" w14:paraId="76535009" w14:textId="77777777">
        <w:tc>
          <w:tcPr>
            <w:tcW w:w="708" w:type="dxa"/>
            <w:tcBorders>
              <w:left w:val="single" w:sz="6" w:space="0" w:color="000000"/>
              <w:bottom w:val="single" w:sz="4" w:space="0" w:color="auto"/>
              <w:right w:val="single" w:sz="6" w:space="0" w:color="000000"/>
            </w:tcBorders>
          </w:tcPr>
          <w:p w14:paraId="76534FFD" w14:textId="77777777" w:rsidR="00773D4B" w:rsidRDefault="00773D4B">
            <w:pPr>
              <w:pStyle w:val="naisc"/>
              <w:numPr>
                <w:ilvl w:val="0"/>
                <w:numId w:val="1"/>
              </w:numPr>
              <w:spacing w:before="0" w:after="0"/>
            </w:pPr>
          </w:p>
          <w:p w14:paraId="76534FFE" w14:textId="77777777" w:rsidR="00773D4B" w:rsidRDefault="00773D4B">
            <w:pPr>
              <w:numPr>
                <w:ilvl w:val="0"/>
                <w:numId w:val="2"/>
              </w:numPr>
            </w:pPr>
          </w:p>
        </w:tc>
        <w:tc>
          <w:tcPr>
            <w:tcW w:w="3086" w:type="dxa"/>
            <w:gridSpan w:val="2"/>
            <w:tcBorders>
              <w:left w:val="single" w:sz="6" w:space="0" w:color="000000"/>
              <w:bottom w:val="single" w:sz="4" w:space="0" w:color="auto"/>
              <w:right w:val="single" w:sz="6" w:space="0" w:color="000000"/>
            </w:tcBorders>
          </w:tcPr>
          <w:p w14:paraId="76534FFF" w14:textId="77777777" w:rsidR="00773D4B" w:rsidRDefault="004D0F31">
            <w:pPr>
              <w:pStyle w:val="naisc"/>
              <w:spacing w:before="0" w:after="0"/>
              <w:jc w:val="left"/>
            </w:pPr>
            <w:r>
              <w:t>Noteikumu projekta anotācija.</w:t>
            </w:r>
          </w:p>
        </w:tc>
        <w:tc>
          <w:tcPr>
            <w:tcW w:w="4394" w:type="dxa"/>
            <w:tcBorders>
              <w:left w:val="single" w:sz="6" w:space="0" w:color="000000"/>
              <w:bottom w:val="single" w:sz="4" w:space="0" w:color="auto"/>
              <w:right w:val="single" w:sz="6" w:space="0" w:color="000000"/>
            </w:tcBorders>
          </w:tcPr>
          <w:p w14:paraId="76535000" w14:textId="77777777" w:rsidR="00773D4B" w:rsidRDefault="004D0F31">
            <w:pPr>
              <w:pStyle w:val="naisc"/>
              <w:spacing w:before="0" w:after="0"/>
              <w:rPr>
                <w:b/>
              </w:rPr>
            </w:pPr>
            <w:r>
              <w:rPr>
                <w:b/>
              </w:rPr>
              <w:t xml:space="preserve">2020.gada 11.decembra atzinums Nr. </w:t>
            </w:r>
            <w:r>
              <w:t>01-08/6382</w:t>
            </w:r>
          </w:p>
          <w:p w14:paraId="76535001" w14:textId="77777777" w:rsidR="00773D4B" w:rsidRDefault="004D0F31">
            <w:pPr>
              <w:pStyle w:val="NoSpacing"/>
              <w:ind w:firstLine="720"/>
              <w:jc w:val="both"/>
            </w:pPr>
            <w:r>
              <w:t xml:space="preserve">Vēršam uzmanību uz to, ka Ministru kabineta 2020. gada 25. augusta noteikumi Nr. 541 "Grozījums Ministru kabineta 2012. gada 13. marta noteikumos Nr. 172 "Noteikumi par uztura normām izglītības iestāžu izglītojamiem, sociālās aprūpes un sociālās rehabilitācijas institūciju klientiem un ārstniecības iestāžu pacientiem"" (turpmāk – noteikumi Nr. 541) </w:t>
            </w:r>
            <w:r>
              <w:rPr>
                <w:u w:val="single"/>
              </w:rPr>
              <w:t>paredzēja izdarīt vienu grozījumu</w:t>
            </w:r>
            <w:r>
              <w:t xml:space="preserve"> Ministru kabineta 2012. gada 13. marta noteikumos Nr. 172 "Noteikumi par uztura normām izglītības iestāžu izglītojamiem, sociālās aprūpes un sociālās rehabilitācijas institūciju klientiem un ārstniecības iestāžu pacientiem" (turpmāk – noteikumi Nr. 172). Proti, noteikumi Nr. 542 paredzēja papildināt noteikumus Nr. 172 ar jaunu </w:t>
            </w:r>
            <w:r>
              <w:rPr>
                <w:shd w:val="clear" w:color="auto" w:fill="FFFFFF"/>
              </w:rPr>
              <w:t>5.</w:t>
            </w:r>
            <w:r>
              <w:rPr>
                <w:shd w:val="clear" w:color="auto" w:fill="FFFFFF"/>
                <w:vertAlign w:val="superscript"/>
              </w:rPr>
              <w:t>2</w:t>
            </w:r>
            <w:r>
              <w:rPr>
                <w:shd w:val="clear" w:color="auto" w:fill="FFFFFF"/>
              </w:rPr>
              <w:t xml:space="preserve"> punktu, kas noteica, ka </w:t>
            </w:r>
            <w:r>
              <w:rPr>
                <w:u w:val="single"/>
                <w:shd w:val="clear" w:color="auto" w:fill="FFFFFF"/>
              </w:rPr>
              <w:t xml:space="preserve">vispārējās pamatizglītības, </w:t>
            </w:r>
            <w:r>
              <w:rPr>
                <w:u w:val="single"/>
                <w:shd w:val="clear" w:color="auto" w:fill="FFFFFF"/>
              </w:rPr>
              <w:lastRenderedPageBreak/>
              <w:t>vispārējās vidējās izglītības un profesionālās izglītības iestādes līdz 2020. gada 31. decembrim pusdienu ēdienkartē var iekļaut tikai pamatēdienu, nodrošinot šo noteikumu 2. pielikuma 1. un 2. punktā norādītās enerģētiskās vērtības un uzturvielu normas, kā arī šā pielikuma 3. punktā pusdienām paredzēto enerģētiskās vērtības un uzturvielu daudzumu</w:t>
            </w:r>
            <w:r>
              <w:rPr>
                <w:shd w:val="clear" w:color="auto" w:fill="FFFFFF"/>
              </w:rPr>
              <w:t>.</w:t>
            </w:r>
          </w:p>
          <w:p w14:paraId="76535002" w14:textId="77777777" w:rsidR="00773D4B" w:rsidRDefault="004D0F31">
            <w:pPr>
              <w:pStyle w:val="NoSpacing"/>
              <w:ind w:firstLine="720"/>
              <w:jc w:val="both"/>
            </w:pPr>
            <w:r>
              <w:t xml:space="preserve">Ievērojot minēto, nav saprotams, kādēļ projekta sākotnējās </w:t>
            </w:r>
            <w:r>
              <w:rPr>
                <w:i/>
              </w:rPr>
              <w:t>(ex-ante)</w:t>
            </w:r>
            <w:r>
              <w:t xml:space="preserve"> ietekmes novērtējuma ziņojuma (turpmāk – anotācija) I sadaļas 2. punktā ir norādīts, ka papildus iepriekš minētajam grozījumam noteikumi Nr. 541 paredzēja arī to, ka, </w:t>
            </w:r>
            <w:r>
              <w:rPr>
                <w:u w:val="single"/>
              </w:rPr>
              <w:t>ja izglītības iestādē, organizējot ēdināšanu, ir iespējams nodrošināt epidemioloģiskās drošības pasākumus, izglītojamajiem ir jānodrošina komplekso pusdienu piedāvājums un saskaņā ar noteikumu Nr. 172 2. pielikuma 16.1. apakšpunktu pusdienu ēdienkartē ir jāiekļauj pamatēdiens un zupa, pamatēdiens un deserts vai zupa un deserts</w:t>
            </w:r>
            <w:r>
              <w:t>.</w:t>
            </w:r>
          </w:p>
          <w:p w14:paraId="76535003" w14:textId="77777777" w:rsidR="00773D4B" w:rsidRDefault="004D0F31">
            <w:pPr>
              <w:pStyle w:val="naisc"/>
              <w:spacing w:before="0" w:after="0"/>
              <w:jc w:val="both"/>
            </w:pPr>
            <w:r>
              <w:t>Ievērojot minēto, lūdzam izvērtēt anotācijas I sadaļas 2. punktā ietvertās informācijas atbilstību noteikumos Nr. 541 paredzētajam grozījumam un attiecīgi precizēt to.</w:t>
            </w:r>
          </w:p>
        </w:tc>
        <w:tc>
          <w:tcPr>
            <w:tcW w:w="3995" w:type="dxa"/>
            <w:gridSpan w:val="2"/>
            <w:tcBorders>
              <w:left w:val="single" w:sz="6" w:space="0" w:color="000000"/>
              <w:bottom w:val="single" w:sz="4" w:space="0" w:color="auto"/>
              <w:right w:val="single" w:sz="6" w:space="0" w:color="000000"/>
            </w:tcBorders>
          </w:tcPr>
          <w:p w14:paraId="76535004" w14:textId="77777777" w:rsidR="00773D4B" w:rsidRDefault="004D0F31">
            <w:pPr>
              <w:pStyle w:val="naisc"/>
              <w:spacing w:before="0" w:after="0"/>
              <w:ind w:firstLine="720"/>
              <w:rPr>
                <w:b/>
              </w:rPr>
            </w:pPr>
            <w:r>
              <w:rPr>
                <w:b/>
              </w:rPr>
              <w:lastRenderedPageBreak/>
              <w:t>Ņemts vērā</w:t>
            </w:r>
          </w:p>
          <w:p w14:paraId="76535005" w14:textId="77777777" w:rsidR="00773D4B" w:rsidRDefault="00773D4B">
            <w:pPr>
              <w:pStyle w:val="naisc"/>
              <w:spacing w:before="0" w:after="0"/>
              <w:ind w:firstLine="720"/>
            </w:pPr>
          </w:p>
          <w:p w14:paraId="76535006" w14:textId="77777777" w:rsidR="00773D4B" w:rsidRDefault="004D0F31">
            <w:pPr>
              <w:jc w:val="both"/>
              <w:rPr>
                <w:iCs/>
              </w:rPr>
            </w:pPr>
            <w:r>
              <w:t>No noteikumu projekta anotācijas I sadaļas 2.punkta svītrots teksts: “</w:t>
            </w:r>
            <w:r>
              <w:rPr>
                <w:iCs/>
                <w:lang w:val="en-US"/>
              </w:rPr>
              <w:t>Vienlaikus 2020.gada 25.augusta grozījumi MK noteikumos Nr.172 paredz, ka, ja izglītības iestādē, organizējot ēdināšanu, ir iespējams nodrošināt epidemioloģiskās drošības pasākumus,</w:t>
            </w:r>
            <w:r>
              <w:rPr>
                <w:iCs/>
              </w:rPr>
              <w:t xml:space="preserve"> </w:t>
            </w:r>
            <w:r>
              <w:rPr>
                <w:iCs/>
                <w:lang w:val="en-US"/>
              </w:rPr>
              <w:t xml:space="preserve">izglītojamajiem </w:t>
            </w:r>
            <w:r>
              <w:rPr>
                <w:iCs/>
              </w:rPr>
              <w:t xml:space="preserve">ir jānodrošina komplekso pusdienu piedāvājums  un saskaņā ar 2.pielikuma 16.1.punktu </w:t>
            </w:r>
            <w:r>
              <w:rPr>
                <w:i/>
              </w:rPr>
              <w:t>pusdienu ēdienkartē ir jāiekļauj pamatēdiens un zupa vai pamatēdiens un deserts, vai zupa un deserts</w:t>
            </w:r>
            <w:r>
              <w:rPr>
                <w:iCs/>
              </w:rPr>
              <w:t xml:space="preserve">. Tādējādi </w:t>
            </w:r>
            <w:r>
              <w:rPr>
                <w:iCs/>
                <w:lang w:val="en-US"/>
              </w:rPr>
              <w:t xml:space="preserve">nodrošinot, ka </w:t>
            </w:r>
            <w:r>
              <w:rPr>
                <w:iCs/>
              </w:rPr>
              <w:t>kompleksajās pusdienās izglītojamie saņem divus ēdienus.</w:t>
            </w:r>
            <w:r>
              <w:t xml:space="preserve">” </w:t>
            </w:r>
          </w:p>
          <w:p w14:paraId="76535007" w14:textId="77777777" w:rsidR="00773D4B" w:rsidRDefault="00773D4B">
            <w:pPr>
              <w:pStyle w:val="naisc"/>
              <w:spacing w:before="0" w:after="0"/>
              <w:jc w:val="left"/>
            </w:pPr>
          </w:p>
        </w:tc>
        <w:tc>
          <w:tcPr>
            <w:tcW w:w="2809" w:type="dxa"/>
            <w:tcBorders>
              <w:top w:val="single" w:sz="4" w:space="0" w:color="auto"/>
              <w:left w:val="single" w:sz="4" w:space="0" w:color="auto"/>
              <w:bottom w:val="single" w:sz="4" w:space="0" w:color="auto"/>
            </w:tcBorders>
          </w:tcPr>
          <w:p w14:paraId="76535008" w14:textId="77777777" w:rsidR="00773D4B" w:rsidRDefault="004D0F31">
            <w:pPr>
              <w:jc w:val="both"/>
            </w:pPr>
            <w:r>
              <w:t>Svītrots atbilstošais teksts no projekta anotācijas I sadaļas 2.punkts.</w:t>
            </w:r>
          </w:p>
        </w:tc>
      </w:tr>
      <w:tr w:rsidR="00773D4B" w14:paraId="76535014" w14:textId="77777777">
        <w:tc>
          <w:tcPr>
            <w:tcW w:w="708" w:type="dxa"/>
            <w:tcBorders>
              <w:left w:val="single" w:sz="6" w:space="0" w:color="000000"/>
              <w:bottom w:val="single" w:sz="4" w:space="0" w:color="auto"/>
              <w:right w:val="single" w:sz="6" w:space="0" w:color="000000"/>
            </w:tcBorders>
          </w:tcPr>
          <w:p w14:paraId="7653500A" w14:textId="77777777" w:rsidR="00773D4B" w:rsidRDefault="00773D4B">
            <w:pPr>
              <w:pStyle w:val="naisc"/>
              <w:spacing w:before="0" w:after="0"/>
              <w:ind w:left="720"/>
              <w:jc w:val="both"/>
            </w:pPr>
          </w:p>
          <w:p w14:paraId="7653500B" w14:textId="77777777" w:rsidR="00773D4B" w:rsidRDefault="004D0F31">
            <w:pPr>
              <w:jc w:val="both"/>
            </w:pPr>
            <w:r>
              <w:t>2.</w:t>
            </w:r>
          </w:p>
        </w:tc>
        <w:tc>
          <w:tcPr>
            <w:tcW w:w="3086" w:type="dxa"/>
            <w:gridSpan w:val="2"/>
            <w:tcBorders>
              <w:left w:val="single" w:sz="6" w:space="0" w:color="000000"/>
              <w:bottom w:val="single" w:sz="4" w:space="0" w:color="auto"/>
              <w:right w:val="single" w:sz="6" w:space="0" w:color="000000"/>
            </w:tcBorders>
          </w:tcPr>
          <w:p w14:paraId="7653500C" w14:textId="77777777" w:rsidR="00773D4B" w:rsidRDefault="004D0F31">
            <w:pPr>
              <w:pStyle w:val="naisc"/>
              <w:spacing w:before="0" w:after="0"/>
              <w:ind w:firstLine="720"/>
              <w:jc w:val="both"/>
            </w:pPr>
            <w:r>
              <w:t>Noteikumu projekta anotācija.</w:t>
            </w:r>
          </w:p>
        </w:tc>
        <w:tc>
          <w:tcPr>
            <w:tcW w:w="4394" w:type="dxa"/>
            <w:tcBorders>
              <w:left w:val="single" w:sz="6" w:space="0" w:color="000000"/>
              <w:bottom w:val="single" w:sz="4" w:space="0" w:color="auto"/>
              <w:right w:val="single" w:sz="6" w:space="0" w:color="000000"/>
            </w:tcBorders>
          </w:tcPr>
          <w:p w14:paraId="7653500D" w14:textId="77777777" w:rsidR="00773D4B" w:rsidRDefault="004D0F31">
            <w:pPr>
              <w:pStyle w:val="NormalWeb"/>
              <w:spacing w:before="0" w:after="0"/>
              <w:ind w:right="13" w:firstLine="720"/>
              <w:jc w:val="both"/>
            </w:pPr>
            <w:r>
              <w:t xml:space="preserve">Anotācijas I sadaļas 2. punktā ir norādīts, ka, ņemot vērā Ministru kabineta 2020. gada 6. novembra rīkojumā Nr. 655 "Par ārkārtējās situācijas pasludināšanu" </w:t>
            </w:r>
            <w:r>
              <w:lastRenderedPageBreak/>
              <w:t xml:space="preserve">noteikto par ārkārtējās situācijas pagarināšanu </w:t>
            </w:r>
            <w:r>
              <w:rPr>
                <w:u w:val="single"/>
              </w:rPr>
              <w:t>līdz 2021. gada 11. janvārim</w:t>
            </w:r>
            <w:r>
              <w:t xml:space="preserve"> un Covid-19 izplatības neparedzamo gaitu, nepieciešams pagarināt noteikumos Nr. 541 paredzēta grozījuma darbības laiku </w:t>
            </w:r>
            <w:r>
              <w:rPr>
                <w:u w:val="single"/>
              </w:rPr>
              <w:t>līdz 2021. gada 30. jūnijam</w:t>
            </w:r>
            <w:r>
              <w:t>. Ievērojot, ka no iepriekš minētās informācijas nav skaidrs, kādēļ projekts paredz attiecīgā termiņa pagarināšanu līdz 2020. gada 30. jūnijam, lūdzam papildināt anotācijas I sadaļas 2. punktā ietverto informāciju ar atbilstošu skaidrojumu.</w:t>
            </w:r>
          </w:p>
          <w:p w14:paraId="7653500E" w14:textId="77777777" w:rsidR="00773D4B" w:rsidRDefault="00773D4B">
            <w:pPr>
              <w:pStyle w:val="naisc"/>
              <w:spacing w:before="0" w:after="0"/>
              <w:jc w:val="both"/>
            </w:pPr>
          </w:p>
        </w:tc>
        <w:tc>
          <w:tcPr>
            <w:tcW w:w="3995" w:type="dxa"/>
            <w:gridSpan w:val="2"/>
            <w:tcBorders>
              <w:left w:val="single" w:sz="6" w:space="0" w:color="000000"/>
              <w:bottom w:val="single" w:sz="4" w:space="0" w:color="auto"/>
              <w:right w:val="single" w:sz="6" w:space="0" w:color="000000"/>
            </w:tcBorders>
          </w:tcPr>
          <w:p w14:paraId="7653500F" w14:textId="77777777" w:rsidR="00773D4B" w:rsidRDefault="004D0F31">
            <w:pPr>
              <w:pStyle w:val="naisc"/>
              <w:spacing w:before="0" w:after="0"/>
              <w:ind w:firstLine="720"/>
              <w:rPr>
                <w:b/>
              </w:rPr>
            </w:pPr>
            <w:r>
              <w:rPr>
                <w:b/>
              </w:rPr>
              <w:lastRenderedPageBreak/>
              <w:t>Ņemts vērā</w:t>
            </w:r>
          </w:p>
          <w:p w14:paraId="76535010" w14:textId="77777777" w:rsidR="00773D4B" w:rsidRDefault="00773D4B">
            <w:pPr>
              <w:pStyle w:val="naisc"/>
              <w:spacing w:before="0" w:after="0"/>
              <w:ind w:firstLine="720"/>
              <w:rPr>
                <w:b/>
              </w:rPr>
            </w:pPr>
          </w:p>
          <w:p w14:paraId="76535011" w14:textId="10F1A723" w:rsidR="00773D4B" w:rsidRDefault="004D0F31">
            <w:pPr>
              <w:jc w:val="both"/>
            </w:pPr>
            <w:r>
              <w:t xml:space="preserve">Papildināts noteikumu projekta anotācijas I sadaļas 2.punkts ar tekstu </w:t>
            </w:r>
            <w:r>
              <w:lastRenderedPageBreak/>
              <w:t>“</w:t>
            </w:r>
            <w:r>
              <w:rPr>
                <w:iCs/>
                <w:lang w:val="en-US"/>
              </w:rPr>
              <w:t xml:space="preserve">Lai gan MK rīkojumā Nr.655 noteikta ārkārtējās situācijas pagarināšana līdz 2021.gada 11.janvārim, </w:t>
            </w:r>
            <w:r w:rsidR="00C53C17">
              <w:rPr>
                <w:iCs/>
                <w:lang w:val="en-US"/>
              </w:rPr>
              <w:t>iespējama ir ārkārtējās situācijas pagarināšana uz ilgāku laika periodu</w:t>
            </w:r>
            <w:r w:rsidR="00C53C17">
              <w:rPr>
                <w:iCs/>
                <w:lang w:val="en-US"/>
              </w:rPr>
              <w:t xml:space="preserve">, kā arī </w:t>
            </w:r>
            <w:r>
              <w:rPr>
                <w:iCs/>
                <w:lang w:val="en-US"/>
              </w:rPr>
              <w:t xml:space="preserve">pēc </w:t>
            </w:r>
            <w:r>
              <w:rPr>
                <w:iCs/>
              </w:rPr>
              <w:t>ārkārtējās situācijas beigām</w:t>
            </w:r>
            <w:r w:rsidR="00C53C17">
              <w:rPr>
                <w:iCs/>
              </w:rPr>
              <w:t xml:space="preserve"> </w:t>
            </w:r>
            <w:r>
              <w:rPr>
                <w:iCs/>
                <w:lang w:val="en-US"/>
              </w:rPr>
              <w:t>būs nepieciešams turpināt ievērot epidemioloģiskās drošības prasības</w:t>
            </w:r>
            <w:r w:rsidR="00C53C17">
              <w:rPr>
                <w:iCs/>
                <w:lang w:val="en-US"/>
              </w:rPr>
              <w:t xml:space="preserve"> attiecībā uz distancēšanos.</w:t>
            </w:r>
            <w:bookmarkStart w:id="1" w:name="_GoBack"/>
            <w:bookmarkEnd w:id="1"/>
            <w:r>
              <w:rPr>
                <w:iCs/>
                <w:lang w:val="en-US"/>
              </w:rPr>
              <w:t xml:space="preserve"> Līdz ar to </w:t>
            </w:r>
            <w:r>
              <w:rPr>
                <w:iCs/>
              </w:rPr>
              <w:t xml:space="preserve">noteikumu </w:t>
            </w:r>
            <w:r>
              <w:rPr>
                <w:iCs/>
                <w:lang w:val="en-US"/>
              </w:rPr>
              <w:t>pārejas periods būtu pagarināms vismaz līdz 2021.gada 30.jūnijam.</w:t>
            </w:r>
            <w:r>
              <w:t xml:space="preserve">” </w:t>
            </w:r>
          </w:p>
          <w:p w14:paraId="76535012" w14:textId="77777777" w:rsidR="00773D4B" w:rsidRDefault="00773D4B">
            <w:pPr>
              <w:jc w:val="both"/>
            </w:pPr>
          </w:p>
        </w:tc>
        <w:tc>
          <w:tcPr>
            <w:tcW w:w="2809" w:type="dxa"/>
            <w:tcBorders>
              <w:top w:val="single" w:sz="4" w:space="0" w:color="auto"/>
              <w:left w:val="single" w:sz="4" w:space="0" w:color="auto"/>
              <w:bottom w:val="single" w:sz="4" w:space="0" w:color="auto"/>
            </w:tcBorders>
          </w:tcPr>
          <w:p w14:paraId="76535013" w14:textId="77777777" w:rsidR="00773D4B" w:rsidRDefault="004D0F31">
            <w:pPr>
              <w:jc w:val="both"/>
            </w:pPr>
            <w:r>
              <w:lastRenderedPageBreak/>
              <w:t xml:space="preserve">Papildināts noteikumu projekta anotācijas I sadaļas 2.punkts. </w:t>
            </w:r>
          </w:p>
        </w:tc>
      </w:tr>
      <w:tr w:rsidR="00773D4B" w14:paraId="76535019"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6535015" w14:textId="77777777" w:rsidR="00773D4B" w:rsidRDefault="00773D4B">
            <w:pPr>
              <w:pStyle w:val="naiskr"/>
              <w:spacing w:before="0" w:after="0"/>
            </w:pPr>
          </w:p>
          <w:p w14:paraId="76535016" w14:textId="77777777" w:rsidR="00773D4B" w:rsidRDefault="00773D4B">
            <w:pPr>
              <w:pStyle w:val="naiskr"/>
              <w:spacing w:before="0" w:after="0"/>
            </w:pPr>
          </w:p>
          <w:p w14:paraId="76535017" w14:textId="77777777" w:rsidR="00773D4B" w:rsidRDefault="004D0F31">
            <w:pPr>
              <w:pStyle w:val="naiskr"/>
              <w:spacing w:before="0" w:after="0"/>
            </w:pPr>
            <w:r>
              <w:t>Atbildīgā amatpersona</w:t>
            </w:r>
          </w:p>
        </w:tc>
        <w:tc>
          <w:tcPr>
            <w:tcW w:w="6179" w:type="dxa"/>
            <w:gridSpan w:val="3"/>
          </w:tcPr>
          <w:p w14:paraId="76535018" w14:textId="77777777" w:rsidR="00773D4B" w:rsidRDefault="004D0F31">
            <w:pPr>
              <w:pStyle w:val="naiskr"/>
              <w:spacing w:before="0" w:after="0"/>
              <w:ind w:firstLine="720"/>
            </w:pPr>
            <w:r>
              <w:t>  </w:t>
            </w:r>
          </w:p>
        </w:tc>
      </w:tr>
      <w:tr w:rsidR="00773D4B" w14:paraId="7653501C"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653501A" w14:textId="77777777" w:rsidR="00773D4B" w:rsidRDefault="00773D4B">
            <w:pPr>
              <w:pStyle w:val="naiskr"/>
              <w:spacing w:before="0" w:after="0"/>
            </w:pPr>
          </w:p>
        </w:tc>
        <w:tc>
          <w:tcPr>
            <w:tcW w:w="6179" w:type="dxa"/>
            <w:gridSpan w:val="3"/>
            <w:tcBorders>
              <w:top w:val="single" w:sz="6" w:space="0" w:color="000000"/>
            </w:tcBorders>
          </w:tcPr>
          <w:p w14:paraId="7653501B" w14:textId="77777777" w:rsidR="00773D4B" w:rsidRDefault="004D0F31">
            <w:pPr>
              <w:pStyle w:val="naisc"/>
              <w:spacing w:before="0" w:after="0"/>
              <w:ind w:firstLine="720"/>
            </w:pPr>
            <w:r>
              <w:t>(paraksts*)</w:t>
            </w:r>
          </w:p>
        </w:tc>
      </w:tr>
    </w:tbl>
    <w:tbl>
      <w:tblPr>
        <w:tblpPr w:leftFromText="180" w:rightFromText="180" w:vertAnchor="text" w:horzAnchor="page" w:tblpX="2386" w:tblpY="702"/>
        <w:tblW w:w="0" w:type="auto"/>
        <w:tblLook w:val="04A0" w:firstRow="1" w:lastRow="0" w:firstColumn="1" w:lastColumn="0" w:noHBand="0" w:noVBand="1"/>
      </w:tblPr>
      <w:tblGrid>
        <w:gridCol w:w="8268"/>
      </w:tblGrid>
      <w:tr w:rsidR="00773D4B" w14:paraId="7653501E" w14:textId="77777777">
        <w:tc>
          <w:tcPr>
            <w:tcW w:w="8268" w:type="dxa"/>
            <w:tcBorders>
              <w:top w:val="single" w:sz="4" w:space="0" w:color="000000"/>
            </w:tcBorders>
          </w:tcPr>
          <w:p w14:paraId="7653501D" w14:textId="77777777" w:rsidR="00773D4B" w:rsidRDefault="004D0F31">
            <w:pPr>
              <w:jc w:val="center"/>
            </w:pPr>
            <w:r>
              <w:t>(par projektu atbildīgās amatpersonas vārds un uzvārds)</w:t>
            </w:r>
          </w:p>
        </w:tc>
      </w:tr>
      <w:tr w:rsidR="00773D4B" w14:paraId="76535020" w14:textId="77777777">
        <w:tc>
          <w:tcPr>
            <w:tcW w:w="8268" w:type="dxa"/>
            <w:tcBorders>
              <w:bottom w:val="single" w:sz="4" w:space="0" w:color="000000"/>
            </w:tcBorders>
          </w:tcPr>
          <w:p w14:paraId="7653501F" w14:textId="77777777" w:rsidR="00773D4B" w:rsidRDefault="004D0F31">
            <w:r>
              <w:t xml:space="preserve">Vecākā eksperte </w:t>
            </w:r>
          </w:p>
        </w:tc>
      </w:tr>
      <w:tr w:rsidR="00773D4B" w14:paraId="76535022" w14:textId="77777777">
        <w:tc>
          <w:tcPr>
            <w:tcW w:w="8268" w:type="dxa"/>
            <w:tcBorders>
              <w:top w:val="single" w:sz="4" w:space="0" w:color="000000"/>
            </w:tcBorders>
          </w:tcPr>
          <w:p w14:paraId="76535021" w14:textId="77777777" w:rsidR="00773D4B" w:rsidRDefault="004D0F31">
            <w:pPr>
              <w:jc w:val="center"/>
            </w:pPr>
            <w:r>
              <w:t>(amats)</w:t>
            </w:r>
          </w:p>
        </w:tc>
      </w:tr>
      <w:tr w:rsidR="00773D4B" w14:paraId="76535024" w14:textId="77777777">
        <w:tc>
          <w:tcPr>
            <w:tcW w:w="8268" w:type="dxa"/>
            <w:tcBorders>
              <w:bottom w:val="single" w:sz="4" w:space="0" w:color="000000"/>
            </w:tcBorders>
          </w:tcPr>
          <w:p w14:paraId="76535023" w14:textId="77777777" w:rsidR="00773D4B" w:rsidRDefault="004D0F31">
            <w:r>
              <w:rPr>
                <w:color w:val="000000"/>
                <w:shd w:val="clear" w:color="auto" w:fill="FFFFFF"/>
              </w:rPr>
              <w:t> +371 60005095</w:t>
            </w:r>
          </w:p>
        </w:tc>
      </w:tr>
      <w:tr w:rsidR="00773D4B" w14:paraId="76535026" w14:textId="77777777">
        <w:tc>
          <w:tcPr>
            <w:tcW w:w="8268" w:type="dxa"/>
            <w:tcBorders>
              <w:top w:val="single" w:sz="4" w:space="0" w:color="000000"/>
            </w:tcBorders>
          </w:tcPr>
          <w:p w14:paraId="76535025" w14:textId="77777777" w:rsidR="00773D4B" w:rsidRDefault="004D0F31">
            <w:pPr>
              <w:jc w:val="center"/>
            </w:pPr>
            <w:r>
              <w:t>(tālruņa un faksa numurs)</w:t>
            </w:r>
          </w:p>
        </w:tc>
      </w:tr>
      <w:tr w:rsidR="00773D4B" w14:paraId="76535028" w14:textId="77777777">
        <w:tc>
          <w:tcPr>
            <w:tcW w:w="8268" w:type="dxa"/>
            <w:tcBorders>
              <w:bottom w:val="single" w:sz="4" w:space="0" w:color="000000"/>
            </w:tcBorders>
          </w:tcPr>
          <w:p w14:paraId="76535027" w14:textId="77777777" w:rsidR="00773D4B" w:rsidRDefault="004D0F31">
            <w:r>
              <w:t>Ieva.apine@vm.gov.lv</w:t>
            </w:r>
          </w:p>
        </w:tc>
      </w:tr>
      <w:tr w:rsidR="00773D4B" w14:paraId="7653502A" w14:textId="77777777">
        <w:tc>
          <w:tcPr>
            <w:tcW w:w="8268" w:type="dxa"/>
            <w:tcBorders>
              <w:top w:val="single" w:sz="4" w:space="0" w:color="000000"/>
            </w:tcBorders>
          </w:tcPr>
          <w:p w14:paraId="76535029" w14:textId="77777777" w:rsidR="00773D4B" w:rsidRDefault="004D0F31">
            <w:pPr>
              <w:jc w:val="center"/>
            </w:pPr>
            <w:r>
              <w:t>(e-pasta adrese)</w:t>
            </w:r>
          </w:p>
        </w:tc>
      </w:tr>
    </w:tbl>
    <w:p w14:paraId="7653502B" w14:textId="77777777" w:rsidR="00773D4B" w:rsidRDefault="00773D4B">
      <w:pPr>
        <w:pStyle w:val="naisf"/>
        <w:spacing w:before="0" w:after="0"/>
        <w:ind w:firstLine="0"/>
      </w:pPr>
    </w:p>
    <w:p w14:paraId="7653502C" w14:textId="77777777" w:rsidR="00773D4B" w:rsidRDefault="004D0F31">
      <w:pPr>
        <w:pStyle w:val="naisf"/>
        <w:spacing w:before="0" w:after="0"/>
        <w:ind w:firstLine="720"/>
      </w:pPr>
      <w:r>
        <w:t>Ieva Apine</w:t>
      </w:r>
    </w:p>
    <w:p w14:paraId="7653502D" w14:textId="77777777" w:rsidR="00773D4B" w:rsidRDefault="00773D4B">
      <w:pPr>
        <w:pStyle w:val="naisf"/>
        <w:spacing w:before="0" w:after="0"/>
        <w:ind w:firstLine="720"/>
      </w:pPr>
    </w:p>
    <w:p w14:paraId="7653502E" w14:textId="77777777" w:rsidR="00773D4B" w:rsidRDefault="00773D4B">
      <w:pPr>
        <w:pStyle w:val="naisf"/>
        <w:spacing w:before="0" w:after="0"/>
        <w:ind w:firstLine="720"/>
      </w:pPr>
    </w:p>
    <w:p w14:paraId="7653502F" w14:textId="77777777" w:rsidR="00773D4B" w:rsidRDefault="00773D4B">
      <w:pPr>
        <w:pStyle w:val="naisf"/>
        <w:spacing w:before="0" w:after="0"/>
        <w:ind w:firstLine="720"/>
      </w:pPr>
    </w:p>
    <w:p w14:paraId="76535030" w14:textId="77777777" w:rsidR="00773D4B" w:rsidRDefault="00773D4B">
      <w:pPr>
        <w:pStyle w:val="naisf"/>
        <w:spacing w:before="0" w:after="0"/>
        <w:ind w:firstLine="720"/>
      </w:pPr>
    </w:p>
    <w:p w14:paraId="76535031" w14:textId="77777777" w:rsidR="00773D4B" w:rsidRDefault="00773D4B">
      <w:pPr>
        <w:pStyle w:val="naisf"/>
        <w:spacing w:before="0" w:after="0"/>
        <w:ind w:firstLine="720"/>
      </w:pPr>
    </w:p>
    <w:p w14:paraId="76535032" w14:textId="77777777" w:rsidR="00773D4B" w:rsidRDefault="00773D4B">
      <w:pPr>
        <w:pStyle w:val="naisf"/>
        <w:spacing w:before="0" w:after="0"/>
        <w:ind w:firstLine="0"/>
      </w:pPr>
    </w:p>
    <w:p w14:paraId="76535033" w14:textId="77777777" w:rsidR="00773D4B" w:rsidRDefault="00773D4B">
      <w:pPr>
        <w:pStyle w:val="naisf"/>
        <w:spacing w:before="0" w:after="0"/>
        <w:ind w:firstLine="720"/>
      </w:pPr>
    </w:p>
    <w:p w14:paraId="76535034" w14:textId="77777777" w:rsidR="00773D4B" w:rsidRDefault="00773D4B">
      <w:pPr>
        <w:pStyle w:val="naisf"/>
        <w:spacing w:before="0" w:after="0"/>
        <w:ind w:firstLine="720"/>
      </w:pPr>
    </w:p>
    <w:p w14:paraId="76535035" w14:textId="77777777" w:rsidR="00773D4B" w:rsidRDefault="00773D4B">
      <w:pPr>
        <w:pStyle w:val="naisf"/>
        <w:spacing w:before="0" w:after="0"/>
        <w:ind w:firstLine="720"/>
      </w:pPr>
    </w:p>
    <w:p w14:paraId="76535036" w14:textId="77777777" w:rsidR="00773D4B" w:rsidRDefault="004D0F31">
      <w:pPr>
        <w:pStyle w:val="naisf"/>
        <w:spacing w:before="0" w:after="0"/>
        <w:ind w:firstLine="720"/>
      </w:pPr>
      <w:r>
        <w:t>Piezīme. * Dokumenta rekvizītu "paraksts" neaizpilda, ja elektroniskais dokuments ir sagatavots atbilstoši normatīvajiem aktiem par elektronisko dokumentu noformēšanu.</w:t>
      </w:r>
    </w:p>
    <w:sectPr w:rsidR="00773D4B">
      <w:headerReference w:type="even" r:id="rId9"/>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5043" w14:textId="77777777" w:rsidR="0049450E" w:rsidRDefault="004D0F31">
      <w:r>
        <w:separator/>
      </w:r>
    </w:p>
  </w:endnote>
  <w:endnote w:type="continuationSeparator" w:id="0">
    <w:p w14:paraId="76535045" w14:textId="77777777" w:rsidR="0049450E" w:rsidRDefault="004D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503B" w14:textId="77777777" w:rsidR="00773D4B" w:rsidRDefault="004D0F31">
    <w:pPr>
      <w:pStyle w:val="Footer"/>
      <w:rPr>
        <w:sz w:val="20"/>
        <w:szCs w:val="20"/>
      </w:rPr>
    </w:pPr>
    <w:r>
      <w:rPr>
        <w:sz w:val="20"/>
        <w:szCs w:val="20"/>
      </w:rPr>
      <w:t>VMizz_111220_grozMK172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503C" w14:textId="77777777" w:rsidR="00773D4B" w:rsidRDefault="00773D4B">
    <w:pPr>
      <w:tabs>
        <w:tab w:val="center" w:pos="4153"/>
        <w:tab w:val="right" w:pos="8306"/>
      </w:tabs>
      <w:rPr>
        <w:sz w:val="20"/>
        <w:szCs w:val="20"/>
      </w:rPr>
    </w:pPr>
  </w:p>
  <w:p w14:paraId="7653503D" w14:textId="77777777" w:rsidR="00773D4B" w:rsidRDefault="004D0F31">
    <w:pPr>
      <w:tabs>
        <w:tab w:val="center" w:pos="4153"/>
        <w:tab w:val="right" w:pos="8306"/>
      </w:tabs>
      <w:rPr>
        <w:sz w:val="20"/>
        <w:szCs w:val="20"/>
      </w:rPr>
    </w:pPr>
    <w:r>
      <w:rPr>
        <w:sz w:val="20"/>
        <w:szCs w:val="20"/>
      </w:rPr>
      <w:t>VMizz_111220_grozMK172</w:t>
    </w:r>
  </w:p>
  <w:p w14:paraId="7653503E" w14:textId="77777777" w:rsidR="00773D4B" w:rsidRDefault="0077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503F" w14:textId="77777777" w:rsidR="0049450E" w:rsidRDefault="004D0F31">
      <w:r>
        <w:separator/>
      </w:r>
    </w:p>
  </w:footnote>
  <w:footnote w:type="continuationSeparator" w:id="0">
    <w:p w14:paraId="76535041" w14:textId="77777777" w:rsidR="0049450E" w:rsidRDefault="004D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5037" w14:textId="77777777" w:rsidR="00773D4B" w:rsidRDefault="004D0F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35038" w14:textId="77777777" w:rsidR="00773D4B" w:rsidRDefault="0077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5039" w14:textId="77777777" w:rsidR="00773D4B" w:rsidRDefault="004D0F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653503A" w14:textId="77777777" w:rsidR="00773D4B" w:rsidRDefault="0077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86C"/>
    <w:multiLevelType w:val="multilevel"/>
    <w:tmpl w:val="123248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100FB8"/>
    <w:multiLevelType w:val="multilevel"/>
    <w:tmpl w:val="34100F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671"/>
    <w:rsid w:val="000172E2"/>
    <w:rsid w:val="00017449"/>
    <w:rsid w:val="00020249"/>
    <w:rsid w:val="00020DF7"/>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B9A"/>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858"/>
    <w:rsid w:val="00084B11"/>
    <w:rsid w:val="00085322"/>
    <w:rsid w:val="0008656F"/>
    <w:rsid w:val="00086AB9"/>
    <w:rsid w:val="00086BCE"/>
    <w:rsid w:val="00086F36"/>
    <w:rsid w:val="00090168"/>
    <w:rsid w:val="00090C76"/>
    <w:rsid w:val="00091033"/>
    <w:rsid w:val="00091F10"/>
    <w:rsid w:val="0009302B"/>
    <w:rsid w:val="00093EC2"/>
    <w:rsid w:val="000948AC"/>
    <w:rsid w:val="000958A2"/>
    <w:rsid w:val="000965E7"/>
    <w:rsid w:val="000A0041"/>
    <w:rsid w:val="000A06FC"/>
    <w:rsid w:val="000A1451"/>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7678"/>
    <w:rsid w:val="0013053A"/>
    <w:rsid w:val="0013066A"/>
    <w:rsid w:val="001315EF"/>
    <w:rsid w:val="00131F39"/>
    <w:rsid w:val="00132375"/>
    <w:rsid w:val="00132E73"/>
    <w:rsid w:val="00133505"/>
    <w:rsid w:val="00134188"/>
    <w:rsid w:val="00135173"/>
    <w:rsid w:val="00137403"/>
    <w:rsid w:val="00140706"/>
    <w:rsid w:val="0014122A"/>
    <w:rsid w:val="00141E85"/>
    <w:rsid w:val="00142E89"/>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E95"/>
    <w:rsid w:val="00173713"/>
    <w:rsid w:val="00174841"/>
    <w:rsid w:val="001761FD"/>
    <w:rsid w:val="00177D61"/>
    <w:rsid w:val="00180125"/>
    <w:rsid w:val="001808CA"/>
    <w:rsid w:val="00180923"/>
    <w:rsid w:val="00180CE5"/>
    <w:rsid w:val="00180DC8"/>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3DB1"/>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98B"/>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29B"/>
    <w:rsid w:val="00362610"/>
    <w:rsid w:val="00363830"/>
    <w:rsid w:val="00363D2D"/>
    <w:rsid w:val="00364BB6"/>
    <w:rsid w:val="00364D6B"/>
    <w:rsid w:val="00365408"/>
    <w:rsid w:val="00365CC0"/>
    <w:rsid w:val="003668DF"/>
    <w:rsid w:val="00367688"/>
    <w:rsid w:val="00372221"/>
    <w:rsid w:val="00372CF2"/>
    <w:rsid w:val="00374C7E"/>
    <w:rsid w:val="0037604A"/>
    <w:rsid w:val="00377135"/>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224"/>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6E2D"/>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0C6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A40"/>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EBE"/>
    <w:rsid w:val="00490FD6"/>
    <w:rsid w:val="004911C4"/>
    <w:rsid w:val="00491993"/>
    <w:rsid w:val="0049450E"/>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0F31"/>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63C"/>
    <w:rsid w:val="004F0C51"/>
    <w:rsid w:val="004F263C"/>
    <w:rsid w:val="004F2BB1"/>
    <w:rsid w:val="004F2EC7"/>
    <w:rsid w:val="004F3CE8"/>
    <w:rsid w:val="004F6BFB"/>
    <w:rsid w:val="004F7E4A"/>
    <w:rsid w:val="0050147C"/>
    <w:rsid w:val="0050182B"/>
    <w:rsid w:val="00502579"/>
    <w:rsid w:val="0050275A"/>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0C44"/>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716"/>
    <w:rsid w:val="005E2C60"/>
    <w:rsid w:val="005E31F6"/>
    <w:rsid w:val="005E3622"/>
    <w:rsid w:val="005E60B3"/>
    <w:rsid w:val="005E676C"/>
    <w:rsid w:val="005E6CB9"/>
    <w:rsid w:val="005E7F14"/>
    <w:rsid w:val="005F0154"/>
    <w:rsid w:val="005F0176"/>
    <w:rsid w:val="005F021D"/>
    <w:rsid w:val="005F1EAC"/>
    <w:rsid w:val="005F308F"/>
    <w:rsid w:val="005F33F1"/>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06BD"/>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8C9"/>
    <w:rsid w:val="006B1D7B"/>
    <w:rsid w:val="006B27D4"/>
    <w:rsid w:val="006B2C9C"/>
    <w:rsid w:val="006B48EB"/>
    <w:rsid w:val="006B4C00"/>
    <w:rsid w:val="006B4C37"/>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6BF0"/>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15A"/>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DF5"/>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D33"/>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3D4B"/>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D5"/>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1E65"/>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06C"/>
    <w:rsid w:val="008D45CD"/>
    <w:rsid w:val="008D55F1"/>
    <w:rsid w:val="008D5CD7"/>
    <w:rsid w:val="008D718E"/>
    <w:rsid w:val="008E09C5"/>
    <w:rsid w:val="008E0AA7"/>
    <w:rsid w:val="008E2355"/>
    <w:rsid w:val="008E3151"/>
    <w:rsid w:val="008E3386"/>
    <w:rsid w:val="008E428A"/>
    <w:rsid w:val="008E5410"/>
    <w:rsid w:val="008E5A3F"/>
    <w:rsid w:val="008E7142"/>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F16"/>
    <w:rsid w:val="00902DEC"/>
    <w:rsid w:val="0090342E"/>
    <w:rsid w:val="00903D3A"/>
    <w:rsid w:val="009044B9"/>
    <w:rsid w:val="009047B1"/>
    <w:rsid w:val="00904C86"/>
    <w:rsid w:val="0090680D"/>
    <w:rsid w:val="0091045D"/>
    <w:rsid w:val="0091281A"/>
    <w:rsid w:val="00912B24"/>
    <w:rsid w:val="009139B5"/>
    <w:rsid w:val="00914514"/>
    <w:rsid w:val="00914549"/>
    <w:rsid w:val="00914A9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65FB"/>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1F33"/>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079E"/>
    <w:rsid w:val="00A211C8"/>
    <w:rsid w:val="00A2121E"/>
    <w:rsid w:val="00A219C4"/>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134"/>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4EA7"/>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35EE"/>
    <w:rsid w:val="00B54DA7"/>
    <w:rsid w:val="00B600C6"/>
    <w:rsid w:val="00B60167"/>
    <w:rsid w:val="00B60FC0"/>
    <w:rsid w:val="00B61665"/>
    <w:rsid w:val="00B63528"/>
    <w:rsid w:val="00B63DAF"/>
    <w:rsid w:val="00B63E98"/>
    <w:rsid w:val="00B65754"/>
    <w:rsid w:val="00B661AA"/>
    <w:rsid w:val="00B66242"/>
    <w:rsid w:val="00B670D3"/>
    <w:rsid w:val="00B67958"/>
    <w:rsid w:val="00B7014E"/>
    <w:rsid w:val="00B701D1"/>
    <w:rsid w:val="00B716BB"/>
    <w:rsid w:val="00B716FD"/>
    <w:rsid w:val="00B734C2"/>
    <w:rsid w:val="00B73BDA"/>
    <w:rsid w:val="00B74053"/>
    <w:rsid w:val="00B765A0"/>
    <w:rsid w:val="00B76C02"/>
    <w:rsid w:val="00B77A46"/>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764"/>
    <w:rsid w:val="00BC1F79"/>
    <w:rsid w:val="00BC2201"/>
    <w:rsid w:val="00BC3C7A"/>
    <w:rsid w:val="00BC4B84"/>
    <w:rsid w:val="00BC7DC6"/>
    <w:rsid w:val="00BD1039"/>
    <w:rsid w:val="00BD13B5"/>
    <w:rsid w:val="00BD2BE9"/>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5E9"/>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D3"/>
    <w:rsid w:val="00C52EF3"/>
    <w:rsid w:val="00C533D4"/>
    <w:rsid w:val="00C53A4C"/>
    <w:rsid w:val="00C53C17"/>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2B8"/>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293"/>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395"/>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0957"/>
    <w:rsid w:val="00D1158C"/>
    <w:rsid w:val="00D11600"/>
    <w:rsid w:val="00D119A2"/>
    <w:rsid w:val="00D12E31"/>
    <w:rsid w:val="00D137F9"/>
    <w:rsid w:val="00D1458C"/>
    <w:rsid w:val="00D154A9"/>
    <w:rsid w:val="00D1620E"/>
    <w:rsid w:val="00D16867"/>
    <w:rsid w:val="00D16EEC"/>
    <w:rsid w:val="00D175EC"/>
    <w:rsid w:val="00D2047A"/>
    <w:rsid w:val="00D20631"/>
    <w:rsid w:val="00D207FC"/>
    <w:rsid w:val="00D2260B"/>
    <w:rsid w:val="00D22D49"/>
    <w:rsid w:val="00D23930"/>
    <w:rsid w:val="00D23A23"/>
    <w:rsid w:val="00D24D8A"/>
    <w:rsid w:val="00D24DA4"/>
    <w:rsid w:val="00D25235"/>
    <w:rsid w:val="00D25383"/>
    <w:rsid w:val="00D25670"/>
    <w:rsid w:val="00D301FF"/>
    <w:rsid w:val="00D3021B"/>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2A"/>
    <w:rsid w:val="00DE0E5D"/>
    <w:rsid w:val="00DE447F"/>
    <w:rsid w:val="00DE48F0"/>
    <w:rsid w:val="00DE4A77"/>
    <w:rsid w:val="00DE4C24"/>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0464"/>
    <w:rsid w:val="00E12FCF"/>
    <w:rsid w:val="00E13273"/>
    <w:rsid w:val="00E13379"/>
    <w:rsid w:val="00E139EE"/>
    <w:rsid w:val="00E14D83"/>
    <w:rsid w:val="00E14FA6"/>
    <w:rsid w:val="00E15A0D"/>
    <w:rsid w:val="00E16640"/>
    <w:rsid w:val="00E1740F"/>
    <w:rsid w:val="00E17FCE"/>
    <w:rsid w:val="00E200CF"/>
    <w:rsid w:val="00E24287"/>
    <w:rsid w:val="00E2551B"/>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F5F"/>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4A1"/>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284C52CA"/>
    <w:rsid w:val="7C8504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34FAE"/>
  <w15:docId w15:val="{DBA48C2E-22D3-40D8-B060-5495B16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qFormat="1"/>
    <w:lsdException w:name="FollowedHyperlink" w:semiHidden="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qFormat/>
    <w:pPr>
      <w:widowControl w:val="0"/>
      <w:suppressAutoHyphens/>
      <w:spacing w:after="120"/>
    </w:pPr>
    <w:rPr>
      <w:rFonts w:eastAsia="Arial"/>
      <w:kern w:val="1"/>
      <w:lang w:val="en"/>
    </w:rPr>
  </w:style>
  <w:style w:type="paragraph" w:styleId="BodyTextIndent3">
    <w:name w:val="Body Text Indent 3"/>
    <w:basedOn w:val="Normal"/>
    <w:link w:val="BodyTextIndent3Char"/>
    <w:uiPriority w:val="99"/>
    <w:qFormat/>
    <w:pPr>
      <w:ind w:firstLine="709"/>
      <w:jc w:val="both"/>
    </w:pPr>
    <w:rPr>
      <w:sz w:val="28"/>
      <w:szCs w:val="28"/>
      <w:lang w:eastAsia="en-U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unhideWhenUsed/>
    <w:qFormat/>
    <w:rPr>
      <w:rFonts w:asciiTheme="minorHAnsi" w:eastAsiaTheme="minorHAnsi" w:hAnsiTheme="minorHAnsi" w:cstheme="minorBidi"/>
      <w:sz w:val="20"/>
      <w:szCs w:val="20"/>
      <w:lang w:eastAsia="en-U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style>
  <w:style w:type="character" w:styleId="CommentReference">
    <w:name w:val="annotation reference"/>
    <w:uiPriority w:val="99"/>
    <w:semiHidden/>
    <w:unhideWhenUsed/>
    <w:rPr>
      <w:sz w:val="16"/>
      <w:szCs w:val="16"/>
    </w:rPr>
  </w:style>
  <w:style w:type="character" w:styleId="Emphasis">
    <w:name w:val="Emphasis"/>
    <w:uiPriority w:val="99"/>
    <w:qFormat/>
    <w:rPr>
      <w:rFonts w:cs="Times New Roman"/>
      <w:i/>
      <w:iCs/>
    </w:rPr>
  </w:style>
  <w:style w:type="character" w:styleId="FollowedHyperlink">
    <w:name w:val="FollowedHyperlink"/>
    <w:uiPriority w:val="99"/>
    <w:semiHidden/>
    <w:qFormat/>
    <w:rPr>
      <w:rFonts w:cs="Times New Roman"/>
      <w:color w:val="800080"/>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uiPriority w:val="99"/>
    <w:semiHidden/>
    <w:qFormat/>
    <w:rPr>
      <w:rFonts w:cs="Times New Roman"/>
      <w:color w:val="0000FF"/>
      <w:u w:val="single"/>
    </w:rPr>
  </w:style>
  <w:style w:type="character" w:styleId="PageNumber">
    <w:name w:val="page number"/>
    <w:uiPriority w:val="99"/>
    <w:rPr>
      <w:rFonts w:cs="Times New Roman"/>
    </w:rPr>
  </w:style>
  <w:style w:type="character" w:styleId="Strong">
    <w:name w:val="Strong"/>
    <w:uiPriority w:val="99"/>
    <w:qFormat/>
    <w:rPr>
      <w:rFonts w:cs="Times New Roman"/>
      <w:b/>
      <w:bCs/>
    </w:rPr>
  </w:style>
  <w:style w:type="table" w:styleId="TableGrid">
    <w:name w:val="Table Grid"/>
    <w:basedOn w:val="TableNormal"/>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qFormat/>
    <w:locked/>
    <w:rPr>
      <w:rFonts w:ascii="Cambria" w:hAnsi="Cambria" w:cs="Times New Roman"/>
      <w:b/>
      <w:bCs/>
      <w:color w:val="365F91"/>
      <w:sz w:val="28"/>
      <w:szCs w:val="28"/>
    </w:rPr>
  </w:style>
  <w:style w:type="paragraph" w:customStyle="1" w:styleId="h1">
    <w:name w:val="h1"/>
    <w:basedOn w:val="Normal"/>
    <w:uiPriority w:val="99"/>
    <w:qFormat/>
    <w:pPr>
      <w:spacing w:after="150"/>
    </w:pPr>
    <w:rPr>
      <w:color w:val="306060"/>
      <w:sz w:val="31"/>
      <w:szCs w:val="31"/>
    </w:rPr>
  </w:style>
  <w:style w:type="paragraph" w:customStyle="1" w:styleId="h2">
    <w:name w:val="h2"/>
    <w:basedOn w:val="Normal"/>
    <w:uiPriority w:val="99"/>
    <w:qFormat/>
    <w:pPr>
      <w:spacing w:before="100" w:beforeAutospacing="1" w:after="100" w:afterAutospacing="1"/>
    </w:pPr>
    <w:rPr>
      <w:color w:val="306060"/>
    </w:rPr>
  </w:style>
  <w:style w:type="paragraph" w:customStyle="1" w:styleId="a">
    <w:name w:val="a"/>
    <w:basedOn w:val="Normal"/>
    <w:uiPriority w:val="99"/>
    <w:pPr>
      <w:spacing w:before="100" w:beforeAutospacing="1" w:after="100" w:afterAutospacing="1"/>
    </w:pPr>
    <w:rPr>
      <w:color w:val="306060"/>
    </w:rPr>
  </w:style>
  <w:style w:type="paragraph" w:customStyle="1" w:styleId="b">
    <w:name w:val="b"/>
    <w:basedOn w:val="Normal"/>
    <w:uiPriority w:val="99"/>
    <w:qFormat/>
    <w:pPr>
      <w:spacing w:before="100" w:beforeAutospacing="1" w:after="100" w:afterAutospacing="1"/>
    </w:pPr>
    <w:rPr>
      <w:color w:val="306060"/>
    </w:rPr>
  </w:style>
  <w:style w:type="paragraph" w:customStyle="1" w:styleId="body">
    <w:name w:val="body"/>
    <w:basedOn w:val="Normal"/>
    <w:uiPriority w:val="99"/>
    <w:qFormat/>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pPr>
      <w:spacing w:before="100" w:beforeAutospacing="1" w:after="100" w:afterAutospacing="1"/>
    </w:pPr>
    <w:rPr>
      <w:color w:val="F0F8F8"/>
    </w:rPr>
  </w:style>
  <w:style w:type="paragraph" w:customStyle="1" w:styleId="radio">
    <w:name w:val="radio"/>
    <w:basedOn w:val="Normal"/>
    <w:uiPriority w:val="99"/>
    <w:qFormat/>
    <w:pPr>
      <w:spacing w:before="100" w:beforeAutospacing="1" w:after="100" w:afterAutospacing="1"/>
    </w:pPr>
  </w:style>
  <w:style w:type="paragraph" w:customStyle="1" w:styleId="headcol">
    <w:name w:val="headcol"/>
    <w:basedOn w:val="Normal"/>
    <w:uiPriority w:val="99"/>
    <w:qFormat/>
    <w:pPr>
      <w:spacing w:before="100" w:beforeAutospacing="1" w:after="100" w:afterAutospacing="1"/>
    </w:pPr>
    <w:rPr>
      <w:color w:val="F0F8F8"/>
    </w:rPr>
  </w:style>
  <w:style w:type="paragraph" w:customStyle="1" w:styleId="titlecol">
    <w:name w:val="titlecol"/>
    <w:basedOn w:val="Normal"/>
    <w:uiPriority w:val="99"/>
    <w:pPr>
      <w:spacing w:before="100" w:beforeAutospacing="1" w:after="100" w:afterAutospacing="1"/>
      <w:jc w:val="right"/>
    </w:pPr>
    <w:rPr>
      <w:b/>
      <w:bCs/>
    </w:rPr>
  </w:style>
  <w:style w:type="paragraph" w:customStyle="1" w:styleId="th">
    <w:name w:val="th"/>
    <w:basedOn w:val="Normal"/>
    <w:uiPriority w:val="99"/>
    <w:qFormat/>
    <w:pPr>
      <w:spacing w:before="100" w:beforeAutospacing="1" w:after="100" w:afterAutospacing="1"/>
    </w:pPr>
    <w:rPr>
      <w:b/>
      <w:bCs/>
      <w:color w:val="333333"/>
    </w:rPr>
  </w:style>
  <w:style w:type="paragraph" w:customStyle="1" w:styleId="thr">
    <w:name w:val="thr"/>
    <w:basedOn w:val="Normal"/>
    <w:uiPriority w:val="99"/>
    <w:qFormat/>
    <w:pPr>
      <w:spacing w:before="100" w:beforeAutospacing="1" w:after="100" w:afterAutospacing="1"/>
      <w:jc w:val="right"/>
    </w:pPr>
  </w:style>
  <w:style w:type="paragraph" w:customStyle="1" w:styleId="bdc">
    <w:name w:val="bdc"/>
    <w:basedOn w:val="Normal"/>
    <w:uiPriority w:val="99"/>
    <w:qFormat/>
    <w:pPr>
      <w:spacing w:before="100" w:beforeAutospacing="1" w:after="100" w:afterAutospacing="1"/>
    </w:pPr>
    <w:rPr>
      <w:b/>
      <w:bCs/>
    </w:rPr>
  </w:style>
  <w:style w:type="paragraph" w:customStyle="1" w:styleId="input">
    <w:name w:val="input"/>
    <w:basedOn w:val="Normal"/>
    <w:uiPriority w:val="99"/>
    <w:qFormat/>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qFormat/>
    <w:pPr>
      <w:shd w:val="clear" w:color="auto" w:fill="F0F8F8"/>
      <w:spacing w:before="100" w:beforeAutospacing="1" w:after="100" w:afterAutospacing="1"/>
    </w:pPr>
    <w:rPr>
      <w:color w:val="333333"/>
    </w:rPr>
  </w:style>
  <w:style w:type="paragraph" w:customStyle="1" w:styleId="top1">
    <w:name w:val="top1"/>
    <w:basedOn w:val="Normal"/>
    <w:uiPriority w:val="99"/>
    <w:qFormat/>
    <w:pPr>
      <w:spacing w:before="100" w:beforeAutospacing="1" w:after="100" w:afterAutospacing="1"/>
    </w:pPr>
  </w:style>
  <w:style w:type="paragraph" w:customStyle="1" w:styleId="logo">
    <w:name w:val="logo"/>
    <w:basedOn w:val="Normal"/>
    <w:uiPriority w:val="99"/>
    <w:qFormat/>
    <w:pPr>
      <w:spacing w:before="100" w:beforeAutospacing="1" w:after="100" w:afterAutospacing="1"/>
    </w:pPr>
  </w:style>
  <w:style w:type="paragraph" w:customStyle="1" w:styleId="top2">
    <w:name w:val="top2"/>
    <w:basedOn w:val="Normal"/>
    <w:uiPriority w:val="99"/>
    <w:pPr>
      <w:spacing w:before="100" w:beforeAutospacing="1" w:after="100" w:afterAutospacing="1"/>
    </w:pPr>
  </w:style>
  <w:style w:type="paragraph" w:customStyle="1" w:styleId="hline">
    <w:name w:val="hline"/>
    <w:basedOn w:val="Normal"/>
    <w:uiPriority w:val="99"/>
    <w:pPr>
      <w:spacing w:before="100" w:beforeAutospacing="1" w:after="100" w:afterAutospacing="1"/>
    </w:pPr>
  </w:style>
  <w:style w:type="paragraph" w:customStyle="1" w:styleId="vline">
    <w:name w:val="vline"/>
    <w:basedOn w:val="Normal"/>
    <w:uiPriority w:val="99"/>
    <w:qFormat/>
    <w:pPr>
      <w:spacing w:before="100" w:beforeAutospacing="1" w:after="100" w:afterAutospacing="1"/>
    </w:pPr>
  </w:style>
  <w:style w:type="paragraph" w:customStyle="1" w:styleId="zvabri">
    <w:name w:val="zvabri"/>
    <w:basedOn w:val="Normal"/>
    <w:uiPriority w:val="99"/>
    <w:qFormat/>
    <w:pPr>
      <w:spacing w:before="100" w:beforeAutospacing="1" w:after="100" w:afterAutospacing="1"/>
    </w:pPr>
    <w:rPr>
      <w:color w:val="FF0000"/>
    </w:rPr>
  </w:style>
  <w:style w:type="paragraph" w:customStyle="1" w:styleId="z-TopofForm1">
    <w:name w:val="z-Top of Form1"/>
    <w:basedOn w:val="Normal"/>
    <w:next w:val="Normal"/>
    <w:link w:val="z-TopofFormChar"/>
    <w:uiPriority w:val="99"/>
    <w:semiHidden/>
    <w:pPr>
      <w:pBdr>
        <w:bottom w:val="single" w:sz="6" w:space="1" w:color="auto"/>
      </w:pBdr>
      <w:jc w:val="center"/>
    </w:pPr>
    <w:rPr>
      <w:rFonts w:ascii="Arial" w:hAnsi="Arial" w:cs="Arial"/>
      <w:vanish/>
      <w:sz w:val="16"/>
      <w:szCs w:val="16"/>
    </w:rPr>
  </w:style>
  <w:style w:type="character" w:customStyle="1" w:styleId="z-TopofFormChar">
    <w:name w:val="z-Top of Form Char"/>
    <w:link w:val="z-TopofForm1"/>
    <w:uiPriority w:val="99"/>
    <w:semiHidden/>
    <w:locked/>
    <w:rPr>
      <w:rFonts w:ascii="Arial" w:hAnsi="Arial" w:cs="Arial"/>
      <w:vanish/>
      <w:sz w:val="16"/>
      <w:szCs w:val="16"/>
    </w:rPr>
  </w:style>
  <w:style w:type="paragraph" w:customStyle="1" w:styleId="z-BottomofForm1">
    <w:name w:val="z-Bottom of Form1"/>
    <w:basedOn w:val="Normal"/>
    <w:next w:val="Normal"/>
    <w:link w:val="z-BottomofFormChar"/>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1"/>
    <w:uiPriority w:val="99"/>
    <w:locked/>
    <w:rPr>
      <w:rFonts w:ascii="Arial" w:hAnsi="Arial" w:cs="Arial"/>
      <w:vanish/>
      <w:sz w:val="16"/>
      <w:szCs w:val="16"/>
    </w:rPr>
  </w:style>
  <w:style w:type="paragraph" w:customStyle="1" w:styleId="naisf">
    <w:name w:val="naisf"/>
    <w:basedOn w:val="Normal"/>
    <w:pPr>
      <w:spacing w:before="75" w:after="75"/>
      <w:ind w:firstLine="375"/>
      <w:jc w:val="both"/>
    </w:pPr>
  </w:style>
  <w:style w:type="paragraph" w:customStyle="1" w:styleId="nais1">
    <w:name w:val="nais1"/>
    <w:basedOn w:val="Normal"/>
    <w:uiPriority w:val="99"/>
    <w:pPr>
      <w:spacing w:before="75" w:after="75"/>
      <w:ind w:left="450" w:firstLine="375"/>
      <w:jc w:val="both"/>
    </w:pPr>
  </w:style>
  <w:style w:type="paragraph" w:customStyle="1" w:styleId="nais2">
    <w:name w:val="nais2"/>
    <w:basedOn w:val="Normal"/>
    <w:uiPriority w:val="99"/>
    <w:pPr>
      <w:spacing w:before="75" w:after="75"/>
      <w:ind w:left="900" w:firstLine="375"/>
      <w:jc w:val="both"/>
    </w:pPr>
  </w:style>
  <w:style w:type="paragraph" w:customStyle="1" w:styleId="naispant">
    <w:name w:val="naispant"/>
    <w:basedOn w:val="Normal"/>
    <w:uiPriority w:val="99"/>
    <w:pPr>
      <w:spacing w:before="75" w:after="75"/>
      <w:ind w:left="375" w:firstLine="375"/>
      <w:jc w:val="both"/>
    </w:pPr>
    <w:rPr>
      <w:b/>
      <w:bCs/>
    </w:rPr>
  </w:style>
  <w:style w:type="paragraph" w:customStyle="1" w:styleId="naisvisr">
    <w:name w:val="naisvisr"/>
    <w:basedOn w:val="Normal"/>
    <w:uiPriority w:val="99"/>
    <w:pPr>
      <w:spacing w:before="150" w:after="150"/>
      <w:jc w:val="center"/>
    </w:pPr>
    <w:rPr>
      <w:b/>
      <w:bCs/>
      <w:sz w:val="28"/>
      <w:szCs w:val="28"/>
    </w:r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uiPriority w:val="99"/>
    <w:rPr>
      <w:rFonts w:cs="Times New Roman"/>
      <w:b/>
      <w:bCs/>
      <w:color w:val="333333"/>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BodyTextIndent3Char">
    <w:name w:val="Body Text Indent 3 Char"/>
    <w:link w:val="BodyTextIndent3"/>
    <w:uiPriority w:val="99"/>
    <w:locked/>
    <w:rPr>
      <w:rFonts w:cs="Times New Roman"/>
      <w:sz w:val="28"/>
      <w:szCs w:val="28"/>
      <w:lang w:val="lv-LV"/>
    </w:rPr>
  </w:style>
  <w:style w:type="character" w:customStyle="1" w:styleId="HeaderChar">
    <w:name w:val="Header Char"/>
    <w:link w:val="Header"/>
    <w:uiPriority w:val="99"/>
    <w:semiHidden/>
    <w:locked/>
    <w:rPr>
      <w:rFonts w:cs="Times New Roman"/>
      <w:sz w:val="24"/>
      <w:szCs w:val="24"/>
      <w:lang w:val="lv-LV" w:eastAsia="lv-LV"/>
    </w:rPr>
  </w:style>
  <w:style w:type="character" w:customStyle="1" w:styleId="FooterChar">
    <w:name w:val="Footer Char"/>
    <w:link w:val="Footer"/>
    <w:uiPriority w:val="99"/>
    <w:semiHidden/>
    <w:locked/>
    <w:rPr>
      <w:rFonts w:cs="Times New Roman"/>
      <w:sz w:val="24"/>
      <w:szCs w:val="24"/>
      <w:lang w:val="lv-LV" w:eastAsia="lv-LV"/>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eastAsia="en-U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uiPriority w:val="99"/>
    <w:semiHidden/>
    <w:rPr>
      <w:b/>
      <w:bCs/>
    </w:rPr>
  </w:style>
  <w:style w:type="character" w:customStyle="1" w:styleId="BodyTextChar">
    <w:name w:val="Body Text Char"/>
    <w:basedOn w:val="DefaultParagraphFont"/>
    <w:link w:val="BodyText"/>
    <w:rPr>
      <w:rFonts w:eastAsia="Arial"/>
      <w:kern w:val="1"/>
      <w:sz w:val="24"/>
      <w:szCs w:val="24"/>
      <w:lang w:val="en"/>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basedOn w:val="Normal"/>
    <w:next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F3AE3-C23F-4E4A-AB97-B4F3939B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761</Words>
  <Characters>5480</Characters>
  <Application>Microsoft Office Word</Application>
  <DocSecurity>0</DocSecurity>
  <Lines>45</Lines>
  <Paragraphs>12</Paragraphs>
  <ScaleCrop>false</ScaleCrop>
  <Company>Iestādes nosaukums</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Anita Jurševica</cp:lastModifiedBy>
  <cp:revision>40</cp:revision>
  <cp:lastPrinted>2009-04-08T08:39:00Z</cp:lastPrinted>
  <dcterms:created xsi:type="dcterms:W3CDTF">2019-06-27T09:14:00Z</dcterms:created>
  <dcterms:modified xsi:type="dcterms:W3CDTF">2020-12-11T13:44:00Z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