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319E3" w14:textId="77777777" w:rsidR="007116C7" w:rsidRDefault="007116C7" w:rsidP="00DB7395">
      <w:pPr>
        <w:pStyle w:val="naisnod"/>
        <w:spacing w:before="0" w:after="0"/>
        <w:ind w:firstLine="720"/>
        <w:rPr>
          <w:sz w:val="28"/>
          <w:szCs w:val="28"/>
        </w:rPr>
      </w:pPr>
      <w:r w:rsidRPr="00712B66">
        <w:rPr>
          <w:sz w:val="28"/>
          <w:szCs w:val="28"/>
        </w:rPr>
        <w:t>Izziņa par atzinumos sniegtajiem iebildumiem</w:t>
      </w:r>
    </w:p>
    <w:p w14:paraId="6FC51AA3" w14:textId="77777777" w:rsidR="006D2163" w:rsidRPr="00712B66" w:rsidRDefault="006D2163" w:rsidP="00DB7395">
      <w:pPr>
        <w:pStyle w:val="naisnod"/>
        <w:spacing w:before="0" w:after="0"/>
        <w:ind w:firstLine="720"/>
        <w:rPr>
          <w:sz w:val="28"/>
          <w:szCs w:val="28"/>
        </w:rPr>
      </w:pPr>
    </w:p>
    <w:p w14:paraId="779BE51C" w14:textId="12F7F863" w:rsidR="007116C7" w:rsidRPr="006D2163" w:rsidRDefault="0099110F" w:rsidP="006D2163">
      <w:pPr>
        <w:jc w:val="center"/>
        <w:rPr>
          <w:b/>
          <w:sz w:val="28"/>
          <w:szCs w:val="28"/>
        </w:rPr>
      </w:pPr>
      <w:r>
        <w:rPr>
          <w:b/>
          <w:sz w:val="28"/>
          <w:szCs w:val="28"/>
        </w:rPr>
        <w:t>Likumprojekts “</w:t>
      </w:r>
      <w:r w:rsidR="006D2163" w:rsidRPr="00260304">
        <w:rPr>
          <w:b/>
          <w:sz w:val="28"/>
          <w:szCs w:val="28"/>
        </w:rPr>
        <w:t>Grozījum</w:t>
      </w:r>
      <w:r w:rsidR="007C491F">
        <w:rPr>
          <w:b/>
          <w:sz w:val="28"/>
          <w:szCs w:val="28"/>
        </w:rPr>
        <w:t>s</w:t>
      </w:r>
      <w:r w:rsidR="006D2163" w:rsidRPr="00260304">
        <w:rPr>
          <w:b/>
          <w:sz w:val="28"/>
          <w:szCs w:val="28"/>
        </w:rPr>
        <w:t xml:space="preserve"> </w:t>
      </w:r>
      <w:r w:rsidR="006D2163">
        <w:rPr>
          <w:b/>
          <w:sz w:val="28"/>
          <w:szCs w:val="28"/>
        </w:rPr>
        <w:t>likumā “Par Krimināllikuma spēkā stāšanās un piemērošanas kārtību</w:t>
      </w:r>
      <w:r>
        <w:rPr>
          <w:b/>
          <w:sz w:val="28"/>
          <w:szCs w:val="28"/>
        </w:rPr>
        <w:t>””</w:t>
      </w:r>
    </w:p>
    <w:tbl>
      <w:tblPr>
        <w:tblW w:w="0" w:type="auto"/>
        <w:jc w:val="center"/>
        <w:tblLook w:val="00A0" w:firstRow="1" w:lastRow="0" w:firstColumn="1" w:lastColumn="0" w:noHBand="0" w:noVBand="0"/>
      </w:tblPr>
      <w:tblGrid>
        <w:gridCol w:w="10188"/>
      </w:tblGrid>
      <w:tr w:rsidR="007116C7" w:rsidRPr="00712B66" w14:paraId="57E84685" w14:textId="77777777">
        <w:trPr>
          <w:jc w:val="center"/>
        </w:trPr>
        <w:tc>
          <w:tcPr>
            <w:tcW w:w="10188" w:type="dxa"/>
            <w:tcBorders>
              <w:bottom w:val="single" w:sz="6" w:space="0" w:color="000000"/>
            </w:tcBorders>
          </w:tcPr>
          <w:p w14:paraId="32B153CA" w14:textId="4529673D" w:rsidR="007116C7" w:rsidRPr="00712B66" w:rsidRDefault="006D2163" w:rsidP="006D2163">
            <w:pPr>
              <w:ind w:firstLine="720"/>
              <w:jc w:val="center"/>
            </w:pPr>
            <w:r w:rsidRPr="007759EF">
              <w:t>(VSS - </w:t>
            </w:r>
            <w:r w:rsidR="007C491F">
              <w:t>482</w:t>
            </w:r>
            <w:r w:rsidRPr="007759EF">
              <w:t>)</w:t>
            </w:r>
          </w:p>
        </w:tc>
      </w:tr>
    </w:tbl>
    <w:p w14:paraId="04E649DE" w14:textId="77777777" w:rsidR="007116C7" w:rsidRPr="00712B66" w:rsidRDefault="007116C7" w:rsidP="009623BC">
      <w:pPr>
        <w:pStyle w:val="naisc"/>
        <w:spacing w:before="0" w:after="0"/>
        <w:ind w:firstLine="1080"/>
      </w:pPr>
      <w:r w:rsidRPr="00712B66">
        <w:t>(dokumenta veids un nosaukums)</w:t>
      </w:r>
    </w:p>
    <w:p w14:paraId="11AC6C32" w14:textId="77777777" w:rsidR="007B4C0F" w:rsidRPr="00712B66" w:rsidRDefault="007B4C0F" w:rsidP="00DB7395">
      <w:pPr>
        <w:pStyle w:val="naisf"/>
        <w:spacing w:before="0" w:after="0"/>
        <w:ind w:firstLine="720"/>
      </w:pPr>
    </w:p>
    <w:p w14:paraId="07DCC22A" w14:textId="77777777" w:rsidR="00500552" w:rsidRDefault="00500552" w:rsidP="00CB29BE">
      <w:pPr>
        <w:pStyle w:val="naisf"/>
        <w:spacing w:before="0" w:after="0"/>
        <w:ind w:firstLine="0"/>
        <w:jc w:val="center"/>
        <w:rPr>
          <w:b/>
        </w:rPr>
      </w:pPr>
    </w:p>
    <w:p w14:paraId="6D17C6A1" w14:textId="77777777" w:rsidR="00500552" w:rsidRPr="00712B66" w:rsidRDefault="00500552" w:rsidP="00500552">
      <w:pPr>
        <w:pStyle w:val="naisf"/>
        <w:spacing w:before="0" w:after="0"/>
        <w:ind w:firstLine="0"/>
        <w:rPr>
          <w:b/>
        </w:rPr>
      </w:pPr>
      <w:r w:rsidRPr="00712B66">
        <w:rPr>
          <w:b/>
        </w:rPr>
        <w:t>Informācija par starpministriju (starpinstitūciju) sanāksmi vai elektronisko saskaņošanu</w:t>
      </w:r>
    </w:p>
    <w:p w14:paraId="442BF13E" w14:textId="77777777" w:rsidR="00500552" w:rsidRPr="00712B66" w:rsidRDefault="00500552" w:rsidP="00500552">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500552" w:rsidRPr="00712B66" w14:paraId="4ACC8127" w14:textId="77777777" w:rsidTr="00BF3F0A">
        <w:tc>
          <w:tcPr>
            <w:tcW w:w="6345" w:type="dxa"/>
          </w:tcPr>
          <w:p w14:paraId="64D2C0F2" w14:textId="77777777" w:rsidR="00500552" w:rsidRPr="00712B66" w:rsidRDefault="00500552" w:rsidP="00BF3F0A">
            <w:pPr>
              <w:pStyle w:val="naisf"/>
              <w:spacing w:before="0" w:after="0"/>
              <w:ind w:firstLine="0"/>
            </w:pPr>
            <w:r w:rsidRPr="00712B66">
              <w:t>Datums</w:t>
            </w:r>
          </w:p>
        </w:tc>
        <w:tc>
          <w:tcPr>
            <w:tcW w:w="6237" w:type="dxa"/>
            <w:gridSpan w:val="3"/>
            <w:tcBorders>
              <w:bottom w:val="single" w:sz="4" w:space="0" w:color="auto"/>
            </w:tcBorders>
          </w:tcPr>
          <w:p w14:paraId="0440F390" w14:textId="2FF16C0D" w:rsidR="00500552" w:rsidRPr="00712B66" w:rsidRDefault="00500552" w:rsidP="00BF3F0A">
            <w:pPr>
              <w:pStyle w:val="NormalWeb"/>
              <w:spacing w:before="0" w:beforeAutospacing="0" w:after="0" w:afterAutospacing="0"/>
              <w:ind w:firstLine="720"/>
            </w:pPr>
            <w:r>
              <w:t>02.09.2020.</w:t>
            </w:r>
          </w:p>
        </w:tc>
      </w:tr>
      <w:tr w:rsidR="00500552" w:rsidRPr="00712B66" w14:paraId="6BF6D0A4" w14:textId="77777777" w:rsidTr="00BF3F0A">
        <w:tc>
          <w:tcPr>
            <w:tcW w:w="6345" w:type="dxa"/>
          </w:tcPr>
          <w:p w14:paraId="22838498" w14:textId="77777777" w:rsidR="00500552" w:rsidRPr="00712B66" w:rsidRDefault="00500552" w:rsidP="00BF3F0A">
            <w:pPr>
              <w:pStyle w:val="naisf"/>
              <w:spacing w:before="0" w:after="0"/>
              <w:ind w:firstLine="0"/>
            </w:pPr>
          </w:p>
        </w:tc>
        <w:tc>
          <w:tcPr>
            <w:tcW w:w="6237" w:type="dxa"/>
            <w:gridSpan w:val="3"/>
            <w:tcBorders>
              <w:top w:val="single" w:sz="4" w:space="0" w:color="auto"/>
            </w:tcBorders>
          </w:tcPr>
          <w:p w14:paraId="2A828360" w14:textId="77777777" w:rsidR="00500552" w:rsidRPr="00712B66" w:rsidRDefault="00500552" w:rsidP="00BF3F0A">
            <w:pPr>
              <w:pStyle w:val="NormalWeb"/>
              <w:spacing w:before="0" w:beforeAutospacing="0" w:after="0" w:afterAutospacing="0"/>
              <w:ind w:firstLine="720"/>
            </w:pPr>
          </w:p>
        </w:tc>
      </w:tr>
      <w:tr w:rsidR="00500552" w:rsidRPr="00712B66" w14:paraId="689FC66E" w14:textId="77777777" w:rsidTr="00BF3F0A">
        <w:tc>
          <w:tcPr>
            <w:tcW w:w="6345" w:type="dxa"/>
          </w:tcPr>
          <w:p w14:paraId="76AF0A74" w14:textId="77777777" w:rsidR="00500552" w:rsidRPr="00712B66" w:rsidRDefault="00500552" w:rsidP="00BF3F0A">
            <w:pPr>
              <w:pStyle w:val="naiskr"/>
              <w:spacing w:before="0" w:after="0"/>
            </w:pPr>
            <w:r>
              <w:t>Saskaņošanas d</w:t>
            </w:r>
            <w:r w:rsidRPr="00712B66">
              <w:t>alībnieki</w:t>
            </w:r>
          </w:p>
        </w:tc>
        <w:tc>
          <w:tcPr>
            <w:tcW w:w="6237" w:type="dxa"/>
            <w:gridSpan w:val="3"/>
          </w:tcPr>
          <w:p w14:paraId="3430ED1E" w14:textId="20995892" w:rsidR="00500552" w:rsidRDefault="00500552" w:rsidP="00BF3F0A">
            <w:pPr>
              <w:pStyle w:val="NormalWeb"/>
              <w:spacing w:before="0" w:beforeAutospacing="0" w:after="0" w:afterAutospacing="0"/>
              <w:ind w:firstLine="720"/>
            </w:pPr>
            <w:r>
              <w:t>Veselības ministrija</w:t>
            </w:r>
          </w:p>
          <w:p w14:paraId="35E7A4B8" w14:textId="01ABB5D9" w:rsidR="00500552" w:rsidRDefault="00500552" w:rsidP="00BF3F0A">
            <w:pPr>
              <w:pStyle w:val="NormalWeb"/>
              <w:spacing w:before="0" w:beforeAutospacing="0" w:after="0" w:afterAutospacing="0"/>
              <w:ind w:firstLine="720"/>
            </w:pPr>
            <w:r>
              <w:t>Latvijas Darba devēju konfederācija</w:t>
            </w:r>
          </w:p>
          <w:p w14:paraId="336BFAF5" w14:textId="7F1DA5A4" w:rsidR="00500552" w:rsidRDefault="00500552" w:rsidP="00BF3F0A">
            <w:pPr>
              <w:pStyle w:val="NormalWeb"/>
              <w:spacing w:before="0" w:beforeAutospacing="0" w:after="0" w:afterAutospacing="0"/>
              <w:ind w:firstLine="720"/>
            </w:pPr>
            <w:r>
              <w:t>Ģenerālprokuratūra</w:t>
            </w:r>
          </w:p>
          <w:p w14:paraId="2F687259" w14:textId="084A11E1" w:rsidR="00500552" w:rsidRDefault="00500552" w:rsidP="00BF3F0A">
            <w:pPr>
              <w:pStyle w:val="NormalWeb"/>
              <w:spacing w:before="0" w:beforeAutospacing="0" w:after="0" w:afterAutospacing="0"/>
              <w:ind w:firstLine="720"/>
            </w:pPr>
            <w:r>
              <w:t>Tieslietu ministrija</w:t>
            </w:r>
          </w:p>
          <w:p w14:paraId="1C9C92E6" w14:textId="4EB5F2AE" w:rsidR="00500552" w:rsidRDefault="00500552" w:rsidP="00BF3F0A">
            <w:pPr>
              <w:pStyle w:val="NormalWeb"/>
              <w:spacing w:before="0" w:beforeAutospacing="0" w:after="0" w:afterAutospacing="0"/>
              <w:ind w:firstLine="720"/>
            </w:pPr>
            <w:r>
              <w:t>Iekšlietu ministrija</w:t>
            </w:r>
          </w:p>
          <w:p w14:paraId="6AC662CD" w14:textId="0790430D" w:rsidR="00500552" w:rsidRDefault="008C618B" w:rsidP="00BF3F0A">
            <w:pPr>
              <w:pStyle w:val="NormalWeb"/>
              <w:spacing w:before="0" w:beforeAutospacing="0" w:after="0" w:afterAutospacing="0"/>
              <w:ind w:firstLine="720"/>
              <w:rPr>
                <w:color w:val="000000"/>
                <w:shd w:val="clear" w:color="auto" w:fill="FFFFFF"/>
              </w:rPr>
            </w:pPr>
            <w:r>
              <w:rPr>
                <w:color w:val="000000"/>
                <w:shd w:val="clear" w:color="auto" w:fill="FFFFFF"/>
              </w:rPr>
              <w:t xml:space="preserve">VID </w:t>
            </w:r>
            <w:r w:rsidR="00500552">
              <w:rPr>
                <w:color w:val="000000"/>
                <w:shd w:val="clear" w:color="auto" w:fill="FFFFFF"/>
              </w:rPr>
              <w:t>Nodokļu un muitas policijas pārvalde</w:t>
            </w:r>
          </w:p>
          <w:p w14:paraId="4AEC5C5A" w14:textId="156BB59A" w:rsidR="00500552" w:rsidRPr="00712B66" w:rsidRDefault="00500552" w:rsidP="00500552">
            <w:pPr>
              <w:pStyle w:val="NormalWeb"/>
              <w:spacing w:before="0" w:beforeAutospacing="0" w:after="0" w:afterAutospacing="0"/>
              <w:ind w:firstLine="720"/>
            </w:pPr>
            <w:r>
              <w:t>Zemkopības ministrija</w:t>
            </w:r>
          </w:p>
        </w:tc>
      </w:tr>
      <w:tr w:rsidR="0046321F" w:rsidRPr="00712B66" w14:paraId="519EE692" w14:textId="77777777" w:rsidTr="00BF3F0A">
        <w:trPr>
          <w:trHeight w:val="285"/>
        </w:trPr>
        <w:tc>
          <w:tcPr>
            <w:tcW w:w="6708" w:type="dxa"/>
            <w:gridSpan w:val="2"/>
          </w:tcPr>
          <w:p w14:paraId="46E47BF9" w14:textId="77777777" w:rsidR="0046321F" w:rsidRDefault="0046321F" w:rsidP="00BF3F0A">
            <w:pPr>
              <w:pStyle w:val="naiskr"/>
              <w:spacing w:before="0" w:after="0"/>
            </w:pPr>
          </w:p>
          <w:p w14:paraId="0A14BD8E" w14:textId="77777777" w:rsidR="0046321F" w:rsidRDefault="0046321F" w:rsidP="00BF3F0A">
            <w:pPr>
              <w:pStyle w:val="naiskr"/>
              <w:spacing w:before="0" w:after="0"/>
            </w:pPr>
          </w:p>
          <w:p w14:paraId="4A9D54CB" w14:textId="4674CE22" w:rsidR="0046321F" w:rsidRPr="00712B66" w:rsidRDefault="0046321F" w:rsidP="00BF3F0A">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840" w:type="dxa"/>
          </w:tcPr>
          <w:p w14:paraId="10CACFCF" w14:textId="77777777" w:rsidR="0046321F" w:rsidRPr="00712B66" w:rsidRDefault="0046321F" w:rsidP="00BF3F0A">
            <w:pPr>
              <w:pStyle w:val="naiskr"/>
              <w:spacing w:before="0" w:after="0"/>
              <w:ind w:firstLine="720"/>
            </w:pPr>
          </w:p>
        </w:tc>
        <w:tc>
          <w:tcPr>
            <w:tcW w:w="5034" w:type="dxa"/>
          </w:tcPr>
          <w:p w14:paraId="413FFF4E" w14:textId="77777777" w:rsidR="0046321F" w:rsidRDefault="0046321F" w:rsidP="00BF3F0A">
            <w:pPr>
              <w:pStyle w:val="naiskr"/>
              <w:spacing w:before="0" w:after="0"/>
              <w:ind w:firstLine="12"/>
            </w:pPr>
          </w:p>
          <w:p w14:paraId="091DBDD9" w14:textId="77777777" w:rsidR="00D3478F" w:rsidRDefault="00D3478F" w:rsidP="0046321F"/>
          <w:p w14:paraId="4F92E66E" w14:textId="5F70E568" w:rsidR="0046321F" w:rsidRPr="0046321F" w:rsidRDefault="0046321F" w:rsidP="0046321F">
            <w:r>
              <w:t>Latvijas Darba devēju konfederācijas iebildums</w:t>
            </w:r>
          </w:p>
        </w:tc>
      </w:tr>
      <w:tr w:rsidR="0046321F" w:rsidRPr="00712B66" w14:paraId="5DE4F69C" w14:textId="77777777" w:rsidTr="00BF3F0A">
        <w:tc>
          <w:tcPr>
            <w:tcW w:w="6708" w:type="dxa"/>
            <w:gridSpan w:val="2"/>
          </w:tcPr>
          <w:p w14:paraId="5F775095" w14:textId="77777777" w:rsidR="0046321F" w:rsidRDefault="0046321F" w:rsidP="00BF3F0A">
            <w:pPr>
              <w:pStyle w:val="naiskr"/>
              <w:spacing w:before="0" w:after="0"/>
            </w:pPr>
          </w:p>
          <w:p w14:paraId="6A11C884" w14:textId="77777777" w:rsidR="0046321F" w:rsidRDefault="0046321F" w:rsidP="00BF3F0A">
            <w:pPr>
              <w:pStyle w:val="naiskr"/>
              <w:spacing w:before="0" w:after="0"/>
            </w:pPr>
          </w:p>
          <w:p w14:paraId="3CEE9CFB" w14:textId="7F5B3BCB" w:rsidR="0046321F" w:rsidRPr="00712B66" w:rsidRDefault="0046321F" w:rsidP="00BF3F0A">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29091E87" w14:textId="77777777" w:rsidR="0046321F" w:rsidRPr="00712B66" w:rsidRDefault="0046321F" w:rsidP="00BF3F0A">
            <w:pPr>
              <w:pStyle w:val="naiskr"/>
              <w:spacing w:before="0" w:after="0"/>
            </w:pPr>
          </w:p>
        </w:tc>
      </w:tr>
      <w:tr w:rsidR="0046321F" w:rsidRPr="00712B66" w14:paraId="33EED675" w14:textId="77777777" w:rsidTr="00BF3F0A">
        <w:trPr>
          <w:gridAfter w:val="2"/>
          <w:wAfter w:w="5874" w:type="dxa"/>
        </w:trPr>
        <w:tc>
          <w:tcPr>
            <w:tcW w:w="6708" w:type="dxa"/>
            <w:gridSpan w:val="2"/>
          </w:tcPr>
          <w:p w14:paraId="33D5A925" w14:textId="77777777" w:rsidR="0046321F" w:rsidRPr="00712B66" w:rsidRDefault="0046321F" w:rsidP="00BF3F0A">
            <w:pPr>
              <w:pStyle w:val="naiskr"/>
              <w:spacing w:before="0" w:after="0"/>
              <w:ind w:firstLine="720"/>
            </w:pPr>
            <w:r w:rsidRPr="00712B66">
              <w:t>  </w:t>
            </w:r>
          </w:p>
        </w:tc>
      </w:tr>
      <w:tr w:rsidR="0046321F" w:rsidRPr="00712B66" w14:paraId="6AD25F96" w14:textId="77777777" w:rsidTr="00BF3F0A">
        <w:trPr>
          <w:gridAfter w:val="2"/>
          <w:wAfter w:w="5874" w:type="dxa"/>
        </w:trPr>
        <w:tc>
          <w:tcPr>
            <w:tcW w:w="6708" w:type="dxa"/>
            <w:gridSpan w:val="2"/>
          </w:tcPr>
          <w:p w14:paraId="6CA61B2C" w14:textId="77777777" w:rsidR="0046321F" w:rsidRPr="00712B66" w:rsidRDefault="0046321F" w:rsidP="00BF3F0A">
            <w:pPr>
              <w:pStyle w:val="naiskr"/>
              <w:spacing w:before="0" w:after="0"/>
              <w:ind w:firstLine="720"/>
            </w:pPr>
            <w:r w:rsidRPr="00712B66">
              <w:t>  </w:t>
            </w:r>
          </w:p>
        </w:tc>
      </w:tr>
    </w:tbl>
    <w:p w14:paraId="49D94081" w14:textId="49047382" w:rsidR="00500552" w:rsidRDefault="00500552" w:rsidP="000E2B35"/>
    <w:p w14:paraId="4AD0188B" w14:textId="2C4A6FED" w:rsidR="000E2B35" w:rsidRDefault="000E2B35" w:rsidP="000E2B35"/>
    <w:p w14:paraId="3EB4B25C" w14:textId="352B5667" w:rsidR="000E2B35" w:rsidRDefault="000E2B35" w:rsidP="000E2B35"/>
    <w:p w14:paraId="5A9E853C" w14:textId="77777777" w:rsidR="000E2B35" w:rsidRPr="000E2B35" w:rsidRDefault="000E2B35" w:rsidP="000E2B35"/>
    <w:p w14:paraId="32E5626A" w14:textId="488FA5D2" w:rsidR="00CB29BE" w:rsidRPr="00712B66" w:rsidRDefault="00CB29BE" w:rsidP="00CB29BE">
      <w:pPr>
        <w:pStyle w:val="naisf"/>
        <w:spacing w:before="0" w:after="0"/>
        <w:ind w:firstLine="0"/>
        <w:jc w:val="center"/>
        <w:rPr>
          <w:b/>
        </w:rPr>
      </w:pPr>
      <w:r w:rsidRPr="00712B66">
        <w:rPr>
          <w:b/>
        </w:rPr>
        <w:lastRenderedPageBreak/>
        <w:t>Jautājumi, par kuriem saskaņošanā vienošan</w:t>
      </w:r>
      <w:r>
        <w:rPr>
          <w:b/>
        </w:rPr>
        <w:t>ā</w:t>
      </w:r>
      <w:r w:rsidRPr="00712B66">
        <w:rPr>
          <w:b/>
        </w:rPr>
        <w:t>s ir panākta</w:t>
      </w:r>
    </w:p>
    <w:p w14:paraId="2F59EFB6" w14:textId="77777777"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969"/>
        <w:gridCol w:w="4111"/>
        <w:gridCol w:w="1099"/>
        <w:gridCol w:w="3012"/>
        <w:gridCol w:w="2693"/>
      </w:tblGrid>
      <w:tr w:rsidR="002F1A39" w:rsidRPr="00712B66" w14:paraId="69F7E9EE" w14:textId="77777777" w:rsidTr="002F1A39">
        <w:tc>
          <w:tcPr>
            <w:tcW w:w="708" w:type="dxa"/>
            <w:tcBorders>
              <w:top w:val="single" w:sz="6" w:space="0" w:color="000000"/>
              <w:left w:val="single" w:sz="6" w:space="0" w:color="000000"/>
              <w:bottom w:val="single" w:sz="6" w:space="0" w:color="000000"/>
              <w:right w:val="single" w:sz="6" w:space="0" w:color="000000"/>
            </w:tcBorders>
            <w:vAlign w:val="center"/>
          </w:tcPr>
          <w:p w14:paraId="284DDF67" w14:textId="77777777" w:rsidR="002F1A39" w:rsidRPr="00712B66" w:rsidRDefault="002F1A39" w:rsidP="0036160E">
            <w:pPr>
              <w:pStyle w:val="naisc"/>
              <w:spacing w:before="0" w:after="0"/>
            </w:pPr>
            <w:r w:rsidRPr="00712B66">
              <w:t>Nr. p.</w:t>
            </w:r>
            <w:r>
              <w:t> </w:t>
            </w:r>
            <w:r w:rsidRPr="00712B66">
              <w:t>k.</w:t>
            </w:r>
          </w:p>
        </w:tc>
        <w:tc>
          <w:tcPr>
            <w:tcW w:w="3369" w:type="dxa"/>
            <w:gridSpan w:val="2"/>
            <w:tcBorders>
              <w:top w:val="single" w:sz="6" w:space="0" w:color="000000"/>
              <w:left w:val="single" w:sz="6" w:space="0" w:color="000000"/>
              <w:bottom w:val="single" w:sz="6" w:space="0" w:color="000000"/>
              <w:right w:val="single" w:sz="6" w:space="0" w:color="000000"/>
            </w:tcBorders>
            <w:vAlign w:val="center"/>
          </w:tcPr>
          <w:p w14:paraId="4E80346E" w14:textId="4F27D96C" w:rsidR="002F1A39" w:rsidRPr="00712B66" w:rsidRDefault="00CB29BE" w:rsidP="00364BB6">
            <w:pPr>
              <w:pStyle w:val="naisc"/>
              <w:spacing w:before="0" w:after="0"/>
              <w:ind w:firstLine="12"/>
            </w:pPr>
            <w:r w:rsidRPr="00712B66">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27683AC7" w14:textId="21FE5600" w:rsidR="002F1A39" w:rsidRPr="00712B66" w:rsidRDefault="00CB29BE" w:rsidP="00364BB6">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64A39D76" w14:textId="36C214A6" w:rsidR="002F1A39" w:rsidRPr="00712B66" w:rsidRDefault="00CB29BE" w:rsidP="00364BB6">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2693" w:type="dxa"/>
            <w:tcBorders>
              <w:top w:val="single" w:sz="4" w:space="0" w:color="auto"/>
              <w:left w:val="single" w:sz="4" w:space="0" w:color="auto"/>
              <w:bottom w:val="single" w:sz="4" w:space="0" w:color="auto"/>
            </w:tcBorders>
            <w:vAlign w:val="center"/>
          </w:tcPr>
          <w:p w14:paraId="7335973D" w14:textId="6298E69C" w:rsidR="002F1A39" w:rsidRPr="00712B66" w:rsidRDefault="00CB29BE" w:rsidP="00364BB6">
            <w:pPr>
              <w:jc w:val="center"/>
            </w:pPr>
            <w:r w:rsidRPr="00712B66">
              <w:t>Projekta attiecīgā punkta (panta) galīgā redakcija</w:t>
            </w:r>
          </w:p>
        </w:tc>
      </w:tr>
      <w:tr w:rsidR="0071090D" w:rsidRPr="00712B66" w14:paraId="50393275" w14:textId="77777777" w:rsidTr="00F00524">
        <w:tc>
          <w:tcPr>
            <w:tcW w:w="14992" w:type="dxa"/>
            <w:gridSpan w:val="7"/>
            <w:tcBorders>
              <w:top w:val="single" w:sz="6" w:space="0" w:color="000000"/>
              <w:left w:val="single" w:sz="6" w:space="0" w:color="000000"/>
              <w:bottom w:val="single" w:sz="6" w:space="0" w:color="000000"/>
            </w:tcBorders>
            <w:vAlign w:val="center"/>
          </w:tcPr>
          <w:p w14:paraId="30F20867" w14:textId="44C40D9C" w:rsidR="0071090D" w:rsidRPr="0071090D" w:rsidRDefault="0071090D" w:rsidP="00364BB6">
            <w:pPr>
              <w:jc w:val="center"/>
              <w:rPr>
                <w:b/>
                <w:bCs/>
              </w:rPr>
            </w:pPr>
            <w:r w:rsidRPr="0071090D">
              <w:rPr>
                <w:b/>
                <w:bCs/>
              </w:rPr>
              <w:t>Latvijas Darba devēju konfederācija</w:t>
            </w:r>
            <w:r w:rsidR="003036F3">
              <w:rPr>
                <w:b/>
                <w:bCs/>
              </w:rPr>
              <w:t xml:space="preserve"> </w:t>
            </w:r>
            <w:r w:rsidR="00E719E2">
              <w:rPr>
                <w:b/>
                <w:bCs/>
              </w:rPr>
              <w:t>22.07.2020.</w:t>
            </w:r>
          </w:p>
        </w:tc>
      </w:tr>
      <w:tr w:rsidR="00E719E2" w:rsidRPr="008A36C9" w14:paraId="69CCF7B2" w14:textId="77777777" w:rsidTr="002F1A39">
        <w:tc>
          <w:tcPr>
            <w:tcW w:w="708" w:type="dxa"/>
            <w:tcBorders>
              <w:top w:val="single" w:sz="6" w:space="0" w:color="000000"/>
              <w:left w:val="single" w:sz="6" w:space="0" w:color="000000"/>
              <w:bottom w:val="single" w:sz="6" w:space="0" w:color="000000"/>
              <w:right w:val="single" w:sz="6" w:space="0" w:color="000000"/>
            </w:tcBorders>
          </w:tcPr>
          <w:p w14:paraId="7FE68FD0" w14:textId="37549D4A" w:rsidR="00E719E2" w:rsidRPr="00530718" w:rsidRDefault="00E719E2" w:rsidP="00E719E2">
            <w:pPr>
              <w:pStyle w:val="naisc"/>
              <w:spacing w:before="0" w:after="0"/>
            </w:pPr>
            <w:r w:rsidRPr="00530718">
              <w:t>1</w:t>
            </w:r>
          </w:p>
        </w:tc>
        <w:tc>
          <w:tcPr>
            <w:tcW w:w="3369" w:type="dxa"/>
            <w:gridSpan w:val="2"/>
            <w:tcBorders>
              <w:top w:val="single" w:sz="6" w:space="0" w:color="000000"/>
              <w:left w:val="single" w:sz="6" w:space="0" w:color="000000"/>
              <w:bottom w:val="single" w:sz="6" w:space="0" w:color="000000"/>
              <w:right w:val="single" w:sz="6" w:space="0" w:color="000000"/>
            </w:tcBorders>
          </w:tcPr>
          <w:p w14:paraId="5A2D8D62" w14:textId="77777777" w:rsidR="00AA493C" w:rsidRDefault="00AA493C" w:rsidP="00AA493C">
            <w:pPr>
              <w:pStyle w:val="naisc"/>
              <w:spacing w:before="0" w:after="0"/>
              <w:jc w:val="both"/>
            </w:pPr>
            <w:r w:rsidRPr="007C491F">
              <w:t>Likuma “Par Krimināllikuma spēkā stāšanās un piemērošanas kārtību” 2. pielikum</w:t>
            </w:r>
            <w:r>
              <w:t>ā iekļautās</w:t>
            </w:r>
            <w:r w:rsidRPr="007C491F">
              <w:t xml:space="preserve"> </w:t>
            </w:r>
            <w:r>
              <w:t>vielas, kurām starp nelieliem un lieliem apmēriem pastāv lielas atšķirības</w:t>
            </w:r>
          </w:p>
          <w:p w14:paraId="4B2823A3" w14:textId="77777777" w:rsidR="00E719E2" w:rsidRPr="007C491F" w:rsidRDefault="00E719E2" w:rsidP="00AA493C">
            <w:pPr>
              <w:pStyle w:val="naisc"/>
              <w:spacing w:before="0" w:after="0"/>
              <w:jc w:val="both"/>
            </w:pPr>
          </w:p>
        </w:tc>
        <w:tc>
          <w:tcPr>
            <w:tcW w:w="4111" w:type="dxa"/>
            <w:tcBorders>
              <w:top w:val="single" w:sz="6" w:space="0" w:color="000000"/>
              <w:left w:val="single" w:sz="6" w:space="0" w:color="000000"/>
              <w:bottom w:val="single" w:sz="6" w:space="0" w:color="000000"/>
              <w:right w:val="single" w:sz="6" w:space="0" w:color="000000"/>
            </w:tcBorders>
          </w:tcPr>
          <w:p w14:paraId="5DEBEE78" w14:textId="0B26B327" w:rsidR="00E719E2" w:rsidRPr="007C491F" w:rsidRDefault="00E719E2" w:rsidP="00E719E2">
            <w:pPr>
              <w:jc w:val="both"/>
              <w:rPr>
                <w:color w:val="000000"/>
                <w:shd w:val="clear" w:color="auto" w:fill="FFFFFF"/>
              </w:rPr>
            </w:pPr>
            <w:r w:rsidRPr="00237CB9">
              <w:rPr>
                <w:color w:val="333333"/>
                <w:shd w:val="clear" w:color="auto" w:fill="FFFFFF"/>
              </w:rPr>
              <w:t>Veselības ministrija nav argumentējusi, kāpēc pastāv tik ļoti liela</w:t>
            </w:r>
            <w:r>
              <w:rPr>
                <w:color w:val="333333"/>
                <w:shd w:val="clear" w:color="auto" w:fill="FFFFFF"/>
              </w:rPr>
              <w:t>s</w:t>
            </w:r>
            <w:r w:rsidRPr="00237CB9">
              <w:rPr>
                <w:color w:val="333333"/>
                <w:shd w:val="clear" w:color="auto" w:fill="FFFFFF"/>
              </w:rPr>
              <w:t xml:space="preserve"> atšķirība</w:t>
            </w:r>
            <w:r>
              <w:rPr>
                <w:color w:val="333333"/>
                <w:shd w:val="clear" w:color="auto" w:fill="FFFFFF"/>
              </w:rPr>
              <w:t>s</w:t>
            </w:r>
            <w:r w:rsidRPr="00237CB9">
              <w:rPr>
                <w:color w:val="333333"/>
                <w:shd w:val="clear" w:color="auto" w:fill="FFFFFF"/>
              </w:rPr>
              <w:t xml:space="preserve"> starp lieliem un nelieliem narkotisko vielu apmēriem.  Iebilduma noraidījumā nav ziņu, vai institūcijas, uz kurām Veselības ministrija atsaucas, ir vērtējušas tieši šo aspektu.  </w:t>
            </w:r>
            <w:r w:rsidRPr="00237CB9">
              <w:rPr>
                <w:color w:val="333333"/>
                <w:shd w:val="clear" w:color="auto" w:fill="FFFFFF"/>
              </w:rPr>
              <w:br/>
            </w:r>
          </w:p>
        </w:tc>
        <w:tc>
          <w:tcPr>
            <w:tcW w:w="4111" w:type="dxa"/>
            <w:gridSpan w:val="2"/>
            <w:tcBorders>
              <w:top w:val="single" w:sz="6" w:space="0" w:color="000000"/>
              <w:left w:val="single" w:sz="6" w:space="0" w:color="000000"/>
              <w:bottom w:val="single" w:sz="6" w:space="0" w:color="000000"/>
              <w:right w:val="single" w:sz="6" w:space="0" w:color="000000"/>
            </w:tcBorders>
          </w:tcPr>
          <w:p w14:paraId="494F8A14" w14:textId="1FBE8C41" w:rsidR="00405422" w:rsidRDefault="002A2E5A" w:rsidP="00405422">
            <w:pPr>
              <w:pStyle w:val="naisc"/>
              <w:spacing w:before="0" w:after="0"/>
              <w:jc w:val="both"/>
              <w:rPr>
                <w:shd w:val="clear" w:color="auto" w:fill="FFFFFF"/>
              </w:rPr>
            </w:pPr>
            <w:r>
              <w:rPr>
                <w:b/>
                <w:bCs/>
              </w:rPr>
              <w:t>Par iebildumu 03.09.20. starpinstitūciju sanāksmē panākta vienošanās</w:t>
            </w:r>
            <w:r w:rsidR="00405422">
              <w:rPr>
                <w:b/>
                <w:bCs/>
              </w:rPr>
              <w:t xml:space="preserve">, </w:t>
            </w:r>
            <w:r w:rsidR="00405422" w:rsidRPr="00405422">
              <w:t xml:space="preserve">kas </w:t>
            </w:r>
            <w:r w:rsidR="008E5A32" w:rsidRPr="00405422">
              <w:t>paredz</w:t>
            </w:r>
            <w:r w:rsidR="008E5A32">
              <w:t xml:space="preserve">, ka LDDK neuztur iebildumu, ar nosacījumu, ka Veselības ministrija </w:t>
            </w:r>
            <w:r w:rsidR="00405422">
              <w:t xml:space="preserve">likumprojekta </w:t>
            </w:r>
            <w:r w:rsidR="008E5A32">
              <w:t xml:space="preserve">anotācijā norāda, ka </w:t>
            </w:r>
            <w:r w:rsidR="008E5A32" w:rsidRPr="009C71A0">
              <w:rPr>
                <w:iCs/>
              </w:rPr>
              <w:t xml:space="preserve">atsevišķām vielām, kurām diapazons starp apmēru, </w:t>
            </w:r>
            <w:r w:rsidR="008E5A32" w:rsidRPr="009C71A0">
              <w:rPr>
                <w:shd w:val="clear" w:color="auto" w:fill="FFFFFF"/>
              </w:rPr>
              <w:t xml:space="preserve">līdz kuram daudzumi atzīstami par nelieliem, un apmēru, sākot ar kuru daudzumi atzīstami par lieliem, ir pārāk plašs, </w:t>
            </w:r>
            <w:r w:rsidR="00405422">
              <w:rPr>
                <w:shd w:val="clear" w:color="auto" w:fill="FFFFFF"/>
              </w:rPr>
              <w:t xml:space="preserve">pie vieniem no nākamajiem </w:t>
            </w:r>
            <w:r w:rsidR="002536A1">
              <w:rPr>
                <w:shd w:val="clear" w:color="auto" w:fill="FFFFFF"/>
              </w:rPr>
              <w:t xml:space="preserve">likuma </w:t>
            </w:r>
            <w:r w:rsidR="00405422">
              <w:rPr>
                <w:shd w:val="clear" w:color="auto" w:fill="FFFFFF"/>
              </w:rPr>
              <w:t>grozījumiem veiks minēto apmēru atkārtotu izvērtējumu.</w:t>
            </w:r>
          </w:p>
          <w:p w14:paraId="08276EF1" w14:textId="77777777" w:rsidR="00405422" w:rsidRDefault="00405422" w:rsidP="00405422">
            <w:pPr>
              <w:pStyle w:val="naisc"/>
              <w:spacing w:before="0" w:after="0"/>
              <w:jc w:val="both"/>
              <w:rPr>
                <w:shd w:val="clear" w:color="auto" w:fill="FFFFFF"/>
              </w:rPr>
            </w:pPr>
          </w:p>
          <w:p w14:paraId="33526CFF" w14:textId="007FD254" w:rsidR="00E719E2" w:rsidRPr="00530CA0" w:rsidRDefault="00E719E2" w:rsidP="00405422">
            <w:pPr>
              <w:pStyle w:val="xmsonormal"/>
              <w:shd w:val="clear" w:color="auto" w:fill="FFFFFF"/>
              <w:spacing w:before="0" w:beforeAutospacing="0" w:after="0" w:afterAutospacing="0"/>
              <w:jc w:val="both"/>
              <w:rPr>
                <w:color w:val="212121"/>
              </w:rPr>
            </w:pPr>
            <w:r>
              <w:rPr>
                <w:color w:val="212121"/>
              </w:rPr>
              <w:t>V</w:t>
            </w:r>
            <w:r w:rsidRPr="00530CA0">
              <w:rPr>
                <w:color w:val="212121"/>
              </w:rPr>
              <w:t xml:space="preserve">ēršam uzmanību, ka kontrolējamo vielu iedarbība un līdz ar to radītais kaitējums un iespējamās sekas nav proporcionālas vielu daudzumam. Vielu apmēri nav vērtējami matemātiski un to farmakoloģiskā iedarbība nav lineāra. </w:t>
            </w:r>
          </w:p>
          <w:p w14:paraId="7C2C3219" w14:textId="77777777" w:rsidR="00E719E2" w:rsidRPr="009874DF" w:rsidRDefault="00E719E2" w:rsidP="00405422">
            <w:pPr>
              <w:pStyle w:val="xmsonormal"/>
              <w:shd w:val="clear" w:color="auto" w:fill="FFFFFF"/>
              <w:spacing w:before="0" w:beforeAutospacing="0" w:after="0" w:afterAutospacing="0"/>
              <w:jc w:val="both"/>
              <w:rPr>
                <w:color w:val="212121"/>
              </w:rPr>
            </w:pPr>
            <w:r w:rsidRPr="00530CA0">
              <w:t xml:space="preserve">Vielu farmakoloģiskā (arī toksiskā) iedarbība, pirmkārt, ir atkarīga no konkrētas narkotiskās vai psihotropās vielas ķīmiskās struktūras un fizikāli </w:t>
            </w:r>
            <w:r w:rsidRPr="00530CA0">
              <w:lastRenderedPageBreak/>
              <w:t xml:space="preserve">ķīmiskām īpatnībām (šķīdība lipīdos, aktīvo metabolītu veidošanas ātrums u.t.t.). Narkotisko un psihotropo vielu aktivitāti nevar raksturot tikai ar uzņemto devu, bet, galvenokārt, ar ķīmisko struktūru, jo vielas organismā  iedarbojas uz dažādiem receptoriem. Vielu farmakoloģisko iedarbību var raksturot ar efektīvu devu (ED). Letālā deva (LD) raksturo akūto toksicitāti. Nosakot ED un LD, farmakologi izmanto eksperimentālus dzīvniekus. Cilvēkam konkrētas narkotiskās un psihotropās vielas iedarbību uz organismu raksturo arī daži citi faktori (dzimums, vecums, veselības stāvoklis, tolerance u.t.t.). Tāpēc katras konkrētas narkotiskās vai psihotropās vielas efektivitāte atšķiras dažādām personām, savukārt, efektīvo devu nevar noteikt strikti. Vielas efektīvā deva ir atkarīga no pamatiedarbības mehānisma (stimulātori, depresanti, halucinogēni u.c.), ievadīšanas veida, vielas stabilitātes, no kumulācijas organismā, biotransformācijas (metabolisma) ātruma, izvadīšanas mehānisma. Tā, piemēram, </w:t>
            </w:r>
            <w:r w:rsidRPr="00530CA0">
              <w:rPr>
                <w:color w:val="212121"/>
              </w:rPr>
              <w:t>vienas narkotiskas vielas dubulta deva var izraisīt nāvi, taču cita viela nāvi izraisīs tikai, ja tiek lietota, piemēram, desmitkārtīgi lielāka deva.</w:t>
            </w:r>
            <w:r>
              <w:rPr>
                <w:color w:val="212121"/>
              </w:rPr>
              <w:t xml:space="preserve"> </w:t>
            </w:r>
            <w:r w:rsidRPr="00530CA0">
              <w:t xml:space="preserve">Tāpat vēršam uzmanību, ka vielu </w:t>
            </w:r>
            <w:r w:rsidRPr="00530CA0">
              <w:lastRenderedPageBreak/>
              <w:t xml:space="preserve">norādītie apmēri attiecas tikai uz izņemtām tīrām vielām un neattiecas uz bioloģiskām vidēm. Kontrolējamo vielu apmērus nosaka Valsts policijas Kriminālistikas pārvaldes eksperti, veicot izņemto pulveru, drogu, maisījumu izpēti. </w:t>
            </w:r>
          </w:p>
          <w:p w14:paraId="468AE384" w14:textId="77777777" w:rsidR="00E719E2" w:rsidRDefault="00E719E2" w:rsidP="00405422">
            <w:pPr>
              <w:pStyle w:val="xmsonormal"/>
              <w:shd w:val="clear" w:color="auto" w:fill="FFFFFF"/>
              <w:spacing w:before="0" w:beforeAutospacing="0" w:after="0" w:afterAutospacing="0"/>
              <w:jc w:val="both"/>
              <w:rPr>
                <w:color w:val="212121"/>
                <w:shd w:val="clear" w:color="auto" w:fill="FFFFFF"/>
              </w:rPr>
            </w:pPr>
            <w:r w:rsidRPr="00530CA0">
              <w:t>Vienlaikus informējam, ka s</w:t>
            </w:r>
            <w:r w:rsidRPr="00530CA0">
              <w:rPr>
                <w:color w:val="212121"/>
                <w:shd w:val="clear" w:color="auto" w:fill="FFFFFF"/>
              </w:rPr>
              <w:t>askaņā ar Valdības rīcības plāna Deklarācijas par Artura Krišjāņa Kariņa vadītā Ministru kabineta iecerēto darbību īstenošanu (Ministru kabineta 2019.gada 17.maija rīkojums Nr.210) 193.2 punktu, Iekšlietu ministrija sadarbībā ar citām iestādēm plāno vērtēt nepieciešamību paaugstināt apmērus līdz kuriem vielu daudzumi atzīstami par nelieliem.</w:t>
            </w:r>
          </w:p>
          <w:p w14:paraId="5947114C" w14:textId="77777777" w:rsidR="00E719E2" w:rsidRPr="00530CA0" w:rsidRDefault="00E719E2" w:rsidP="00405422">
            <w:pPr>
              <w:pStyle w:val="xmsonormal"/>
              <w:shd w:val="clear" w:color="auto" w:fill="FFFFFF"/>
              <w:spacing w:before="0" w:beforeAutospacing="0" w:after="0" w:afterAutospacing="0"/>
              <w:jc w:val="both"/>
              <w:rPr>
                <w:color w:val="212121"/>
              </w:rPr>
            </w:pPr>
            <w:r w:rsidRPr="00530CA0">
              <w:rPr>
                <w:color w:val="000000"/>
              </w:rPr>
              <w:t>Pēc kontrolējamām vielām noteiktajiem apmēriem vadās tiesībsargājošās iestādes, lai kvalificētu noziedzīgos nodarījumus. Tā, piemēram, atbilstoši Krimināllikuma 253.</w:t>
            </w:r>
            <w:r w:rsidRPr="00530CA0">
              <w:rPr>
                <w:color w:val="000000"/>
                <w:vertAlign w:val="superscript"/>
              </w:rPr>
              <w:t>2</w:t>
            </w:r>
            <w:r w:rsidRPr="00530CA0">
              <w:rPr>
                <w:color w:val="000000"/>
              </w:rPr>
              <w:t> panta otrajai daļai par narkotisko vai psihotropo vielu neatļautu izgatavošanu, iegādāšanos, glabāšanu, pārvadāšanu vai pārsūtīšanu nelielā apmērā realizācijas nolūkā vai par narkotisko vai psihotropo vielu neatļautu realizēšanu nelielā apmērā —</w:t>
            </w:r>
          </w:p>
          <w:p w14:paraId="166F825A" w14:textId="77777777" w:rsidR="00E719E2" w:rsidRPr="00530CA0" w:rsidRDefault="00E719E2" w:rsidP="00405422">
            <w:pPr>
              <w:pStyle w:val="xtv213"/>
              <w:shd w:val="clear" w:color="auto" w:fill="FFFFFF"/>
              <w:spacing w:before="0" w:beforeAutospacing="0" w:after="0" w:afterAutospacing="0" w:line="293" w:lineRule="atLeast"/>
              <w:ind w:firstLine="300"/>
              <w:jc w:val="both"/>
              <w:rPr>
                <w:color w:val="212121"/>
              </w:rPr>
            </w:pPr>
            <w:r w:rsidRPr="00530CA0">
              <w:rPr>
                <w:color w:val="000000"/>
              </w:rPr>
              <w:t xml:space="preserve">soda ar brīvības atņemšanu uz laiku līdz trim gadiem vai ar īslaicīgu brīvības atņemšanu, vai ar piespiedu darbu, vai ar naudas sodu. Savukārt </w:t>
            </w:r>
            <w:r w:rsidRPr="00530CA0">
              <w:rPr>
                <w:color w:val="000000"/>
              </w:rPr>
              <w:lastRenderedPageBreak/>
              <w:t>Krimināllikuma 253. panta otrā daļa nosaka, ka par tādām pašām darbībām, ja tās izdarījusi personu grupa pēc iepriekšējas vienošanās vai ja tās izdarītas ar narkotiskajām vai psihotropajām vielām lielā apmērā, —</w:t>
            </w:r>
          </w:p>
          <w:p w14:paraId="3F284BA8" w14:textId="4EE88632" w:rsidR="00E719E2" w:rsidRPr="0071090D" w:rsidRDefault="00E719E2" w:rsidP="00405422">
            <w:pPr>
              <w:pStyle w:val="naisc"/>
              <w:spacing w:before="0" w:after="0"/>
              <w:ind w:firstLine="720"/>
              <w:jc w:val="both"/>
              <w:rPr>
                <w:b/>
                <w:bCs/>
              </w:rPr>
            </w:pPr>
            <w:r w:rsidRPr="00530CA0">
              <w:rPr>
                <w:color w:val="000000"/>
              </w:rPr>
              <w:t>soda ar brīvības atņemšanu uz laiku no trim līdz desmit gadiem, konfiscējot mantu vai bez mantas konfiskācijas, un ar probācijas uzraudzību uz laiku līdz trim gadiem. </w:t>
            </w:r>
          </w:p>
        </w:tc>
        <w:tc>
          <w:tcPr>
            <w:tcW w:w="2693" w:type="dxa"/>
            <w:tcBorders>
              <w:top w:val="single" w:sz="4" w:space="0" w:color="auto"/>
              <w:left w:val="single" w:sz="4" w:space="0" w:color="auto"/>
              <w:bottom w:val="single" w:sz="4" w:space="0" w:color="auto"/>
            </w:tcBorders>
          </w:tcPr>
          <w:p w14:paraId="635ECF78" w14:textId="4BF08F60" w:rsidR="00A55F83" w:rsidRPr="009C71A0" w:rsidRDefault="00F42596" w:rsidP="00F42596">
            <w:pPr>
              <w:tabs>
                <w:tab w:val="left" w:pos="553"/>
              </w:tabs>
              <w:jc w:val="both"/>
              <w:rPr>
                <w:iCs/>
              </w:rPr>
            </w:pPr>
            <w:r>
              <w:lastRenderedPageBreak/>
              <w:t>Papildināta anotācijas 4. lpp.</w:t>
            </w:r>
            <w:r w:rsidR="00A55F83">
              <w:rPr>
                <w:shd w:val="clear" w:color="auto" w:fill="FFFFFF"/>
              </w:rPr>
              <w:t xml:space="preserve"> </w:t>
            </w:r>
          </w:p>
          <w:p w14:paraId="717D63AF" w14:textId="474A1A91" w:rsidR="00A55F83" w:rsidRPr="00A55F83" w:rsidRDefault="00A55F83" w:rsidP="00E719E2">
            <w:pPr>
              <w:jc w:val="both"/>
            </w:pPr>
            <w:r w:rsidRPr="00A55F83">
              <w:t xml:space="preserve"> </w:t>
            </w:r>
          </w:p>
          <w:p w14:paraId="07EB529D" w14:textId="6FFDAA5B" w:rsidR="00A55F83" w:rsidRPr="002F1A39" w:rsidRDefault="00A55F83" w:rsidP="00E719E2">
            <w:pPr>
              <w:jc w:val="both"/>
            </w:pPr>
          </w:p>
        </w:tc>
      </w:tr>
      <w:tr w:rsidR="00FC5628" w:rsidRPr="008A36C9" w14:paraId="662B1387" w14:textId="77777777" w:rsidTr="00C50FF8">
        <w:tc>
          <w:tcPr>
            <w:tcW w:w="14992" w:type="dxa"/>
            <w:gridSpan w:val="7"/>
            <w:tcBorders>
              <w:top w:val="single" w:sz="6" w:space="0" w:color="000000"/>
              <w:left w:val="single" w:sz="6" w:space="0" w:color="000000"/>
              <w:bottom w:val="single" w:sz="6" w:space="0" w:color="000000"/>
            </w:tcBorders>
          </w:tcPr>
          <w:p w14:paraId="43065D03" w14:textId="497D0960" w:rsidR="00FC5628" w:rsidRPr="002F1A39" w:rsidRDefault="00FC5628" w:rsidP="00FC5628">
            <w:pPr>
              <w:jc w:val="center"/>
            </w:pPr>
            <w:r w:rsidRPr="0071090D">
              <w:rPr>
                <w:b/>
                <w:bCs/>
              </w:rPr>
              <w:lastRenderedPageBreak/>
              <w:t>Latvijas Darba devēju konfederācija</w:t>
            </w:r>
            <w:r>
              <w:rPr>
                <w:b/>
                <w:bCs/>
              </w:rPr>
              <w:t xml:space="preserve"> </w:t>
            </w:r>
            <w:r w:rsidR="001D157D">
              <w:rPr>
                <w:b/>
                <w:bCs/>
              </w:rPr>
              <w:t>08.07.2020.</w:t>
            </w:r>
          </w:p>
        </w:tc>
      </w:tr>
      <w:tr w:rsidR="00E719E2" w:rsidRPr="008A36C9" w14:paraId="4627632E" w14:textId="77777777" w:rsidTr="002F1A39">
        <w:tc>
          <w:tcPr>
            <w:tcW w:w="708" w:type="dxa"/>
            <w:tcBorders>
              <w:top w:val="single" w:sz="6" w:space="0" w:color="000000"/>
              <w:left w:val="single" w:sz="6" w:space="0" w:color="000000"/>
              <w:bottom w:val="single" w:sz="6" w:space="0" w:color="000000"/>
              <w:right w:val="single" w:sz="6" w:space="0" w:color="000000"/>
            </w:tcBorders>
          </w:tcPr>
          <w:p w14:paraId="66D64984" w14:textId="0EB8D9B5" w:rsidR="00E719E2" w:rsidRPr="00530718" w:rsidRDefault="00530718" w:rsidP="00E719E2">
            <w:pPr>
              <w:pStyle w:val="naisc"/>
              <w:spacing w:before="0" w:after="0"/>
            </w:pPr>
            <w:r w:rsidRPr="00530718">
              <w:t>2</w:t>
            </w:r>
          </w:p>
        </w:tc>
        <w:tc>
          <w:tcPr>
            <w:tcW w:w="3369" w:type="dxa"/>
            <w:gridSpan w:val="2"/>
            <w:tcBorders>
              <w:top w:val="single" w:sz="6" w:space="0" w:color="000000"/>
              <w:left w:val="single" w:sz="6" w:space="0" w:color="000000"/>
              <w:bottom w:val="single" w:sz="6" w:space="0" w:color="000000"/>
              <w:right w:val="single" w:sz="6" w:space="0" w:color="000000"/>
            </w:tcBorders>
          </w:tcPr>
          <w:p w14:paraId="0532CC8C" w14:textId="77777777" w:rsidR="00F91FDF" w:rsidRDefault="00F91FDF" w:rsidP="00F91FDF">
            <w:pPr>
              <w:pStyle w:val="naisc"/>
              <w:spacing w:before="0" w:after="0"/>
              <w:jc w:val="both"/>
            </w:pPr>
            <w:r w:rsidRPr="007C491F">
              <w:t>Likuma “Par Krimināllikuma spēkā stāšanās un piemērošanas kārtību” 2. pielikum</w:t>
            </w:r>
            <w:r>
              <w:t>ā iekļautās</w:t>
            </w:r>
            <w:r w:rsidRPr="007C491F">
              <w:t xml:space="preserve"> </w:t>
            </w:r>
            <w:r>
              <w:t>vielas, kurām starp nelieliem un lieliem apmēriem pastāv lielas atšķirības</w:t>
            </w:r>
          </w:p>
          <w:p w14:paraId="3F43B8D6" w14:textId="77777777" w:rsidR="00E719E2" w:rsidRPr="002F1A39" w:rsidRDefault="00E719E2" w:rsidP="00E719E2"/>
          <w:p w14:paraId="1793A5BA" w14:textId="77777777" w:rsidR="00E719E2" w:rsidRPr="002F1A39" w:rsidRDefault="00E719E2" w:rsidP="00E719E2"/>
          <w:p w14:paraId="1FA8D786" w14:textId="77777777" w:rsidR="00E719E2" w:rsidRPr="002F1A39" w:rsidRDefault="00E719E2" w:rsidP="00E719E2"/>
          <w:p w14:paraId="3EC66967" w14:textId="77777777" w:rsidR="00E719E2" w:rsidRPr="002F1A39" w:rsidRDefault="00E719E2" w:rsidP="00E719E2"/>
          <w:p w14:paraId="426F97EF" w14:textId="77777777" w:rsidR="00E719E2" w:rsidRPr="002F1A39" w:rsidRDefault="00E719E2" w:rsidP="00E719E2"/>
          <w:p w14:paraId="6B452FA0" w14:textId="77777777" w:rsidR="00E719E2" w:rsidRPr="002F1A39" w:rsidRDefault="00E719E2" w:rsidP="00E719E2"/>
          <w:p w14:paraId="4EF1ABFE" w14:textId="77777777" w:rsidR="00E719E2" w:rsidRPr="002F1A39" w:rsidRDefault="00E719E2" w:rsidP="00E719E2"/>
          <w:p w14:paraId="0A6C6B21" w14:textId="77777777" w:rsidR="00E719E2" w:rsidRPr="002F1A39" w:rsidRDefault="00E719E2" w:rsidP="00E719E2"/>
          <w:p w14:paraId="1E3E79BE" w14:textId="77777777" w:rsidR="00E719E2" w:rsidRPr="002F1A39" w:rsidRDefault="00E719E2" w:rsidP="00E719E2"/>
          <w:p w14:paraId="3B217B9F" w14:textId="77777777" w:rsidR="00E719E2" w:rsidRPr="002F1A39" w:rsidRDefault="00E719E2" w:rsidP="00E719E2"/>
          <w:p w14:paraId="5182A588" w14:textId="77777777" w:rsidR="00E719E2" w:rsidRPr="002F1A39" w:rsidRDefault="00E719E2" w:rsidP="00E719E2"/>
          <w:p w14:paraId="765D1B61" w14:textId="77777777" w:rsidR="00E719E2" w:rsidRPr="002F1A39" w:rsidRDefault="00E719E2" w:rsidP="00E719E2"/>
          <w:p w14:paraId="5A2A880F" w14:textId="77777777" w:rsidR="00E719E2" w:rsidRPr="002F1A39" w:rsidRDefault="00E719E2" w:rsidP="00E719E2"/>
          <w:p w14:paraId="56368FA4" w14:textId="77777777" w:rsidR="00E719E2" w:rsidRPr="002F1A39" w:rsidRDefault="00E719E2" w:rsidP="00E719E2"/>
          <w:p w14:paraId="3169223B" w14:textId="77777777" w:rsidR="00E719E2" w:rsidRPr="002F1A39" w:rsidRDefault="00E719E2" w:rsidP="00E719E2"/>
          <w:p w14:paraId="70B39BCF" w14:textId="77777777" w:rsidR="00E719E2" w:rsidRDefault="00E719E2" w:rsidP="00E719E2"/>
          <w:p w14:paraId="45CF4909" w14:textId="29530355" w:rsidR="00E719E2" w:rsidRPr="002F1A39" w:rsidRDefault="00E719E2" w:rsidP="00E719E2">
            <w:pPr>
              <w:ind w:firstLine="720"/>
            </w:pPr>
          </w:p>
        </w:tc>
        <w:tc>
          <w:tcPr>
            <w:tcW w:w="4111" w:type="dxa"/>
            <w:tcBorders>
              <w:top w:val="single" w:sz="6" w:space="0" w:color="000000"/>
              <w:left w:val="single" w:sz="6" w:space="0" w:color="000000"/>
              <w:bottom w:val="single" w:sz="6" w:space="0" w:color="000000"/>
              <w:right w:val="single" w:sz="6" w:space="0" w:color="000000"/>
            </w:tcBorders>
          </w:tcPr>
          <w:p w14:paraId="7C29819F" w14:textId="77777777" w:rsidR="00E719E2" w:rsidRPr="007C491F" w:rsidRDefault="00E719E2" w:rsidP="00E719E2">
            <w:pPr>
              <w:jc w:val="both"/>
              <w:rPr>
                <w:color w:val="000000"/>
              </w:rPr>
            </w:pPr>
            <w:r w:rsidRPr="007C491F">
              <w:rPr>
                <w:color w:val="000000"/>
                <w:shd w:val="clear" w:color="auto" w:fill="FFFFFF"/>
              </w:rPr>
              <w:lastRenderedPageBreak/>
              <w:t xml:space="preserve">Pirmajā sarakstā ietvertajām vielām ir nesamērīgi lielas atšķirības starp pozīciju </w:t>
            </w:r>
            <w:r w:rsidRPr="007C491F">
              <w:rPr>
                <w:color w:val="000000"/>
              </w:rPr>
              <w:t xml:space="preserve">“Apmērs, līdz kuram daudzumi atzīstami par nelieliem” un </w:t>
            </w:r>
            <w:r w:rsidRPr="007C491F">
              <w:rPr>
                <w:color w:val="000000"/>
                <w:shd w:val="clear" w:color="auto" w:fill="FFFFFF"/>
              </w:rPr>
              <w:t xml:space="preserve">pozīciju </w:t>
            </w:r>
            <w:r w:rsidRPr="007C491F">
              <w:rPr>
                <w:color w:val="000000"/>
              </w:rPr>
              <w:t xml:space="preserve">“Apmērs, sākot ar kuru daudzumi atzīstami par lieliem”. </w:t>
            </w:r>
          </w:p>
          <w:p w14:paraId="5F5E9B9C" w14:textId="77777777" w:rsidR="00E719E2" w:rsidRPr="007C491F" w:rsidRDefault="00E719E2" w:rsidP="00E719E2">
            <w:pPr>
              <w:jc w:val="both"/>
              <w:rPr>
                <w:color w:val="000000"/>
              </w:rPr>
            </w:pPr>
            <w:r w:rsidRPr="007C491F">
              <w:rPr>
                <w:color w:val="000000"/>
              </w:rPr>
              <w:t xml:space="preserve">Attiecība starp nelieliem un lieliem apmēriem ir sākot no viens pret divi (piemēram, 11.tabula 21. un 22.pozīcija) līdz viens pret tūkstoti divi (piemēram, 6.tabula 1.pozīcija, 9.tabula 2.un 3.pozīcija u.c.). Tas nozīmē, ka daļai narkotisko vielu daudzums, kas atzīstams par lielu, tikai divkārt pārsniedz nelielu apmēru, savukārt citām vielām daudzums, kas atzīstams par lielu, simtkārt un pat tūkstoškārt pārsniedz nelielu apmēru. LDDK ieskatā šāds diapazons ir pārāk plašs. </w:t>
            </w:r>
          </w:p>
          <w:p w14:paraId="3C31B051" w14:textId="7526A1C7" w:rsidR="00E719E2" w:rsidRPr="008A36C9" w:rsidRDefault="00E719E2" w:rsidP="00E719E2">
            <w:pPr>
              <w:pStyle w:val="naisc"/>
              <w:spacing w:before="0" w:after="0"/>
              <w:ind w:firstLine="720"/>
              <w:rPr>
                <w:sz w:val="20"/>
                <w:szCs w:val="20"/>
              </w:rPr>
            </w:pPr>
          </w:p>
        </w:tc>
        <w:tc>
          <w:tcPr>
            <w:tcW w:w="4111" w:type="dxa"/>
            <w:gridSpan w:val="2"/>
            <w:tcBorders>
              <w:top w:val="single" w:sz="6" w:space="0" w:color="000000"/>
              <w:left w:val="single" w:sz="6" w:space="0" w:color="000000"/>
              <w:bottom w:val="single" w:sz="6" w:space="0" w:color="000000"/>
              <w:right w:val="single" w:sz="6" w:space="0" w:color="000000"/>
            </w:tcBorders>
          </w:tcPr>
          <w:p w14:paraId="457A030D" w14:textId="11F777FA" w:rsidR="00E719E2" w:rsidRDefault="004A6A74" w:rsidP="004A6A74">
            <w:pPr>
              <w:pStyle w:val="naisc"/>
              <w:spacing w:before="0" w:after="0"/>
              <w:jc w:val="both"/>
              <w:rPr>
                <w:b/>
                <w:bCs/>
              </w:rPr>
            </w:pPr>
            <w:r>
              <w:rPr>
                <w:b/>
                <w:bCs/>
              </w:rPr>
              <w:t>Par iebildumu 03.09.20. starpinstitūciju sanāksmē panākta vienošanās</w:t>
            </w:r>
            <w:r w:rsidR="00F42596">
              <w:rPr>
                <w:b/>
                <w:bCs/>
              </w:rPr>
              <w:t xml:space="preserve"> </w:t>
            </w:r>
            <w:r w:rsidR="00F42596" w:rsidRPr="00F42596">
              <w:t>(skat. 1. iebildumu)</w:t>
            </w:r>
          </w:p>
          <w:p w14:paraId="3BEA1BDE" w14:textId="77777777" w:rsidR="00B143DB" w:rsidRDefault="00B143DB" w:rsidP="00E719E2">
            <w:pPr>
              <w:pStyle w:val="naisc"/>
              <w:spacing w:before="0" w:after="0"/>
              <w:jc w:val="both"/>
            </w:pPr>
          </w:p>
          <w:p w14:paraId="4CF39A21" w14:textId="7B09A41E" w:rsidR="00E719E2" w:rsidRPr="00906B97" w:rsidRDefault="00E719E2" w:rsidP="00E719E2">
            <w:pPr>
              <w:pStyle w:val="naisc"/>
              <w:spacing w:before="0" w:after="0"/>
              <w:jc w:val="both"/>
            </w:pPr>
            <w:r w:rsidRPr="00906B97">
              <w:t xml:space="preserve">Likuma “Par Krimināllikuma spēkā stāšanās un piemērošanas kārtību” 2. pielikuma 1. punkts nosaka, ka vielām </w:t>
            </w:r>
            <w:r w:rsidRPr="00906B97">
              <w:rPr>
                <w:shd w:val="clear" w:color="auto" w:fill="FFFFFF"/>
              </w:rPr>
              <w:t>iedalījumu apmēri noteikti, ņemot vērā nelikumīgā apritē esošo narkotisko un psihotropo vielu kaitējumu cilvēka veselībai un bīstamības pakāpi.</w:t>
            </w:r>
          </w:p>
          <w:p w14:paraId="5D5A3C89" w14:textId="77777777" w:rsidR="00E719E2" w:rsidRDefault="00E719E2" w:rsidP="00E719E2">
            <w:pPr>
              <w:pStyle w:val="naisc"/>
              <w:spacing w:before="0" w:after="0"/>
              <w:jc w:val="both"/>
            </w:pPr>
            <w:r>
              <w:t xml:space="preserve">Nav pamata apšaubīt daudzu gadu garumā narkotisko un psihotropo vielu, farmācijas un ķīmijas ekspertu noteiktos apmērus I sarakstā iekļautajām vielām. Vēl jo vairāk, ka likumprojekti, kas paredz jaunu vielu aizliegšanu vai pakļaušanu kontrolei, nosakot tām arī apmērus, vienmēr tiek skaņoti arī ar </w:t>
            </w:r>
            <w:r>
              <w:lastRenderedPageBreak/>
              <w:t xml:space="preserve">Latvijas Organiskās sintēzes institūta ekspertiem. </w:t>
            </w:r>
          </w:p>
          <w:p w14:paraId="169F6FC7" w14:textId="251BC34D" w:rsidR="00E719E2" w:rsidRDefault="00E719E2" w:rsidP="00E719E2">
            <w:pPr>
              <w:pStyle w:val="naisc"/>
              <w:spacing w:before="0" w:after="0"/>
              <w:jc w:val="both"/>
            </w:pPr>
            <w:r>
              <w:t xml:space="preserve">Daudzu gadu garumā tiesībsargājošās iestādes ir strādājušas, vadoties pēc likumā vielām noteiktajiem apmēriem, un līdz šim eksperti, kas praksē piemēro minētās normas, nav vērsuši Veselības ministrijas uzmanību uz noteikto apmēru diapazona nesamērīgumu. </w:t>
            </w:r>
          </w:p>
          <w:p w14:paraId="5945E94B" w14:textId="283B9AA0" w:rsidR="00E719E2" w:rsidRPr="00906B97" w:rsidRDefault="00E719E2" w:rsidP="00E719E2">
            <w:pPr>
              <w:pStyle w:val="naisc"/>
              <w:spacing w:before="0" w:after="0"/>
              <w:jc w:val="both"/>
            </w:pPr>
            <w:r>
              <w:t>Aicinām LDDK sniegt zinātniskos pētījumus par I sarakstā iekļauto vielu ietekmi uz cilvēka organismu, kas pierādītu likumā vielām noteikto apmēru nesamērīgumu.</w:t>
            </w:r>
          </w:p>
        </w:tc>
        <w:tc>
          <w:tcPr>
            <w:tcW w:w="2693" w:type="dxa"/>
            <w:tcBorders>
              <w:top w:val="single" w:sz="4" w:space="0" w:color="auto"/>
              <w:left w:val="single" w:sz="4" w:space="0" w:color="auto"/>
              <w:bottom w:val="single" w:sz="4" w:space="0" w:color="auto"/>
            </w:tcBorders>
          </w:tcPr>
          <w:p w14:paraId="130F1F10" w14:textId="66B93089" w:rsidR="00E719E2" w:rsidRPr="002F1A39" w:rsidRDefault="00F42596" w:rsidP="00E719E2">
            <w:pPr>
              <w:jc w:val="both"/>
            </w:pPr>
            <w:r>
              <w:lastRenderedPageBreak/>
              <w:t>Papildināta anotācijas 4.lpp.</w:t>
            </w:r>
          </w:p>
        </w:tc>
      </w:tr>
      <w:tr w:rsidR="00E719E2" w:rsidRPr="00712B66" w14:paraId="3456F19B" w14:textId="77777777" w:rsidTr="008A44D6">
        <w:tc>
          <w:tcPr>
            <w:tcW w:w="14992" w:type="dxa"/>
            <w:gridSpan w:val="7"/>
            <w:tcBorders>
              <w:top w:val="single" w:sz="6" w:space="0" w:color="000000"/>
              <w:left w:val="single" w:sz="6" w:space="0" w:color="000000"/>
              <w:bottom w:val="single" w:sz="6" w:space="0" w:color="000000"/>
            </w:tcBorders>
            <w:vAlign w:val="center"/>
          </w:tcPr>
          <w:p w14:paraId="262A0036" w14:textId="13590FDE" w:rsidR="00E719E2" w:rsidRPr="00177628" w:rsidRDefault="00E719E2" w:rsidP="00E719E2">
            <w:pPr>
              <w:jc w:val="center"/>
              <w:rPr>
                <w:b/>
                <w:bCs/>
              </w:rPr>
            </w:pPr>
            <w:r w:rsidRPr="00177628">
              <w:rPr>
                <w:b/>
                <w:bCs/>
              </w:rPr>
              <w:t>Tieslietu ministrija</w:t>
            </w:r>
            <w:r>
              <w:rPr>
                <w:b/>
                <w:bCs/>
              </w:rPr>
              <w:t xml:space="preserve"> 02.07.2020.</w:t>
            </w:r>
          </w:p>
        </w:tc>
      </w:tr>
      <w:tr w:rsidR="00E719E2" w:rsidRPr="003B71E0" w14:paraId="713E6481" w14:textId="77777777" w:rsidTr="006E0657">
        <w:tc>
          <w:tcPr>
            <w:tcW w:w="708" w:type="dxa"/>
            <w:tcBorders>
              <w:top w:val="single" w:sz="6" w:space="0" w:color="000000"/>
              <w:left w:val="single" w:sz="6" w:space="0" w:color="000000"/>
              <w:bottom w:val="single" w:sz="6" w:space="0" w:color="000000"/>
              <w:right w:val="single" w:sz="6" w:space="0" w:color="000000"/>
            </w:tcBorders>
          </w:tcPr>
          <w:p w14:paraId="349649CE" w14:textId="0CD9E1D5" w:rsidR="00E719E2" w:rsidRPr="00CB29BE" w:rsidRDefault="00E719E2" w:rsidP="00E719E2">
            <w:pPr>
              <w:pStyle w:val="naisc"/>
              <w:spacing w:before="0" w:after="0"/>
            </w:pPr>
            <w:r w:rsidRPr="00CB29BE">
              <w:t>3</w:t>
            </w:r>
          </w:p>
        </w:tc>
        <w:tc>
          <w:tcPr>
            <w:tcW w:w="3369" w:type="dxa"/>
            <w:gridSpan w:val="2"/>
            <w:tcBorders>
              <w:top w:val="single" w:sz="6" w:space="0" w:color="000000"/>
              <w:left w:val="single" w:sz="6" w:space="0" w:color="000000"/>
              <w:bottom w:val="single" w:sz="6" w:space="0" w:color="000000"/>
              <w:right w:val="single" w:sz="6" w:space="0" w:color="000000"/>
            </w:tcBorders>
          </w:tcPr>
          <w:p w14:paraId="7B6A94DA" w14:textId="77777777" w:rsidR="00E719E2" w:rsidRPr="003B71E0" w:rsidRDefault="00E719E2" w:rsidP="00E719E2">
            <w:pPr>
              <w:pStyle w:val="NormalWeb"/>
              <w:shd w:val="clear" w:color="auto" w:fill="FFFFFF"/>
              <w:spacing w:before="0" w:beforeAutospacing="0" w:after="0" w:afterAutospacing="0"/>
              <w:jc w:val="both"/>
              <w:rPr>
                <w:sz w:val="20"/>
                <w:szCs w:val="20"/>
              </w:rPr>
            </w:pPr>
          </w:p>
        </w:tc>
        <w:tc>
          <w:tcPr>
            <w:tcW w:w="4111" w:type="dxa"/>
            <w:tcBorders>
              <w:top w:val="single" w:sz="6" w:space="0" w:color="000000"/>
              <w:left w:val="single" w:sz="6" w:space="0" w:color="000000"/>
              <w:bottom w:val="single" w:sz="6" w:space="0" w:color="000000"/>
              <w:right w:val="single" w:sz="6" w:space="0" w:color="000000"/>
            </w:tcBorders>
          </w:tcPr>
          <w:p w14:paraId="600061C6" w14:textId="69C4A488" w:rsidR="00E719E2" w:rsidRPr="0099110F" w:rsidRDefault="00E719E2" w:rsidP="00E719E2">
            <w:pPr>
              <w:spacing w:line="264" w:lineRule="auto"/>
              <w:jc w:val="both"/>
            </w:pPr>
            <w:r>
              <w:t xml:space="preserve">Likumprojekta 9. pants paredz apvienot </w:t>
            </w:r>
            <w:r w:rsidRPr="005D360B">
              <w:t>likum</w:t>
            </w:r>
            <w:r>
              <w:t>a</w:t>
            </w:r>
            <w:r w:rsidRPr="005D360B">
              <w:t xml:space="preserve"> "Par Krimināllikuma spēkā stāšanās un piemērošanas kārtību"</w:t>
            </w:r>
            <w:r>
              <w:t xml:space="preserve"> 2. pielikuma 8.1., 8.2. un 8.3. tabulas un no tām vielas fenetilīns, fenproporekss, fentermīns, mefenorekss pārvietot uz Amfetamīnu grupu, vielas psilocīns (psilotsīns), psilocibīns pārvietot uz Triptamīnu grupu, un vielas tenociklidīns (TCP), eticiklidīns (PCE), roliciklidīns (PHP, PCPY) pārvietot uz 1-Arilcikoloheksilamīni grupu. Tomēr no Likumprojekta anotācijas neizriet nepieciešamības pamatojums mainīt minēto vielu atrašanās vietu.</w:t>
            </w:r>
          </w:p>
        </w:tc>
        <w:tc>
          <w:tcPr>
            <w:tcW w:w="4111" w:type="dxa"/>
            <w:gridSpan w:val="2"/>
            <w:tcBorders>
              <w:top w:val="single" w:sz="6" w:space="0" w:color="000000"/>
              <w:left w:val="single" w:sz="6" w:space="0" w:color="000000"/>
              <w:bottom w:val="single" w:sz="6" w:space="0" w:color="000000"/>
              <w:right w:val="single" w:sz="6" w:space="0" w:color="000000"/>
            </w:tcBorders>
          </w:tcPr>
          <w:p w14:paraId="36B8D37D" w14:textId="77777777" w:rsidR="00E719E2" w:rsidRDefault="00E719E2" w:rsidP="00E719E2">
            <w:pPr>
              <w:pStyle w:val="naisc"/>
              <w:spacing w:before="0" w:after="0"/>
              <w:rPr>
                <w:b/>
                <w:bCs/>
              </w:rPr>
            </w:pPr>
            <w:r w:rsidRPr="00177628">
              <w:rPr>
                <w:b/>
                <w:bCs/>
              </w:rPr>
              <w:t>Ņemts vērā</w:t>
            </w:r>
          </w:p>
          <w:p w14:paraId="09B3C9D1" w14:textId="18544092" w:rsidR="00E719E2" w:rsidRPr="00585D60" w:rsidRDefault="00E719E2" w:rsidP="00E719E2">
            <w:pPr>
              <w:pStyle w:val="naisc"/>
              <w:spacing w:before="0" w:after="0"/>
              <w:rPr>
                <w:sz w:val="20"/>
                <w:szCs w:val="20"/>
              </w:rPr>
            </w:pPr>
            <w:r>
              <w:t>Sniegts papildu skaidrojums anotācijā</w:t>
            </w:r>
          </w:p>
        </w:tc>
        <w:tc>
          <w:tcPr>
            <w:tcW w:w="2693" w:type="dxa"/>
            <w:tcBorders>
              <w:top w:val="single" w:sz="4" w:space="0" w:color="auto"/>
              <w:left w:val="single" w:sz="4" w:space="0" w:color="auto"/>
              <w:bottom w:val="single" w:sz="4" w:space="0" w:color="auto"/>
            </w:tcBorders>
          </w:tcPr>
          <w:p w14:paraId="5299CC45" w14:textId="601EDC93" w:rsidR="00E719E2" w:rsidRPr="007650E2" w:rsidRDefault="00E719E2" w:rsidP="00E719E2">
            <w:pPr>
              <w:pStyle w:val="NormalWeb"/>
              <w:shd w:val="clear" w:color="auto" w:fill="FFFFFF"/>
              <w:spacing w:before="120" w:beforeAutospacing="0" w:after="120" w:afterAutospacing="0"/>
              <w:jc w:val="both"/>
            </w:pPr>
          </w:p>
        </w:tc>
      </w:tr>
      <w:tr w:rsidR="00E719E2" w:rsidRPr="00712B66" w14:paraId="17140D26" w14:textId="77777777" w:rsidTr="006E0657">
        <w:tc>
          <w:tcPr>
            <w:tcW w:w="708" w:type="dxa"/>
            <w:tcBorders>
              <w:left w:val="single" w:sz="6" w:space="0" w:color="000000"/>
              <w:bottom w:val="single" w:sz="4" w:space="0" w:color="auto"/>
              <w:right w:val="single" w:sz="6" w:space="0" w:color="000000"/>
            </w:tcBorders>
          </w:tcPr>
          <w:p w14:paraId="01A2A938" w14:textId="69762434" w:rsidR="00E719E2" w:rsidRPr="00712B66" w:rsidRDefault="00E719E2" w:rsidP="00E719E2">
            <w:pPr>
              <w:pStyle w:val="naisc"/>
              <w:spacing w:before="0" w:after="0"/>
              <w:ind w:firstLine="720"/>
            </w:pPr>
            <w:r>
              <w:lastRenderedPageBreak/>
              <w:t>24</w:t>
            </w:r>
          </w:p>
        </w:tc>
        <w:tc>
          <w:tcPr>
            <w:tcW w:w="3369" w:type="dxa"/>
            <w:gridSpan w:val="2"/>
            <w:tcBorders>
              <w:left w:val="single" w:sz="6" w:space="0" w:color="000000"/>
              <w:bottom w:val="single" w:sz="4" w:space="0" w:color="auto"/>
              <w:right w:val="single" w:sz="6" w:space="0" w:color="000000"/>
            </w:tcBorders>
          </w:tcPr>
          <w:p w14:paraId="584282AA" w14:textId="77777777" w:rsidR="00E719E2" w:rsidRPr="00712B66" w:rsidRDefault="00E719E2" w:rsidP="00E719E2">
            <w:pPr>
              <w:pStyle w:val="naisc"/>
              <w:spacing w:before="0" w:after="0"/>
              <w:ind w:firstLine="720"/>
            </w:pPr>
          </w:p>
        </w:tc>
        <w:tc>
          <w:tcPr>
            <w:tcW w:w="4111" w:type="dxa"/>
            <w:tcBorders>
              <w:left w:val="single" w:sz="6" w:space="0" w:color="000000"/>
              <w:bottom w:val="single" w:sz="4" w:space="0" w:color="auto"/>
              <w:right w:val="single" w:sz="6" w:space="0" w:color="000000"/>
            </w:tcBorders>
          </w:tcPr>
          <w:p w14:paraId="0C51E6B2" w14:textId="11A7B482" w:rsidR="00E719E2" w:rsidRPr="00712B66" w:rsidRDefault="00E719E2" w:rsidP="00E719E2">
            <w:pPr>
              <w:spacing w:line="264" w:lineRule="auto"/>
              <w:jc w:val="both"/>
            </w:pPr>
            <w:r>
              <w:t>Atbilstoši Likumprojektam daļai vielu (fenetilīns,</w:t>
            </w:r>
            <w:r w:rsidRPr="004E04C9">
              <w:t xml:space="preserve"> fenproporekss, fentermīns, mefenorekss</w:t>
            </w:r>
            <w:r>
              <w:t>,</w:t>
            </w:r>
            <w:r w:rsidRPr="004E04C9">
              <w:t xml:space="preserve"> psilocīns (psilotsīns), psilocibīns</w:t>
            </w:r>
            <w:r>
              <w:t xml:space="preserve">), iekļaujoties kādā no vielu grupām, mainās arī tām iepriekš noteiktie apmēri. Piemēram, kriminālatbildība atbilstoši spēkā esošajai redakcijai par nelikumīgām darbībām ar vielu fenetelīns iestājas, ja tās svars pārsniedz 0,03 gramus, tomēr piedāvātā redakcija, kas ir nelabvēlīga personai, jo atzīst nodarījumu par vairāk sodāmu, paredz kriminālatbildību par nelikumīgām darbībām ar vielu fenetelīns, ja tās svars pārsniedz 0,02 gramus. Vēršam uzmanību, ka anotācijā šādai vielu apmēra maiņas nepieciešamībai, nav sniegts pamatojums. </w:t>
            </w:r>
          </w:p>
        </w:tc>
        <w:tc>
          <w:tcPr>
            <w:tcW w:w="4111" w:type="dxa"/>
            <w:gridSpan w:val="2"/>
            <w:tcBorders>
              <w:left w:val="single" w:sz="6" w:space="0" w:color="000000"/>
              <w:bottom w:val="single" w:sz="4" w:space="0" w:color="auto"/>
              <w:right w:val="single" w:sz="6" w:space="0" w:color="000000"/>
            </w:tcBorders>
          </w:tcPr>
          <w:p w14:paraId="3BD651E0" w14:textId="77777777" w:rsidR="00E719E2" w:rsidRDefault="00E719E2" w:rsidP="00E719E2">
            <w:pPr>
              <w:pStyle w:val="naisc"/>
              <w:spacing w:before="0" w:after="0"/>
              <w:rPr>
                <w:b/>
                <w:bCs/>
              </w:rPr>
            </w:pPr>
            <w:r w:rsidRPr="00177628">
              <w:rPr>
                <w:b/>
                <w:bCs/>
              </w:rPr>
              <w:t>Ņemts vērā</w:t>
            </w:r>
          </w:p>
          <w:p w14:paraId="3D0BF7BB" w14:textId="6F2277A1" w:rsidR="00E719E2" w:rsidRPr="00712B66" w:rsidRDefault="00E719E2" w:rsidP="00E719E2">
            <w:pPr>
              <w:pStyle w:val="naisc"/>
              <w:spacing w:before="0" w:after="0"/>
            </w:pPr>
            <w:r>
              <w:t>Sniegts papildu skaidrojums anotācijā</w:t>
            </w:r>
          </w:p>
        </w:tc>
        <w:tc>
          <w:tcPr>
            <w:tcW w:w="2693" w:type="dxa"/>
            <w:tcBorders>
              <w:top w:val="single" w:sz="4" w:space="0" w:color="auto"/>
              <w:left w:val="single" w:sz="4" w:space="0" w:color="auto"/>
              <w:bottom w:val="single" w:sz="4" w:space="0" w:color="auto"/>
            </w:tcBorders>
          </w:tcPr>
          <w:p w14:paraId="0F2B9C33" w14:textId="329D3B63" w:rsidR="00E719E2" w:rsidRPr="00712B66" w:rsidRDefault="00E719E2" w:rsidP="00E719E2"/>
        </w:tc>
      </w:tr>
      <w:tr w:rsidR="00E719E2" w:rsidRPr="00712B66" w14:paraId="5A8560F5" w14:textId="77777777" w:rsidTr="006E0657">
        <w:tc>
          <w:tcPr>
            <w:tcW w:w="708" w:type="dxa"/>
            <w:tcBorders>
              <w:left w:val="single" w:sz="6" w:space="0" w:color="000000"/>
              <w:bottom w:val="single" w:sz="4" w:space="0" w:color="auto"/>
              <w:right w:val="single" w:sz="6" w:space="0" w:color="000000"/>
            </w:tcBorders>
          </w:tcPr>
          <w:p w14:paraId="2F1EF60E" w14:textId="29E1736F" w:rsidR="00E719E2" w:rsidRDefault="00E719E2" w:rsidP="00E719E2">
            <w:pPr>
              <w:pStyle w:val="naisc"/>
              <w:spacing w:before="0" w:after="0"/>
              <w:ind w:firstLine="720"/>
            </w:pPr>
            <w:r>
              <w:t>25</w:t>
            </w:r>
          </w:p>
        </w:tc>
        <w:tc>
          <w:tcPr>
            <w:tcW w:w="3369" w:type="dxa"/>
            <w:gridSpan w:val="2"/>
            <w:tcBorders>
              <w:left w:val="single" w:sz="6" w:space="0" w:color="000000"/>
              <w:bottom w:val="single" w:sz="4" w:space="0" w:color="auto"/>
              <w:right w:val="single" w:sz="6" w:space="0" w:color="000000"/>
            </w:tcBorders>
          </w:tcPr>
          <w:p w14:paraId="32CEE594" w14:textId="77777777" w:rsidR="00E719E2" w:rsidRPr="007650E2" w:rsidRDefault="00E719E2" w:rsidP="00E719E2">
            <w:pPr>
              <w:jc w:val="center"/>
              <w:rPr>
                <w:b/>
                <w:bCs/>
                <w:bdr w:val="none" w:sz="0" w:space="0" w:color="auto" w:frame="1"/>
                <w:shd w:val="clear" w:color="auto" w:fill="FFFFFF"/>
              </w:rPr>
            </w:pPr>
            <w:r w:rsidRPr="007650E2">
              <w:rPr>
                <w:b/>
                <w:bCs/>
                <w:bdr w:val="none" w:sz="0" w:space="0" w:color="auto" w:frame="1"/>
                <w:shd w:val="clear" w:color="auto" w:fill="FFFFFF"/>
              </w:rPr>
              <w:t>Pārejas noteikums</w:t>
            </w:r>
          </w:p>
          <w:p w14:paraId="464A3D8D" w14:textId="77777777" w:rsidR="00E719E2" w:rsidRPr="007650E2" w:rsidRDefault="00E719E2" w:rsidP="00E719E2">
            <w:pPr>
              <w:pStyle w:val="NormalWeb"/>
              <w:shd w:val="clear" w:color="auto" w:fill="FFFFFF"/>
              <w:spacing w:before="0" w:beforeAutospacing="0" w:after="0" w:afterAutospacing="0"/>
              <w:jc w:val="both"/>
            </w:pPr>
            <w:r w:rsidRPr="007650E2">
              <w:t xml:space="preserve">Par noziedzīgiem nodarījumiem ar I, II, III un IV sarakstā iekļautām narkotiskām vielām, psihotropām vielām un prekursoriem, kas izdarīti līdz šā likuma spēkā stāšanās dienai, minēto vielu iedalījumu apmēri nosakāmi saskaņā ar tām likuma “Par Krimināllikuma spēkā stāšanās un piemērošanas </w:t>
            </w:r>
            <w:r w:rsidRPr="007650E2">
              <w:lastRenderedPageBreak/>
              <w:t>kārtību” normām, kas bija spēkā šā nodarījuma izdarīšanas laikā.</w:t>
            </w:r>
          </w:p>
          <w:p w14:paraId="51D2410A" w14:textId="77777777" w:rsidR="00E719E2" w:rsidRPr="00712B66" w:rsidRDefault="00E719E2" w:rsidP="00E719E2">
            <w:pPr>
              <w:pStyle w:val="naisc"/>
              <w:spacing w:before="0" w:after="0"/>
              <w:ind w:firstLine="720"/>
            </w:pPr>
          </w:p>
        </w:tc>
        <w:tc>
          <w:tcPr>
            <w:tcW w:w="4111" w:type="dxa"/>
            <w:tcBorders>
              <w:left w:val="single" w:sz="6" w:space="0" w:color="000000"/>
              <w:bottom w:val="single" w:sz="4" w:space="0" w:color="auto"/>
              <w:right w:val="single" w:sz="6" w:space="0" w:color="000000"/>
            </w:tcBorders>
          </w:tcPr>
          <w:p w14:paraId="3D92BE29" w14:textId="4EF64840" w:rsidR="00E719E2" w:rsidRPr="00E547FE" w:rsidRDefault="00E719E2" w:rsidP="00E719E2">
            <w:pPr>
              <w:spacing w:line="264" w:lineRule="auto"/>
              <w:jc w:val="both"/>
              <w:rPr>
                <w:iCs/>
              </w:rPr>
            </w:pPr>
            <w:r>
              <w:lastRenderedPageBreak/>
              <w:t xml:space="preserve">Likumprojekta 10. pants paredz Likuma 2. pielikuma 10. punkta 1., 3., 5. un 6. apakšpunktā kontrolei pakļautos augus sadalīt izžāvētos un neizžāvētos augos, nosakot arīdzan to apmērus. Atbilstoši spēkā esošajai Likuma redakcijai kriminālatbildība par nelikumīgām darbībām, piemēram, ar </w:t>
            </w:r>
            <w:r>
              <w:rPr>
                <w:i/>
                <w:iCs/>
              </w:rPr>
              <w:t>Catha edulis</w:t>
            </w:r>
            <w:r>
              <w:t xml:space="preserve">, neatkarīgi no tā, vai minētais augs ir izžāvēts vai neizžāvēts, </w:t>
            </w:r>
            <w:r>
              <w:lastRenderedPageBreak/>
              <w:t xml:space="preserve">iestājas, ja tā svars pārsniedz 100 gramus. Turpretī atbilstoši Likumprojektā piedāvātajai normas redakcijai kriminālatbildība par nelikumīgām darbībām ar </w:t>
            </w:r>
            <w:bookmarkStart w:id="0" w:name="_Hlk44513625"/>
            <w:r>
              <w:rPr>
                <w:i/>
                <w:iCs/>
              </w:rPr>
              <w:t>Catha edulis</w:t>
            </w:r>
            <w:bookmarkEnd w:id="0"/>
            <w:r>
              <w:rPr>
                <w:iCs/>
              </w:rPr>
              <w:t xml:space="preserve">, ja tā svars pārsniedz 100 gramus, iestājas tikai tad, ja tas ir izžāvēts. Par neizžāvētu </w:t>
            </w:r>
            <w:r>
              <w:rPr>
                <w:i/>
              </w:rPr>
              <w:t>Catha edulis</w:t>
            </w:r>
            <w:r>
              <w:rPr>
                <w:iCs/>
              </w:rPr>
              <w:t xml:space="preserve"> kriminālatbildība iestāsies vien tad, ja tā svars pārsniegs 1 kilogramu. Līdzīgu situāciju iespējams konstatēt arīdzan ar tādiem augiem kā</w:t>
            </w:r>
            <w:r w:rsidRPr="00E547FE">
              <w:t xml:space="preserve"> </w:t>
            </w:r>
            <w:bookmarkStart w:id="1" w:name="_Hlk44513637"/>
            <w:r w:rsidRPr="00E547FE">
              <w:rPr>
                <w:i/>
              </w:rPr>
              <w:t>mitragyna speciosa (kratom)</w:t>
            </w:r>
            <w:r w:rsidRPr="00E547FE">
              <w:rPr>
                <w:iCs/>
              </w:rPr>
              <w:t xml:space="preserve"> un </w:t>
            </w:r>
            <w:r w:rsidRPr="00E547FE">
              <w:rPr>
                <w:i/>
              </w:rPr>
              <w:t>salvia divinorum</w:t>
            </w:r>
            <w:r>
              <w:rPr>
                <w:iCs/>
              </w:rPr>
              <w:t>.</w:t>
            </w:r>
            <w:bookmarkEnd w:id="1"/>
          </w:p>
          <w:p w14:paraId="0A160131" w14:textId="4195FFF0" w:rsidR="00E719E2" w:rsidRDefault="00E719E2" w:rsidP="00E719E2">
            <w:pPr>
              <w:spacing w:line="264" w:lineRule="auto"/>
              <w:jc w:val="both"/>
            </w:pPr>
            <w:r>
              <w:t xml:space="preserve">Šajā sakarā vēršam uzmanību, ka saskaņā ar Krimināllikuma 5. panta otro daļu Likumprojekta 10. pants tādiem nežāvētiem augiem kā </w:t>
            </w:r>
            <w:r w:rsidRPr="00F8482F">
              <w:rPr>
                <w:i/>
                <w:iCs/>
              </w:rPr>
              <w:t>Catha edulis</w:t>
            </w:r>
            <w:r>
              <w:t>,</w:t>
            </w:r>
            <w:r w:rsidRPr="00F8482F">
              <w:t xml:space="preserve"> </w:t>
            </w:r>
            <w:r w:rsidRPr="00F8482F">
              <w:rPr>
                <w:i/>
                <w:iCs/>
              </w:rPr>
              <w:t>mitragyna speciosa (kratom)</w:t>
            </w:r>
            <w:r w:rsidRPr="00F8482F">
              <w:t xml:space="preserve"> un </w:t>
            </w:r>
            <w:r w:rsidRPr="00F8482F">
              <w:rPr>
                <w:i/>
                <w:iCs/>
              </w:rPr>
              <w:t>salvia divinorum</w:t>
            </w:r>
            <w:r>
              <w:t xml:space="preserve"> apmērā līdz 999 gramiem turpmāk paredz nepiemērot kriminālatbildību, kas nozīmē, ka apmērā līdz 999 gramiem darbības ar minētajām vielām ir paredzēts dekriminalizēt. Savukārt Likumprojekta pārejas noteikums noteic, ka par </w:t>
            </w:r>
            <w:r w:rsidRPr="00A209ED">
              <w:t xml:space="preserve">noziedzīgiem nodarījumiem ar I, II, III un IV sarakstā iekļautām narkotiskām vielām, psihotropām vielām un prekursoriem, kas izdarīti līdz šā likuma </w:t>
            </w:r>
            <w:r w:rsidRPr="00A209ED">
              <w:lastRenderedPageBreak/>
              <w:t xml:space="preserve">spēkā stāšanās dienai, minēto vielu iedalījumu apmēri nosakāmi saskaņā ar tām </w:t>
            </w:r>
            <w:r>
              <w:t>L</w:t>
            </w:r>
            <w:r w:rsidRPr="00A209ED">
              <w:t>ikuma normām, kas bija spēkā šā nodarījuma izdarīšanas laikā.</w:t>
            </w:r>
            <w:r>
              <w:t xml:space="preserve"> Saskaņā ar Krimināllikuma 5. panta otro daļu l</w:t>
            </w:r>
            <w:r w:rsidRPr="002C2E29">
              <w:t>ikumam, kas atzīst nodarījumu par nesodāmu, mīkstina sodu vai ir citādi labvēlīgs personai, ja vien attiecīgajā likumā nav noteikts citādi, ir atpakaļejošs spēks, proti, tas attiecas uz nodarījumiem, kas izdarīti pirms attiecīgā likuma spēkā stāšanās, kā arī uz personu, kura izcieš sodu vai izcietusi sodu, bet kurai saglabājusies sodāmība.</w:t>
            </w:r>
            <w:r>
              <w:t xml:space="preserve"> </w:t>
            </w:r>
            <w:r w:rsidRPr="00FA7FF7">
              <w:t xml:space="preserve">Ņemot vērā to, ka likumprojekts faktiski paredz atsevišķu ar narkotisko un psihotropo vielu apriti saistītu noziedzīgu nodarījumu dekriminalizāciju, pārejas noteikumiem ir jānodrošina saprātīgu un līdzsvarotu pāreju no vecā tiesiskā regulējuma uz jauno. Par noziedzīgiem nodarījumiem, kas jau ir izdarīti vai tiks izdarīti līdz grozījumu spēkā stāšanās laikam, personas nepieciešams saukt pie atbildības un sodīt saskaņā ar likuma redakciju, kas bija spēkā noziedzīga nodarījuma izdarīšanas brīdī, vienlaikus ievērojot, ka kriminālatbildība par </w:t>
            </w:r>
            <w:r w:rsidRPr="00FA7FF7">
              <w:lastRenderedPageBreak/>
              <w:t>noziedzīgu nodarījumu nevar vairāk iestāties, ja pēc grozījumu spēkā stāšanās saskaņā ar Krimināllikuma un likuma “Par Krimināllikuma spēkā stāšanās un piemērošanas kārtību” 2.pielikuma normām par izdarīto nodarījumu vairs nav paredzēta kriminālatbildība.</w:t>
            </w:r>
          </w:p>
        </w:tc>
        <w:tc>
          <w:tcPr>
            <w:tcW w:w="4111" w:type="dxa"/>
            <w:gridSpan w:val="2"/>
            <w:tcBorders>
              <w:left w:val="single" w:sz="6" w:space="0" w:color="000000"/>
              <w:bottom w:val="single" w:sz="4" w:space="0" w:color="auto"/>
              <w:right w:val="single" w:sz="6" w:space="0" w:color="000000"/>
            </w:tcBorders>
          </w:tcPr>
          <w:p w14:paraId="7DB1D5C8" w14:textId="77777777" w:rsidR="00E719E2" w:rsidRDefault="00E719E2" w:rsidP="00E719E2">
            <w:pPr>
              <w:pStyle w:val="naisc"/>
              <w:spacing w:before="0" w:after="0"/>
              <w:rPr>
                <w:b/>
                <w:bCs/>
              </w:rPr>
            </w:pPr>
            <w:r w:rsidRPr="00177628">
              <w:rPr>
                <w:b/>
                <w:bCs/>
              </w:rPr>
              <w:lastRenderedPageBreak/>
              <w:t>Ņemts vērā</w:t>
            </w:r>
          </w:p>
          <w:p w14:paraId="09385F24" w14:textId="098CC55B" w:rsidR="00E719E2" w:rsidRPr="00AF4A72" w:rsidRDefault="00E719E2" w:rsidP="00E719E2">
            <w:pPr>
              <w:pStyle w:val="naisc"/>
              <w:spacing w:before="0" w:after="0"/>
              <w:jc w:val="both"/>
            </w:pPr>
            <w:r w:rsidRPr="00AF4A72">
              <w:t>Pārejas noteikumi izteikti Tieslietu ministrijas piedāvātajā redakcijā</w:t>
            </w:r>
          </w:p>
        </w:tc>
        <w:tc>
          <w:tcPr>
            <w:tcW w:w="2693" w:type="dxa"/>
            <w:tcBorders>
              <w:top w:val="single" w:sz="4" w:space="0" w:color="auto"/>
              <w:left w:val="single" w:sz="4" w:space="0" w:color="auto"/>
              <w:bottom w:val="single" w:sz="4" w:space="0" w:color="auto"/>
            </w:tcBorders>
          </w:tcPr>
          <w:p w14:paraId="3B04D88A" w14:textId="77777777" w:rsidR="00E719E2" w:rsidRPr="007650E2" w:rsidRDefault="00E719E2" w:rsidP="00A55F83">
            <w:pPr>
              <w:jc w:val="center"/>
              <w:rPr>
                <w:b/>
                <w:bCs/>
                <w:bdr w:val="none" w:sz="0" w:space="0" w:color="auto" w:frame="1"/>
                <w:shd w:val="clear" w:color="auto" w:fill="FFFFFF"/>
              </w:rPr>
            </w:pPr>
            <w:r w:rsidRPr="007650E2">
              <w:rPr>
                <w:b/>
                <w:bCs/>
                <w:bdr w:val="none" w:sz="0" w:space="0" w:color="auto" w:frame="1"/>
                <w:shd w:val="clear" w:color="auto" w:fill="FFFFFF"/>
              </w:rPr>
              <w:t>Pārejas noteikumi</w:t>
            </w:r>
          </w:p>
          <w:p w14:paraId="43F40810" w14:textId="77777777" w:rsidR="00E719E2" w:rsidRPr="007650E2" w:rsidRDefault="00E719E2" w:rsidP="00A55F83">
            <w:pPr>
              <w:jc w:val="both"/>
            </w:pPr>
            <w:r w:rsidRPr="007650E2">
              <w:t xml:space="preserve">1. Personas, kuras izdarījušas noziedzīgu nodarījumu līdz šā likuma spēkā stāšanās dienai, saucamas pie kriminālatbildības un sodāmas saskaņā ar tām Krimināllikuma un likuma “Par Krimināllikuma spēkā </w:t>
            </w:r>
            <w:r w:rsidRPr="007650E2">
              <w:lastRenderedPageBreak/>
              <w:t>stāšanās un piemērošanas kārtību” 2.pielikuma normām, kuras bija spēkā šā nodarījuma izdarīšanas laikā, turklāt ņemot vērā, ka kriminālatbildība par noziedzīgu nodarījumu nevar iestāties, ja pēc šā likuma spēkā stāšanās dienas saskaņā ar Krimināllikuma un likuma “Par Krimināllikuma spēkā stāšanās un piemērošanas kārtību” 2.pielikuma normām par to netiek paredzēta kriminālatbildība.</w:t>
            </w:r>
          </w:p>
          <w:p w14:paraId="03E6372A" w14:textId="77777777" w:rsidR="00E719E2" w:rsidRPr="007650E2" w:rsidRDefault="00E719E2" w:rsidP="00E719E2">
            <w:pPr>
              <w:spacing w:before="120" w:after="120"/>
              <w:jc w:val="both"/>
            </w:pPr>
            <w:r w:rsidRPr="007650E2">
              <w:t xml:space="preserve">2. Izmeklēšanas iestāžu, prokuratūras un tiesu lietvedībā esošos kriminālprocesus par nodarījumiem, par kuriem pēc šā likuma spēkā stāšanās dienas saskaņā ar Krimināllikuma un likuma “Par Krimināllikuma spēkā stāšanās un piemērošanas kārtību” 2.pielikuma </w:t>
            </w:r>
            <w:r w:rsidRPr="007650E2">
              <w:lastRenderedPageBreak/>
              <w:t>normām netiek paredzēta kriminālatbildība, izbeidz saskaņā ar Kriminālprocesa likuma 377. panta 2. punktu. Ja krimināllietas materiālos ir ziņas par faktiem, sakarā ar kuriem personai būtu jāpiemēro administratīvais sods, nepieciešamos materiālus nosūta kompetentajai institūcijai vai amatpersonai izskatīšanai Administratīvās atbildības likumā noteiktajā kārtībā.</w:t>
            </w:r>
          </w:p>
          <w:p w14:paraId="31DF0892" w14:textId="77777777" w:rsidR="00E719E2" w:rsidRPr="007650E2" w:rsidRDefault="00E719E2" w:rsidP="00E719E2">
            <w:pPr>
              <w:spacing w:before="120" w:after="120"/>
              <w:jc w:val="both"/>
            </w:pPr>
            <w:r w:rsidRPr="007650E2">
              <w:t xml:space="preserve">3. Kriminālprocesu, kurš pabeigts, apsūdzēto nosacīti atbrīvojot no kriminālatbildības par nodarījumiem, par kuriem pēc šā likuma spēkā stāšanās dienas saskaņā ar Krimināllikuma un likuma “Par Krimināllikuma spēkā stāšanās un piemērošanas kārtību” 2.pielikuma normām netiek paredzēta kriminālatbildība, un </w:t>
            </w:r>
            <w:r w:rsidRPr="007650E2">
              <w:lastRenderedPageBreak/>
              <w:t>attiecībā uz kuru lēmums nav stājies spēkā pilnā apjomā, izbeidz saskaņā ar Kriminālprocesa likuma 377. panta 2. punktu.</w:t>
            </w:r>
          </w:p>
          <w:p w14:paraId="52A68D3E" w14:textId="5458995C" w:rsidR="00E719E2" w:rsidRPr="00712B66" w:rsidRDefault="00E719E2" w:rsidP="00E719E2">
            <w:r w:rsidRPr="007650E2">
              <w:t>4. Šā likuma nosacījumi neattiecas uz personām, kuras līdz šā likuma spēkā stāšanās dienai ir notiesātas vai kurām sods noteikts ar prokurora priekšrakstu par sodu.</w:t>
            </w:r>
          </w:p>
        </w:tc>
      </w:tr>
      <w:tr w:rsidR="00E719E2" w:rsidRPr="00712B66" w14:paraId="46917D67"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77491C41" w14:textId="72B4C140" w:rsidR="00E719E2" w:rsidRDefault="00E719E2" w:rsidP="00E719E2">
            <w:pPr>
              <w:pStyle w:val="naiskr"/>
              <w:spacing w:before="0" w:after="0"/>
            </w:pPr>
          </w:p>
          <w:p w14:paraId="1B6699A1" w14:textId="77777777" w:rsidR="00D47290" w:rsidRPr="00712B66" w:rsidRDefault="00D47290" w:rsidP="00E719E2">
            <w:pPr>
              <w:pStyle w:val="naiskr"/>
              <w:spacing w:before="0" w:after="0"/>
            </w:pPr>
          </w:p>
          <w:p w14:paraId="4ACDE552" w14:textId="77777777" w:rsidR="00E719E2" w:rsidRPr="00712B66" w:rsidRDefault="00E719E2" w:rsidP="00E719E2">
            <w:pPr>
              <w:pStyle w:val="naiskr"/>
              <w:spacing w:before="0" w:after="0"/>
            </w:pPr>
            <w:r w:rsidRPr="00712B66">
              <w:t>Atbildīgā amatpersona</w:t>
            </w:r>
          </w:p>
        </w:tc>
        <w:tc>
          <w:tcPr>
            <w:tcW w:w="6179" w:type="dxa"/>
            <w:gridSpan w:val="3"/>
          </w:tcPr>
          <w:p w14:paraId="57E3506E" w14:textId="77777777" w:rsidR="00E719E2" w:rsidRPr="00712B66" w:rsidRDefault="00E719E2" w:rsidP="00E719E2">
            <w:pPr>
              <w:pStyle w:val="naiskr"/>
              <w:spacing w:before="0" w:after="0"/>
              <w:ind w:firstLine="720"/>
            </w:pPr>
            <w:r w:rsidRPr="00712B66">
              <w:t>  </w:t>
            </w:r>
          </w:p>
        </w:tc>
      </w:tr>
      <w:tr w:rsidR="00E719E2" w:rsidRPr="00712B66" w14:paraId="616A1079"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5684B268" w14:textId="77777777" w:rsidR="00E719E2" w:rsidRPr="00712B66" w:rsidRDefault="00E719E2" w:rsidP="00E719E2">
            <w:pPr>
              <w:pStyle w:val="naiskr"/>
              <w:spacing w:before="0" w:after="0"/>
              <w:ind w:firstLine="720"/>
            </w:pPr>
          </w:p>
        </w:tc>
        <w:tc>
          <w:tcPr>
            <w:tcW w:w="6179" w:type="dxa"/>
            <w:gridSpan w:val="3"/>
            <w:tcBorders>
              <w:top w:val="single" w:sz="6" w:space="0" w:color="000000"/>
            </w:tcBorders>
          </w:tcPr>
          <w:p w14:paraId="3BBD1F64" w14:textId="77777777" w:rsidR="00E719E2" w:rsidRPr="00712B66" w:rsidRDefault="00E719E2" w:rsidP="00E719E2">
            <w:pPr>
              <w:pStyle w:val="naisc"/>
              <w:spacing w:before="0" w:after="0"/>
              <w:ind w:firstLine="720"/>
            </w:pPr>
            <w:r w:rsidRPr="00712B66">
              <w:t>(paraksts*)</w:t>
            </w:r>
          </w:p>
        </w:tc>
      </w:tr>
    </w:tbl>
    <w:p w14:paraId="3D06E74C" w14:textId="77777777" w:rsidR="007116C7" w:rsidRDefault="007116C7" w:rsidP="00DB7395">
      <w:pPr>
        <w:pStyle w:val="naisf"/>
        <w:spacing w:before="0" w:after="0"/>
        <w:ind w:firstLine="720"/>
      </w:pPr>
    </w:p>
    <w:p w14:paraId="4CE41351" w14:textId="77777777" w:rsidR="003B71E0" w:rsidRPr="00712B66" w:rsidRDefault="003B71E0" w:rsidP="00DB7395">
      <w:pPr>
        <w:pStyle w:val="naisf"/>
        <w:spacing w:before="0" w:after="0"/>
        <w:ind w:firstLine="720"/>
      </w:pPr>
    </w:p>
    <w:p w14:paraId="64C5F9EB" w14:textId="77777777" w:rsidR="002B1684" w:rsidRPr="002B1684" w:rsidRDefault="00184479" w:rsidP="002B1684">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724F19C2" w14:textId="77777777" w:rsidR="002B1684" w:rsidRDefault="002B1684" w:rsidP="00585D60">
      <w:pPr>
        <w:pStyle w:val="naisf"/>
        <w:spacing w:before="0" w:after="0"/>
        <w:ind w:firstLine="0"/>
      </w:pPr>
    </w:p>
    <w:p w14:paraId="5F9C1EC3" w14:textId="4A208630" w:rsidR="002B1684" w:rsidRDefault="002B1684" w:rsidP="002B1684">
      <w:pPr>
        <w:pStyle w:val="naisf"/>
        <w:spacing w:before="0" w:after="0"/>
      </w:pPr>
    </w:p>
    <w:p w14:paraId="5CC8AAF7" w14:textId="1953A32B" w:rsidR="00D47290" w:rsidRDefault="00D47290" w:rsidP="002B1684">
      <w:pPr>
        <w:pStyle w:val="naisf"/>
        <w:spacing w:before="0" w:after="0"/>
      </w:pPr>
    </w:p>
    <w:p w14:paraId="38A76F81" w14:textId="77777777" w:rsidR="00D47290" w:rsidRDefault="00D47290" w:rsidP="002B1684">
      <w:pPr>
        <w:pStyle w:val="naisf"/>
        <w:spacing w:before="0" w:after="0"/>
      </w:pPr>
      <w:bookmarkStart w:id="2" w:name="_GoBack"/>
      <w:bookmarkEnd w:id="2"/>
    </w:p>
    <w:p w14:paraId="0354FF47" w14:textId="77777777" w:rsidR="004373E1" w:rsidRPr="00712B66" w:rsidRDefault="006D2163" w:rsidP="002B1684">
      <w:pPr>
        <w:pStyle w:val="naisf"/>
        <w:spacing w:before="0" w:after="0"/>
      </w:pPr>
      <w:r>
        <w:t>Dana Muravska</w:t>
      </w:r>
    </w:p>
    <w:tbl>
      <w:tblPr>
        <w:tblW w:w="0" w:type="auto"/>
        <w:tblLook w:val="00A0" w:firstRow="1" w:lastRow="0" w:firstColumn="1" w:lastColumn="0" w:noHBand="0" w:noVBand="0"/>
      </w:tblPr>
      <w:tblGrid>
        <w:gridCol w:w="8268"/>
      </w:tblGrid>
      <w:tr w:rsidR="008655A2" w:rsidRPr="00712B66" w14:paraId="072AA9E0" w14:textId="77777777">
        <w:tc>
          <w:tcPr>
            <w:tcW w:w="8268" w:type="dxa"/>
            <w:tcBorders>
              <w:top w:val="single" w:sz="4" w:space="0" w:color="000000"/>
            </w:tcBorders>
          </w:tcPr>
          <w:p w14:paraId="26425B4D" w14:textId="77777777" w:rsidR="008655A2" w:rsidRDefault="00184479" w:rsidP="00184479">
            <w:pPr>
              <w:jc w:val="center"/>
            </w:pPr>
            <w:r>
              <w:t>(</w:t>
            </w:r>
            <w:r w:rsidR="008655A2" w:rsidRPr="00712B66">
              <w:t xml:space="preserve">par projektu atbildīgās amatpersonas </w:t>
            </w:r>
            <w:r>
              <w:t xml:space="preserve">vārds un </w:t>
            </w:r>
            <w:r w:rsidR="008655A2" w:rsidRPr="00712B66">
              <w:t>uzvārds</w:t>
            </w:r>
            <w:r>
              <w:t>)</w:t>
            </w:r>
          </w:p>
          <w:p w14:paraId="6ED1F180" w14:textId="733DD5DC" w:rsidR="007261DF" w:rsidRPr="00712B66" w:rsidRDefault="007261DF" w:rsidP="00184479">
            <w:pPr>
              <w:jc w:val="center"/>
            </w:pPr>
          </w:p>
        </w:tc>
      </w:tr>
      <w:tr w:rsidR="008655A2" w:rsidRPr="00712B66" w14:paraId="103DD786" w14:textId="77777777">
        <w:tc>
          <w:tcPr>
            <w:tcW w:w="8268" w:type="dxa"/>
            <w:tcBorders>
              <w:bottom w:val="single" w:sz="4" w:space="0" w:color="000000"/>
            </w:tcBorders>
          </w:tcPr>
          <w:p w14:paraId="0AC3AFD9" w14:textId="77777777" w:rsidR="008655A2" w:rsidRPr="00712B66" w:rsidRDefault="006D2163" w:rsidP="0036160E">
            <w:r w:rsidRPr="007759EF">
              <w:t xml:space="preserve">Veselības ministrijas </w:t>
            </w:r>
            <w:r>
              <w:t>Veselības veicināšanas un atkarību profilakses</w:t>
            </w:r>
            <w:r w:rsidRPr="007759EF">
              <w:t xml:space="preserve"> vecāk</w:t>
            </w:r>
            <w:r>
              <w:t>ā</w:t>
            </w:r>
            <w:r w:rsidRPr="007759EF">
              <w:t xml:space="preserve"> eksperte</w:t>
            </w:r>
          </w:p>
        </w:tc>
      </w:tr>
      <w:tr w:rsidR="008655A2" w:rsidRPr="00712B66" w14:paraId="2738ED15" w14:textId="77777777">
        <w:tc>
          <w:tcPr>
            <w:tcW w:w="8268" w:type="dxa"/>
            <w:tcBorders>
              <w:top w:val="single" w:sz="4" w:space="0" w:color="000000"/>
            </w:tcBorders>
          </w:tcPr>
          <w:p w14:paraId="2F81F24B" w14:textId="77777777" w:rsidR="008655A2" w:rsidRPr="00712B66" w:rsidRDefault="00184479" w:rsidP="00184479">
            <w:pPr>
              <w:jc w:val="center"/>
            </w:pPr>
            <w:r>
              <w:t>(</w:t>
            </w:r>
            <w:r w:rsidR="008655A2" w:rsidRPr="00712B66">
              <w:t>amats</w:t>
            </w:r>
            <w:r>
              <w:t>)</w:t>
            </w:r>
          </w:p>
        </w:tc>
      </w:tr>
      <w:tr w:rsidR="008655A2" w:rsidRPr="00712B66" w14:paraId="715D3456" w14:textId="77777777">
        <w:tc>
          <w:tcPr>
            <w:tcW w:w="8268" w:type="dxa"/>
            <w:tcBorders>
              <w:bottom w:val="single" w:sz="4" w:space="0" w:color="000000"/>
            </w:tcBorders>
          </w:tcPr>
          <w:p w14:paraId="4DEBFD32" w14:textId="77777777" w:rsidR="008655A2" w:rsidRPr="00712B66" w:rsidRDefault="006D2163" w:rsidP="0036160E">
            <w:r w:rsidRPr="007759EF">
              <w:t>67 876 </w:t>
            </w:r>
            <w:r>
              <w:t>009</w:t>
            </w:r>
          </w:p>
        </w:tc>
      </w:tr>
      <w:tr w:rsidR="008655A2" w:rsidRPr="00712B66" w14:paraId="694D6C36" w14:textId="77777777">
        <w:tc>
          <w:tcPr>
            <w:tcW w:w="8268" w:type="dxa"/>
            <w:tcBorders>
              <w:top w:val="single" w:sz="4" w:space="0" w:color="000000"/>
            </w:tcBorders>
          </w:tcPr>
          <w:p w14:paraId="1FADCAE5" w14:textId="77777777" w:rsidR="008655A2" w:rsidRPr="00712B66" w:rsidRDefault="00184479" w:rsidP="00184479">
            <w:pPr>
              <w:jc w:val="center"/>
            </w:pPr>
            <w:r>
              <w:lastRenderedPageBreak/>
              <w:t>(</w:t>
            </w:r>
            <w:r w:rsidR="008655A2" w:rsidRPr="00712B66">
              <w:t>tālruņa un faksa numurs</w:t>
            </w:r>
            <w:r>
              <w:t>)</w:t>
            </w:r>
          </w:p>
        </w:tc>
      </w:tr>
      <w:tr w:rsidR="008655A2" w:rsidRPr="00712B66" w14:paraId="7956040B" w14:textId="77777777">
        <w:tc>
          <w:tcPr>
            <w:tcW w:w="8268" w:type="dxa"/>
            <w:tcBorders>
              <w:bottom w:val="single" w:sz="4" w:space="0" w:color="000000"/>
            </w:tcBorders>
          </w:tcPr>
          <w:p w14:paraId="5A3D3639" w14:textId="77777777" w:rsidR="008655A2" w:rsidRPr="00712B66" w:rsidRDefault="006D2163" w:rsidP="0036160E">
            <w:r>
              <w:t>Dana.Muravska</w:t>
            </w:r>
            <w:r w:rsidRPr="007759EF">
              <w:t>@vm.gov.lv</w:t>
            </w:r>
          </w:p>
        </w:tc>
      </w:tr>
      <w:tr w:rsidR="008655A2" w:rsidRPr="00712B66" w14:paraId="5A322EC2" w14:textId="77777777">
        <w:tc>
          <w:tcPr>
            <w:tcW w:w="8268" w:type="dxa"/>
            <w:tcBorders>
              <w:top w:val="single" w:sz="4" w:space="0" w:color="000000"/>
            </w:tcBorders>
          </w:tcPr>
          <w:p w14:paraId="73E603F1" w14:textId="77777777" w:rsidR="008655A2" w:rsidRPr="00712B66" w:rsidRDefault="00184479" w:rsidP="00184479">
            <w:pPr>
              <w:jc w:val="center"/>
            </w:pPr>
            <w:r>
              <w:t>(</w:t>
            </w:r>
            <w:r w:rsidR="008655A2" w:rsidRPr="00712B66">
              <w:t>e-pasta adrese</w:t>
            </w:r>
            <w:r>
              <w:t>)</w:t>
            </w:r>
          </w:p>
        </w:tc>
      </w:tr>
    </w:tbl>
    <w:p w14:paraId="5238AC35" w14:textId="77777777" w:rsidR="007116C7" w:rsidRDefault="007116C7" w:rsidP="00015C84">
      <w:pPr>
        <w:pStyle w:val="naisf"/>
        <w:spacing w:before="0" w:after="0"/>
        <w:ind w:firstLine="0"/>
        <w:jc w:val="left"/>
        <w:rPr>
          <w:sz w:val="28"/>
          <w:szCs w:val="28"/>
        </w:rPr>
      </w:pPr>
    </w:p>
    <w:sectPr w:rsidR="007116C7" w:rsidSect="00364BB6">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635B8" w14:textId="77777777" w:rsidR="00AF1B2E" w:rsidRDefault="00AF1B2E">
      <w:r>
        <w:separator/>
      </w:r>
    </w:p>
  </w:endnote>
  <w:endnote w:type="continuationSeparator" w:id="0">
    <w:p w14:paraId="568AF0A9" w14:textId="77777777" w:rsidR="00AF1B2E" w:rsidRDefault="00AF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7213" w14:textId="77777777" w:rsidR="008C618B" w:rsidRPr="00015C84" w:rsidRDefault="008C618B" w:rsidP="008C618B">
    <w:pPr>
      <w:pStyle w:val="Footer"/>
      <w:rPr>
        <w:sz w:val="20"/>
        <w:szCs w:val="20"/>
      </w:rPr>
    </w:pPr>
    <w:r>
      <w:rPr>
        <w:sz w:val="20"/>
        <w:szCs w:val="20"/>
      </w:rPr>
      <w:t>VM</w:t>
    </w:r>
    <w:r w:rsidRPr="00015C84">
      <w:rPr>
        <w:sz w:val="20"/>
        <w:szCs w:val="20"/>
      </w:rPr>
      <w:t>izz</w:t>
    </w:r>
    <w:r>
      <w:rPr>
        <w:sz w:val="20"/>
        <w:szCs w:val="20"/>
      </w:rPr>
      <w:t>_150920</w:t>
    </w:r>
    <w:r w:rsidRPr="00015C84">
      <w:rPr>
        <w:sz w:val="20"/>
        <w:szCs w:val="20"/>
      </w:rPr>
      <w:t>_</w:t>
    </w:r>
    <w:r>
      <w:rPr>
        <w:sz w:val="20"/>
        <w:szCs w:val="20"/>
      </w:rPr>
      <w:t>VSS428</w:t>
    </w:r>
  </w:p>
  <w:p w14:paraId="185650F8" w14:textId="2D82BD78" w:rsidR="002F1A39" w:rsidRPr="00015C84" w:rsidRDefault="002F1A39" w:rsidP="002F1A39">
    <w:pPr>
      <w:pStyle w:val="Footer"/>
      <w:rPr>
        <w:sz w:val="20"/>
        <w:szCs w:val="20"/>
      </w:rPr>
    </w:pPr>
  </w:p>
  <w:p w14:paraId="6D4D4406" w14:textId="77777777" w:rsidR="00561D3C" w:rsidRDefault="00561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0765" w14:textId="6F77EFEC" w:rsidR="006455E7" w:rsidRPr="00015C84" w:rsidRDefault="00E35C60" w:rsidP="00364BB6">
    <w:pPr>
      <w:pStyle w:val="Footer"/>
      <w:rPr>
        <w:sz w:val="20"/>
        <w:szCs w:val="20"/>
      </w:rPr>
    </w:pPr>
    <w:r>
      <w:rPr>
        <w:sz w:val="20"/>
        <w:szCs w:val="20"/>
      </w:rPr>
      <w:t>VM</w:t>
    </w:r>
    <w:r w:rsidR="00015C84" w:rsidRPr="00015C84">
      <w:rPr>
        <w:sz w:val="20"/>
        <w:szCs w:val="20"/>
      </w:rPr>
      <w:t>izz</w:t>
    </w:r>
    <w:r w:rsidR="00AE5E46">
      <w:rPr>
        <w:sz w:val="20"/>
        <w:szCs w:val="20"/>
      </w:rPr>
      <w:t>_1</w:t>
    </w:r>
    <w:r w:rsidR="008C618B">
      <w:rPr>
        <w:sz w:val="20"/>
        <w:szCs w:val="20"/>
      </w:rPr>
      <w:t>509</w:t>
    </w:r>
    <w:r w:rsidR="00AE5E46">
      <w:rPr>
        <w:sz w:val="20"/>
        <w:szCs w:val="20"/>
      </w:rPr>
      <w:t>20</w:t>
    </w:r>
    <w:r w:rsidR="00015C84" w:rsidRPr="00015C84">
      <w:rPr>
        <w:sz w:val="20"/>
        <w:szCs w:val="20"/>
      </w:rPr>
      <w:t>_</w:t>
    </w:r>
    <w:r>
      <w:rPr>
        <w:sz w:val="20"/>
        <w:szCs w:val="20"/>
      </w:rPr>
      <w:t>VSS</w:t>
    </w:r>
    <w:r w:rsidR="002F1A39">
      <w:rPr>
        <w:sz w:val="20"/>
        <w:szCs w:val="20"/>
      </w:rPr>
      <w:t>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33E06" w14:textId="77777777" w:rsidR="00AF1B2E" w:rsidRDefault="00AF1B2E">
      <w:r>
        <w:separator/>
      </w:r>
    </w:p>
  </w:footnote>
  <w:footnote w:type="continuationSeparator" w:id="0">
    <w:p w14:paraId="783409F2" w14:textId="77777777" w:rsidR="00AF1B2E" w:rsidRDefault="00AF1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3448E"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9C026"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1F82"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D3C">
      <w:rPr>
        <w:rStyle w:val="PageNumber"/>
        <w:noProof/>
      </w:rPr>
      <w:t>3</w:t>
    </w:r>
    <w:r>
      <w:rPr>
        <w:rStyle w:val="PageNumber"/>
      </w:rPr>
      <w:fldChar w:fldCharType="end"/>
    </w:r>
  </w:p>
  <w:p w14:paraId="17C99525"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487A"/>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2B35"/>
    <w:rsid w:val="000E5509"/>
    <w:rsid w:val="000E585F"/>
    <w:rsid w:val="000E66F8"/>
    <w:rsid w:val="000F054F"/>
    <w:rsid w:val="000F079D"/>
    <w:rsid w:val="000F0D9D"/>
    <w:rsid w:val="000F1D56"/>
    <w:rsid w:val="000F2534"/>
    <w:rsid w:val="000F28D9"/>
    <w:rsid w:val="000F2CF4"/>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630"/>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628"/>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57D"/>
    <w:rsid w:val="001D1CB1"/>
    <w:rsid w:val="001D2AC0"/>
    <w:rsid w:val="001D2DBA"/>
    <w:rsid w:val="001D2FD0"/>
    <w:rsid w:val="001D3830"/>
    <w:rsid w:val="001D3BA6"/>
    <w:rsid w:val="001D3C69"/>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BD0"/>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37CB9"/>
    <w:rsid w:val="002415BC"/>
    <w:rsid w:val="002434B2"/>
    <w:rsid w:val="002442F4"/>
    <w:rsid w:val="002445EA"/>
    <w:rsid w:val="00244ECE"/>
    <w:rsid w:val="00244FC5"/>
    <w:rsid w:val="00245D1D"/>
    <w:rsid w:val="00250EDA"/>
    <w:rsid w:val="00251502"/>
    <w:rsid w:val="002518E8"/>
    <w:rsid w:val="00251C10"/>
    <w:rsid w:val="00252E1E"/>
    <w:rsid w:val="002536A1"/>
    <w:rsid w:val="002538BA"/>
    <w:rsid w:val="0025469D"/>
    <w:rsid w:val="002552B1"/>
    <w:rsid w:val="00255D01"/>
    <w:rsid w:val="0025681E"/>
    <w:rsid w:val="00256E55"/>
    <w:rsid w:val="00257E0E"/>
    <w:rsid w:val="00257FF4"/>
    <w:rsid w:val="00260FCB"/>
    <w:rsid w:val="002615F5"/>
    <w:rsid w:val="002616B9"/>
    <w:rsid w:val="0026217B"/>
    <w:rsid w:val="002629E4"/>
    <w:rsid w:val="00263FE3"/>
    <w:rsid w:val="00264CD7"/>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4649"/>
    <w:rsid w:val="00286478"/>
    <w:rsid w:val="00287EDD"/>
    <w:rsid w:val="0029141B"/>
    <w:rsid w:val="002927D3"/>
    <w:rsid w:val="00294BDE"/>
    <w:rsid w:val="00295DB6"/>
    <w:rsid w:val="0029788B"/>
    <w:rsid w:val="00297D1B"/>
    <w:rsid w:val="00297F4D"/>
    <w:rsid w:val="002A0226"/>
    <w:rsid w:val="002A0661"/>
    <w:rsid w:val="002A1CF2"/>
    <w:rsid w:val="002A2E5A"/>
    <w:rsid w:val="002A2ED0"/>
    <w:rsid w:val="002A3A84"/>
    <w:rsid w:val="002A4C3E"/>
    <w:rsid w:val="002A56BC"/>
    <w:rsid w:val="002A5C53"/>
    <w:rsid w:val="002A6AD6"/>
    <w:rsid w:val="002A72CC"/>
    <w:rsid w:val="002A76AB"/>
    <w:rsid w:val="002A7A4F"/>
    <w:rsid w:val="002A7AFE"/>
    <w:rsid w:val="002B01DB"/>
    <w:rsid w:val="002B09C0"/>
    <w:rsid w:val="002B13B3"/>
    <w:rsid w:val="002B1684"/>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134"/>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39"/>
    <w:rsid w:val="002F1A90"/>
    <w:rsid w:val="002F1C2F"/>
    <w:rsid w:val="002F3D1C"/>
    <w:rsid w:val="002F4A8A"/>
    <w:rsid w:val="002F4EA1"/>
    <w:rsid w:val="002F52DE"/>
    <w:rsid w:val="002F55C1"/>
    <w:rsid w:val="002F797A"/>
    <w:rsid w:val="00300483"/>
    <w:rsid w:val="00301C91"/>
    <w:rsid w:val="003036F3"/>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3FF"/>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5E74"/>
    <w:rsid w:val="00377353"/>
    <w:rsid w:val="0037736B"/>
    <w:rsid w:val="00381F57"/>
    <w:rsid w:val="0038216E"/>
    <w:rsid w:val="003822E5"/>
    <w:rsid w:val="003830B8"/>
    <w:rsid w:val="00383262"/>
    <w:rsid w:val="0038500B"/>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5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422"/>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00D"/>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321F"/>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A74"/>
    <w:rsid w:val="004A6AAF"/>
    <w:rsid w:val="004A6EB6"/>
    <w:rsid w:val="004A794C"/>
    <w:rsid w:val="004B3EC7"/>
    <w:rsid w:val="004B5664"/>
    <w:rsid w:val="004C2107"/>
    <w:rsid w:val="004C3750"/>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0552"/>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718"/>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8FB"/>
    <w:rsid w:val="00584D1E"/>
    <w:rsid w:val="00585D60"/>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6B3A"/>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221"/>
    <w:rsid w:val="0068233B"/>
    <w:rsid w:val="00682E11"/>
    <w:rsid w:val="00683081"/>
    <w:rsid w:val="00684C95"/>
    <w:rsid w:val="006850D3"/>
    <w:rsid w:val="00685249"/>
    <w:rsid w:val="006856B9"/>
    <w:rsid w:val="00685BDE"/>
    <w:rsid w:val="00686085"/>
    <w:rsid w:val="00687C0D"/>
    <w:rsid w:val="00691237"/>
    <w:rsid w:val="006920E6"/>
    <w:rsid w:val="00692555"/>
    <w:rsid w:val="006942A7"/>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163"/>
    <w:rsid w:val="006D24A9"/>
    <w:rsid w:val="006D2AF3"/>
    <w:rsid w:val="006D4D79"/>
    <w:rsid w:val="006D4FBD"/>
    <w:rsid w:val="006D5879"/>
    <w:rsid w:val="006D63FD"/>
    <w:rsid w:val="006D65B4"/>
    <w:rsid w:val="006D754A"/>
    <w:rsid w:val="006D7B9C"/>
    <w:rsid w:val="006E04C6"/>
    <w:rsid w:val="006E0657"/>
    <w:rsid w:val="006E0A65"/>
    <w:rsid w:val="006E195A"/>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90D"/>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1DF"/>
    <w:rsid w:val="00726730"/>
    <w:rsid w:val="00730598"/>
    <w:rsid w:val="00731C24"/>
    <w:rsid w:val="0073257E"/>
    <w:rsid w:val="00732A32"/>
    <w:rsid w:val="00733066"/>
    <w:rsid w:val="00733469"/>
    <w:rsid w:val="00733539"/>
    <w:rsid w:val="00735557"/>
    <w:rsid w:val="00736558"/>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50E2"/>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6FCB"/>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491F"/>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1A50"/>
    <w:rsid w:val="00822C41"/>
    <w:rsid w:val="00825043"/>
    <w:rsid w:val="00825267"/>
    <w:rsid w:val="008264EC"/>
    <w:rsid w:val="00827C0D"/>
    <w:rsid w:val="00830642"/>
    <w:rsid w:val="00831250"/>
    <w:rsid w:val="00831D8D"/>
    <w:rsid w:val="008333B7"/>
    <w:rsid w:val="008336EC"/>
    <w:rsid w:val="008337B9"/>
    <w:rsid w:val="00833DBC"/>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C1B"/>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18B"/>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2"/>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6B97"/>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35B"/>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4DF"/>
    <w:rsid w:val="00987BAB"/>
    <w:rsid w:val="009906BF"/>
    <w:rsid w:val="0099110F"/>
    <w:rsid w:val="009913F3"/>
    <w:rsid w:val="00991DA1"/>
    <w:rsid w:val="009922FF"/>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090"/>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6A5A"/>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47C"/>
    <w:rsid w:val="00A5388C"/>
    <w:rsid w:val="00A5397B"/>
    <w:rsid w:val="00A53BE1"/>
    <w:rsid w:val="00A53CAB"/>
    <w:rsid w:val="00A54644"/>
    <w:rsid w:val="00A55921"/>
    <w:rsid w:val="00A55F83"/>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93C"/>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D7BDF"/>
    <w:rsid w:val="00AE08B7"/>
    <w:rsid w:val="00AE0DBA"/>
    <w:rsid w:val="00AE160F"/>
    <w:rsid w:val="00AE21DC"/>
    <w:rsid w:val="00AE239B"/>
    <w:rsid w:val="00AE25D2"/>
    <w:rsid w:val="00AE2B47"/>
    <w:rsid w:val="00AE2CAD"/>
    <w:rsid w:val="00AE3090"/>
    <w:rsid w:val="00AE380E"/>
    <w:rsid w:val="00AE3AAD"/>
    <w:rsid w:val="00AE4189"/>
    <w:rsid w:val="00AE503A"/>
    <w:rsid w:val="00AE5E46"/>
    <w:rsid w:val="00AE68E2"/>
    <w:rsid w:val="00AE6BE2"/>
    <w:rsid w:val="00AE70F0"/>
    <w:rsid w:val="00AF0157"/>
    <w:rsid w:val="00AF1B2E"/>
    <w:rsid w:val="00AF2EC7"/>
    <w:rsid w:val="00AF3AC0"/>
    <w:rsid w:val="00AF4A72"/>
    <w:rsid w:val="00AF4F4A"/>
    <w:rsid w:val="00B00C24"/>
    <w:rsid w:val="00B00F93"/>
    <w:rsid w:val="00B01BBE"/>
    <w:rsid w:val="00B03F92"/>
    <w:rsid w:val="00B055D8"/>
    <w:rsid w:val="00B06CD6"/>
    <w:rsid w:val="00B06EBC"/>
    <w:rsid w:val="00B11D2D"/>
    <w:rsid w:val="00B123F0"/>
    <w:rsid w:val="00B12891"/>
    <w:rsid w:val="00B143DB"/>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34A"/>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54A"/>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3440"/>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D24"/>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656"/>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5CB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29BE"/>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99E"/>
    <w:rsid w:val="00D22D49"/>
    <w:rsid w:val="00D23930"/>
    <w:rsid w:val="00D23A23"/>
    <w:rsid w:val="00D24D8A"/>
    <w:rsid w:val="00D24DA4"/>
    <w:rsid w:val="00D25235"/>
    <w:rsid w:val="00D25383"/>
    <w:rsid w:val="00D25670"/>
    <w:rsid w:val="00D301FF"/>
    <w:rsid w:val="00D3257F"/>
    <w:rsid w:val="00D340E2"/>
    <w:rsid w:val="00D34379"/>
    <w:rsid w:val="00D3478F"/>
    <w:rsid w:val="00D36887"/>
    <w:rsid w:val="00D36F2A"/>
    <w:rsid w:val="00D37563"/>
    <w:rsid w:val="00D379EB"/>
    <w:rsid w:val="00D400B8"/>
    <w:rsid w:val="00D4022C"/>
    <w:rsid w:val="00D41023"/>
    <w:rsid w:val="00D41C6C"/>
    <w:rsid w:val="00D42465"/>
    <w:rsid w:val="00D42E5B"/>
    <w:rsid w:val="00D439D1"/>
    <w:rsid w:val="00D43C68"/>
    <w:rsid w:val="00D444B2"/>
    <w:rsid w:val="00D453E4"/>
    <w:rsid w:val="00D47226"/>
    <w:rsid w:val="00D47290"/>
    <w:rsid w:val="00D50B21"/>
    <w:rsid w:val="00D51349"/>
    <w:rsid w:val="00D527AF"/>
    <w:rsid w:val="00D529E1"/>
    <w:rsid w:val="00D534C2"/>
    <w:rsid w:val="00D5410F"/>
    <w:rsid w:val="00D564DF"/>
    <w:rsid w:val="00D56656"/>
    <w:rsid w:val="00D5701C"/>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8B5"/>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67"/>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5C60"/>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19E2"/>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4F4B"/>
    <w:rsid w:val="00E966ED"/>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6C2"/>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4DE9"/>
    <w:rsid w:val="00F350CF"/>
    <w:rsid w:val="00F35582"/>
    <w:rsid w:val="00F37004"/>
    <w:rsid w:val="00F376A1"/>
    <w:rsid w:val="00F37B8E"/>
    <w:rsid w:val="00F41746"/>
    <w:rsid w:val="00F41E79"/>
    <w:rsid w:val="00F42596"/>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1CFF"/>
    <w:rsid w:val="00F63400"/>
    <w:rsid w:val="00F636C6"/>
    <w:rsid w:val="00F6433D"/>
    <w:rsid w:val="00F6573E"/>
    <w:rsid w:val="00F662EB"/>
    <w:rsid w:val="00F67606"/>
    <w:rsid w:val="00F70327"/>
    <w:rsid w:val="00F70FEF"/>
    <w:rsid w:val="00F72FA8"/>
    <w:rsid w:val="00F7507B"/>
    <w:rsid w:val="00F75415"/>
    <w:rsid w:val="00F773F9"/>
    <w:rsid w:val="00F8101C"/>
    <w:rsid w:val="00F817B9"/>
    <w:rsid w:val="00F81CB7"/>
    <w:rsid w:val="00F82280"/>
    <w:rsid w:val="00F8235F"/>
    <w:rsid w:val="00F83A22"/>
    <w:rsid w:val="00F83A97"/>
    <w:rsid w:val="00F844F0"/>
    <w:rsid w:val="00F84895"/>
    <w:rsid w:val="00F84E9D"/>
    <w:rsid w:val="00F86253"/>
    <w:rsid w:val="00F8659E"/>
    <w:rsid w:val="00F86CE4"/>
    <w:rsid w:val="00F86F42"/>
    <w:rsid w:val="00F91941"/>
    <w:rsid w:val="00F91FDF"/>
    <w:rsid w:val="00F92E3F"/>
    <w:rsid w:val="00F938D2"/>
    <w:rsid w:val="00F96389"/>
    <w:rsid w:val="00F9650E"/>
    <w:rsid w:val="00F96B73"/>
    <w:rsid w:val="00F977C7"/>
    <w:rsid w:val="00FA0890"/>
    <w:rsid w:val="00FA164A"/>
    <w:rsid w:val="00FA3F3E"/>
    <w:rsid w:val="00FA4272"/>
    <w:rsid w:val="00FA4855"/>
    <w:rsid w:val="00FA4ACD"/>
    <w:rsid w:val="00FA6428"/>
    <w:rsid w:val="00FA683B"/>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5628"/>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6866F"/>
  <w15:chartTrackingRefBased/>
  <w15:docId w15:val="{8895CDB0-471A-4CBC-83B0-9DB1D5DF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5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6E195A"/>
    <w:pPr>
      <w:spacing w:before="100" w:beforeAutospacing="1" w:after="100" w:afterAutospacing="1"/>
    </w:pPr>
  </w:style>
  <w:style w:type="paragraph" w:customStyle="1" w:styleId="xmsonormal">
    <w:name w:val="x_msonormal"/>
    <w:basedOn w:val="Normal"/>
    <w:rsid w:val="00F7507B"/>
    <w:pPr>
      <w:spacing w:before="100" w:beforeAutospacing="1" w:after="100" w:afterAutospacing="1"/>
    </w:pPr>
  </w:style>
  <w:style w:type="paragraph" w:customStyle="1" w:styleId="xtv213">
    <w:name w:val="x_tv213"/>
    <w:basedOn w:val="Normal"/>
    <w:rsid w:val="00F750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88292">
      <w:bodyDiv w:val="1"/>
      <w:marLeft w:val="0"/>
      <w:marRight w:val="0"/>
      <w:marTop w:val="0"/>
      <w:marBottom w:val="0"/>
      <w:divBdr>
        <w:top w:val="none" w:sz="0" w:space="0" w:color="auto"/>
        <w:left w:val="none" w:sz="0" w:space="0" w:color="auto"/>
        <w:bottom w:val="none" w:sz="0" w:space="0" w:color="auto"/>
        <w:right w:val="none" w:sz="0" w:space="0" w:color="auto"/>
      </w:divBdr>
      <w:divsChild>
        <w:div w:id="451637586">
          <w:marLeft w:val="0"/>
          <w:marRight w:val="0"/>
          <w:marTop w:val="0"/>
          <w:marBottom w:val="0"/>
          <w:divBdr>
            <w:top w:val="none" w:sz="0" w:space="0" w:color="auto"/>
            <w:left w:val="none" w:sz="0" w:space="0" w:color="auto"/>
            <w:bottom w:val="none" w:sz="0" w:space="0" w:color="auto"/>
            <w:right w:val="none" w:sz="0" w:space="0" w:color="auto"/>
          </w:divBdr>
        </w:div>
        <w:div w:id="44647891">
          <w:marLeft w:val="0"/>
          <w:marRight w:val="0"/>
          <w:marTop w:val="0"/>
          <w:marBottom w:val="0"/>
          <w:divBdr>
            <w:top w:val="none" w:sz="0" w:space="0" w:color="auto"/>
            <w:left w:val="none" w:sz="0" w:space="0" w:color="auto"/>
            <w:bottom w:val="none" w:sz="0" w:space="0" w:color="auto"/>
            <w:right w:val="none" w:sz="0" w:space="0" w:color="auto"/>
          </w:divBdr>
        </w:div>
        <w:div w:id="1434009908">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3592483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12746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9034</Words>
  <Characters>5150</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Anita Jurševica</cp:lastModifiedBy>
  <cp:revision>5</cp:revision>
  <cp:lastPrinted>2009-04-08T08:39:00Z</cp:lastPrinted>
  <dcterms:created xsi:type="dcterms:W3CDTF">2020-09-14T14:28:00Z</dcterms:created>
  <dcterms:modified xsi:type="dcterms:W3CDTF">2020-09-21T13:03:00Z</dcterms:modified>
</cp:coreProperties>
</file>