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8CB"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2A17D1BB" w:rsidR="007116C7" w:rsidRPr="004A066F" w:rsidRDefault="0032040B" w:rsidP="003D1109">
            <w:pPr>
              <w:ind w:firstLine="720"/>
              <w:jc w:val="center"/>
              <w:rPr>
                <w:b/>
              </w:rPr>
            </w:pPr>
            <w:r>
              <w:rPr>
                <w:b/>
              </w:rPr>
              <w:t>p</w:t>
            </w:r>
            <w:r w:rsidR="00973EC2">
              <w:rPr>
                <w:b/>
              </w:rPr>
              <w:t xml:space="preserve">ar </w:t>
            </w:r>
            <w:r w:rsidR="003D1109" w:rsidRPr="003D1109">
              <w:rPr>
                <w:b/>
              </w:rPr>
              <w:t xml:space="preserve">Ministru kabineta noteikumu projektu </w:t>
            </w:r>
            <w:r w:rsidR="00FD7700" w:rsidRPr="00FD7700">
              <w:rPr>
                <w:b/>
              </w:rPr>
              <w:t xml:space="preserve">"Grozījumi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w:t>
            </w:r>
            <w:r w:rsidR="003D1109">
              <w:rPr>
                <w:b/>
              </w:rPr>
              <w:t>(VSS-</w:t>
            </w:r>
            <w:r w:rsidR="00FD7700">
              <w:rPr>
                <w:b/>
              </w:rPr>
              <w:t>801</w:t>
            </w:r>
            <w:r w:rsidR="003D1109">
              <w:rPr>
                <w:b/>
              </w:rPr>
              <w:t>)</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 xml:space="preserve">Saskaņošanai nosūtītā projekta redakcija (konkrēta </w:t>
            </w:r>
            <w:bookmarkStart w:id="0" w:name="_GoBack"/>
            <w:r w:rsidRPr="00163743">
              <w:t>punkt</w:t>
            </w:r>
            <w:bookmarkEnd w:id="0"/>
            <w:r w:rsidRPr="00163743">
              <w: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14:paraId="2411E405" w14:textId="77777777" w:rsidTr="003D5A5B">
        <w:tc>
          <w:tcPr>
            <w:tcW w:w="1051" w:type="pct"/>
          </w:tcPr>
          <w:p w14:paraId="5FCFA5E6" w14:textId="77777777"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3D5A5B">
        <w:tc>
          <w:tcPr>
            <w:tcW w:w="1051" w:type="pct"/>
          </w:tcPr>
          <w:p w14:paraId="5D65566D" w14:textId="77777777" w:rsidR="00C21C0B" w:rsidRPr="00DB7851" w:rsidRDefault="00C21C0B" w:rsidP="00DB20B0">
            <w:pPr>
              <w:pStyle w:val="naisf"/>
              <w:spacing w:before="0" w:after="0"/>
              <w:ind w:firstLine="0"/>
            </w:pPr>
          </w:p>
        </w:tc>
        <w:tc>
          <w:tcPr>
            <w:tcW w:w="3948"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3D5A5B">
        <w:tc>
          <w:tcPr>
            <w:tcW w:w="1051" w:type="pct"/>
          </w:tcPr>
          <w:p w14:paraId="29E28107" w14:textId="77777777" w:rsidR="00C21C0B" w:rsidRPr="00DB7851" w:rsidRDefault="00C21C0B" w:rsidP="00DB20B0">
            <w:pPr>
              <w:pStyle w:val="naiskr"/>
              <w:spacing w:before="0" w:after="0"/>
            </w:pPr>
            <w:r w:rsidRPr="00DB7851">
              <w:t>Saskaņošanas dalībnieki</w:t>
            </w:r>
          </w:p>
        </w:tc>
        <w:tc>
          <w:tcPr>
            <w:tcW w:w="3948" w:type="pct"/>
          </w:tcPr>
          <w:p w14:paraId="717CA076" w14:textId="2477633E" w:rsidR="00C21C0B" w:rsidRPr="007D7A00" w:rsidRDefault="003D1109" w:rsidP="003D1109">
            <w:pPr>
              <w:pStyle w:val="NormalWeb"/>
              <w:rPr>
                <w:bCs/>
              </w:rPr>
            </w:pPr>
            <w:r w:rsidRPr="003D1109">
              <w:rPr>
                <w:bCs/>
              </w:rPr>
              <w:t>Tieslietu ministrija</w:t>
            </w:r>
            <w:r>
              <w:rPr>
                <w:bCs/>
              </w:rPr>
              <w:t xml:space="preserve">, </w:t>
            </w:r>
            <w:r w:rsidR="00B40087">
              <w:rPr>
                <w:bCs/>
              </w:rPr>
              <w:t>Izglītības un zinātnes ministrija</w:t>
            </w:r>
          </w:p>
        </w:tc>
      </w:tr>
      <w:tr w:rsidR="00C21C0B" w:rsidRPr="00DF33CF" w14:paraId="364435C1" w14:textId="77777777" w:rsidTr="003D5A5B">
        <w:trPr>
          <w:trHeight w:val="285"/>
        </w:trPr>
        <w:tc>
          <w:tcPr>
            <w:tcW w:w="1051"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14:paraId="271D9E07" w14:textId="77777777" w:rsidR="00C21C0B" w:rsidRPr="00DF33CF" w:rsidRDefault="00C21C0B" w:rsidP="00DB20B0">
            <w:pPr>
              <w:pStyle w:val="naiskr"/>
              <w:spacing w:before="0" w:after="0"/>
              <w:ind w:firstLine="12"/>
              <w:rPr>
                <w:sz w:val="23"/>
                <w:szCs w:val="23"/>
              </w:rPr>
            </w:pPr>
          </w:p>
        </w:tc>
      </w:tr>
      <w:tr w:rsidR="00C21C0B" w:rsidRPr="00DF33CF" w14:paraId="2F9F30F4" w14:textId="77777777" w:rsidTr="003D5A5B">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3D5A5B">
        <w:tc>
          <w:tcPr>
            <w:tcW w:w="1051"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94ECB6" w14:textId="77777777" w:rsidR="007B4C0F" w:rsidRPr="00712B66"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294"/>
      </w:tblGrid>
      <w:tr w:rsidR="00134188" w:rsidRPr="00712B66" w14:paraId="7C4487FD" w14:textId="77777777" w:rsidTr="00867866">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867866">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F295A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291721C3" w14:textId="77777777" w:rsidR="00134188" w:rsidRPr="003B71E0" w:rsidRDefault="003B71E0" w:rsidP="003B71E0">
            <w:pPr>
              <w:jc w:val="center"/>
              <w:rPr>
                <w:sz w:val="20"/>
                <w:szCs w:val="20"/>
              </w:rPr>
            </w:pPr>
            <w:r w:rsidRPr="003B71E0">
              <w:rPr>
                <w:sz w:val="20"/>
                <w:szCs w:val="20"/>
              </w:rPr>
              <w:t>5</w:t>
            </w:r>
          </w:p>
        </w:tc>
      </w:tr>
      <w:tr w:rsidR="001C1764" w:rsidRPr="00146C5A" w14:paraId="20B1CC63" w14:textId="77777777" w:rsidTr="00867866">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4EC83DAE" w14:textId="22B8FA66" w:rsidR="004363AA" w:rsidRPr="00340C95" w:rsidRDefault="003D1109" w:rsidP="00FD7700">
            <w:pPr>
              <w:pStyle w:val="naisc"/>
              <w:ind w:firstLine="5"/>
              <w:jc w:val="both"/>
            </w:pPr>
            <w:r w:rsidRPr="003D1109">
              <w:t xml:space="preserve"> </w:t>
            </w:r>
            <w:r w:rsidR="00FD7700" w:rsidRPr="00FD7700">
              <w:t>Ministru kabineta noteikumu projekt</w:t>
            </w:r>
            <w:r w:rsidR="00163874">
              <w:t>a</w:t>
            </w:r>
            <w:r w:rsidR="00FD7700" w:rsidRPr="00FD7700">
              <w:t xml:space="preserve">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w:t>
            </w:r>
            <w:r w:rsidRPr="003D1109">
              <w:t>(turpmāk – Noteikumu projekts)</w:t>
            </w:r>
            <w:r w:rsidR="00163874">
              <w:t xml:space="preserve"> </w:t>
            </w:r>
            <w:r w:rsidR="00E13633">
              <w:t>1.</w:t>
            </w:r>
            <w:r w:rsidR="00163874">
              <w:t>3.</w:t>
            </w:r>
            <w:r w:rsidR="00E13633">
              <w:t>apakš</w:t>
            </w:r>
            <w:r w:rsidR="00163874">
              <w:t xml:space="preserve">punkts un </w:t>
            </w:r>
            <w:r w:rsidR="00E13633">
              <w:t>1.</w:t>
            </w:r>
            <w:r w:rsidR="00163874">
              <w:t>5.</w:t>
            </w:r>
            <w:r w:rsidR="00E13633">
              <w:t>apakš</w:t>
            </w:r>
            <w:r w:rsidR="00163874">
              <w:t>punkts</w:t>
            </w:r>
            <w:r w:rsidR="00FD7700">
              <w:t>.</w:t>
            </w:r>
            <w:r w:rsidR="00FD7700" w:rsidRPr="00FD7700">
              <w:t xml:space="preserve"> </w:t>
            </w:r>
          </w:p>
        </w:tc>
        <w:tc>
          <w:tcPr>
            <w:tcW w:w="4394" w:type="dxa"/>
            <w:tcBorders>
              <w:left w:val="single" w:sz="6" w:space="0" w:color="000000"/>
              <w:bottom w:val="single" w:sz="4" w:space="0" w:color="auto"/>
              <w:right w:val="single" w:sz="6" w:space="0" w:color="000000"/>
            </w:tcBorders>
          </w:tcPr>
          <w:p w14:paraId="72F3281B" w14:textId="4397032D" w:rsidR="001C1764" w:rsidRDefault="001C1764" w:rsidP="003D1109">
            <w:pPr>
              <w:ind w:firstLine="720"/>
              <w:jc w:val="both"/>
              <w:rPr>
                <w:b/>
              </w:rPr>
            </w:pPr>
            <w:r w:rsidRPr="003D1109">
              <w:rPr>
                <w:b/>
              </w:rPr>
              <w:t>Tieslietu ministrija</w:t>
            </w:r>
          </w:p>
          <w:p w14:paraId="07F04B02" w14:textId="77777777" w:rsidR="00FD7700" w:rsidRDefault="00FD7700" w:rsidP="00677B0A">
            <w:pPr>
              <w:pStyle w:val="NoSpacing"/>
              <w:ind w:firstLine="197"/>
              <w:rPr>
                <w:szCs w:val="24"/>
                <w:bdr w:val="none" w:sz="0" w:space="0" w:color="auto" w:frame="1"/>
                <w:shd w:val="clear" w:color="auto" w:fill="FFFFFF"/>
                <w:lang w:eastAsia="lv-LV"/>
              </w:rPr>
            </w:pPr>
            <w:r>
              <w:t>Vēršam uzmanību uz to</w:t>
            </w:r>
            <w:r>
              <w:rPr>
                <w:szCs w:val="24"/>
                <w:bdr w:val="none" w:sz="0" w:space="0" w:color="auto" w:frame="1"/>
                <w:shd w:val="clear" w:color="auto" w:fill="FFFFFF"/>
                <w:lang w:eastAsia="lv-LV"/>
              </w:rPr>
              <w:t xml:space="preserve">, ka nav skaidrs, kas tiek saprasts ar projekta 3. punktā paredzētajā </w:t>
            </w:r>
            <w:r w:rsidRPr="002B20BA">
              <w:t>Ministru kabineta 2009.</w:t>
            </w:r>
            <w:r>
              <w:t> </w:t>
            </w:r>
            <w:r w:rsidRPr="002B20BA">
              <w:t>gada 24.</w:t>
            </w:r>
            <w:r>
              <w:t> </w:t>
            </w:r>
            <w:r w:rsidRPr="002B20BA">
              <w:t>marta noteikum</w:t>
            </w:r>
            <w:r>
              <w:t>u</w:t>
            </w:r>
            <w:r w:rsidRPr="002B20BA">
              <w:t xml:space="preserve"> Nr.</w:t>
            </w:r>
            <w:r>
              <w:t> </w:t>
            </w:r>
            <w:r w:rsidRPr="002B20BA">
              <w:t>268 "Noteikumi par ārstniecības personu un studējošo, kuri apgūst pirmā vai otrā līmeņa profesionālās augstākās medicīniskās izglītības programmas, kompetenci ārstniecībā un šo personu teorētisko un praktisko zināšanu apjom</w:t>
            </w:r>
            <w:r>
              <w:t>u"</w:t>
            </w:r>
            <w:r w:rsidRPr="006C43AE">
              <w:t xml:space="preserve"> (turpmāk – </w:t>
            </w:r>
            <w:r>
              <w:t>noteikumi</w:t>
            </w:r>
            <w:r w:rsidRPr="006C43AE">
              <w:t>)</w:t>
            </w:r>
            <w:r>
              <w:rPr>
                <w:szCs w:val="24"/>
                <w:bdr w:val="none" w:sz="0" w:space="0" w:color="auto" w:frame="1"/>
                <w:shd w:val="clear" w:color="auto" w:fill="FFFFFF"/>
                <w:lang w:eastAsia="lv-LV"/>
              </w:rPr>
              <w:t xml:space="preserve"> 497.23. un 500.17. apakšpunktā, kā arī projekta 5. punktā paredzētajā noteikumu 510.5.,</w:t>
            </w:r>
            <w:r w:rsidRPr="005620F4">
              <w:rPr>
                <w:szCs w:val="24"/>
                <w:bdr w:val="none" w:sz="0" w:space="0" w:color="auto" w:frame="1"/>
                <w:shd w:val="clear" w:color="auto" w:fill="FFFFFF"/>
                <w:lang w:eastAsia="lv-LV"/>
              </w:rPr>
              <w:t xml:space="preserve"> </w:t>
            </w:r>
            <w:r>
              <w:rPr>
                <w:szCs w:val="24"/>
                <w:bdr w:val="none" w:sz="0" w:space="0" w:color="auto" w:frame="1"/>
                <w:shd w:val="clear" w:color="auto" w:fill="FFFFFF"/>
                <w:lang w:eastAsia="lv-LV"/>
              </w:rPr>
              <w:t>511.6., 511.8., 515.5. un 516.4. apakšpunktā, 518. punktā, 520.1.5. un 520.3.5. apakšpunktā minētajiem vārdiem "viņu tuvinieku un pārstāvju". Ievērojot minēto, lūdzam precizēt projekta 3. punktā paredzētajā noteikumu 497.23. un 500.17. apakšpunktā, kā arī projekta 5. punktā paredzētajā noteikumu 510.5.,</w:t>
            </w:r>
            <w:r w:rsidRPr="005620F4">
              <w:rPr>
                <w:szCs w:val="24"/>
                <w:bdr w:val="none" w:sz="0" w:space="0" w:color="auto" w:frame="1"/>
                <w:shd w:val="clear" w:color="auto" w:fill="FFFFFF"/>
                <w:lang w:eastAsia="lv-LV"/>
              </w:rPr>
              <w:t xml:space="preserve"> </w:t>
            </w:r>
            <w:r>
              <w:rPr>
                <w:szCs w:val="24"/>
                <w:bdr w:val="none" w:sz="0" w:space="0" w:color="auto" w:frame="1"/>
                <w:shd w:val="clear" w:color="auto" w:fill="FFFFFF"/>
                <w:lang w:eastAsia="lv-LV"/>
              </w:rPr>
              <w:t xml:space="preserve">511.6., 511.8., 515.5. un 516.4. apakšpunktā, 518. punktā, 520.1.5. un 520.3.5. apakšpunktā ietverto regulējumu vai papildināt </w:t>
            </w:r>
            <w:r>
              <w:rPr>
                <w:szCs w:val="24"/>
              </w:rPr>
              <w:t>p</w:t>
            </w:r>
            <w:r w:rsidRPr="003130CF">
              <w:rPr>
                <w:szCs w:val="24"/>
              </w:rPr>
              <w:t xml:space="preserve">rojekta sākotnējās </w:t>
            </w:r>
            <w:r w:rsidRPr="003130CF">
              <w:rPr>
                <w:i/>
                <w:szCs w:val="24"/>
              </w:rPr>
              <w:t>(</w:t>
            </w:r>
            <w:proofErr w:type="spellStart"/>
            <w:r w:rsidRPr="003130CF">
              <w:rPr>
                <w:i/>
                <w:szCs w:val="24"/>
              </w:rPr>
              <w:t>ex-ante</w:t>
            </w:r>
            <w:proofErr w:type="spellEnd"/>
            <w:r w:rsidRPr="003130CF">
              <w:rPr>
                <w:i/>
                <w:szCs w:val="24"/>
              </w:rPr>
              <w:t>)</w:t>
            </w:r>
            <w:r w:rsidRPr="003130CF">
              <w:rPr>
                <w:szCs w:val="24"/>
              </w:rPr>
              <w:t xml:space="preserve"> ietekmes novērtējuma ziņojuma (turpmāk – anotācija)</w:t>
            </w:r>
            <w:r>
              <w:rPr>
                <w:szCs w:val="24"/>
                <w:bdr w:val="none" w:sz="0" w:space="0" w:color="auto" w:frame="1"/>
                <w:shd w:val="clear" w:color="auto" w:fill="FFFFFF"/>
                <w:lang w:eastAsia="lv-LV"/>
              </w:rPr>
              <w:t xml:space="preserve"> I sadaļas 2. punktu ar atbilstošu skaidrojumu</w:t>
            </w:r>
          </w:p>
          <w:p w14:paraId="12F525CF" w14:textId="77777777" w:rsidR="001C1764" w:rsidRPr="003D1109" w:rsidRDefault="001C1764" w:rsidP="00FD7700">
            <w:pPr>
              <w:jc w:val="both"/>
            </w:pPr>
          </w:p>
        </w:tc>
        <w:tc>
          <w:tcPr>
            <w:tcW w:w="4111"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lastRenderedPageBreak/>
              <w:t xml:space="preserve"> </w:t>
            </w:r>
            <w:r w:rsidRPr="004E1D99">
              <w:rPr>
                <w:b/>
              </w:rPr>
              <w:t>Ņemts vērā</w:t>
            </w:r>
          </w:p>
          <w:p w14:paraId="40977A10" w14:textId="0131AABA" w:rsidR="00677B0A" w:rsidRDefault="00677B0A" w:rsidP="009520EE">
            <w:pPr>
              <w:pStyle w:val="naisc"/>
              <w:ind w:firstLine="5"/>
              <w:jc w:val="both"/>
            </w:pPr>
            <w:r>
              <w:t>Atbilstoši Tieslietu ministrijas 07.10.2020. atzinum</w:t>
            </w:r>
            <w:r w:rsidR="00D308E2">
              <w:t>a</w:t>
            </w:r>
            <w:r>
              <w:t xml:space="preserve"> Nr. 1-9.1/1047 1.punktam ir precizēts Noteikumu projekta </w:t>
            </w:r>
            <w:r w:rsidR="00E13633">
              <w:t>1.</w:t>
            </w:r>
            <w:r>
              <w:t>3.</w:t>
            </w:r>
            <w:r w:rsidR="00E13633">
              <w:t>apakš</w:t>
            </w:r>
            <w:r>
              <w:t xml:space="preserve">punkts un </w:t>
            </w:r>
            <w:r w:rsidR="00E13633">
              <w:t>1.</w:t>
            </w:r>
            <w:r>
              <w:t>5.</w:t>
            </w:r>
            <w:r w:rsidR="00E13633">
              <w:t>apakš</w:t>
            </w:r>
            <w:r>
              <w:t>punkts, kā arī papildināta anotācija.</w:t>
            </w:r>
          </w:p>
          <w:p w14:paraId="727C93FF" w14:textId="2142AF1A" w:rsidR="00E24084" w:rsidRPr="004D7281" w:rsidRDefault="00163874" w:rsidP="0045402B">
            <w:pPr>
              <w:tabs>
                <w:tab w:val="center" w:pos="4678"/>
                <w:tab w:val="right" w:pos="9072"/>
              </w:tabs>
              <w:ind w:firstLine="293"/>
              <w:jc w:val="both"/>
              <w:rPr>
                <w:color w:val="FF0000"/>
              </w:rPr>
            </w:pPr>
            <w:r>
              <w:t xml:space="preserve">Noteikumu projekta </w:t>
            </w:r>
            <w:r w:rsidR="00E13633">
              <w:t>1.</w:t>
            </w:r>
            <w:r>
              <w:t xml:space="preserve">3. </w:t>
            </w:r>
            <w:r w:rsidR="00E13633">
              <w:t>apakš</w:t>
            </w:r>
            <w:r>
              <w:t xml:space="preserve">punktā </w:t>
            </w:r>
            <w:r>
              <w:rPr>
                <w:bdr w:val="none" w:sz="0" w:space="0" w:color="auto" w:frame="1"/>
                <w:shd w:val="clear" w:color="auto" w:fill="FFFFFF"/>
              </w:rPr>
              <w:t xml:space="preserve">paredzētajā noteikumu 497.23. un 500.17. apakšpunktā, kā arī projekta </w:t>
            </w:r>
            <w:r w:rsidR="00E13633">
              <w:rPr>
                <w:bdr w:val="none" w:sz="0" w:space="0" w:color="auto" w:frame="1"/>
                <w:shd w:val="clear" w:color="auto" w:fill="FFFFFF"/>
              </w:rPr>
              <w:t>1.</w:t>
            </w:r>
            <w:r>
              <w:rPr>
                <w:bdr w:val="none" w:sz="0" w:space="0" w:color="auto" w:frame="1"/>
                <w:shd w:val="clear" w:color="auto" w:fill="FFFFFF"/>
              </w:rPr>
              <w:t>5. </w:t>
            </w:r>
            <w:r w:rsidR="00E13633">
              <w:rPr>
                <w:bdr w:val="none" w:sz="0" w:space="0" w:color="auto" w:frame="1"/>
                <w:shd w:val="clear" w:color="auto" w:fill="FFFFFF"/>
              </w:rPr>
              <w:t>apakš</w:t>
            </w:r>
            <w:r>
              <w:rPr>
                <w:bdr w:val="none" w:sz="0" w:space="0" w:color="auto" w:frame="1"/>
                <w:shd w:val="clear" w:color="auto" w:fill="FFFFFF"/>
              </w:rPr>
              <w:t>punktā paredzētajā noteikumu 510.5.,</w:t>
            </w:r>
            <w:r w:rsidRPr="005620F4">
              <w:rPr>
                <w:bdr w:val="none" w:sz="0" w:space="0" w:color="auto" w:frame="1"/>
                <w:shd w:val="clear" w:color="auto" w:fill="FFFFFF"/>
              </w:rPr>
              <w:t xml:space="preserve"> </w:t>
            </w:r>
            <w:r>
              <w:rPr>
                <w:bdr w:val="none" w:sz="0" w:space="0" w:color="auto" w:frame="1"/>
                <w:shd w:val="clear" w:color="auto" w:fill="FFFFFF"/>
              </w:rPr>
              <w:t>511.6., 511.8., 515.5. un 516.4. apakšpunktā, 518. punktā, 520.1.5. un 520.3.5. apakšpunktā tiek lietoti vārdi "viņu tuvinieku un pārstāvju"</w:t>
            </w:r>
            <w:r w:rsidR="00C76CE6">
              <w:rPr>
                <w:bdr w:val="none" w:sz="0" w:space="0" w:color="auto" w:frame="1"/>
                <w:shd w:val="clear" w:color="auto" w:fill="FFFFFF"/>
              </w:rPr>
              <w:t>, jo Pacientu tiesību likuma 3.panta piektajā daļā ir minēti vārdi “</w:t>
            </w:r>
            <w:r w:rsidR="00C76CE6" w:rsidRPr="00C76CE6">
              <w:rPr>
                <w:bdr w:val="none" w:sz="0" w:space="0" w:color="auto" w:frame="1"/>
                <w:shd w:val="clear" w:color="auto" w:fill="FFFFFF"/>
              </w:rPr>
              <w:t>Pacientam un viņa tuviniekiem</w:t>
            </w:r>
            <w:r w:rsidR="00C76CE6">
              <w:rPr>
                <w:bdr w:val="none" w:sz="0" w:space="0" w:color="auto" w:frame="1"/>
                <w:shd w:val="clear" w:color="auto" w:fill="FFFFFF"/>
              </w:rPr>
              <w:t xml:space="preserve">”, turklāt </w:t>
            </w:r>
            <w:r w:rsidR="000E6CC4" w:rsidRPr="00033457">
              <w:t xml:space="preserve">Pacientu tiesību likuma </w:t>
            </w:r>
            <w:r w:rsidR="00E24084" w:rsidRPr="00033457">
              <w:t xml:space="preserve">7.panta otrā daļā </w:t>
            </w:r>
            <w:r w:rsidR="00033457" w:rsidRPr="00033457">
              <w:t xml:space="preserve">ir </w:t>
            </w:r>
            <w:r w:rsidR="00C76CE6">
              <w:t>skaidrots</w:t>
            </w:r>
            <w:r w:rsidR="00033457" w:rsidRPr="00033457">
              <w:t xml:space="preserve">, ka </w:t>
            </w:r>
            <w:bookmarkStart w:id="1" w:name="_Hlk54187224"/>
            <w:r w:rsidR="00033457" w:rsidRPr="00033457">
              <w:t>persona, kas pārstāv pacientu</w:t>
            </w:r>
            <w:bookmarkEnd w:id="1"/>
            <w:r w:rsidR="00033457" w:rsidRPr="00033457">
              <w:t xml:space="preserve"> </w:t>
            </w:r>
            <w:r w:rsidR="00033457">
              <w:t>ir</w:t>
            </w:r>
            <w:r w:rsidR="00E24084" w:rsidRPr="00033457">
              <w:t xml:space="preserve"> </w:t>
            </w:r>
            <w:bookmarkStart w:id="2" w:name="_Hlk54187320"/>
            <w:r w:rsidR="00033457" w:rsidRPr="00033457">
              <w:t>p</w:t>
            </w:r>
            <w:r w:rsidR="00E24084" w:rsidRPr="00033457">
              <w:t>acienta laulātais, tuvākais radinieks vai pacienta pilnvarotā persona, kā arī pacienta likumiskais pārstāvis, ja pacients atrodas aizbildnībā vai aizgādnībā</w:t>
            </w:r>
            <w:r w:rsidR="0045402B">
              <w:t xml:space="preserve"> vai pacients ir n</w:t>
            </w:r>
            <w:r w:rsidR="0045402B" w:rsidRPr="00023A77">
              <w:t>epilngadīg</w:t>
            </w:r>
            <w:r w:rsidR="0045402B">
              <w:t xml:space="preserve">s (Pacientu tiesību likuma 13.pants). </w:t>
            </w:r>
            <w:r w:rsidR="00C76CE6">
              <w:t xml:space="preserve">Ņemot vērā, ka nedz Pacientu </w:t>
            </w:r>
            <w:r w:rsidR="00C76CE6">
              <w:lastRenderedPageBreak/>
              <w:t>tiesību likumā, nedz Ārstniecības likumā netiek skaidrots vārds “tuvinieks”</w:t>
            </w:r>
            <w:r w:rsidR="00033457">
              <w:t xml:space="preserve"> ir </w:t>
            </w:r>
            <w:bookmarkEnd w:id="2"/>
            <w:r w:rsidR="00033457" w:rsidRPr="00033457">
              <w:t>precizēt</w:t>
            </w:r>
            <w:r w:rsidR="00033457">
              <w:t>s</w:t>
            </w:r>
            <w:r w:rsidR="00033457" w:rsidRPr="00033457">
              <w:t xml:space="preserve"> projekta </w:t>
            </w:r>
            <w:r w:rsidR="009E16ED">
              <w:t>1.</w:t>
            </w:r>
            <w:r w:rsidR="00033457" w:rsidRPr="00033457">
              <w:t xml:space="preserve">3. </w:t>
            </w:r>
            <w:r w:rsidR="009E16ED">
              <w:t>apakš</w:t>
            </w:r>
            <w:r w:rsidR="00033457" w:rsidRPr="00033457">
              <w:t>punkt</w:t>
            </w:r>
            <w:r w:rsidR="00C76CE6">
              <w:t>ā</w:t>
            </w:r>
            <w:r w:rsidR="00033457" w:rsidRPr="00033457">
              <w:t xml:space="preserve"> paredzētajā noteikumu 497.23. un 500.17. apakšpunktā, kā arī projekta </w:t>
            </w:r>
            <w:r w:rsidR="009E16ED">
              <w:t>1.</w:t>
            </w:r>
            <w:r w:rsidR="00033457" w:rsidRPr="00033457">
              <w:t xml:space="preserve">5. </w:t>
            </w:r>
            <w:r w:rsidR="009E16ED">
              <w:t>apakš</w:t>
            </w:r>
            <w:r w:rsidR="00033457" w:rsidRPr="00033457">
              <w:t>punktā paredzētajā noteikumu 510.5., 511.6., 511.8., 515.5. un 516.4. apakšpunktā, 518. punktā, 520.1.5. un 520.3.5. apakšpunktā ietvert</w:t>
            </w:r>
            <w:r w:rsidR="009520EE">
              <w:t>ais</w:t>
            </w:r>
            <w:r w:rsidR="00033457" w:rsidRPr="00033457">
              <w:t xml:space="preserve"> regulējum</w:t>
            </w:r>
            <w:r w:rsidR="009520EE">
              <w:t xml:space="preserve">s, lietojot vārdus “viņu pārstāvju”, kas atbilst </w:t>
            </w:r>
            <w:r w:rsidR="009520EE" w:rsidRPr="00033457">
              <w:t>Pacientu tiesību likuma 7.panta otrā daļā</w:t>
            </w:r>
            <w:r w:rsidR="009520EE">
              <w:t xml:space="preserve"> sniegtajam skaidrojumam. Attiecīgi ir </w:t>
            </w:r>
            <w:r w:rsidR="00033457" w:rsidRPr="00033457">
              <w:t>papildināt</w:t>
            </w:r>
            <w:r w:rsidR="009520EE">
              <w:t>s</w:t>
            </w:r>
            <w:r w:rsidR="00033457" w:rsidRPr="00033457">
              <w:t xml:space="preserve"> </w:t>
            </w:r>
            <w:r w:rsidR="009520EE">
              <w:t xml:space="preserve">Noteikumu </w:t>
            </w:r>
            <w:r w:rsidR="00033457" w:rsidRPr="00033457">
              <w:t>projekta anotācija</w:t>
            </w:r>
            <w:r w:rsidR="009520EE">
              <w:t>s</w:t>
            </w:r>
            <w:r w:rsidR="00033457" w:rsidRPr="00033457">
              <w:t xml:space="preserve"> I sadaļas 2. punkt</w:t>
            </w:r>
            <w:r w:rsidR="00033457">
              <w:t>s</w:t>
            </w:r>
            <w:r w:rsidR="00033457" w:rsidRPr="00033457">
              <w:t xml:space="preserve"> ar atbilstošu skaidrojumu</w:t>
            </w:r>
            <w:r w:rsidR="00033457">
              <w:t>.</w:t>
            </w:r>
          </w:p>
        </w:tc>
        <w:tc>
          <w:tcPr>
            <w:tcW w:w="2294" w:type="dxa"/>
            <w:tcBorders>
              <w:top w:val="single" w:sz="4" w:space="0" w:color="auto"/>
              <w:left w:val="single" w:sz="4" w:space="0" w:color="auto"/>
              <w:bottom w:val="single" w:sz="4" w:space="0" w:color="auto"/>
            </w:tcBorders>
          </w:tcPr>
          <w:p w14:paraId="3046A196" w14:textId="65B33213" w:rsidR="001C1764" w:rsidRPr="00146C5A" w:rsidRDefault="00BE435B" w:rsidP="00BE435B">
            <w:pPr>
              <w:jc w:val="both"/>
            </w:pPr>
            <w:r>
              <w:lastRenderedPageBreak/>
              <w:t>Skatīt precizēto noteikumu projektu un anotāciju.</w:t>
            </w:r>
          </w:p>
        </w:tc>
      </w:tr>
      <w:tr w:rsidR="00347DB4" w:rsidRPr="00146C5A" w14:paraId="69AD347E" w14:textId="77777777" w:rsidTr="00867866">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9F08D28" w14:textId="4FBCDECA" w:rsidR="00347DB4" w:rsidRPr="003D1109" w:rsidRDefault="00FD7700" w:rsidP="000D586B">
            <w:pPr>
              <w:pStyle w:val="naisc"/>
              <w:ind w:firstLine="5"/>
              <w:jc w:val="both"/>
            </w:pPr>
            <w:r>
              <w:t xml:space="preserve">Noteikumu projekta </w:t>
            </w:r>
            <w:r w:rsidR="00B40087">
              <w:t>1.</w:t>
            </w:r>
            <w:r>
              <w:t>6.</w:t>
            </w:r>
            <w:r w:rsidR="009E16ED">
              <w:t>apakš</w:t>
            </w:r>
            <w:r>
              <w:t>punkts</w:t>
            </w:r>
          </w:p>
        </w:tc>
        <w:tc>
          <w:tcPr>
            <w:tcW w:w="4394" w:type="dxa"/>
            <w:tcBorders>
              <w:left w:val="single" w:sz="6" w:space="0" w:color="000000"/>
              <w:bottom w:val="single" w:sz="4" w:space="0" w:color="auto"/>
              <w:right w:val="single" w:sz="6" w:space="0" w:color="000000"/>
            </w:tcBorders>
          </w:tcPr>
          <w:p w14:paraId="009A21BE" w14:textId="77777777" w:rsidR="00FD7700" w:rsidRDefault="00FD7700" w:rsidP="00FD7700">
            <w:pPr>
              <w:ind w:firstLine="720"/>
              <w:jc w:val="both"/>
              <w:rPr>
                <w:b/>
              </w:rPr>
            </w:pPr>
            <w:r w:rsidRPr="003D1109">
              <w:rPr>
                <w:b/>
              </w:rPr>
              <w:t>Tieslietu ministrija</w:t>
            </w:r>
          </w:p>
          <w:p w14:paraId="361F1E22" w14:textId="77777777" w:rsidR="00FD7700" w:rsidRDefault="00FD7700" w:rsidP="00677B0A">
            <w:pPr>
              <w:pStyle w:val="NoSpacing"/>
              <w:ind w:firstLine="197"/>
            </w:pPr>
            <w:r>
              <w:t>Ievērojot, ka nav skaidrs, kādēļ projekta 6. punkts cita starpā paredz svītrot not</w:t>
            </w:r>
            <w:r w:rsidRPr="002B20BA">
              <w:t>eikum</w:t>
            </w:r>
            <w:r>
              <w:t>u</w:t>
            </w:r>
            <w:r w:rsidRPr="002B20BA">
              <w:t xml:space="preserve"> </w:t>
            </w:r>
            <w:r>
              <w:t xml:space="preserve">6.13. apakšnodaļu, lūdzam papildināt </w:t>
            </w:r>
            <w:r w:rsidRPr="003130CF">
              <w:rPr>
                <w:szCs w:val="24"/>
              </w:rPr>
              <w:t>anotācij</w:t>
            </w:r>
            <w:r>
              <w:rPr>
                <w:szCs w:val="24"/>
              </w:rPr>
              <w:t>as</w:t>
            </w:r>
            <w:r>
              <w:t xml:space="preserve"> I sadaļas 2. punktu ar atbilstošu skaidrojumu.</w:t>
            </w:r>
          </w:p>
          <w:p w14:paraId="1C6440BA" w14:textId="3EA98330" w:rsidR="00347DB4" w:rsidRPr="00347DB4" w:rsidRDefault="00347DB4" w:rsidP="000D586B">
            <w:pPr>
              <w:jc w:val="both"/>
              <w:rPr>
                <w:bCs/>
              </w:rPr>
            </w:pPr>
          </w:p>
        </w:tc>
        <w:tc>
          <w:tcPr>
            <w:tcW w:w="4111" w:type="dxa"/>
            <w:gridSpan w:val="2"/>
            <w:tcBorders>
              <w:left w:val="single" w:sz="6" w:space="0" w:color="000000"/>
              <w:bottom w:val="single" w:sz="4" w:space="0" w:color="auto"/>
              <w:right w:val="single" w:sz="6" w:space="0" w:color="000000"/>
            </w:tcBorders>
          </w:tcPr>
          <w:p w14:paraId="1EFB96F8" w14:textId="77777777" w:rsidR="00033457" w:rsidRPr="004E1D99" w:rsidRDefault="00033457" w:rsidP="00033457">
            <w:pPr>
              <w:jc w:val="center"/>
              <w:rPr>
                <w:b/>
              </w:rPr>
            </w:pPr>
            <w:r w:rsidRPr="004E1D99">
              <w:rPr>
                <w:b/>
              </w:rPr>
              <w:t>Ņemts vērā</w:t>
            </w:r>
          </w:p>
          <w:p w14:paraId="5523043F" w14:textId="6B0B33BD" w:rsidR="00677B0A" w:rsidRDefault="00677B0A" w:rsidP="00677B0A">
            <w:pPr>
              <w:jc w:val="both"/>
              <w:rPr>
                <w:bCs/>
              </w:rPr>
            </w:pPr>
            <w:r>
              <w:rPr>
                <w:bCs/>
              </w:rPr>
              <w:t xml:space="preserve">Atbilstoši Tieslietu ministrijas </w:t>
            </w:r>
            <w:r>
              <w:t>07.10.2020. atzinum</w:t>
            </w:r>
            <w:r w:rsidR="00D308E2">
              <w:t>a</w:t>
            </w:r>
            <w:r>
              <w:t xml:space="preserve"> Nr. 1-9.1/1047 </w:t>
            </w:r>
            <w:r w:rsidR="00D308E2">
              <w:t xml:space="preserve">2.punktam </w:t>
            </w:r>
            <w:r>
              <w:rPr>
                <w:bCs/>
              </w:rPr>
              <w:t xml:space="preserve">ir papildināts </w:t>
            </w:r>
            <w:r w:rsidRPr="00677B0A">
              <w:rPr>
                <w:bCs/>
              </w:rPr>
              <w:t>anotācijas I sadaļas 2. punkt</w:t>
            </w:r>
            <w:r>
              <w:rPr>
                <w:bCs/>
              </w:rPr>
              <w:t>s</w:t>
            </w:r>
            <w:r w:rsidRPr="00677B0A">
              <w:rPr>
                <w:bCs/>
              </w:rPr>
              <w:t xml:space="preserve"> ar atbilstošu skaidrojumu</w:t>
            </w:r>
            <w:r>
              <w:rPr>
                <w:bCs/>
              </w:rPr>
              <w:t xml:space="preserve"> par </w:t>
            </w:r>
            <w:r w:rsidRPr="00677B0A">
              <w:rPr>
                <w:bCs/>
              </w:rPr>
              <w:t>noteikumu 6.13. apakšnodaļ</w:t>
            </w:r>
            <w:r>
              <w:rPr>
                <w:bCs/>
              </w:rPr>
              <w:t>as svītrošanu.</w:t>
            </w:r>
          </w:p>
          <w:p w14:paraId="408B0267" w14:textId="73BFA677" w:rsidR="005D613B" w:rsidRDefault="000D6600" w:rsidP="00677B0A">
            <w:pPr>
              <w:jc w:val="both"/>
              <w:rPr>
                <w:bCs/>
              </w:rPr>
            </w:pPr>
            <w:r>
              <w:rPr>
                <w:bCs/>
              </w:rPr>
              <w:t>S</w:t>
            </w:r>
            <w:r w:rsidRPr="000D6600">
              <w:rPr>
                <w:bCs/>
              </w:rPr>
              <w:t>askaņā ar Konceptuālajā ziņojum</w:t>
            </w:r>
            <w:r w:rsidR="00677B0A">
              <w:rPr>
                <w:bCs/>
              </w:rPr>
              <w:t>a</w:t>
            </w:r>
            <w:r>
              <w:rPr>
                <w:bCs/>
              </w:rPr>
              <w:t xml:space="preserve"> </w:t>
            </w:r>
            <w:r w:rsidRPr="000D6600">
              <w:rPr>
                <w:bCs/>
              </w:rPr>
              <w:t>"Par māsas profesijas turpmāko attīstību"</w:t>
            </w:r>
            <w:r w:rsidR="00677B0A">
              <w:rPr>
                <w:bCs/>
              </w:rPr>
              <w:t xml:space="preserve"> 87.punktā noteikto</w:t>
            </w:r>
            <w:r w:rsidRPr="000D6600">
              <w:rPr>
                <w:bCs/>
              </w:rPr>
              <w:t xml:space="preserve">  tiek izslēgtas māsas profesijas papildspecialitātes diabēta aprūpes māsa, onkoloģiskās aprūpes māsa, nieru </w:t>
            </w:r>
            <w:proofErr w:type="spellStart"/>
            <w:r w:rsidRPr="000D6600">
              <w:rPr>
                <w:bCs/>
              </w:rPr>
              <w:t>aizstājterapijas</w:t>
            </w:r>
            <w:proofErr w:type="spellEnd"/>
            <w:r w:rsidRPr="000D6600">
              <w:rPr>
                <w:bCs/>
              </w:rPr>
              <w:t xml:space="preserve"> un </w:t>
            </w:r>
            <w:proofErr w:type="spellStart"/>
            <w:r w:rsidRPr="000D6600">
              <w:rPr>
                <w:bCs/>
              </w:rPr>
              <w:t>nefroloģiskās</w:t>
            </w:r>
            <w:proofErr w:type="spellEnd"/>
            <w:r w:rsidRPr="000D6600">
              <w:rPr>
                <w:bCs/>
              </w:rPr>
              <w:t xml:space="preserve"> aprūpes māsa, fizikālās un rehabilitācijas medicīnas māsa, </w:t>
            </w:r>
            <w:proofErr w:type="spellStart"/>
            <w:r w:rsidRPr="000D6600">
              <w:rPr>
                <w:bCs/>
              </w:rPr>
              <w:t>transfuzioloģijas</w:t>
            </w:r>
            <w:proofErr w:type="spellEnd"/>
            <w:r w:rsidRPr="000D6600">
              <w:rPr>
                <w:bCs/>
              </w:rPr>
              <w:t xml:space="preserve"> māsa un   </w:t>
            </w:r>
            <w:proofErr w:type="spellStart"/>
            <w:r w:rsidRPr="000D6600">
              <w:rPr>
                <w:bCs/>
              </w:rPr>
              <w:t>neonatoloģijas</w:t>
            </w:r>
            <w:proofErr w:type="spellEnd"/>
            <w:r w:rsidRPr="000D6600">
              <w:rPr>
                <w:bCs/>
              </w:rPr>
              <w:t xml:space="preserve"> māsa. Māsas kompetence onkoloģisko pacientu aprūpē un </w:t>
            </w:r>
            <w:proofErr w:type="spellStart"/>
            <w:r w:rsidRPr="000D6600">
              <w:rPr>
                <w:bCs/>
              </w:rPr>
              <w:t>neonatoloģijas</w:t>
            </w:r>
            <w:proofErr w:type="spellEnd"/>
            <w:r w:rsidRPr="000D6600">
              <w:rPr>
                <w:bCs/>
              </w:rPr>
              <w:t xml:space="preserve"> pacientu aprūpē ir ietverta māsas (vispārējās aprūpes māsas) profesijas kompetences ietvarā. </w:t>
            </w:r>
            <w:r w:rsidR="00677B0A" w:rsidRPr="00677B0A">
              <w:rPr>
                <w:bCs/>
              </w:rPr>
              <w:lastRenderedPageBreak/>
              <w:t xml:space="preserve">Turklāt  diabētisko pacientu aprūpe māsas praksē, nieru </w:t>
            </w:r>
            <w:proofErr w:type="spellStart"/>
            <w:r w:rsidR="00677B0A" w:rsidRPr="00677B0A">
              <w:rPr>
                <w:bCs/>
              </w:rPr>
              <w:t>aizstājterapijas</w:t>
            </w:r>
            <w:proofErr w:type="spellEnd"/>
            <w:r w:rsidR="00677B0A" w:rsidRPr="00677B0A">
              <w:rPr>
                <w:bCs/>
              </w:rPr>
              <w:t xml:space="preserve"> metode māsas praksē, fizikālās medicīnas metodes māsas praksē un </w:t>
            </w:r>
            <w:proofErr w:type="spellStart"/>
            <w:r w:rsidR="00677B0A" w:rsidRPr="00677B0A">
              <w:rPr>
                <w:bCs/>
              </w:rPr>
              <w:t>transfuzioloģijas</w:t>
            </w:r>
            <w:proofErr w:type="spellEnd"/>
            <w:r w:rsidR="00677B0A" w:rsidRPr="00677B0A">
              <w:rPr>
                <w:bCs/>
              </w:rPr>
              <w:t xml:space="preserve"> metode māsas praksē  tiks noteiktas kā ārstnieciskā un diagnostiskā metodes māsas (vispārējās aprūpes māsas) praksē.</w:t>
            </w:r>
          </w:p>
          <w:p w14:paraId="1A621832" w14:textId="77777777" w:rsidR="00677B0A" w:rsidRDefault="00677B0A" w:rsidP="00677B0A">
            <w:pPr>
              <w:jc w:val="both"/>
              <w:rPr>
                <w:bCs/>
              </w:rPr>
            </w:pPr>
          </w:p>
          <w:p w14:paraId="4D13E986" w14:textId="00AE7A00" w:rsidR="00677B0A" w:rsidRPr="003F6C35" w:rsidRDefault="00677B0A" w:rsidP="00677B0A">
            <w:pPr>
              <w:jc w:val="both"/>
              <w:rPr>
                <w:bCs/>
              </w:rPr>
            </w:pPr>
          </w:p>
        </w:tc>
        <w:tc>
          <w:tcPr>
            <w:tcW w:w="2294" w:type="dxa"/>
            <w:tcBorders>
              <w:top w:val="single" w:sz="4" w:space="0" w:color="auto"/>
              <w:left w:val="single" w:sz="4" w:space="0" w:color="auto"/>
              <w:bottom w:val="single" w:sz="4" w:space="0" w:color="auto"/>
            </w:tcBorders>
          </w:tcPr>
          <w:p w14:paraId="0FF29E3D" w14:textId="4829BE4B" w:rsidR="00347DB4" w:rsidRPr="00146C5A" w:rsidRDefault="00677B0A" w:rsidP="0071344A">
            <w:pPr>
              <w:jc w:val="both"/>
            </w:pPr>
            <w:r>
              <w:lastRenderedPageBreak/>
              <w:t>Skatīt precizēto anotāciju.</w:t>
            </w:r>
          </w:p>
        </w:tc>
      </w:tr>
      <w:tr w:rsidR="00B40087" w:rsidRPr="00146C5A" w14:paraId="683F035E" w14:textId="77777777" w:rsidTr="00867866">
        <w:tc>
          <w:tcPr>
            <w:tcW w:w="708" w:type="dxa"/>
            <w:tcBorders>
              <w:left w:val="single" w:sz="6" w:space="0" w:color="000000"/>
              <w:bottom w:val="single" w:sz="4" w:space="0" w:color="auto"/>
              <w:right w:val="single" w:sz="6" w:space="0" w:color="000000"/>
            </w:tcBorders>
          </w:tcPr>
          <w:p w14:paraId="70BA4ACB" w14:textId="77777777" w:rsidR="00B40087" w:rsidRPr="00712B66" w:rsidRDefault="00B40087"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5D43C57" w14:textId="1A67B80A" w:rsidR="00B40087" w:rsidRDefault="00B40087" w:rsidP="000D586B">
            <w:pPr>
              <w:pStyle w:val="naisc"/>
              <w:ind w:firstLine="5"/>
              <w:jc w:val="both"/>
            </w:pPr>
            <w:r>
              <w:t>Noteikumu projekta 1.7.</w:t>
            </w:r>
            <w:r w:rsidR="00FD15E1">
              <w:t>apakš</w:t>
            </w:r>
            <w:r>
              <w:t>punkts</w:t>
            </w:r>
          </w:p>
        </w:tc>
        <w:tc>
          <w:tcPr>
            <w:tcW w:w="4394" w:type="dxa"/>
            <w:tcBorders>
              <w:left w:val="single" w:sz="6" w:space="0" w:color="000000"/>
              <w:bottom w:val="single" w:sz="4" w:space="0" w:color="auto"/>
              <w:right w:val="single" w:sz="6" w:space="0" w:color="000000"/>
            </w:tcBorders>
          </w:tcPr>
          <w:p w14:paraId="61222243" w14:textId="77777777" w:rsidR="00B40087" w:rsidRDefault="00B40087" w:rsidP="00FD7700">
            <w:pPr>
              <w:ind w:firstLine="720"/>
              <w:jc w:val="both"/>
              <w:rPr>
                <w:b/>
              </w:rPr>
            </w:pPr>
            <w:r>
              <w:rPr>
                <w:b/>
              </w:rPr>
              <w:t>Izglītības un zinātnes ministrija</w:t>
            </w:r>
          </w:p>
          <w:p w14:paraId="2A1BB358" w14:textId="2C94AF57" w:rsidR="00B40087" w:rsidRPr="00B40087" w:rsidRDefault="00B40087" w:rsidP="00677B0A">
            <w:pPr>
              <w:ind w:firstLine="197"/>
              <w:jc w:val="both"/>
              <w:rPr>
                <w:bCs/>
              </w:rPr>
            </w:pPr>
            <w:r w:rsidRPr="00B40087">
              <w:rPr>
                <w:bCs/>
              </w:rPr>
              <w:t xml:space="preserve">Vēršam uzmanību, ka atbilstoši konceptuālā ziņojuma “Par māsas profesijas turpmāko attīstību” (turpmāk – konceptuālais ziņojums) 70.punktam un 2.tabulai apstiprinātais modelis stājas spēkā 2022./23.studiju gadā, kad tiek īstenotas tikai profesionālā bakalaura programmas </w:t>
            </w:r>
            <w:proofErr w:type="spellStart"/>
            <w:r w:rsidRPr="00B40087">
              <w:rPr>
                <w:bCs/>
              </w:rPr>
              <w:t>māszinībās</w:t>
            </w:r>
            <w:proofErr w:type="spellEnd"/>
            <w:r w:rsidRPr="00B40087">
              <w:rPr>
                <w:bCs/>
              </w:rPr>
              <w:t xml:space="preserve">, bet pirmā līmeņa profesionālajā augstākās izglītības studiju programmās imatrikulētie līdz 2021.gada 31.decembrim 2. un 3.kursa studenti turpinās studijas profesionālā bakalaura </w:t>
            </w:r>
            <w:proofErr w:type="spellStart"/>
            <w:r w:rsidRPr="00B40087">
              <w:rPr>
                <w:bCs/>
              </w:rPr>
              <w:t>māszinību</w:t>
            </w:r>
            <w:proofErr w:type="spellEnd"/>
            <w:r w:rsidRPr="00B40087">
              <w:rPr>
                <w:bCs/>
              </w:rPr>
              <w:t xml:space="preserve"> programmās. Pielīdzinot un atzīstot viņu iepriekš iegūtās teorētiskās zināšanas un praktiskās iemaņas, kā arī apgūstot jaunās zināšanas prasmes, ir būtiski uzsvērt, ka </w:t>
            </w:r>
            <w:bookmarkStart w:id="3" w:name="_Hlk54338402"/>
            <w:r w:rsidRPr="00B40087">
              <w:rPr>
                <w:bCs/>
              </w:rPr>
              <w:t>šiem studentiem kopējais studiju ilgums nepārsniedz 4 gadus</w:t>
            </w:r>
            <w:bookmarkEnd w:id="3"/>
            <w:r w:rsidRPr="00B40087">
              <w:rPr>
                <w:bCs/>
              </w:rPr>
              <w:t>. To ir nepieciešams noteikt Noteikumu projektā, lai līdz 2021.gada 31.decembrim imatrikulētie studenti koledžas programmās nebūtu spriesti studēt ilgāku laiku, bet izglītības iestādes spētu atbilstoši pārkārtot studiju procesu un prakses.</w:t>
            </w:r>
          </w:p>
        </w:tc>
        <w:tc>
          <w:tcPr>
            <w:tcW w:w="4111" w:type="dxa"/>
            <w:gridSpan w:val="2"/>
            <w:tcBorders>
              <w:left w:val="single" w:sz="6" w:space="0" w:color="000000"/>
              <w:bottom w:val="single" w:sz="4" w:space="0" w:color="auto"/>
              <w:right w:val="single" w:sz="6" w:space="0" w:color="000000"/>
            </w:tcBorders>
          </w:tcPr>
          <w:p w14:paraId="34DB6576" w14:textId="77777777" w:rsidR="00033457" w:rsidRPr="004E1D99" w:rsidRDefault="00033457" w:rsidP="00033457">
            <w:pPr>
              <w:jc w:val="center"/>
              <w:rPr>
                <w:b/>
              </w:rPr>
            </w:pPr>
            <w:r w:rsidRPr="004E1D99">
              <w:rPr>
                <w:b/>
              </w:rPr>
              <w:t>Ņemts vērā</w:t>
            </w:r>
          </w:p>
          <w:p w14:paraId="03BBF35D" w14:textId="4FBA0963" w:rsidR="00B40087" w:rsidRDefault="00D308E2" w:rsidP="006D11EE">
            <w:pPr>
              <w:jc w:val="both"/>
              <w:rPr>
                <w:bCs/>
              </w:rPr>
            </w:pPr>
            <w:r>
              <w:rPr>
                <w:bCs/>
              </w:rPr>
              <w:t xml:space="preserve">Noteikumu projekta 1.7. </w:t>
            </w:r>
            <w:r w:rsidR="009E16ED">
              <w:rPr>
                <w:bCs/>
              </w:rPr>
              <w:t>apakš</w:t>
            </w:r>
            <w:r>
              <w:rPr>
                <w:bCs/>
              </w:rPr>
              <w:t>punkts precizēts a</w:t>
            </w:r>
            <w:r w:rsidR="00677B0A">
              <w:rPr>
                <w:bCs/>
              </w:rPr>
              <w:t>tbilstoši Izglītības un zinātnes ministrijas</w:t>
            </w:r>
            <w:r>
              <w:rPr>
                <w:bCs/>
              </w:rPr>
              <w:t xml:space="preserve"> 13.10.2020.</w:t>
            </w:r>
            <w:r w:rsidR="00677B0A">
              <w:rPr>
                <w:bCs/>
              </w:rPr>
              <w:t xml:space="preserve"> atzinum</w:t>
            </w:r>
            <w:r>
              <w:rPr>
                <w:bCs/>
              </w:rPr>
              <w:t>ā</w:t>
            </w:r>
            <w:r w:rsidR="00677B0A">
              <w:rPr>
                <w:bCs/>
              </w:rPr>
              <w:t xml:space="preserve"> Nr.</w:t>
            </w:r>
            <w:r w:rsidR="00677B0A">
              <w:t xml:space="preserve"> </w:t>
            </w:r>
            <w:r w:rsidR="00677B0A" w:rsidRPr="00677B0A">
              <w:rPr>
                <w:bCs/>
              </w:rPr>
              <w:t>4-4.1e/20/3477</w:t>
            </w:r>
            <w:r>
              <w:rPr>
                <w:bCs/>
              </w:rPr>
              <w:t xml:space="preserve"> izteiktajam iebildumam.</w:t>
            </w:r>
          </w:p>
        </w:tc>
        <w:tc>
          <w:tcPr>
            <w:tcW w:w="2294" w:type="dxa"/>
            <w:tcBorders>
              <w:top w:val="single" w:sz="4" w:space="0" w:color="auto"/>
              <w:left w:val="single" w:sz="4" w:space="0" w:color="auto"/>
              <w:bottom w:val="single" w:sz="4" w:space="0" w:color="auto"/>
            </w:tcBorders>
          </w:tcPr>
          <w:p w14:paraId="4E764098" w14:textId="77777777" w:rsidR="00D308E2" w:rsidRDefault="00D308E2" w:rsidP="00D308E2">
            <w:pPr>
              <w:jc w:val="both"/>
            </w:pPr>
            <w:r>
              <w:t>1.7. Papildināt noteikumus ar 647.punktu šādā redakcijā:</w:t>
            </w:r>
          </w:p>
          <w:p w14:paraId="5C73F9B2" w14:textId="6763C09D" w:rsidR="00B40087" w:rsidRPr="00146C5A" w:rsidRDefault="00D308E2" w:rsidP="00D308E2">
            <w:pPr>
              <w:jc w:val="both"/>
            </w:pPr>
            <w:r>
              <w:t xml:space="preserve">“647. Studējošie, kuri imatrikulēti pirmā līmeņa profesionālajā augstākās izglītības studiju programmā ''Māszinības'' līdz 2021. gada 31. decembrim, pielīdzinot iepriekš iegūtās teorētiskās zināšanas un praktiskās iemaņas, turpinās studijas profesionālā bakalaura </w:t>
            </w:r>
            <w:proofErr w:type="spellStart"/>
            <w:r>
              <w:t>māszinību</w:t>
            </w:r>
            <w:proofErr w:type="spellEnd"/>
            <w:r>
              <w:t xml:space="preserve"> programmā. Kopējais studiju ilgums nepārsniedz četrus gadus."</w:t>
            </w:r>
          </w:p>
        </w:tc>
      </w:tr>
      <w:tr w:rsidR="00BB2395" w:rsidRPr="00712B66" w14:paraId="3AF8ABAA"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53AF1D82" w14:textId="77777777" w:rsidR="00BB2395" w:rsidRDefault="00BB2395" w:rsidP="00BB2395">
            <w:pPr>
              <w:pStyle w:val="naiskr"/>
              <w:spacing w:before="0" w:after="0"/>
            </w:pPr>
          </w:p>
          <w:p w14:paraId="000BEB68" w14:textId="77777777" w:rsidR="00BB2395" w:rsidRPr="00712B66" w:rsidRDefault="00BB2395" w:rsidP="00BB2395">
            <w:pPr>
              <w:pStyle w:val="naiskr"/>
              <w:spacing w:before="0" w:after="0"/>
            </w:pPr>
          </w:p>
          <w:p w14:paraId="6452ACD3" w14:textId="77777777" w:rsidR="00BB2395" w:rsidRPr="00712B66" w:rsidRDefault="00BB2395" w:rsidP="00BB2395">
            <w:pPr>
              <w:pStyle w:val="naiskr"/>
              <w:spacing w:before="0" w:after="0"/>
            </w:pPr>
            <w:r w:rsidRPr="00712B66">
              <w:t>Atbildīgā amatpersona</w:t>
            </w:r>
          </w:p>
        </w:tc>
        <w:tc>
          <w:tcPr>
            <w:tcW w:w="6179" w:type="dxa"/>
            <w:gridSpan w:val="3"/>
          </w:tcPr>
          <w:p w14:paraId="52BD15C3" w14:textId="77777777" w:rsidR="00BB2395" w:rsidRPr="00712B66" w:rsidRDefault="00BB2395" w:rsidP="00BB2395">
            <w:pPr>
              <w:pStyle w:val="naiskr"/>
              <w:spacing w:before="0" w:after="0"/>
              <w:ind w:firstLine="720"/>
            </w:pPr>
            <w:r w:rsidRPr="00712B66">
              <w:lastRenderedPageBreak/>
              <w:t>  </w:t>
            </w:r>
          </w:p>
        </w:tc>
      </w:tr>
      <w:tr w:rsidR="00BB2395" w:rsidRPr="00712B66" w14:paraId="28ED2874"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70DE59B8" w14:textId="77777777" w:rsidR="00BB2395" w:rsidRPr="00712B66"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712B66" w:rsidRDefault="00BB2395" w:rsidP="00BB2395">
            <w:pPr>
              <w:pStyle w:val="naisc"/>
              <w:spacing w:before="0" w:after="0"/>
              <w:ind w:firstLine="720"/>
            </w:pPr>
            <w:r w:rsidRPr="00712B66">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77777777"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77777777" w:rsidR="008655A2" w:rsidRPr="00712B66" w:rsidRDefault="0032040B" w:rsidP="0036160E">
            <w:r>
              <w:t xml:space="preserve">Veselības ministrijas </w:t>
            </w:r>
            <w:r w:rsidR="005E0CD9">
              <w:t xml:space="preserve">Nozares cilvēkresursu attīstības plānošanas </w:t>
            </w:r>
            <w:r>
              <w:t>nodaļas 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77777777" w:rsidR="008655A2" w:rsidRPr="00712B66" w:rsidRDefault="0032040B" w:rsidP="0036160E">
            <w:r>
              <w:t xml:space="preserve">Tālr.:67876093; fakss: </w:t>
            </w:r>
            <w:r w:rsidRPr="0032040B">
              <w:t>67876006</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77777777" w:rsidR="008655A2" w:rsidRPr="00712B66" w:rsidRDefault="0032040B" w:rsidP="0036160E">
            <w:r>
              <w:t>dace.roga@vm.gov.lv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6F0" w14:textId="77777777" w:rsidR="00C6685F" w:rsidRDefault="00C6685F">
      <w:r>
        <w:separator/>
      </w:r>
    </w:p>
  </w:endnote>
  <w:endnote w:type="continuationSeparator" w:id="0">
    <w:p w14:paraId="0B5CA739" w14:textId="77777777" w:rsidR="00C6685F" w:rsidRDefault="00C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B72" w14:textId="7672929D" w:rsidR="00561D3C" w:rsidRPr="00B65834" w:rsidRDefault="00B65834" w:rsidP="00B65834">
    <w:pPr>
      <w:pStyle w:val="Footer"/>
    </w:pPr>
    <w:r>
      <w:rPr>
        <w:sz w:val="20"/>
        <w:szCs w:val="20"/>
      </w:rPr>
      <w:t>VM</w:t>
    </w:r>
    <w:r w:rsidRPr="00015C84">
      <w:rPr>
        <w:sz w:val="20"/>
        <w:szCs w:val="20"/>
      </w:rPr>
      <w:t>izz_</w:t>
    </w:r>
    <w:r w:rsidR="00033457">
      <w:rPr>
        <w:sz w:val="20"/>
        <w:szCs w:val="20"/>
      </w:rPr>
      <w:t>2</w:t>
    </w:r>
    <w:r w:rsidR="00163874">
      <w:rPr>
        <w:sz w:val="20"/>
        <w:szCs w:val="20"/>
      </w:rPr>
      <w:t>3</w:t>
    </w:r>
    <w:r w:rsidR="00FD7700">
      <w:rPr>
        <w:sz w:val="20"/>
        <w:szCs w:val="20"/>
      </w:rPr>
      <w:t>10</w:t>
    </w:r>
    <w:r w:rsidR="00642663">
      <w:rPr>
        <w:sz w:val="20"/>
        <w:szCs w:val="20"/>
      </w:rPr>
      <w:t>20</w:t>
    </w:r>
    <w:r w:rsidR="004A066F" w:rsidRPr="00015C84">
      <w:rPr>
        <w:sz w:val="20"/>
        <w:szCs w:val="20"/>
      </w:rPr>
      <w:t>_</w:t>
    </w:r>
    <w:r w:rsidR="00F1768E">
      <w:rPr>
        <w:sz w:val="20"/>
        <w:szCs w:val="20"/>
      </w:rPr>
      <w:t>gro</w:t>
    </w:r>
    <w:r w:rsidR="00340C95">
      <w:rPr>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A14C" w14:textId="360E70DD" w:rsidR="006455E7" w:rsidRPr="00015C84" w:rsidRDefault="00B65834" w:rsidP="00364BB6">
    <w:pPr>
      <w:pStyle w:val="Footer"/>
      <w:rPr>
        <w:sz w:val="20"/>
        <w:szCs w:val="20"/>
      </w:rPr>
    </w:pPr>
    <w:r>
      <w:rPr>
        <w:sz w:val="20"/>
        <w:szCs w:val="20"/>
      </w:rPr>
      <w:t>VM</w:t>
    </w:r>
    <w:r w:rsidR="00015C84" w:rsidRPr="00015C84">
      <w:rPr>
        <w:sz w:val="20"/>
        <w:szCs w:val="20"/>
      </w:rPr>
      <w:t>izz_</w:t>
    </w:r>
    <w:r w:rsidR="00033457">
      <w:rPr>
        <w:sz w:val="20"/>
        <w:szCs w:val="20"/>
      </w:rPr>
      <w:t>2</w:t>
    </w:r>
    <w:r w:rsidR="00163874">
      <w:rPr>
        <w:sz w:val="20"/>
        <w:szCs w:val="20"/>
      </w:rPr>
      <w:t>3</w:t>
    </w:r>
    <w:r w:rsidR="00FD7700">
      <w:rPr>
        <w:sz w:val="20"/>
        <w:szCs w:val="20"/>
      </w:rPr>
      <w:t>10</w:t>
    </w:r>
    <w:r w:rsidR="00642663">
      <w:rPr>
        <w:sz w:val="20"/>
        <w:szCs w:val="20"/>
      </w:rPr>
      <w:t>20</w:t>
    </w:r>
    <w:r w:rsidR="00F1768E">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70E3" w14:textId="77777777" w:rsidR="00C6685F" w:rsidRDefault="00C6685F">
      <w:r>
        <w:separator/>
      </w:r>
    </w:p>
  </w:footnote>
  <w:footnote w:type="continuationSeparator" w:id="0">
    <w:p w14:paraId="21EE89FC" w14:textId="77777777" w:rsidR="00C6685F" w:rsidRDefault="00C6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3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907"/>
    <w:rsid w:val="000C7A11"/>
    <w:rsid w:val="000C7F5E"/>
    <w:rsid w:val="000D00AC"/>
    <w:rsid w:val="000D0AED"/>
    <w:rsid w:val="000D3602"/>
    <w:rsid w:val="000D4D89"/>
    <w:rsid w:val="000D586B"/>
    <w:rsid w:val="000D6600"/>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E6CC4"/>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74"/>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02B"/>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B0A"/>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6AE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20EE"/>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16ED"/>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13A"/>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784"/>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087"/>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72F"/>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6CE6"/>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08E2"/>
    <w:rsid w:val="00D3181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633"/>
    <w:rsid w:val="00E139EE"/>
    <w:rsid w:val="00E14D83"/>
    <w:rsid w:val="00E14FA6"/>
    <w:rsid w:val="00E15A0D"/>
    <w:rsid w:val="00E16640"/>
    <w:rsid w:val="00E1740F"/>
    <w:rsid w:val="00E200CF"/>
    <w:rsid w:val="00E24084"/>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15E1"/>
    <w:rsid w:val="00FD2589"/>
    <w:rsid w:val="00FD4876"/>
    <w:rsid w:val="00FD52A3"/>
    <w:rsid w:val="00FD68D4"/>
    <w:rsid w:val="00FD7700"/>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 w:type="paragraph" w:styleId="NoSpacing">
    <w:name w:val="No Spacing"/>
    <w:basedOn w:val="Normal"/>
    <w:next w:val="Normal"/>
    <w:uiPriority w:val="1"/>
    <w:qFormat/>
    <w:rsid w:val="00FD7700"/>
    <w:pPr>
      <w:widowControl w:val="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9DC6B-EC17-4D45-B6D7-1B6D3A29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976</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Kristīne Kļaviņa</cp:lastModifiedBy>
  <cp:revision>11</cp:revision>
  <cp:lastPrinted>2020-03-16T07:14:00Z</cp:lastPrinted>
  <dcterms:created xsi:type="dcterms:W3CDTF">2020-08-04T07:42:00Z</dcterms:created>
  <dcterms:modified xsi:type="dcterms:W3CDTF">2020-10-27T09:21:00Z</dcterms:modified>
</cp:coreProperties>
</file>