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159EE" w14:textId="77777777" w:rsidR="005F740D" w:rsidRPr="00E75B82" w:rsidRDefault="005F740D" w:rsidP="00B130CC">
      <w:pPr>
        <w:pStyle w:val="naisnod"/>
        <w:spacing w:before="0" w:beforeAutospacing="0" w:after="0" w:afterAutospacing="0"/>
        <w:jc w:val="center"/>
        <w:rPr>
          <w:b/>
          <w:color w:val="000000"/>
          <w:sz w:val="26"/>
          <w:szCs w:val="26"/>
        </w:rPr>
      </w:pPr>
      <w:r w:rsidRPr="00E75B82">
        <w:rPr>
          <w:b/>
          <w:color w:val="000000"/>
          <w:sz w:val="26"/>
          <w:szCs w:val="26"/>
        </w:rPr>
        <w:t>Izziņa par atzinumos sniegtajiem iebildumiem</w:t>
      </w:r>
    </w:p>
    <w:p w14:paraId="1673D75B" w14:textId="4C348424" w:rsidR="00FB6291" w:rsidRPr="00E75B82" w:rsidRDefault="005E79C6" w:rsidP="00B130CC">
      <w:pPr>
        <w:jc w:val="center"/>
        <w:rPr>
          <w:sz w:val="26"/>
          <w:szCs w:val="26"/>
        </w:rPr>
      </w:pPr>
      <w:r w:rsidRPr="00E75B82">
        <w:rPr>
          <w:sz w:val="26"/>
          <w:szCs w:val="26"/>
        </w:rPr>
        <w:t xml:space="preserve">Ministru kabineta noteikumu projekts </w:t>
      </w:r>
      <w:r w:rsidR="00D0728B">
        <w:rPr>
          <w:sz w:val="26"/>
          <w:szCs w:val="26"/>
        </w:rPr>
        <w:t>“</w:t>
      </w:r>
      <w:r w:rsidR="00CA567A" w:rsidRPr="00CA567A">
        <w:rPr>
          <w:sz w:val="26"/>
          <w:szCs w:val="26"/>
        </w:rPr>
        <w:t>Grozījumi Ministru kabineta 2018. gada 20. marta noteikumos Nr. 171 “Lauksaimniecības un pārstrādāto lauksaimniecības produktu Eiropas Savienības licencēšanas un tarifu kvotu sistēmu administrēšanas kārtība”</w:t>
      </w:r>
      <w:r w:rsidR="00180782">
        <w:rPr>
          <w:sz w:val="26"/>
          <w:szCs w:val="26"/>
        </w:rPr>
        <w:t>”</w:t>
      </w:r>
      <w:r w:rsidR="00B94C98">
        <w:rPr>
          <w:sz w:val="26"/>
          <w:szCs w:val="26"/>
        </w:rPr>
        <w:t xml:space="preserve"> (VSS-725)</w:t>
      </w:r>
    </w:p>
    <w:p w14:paraId="75197401" w14:textId="77777777" w:rsidR="00B130CC" w:rsidRPr="00E75B82" w:rsidRDefault="00B130CC" w:rsidP="00B130CC">
      <w:pPr>
        <w:jc w:val="center"/>
        <w:rPr>
          <w:color w:val="000000"/>
          <w:sz w:val="20"/>
          <w:szCs w:val="28"/>
        </w:rPr>
      </w:pPr>
    </w:p>
    <w:p w14:paraId="6C84422C" w14:textId="77777777" w:rsidR="005F740D" w:rsidRPr="00AC04F8" w:rsidRDefault="005F740D" w:rsidP="00682861">
      <w:pPr>
        <w:pStyle w:val="naisf"/>
        <w:spacing w:before="0" w:beforeAutospacing="0" w:after="0" w:afterAutospacing="0"/>
        <w:jc w:val="center"/>
        <w:rPr>
          <w:b/>
          <w:color w:val="000000"/>
        </w:rPr>
      </w:pPr>
      <w:r w:rsidRPr="00AC04F8">
        <w:rPr>
          <w:b/>
          <w:color w:val="000000"/>
        </w:rPr>
        <w:t>Jautājumi, par kuriem saskaņošanā vienošanās nav panākta</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00"/>
        <w:gridCol w:w="3240"/>
        <w:gridCol w:w="3420"/>
        <w:gridCol w:w="1980"/>
        <w:gridCol w:w="2700"/>
      </w:tblGrid>
      <w:tr w:rsidR="005F740D" w:rsidRPr="00AC04F8" w14:paraId="08850662" w14:textId="77777777" w:rsidTr="00A13ACE">
        <w:tc>
          <w:tcPr>
            <w:tcW w:w="648" w:type="dxa"/>
          </w:tcPr>
          <w:p w14:paraId="28EB7CE9" w14:textId="77777777" w:rsidR="005F740D" w:rsidRPr="00AC04F8" w:rsidRDefault="005F740D" w:rsidP="00B12893">
            <w:pPr>
              <w:pStyle w:val="naisf"/>
              <w:jc w:val="center"/>
              <w:rPr>
                <w:b/>
                <w:color w:val="000000"/>
              </w:rPr>
            </w:pPr>
            <w:r w:rsidRPr="00AC04F8">
              <w:rPr>
                <w:color w:val="000000"/>
              </w:rPr>
              <w:t>Nr.</w:t>
            </w:r>
            <w:r w:rsidRPr="00AC04F8">
              <w:rPr>
                <w:color w:val="000000"/>
              </w:rPr>
              <w:br/>
              <w:t> p.k.</w:t>
            </w:r>
          </w:p>
        </w:tc>
        <w:tc>
          <w:tcPr>
            <w:tcW w:w="2700" w:type="dxa"/>
          </w:tcPr>
          <w:p w14:paraId="6D23B1E9" w14:textId="77777777" w:rsidR="005F740D" w:rsidRPr="00AC04F8" w:rsidRDefault="005F740D" w:rsidP="00B12893">
            <w:pPr>
              <w:pStyle w:val="naisf"/>
              <w:jc w:val="center"/>
              <w:rPr>
                <w:b/>
                <w:color w:val="000000"/>
              </w:rPr>
            </w:pPr>
            <w:r w:rsidRPr="00AC04F8">
              <w:rPr>
                <w:color w:val="000000"/>
              </w:rPr>
              <w:t>Saskaņošanai nosūtītā projekta redakcija (konkrēta punkta (panta) redakcija)</w:t>
            </w:r>
          </w:p>
        </w:tc>
        <w:tc>
          <w:tcPr>
            <w:tcW w:w="3240" w:type="dxa"/>
          </w:tcPr>
          <w:p w14:paraId="0D6D2B7D" w14:textId="77777777" w:rsidR="005F740D" w:rsidRPr="00AC04F8" w:rsidRDefault="005F740D" w:rsidP="00B12893">
            <w:pPr>
              <w:pStyle w:val="naisf"/>
              <w:jc w:val="center"/>
              <w:rPr>
                <w:b/>
                <w:color w:val="000000"/>
              </w:rPr>
            </w:pPr>
            <w:r w:rsidRPr="00AC04F8">
              <w:rPr>
                <w:color w:val="000000"/>
              </w:rPr>
              <w:t>Atzinumā norādītais ministrijas (citas institūcijas) iebildums, kā arī saskaņošanā papildus izteiktais iebildums par projekta konkrēto punktu (pantu)</w:t>
            </w:r>
          </w:p>
        </w:tc>
        <w:tc>
          <w:tcPr>
            <w:tcW w:w="3420" w:type="dxa"/>
          </w:tcPr>
          <w:p w14:paraId="302A06FE" w14:textId="77777777" w:rsidR="005F740D" w:rsidRPr="00AC04F8" w:rsidRDefault="005F740D" w:rsidP="00B130CC">
            <w:pPr>
              <w:pStyle w:val="naisf"/>
              <w:jc w:val="center"/>
              <w:rPr>
                <w:b/>
                <w:color w:val="000000"/>
              </w:rPr>
            </w:pPr>
            <w:r w:rsidRPr="00AC04F8">
              <w:rPr>
                <w:color w:val="000000"/>
              </w:rPr>
              <w:t>Atbildīgās ministrijas pamatojums iebilduma noraidījumam</w:t>
            </w:r>
          </w:p>
        </w:tc>
        <w:tc>
          <w:tcPr>
            <w:tcW w:w="1980" w:type="dxa"/>
          </w:tcPr>
          <w:p w14:paraId="575B1B09" w14:textId="77777777" w:rsidR="005F740D" w:rsidRPr="00AC04F8" w:rsidRDefault="005F740D" w:rsidP="00B12893">
            <w:pPr>
              <w:pStyle w:val="naisf"/>
              <w:jc w:val="center"/>
              <w:rPr>
                <w:b/>
                <w:color w:val="000000"/>
              </w:rPr>
            </w:pPr>
            <w:r w:rsidRPr="00AC04F8">
              <w:rPr>
                <w:color w:val="000000"/>
              </w:rPr>
              <w:t>Atzinuma sniedzēja uzturētais iebildums, ja tas atšķiras no atzinumā norādītā iebilduma pamatojuma</w:t>
            </w:r>
          </w:p>
        </w:tc>
        <w:tc>
          <w:tcPr>
            <w:tcW w:w="2700" w:type="dxa"/>
          </w:tcPr>
          <w:p w14:paraId="5D28FD29" w14:textId="77777777" w:rsidR="005F740D" w:rsidRPr="00AC04F8" w:rsidRDefault="005F740D" w:rsidP="00B12893">
            <w:pPr>
              <w:pStyle w:val="naisf"/>
              <w:jc w:val="center"/>
              <w:rPr>
                <w:b/>
                <w:color w:val="000000"/>
              </w:rPr>
            </w:pPr>
            <w:r w:rsidRPr="00AC04F8">
              <w:rPr>
                <w:color w:val="000000"/>
              </w:rPr>
              <w:t>Projekta attiecīgā punkta (panta) galīgā redakcija</w:t>
            </w:r>
          </w:p>
        </w:tc>
      </w:tr>
      <w:tr w:rsidR="005F740D" w:rsidRPr="00AC04F8" w14:paraId="03A7281E" w14:textId="77777777" w:rsidTr="00A13ACE">
        <w:tc>
          <w:tcPr>
            <w:tcW w:w="648" w:type="dxa"/>
          </w:tcPr>
          <w:p w14:paraId="72529412" w14:textId="77777777" w:rsidR="005F740D" w:rsidRPr="00AC04F8" w:rsidRDefault="005F740D" w:rsidP="00B12893">
            <w:pPr>
              <w:pStyle w:val="naisf"/>
              <w:jc w:val="center"/>
              <w:rPr>
                <w:color w:val="000000"/>
              </w:rPr>
            </w:pPr>
            <w:r w:rsidRPr="00AC04F8">
              <w:rPr>
                <w:color w:val="000000"/>
              </w:rPr>
              <w:t>1</w:t>
            </w:r>
          </w:p>
        </w:tc>
        <w:tc>
          <w:tcPr>
            <w:tcW w:w="2700" w:type="dxa"/>
          </w:tcPr>
          <w:p w14:paraId="650778C3" w14:textId="77777777" w:rsidR="005F740D" w:rsidRPr="00AC04F8" w:rsidRDefault="005F740D" w:rsidP="00B12893">
            <w:pPr>
              <w:pStyle w:val="naisf"/>
              <w:jc w:val="center"/>
              <w:rPr>
                <w:color w:val="000000"/>
              </w:rPr>
            </w:pPr>
            <w:r w:rsidRPr="00AC04F8">
              <w:rPr>
                <w:color w:val="000000"/>
              </w:rPr>
              <w:t>2</w:t>
            </w:r>
          </w:p>
        </w:tc>
        <w:tc>
          <w:tcPr>
            <w:tcW w:w="3240" w:type="dxa"/>
          </w:tcPr>
          <w:p w14:paraId="6AB0C55A" w14:textId="77777777" w:rsidR="005F740D" w:rsidRPr="00AC04F8" w:rsidRDefault="005F740D" w:rsidP="00B12893">
            <w:pPr>
              <w:pStyle w:val="naisf"/>
              <w:jc w:val="center"/>
              <w:rPr>
                <w:color w:val="000000"/>
              </w:rPr>
            </w:pPr>
            <w:r w:rsidRPr="00AC04F8">
              <w:rPr>
                <w:color w:val="000000"/>
              </w:rPr>
              <w:t>3</w:t>
            </w:r>
          </w:p>
        </w:tc>
        <w:tc>
          <w:tcPr>
            <w:tcW w:w="3420" w:type="dxa"/>
          </w:tcPr>
          <w:p w14:paraId="1A8FF8D8" w14:textId="77777777" w:rsidR="005F740D" w:rsidRPr="00AC04F8" w:rsidRDefault="005F740D" w:rsidP="00B12893">
            <w:pPr>
              <w:pStyle w:val="naisf"/>
              <w:jc w:val="center"/>
              <w:rPr>
                <w:color w:val="000000"/>
              </w:rPr>
            </w:pPr>
            <w:r w:rsidRPr="00AC04F8">
              <w:rPr>
                <w:color w:val="000000"/>
              </w:rPr>
              <w:t>4</w:t>
            </w:r>
          </w:p>
        </w:tc>
        <w:tc>
          <w:tcPr>
            <w:tcW w:w="1980" w:type="dxa"/>
          </w:tcPr>
          <w:p w14:paraId="204A4692" w14:textId="77777777" w:rsidR="005F740D" w:rsidRPr="00AC04F8" w:rsidRDefault="005F740D" w:rsidP="00B12893">
            <w:pPr>
              <w:pStyle w:val="naisf"/>
              <w:jc w:val="center"/>
              <w:rPr>
                <w:color w:val="000000"/>
              </w:rPr>
            </w:pPr>
            <w:r w:rsidRPr="00AC04F8">
              <w:rPr>
                <w:color w:val="000000"/>
              </w:rPr>
              <w:t>5</w:t>
            </w:r>
          </w:p>
        </w:tc>
        <w:tc>
          <w:tcPr>
            <w:tcW w:w="2700" w:type="dxa"/>
          </w:tcPr>
          <w:p w14:paraId="5C82092F" w14:textId="77777777" w:rsidR="005F740D" w:rsidRPr="00AC04F8" w:rsidRDefault="005F740D" w:rsidP="00B12893">
            <w:pPr>
              <w:pStyle w:val="naisf"/>
              <w:jc w:val="center"/>
              <w:rPr>
                <w:color w:val="000000"/>
              </w:rPr>
            </w:pPr>
            <w:r w:rsidRPr="00AC04F8">
              <w:rPr>
                <w:color w:val="000000"/>
              </w:rPr>
              <w:t>6</w:t>
            </w:r>
          </w:p>
        </w:tc>
      </w:tr>
    </w:tbl>
    <w:p w14:paraId="3EBACAC9" w14:textId="77777777" w:rsidR="003A5046" w:rsidRDefault="003A5046" w:rsidP="003A5046">
      <w:pPr>
        <w:pStyle w:val="naisf"/>
        <w:spacing w:before="0" w:beforeAutospacing="0" w:after="0" w:afterAutospacing="0"/>
        <w:rPr>
          <w:color w:val="000000"/>
          <w:sz w:val="18"/>
        </w:rPr>
      </w:pPr>
    </w:p>
    <w:p w14:paraId="1F024A3A" w14:textId="77777777" w:rsidR="00A1098C" w:rsidRPr="00E75B82" w:rsidRDefault="00A1098C" w:rsidP="003A5046">
      <w:pPr>
        <w:pStyle w:val="naisf"/>
        <w:spacing w:before="0" w:beforeAutospacing="0" w:after="0" w:afterAutospacing="0"/>
        <w:rPr>
          <w:color w:val="000000"/>
          <w:sz w:val="18"/>
        </w:rPr>
      </w:pPr>
    </w:p>
    <w:p w14:paraId="35E6584E" w14:textId="77777777" w:rsidR="005F740D" w:rsidRDefault="005F740D" w:rsidP="003A5046">
      <w:pPr>
        <w:pStyle w:val="naisf"/>
        <w:spacing w:before="0" w:beforeAutospacing="0" w:after="0" w:afterAutospacing="0"/>
        <w:jc w:val="center"/>
        <w:rPr>
          <w:b/>
          <w:color w:val="000000"/>
        </w:rPr>
      </w:pPr>
      <w:r w:rsidRPr="00AC04F8">
        <w:rPr>
          <w:b/>
          <w:color w:val="000000"/>
        </w:rPr>
        <w:t>Informācija par starpministriju (starpinstitūciju) sanāksmi vai elektronisko saskaņošanu</w:t>
      </w:r>
    </w:p>
    <w:p w14:paraId="60D67BE1" w14:textId="77777777" w:rsidR="00A1098C" w:rsidRPr="00AC04F8" w:rsidRDefault="00A1098C" w:rsidP="003A5046">
      <w:pPr>
        <w:pStyle w:val="naisf"/>
        <w:spacing w:before="0" w:beforeAutospacing="0" w:after="0" w:afterAutospacing="0"/>
        <w:jc w:val="center"/>
        <w:rPr>
          <w:b/>
          <w:color w:val="000000"/>
        </w:rPr>
      </w:pPr>
    </w:p>
    <w:p w14:paraId="1F5B54E3" w14:textId="77777777" w:rsidR="003A5046" w:rsidRPr="00E75B82" w:rsidRDefault="003A5046" w:rsidP="003A5046">
      <w:pPr>
        <w:pStyle w:val="naisf"/>
        <w:spacing w:before="0" w:beforeAutospacing="0" w:after="0" w:afterAutospacing="0"/>
        <w:rPr>
          <w:color w:val="000000"/>
          <w:sz w:val="18"/>
        </w:rPr>
      </w:pPr>
    </w:p>
    <w:tbl>
      <w:tblPr>
        <w:tblW w:w="12645" w:type="dxa"/>
        <w:tblCellSpacing w:w="0" w:type="dxa"/>
        <w:tblCellMar>
          <w:left w:w="0" w:type="dxa"/>
          <w:right w:w="0" w:type="dxa"/>
        </w:tblCellMar>
        <w:tblLook w:val="0000" w:firstRow="0" w:lastRow="0" w:firstColumn="0" w:lastColumn="0" w:noHBand="0" w:noVBand="0"/>
      </w:tblPr>
      <w:tblGrid>
        <w:gridCol w:w="2694"/>
        <w:gridCol w:w="3486"/>
        <w:gridCol w:w="6435"/>
        <w:gridCol w:w="30"/>
      </w:tblGrid>
      <w:tr w:rsidR="005F740D" w:rsidRPr="00AC04F8" w14:paraId="652E0570" w14:textId="77777777" w:rsidTr="00E75B82">
        <w:trPr>
          <w:gridAfter w:val="1"/>
          <w:wAfter w:w="30" w:type="dxa"/>
          <w:tblCellSpacing w:w="0" w:type="dxa"/>
        </w:trPr>
        <w:tc>
          <w:tcPr>
            <w:tcW w:w="2694" w:type="dxa"/>
          </w:tcPr>
          <w:p w14:paraId="0DD43C65" w14:textId="77777777" w:rsidR="005F740D" w:rsidRPr="00AC04F8" w:rsidRDefault="005F740D" w:rsidP="003A5046">
            <w:pPr>
              <w:pStyle w:val="naiskr"/>
              <w:spacing w:before="0" w:beforeAutospacing="0" w:after="0" w:afterAutospacing="0"/>
              <w:rPr>
                <w:color w:val="000000"/>
              </w:rPr>
            </w:pPr>
            <w:r w:rsidRPr="00AC04F8">
              <w:rPr>
                <w:b/>
                <w:bCs/>
                <w:color w:val="000000"/>
              </w:rPr>
              <w:t> </w:t>
            </w:r>
            <w:r w:rsidRPr="00AC04F8">
              <w:rPr>
                <w:color w:val="000000"/>
              </w:rPr>
              <w:t>Datums</w:t>
            </w:r>
          </w:p>
        </w:tc>
        <w:tc>
          <w:tcPr>
            <w:tcW w:w="9921" w:type="dxa"/>
            <w:gridSpan w:val="2"/>
            <w:tcBorders>
              <w:top w:val="nil"/>
              <w:left w:val="nil"/>
              <w:bottom w:val="single" w:sz="8" w:space="0" w:color="000000"/>
              <w:right w:val="nil"/>
            </w:tcBorders>
          </w:tcPr>
          <w:p w14:paraId="221D9D73" w14:textId="09D4E0C7" w:rsidR="005F740D" w:rsidRPr="00AC04F8" w:rsidRDefault="002D0A2F" w:rsidP="00696CF0">
            <w:pPr>
              <w:pStyle w:val="naisf"/>
              <w:spacing w:before="0" w:beforeAutospacing="0" w:after="0" w:afterAutospacing="0"/>
              <w:rPr>
                <w:color w:val="000000"/>
              </w:rPr>
            </w:pPr>
            <w:r w:rsidRPr="00AC04F8">
              <w:rPr>
                <w:color w:val="000000"/>
              </w:rPr>
              <w:t xml:space="preserve">Elektroniskā saskaņošana - </w:t>
            </w:r>
            <w:r w:rsidR="00441CCE">
              <w:rPr>
                <w:color w:val="000000"/>
              </w:rPr>
              <w:t>2020</w:t>
            </w:r>
            <w:r w:rsidR="00D044E9">
              <w:rPr>
                <w:color w:val="000000"/>
              </w:rPr>
              <w:t xml:space="preserve">. </w:t>
            </w:r>
            <w:r w:rsidR="00D044E9" w:rsidRPr="00AD083F">
              <w:rPr>
                <w:color w:val="000000"/>
              </w:rPr>
              <w:t xml:space="preserve">gada </w:t>
            </w:r>
            <w:r w:rsidR="007A6BB2">
              <w:rPr>
                <w:color w:val="000000"/>
              </w:rPr>
              <w:t xml:space="preserve">2. </w:t>
            </w:r>
            <w:r w:rsidR="00FA577C">
              <w:rPr>
                <w:color w:val="000000"/>
              </w:rPr>
              <w:t>novembrī</w:t>
            </w:r>
          </w:p>
        </w:tc>
      </w:tr>
      <w:tr w:rsidR="005F740D" w:rsidRPr="00AC04F8" w14:paraId="2810008F" w14:textId="77777777" w:rsidTr="00E75B82">
        <w:trPr>
          <w:gridAfter w:val="1"/>
          <w:wAfter w:w="30" w:type="dxa"/>
          <w:tblCellSpacing w:w="0" w:type="dxa"/>
        </w:trPr>
        <w:tc>
          <w:tcPr>
            <w:tcW w:w="2694" w:type="dxa"/>
          </w:tcPr>
          <w:p w14:paraId="31939086" w14:textId="77777777" w:rsidR="005F740D" w:rsidRPr="00AC04F8" w:rsidRDefault="005F740D" w:rsidP="003A5046">
            <w:pPr>
              <w:pStyle w:val="naisf"/>
              <w:spacing w:before="0" w:beforeAutospacing="0" w:after="0" w:afterAutospacing="0"/>
              <w:rPr>
                <w:color w:val="000000"/>
              </w:rPr>
            </w:pPr>
            <w:r w:rsidRPr="00AC04F8">
              <w:rPr>
                <w:color w:val="000000"/>
              </w:rPr>
              <w:t> </w:t>
            </w:r>
          </w:p>
        </w:tc>
        <w:tc>
          <w:tcPr>
            <w:tcW w:w="9921" w:type="dxa"/>
            <w:gridSpan w:val="2"/>
            <w:tcBorders>
              <w:top w:val="nil"/>
              <w:left w:val="nil"/>
              <w:bottom w:val="nil"/>
              <w:right w:val="nil"/>
            </w:tcBorders>
          </w:tcPr>
          <w:p w14:paraId="051C41AB" w14:textId="77777777" w:rsidR="005F740D" w:rsidRPr="00AC04F8" w:rsidRDefault="005F740D" w:rsidP="003A5046">
            <w:pPr>
              <w:pStyle w:val="naisf"/>
              <w:spacing w:before="0" w:beforeAutospacing="0" w:after="0" w:afterAutospacing="0"/>
              <w:rPr>
                <w:color w:val="000000"/>
              </w:rPr>
            </w:pPr>
            <w:r w:rsidRPr="00AC04F8">
              <w:rPr>
                <w:color w:val="000000"/>
              </w:rPr>
              <w:t> </w:t>
            </w:r>
          </w:p>
        </w:tc>
      </w:tr>
      <w:tr w:rsidR="005F740D" w:rsidRPr="00AC04F8" w14:paraId="4B0E31C7" w14:textId="77777777" w:rsidTr="00E75B82">
        <w:trPr>
          <w:gridAfter w:val="1"/>
          <w:wAfter w:w="30" w:type="dxa"/>
          <w:tblCellSpacing w:w="0" w:type="dxa"/>
        </w:trPr>
        <w:tc>
          <w:tcPr>
            <w:tcW w:w="2694" w:type="dxa"/>
            <w:vAlign w:val="center"/>
          </w:tcPr>
          <w:p w14:paraId="08F233B6" w14:textId="77777777" w:rsidR="005F740D" w:rsidRPr="00AC04F8" w:rsidRDefault="005F740D" w:rsidP="003A5046">
            <w:pPr>
              <w:pStyle w:val="naiskr"/>
              <w:spacing w:before="0" w:beforeAutospacing="0" w:after="0" w:afterAutospacing="0"/>
              <w:rPr>
                <w:color w:val="000000"/>
              </w:rPr>
            </w:pPr>
            <w:r w:rsidRPr="00AC04F8">
              <w:rPr>
                <w:color w:val="000000"/>
              </w:rPr>
              <w:t>Saskaņošanas dalībnieki</w:t>
            </w:r>
          </w:p>
        </w:tc>
        <w:tc>
          <w:tcPr>
            <w:tcW w:w="9921" w:type="dxa"/>
            <w:gridSpan w:val="2"/>
            <w:tcBorders>
              <w:bottom w:val="single" w:sz="4" w:space="0" w:color="auto"/>
            </w:tcBorders>
            <w:vAlign w:val="center"/>
          </w:tcPr>
          <w:p w14:paraId="4EB684B7" w14:textId="77777777" w:rsidR="005F740D" w:rsidRPr="00AC04F8" w:rsidRDefault="0009297F" w:rsidP="00311AC1">
            <w:pPr>
              <w:pStyle w:val="naisf"/>
              <w:spacing w:before="0" w:beforeAutospacing="0" w:after="0" w:afterAutospacing="0"/>
              <w:rPr>
                <w:color w:val="000000"/>
              </w:rPr>
            </w:pPr>
            <w:r>
              <w:rPr>
                <w:color w:val="000000"/>
              </w:rPr>
              <w:t xml:space="preserve">Amanda Mūrniece, </w:t>
            </w:r>
            <w:r w:rsidR="002D0A2F" w:rsidRPr="00AC04F8">
              <w:rPr>
                <w:color w:val="000000"/>
              </w:rPr>
              <w:t>Tieslietu ministrija</w:t>
            </w:r>
          </w:p>
        </w:tc>
      </w:tr>
      <w:tr w:rsidR="005F740D" w:rsidRPr="00AC04F8" w14:paraId="5C9EB829" w14:textId="77777777" w:rsidTr="00E75B82">
        <w:trPr>
          <w:gridAfter w:val="1"/>
          <w:wAfter w:w="30" w:type="dxa"/>
          <w:tblCellSpacing w:w="0" w:type="dxa"/>
        </w:trPr>
        <w:tc>
          <w:tcPr>
            <w:tcW w:w="2694" w:type="dxa"/>
            <w:vAlign w:val="center"/>
          </w:tcPr>
          <w:p w14:paraId="7A987C33" w14:textId="77777777" w:rsidR="005F740D" w:rsidRPr="00AC04F8" w:rsidRDefault="005F740D" w:rsidP="003A5046">
            <w:pPr>
              <w:pStyle w:val="naiskr"/>
              <w:spacing w:before="0" w:beforeAutospacing="0" w:after="0" w:afterAutospacing="0"/>
              <w:rPr>
                <w:color w:val="000000"/>
              </w:rPr>
            </w:pPr>
            <w:r w:rsidRPr="00AC04F8">
              <w:rPr>
                <w:color w:val="000000"/>
              </w:rPr>
              <w:t>  </w:t>
            </w:r>
          </w:p>
        </w:tc>
        <w:tc>
          <w:tcPr>
            <w:tcW w:w="9921" w:type="dxa"/>
            <w:gridSpan w:val="2"/>
            <w:tcBorders>
              <w:top w:val="single" w:sz="4" w:space="0" w:color="auto"/>
              <w:left w:val="nil"/>
              <w:bottom w:val="single" w:sz="4" w:space="0" w:color="auto"/>
              <w:right w:val="nil"/>
            </w:tcBorders>
            <w:vAlign w:val="center"/>
          </w:tcPr>
          <w:p w14:paraId="46E1B9B9" w14:textId="6C66DE68" w:rsidR="00D0728B" w:rsidRPr="00AC04F8" w:rsidRDefault="0009297F" w:rsidP="00696CF0">
            <w:pPr>
              <w:pStyle w:val="naiskr"/>
              <w:spacing w:before="0" w:beforeAutospacing="0" w:after="0" w:afterAutospacing="0"/>
              <w:rPr>
                <w:color w:val="000000"/>
              </w:rPr>
            </w:pPr>
            <w:r>
              <w:t xml:space="preserve">Rihards </w:t>
            </w:r>
            <w:proofErr w:type="spellStart"/>
            <w:r>
              <w:t>Guds</w:t>
            </w:r>
            <w:proofErr w:type="spellEnd"/>
            <w:r>
              <w:t>, Māra Bērziņa</w:t>
            </w:r>
            <w:r w:rsidR="003A2ECC">
              <w:t>,</w:t>
            </w:r>
            <w:r>
              <w:t xml:space="preserve"> </w:t>
            </w:r>
            <w:r w:rsidR="00F074EA">
              <w:t xml:space="preserve">Maija </w:t>
            </w:r>
            <w:proofErr w:type="spellStart"/>
            <w:r w:rsidR="00F074EA">
              <w:t>Anspoka</w:t>
            </w:r>
            <w:proofErr w:type="spellEnd"/>
            <w:r w:rsidR="00F074EA">
              <w:t xml:space="preserve"> </w:t>
            </w:r>
            <w:r w:rsidR="00696CF0" w:rsidRPr="00495BAA">
              <w:t>Vides aizsardzības un r</w:t>
            </w:r>
            <w:r w:rsidR="00696CF0">
              <w:t>eģionālās attīstības ministrija</w:t>
            </w:r>
          </w:p>
        </w:tc>
      </w:tr>
      <w:tr w:rsidR="006D0875" w:rsidRPr="00AC04F8" w14:paraId="4AC01A44" w14:textId="77777777" w:rsidTr="00E75B82">
        <w:trPr>
          <w:gridAfter w:val="1"/>
          <w:wAfter w:w="30" w:type="dxa"/>
          <w:tblCellSpacing w:w="0" w:type="dxa"/>
        </w:trPr>
        <w:tc>
          <w:tcPr>
            <w:tcW w:w="2694" w:type="dxa"/>
            <w:vAlign w:val="center"/>
          </w:tcPr>
          <w:p w14:paraId="500BE173" w14:textId="77777777" w:rsidR="006D0875" w:rsidRPr="00AC04F8" w:rsidRDefault="006D0875" w:rsidP="003A5046">
            <w:pPr>
              <w:pStyle w:val="naiskr"/>
              <w:spacing w:before="0" w:beforeAutospacing="0" w:after="0" w:afterAutospacing="0"/>
              <w:rPr>
                <w:color w:val="000000"/>
              </w:rPr>
            </w:pPr>
            <w:r w:rsidRPr="00AC04F8">
              <w:rPr>
                <w:color w:val="000000"/>
              </w:rPr>
              <w:t> </w:t>
            </w:r>
          </w:p>
        </w:tc>
        <w:tc>
          <w:tcPr>
            <w:tcW w:w="9921" w:type="dxa"/>
            <w:gridSpan w:val="2"/>
            <w:vAlign w:val="center"/>
          </w:tcPr>
          <w:p w14:paraId="72D4C979" w14:textId="5D07A6AC" w:rsidR="006D0875" w:rsidRDefault="0009297F" w:rsidP="003A5046">
            <w:pPr>
              <w:pStyle w:val="naiskr"/>
              <w:spacing w:before="0" w:beforeAutospacing="0" w:after="0" w:afterAutospacing="0"/>
              <w:rPr>
                <w:color w:val="000000"/>
              </w:rPr>
            </w:pPr>
            <w:r>
              <w:rPr>
                <w:color w:val="000000"/>
              </w:rPr>
              <w:t xml:space="preserve">Ilga </w:t>
            </w:r>
            <w:proofErr w:type="spellStart"/>
            <w:r>
              <w:rPr>
                <w:color w:val="000000"/>
              </w:rPr>
              <w:t>Jermacāne</w:t>
            </w:r>
            <w:proofErr w:type="spellEnd"/>
            <w:r>
              <w:rPr>
                <w:color w:val="000000"/>
              </w:rPr>
              <w:t xml:space="preserve">, Kristīne </w:t>
            </w:r>
            <w:proofErr w:type="spellStart"/>
            <w:r>
              <w:rPr>
                <w:color w:val="000000"/>
              </w:rPr>
              <w:t>Kanaša</w:t>
            </w:r>
            <w:proofErr w:type="spellEnd"/>
            <w:r w:rsidR="003A2ECC">
              <w:rPr>
                <w:color w:val="000000"/>
              </w:rPr>
              <w:t>,</w:t>
            </w:r>
            <w:r>
              <w:rPr>
                <w:color w:val="000000"/>
              </w:rPr>
              <w:t xml:space="preserve"> </w:t>
            </w:r>
            <w:r w:rsidR="00696CF0">
              <w:rPr>
                <w:color w:val="000000"/>
              </w:rPr>
              <w:t>Finanšu ministrija</w:t>
            </w:r>
          </w:p>
          <w:p w14:paraId="684218D9" w14:textId="77777777" w:rsidR="00295C3F" w:rsidRPr="00AC04F8" w:rsidRDefault="0009297F" w:rsidP="003A5046">
            <w:pPr>
              <w:pStyle w:val="naiskr"/>
              <w:spacing w:before="0" w:beforeAutospacing="0" w:after="0" w:afterAutospacing="0"/>
              <w:rPr>
                <w:color w:val="000000"/>
              </w:rPr>
            </w:pPr>
            <w:r>
              <w:rPr>
                <w:color w:val="000000"/>
              </w:rPr>
              <w:t xml:space="preserve">Aleksandra </w:t>
            </w:r>
            <w:proofErr w:type="spellStart"/>
            <w:r>
              <w:rPr>
                <w:color w:val="000000"/>
              </w:rPr>
              <w:t>Kosjaka</w:t>
            </w:r>
            <w:proofErr w:type="spellEnd"/>
            <w:r>
              <w:rPr>
                <w:color w:val="000000"/>
              </w:rPr>
              <w:t xml:space="preserve">, </w:t>
            </w:r>
            <w:r w:rsidR="00295C3F">
              <w:rPr>
                <w:color w:val="000000"/>
              </w:rPr>
              <w:t>Valsts kanceleja</w:t>
            </w:r>
          </w:p>
        </w:tc>
      </w:tr>
      <w:tr w:rsidR="006D0875" w:rsidRPr="00AC04F8" w14:paraId="3BB716B1" w14:textId="77777777" w:rsidTr="00E75B82">
        <w:trPr>
          <w:tblCellSpacing w:w="0" w:type="dxa"/>
        </w:trPr>
        <w:tc>
          <w:tcPr>
            <w:tcW w:w="6180" w:type="dxa"/>
            <w:gridSpan w:val="2"/>
          </w:tcPr>
          <w:p w14:paraId="46BC8FF3" w14:textId="77777777" w:rsidR="006D0875" w:rsidRPr="00FD1039" w:rsidRDefault="006D0875" w:rsidP="003A5046">
            <w:pPr>
              <w:pStyle w:val="naiskr"/>
              <w:spacing w:before="0" w:beforeAutospacing="0" w:after="0" w:afterAutospacing="0"/>
              <w:rPr>
                <w:color w:val="000000"/>
              </w:rPr>
            </w:pPr>
            <w:r w:rsidRPr="00FD1039">
              <w:rPr>
                <w:color w:val="000000"/>
              </w:rPr>
              <w:t>Saskaņošanas dalībnieki izskatīja šādu ministriju (citu institūciju) iebildumus</w:t>
            </w:r>
          </w:p>
        </w:tc>
        <w:tc>
          <w:tcPr>
            <w:tcW w:w="6465" w:type="dxa"/>
            <w:gridSpan w:val="2"/>
          </w:tcPr>
          <w:p w14:paraId="4AEB30AC" w14:textId="77777777" w:rsidR="006D0875" w:rsidRPr="00FD1039" w:rsidRDefault="002D0A2F" w:rsidP="00441CCE">
            <w:pPr>
              <w:pStyle w:val="naiskr"/>
              <w:spacing w:before="0" w:beforeAutospacing="0" w:after="0" w:afterAutospacing="0"/>
              <w:rPr>
                <w:color w:val="000000"/>
              </w:rPr>
            </w:pPr>
            <w:r w:rsidRPr="00FD1039">
              <w:rPr>
                <w:color w:val="000000"/>
              </w:rPr>
              <w:t>Tieslietu ministrija</w:t>
            </w:r>
          </w:p>
        </w:tc>
      </w:tr>
      <w:tr w:rsidR="00696CF0" w:rsidRPr="00AC04F8" w14:paraId="7641069A" w14:textId="77777777" w:rsidTr="00E75B82">
        <w:trPr>
          <w:tblCellSpacing w:w="0" w:type="dxa"/>
        </w:trPr>
        <w:tc>
          <w:tcPr>
            <w:tcW w:w="6180" w:type="dxa"/>
            <w:gridSpan w:val="2"/>
          </w:tcPr>
          <w:p w14:paraId="79EE66D4" w14:textId="77777777" w:rsidR="00696CF0" w:rsidRPr="00FD1039" w:rsidRDefault="00696CF0" w:rsidP="003A5046">
            <w:pPr>
              <w:pStyle w:val="naiskr"/>
              <w:spacing w:before="0" w:beforeAutospacing="0" w:after="0" w:afterAutospacing="0"/>
              <w:rPr>
                <w:color w:val="000000"/>
              </w:rPr>
            </w:pPr>
          </w:p>
        </w:tc>
        <w:tc>
          <w:tcPr>
            <w:tcW w:w="6465" w:type="dxa"/>
            <w:gridSpan w:val="2"/>
          </w:tcPr>
          <w:p w14:paraId="49EBCDBF" w14:textId="77777777" w:rsidR="00696CF0" w:rsidRPr="00FD1039" w:rsidRDefault="00696CF0" w:rsidP="00441CCE">
            <w:pPr>
              <w:pStyle w:val="naiskr"/>
              <w:spacing w:before="0" w:beforeAutospacing="0" w:after="0" w:afterAutospacing="0"/>
              <w:rPr>
                <w:color w:val="000000"/>
              </w:rPr>
            </w:pPr>
            <w:r w:rsidRPr="00FD1039">
              <w:t>Vides aizsardzības un reģionālās attīstības ministrija</w:t>
            </w:r>
          </w:p>
        </w:tc>
      </w:tr>
      <w:tr w:rsidR="005F740D" w:rsidRPr="00AC04F8" w14:paraId="08810E34" w14:textId="77777777" w:rsidTr="00E75B82">
        <w:trPr>
          <w:tblCellSpacing w:w="0" w:type="dxa"/>
        </w:trPr>
        <w:tc>
          <w:tcPr>
            <w:tcW w:w="6180" w:type="dxa"/>
            <w:gridSpan w:val="2"/>
          </w:tcPr>
          <w:p w14:paraId="37A74991" w14:textId="77777777" w:rsidR="005F740D" w:rsidRPr="00FD1039" w:rsidRDefault="005F740D" w:rsidP="003A5046">
            <w:pPr>
              <w:pStyle w:val="naiskr"/>
              <w:spacing w:before="0" w:beforeAutospacing="0" w:after="0" w:afterAutospacing="0"/>
              <w:rPr>
                <w:color w:val="000000"/>
              </w:rPr>
            </w:pPr>
            <w:r w:rsidRPr="00FD1039">
              <w:rPr>
                <w:color w:val="000000"/>
              </w:rPr>
              <w:t>  </w:t>
            </w:r>
          </w:p>
        </w:tc>
        <w:tc>
          <w:tcPr>
            <w:tcW w:w="6465" w:type="dxa"/>
            <w:gridSpan w:val="2"/>
            <w:tcBorders>
              <w:top w:val="single" w:sz="8" w:space="0" w:color="000000"/>
              <w:left w:val="nil"/>
              <w:bottom w:val="single" w:sz="8" w:space="0" w:color="000000"/>
              <w:right w:val="nil"/>
            </w:tcBorders>
          </w:tcPr>
          <w:p w14:paraId="27BE10D3" w14:textId="77777777" w:rsidR="005F740D" w:rsidRPr="00FD1039" w:rsidRDefault="005F740D" w:rsidP="003A5046">
            <w:pPr>
              <w:pStyle w:val="naisf"/>
              <w:spacing w:before="0" w:beforeAutospacing="0" w:after="0" w:afterAutospacing="0"/>
              <w:rPr>
                <w:color w:val="000000"/>
              </w:rPr>
            </w:pPr>
            <w:r w:rsidRPr="00FD1039">
              <w:rPr>
                <w:color w:val="000000"/>
              </w:rPr>
              <w:t> </w:t>
            </w:r>
            <w:r w:rsidR="00F92BE6" w:rsidRPr="00FD1039">
              <w:rPr>
                <w:color w:val="000000"/>
              </w:rPr>
              <w:t xml:space="preserve">Finanšu ministrija </w:t>
            </w:r>
          </w:p>
          <w:p w14:paraId="41983DA1" w14:textId="46BFEC83" w:rsidR="00FD1039" w:rsidRPr="00FD1039" w:rsidRDefault="00FD1039" w:rsidP="003A5046">
            <w:pPr>
              <w:pStyle w:val="naisf"/>
              <w:spacing w:before="0" w:beforeAutospacing="0" w:after="0" w:afterAutospacing="0"/>
              <w:rPr>
                <w:color w:val="000000"/>
              </w:rPr>
            </w:pPr>
            <w:r w:rsidRPr="00FD1039">
              <w:rPr>
                <w:color w:val="000000"/>
              </w:rPr>
              <w:t xml:space="preserve">Valsts </w:t>
            </w:r>
            <w:r w:rsidR="003A2ECC">
              <w:rPr>
                <w:color w:val="000000"/>
              </w:rPr>
              <w:t>k</w:t>
            </w:r>
            <w:r w:rsidRPr="00FD1039">
              <w:rPr>
                <w:color w:val="000000"/>
              </w:rPr>
              <w:t>anceleja</w:t>
            </w:r>
          </w:p>
        </w:tc>
      </w:tr>
      <w:tr w:rsidR="005F740D" w:rsidRPr="00AC04F8" w14:paraId="6069A8A9" w14:textId="77777777" w:rsidTr="00E75B82">
        <w:trPr>
          <w:tblCellSpacing w:w="0" w:type="dxa"/>
        </w:trPr>
        <w:tc>
          <w:tcPr>
            <w:tcW w:w="12645" w:type="dxa"/>
            <w:gridSpan w:val="4"/>
            <w:vAlign w:val="center"/>
          </w:tcPr>
          <w:p w14:paraId="5A0A83A8" w14:textId="77777777" w:rsidR="005F740D" w:rsidRPr="00AC04F8" w:rsidRDefault="005F740D" w:rsidP="003A5046">
            <w:pPr>
              <w:pStyle w:val="naislab"/>
              <w:spacing w:before="0" w:beforeAutospacing="0" w:after="0" w:afterAutospacing="0"/>
              <w:rPr>
                <w:color w:val="000000"/>
              </w:rPr>
            </w:pPr>
            <w:r w:rsidRPr="00AC04F8">
              <w:rPr>
                <w:color w:val="000000"/>
              </w:rPr>
              <w:t> </w:t>
            </w:r>
          </w:p>
        </w:tc>
      </w:tr>
      <w:tr w:rsidR="005F740D" w:rsidRPr="00AC04F8" w14:paraId="294DA628" w14:textId="77777777" w:rsidTr="00E75B82">
        <w:trPr>
          <w:tblCellSpacing w:w="0" w:type="dxa"/>
        </w:trPr>
        <w:tc>
          <w:tcPr>
            <w:tcW w:w="6180" w:type="dxa"/>
            <w:gridSpan w:val="2"/>
            <w:vAlign w:val="center"/>
          </w:tcPr>
          <w:p w14:paraId="5078330F" w14:textId="77777777" w:rsidR="005F740D" w:rsidRPr="00AC04F8" w:rsidRDefault="005F740D" w:rsidP="003A5046">
            <w:pPr>
              <w:pStyle w:val="naiskr"/>
              <w:spacing w:before="0" w:beforeAutospacing="0" w:after="0" w:afterAutospacing="0"/>
              <w:rPr>
                <w:color w:val="000000"/>
              </w:rPr>
            </w:pPr>
            <w:r w:rsidRPr="00AC04F8">
              <w:rPr>
                <w:color w:val="000000"/>
              </w:rPr>
              <w:lastRenderedPageBreak/>
              <w:t>Ministrijas (citas institūcijas), kuras nav ieradušās uz sanāksmi vai kuras nav atbildējušas uz uzaicinājumu piedalīties elektroniskajā saskaņošanā</w:t>
            </w:r>
          </w:p>
        </w:tc>
        <w:tc>
          <w:tcPr>
            <w:tcW w:w="6465" w:type="dxa"/>
            <w:gridSpan w:val="2"/>
            <w:vAlign w:val="center"/>
          </w:tcPr>
          <w:p w14:paraId="2E4BB438" w14:textId="77777777" w:rsidR="005F740D" w:rsidRPr="00AC04F8" w:rsidRDefault="002D0A2F" w:rsidP="003A5046">
            <w:pPr>
              <w:pStyle w:val="naiskr"/>
              <w:spacing w:before="0" w:beforeAutospacing="0" w:after="0" w:afterAutospacing="0"/>
              <w:rPr>
                <w:color w:val="000000"/>
              </w:rPr>
            </w:pPr>
            <w:r w:rsidRPr="00AC04F8">
              <w:rPr>
                <w:color w:val="000000"/>
              </w:rPr>
              <w:t xml:space="preserve">  Nav.</w:t>
            </w:r>
          </w:p>
        </w:tc>
      </w:tr>
      <w:tr w:rsidR="005F740D" w:rsidRPr="00AC04F8" w14:paraId="5AEFB943" w14:textId="77777777" w:rsidTr="00E75B82">
        <w:trPr>
          <w:tblCellSpacing w:w="0" w:type="dxa"/>
        </w:trPr>
        <w:tc>
          <w:tcPr>
            <w:tcW w:w="6180" w:type="dxa"/>
            <w:gridSpan w:val="2"/>
            <w:vAlign w:val="center"/>
          </w:tcPr>
          <w:p w14:paraId="22EC0FE5" w14:textId="77777777" w:rsidR="005F740D" w:rsidRPr="00AC04F8" w:rsidRDefault="005F740D" w:rsidP="003A5046">
            <w:pPr>
              <w:pStyle w:val="naiskr"/>
              <w:spacing w:before="0" w:beforeAutospacing="0" w:after="0" w:afterAutospacing="0"/>
              <w:rPr>
                <w:color w:val="000000"/>
              </w:rPr>
            </w:pPr>
            <w:r w:rsidRPr="00AC04F8">
              <w:rPr>
                <w:color w:val="000000"/>
              </w:rPr>
              <w:t>  </w:t>
            </w:r>
          </w:p>
        </w:tc>
        <w:tc>
          <w:tcPr>
            <w:tcW w:w="6465" w:type="dxa"/>
            <w:gridSpan w:val="2"/>
            <w:tcBorders>
              <w:top w:val="single" w:sz="8" w:space="0" w:color="000000"/>
              <w:left w:val="nil"/>
              <w:bottom w:val="single" w:sz="8" w:space="0" w:color="000000"/>
              <w:right w:val="nil"/>
            </w:tcBorders>
            <w:vAlign w:val="center"/>
          </w:tcPr>
          <w:p w14:paraId="552A82FB" w14:textId="77777777" w:rsidR="005F740D" w:rsidRPr="00AC04F8" w:rsidRDefault="005F740D" w:rsidP="003A5046">
            <w:pPr>
              <w:pStyle w:val="naiskr"/>
              <w:spacing w:before="0" w:beforeAutospacing="0" w:after="0" w:afterAutospacing="0"/>
              <w:rPr>
                <w:color w:val="000000"/>
              </w:rPr>
            </w:pPr>
            <w:r w:rsidRPr="00AC04F8">
              <w:rPr>
                <w:color w:val="000000"/>
              </w:rPr>
              <w:t> </w:t>
            </w:r>
          </w:p>
        </w:tc>
      </w:tr>
    </w:tbl>
    <w:p w14:paraId="39A336A0" w14:textId="77777777" w:rsidR="00A1098C" w:rsidRDefault="00A1098C" w:rsidP="00E75B82">
      <w:pPr>
        <w:pStyle w:val="naisf"/>
        <w:tabs>
          <w:tab w:val="left" w:pos="915"/>
          <w:tab w:val="left" w:pos="1665"/>
          <w:tab w:val="center" w:pos="7001"/>
        </w:tabs>
        <w:jc w:val="center"/>
        <w:rPr>
          <w:b/>
          <w:color w:val="000000"/>
        </w:rPr>
      </w:pPr>
    </w:p>
    <w:p w14:paraId="4573788F" w14:textId="77777777" w:rsidR="005F740D" w:rsidRPr="00AC04F8" w:rsidRDefault="005F740D" w:rsidP="00E75B82">
      <w:pPr>
        <w:pStyle w:val="naisf"/>
        <w:tabs>
          <w:tab w:val="left" w:pos="915"/>
          <w:tab w:val="left" w:pos="1665"/>
          <w:tab w:val="center" w:pos="7001"/>
        </w:tabs>
        <w:jc w:val="center"/>
        <w:rPr>
          <w:b/>
          <w:color w:val="000000"/>
        </w:rPr>
      </w:pPr>
      <w:r w:rsidRPr="00AC04F8">
        <w:rPr>
          <w:b/>
          <w:color w:val="000000"/>
        </w:rPr>
        <w:t>II. Jautājumi, par kuriem saskaņošanā vienošanās ir panākta</w:t>
      </w:r>
    </w:p>
    <w:tbl>
      <w:tblPr>
        <w:tblW w:w="14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2610"/>
        <w:gridCol w:w="3909"/>
        <w:gridCol w:w="3465"/>
        <w:gridCol w:w="3543"/>
      </w:tblGrid>
      <w:tr w:rsidR="000548C4" w:rsidRPr="00AC04F8" w14:paraId="1C73373D" w14:textId="77777777" w:rsidTr="0091458E">
        <w:tc>
          <w:tcPr>
            <w:tcW w:w="769" w:type="dxa"/>
          </w:tcPr>
          <w:p w14:paraId="79E4D705" w14:textId="77777777" w:rsidR="00585FCA" w:rsidRPr="00AC04F8" w:rsidRDefault="00585FCA" w:rsidP="00B12893">
            <w:pPr>
              <w:pStyle w:val="naisnod"/>
              <w:jc w:val="center"/>
              <w:rPr>
                <w:color w:val="000000"/>
              </w:rPr>
            </w:pPr>
            <w:r w:rsidRPr="00AC04F8">
              <w:rPr>
                <w:color w:val="000000"/>
              </w:rPr>
              <w:t>Nr. p.k.</w:t>
            </w:r>
          </w:p>
        </w:tc>
        <w:tc>
          <w:tcPr>
            <w:tcW w:w="2610" w:type="dxa"/>
          </w:tcPr>
          <w:p w14:paraId="5B19C92F" w14:textId="77777777" w:rsidR="00585FCA" w:rsidRPr="00AC04F8" w:rsidRDefault="00585FCA" w:rsidP="00B12893">
            <w:pPr>
              <w:pStyle w:val="naisnod"/>
              <w:jc w:val="center"/>
              <w:rPr>
                <w:color w:val="000000"/>
              </w:rPr>
            </w:pPr>
            <w:r w:rsidRPr="00AC04F8">
              <w:rPr>
                <w:color w:val="000000"/>
              </w:rPr>
              <w:t>Saskaņošanai nosūtītā projekta redakcija (konkrēta punkta (panta) redakcija)</w:t>
            </w:r>
          </w:p>
        </w:tc>
        <w:tc>
          <w:tcPr>
            <w:tcW w:w="4271" w:type="dxa"/>
          </w:tcPr>
          <w:p w14:paraId="0747FF59" w14:textId="77777777" w:rsidR="00585FCA" w:rsidRPr="00AC04F8" w:rsidRDefault="00585FCA" w:rsidP="00B12893">
            <w:pPr>
              <w:pStyle w:val="naisnod"/>
              <w:jc w:val="center"/>
              <w:rPr>
                <w:color w:val="000000"/>
              </w:rPr>
            </w:pPr>
            <w:r w:rsidRPr="00AC04F8">
              <w:rPr>
                <w:color w:val="000000"/>
              </w:rPr>
              <w:t>Atzinumā norādītais ministrijas (citas institūcijas) iebildums, kā arī saskaņošanā papildus izteiktais iebildums par projekta konkrēto punktu (pantu)</w:t>
            </w:r>
          </w:p>
        </w:tc>
        <w:tc>
          <w:tcPr>
            <w:tcW w:w="3643" w:type="dxa"/>
          </w:tcPr>
          <w:p w14:paraId="701BA2B1" w14:textId="77777777" w:rsidR="00585FCA" w:rsidRPr="00AC04F8" w:rsidRDefault="00585FCA" w:rsidP="00B12893">
            <w:pPr>
              <w:pStyle w:val="naisnod"/>
              <w:jc w:val="center"/>
              <w:rPr>
                <w:color w:val="000000"/>
              </w:rPr>
            </w:pPr>
            <w:r w:rsidRPr="00AC04F8">
              <w:rPr>
                <w:color w:val="000000"/>
              </w:rPr>
              <w:t>Atbildīgās ministrijas norāde par to, ka iebildums ir ņemts vērā, vai informācija par saskaņošanā panākto alternatīvo risinājumu</w:t>
            </w:r>
          </w:p>
        </w:tc>
        <w:tc>
          <w:tcPr>
            <w:tcW w:w="2972" w:type="dxa"/>
          </w:tcPr>
          <w:p w14:paraId="6F3D4454" w14:textId="77777777" w:rsidR="00585FCA" w:rsidRPr="00AC04F8" w:rsidRDefault="00585FCA" w:rsidP="00B12893">
            <w:pPr>
              <w:pStyle w:val="naisnod"/>
              <w:jc w:val="center"/>
              <w:rPr>
                <w:color w:val="000000"/>
              </w:rPr>
            </w:pPr>
            <w:r w:rsidRPr="00AC04F8">
              <w:rPr>
                <w:color w:val="000000"/>
              </w:rPr>
              <w:t>Projekta attiecīgā punkta (panta) galīgā redakcija</w:t>
            </w:r>
          </w:p>
        </w:tc>
      </w:tr>
      <w:tr w:rsidR="000548C4" w:rsidRPr="00AC04F8" w14:paraId="58B5EF09" w14:textId="77777777" w:rsidTr="0091458E">
        <w:tc>
          <w:tcPr>
            <w:tcW w:w="769" w:type="dxa"/>
          </w:tcPr>
          <w:p w14:paraId="0B1AE838" w14:textId="77777777" w:rsidR="00585FCA" w:rsidRPr="00AC04F8" w:rsidRDefault="00585FCA" w:rsidP="00B12893">
            <w:pPr>
              <w:pStyle w:val="naisnod"/>
              <w:jc w:val="center"/>
              <w:rPr>
                <w:color w:val="000000"/>
              </w:rPr>
            </w:pPr>
            <w:r w:rsidRPr="00AC04F8">
              <w:rPr>
                <w:color w:val="000000"/>
              </w:rPr>
              <w:t>1</w:t>
            </w:r>
          </w:p>
        </w:tc>
        <w:tc>
          <w:tcPr>
            <w:tcW w:w="2610" w:type="dxa"/>
          </w:tcPr>
          <w:p w14:paraId="224B63A5" w14:textId="77777777" w:rsidR="00585FCA" w:rsidRPr="00AC04F8" w:rsidRDefault="00585FCA" w:rsidP="00B12893">
            <w:pPr>
              <w:pStyle w:val="naisnod"/>
              <w:jc w:val="center"/>
              <w:rPr>
                <w:color w:val="000000"/>
              </w:rPr>
            </w:pPr>
            <w:r w:rsidRPr="00AC04F8">
              <w:rPr>
                <w:color w:val="000000"/>
              </w:rPr>
              <w:t>2</w:t>
            </w:r>
          </w:p>
        </w:tc>
        <w:tc>
          <w:tcPr>
            <w:tcW w:w="4271" w:type="dxa"/>
          </w:tcPr>
          <w:p w14:paraId="413A665E" w14:textId="77777777" w:rsidR="00585FCA" w:rsidRPr="00AC04F8" w:rsidRDefault="00585FCA" w:rsidP="00B12893">
            <w:pPr>
              <w:pStyle w:val="naisnod"/>
              <w:jc w:val="center"/>
              <w:rPr>
                <w:color w:val="000000"/>
              </w:rPr>
            </w:pPr>
            <w:r w:rsidRPr="00AC04F8">
              <w:rPr>
                <w:color w:val="000000"/>
              </w:rPr>
              <w:t>3</w:t>
            </w:r>
          </w:p>
        </w:tc>
        <w:tc>
          <w:tcPr>
            <w:tcW w:w="3643" w:type="dxa"/>
          </w:tcPr>
          <w:p w14:paraId="7875EB2D" w14:textId="77777777" w:rsidR="00585FCA" w:rsidRPr="00AC04F8" w:rsidRDefault="00585FCA" w:rsidP="00B12893">
            <w:pPr>
              <w:pStyle w:val="naisnod"/>
              <w:jc w:val="center"/>
              <w:rPr>
                <w:color w:val="000000"/>
              </w:rPr>
            </w:pPr>
            <w:r w:rsidRPr="00AC04F8">
              <w:rPr>
                <w:color w:val="000000"/>
              </w:rPr>
              <w:t>4</w:t>
            </w:r>
          </w:p>
        </w:tc>
        <w:tc>
          <w:tcPr>
            <w:tcW w:w="2972" w:type="dxa"/>
          </w:tcPr>
          <w:p w14:paraId="5ECC250B" w14:textId="77777777" w:rsidR="00585FCA" w:rsidRPr="00AC04F8" w:rsidRDefault="00585FCA" w:rsidP="00B12893">
            <w:pPr>
              <w:pStyle w:val="naisnod"/>
              <w:jc w:val="center"/>
              <w:rPr>
                <w:color w:val="000000"/>
              </w:rPr>
            </w:pPr>
            <w:r w:rsidRPr="00AC04F8">
              <w:rPr>
                <w:color w:val="000000"/>
              </w:rPr>
              <w:t>5</w:t>
            </w:r>
          </w:p>
        </w:tc>
      </w:tr>
      <w:tr w:rsidR="00976112" w:rsidRPr="00AC04F8" w14:paraId="568CB585" w14:textId="77777777" w:rsidTr="0021066D">
        <w:tc>
          <w:tcPr>
            <w:tcW w:w="14265" w:type="dxa"/>
            <w:gridSpan w:val="5"/>
            <w:tcBorders>
              <w:left w:val="single" w:sz="4" w:space="0" w:color="auto"/>
              <w:bottom w:val="single" w:sz="4" w:space="0" w:color="auto"/>
              <w:right w:val="single" w:sz="4" w:space="0" w:color="auto"/>
            </w:tcBorders>
          </w:tcPr>
          <w:p w14:paraId="56A01684" w14:textId="77777777" w:rsidR="00976112" w:rsidRPr="00AC04F8" w:rsidRDefault="003532EF" w:rsidP="00976112">
            <w:pPr>
              <w:jc w:val="center"/>
              <w:rPr>
                <w:b/>
                <w:color w:val="000000"/>
              </w:rPr>
            </w:pPr>
            <w:r w:rsidRPr="00AC04F8">
              <w:rPr>
                <w:b/>
                <w:color w:val="000000"/>
              </w:rPr>
              <w:t>Tieslietu</w:t>
            </w:r>
            <w:r w:rsidR="00FB6291" w:rsidRPr="00AC04F8">
              <w:rPr>
                <w:b/>
                <w:color w:val="000000"/>
              </w:rPr>
              <w:t xml:space="preserve"> ministrija</w:t>
            </w:r>
          </w:p>
        </w:tc>
      </w:tr>
      <w:tr w:rsidR="00696CF0" w:rsidRPr="00AC04F8" w14:paraId="5925112C" w14:textId="77777777" w:rsidTr="00153948">
        <w:trPr>
          <w:trHeight w:val="1408"/>
        </w:trPr>
        <w:tc>
          <w:tcPr>
            <w:tcW w:w="769" w:type="dxa"/>
            <w:tcBorders>
              <w:left w:val="single" w:sz="4" w:space="0" w:color="auto"/>
              <w:bottom w:val="single" w:sz="4" w:space="0" w:color="auto"/>
              <w:right w:val="single" w:sz="4" w:space="0" w:color="auto"/>
            </w:tcBorders>
          </w:tcPr>
          <w:p w14:paraId="6F1C9AE9" w14:textId="77777777" w:rsidR="00696CF0" w:rsidRDefault="00696CF0" w:rsidP="003B4249">
            <w:pPr>
              <w:pStyle w:val="naisnod"/>
              <w:jc w:val="center"/>
              <w:rPr>
                <w:color w:val="000000"/>
              </w:rPr>
            </w:pPr>
            <w:r>
              <w:rPr>
                <w:color w:val="000000"/>
              </w:rPr>
              <w:t>1.</w:t>
            </w:r>
          </w:p>
        </w:tc>
        <w:tc>
          <w:tcPr>
            <w:tcW w:w="2610" w:type="dxa"/>
            <w:tcBorders>
              <w:top w:val="single" w:sz="4" w:space="0" w:color="auto"/>
              <w:left w:val="single" w:sz="4" w:space="0" w:color="auto"/>
              <w:bottom w:val="single" w:sz="4" w:space="0" w:color="auto"/>
              <w:right w:val="single" w:sz="4" w:space="0" w:color="auto"/>
            </w:tcBorders>
          </w:tcPr>
          <w:p w14:paraId="376FD68E" w14:textId="77777777" w:rsidR="00456725" w:rsidRDefault="00456725" w:rsidP="00456725">
            <w:pPr>
              <w:shd w:val="clear" w:color="auto" w:fill="FFFFFF"/>
              <w:spacing w:line="293" w:lineRule="atLeast"/>
              <w:jc w:val="both"/>
            </w:pPr>
            <w:r>
              <w:t>7.</w:t>
            </w:r>
            <w:r w:rsidR="008B2FA8">
              <w:t> </w:t>
            </w:r>
            <w:r>
              <w:t>Papildināt</w:t>
            </w:r>
            <w:r w:rsidR="008B2FA8">
              <w:t> </w:t>
            </w:r>
            <w:r>
              <w:t>noteikumus ar 8.</w:t>
            </w:r>
            <w:r w:rsidRPr="00736D87">
              <w:rPr>
                <w:vertAlign w:val="superscript"/>
              </w:rPr>
              <w:t>1</w:t>
            </w:r>
            <w:r>
              <w:t xml:space="preserve"> punktu šādā redakcijā:</w:t>
            </w:r>
          </w:p>
          <w:p w14:paraId="5886CD71" w14:textId="77777777" w:rsidR="00696CF0" w:rsidRDefault="00456725" w:rsidP="00456725">
            <w:pPr>
              <w:pStyle w:val="Paraststmeklis"/>
              <w:spacing w:before="0" w:after="0"/>
              <w:ind w:right="13"/>
              <w:jc w:val="both"/>
            </w:pPr>
            <w:r>
              <w:t>8.</w:t>
            </w:r>
            <w:r w:rsidRPr="00736D87">
              <w:rPr>
                <w:vertAlign w:val="superscript"/>
              </w:rPr>
              <w:t>1</w:t>
            </w:r>
            <w:r>
              <w:t xml:space="preserve"> Lai saņemtu importa licenci tarifa kvotām, uz kurām attiecas prasība par uzņēmēju iepriekšējo reģistrāciju, persona pirms pieteikšanās importa licencei reģistrējas regulas 2020/760 13. pantā minētajā licenču turētāju reģistrācijas un identifikācijas LORI elektroniskajā sistēmā </w:t>
            </w:r>
            <w:r>
              <w:lastRenderedPageBreak/>
              <w:t>un aizpilda regulas 2020/760 12. pantā minēto neatkarīguma deklarāciju.</w:t>
            </w:r>
          </w:p>
        </w:tc>
        <w:tc>
          <w:tcPr>
            <w:tcW w:w="4271" w:type="dxa"/>
            <w:tcBorders>
              <w:top w:val="single" w:sz="4" w:space="0" w:color="auto"/>
              <w:left w:val="single" w:sz="4" w:space="0" w:color="auto"/>
              <w:bottom w:val="single" w:sz="4" w:space="0" w:color="auto"/>
              <w:right w:val="single" w:sz="4" w:space="0" w:color="auto"/>
            </w:tcBorders>
          </w:tcPr>
          <w:p w14:paraId="4684494F" w14:textId="77777777" w:rsidR="008C289D" w:rsidRPr="004D02E3" w:rsidRDefault="005F02EE" w:rsidP="005F02EE">
            <w:pPr>
              <w:pStyle w:val="Paraststmeklis"/>
              <w:tabs>
                <w:tab w:val="left" w:pos="993"/>
              </w:tabs>
              <w:spacing w:before="0" w:after="0"/>
              <w:ind w:right="11"/>
              <w:jc w:val="both"/>
            </w:pPr>
            <w:r w:rsidRPr="005F02EE">
              <w:lastRenderedPageBreak/>
              <w:t>Lūdzam projekta anotācijas I sadaļas 2. punktā izvērsti skaidrot projekta 7. punktā izteiktajā 8.</w:t>
            </w:r>
            <w:r w:rsidRPr="00736D87">
              <w:rPr>
                <w:vertAlign w:val="superscript"/>
              </w:rPr>
              <w:t>1</w:t>
            </w:r>
            <w:r w:rsidRPr="005F02EE">
              <w:t xml:space="preserve"> punktā minēto “prasību par uzņēmēju iepriekšējo reģistrāciju”, norādot šādas prasības tiesisko pamatojumu un nepieciešamību. Vienlaikus lūdzam arī papildināt minēto 8.</w:t>
            </w:r>
            <w:r w:rsidRPr="00736D87">
              <w:rPr>
                <w:vertAlign w:val="superscript"/>
              </w:rPr>
              <w:t>1</w:t>
            </w:r>
            <w:r w:rsidRPr="005F02EE">
              <w:t xml:space="preserve"> punktu ar norādi uz tiesību normu, kas paredz šādu prasību par uzņēmēju iepriekšējo reģistrāciju.</w:t>
            </w:r>
          </w:p>
        </w:tc>
        <w:tc>
          <w:tcPr>
            <w:tcW w:w="3643" w:type="dxa"/>
            <w:tcBorders>
              <w:left w:val="single" w:sz="4" w:space="0" w:color="auto"/>
              <w:bottom w:val="single" w:sz="4" w:space="0" w:color="auto"/>
            </w:tcBorders>
          </w:tcPr>
          <w:p w14:paraId="5BFD2CB2" w14:textId="77777777" w:rsidR="00A542C4" w:rsidRPr="00ED01B2" w:rsidRDefault="00A542C4" w:rsidP="00ED01B2">
            <w:pPr>
              <w:pStyle w:val="Paraststmeklis"/>
              <w:spacing w:before="0" w:after="0"/>
              <w:ind w:right="13"/>
              <w:jc w:val="center"/>
              <w:rPr>
                <w:b/>
                <w:bCs/>
              </w:rPr>
            </w:pPr>
            <w:r w:rsidRPr="00ED01B2">
              <w:rPr>
                <w:b/>
                <w:bCs/>
              </w:rPr>
              <w:t>Ņemts vērā.</w:t>
            </w:r>
          </w:p>
          <w:p w14:paraId="6BD58116" w14:textId="77777777" w:rsidR="008C289D" w:rsidRDefault="003A2ECC" w:rsidP="007B48C1">
            <w:pPr>
              <w:jc w:val="both"/>
            </w:pPr>
            <w:r>
              <w:t>P</w:t>
            </w:r>
            <w:r w:rsidR="00A542C4" w:rsidRPr="00ED01B2">
              <w:t>recizē</w:t>
            </w:r>
            <w:r>
              <w:t>ts a</w:t>
            </w:r>
            <w:r w:rsidR="00A542C4" w:rsidRPr="00ED01B2">
              <w:t>notācijas I sadaļas 2.</w:t>
            </w:r>
            <w:r>
              <w:t> </w:t>
            </w:r>
            <w:r w:rsidR="00A542C4" w:rsidRPr="00ED01B2">
              <w:t>punkt</w:t>
            </w:r>
            <w:r>
              <w:t>s,</w:t>
            </w:r>
            <w:r w:rsidR="00A542C4" w:rsidRPr="00ED01B2">
              <w:t xml:space="preserve"> nosakot, ka</w:t>
            </w:r>
            <w:r>
              <w:t xml:space="preserve"> s</w:t>
            </w:r>
            <w:r w:rsidR="00FB21B3" w:rsidRPr="00ED01B2">
              <w:t>askaņā ar Komisijas Deleģēto regulu (ES) 2017/</w:t>
            </w:r>
            <w:r w:rsidR="00FB21B3" w:rsidRPr="006F39C4">
              <w:t>1183</w:t>
            </w:r>
            <w:r w:rsidR="006F39C4">
              <w:t> </w:t>
            </w:r>
            <w:r w:rsidR="00FB21B3" w:rsidRPr="006F39C4">
              <w:t>un</w:t>
            </w:r>
            <w:r w:rsidR="00FB21B3" w:rsidRPr="00ED01B2">
              <w:t xml:space="preserve"> Īstenošanas regulu (ES) 2017/1185 Komisija </w:t>
            </w:r>
            <w:r w:rsidR="00FC5D93" w:rsidRPr="00ED01B2">
              <w:t xml:space="preserve">ir </w:t>
            </w:r>
            <w:r w:rsidR="00FB21B3" w:rsidRPr="00ED01B2">
              <w:t>izveido</w:t>
            </w:r>
            <w:r w:rsidR="00FC5D93" w:rsidRPr="00ED01B2">
              <w:t>jusi</w:t>
            </w:r>
            <w:r>
              <w:t xml:space="preserve"> </w:t>
            </w:r>
            <w:r w:rsidR="00FB21B3" w:rsidRPr="00ED01B2">
              <w:t>licencēto uzņēmēju reģistrācijas un identifikācijas (</w:t>
            </w:r>
            <w:r w:rsidR="00FB21B3" w:rsidRPr="00FA7890">
              <w:rPr>
                <w:i/>
              </w:rPr>
              <w:t>LORI</w:t>
            </w:r>
            <w:r w:rsidR="00FB21B3" w:rsidRPr="00ED01B2">
              <w:t>) elektronisko sistēmu.</w:t>
            </w:r>
          </w:p>
          <w:p w14:paraId="6269D477" w14:textId="77777777" w:rsidR="00804471" w:rsidRDefault="00804471" w:rsidP="007B48C1">
            <w:pPr>
              <w:jc w:val="both"/>
              <w:rPr>
                <w:b/>
                <w:iCs/>
                <w:highlight w:val="yellow"/>
              </w:rPr>
            </w:pPr>
          </w:p>
          <w:p w14:paraId="311FD344" w14:textId="7F9D5643" w:rsidR="00804471" w:rsidRPr="00804471" w:rsidRDefault="00804471" w:rsidP="007B48C1">
            <w:pPr>
              <w:jc w:val="both"/>
              <w:rPr>
                <w:bCs/>
                <w:iCs/>
                <w:highlight w:val="yellow"/>
              </w:rPr>
            </w:pPr>
            <w:r w:rsidRPr="00804471">
              <w:rPr>
                <w:bCs/>
                <w:iCs/>
              </w:rPr>
              <w:t>Precizēts projekta 7. punktā izteikt</w:t>
            </w:r>
            <w:r w:rsidR="00091DAE">
              <w:rPr>
                <w:bCs/>
                <w:iCs/>
              </w:rPr>
              <w:t>ais</w:t>
            </w:r>
            <w:r w:rsidRPr="00804471">
              <w:rPr>
                <w:bCs/>
                <w:iCs/>
              </w:rPr>
              <w:t xml:space="preserve"> 8</w:t>
            </w:r>
            <w:r w:rsidR="00091DAE">
              <w:rPr>
                <w:bCs/>
                <w:iCs/>
              </w:rPr>
              <w:t>.</w:t>
            </w:r>
            <w:r w:rsidRPr="00804471">
              <w:rPr>
                <w:bCs/>
                <w:iCs/>
                <w:vertAlign w:val="superscript"/>
              </w:rPr>
              <w:t>1</w:t>
            </w:r>
            <w:r w:rsidRPr="00804471">
              <w:rPr>
                <w:bCs/>
                <w:iCs/>
              </w:rPr>
              <w:t xml:space="preserve"> punkts.</w:t>
            </w:r>
          </w:p>
        </w:tc>
        <w:tc>
          <w:tcPr>
            <w:tcW w:w="2972" w:type="dxa"/>
            <w:tcBorders>
              <w:bottom w:val="single" w:sz="4" w:space="0" w:color="auto"/>
              <w:right w:val="single" w:sz="4" w:space="0" w:color="auto"/>
            </w:tcBorders>
          </w:tcPr>
          <w:p w14:paraId="7FED89B5" w14:textId="7B8CCBC9" w:rsidR="00F074EA" w:rsidRDefault="00F074EA" w:rsidP="00F074EA">
            <w:pPr>
              <w:shd w:val="clear" w:color="auto" w:fill="FFFFFF"/>
              <w:spacing w:line="293" w:lineRule="atLeast"/>
              <w:jc w:val="both"/>
            </w:pPr>
            <w:r>
              <w:t>5) ievērojot to, ka Komisija ar Komisijas Deleģēto regulu (ES) 2017/1183 un Īstenošanas regulu (ES) 2017/1185 ir izveidojusi licencēto uzņēmēju reģistrācijas un identifikācijas (</w:t>
            </w:r>
            <w:r w:rsidRPr="009610A4">
              <w:rPr>
                <w:i/>
              </w:rPr>
              <w:t>LORI</w:t>
            </w:r>
            <w:r>
              <w:t>) elektronisko sistēmu, kurā ir jāreģistrējas un jāiesniedz neatkarīguma deklarācija, lai saņemtu importa licences tarifa kvotas, uz kurām attiecas prasība par uzņēmēju iepriekšēju reģistrāciju, noteikumi Nr. 171 papildināti ar 8.</w:t>
            </w:r>
            <w:r w:rsidRPr="009610A4">
              <w:rPr>
                <w:vertAlign w:val="superscript"/>
              </w:rPr>
              <w:t>1</w:t>
            </w:r>
            <w:r w:rsidR="00091DAE">
              <w:t> </w:t>
            </w:r>
            <w:r>
              <w:t>punktu</w:t>
            </w:r>
            <w:r w:rsidR="00091DAE">
              <w:t>.</w:t>
            </w:r>
            <w:r>
              <w:t xml:space="preserve"> </w:t>
            </w:r>
            <w:r w:rsidR="00091DAE">
              <w:t>Taj</w:t>
            </w:r>
            <w:r>
              <w:t xml:space="preserve">ā noteikta pieteikšanas kārtība tarifa </w:t>
            </w:r>
            <w:r>
              <w:lastRenderedPageBreak/>
              <w:t>kvotām, k</w:t>
            </w:r>
            <w:r w:rsidR="00091DAE">
              <w:t>urā</w:t>
            </w:r>
            <w:r>
              <w:t>m ir nepieciešama iepriekšējā reģistrācija. Tās ir jutīgas tarifa kvotas mājputnu gaļa</w:t>
            </w:r>
            <w:r w:rsidR="00091DAE">
              <w:t>s</w:t>
            </w:r>
            <w:r>
              <w:t xml:space="preserve"> un no trešajām valstīm</w:t>
            </w:r>
            <w:r w:rsidR="00091DAE">
              <w:t xml:space="preserve"> importētu ķiploku ievešanai</w:t>
            </w:r>
            <w:r>
              <w:t xml:space="preserve">. </w:t>
            </w:r>
          </w:p>
          <w:p w14:paraId="56C8DEE3" w14:textId="77777777" w:rsidR="00F074EA" w:rsidRDefault="00F074EA" w:rsidP="00F074EA">
            <w:pPr>
              <w:shd w:val="clear" w:color="auto" w:fill="FFFFFF"/>
              <w:spacing w:line="293" w:lineRule="atLeast"/>
              <w:jc w:val="both"/>
            </w:pPr>
            <w:r>
              <w:t>Ar noteikumu projektu tiek pilnveidots valsts pārvaldes pakalpojums “Pieteikšanās importa licences tarifa kvotām”.</w:t>
            </w:r>
          </w:p>
          <w:p w14:paraId="731B874C" w14:textId="77777777" w:rsidR="00F074EA" w:rsidRDefault="00F074EA" w:rsidP="00F074EA">
            <w:pPr>
              <w:shd w:val="clear" w:color="auto" w:fill="FFFFFF"/>
              <w:spacing w:line="293" w:lineRule="atLeast"/>
              <w:jc w:val="both"/>
            </w:pPr>
            <w:r>
              <w:t xml:space="preserve">Lai pieteiktos importa licences tarifa kvotām, uzņēmējs jeb importētājs elektroniski vai klātienē apmeklē Lauku atbalsta dienestu (http://www.lad.gov.lv/lv/atbalsta-veidi/tirgus-pasakumi/importa-eksporta-licencesana/importa-tarifu-kvotas/) un sniedz pieteikumam nepieciešamo informāciju. </w:t>
            </w:r>
          </w:p>
          <w:p w14:paraId="022270D7" w14:textId="35C01334" w:rsidR="00F074EA" w:rsidRDefault="00091DAE" w:rsidP="00F074EA">
            <w:pPr>
              <w:shd w:val="clear" w:color="auto" w:fill="FFFFFF"/>
              <w:spacing w:line="293" w:lineRule="atLeast"/>
              <w:jc w:val="both"/>
            </w:pPr>
            <w:r>
              <w:t>Tikai divu veidu produktu grupām – mājputnu gaļai un ķiplokiem no trešajām valstīm – nepieciešamo v</w:t>
            </w:r>
            <w:r w:rsidR="00F074EA">
              <w:t xml:space="preserve">eidlapu </w:t>
            </w:r>
            <w:r w:rsidR="00F074EA" w:rsidRPr="009610A4">
              <w:rPr>
                <w:i/>
              </w:rPr>
              <w:t>LORI</w:t>
            </w:r>
            <w:r w:rsidR="00F074EA">
              <w:t xml:space="preserve"> sistēmā aizpilda Lauku atbalsta dienests, pamatojoties uz uzņēmēja iesniegtajiem datiem, un nosūta to Komisijai. Pārējās produktu grupas netiek reģistrētas </w:t>
            </w:r>
            <w:r w:rsidR="00F074EA" w:rsidRPr="009610A4">
              <w:rPr>
                <w:i/>
              </w:rPr>
              <w:t>LORI</w:t>
            </w:r>
            <w:r w:rsidR="00F074EA">
              <w:t xml:space="preserve"> sistēmā.</w:t>
            </w:r>
          </w:p>
          <w:p w14:paraId="7190C367" w14:textId="49ED61B3" w:rsidR="00696CF0" w:rsidRDefault="00F074EA" w:rsidP="00F074EA">
            <w:pPr>
              <w:shd w:val="clear" w:color="auto" w:fill="FFFFFF"/>
              <w:spacing w:line="293" w:lineRule="atLeast"/>
              <w:jc w:val="both"/>
            </w:pPr>
            <w:r>
              <w:lastRenderedPageBreak/>
              <w:t>Pēc noteikumu projekta spēkā stāšanās pakalpojum</w:t>
            </w:r>
            <w:r w:rsidR="00091DAE">
              <w:t>s</w:t>
            </w:r>
            <w:r>
              <w:t xml:space="preserve"> </w:t>
            </w:r>
            <w:r w:rsidR="00091DAE">
              <w:t xml:space="preserve">tiks </w:t>
            </w:r>
            <w:r>
              <w:t>aprakstī</w:t>
            </w:r>
            <w:r w:rsidR="00091DAE">
              <w:t>ts</w:t>
            </w:r>
            <w:r>
              <w:t xml:space="preserve"> valsts pārvaldes pakalpojumu portālā </w:t>
            </w:r>
            <w:proofErr w:type="spellStart"/>
            <w:r>
              <w:t>Latvija.lv</w:t>
            </w:r>
            <w:proofErr w:type="spellEnd"/>
            <w:r>
              <w:t>.</w:t>
            </w:r>
          </w:p>
          <w:p w14:paraId="482C52B5" w14:textId="77777777" w:rsidR="00730999" w:rsidRDefault="00730999" w:rsidP="00F074EA">
            <w:pPr>
              <w:shd w:val="clear" w:color="auto" w:fill="FFFFFF"/>
              <w:spacing w:line="293" w:lineRule="atLeast"/>
              <w:jc w:val="both"/>
            </w:pPr>
          </w:p>
          <w:p w14:paraId="3145F988" w14:textId="74AF84AB" w:rsidR="00730999" w:rsidRDefault="00730999" w:rsidP="00F074EA">
            <w:pPr>
              <w:shd w:val="clear" w:color="auto" w:fill="FFFFFF"/>
              <w:spacing w:line="293" w:lineRule="atLeast"/>
              <w:jc w:val="both"/>
              <w:rPr>
                <w:highlight w:val="lightGray"/>
              </w:rPr>
            </w:pPr>
            <w:r w:rsidRPr="00730999">
              <w:t xml:space="preserve">Noteikumu projekta </w:t>
            </w:r>
            <w:r w:rsidR="00B44D1B">
              <w:t>7.</w:t>
            </w:r>
            <w:r w:rsidRPr="00730999">
              <w:t xml:space="preserve"> punkt</w:t>
            </w:r>
            <w:r>
              <w:t>s</w:t>
            </w:r>
            <w:r w:rsidRPr="00730999">
              <w:t>:</w:t>
            </w:r>
          </w:p>
          <w:p w14:paraId="2CF8A029" w14:textId="32C9ECB7" w:rsidR="00730999" w:rsidRPr="0036205E" w:rsidRDefault="00B44D1B">
            <w:pPr>
              <w:shd w:val="clear" w:color="auto" w:fill="FFFFFF"/>
              <w:spacing w:line="293" w:lineRule="atLeast"/>
              <w:jc w:val="both"/>
              <w:rPr>
                <w:highlight w:val="lightGray"/>
              </w:rPr>
            </w:pPr>
            <w:r>
              <w:t xml:space="preserve">7. </w:t>
            </w:r>
            <w:r w:rsidR="00730999" w:rsidRPr="00730999">
              <w:t>“8.</w:t>
            </w:r>
            <w:r w:rsidR="00730999" w:rsidRPr="00730999">
              <w:rPr>
                <w:vertAlign w:val="superscript"/>
              </w:rPr>
              <w:t>1</w:t>
            </w:r>
            <w:r w:rsidR="00730999" w:rsidRPr="00730999">
              <w:t xml:space="preserve"> Lai saņemtu importa licenci tarifa kvotām, </w:t>
            </w:r>
            <w:r w:rsidR="00091DAE">
              <w:t>par</w:t>
            </w:r>
            <w:r w:rsidR="00730999" w:rsidRPr="00730999">
              <w:t xml:space="preserve"> kurām vajadzīga uzņēmēju iepriekšēja obligāta reģistrācija atbilstoši regulas 2020/760 11. pantam, persona pirms pieteikšanās importa licencei reģistrējas regulas 2020/760 13. pantā minētajā licenču turētāju reģistrācijas un identifikācijas </w:t>
            </w:r>
            <w:r w:rsidR="00730999" w:rsidRPr="009610A4">
              <w:rPr>
                <w:i/>
              </w:rPr>
              <w:t>LORI</w:t>
            </w:r>
            <w:r w:rsidR="00730999" w:rsidRPr="00730999">
              <w:t xml:space="preserve"> elektroniskajā sistēmā un aizpilda regulas 2020/760 12. pantā minēto neatkarīguma deklarāciju.”</w:t>
            </w:r>
          </w:p>
        </w:tc>
      </w:tr>
      <w:tr w:rsidR="008C289D" w:rsidRPr="00AC04F8" w14:paraId="5E259C46" w14:textId="77777777" w:rsidTr="00CF263B">
        <w:trPr>
          <w:trHeight w:val="416"/>
        </w:trPr>
        <w:tc>
          <w:tcPr>
            <w:tcW w:w="14265" w:type="dxa"/>
            <w:gridSpan w:val="5"/>
            <w:tcBorders>
              <w:left w:val="single" w:sz="4" w:space="0" w:color="auto"/>
              <w:bottom w:val="single" w:sz="4" w:space="0" w:color="auto"/>
              <w:right w:val="single" w:sz="4" w:space="0" w:color="auto"/>
            </w:tcBorders>
          </w:tcPr>
          <w:p w14:paraId="7E109B60" w14:textId="77777777" w:rsidR="008C289D" w:rsidRPr="008C289D" w:rsidRDefault="008C289D" w:rsidP="008C289D">
            <w:pPr>
              <w:shd w:val="clear" w:color="auto" w:fill="FFFFFF"/>
              <w:spacing w:line="293" w:lineRule="atLeast"/>
              <w:jc w:val="center"/>
              <w:rPr>
                <w:b/>
              </w:rPr>
            </w:pPr>
            <w:r w:rsidRPr="008C289D">
              <w:rPr>
                <w:b/>
              </w:rPr>
              <w:lastRenderedPageBreak/>
              <w:t>Vides aizsardzības un reģionālās attīstības ministrija</w:t>
            </w:r>
          </w:p>
        </w:tc>
      </w:tr>
      <w:tr w:rsidR="0091458E" w:rsidRPr="00AC04F8" w14:paraId="43DEB88B" w14:textId="77777777" w:rsidTr="00B44D1B">
        <w:trPr>
          <w:trHeight w:val="1408"/>
        </w:trPr>
        <w:tc>
          <w:tcPr>
            <w:tcW w:w="769" w:type="dxa"/>
            <w:tcBorders>
              <w:left w:val="single" w:sz="4" w:space="0" w:color="auto"/>
              <w:bottom w:val="single" w:sz="4" w:space="0" w:color="auto"/>
              <w:right w:val="single" w:sz="4" w:space="0" w:color="auto"/>
            </w:tcBorders>
          </w:tcPr>
          <w:p w14:paraId="63E90092" w14:textId="77777777" w:rsidR="0091458E" w:rsidRDefault="0091458E" w:rsidP="0091458E">
            <w:pPr>
              <w:pStyle w:val="naisnod"/>
              <w:jc w:val="center"/>
              <w:rPr>
                <w:color w:val="000000"/>
              </w:rPr>
            </w:pPr>
            <w:r>
              <w:rPr>
                <w:color w:val="000000"/>
              </w:rPr>
              <w:t>2.</w:t>
            </w:r>
          </w:p>
        </w:tc>
        <w:tc>
          <w:tcPr>
            <w:tcW w:w="2610" w:type="dxa"/>
            <w:tcBorders>
              <w:top w:val="single" w:sz="4" w:space="0" w:color="auto"/>
              <w:left w:val="single" w:sz="4" w:space="0" w:color="auto"/>
              <w:bottom w:val="single" w:sz="4" w:space="0" w:color="auto"/>
              <w:right w:val="single" w:sz="4" w:space="0" w:color="auto"/>
            </w:tcBorders>
          </w:tcPr>
          <w:p w14:paraId="7CC7C464" w14:textId="77777777" w:rsidR="0091458E" w:rsidRDefault="0091458E" w:rsidP="0091458E">
            <w:pPr>
              <w:shd w:val="clear" w:color="auto" w:fill="FFFFFF"/>
              <w:spacing w:line="293" w:lineRule="atLeast"/>
              <w:jc w:val="both"/>
            </w:pPr>
            <w:r>
              <w:t>7. Papildināt noteikumus ar 8.</w:t>
            </w:r>
            <w:r w:rsidRPr="00736D87">
              <w:rPr>
                <w:vertAlign w:val="superscript"/>
              </w:rPr>
              <w:t>1</w:t>
            </w:r>
            <w:r>
              <w:t xml:space="preserve"> punktu šādā redakcijā:</w:t>
            </w:r>
          </w:p>
          <w:p w14:paraId="16C62AFD" w14:textId="77777777" w:rsidR="0091458E" w:rsidRDefault="0091458E" w:rsidP="0091458E">
            <w:pPr>
              <w:pStyle w:val="Paraststmeklis"/>
              <w:spacing w:before="0" w:after="0"/>
              <w:ind w:right="13"/>
              <w:jc w:val="both"/>
            </w:pPr>
            <w:r w:rsidRPr="00456725">
              <w:t>8.</w:t>
            </w:r>
            <w:r w:rsidRPr="002040CF">
              <w:rPr>
                <w:vertAlign w:val="superscript"/>
              </w:rPr>
              <w:t xml:space="preserve">1 </w:t>
            </w:r>
            <w:r w:rsidRPr="00456725">
              <w:t xml:space="preserve">Lai saņemtu importa licenci tarifa kvotām, uz kurām attiecas prasība par uzņēmēju iepriekšējo reģistrāciju, persona pirms pieteikšanās importa </w:t>
            </w:r>
            <w:r w:rsidRPr="00456725">
              <w:lastRenderedPageBreak/>
              <w:t>licencei reģistrējas regulas 2020/760 13. pantā minētajā licenču turētāju reģistrācijas un identifikācijas LORI elektroniskajā sistēmā un aizpilda regulas 2020/760 12. pantā minēto neatkarīguma deklarāciju</w:t>
            </w:r>
            <w:r>
              <w:t>.</w:t>
            </w:r>
          </w:p>
        </w:tc>
        <w:tc>
          <w:tcPr>
            <w:tcW w:w="4271" w:type="dxa"/>
            <w:tcBorders>
              <w:top w:val="single" w:sz="4" w:space="0" w:color="auto"/>
              <w:left w:val="single" w:sz="4" w:space="0" w:color="auto"/>
              <w:bottom w:val="single" w:sz="4" w:space="0" w:color="auto"/>
              <w:right w:val="single" w:sz="4" w:space="0" w:color="auto"/>
            </w:tcBorders>
          </w:tcPr>
          <w:p w14:paraId="4B6BECB9" w14:textId="77777777" w:rsidR="0091458E" w:rsidRDefault="0091458E" w:rsidP="0091458E">
            <w:pPr>
              <w:jc w:val="both"/>
            </w:pPr>
            <w:r>
              <w:lastRenderedPageBreak/>
              <w:t xml:space="preserve">Saskaņā ar Ministru kabineta 2009. gada 15. decembra instrukciju Nr. 19 “Tiesību akta projekta sākotnējās ietekmes izvērtēšanas kārtība” (turpmāk – MK instrukcija Nr. 19) 14.4. apakšpunktu anotācijas I sadaļas 2. punktā jānorāda paredzēto pakalpojumu nosaukumi, ja projekts paredz ieviest jaunus pakalpojumus vai arī pilnveidot esošos, kā arī to, vai pakalpojums tiks sniegts elektroniski </w:t>
            </w:r>
            <w:r>
              <w:lastRenderedPageBreak/>
              <w:t xml:space="preserve">(ja pakalpojums nav pieejams elektroniski, vai ir plānots veidot elektronisku kanālu). </w:t>
            </w:r>
          </w:p>
          <w:p w14:paraId="0665539F" w14:textId="77777777" w:rsidR="0091458E" w:rsidRDefault="0091458E" w:rsidP="0091458E">
            <w:pPr>
              <w:jc w:val="both"/>
            </w:pPr>
            <w:r>
              <w:t>Ņemot vērā, ka ar noteikumu projektu (8.1 punkts) tiek noteikta obligāta reģistrēšanās licenču turētāju reģistrācijas un identifikācijas LORI elektroniskajā sistēmā un neatkarīguma deklarācijas iesniegšana, lai saņemtu importa licences tarifa kvotām, uz kurām attiecas prasība par uzņēmēju iepriekšēju reģistrāciju, lūdzam saskaņā ar MK instrukcijas Nr. 19 14.4. apakšpunktu anotācijas I sadaļas 2. punktā norādīt jaunā pakalpojuma nosaukumu un tā sniegšanas kanālus.</w:t>
            </w:r>
          </w:p>
          <w:p w14:paraId="7845A924" w14:textId="77777777" w:rsidR="0091458E" w:rsidRPr="004D02E3" w:rsidRDefault="0091458E" w:rsidP="0091458E">
            <w:pPr>
              <w:jc w:val="both"/>
            </w:pPr>
            <w:r>
              <w:t xml:space="preserve">Lūdzu papildināt noteikumu projekta anotāciju ar informāciju, ka pēc noteikumu projekta spēkā stāšanās saskaņā ar Ministru kabineta 2017. gada 4. jūlija noteikumu Nr.399 “Valsts pārvaldes pakalpojumu uzskaites, kvalitātes kontroles un sniegšanas kārtība” 5. un 9. punktu tiks veikta pakalpojuma aprakstīšana valsts pārvaldes pakalpojumu portālā </w:t>
            </w:r>
            <w:proofErr w:type="spellStart"/>
            <w:r>
              <w:t>Latvija.lv</w:t>
            </w:r>
            <w:proofErr w:type="spellEnd"/>
            <w:r>
              <w:t>.</w:t>
            </w:r>
          </w:p>
        </w:tc>
        <w:tc>
          <w:tcPr>
            <w:tcW w:w="3643" w:type="dxa"/>
            <w:tcBorders>
              <w:left w:val="single" w:sz="4" w:space="0" w:color="auto"/>
              <w:bottom w:val="single" w:sz="4" w:space="0" w:color="auto"/>
            </w:tcBorders>
          </w:tcPr>
          <w:p w14:paraId="1BFC435B" w14:textId="4DCDE471" w:rsidR="0091458E" w:rsidRPr="00ED01B2" w:rsidRDefault="00163004" w:rsidP="00FA7890">
            <w:pPr>
              <w:jc w:val="center"/>
              <w:rPr>
                <w:bCs/>
                <w:iCs/>
              </w:rPr>
            </w:pPr>
            <w:r>
              <w:rPr>
                <w:b/>
                <w:iCs/>
              </w:rPr>
              <w:lastRenderedPageBreak/>
              <w:t>P</w:t>
            </w:r>
            <w:r w:rsidR="000F5513">
              <w:rPr>
                <w:b/>
                <w:iCs/>
              </w:rPr>
              <w:t>anākta vienošanās.</w:t>
            </w:r>
          </w:p>
          <w:p w14:paraId="37B0BCBF" w14:textId="078AF669" w:rsidR="0091458E" w:rsidRDefault="002108ED" w:rsidP="0091458E">
            <w:pPr>
              <w:jc w:val="both"/>
              <w:rPr>
                <w:bCs/>
                <w:iCs/>
                <w:highlight w:val="lightGray"/>
              </w:rPr>
            </w:pPr>
            <w:r>
              <w:rPr>
                <w:bCs/>
                <w:iCs/>
              </w:rPr>
              <w:t>P</w:t>
            </w:r>
            <w:r w:rsidR="0091458E" w:rsidRPr="00ED01B2">
              <w:rPr>
                <w:bCs/>
                <w:iCs/>
              </w:rPr>
              <w:t>akalpojuma sniegšanas kanāl</w:t>
            </w:r>
            <w:r>
              <w:rPr>
                <w:bCs/>
                <w:iCs/>
              </w:rPr>
              <w:t>s</w:t>
            </w:r>
            <w:r w:rsidR="0091458E" w:rsidRPr="00ED01B2">
              <w:rPr>
                <w:bCs/>
                <w:iCs/>
              </w:rPr>
              <w:t xml:space="preserve">: veidlapu </w:t>
            </w:r>
            <w:r w:rsidR="0091458E" w:rsidRPr="009610A4">
              <w:rPr>
                <w:bCs/>
                <w:i/>
                <w:iCs/>
              </w:rPr>
              <w:t>LORI</w:t>
            </w:r>
            <w:r w:rsidR="0091458E" w:rsidRPr="00ED01B2">
              <w:rPr>
                <w:bCs/>
                <w:iCs/>
              </w:rPr>
              <w:t xml:space="preserve"> sistēmā aizpilda LAD</w:t>
            </w:r>
            <w:r w:rsidR="003A2ECC">
              <w:rPr>
                <w:bCs/>
                <w:iCs/>
              </w:rPr>
              <w:t>,</w:t>
            </w:r>
            <w:r w:rsidR="0091458E" w:rsidRPr="00ED01B2">
              <w:rPr>
                <w:bCs/>
                <w:iCs/>
              </w:rPr>
              <w:t xml:space="preserve"> pamatojoties uz uzņēmēja iesniegtajiem datiem</w:t>
            </w:r>
            <w:r w:rsidR="003A2ECC">
              <w:rPr>
                <w:bCs/>
                <w:iCs/>
              </w:rPr>
              <w:t>,</w:t>
            </w:r>
            <w:r w:rsidR="0091458E" w:rsidRPr="00ED01B2">
              <w:rPr>
                <w:bCs/>
                <w:iCs/>
              </w:rPr>
              <w:t xml:space="preserve"> un </w:t>
            </w:r>
            <w:r w:rsidR="00091DAE">
              <w:rPr>
                <w:bCs/>
                <w:iCs/>
              </w:rPr>
              <w:t xml:space="preserve">to </w:t>
            </w:r>
            <w:r w:rsidR="0091458E" w:rsidRPr="00ED01B2">
              <w:rPr>
                <w:bCs/>
                <w:iCs/>
              </w:rPr>
              <w:t xml:space="preserve">nosūta Komisijai. </w:t>
            </w:r>
          </w:p>
          <w:p w14:paraId="4D78A9B1" w14:textId="77777777" w:rsidR="000F5513" w:rsidRDefault="000F5513" w:rsidP="0091458E">
            <w:pPr>
              <w:jc w:val="both"/>
              <w:rPr>
                <w:bCs/>
                <w:iCs/>
              </w:rPr>
            </w:pPr>
          </w:p>
          <w:p w14:paraId="05A24071" w14:textId="6944FE81" w:rsidR="0091458E" w:rsidRPr="00ED01B2" w:rsidRDefault="0091458E" w:rsidP="0091458E">
            <w:pPr>
              <w:jc w:val="both"/>
              <w:rPr>
                <w:bCs/>
                <w:iCs/>
              </w:rPr>
            </w:pPr>
            <w:r w:rsidRPr="00ED01B2">
              <w:rPr>
                <w:bCs/>
                <w:iCs/>
              </w:rPr>
              <w:t>LAD informē</w:t>
            </w:r>
            <w:r w:rsidR="002108ED">
              <w:rPr>
                <w:bCs/>
                <w:iCs/>
              </w:rPr>
              <w:t xml:space="preserve"> </w:t>
            </w:r>
            <w:r w:rsidRPr="00ED01B2">
              <w:rPr>
                <w:bCs/>
                <w:iCs/>
              </w:rPr>
              <w:t>uzņēmējus</w:t>
            </w:r>
            <w:r w:rsidR="002108ED">
              <w:rPr>
                <w:bCs/>
                <w:iCs/>
              </w:rPr>
              <w:t xml:space="preserve"> un izvieto informāciju</w:t>
            </w:r>
            <w:r w:rsidRPr="00ED01B2">
              <w:rPr>
                <w:bCs/>
                <w:iCs/>
              </w:rPr>
              <w:t xml:space="preserve"> par pieteikšanās perioda sākumu </w:t>
            </w:r>
            <w:r w:rsidRPr="00ED01B2">
              <w:rPr>
                <w:bCs/>
                <w:iCs/>
              </w:rPr>
              <w:lastRenderedPageBreak/>
              <w:t xml:space="preserve">tarifa kvotām </w:t>
            </w:r>
            <w:r w:rsidR="003A2ECC">
              <w:rPr>
                <w:bCs/>
                <w:iCs/>
              </w:rPr>
              <w:t>tīmekļvietnē</w:t>
            </w:r>
            <w:r w:rsidR="003A2ECC" w:rsidRPr="00ED01B2">
              <w:rPr>
                <w:bCs/>
                <w:iCs/>
              </w:rPr>
              <w:t xml:space="preserve"> </w:t>
            </w:r>
            <w:hyperlink r:id="rId8" w:history="1">
              <w:r w:rsidRPr="00ED01B2">
                <w:rPr>
                  <w:rStyle w:val="Hipersaite"/>
                  <w:bCs/>
                  <w:iCs/>
                </w:rPr>
                <w:t>www.lad.gov.lv</w:t>
              </w:r>
            </w:hyperlink>
            <w:r w:rsidRPr="00ED01B2">
              <w:rPr>
                <w:bCs/>
                <w:iCs/>
              </w:rPr>
              <w:t xml:space="preserve">. </w:t>
            </w:r>
          </w:p>
          <w:p w14:paraId="3C8EE274" w14:textId="791BCA05" w:rsidR="0091458E" w:rsidRPr="00ED01B2" w:rsidRDefault="0091458E" w:rsidP="0091458E">
            <w:pPr>
              <w:jc w:val="both"/>
              <w:rPr>
                <w:bCs/>
                <w:iCs/>
              </w:rPr>
            </w:pPr>
            <w:r w:rsidRPr="00ED01B2">
              <w:rPr>
                <w:bCs/>
                <w:iCs/>
              </w:rPr>
              <w:t>Uzņēmēji var pieteikties tarifa kvotām</w:t>
            </w:r>
            <w:r w:rsidR="003A2ECC">
              <w:rPr>
                <w:bCs/>
                <w:iCs/>
              </w:rPr>
              <w:t>,</w:t>
            </w:r>
            <w:r w:rsidRPr="00ED01B2">
              <w:rPr>
                <w:bCs/>
                <w:iCs/>
              </w:rPr>
              <w:t xml:space="preserve"> </w:t>
            </w:r>
            <w:r w:rsidR="003A2ECC" w:rsidRPr="00ED01B2">
              <w:rPr>
                <w:bCs/>
                <w:iCs/>
              </w:rPr>
              <w:t xml:space="preserve">ar e-parakstu parakstītu </w:t>
            </w:r>
            <w:r w:rsidR="003A2ECC">
              <w:rPr>
                <w:bCs/>
                <w:iCs/>
              </w:rPr>
              <w:t>vai ieske</w:t>
            </w:r>
            <w:r w:rsidR="003A2ECC" w:rsidRPr="00ED01B2">
              <w:rPr>
                <w:bCs/>
                <w:iCs/>
              </w:rPr>
              <w:t xml:space="preserve">nētu parakstītu pieteikumu </w:t>
            </w:r>
            <w:r w:rsidRPr="00ED01B2">
              <w:rPr>
                <w:bCs/>
                <w:iCs/>
              </w:rPr>
              <w:t>nosūtot elektroniski uz LAD e</w:t>
            </w:r>
            <w:r w:rsidRPr="00ED01B2">
              <w:rPr>
                <w:bCs/>
                <w:iCs/>
              </w:rPr>
              <w:noBreakHyphen/>
              <w:t>past</w:t>
            </w:r>
            <w:r w:rsidR="00091DAE">
              <w:rPr>
                <w:bCs/>
                <w:iCs/>
              </w:rPr>
              <w:t>a adresi</w:t>
            </w:r>
            <w:r w:rsidRPr="00ED01B2">
              <w:rPr>
                <w:bCs/>
                <w:iCs/>
              </w:rPr>
              <w:t xml:space="preserve">, kā arī </w:t>
            </w:r>
            <w:r w:rsidR="003A2ECC">
              <w:rPr>
                <w:bCs/>
                <w:iCs/>
              </w:rPr>
              <w:t>to</w:t>
            </w:r>
            <w:r w:rsidRPr="00ED01B2">
              <w:rPr>
                <w:bCs/>
                <w:iCs/>
              </w:rPr>
              <w:t xml:space="preserve"> var iesniegt </w:t>
            </w:r>
            <w:r w:rsidR="003A2ECC">
              <w:rPr>
                <w:bCs/>
                <w:iCs/>
              </w:rPr>
              <w:t xml:space="preserve">brīvā formā </w:t>
            </w:r>
            <w:r w:rsidRPr="00ED01B2">
              <w:rPr>
                <w:bCs/>
                <w:iCs/>
              </w:rPr>
              <w:t>(iesk</w:t>
            </w:r>
            <w:r w:rsidR="003A2ECC">
              <w:rPr>
                <w:bCs/>
                <w:iCs/>
              </w:rPr>
              <w:t>e</w:t>
            </w:r>
            <w:r w:rsidRPr="00ED01B2">
              <w:rPr>
                <w:bCs/>
                <w:iCs/>
              </w:rPr>
              <w:t>nētu) Elektronisk</w:t>
            </w:r>
            <w:r w:rsidR="003A2ECC">
              <w:rPr>
                <w:bCs/>
                <w:iCs/>
              </w:rPr>
              <w:t>aj</w:t>
            </w:r>
            <w:r w:rsidRPr="00ED01B2">
              <w:rPr>
                <w:bCs/>
                <w:iCs/>
              </w:rPr>
              <w:t>ā pieteikšanās sistēm</w:t>
            </w:r>
            <w:r w:rsidR="003A2ECC">
              <w:rPr>
                <w:bCs/>
                <w:iCs/>
              </w:rPr>
              <w:t>ā</w:t>
            </w:r>
            <w:r w:rsidRPr="00ED01B2">
              <w:rPr>
                <w:bCs/>
                <w:iCs/>
              </w:rPr>
              <w:t xml:space="preserve">. </w:t>
            </w:r>
            <w:r w:rsidR="003A2ECC">
              <w:rPr>
                <w:bCs/>
                <w:iCs/>
              </w:rPr>
              <w:t>U</w:t>
            </w:r>
            <w:r w:rsidRPr="00ED01B2">
              <w:rPr>
                <w:bCs/>
                <w:iCs/>
              </w:rPr>
              <w:t xml:space="preserve">zņēmēji var ierasties </w:t>
            </w:r>
            <w:r w:rsidR="003A2ECC">
              <w:rPr>
                <w:bCs/>
                <w:iCs/>
              </w:rPr>
              <w:t xml:space="preserve">arī </w:t>
            </w:r>
            <w:r w:rsidRPr="00ED01B2">
              <w:rPr>
                <w:bCs/>
                <w:iCs/>
              </w:rPr>
              <w:t>klātienē LAD filiāl</w:t>
            </w:r>
            <w:r w:rsidR="003A2ECC">
              <w:rPr>
                <w:bCs/>
                <w:iCs/>
              </w:rPr>
              <w:t>ē</w:t>
            </w:r>
            <w:r w:rsidRPr="00ED01B2">
              <w:rPr>
                <w:bCs/>
                <w:iCs/>
              </w:rPr>
              <w:t xml:space="preserve"> vai </w:t>
            </w:r>
            <w:r w:rsidR="003A2ECC">
              <w:rPr>
                <w:bCs/>
                <w:iCs/>
              </w:rPr>
              <w:t>no</w:t>
            </w:r>
            <w:r w:rsidRPr="00ED01B2">
              <w:rPr>
                <w:bCs/>
                <w:iCs/>
              </w:rPr>
              <w:t>sūtīt pieteikumu pa pastu.</w:t>
            </w:r>
          </w:p>
          <w:p w14:paraId="0B8436E4" w14:textId="77777777" w:rsidR="0091458E" w:rsidRDefault="0091458E" w:rsidP="0091458E">
            <w:pPr>
              <w:jc w:val="both"/>
              <w:rPr>
                <w:bCs/>
                <w:iCs/>
              </w:rPr>
            </w:pPr>
            <w:r w:rsidRPr="00ED01B2">
              <w:rPr>
                <w:bCs/>
                <w:iCs/>
              </w:rPr>
              <w:t xml:space="preserve">Uzņēmēju iepriekšējā reģistrācija </w:t>
            </w:r>
            <w:r w:rsidRPr="00FA7890">
              <w:rPr>
                <w:bCs/>
                <w:i/>
                <w:iCs/>
              </w:rPr>
              <w:t>LORI</w:t>
            </w:r>
            <w:r w:rsidRPr="00ED01B2">
              <w:rPr>
                <w:bCs/>
                <w:iCs/>
              </w:rPr>
              <w:t xml:space="preserve"> sistēmā ir nepieciešama divām produktu grupām</w:t>
            </w:r>
            <w:r w:rsidR="003A2ECC">
              <w:rPr>
                <w:bCs/>
                <w:iCs/>
              </w:rPr>
              <w:t> –</w:t>
            </w:r>
            <w:r w:rsidRPr="00ED01B2">
              <w:rPr>
                <w:bCs/>
                <w:iCs/>
              </w:rPr>
              <w:t xml:space="preserve"> mājputnu gaļai un ķiplokiem no trešajām valstīm. Vēsturiski Latvijā ķiplokus no Ķīnas ir importējis tikai viens uzņēmums. </w:t>
            </w:r>
          </w:p>
          <w:p w14:paraId="630FB35D" w14:textId="77777777" w:rsidR="000F5513" w:rsidRDefault="000F5513" w:rsidP="0091458E">
            <w:pPr>
              <w:jc w:val="both"/>
              <w:rPr>
                <w:b/>
                <w:iCs/>
              </w:rPr>
            </w:pPr>
          </w:p>
          <w:p w14:paraId="6C60F197" w14:textId="77777777" w:rsidR="000F5513" w:rsidRDefault="000F5513" w:rsidP="000F5513">
            <w:pPr>
              <w:jc w:val="both"/>
            </w:pPr>
            <w:r>
              <w:t xml:space="preserve">Panākta vienošanās par pakalpojuma aprakstīšanu valsts pārvaldes pakalpojumu portālā </w:t>
            </w:r>
            <w:proofErr w:type="spellStart"/>
            <w:r>
              <w:t>Latvija.lv</w:t>
            </w:r>
            <w:proofErr w:type="spellEnd"/>
            <w:r>
              <w:t>.</w:t>
            </w:r>
          </w:p>
          <w:p w14:paraId="16B4A9FB" w14:textId="6A3A8BBD" w:rsidR="000F5513" w:rsidRPr="007F1258" w:rsidRDefault="000F5513" w:rsidP="0091458E">
            <w:pPr>
              <w:jc w:val="both"/>
              <w:rPr>
                <w:b/>
                <w:iCs/>
                <w:highlight w:val="yellow"/>
              </w:rPr>
            </w:pPr>
          </w:p>
        </w:tc>
        <w:tc>
          <w:tcPr>
            <w:tcW w:w="2972" w:type="dxa"/>
            <w:tcBorders>
              <w:bottom w:val="single" w:sz="4" w:space="0" w:color="auto"/>
              <w:right w:val="single" w:sz="4" w:space="0" w:color="auto"/>
            </w:tcBorders>
          </w:tcPr>
          <w:p w14:paraId="1F470CB9" w14:textId="7B982A19" w:rsidR="00153948" w:rsidRDefault="0091458E" w:rsidP="00153948">
            <w:pPr>
              <w:widowControl w:val="0"/>
              <w:tabs>
                <w:tab w:val="left" w:pos="720"/>
                <w:tab w:val="left" w:pos="993"/>
              </w:tabs>
              <w:jc w:val="both"/>
            </w:pPr>
            <w:r w:rsidRPr="004024F3">
              <w:lastRenderedPageBreak/>
              <w:t>5)</w:t>
            </w:r>
            <w:r>
              <w:t> </w:t>
            </w:r>
            <w:r w:rsidR="00153948">
              <w:t>ievērojot to, ka Komisija ar Komisijas Deleģēto regulu (ES) 2017/1183 un Īstenošanas regulu (ES) 2017/1185 ir izveidojusi licencēto uzņēmēju reģistrācijas un identifikācijas (</w:t>
            </w:r>
            <w:r w:rsidR="00153948" w:rsidRPr="009610A4">
              <w:rPr>
                <w:i/>
              </w:rPr>
              <w:t>LORI</w:t>
            </w:r>
            <w:r w:rsidR="00153948">
              <w:t xml:space="preserve">) elektronisko sistēmu, kurā ir jāreģistrējas un jāiesniedz neatkarīguma deklarācija, lai saņemtu importa licences tarifa kvotas, uz kurām attiecas prasība </w:t>
            </w:r>
            <w:r w:rsidR="00153948">
              <w:lastRenderedPageBreak/>
              <w:t>par uzņēmēju iepriekšēju reģistrāciju, noteikumi Nr. 171 papildināti ar 8.</w:t>
            </w:r>
            <w:r w:rsidR="00153948" w:rsidRPr="009610A4">
              <w:rPr>
                <w:vertAlign w:val="superscript"/>
              </w:rPr>
              <w:t>1</w:t>
            </w:r>
            <w:r w:rsidR="00153948">
              <w:t xml:space="preserve"> punktu</w:t>
            </w:r>
            <w:r w:rsidR="00091DAE">
              <w:t>.</w:t>
            </w:r>
            <w:r w:rsidR="00153948">
              <w:t xml:space="preserve"> </w:t>
            </w:r>
            <w:r w:rsidR="00091DAE">
              <w:t>Taj</w:t>
            </w:r>
            <w:r w:rsidR="00153948">
              <w:t>ā noteikta pieteikšanas kārtība tarifa kvotām, k</w:t>
            </w:r>
            <w:r w:rsidR="00091DAE">
              <w:t>urā</w:t>
            </w:r>
            <w:r w:rsidR="00153948">
              <w:t>m ir nepieciešama iepriekšējā reģistrācija. Tās ir jutīgas tarifa kvotas mājputnu gaļa</w:t>
            </w:r>
            <w:r w:rsidR="00091DAE">
              <w:t>s</w:t>
            </w:r>
            <w:r w:rsidR="00153948">
              <w:t xml:space="preserve"> un </w:t>
            </w:r>
            <w:r w:rsidR="00091DAE">
              <w:t xml:space="preserve">no trešajām valstīm importētu </w:t>
            </w:r>
            <w:r w:rsidR="00153948">
              <w:t>ķiplok</w:t>
            </w:r>
            <w:r w:rsidR="00091DAE">
              <w:t>u ievešanai</w:t>
            </w:r>
            <w:r w:rsidR="00153948">
              <w:t xml:space="preserve">. </w:t>
            </w:r>
          </w:p>
          <w:p w14:paraId="03BFE276" w14:textId="77777777" w:rsidR="00153948" w:rsidRDefault="00153948" w:rsidP="00153948">
            <w:pPr>
              <w:widowControl w:val="0"/>
              <w:tabs>
                <w:tab w:val="left" w:pos="720"/>
                <w:tab w:val="left" w:pos="993"/>
              </w:tabs>
              <w:jc w:val="both"/>
            </w:pPr>
            <w:r>
              <w:t>Ar noteikumu projektu tiek pilnveidots valsts pārvaldes pakalpojums “Pieteikšanās importa licences tarifa kvotām”.</w:t>
            </w:r>
          </w:p>
          <w:p w14:paraId="735F86C1" w14:textId="77777777" w:rsidR="00153948" w:rsidRDefault="00153948" w:rsidP="00153948">
            <w:pPr>
              <w:widowControl w:val="0"/>
              <w:tabs>
                <w:tab w:val="left" w:pos="720"/>
                <w:tab w:val="left" w:pos="993"/>
              </w:tabs>
              <w:jc w:val="both"/>
            </w:pPr>
            <w:r>
              <w:t xml:space="preserve">Lai pieteiktos importa licences tarifa kvotām, uzņēmējs jeb importētājs elektroniski vai klātienē apmeklē Lauku atbalsta dienestu (http://www.lad.gov.lv/lv/atbalsta-veidi/tirgus-pasakumi/importa-eksporta-licencesana/importa-tarifu-kvotas/) un sniedz pieteikumam nepieciešamo informāciju. </w:t>
            </w:r>
          </w:p>
          <w:p w14:paraId="77473ED4" w14:textId="300D874E" w:rsidR="00091DAE" w:rsidRDefault="00091DAE" w:rsidP="00091DAE">
            <w:pPr>
              <w:shd w:val="clear" w:color="auto" w:fill="FFFFFF"/>
              <w:spacing w:line="293" w:lineRule="atLeast"/>
              <w:jc w:val="both"/>
            </w:pPr>
            <w:r>
              <w:t xml:space="preserve">Tikai divu veidu produktu grupām – mājputnu gaļai un ķiplokiem no trešajām valstīm – nepieciešamo veidlapu </w:t>
            </w:r>
            <w:r w:rsidRPr="009610A4">
              <w:rPr>
                <w:i/>
              </w:rPr>
              <w:t>LORI</w:t>
            </w:r>
            <w:r>
              <w:t xml:space="preserve"> sistēmā aizpilda Lauku atbalsta dienests, pamatojoties uz uzņēmēja iesniegtajiem datiem, un nosūta to Komisijai. Pārējās </w:t>
            </w:r>
            <w:r>
              <w:lastRenderedPageBreak/>
              <w:t xml:space="preserve">produktu grupas netiek reģistrētas </w:t>
            </w:r>
            <w:r w:rsidRPr="009610A4">
              <w:rPr>
                <w:i/>
              </w:rPr>
              <w:t>LORI</w:t>
            </w:r>
            <w:r>
              <w:t xml:space="preserve"> sistēmā.</w:t>
            </w:r>
          </w:p>
          <w:p w14:paraId="2BE9D009" w14:textId="3B61A019" w:rsidR="0091458E" w:rsidRPr="007F1258" w:rsidRDefault="00091DAE" w:rsidP="00091DAE">
            <w:pPr>
              <w:widowControl w:val="0"/>
              <w:tabs>
                <w:tab w:val="left" w:pos="720"/>
                <w:tab w:val="left" w:pos="993"/>
              </w:tabs>
              <w:jc w:val="both"/>
              <w:rPr>
                <w:highlight w:val="yellow"/>
              </w:rPr>
            </w:pPr>
            <w:r>
              <w:t xml:space="preserve">Pēc noteikumu projekta spēkā stāšanās pakalpojums tiks aprakstīts valsts pārvaldes pakalpojumu portālā </w:t>
            </w:r>
            <w:proofErr w:type="spellStart"/>
            <w:r>
              <w:t>Latvija.lv</w:t>
            </w:r>
            <w:proofErr w:type="spellEnd"/>
            <w:r>
              <w:t>.</w:t>
            </w:r>
          </w:p>
        </w:tc>
      </w:tr>
      <w:tr w:rsidR="0091458E" w:rsidRPr="00AC04F8" w14:paraId="76E31746" w14:textId="77777777" w:rsidTr="00E85FA9">
        <w:trPr>
          <w:trHeight w:val="416"/>
        </w:trPr>
        <w:tc>
          <w:tcPr>
            <w:tcW w:w="14265" w:type="dxa"/>
            <w:gridSpan w:val="5"/>
            <w:tcBorders>
              <w:left w:val="single" w:sz="4" w:space="0" w:color="auto"/>
              <w:bottom w:val="single" w:sz="4" w:space="0" w:color="auto"/>
              <w:right w:val="single" w:sz="4" w:space="0" w:color="auto"/>
            </w:tcBorders>
          </w:tcPr>
          <w:p w14:paraId="525A8D14" w14:textId="77777777" w:rsidR="0091458E" w:rsidRPr="007B48C1" w:rsidRDefault="0091458E" w:rsidP="0091458E">
            <w:pPr>
              <w:shd w:val="clear" w:color="auto" w:fill="FFFFFF"/>
              <w:spacing w:line="293" w:lineRule="atLeast"/>
              <w:jc w:val="center"/>
            </w:pPr>
            <w:r>
              <w:rPr>
                <w:b/>
              </w:rPr>
              <w:lastRenderedPageBreak/>
              <w:t>Finanšu</w:t>
            </w:r>
            <w:r w:rsidRPr="00961364">
              <w:rPr>
                <w:b/>
              </w:rPr>
              <w:t xml:space="preserve"> ministrija </w:t>
            </w:r>
          </w:p>
        </w:tc>
      </w:tr>
      <w:tr w:rsidR="0091458E" w:rsidRPr="00AC04F8" w14:paraId="304123F9" w14:textId="77777777" w:rsidTr="0091458E">
        <w:trPr>
          <w:trHeight w:val="1966"/>
        </w:trPr>
        <w:tc>
          <w:tcPr>
            <w:tcW w:w="769" w:type="dxa"/>
            <w:tcBorders>
              <w:left w:val="single" w:sz="4" w:space="0" w:color="auto"/>
              <w:bottom w:val="single" w:sz="4" w:space="0" w:color="auto"/>
              <w:right w:val="single" w:sz="4" w:space="0" w:color="auto"/>
            </w:tcBorders>
          </w:tcPr>
          <w:p w14:paraId="0100BE90" w14:textId="77777777" w:rsidR="0091458E" w:rsidRDefault="0091458E" w:rsidP="0091458E">
            <w:pPr>
              <w:pStyle w:val="naisnod"/>
              <w:jc w:val="center"/>
              <w:rPr>
                <w:color w:val="000000"/>
              </w:rPr>
            </w:pPr>
            <w:r>
              <w:rPr>
                <w:color w:val="000000"/>
              </w:rPr>
              <w:t>3.</w:t>
            </w:r>
          </w:p>
        </w:tc>
        <w:tc>
          <w:tcPr>
            <w:tcW w:w="2610" w:type="dxa"/>
            <w:tcBorders>
              <w:top w:val="single" w:sz="4" w:space="0" w:color="auto"/>
              <w:left w:val="single" w:sz="4" w:space="0" w:color="auto"/>
              <w:bottom w:val="single" w:sz="4" w:space="0" w:color="auto"/>
              <w:right w:val="single" w:sz="4" w:space="0" w:color="auto"/>
            </w:tcBorders>
          </w:tcPr>
          <w:p w14:paraId="149B3D9B" w14:textId="77777777" w:rsidR="0091458E" w:rsidRDefault="0091458E" w:rsidP="0091458E">
            <w:pPr>
              <w:shd w:val="clear" w:color="auto" w:fill="FFFFFF"/>
              <w:spacing w:line="293" w:lineRule="atLeast"/>
              <w:jc w:val="both"/>
            </w:pPr>
            <w:r>
              <w:t>6. Papildināt 4. punktu ar 4.3. un 4.4. apakšpunktu šādā redakcijā:</w:t>
            </w:r>
          </w:p>
          <w:p w14:paraId="22972BFE" w14:textId="77777777" w:rsidR="0091458E" w:rsidRDefault="0091458E" w:rsidP="0091458E">
            <w:pPr>
              <w:shd w:val="clear" w:color="auto" w:fill="FFFFFF"/>
              <w:spacing w:line="293" w:lineRule="atLeast"/>
              <w:jc w:val="both"/>
            </w:pPr>
            <w:r>
              <w:t>“4.3. izdod ienākošo plūsmu pārraudzīšanas kārtības (</w:t>
            </w:r>
            <w:proofErr w:type="spellStart"/>
            <w:r>
              <w:t>Inward</w:t>
            </w:r>
            <w:proofErr w:type="spellEnd"/>
            <w:r>
              <w:t xml:space="preserve"> </w:t>
            </w:r>
            <w:proofErr w:type="spellStart"/>
            <w:r>
              <w:t>Monitoring</w:t>
            </w:r>
            <w:proofErr w:type="spellEnd"/>
            <w:r>
              <w:t xml:space="preserve"> </w:t>
            </w:r>
            <w:proofErr w:type="spellStart"/>
            <w:r>
              <w:t>Arrangement</w:t>
            </w:r>
            <w:proofErr w:type="spellEnd"/>
            <w:r>
              <w:t xml:space="preserve"> – IMA 1) sertifikātus atbilstoši regulas 2020/761 nosacījumiem;</w:t>
            </w:r>
          </w:p>
          <w:p w14:paraId="1C7F7599" w14:textId="77777777" w:rsidR="0091458E" w:rsidRPr="00696CF0" w:rsidRDefault="0091458E" w:rsidP="0091458E">
            <w:pPr>
              <w:shd w:val="clear" w:color="auto" w:fill="FFFFFF"/>
              <w:spacing w:line="293" w:lineRule="atLeast"/>
              <w:jc w:val="both"/>
            </w:pPr>
            <w:r>
              <w:t>4.4. pilda regulas Nr. 88/2007 4 un 5. pantā noteiktās muitas iestādes funkcijas.”</w:t>
            </w:r>
          </w:p>
        </w:tc>
        <w:tc>
          <w:tcPr>
            <w:tcW w:w="4271" w:type="dxa"/>
            <w:tcBorders>
              <w:top w:val="single" w:sz="4" w:space="0" w:color="auto"/>
              <w:left w:val="single" w:sz="4" w:space="0" w:color="auto"/>
              <w:bottom w:val="single" w:sz="4" w:space="0" w:color="auto"/>
              <w:right w:val="single" w:sz="4" w:space="0" w:color="auto"/>
            </w:tcBorders>
          </w:tcPr>
          <w:p w14:paraId="60CF20E5" w14:textId="77777777" w:rsidR="0091458E" w:rsidRDefault="0091458E" w:rsidP="0091458E">
            <w:pPr>
              <w:jc w:val="both"/>
            </w:pPr>
            <w:r>
              <w:t xml:space="preserve">Noteikumu projekta 6.punkts paredz Ministru kabineta 2018.gada 20.marta noteikumos Nr.171 “Lauksaimniecības un pārstrādāto lauksaimniecības produktu Eiropas Savienības licencēšanas un tarifu kvotu sistēmu administrēšanas kārtība” (turpmāk – MK noteikumi Nr.171) 4.punktu papildināt ar 4.3. un 4.4.apakšpunktu šādā redakcijā: </w:t>
            </w:r>
          </w:p>
          <w:p w14:paraId="052DDD21" w14:textId="77777777" w:rsidR="0091458E" w:rsidRDefault="0091458E" w:rsidP="0091458E">
            <w:pPr>
              <w:jc w:val="both"/>
            </w:pPr>
            <w:r>
              <w:t>“4.3. izdod ienākošo plūsmu pārraudzīšanas kārtības (</w:t>
            </w:r>
            <w:proofErr w:type="spellStart"/>
            <w:r>
              <w:t>Inward</w:t>
            </w:r>
            <w:proofErr w:type="spellEnd"/>
            <w:r>
              <w:t xml:space="preserve"> </w:t>
            </w:r>
            <w:proofErr w:type="spellStart"/>
            <w:r>
              <w:t>Monitoring</w:t>
            </w:r>
            <w:proofErr w:type="spellEnd"/>
            <w:r>
              <w:t xml:space="preserve"> </w:t>
            </w:r>
            <w:proofErr w:type="spellStart"/>
            <w:r>
              <w:t>Arrangement</w:t>
            </w:r>
            <w:proofErr w:type="spellEnd"/>
            <w:r>
              <w:t xml:space="preserve"> – IMA 1) sertifikātus atbilstoši regulas 2020/761 nosacījumiem;</w:t>
            </w:r>
          </w:p>
          <w:p w14:paraId="4B88F462" w14:textId="77777777" w:rsidR="0091458E" w:rsidRDefault="0091458E" w:rsidP="0091458E">
            <w:pPr>
              <w:jc w:val="both"/>
            </w:pPr>
            <w:r>
              <w:t>4.4. pilda regulas Nr. 88/2007 4. un 5.pantā noteiktās muitas iestādes funkcijas.”</w:t>
            </w:r>
          </w:p>
          <w:p w14:paraId="601432AF" w14:textId="77777777" w:rsidR="0091458E" w:rsidRDefault="0091458E" w:rsidP="0091458E">
            <w:pPr>
              <w:jc w:val="both"/>
            </w:pPr>
            <w:r>
              <w:t xml:space="preserve">Saskaņā ar Komisijas Īstenošanas 2019.gada 17.decembra Regulas (ES) 2020/761, ar ko paredz noteikumus Eiropas Parlamenta un Padomes Regulu (ES) Nr.1306/2013, (ES) Nr.1308/2013 un (ES) Nr.510/2014 piemērošanai attiecībā uz pārvaldības </w:t>
            </w:r>
            <w:r>
              <w:lastRenderedPageBreak/>
              <w:t xml:space="preserve">sistēmu tarifa kvotām ar licencēm, XIV pielikuma 5.punkta piens un piena produkti </w:t>
            </w:r>
            <w:proofErr w:type="spellStart"/>
            <w:r>
              <w:t>A.daļas</w:t>
            </w:r>
            <w:proofErr w:type="spellEnd"/>
            <w:r>
              <w:t xml:space="preserve"> A.6.sadaļu, ienākošo plūsmu pārraudzīšanas kārtības (</w:t>
            </w:r>
            <w:proofErr w:type="spellStart"/>
            <w:r>
              <w:t>Inward</w:t>
            </w:r>
            <w:proofErr w:type="spellEnd"/>
            <w:r>
              <w:t xml:space="preserve"> </w:t>
            </w:r>
            <w:proofErr w:type="spellStart"/>
            <w:r>
              <w:t>Monitoring</w:t>
            </w:r>
            <w:proofErr w:type="spellEnd"/>
            <w:r>
              <w:t xml:space="preserve"> </w:t>
            </w:r>
            <w:proofErr w:type="spellStart"/>
            <w:r>
              <w:t>Arrangement</w:t>
            </w:r>
            <w:proofErr w:type="spellEnd"/>
            <w:r>
              <w:t xml:space="preserve"> – IMA 1) sertifikātus izdot Austrālijas un Jaunzēlandes kompetentās iestādes. Līdz ar to Valsts ieņēmumu dienesta kompetencē neietilpst ienākošo plūsmu pārraudzīšanas kārtības (</w:t>
            </w:r>
            <w:proofErr w:type="spellStart"/>
            <w:r>
              <w:t>Inward</w:t>
            </w:r>
            <w:proofErr w:type="spellEnd"/>
            <w:r>
              <w:t xml:space="preserve"> </w:t>
            </w:r>
            <w:proofErr w:type="spellStart"/>
            <w:r>
              <w:t>Monitoring</w:t>
            </w:r>
            <w:proofErr w:type="spellEnd"/>
            <w:r>
              <w:t xml:space="preserve"> </w:t>
            </w:r>
            <w:proofErr w:type="spellStart"/>
            <w:r>
              <w:t>Arrangement</w:t>
            </w:r>
            <w:proofErr w:type="spellEnd"/>
            <w:r>
              <w:t xml:space="preserve"> – IMA 1) sertifikātu izdošana.</w:t>
            </w:r>
          </w:p>
          <w:p w14:paraId="01E950AD" w14:textId="77777777" w:rsidR="0091458E" w:rsidRDefault="0091458E" w:rsidP="0091458E">
            <w:pPr>
              <w:jc w:val="both"/>
            </w:pPr>
            <w:r>
              <w:t>Pamatojoties uz minēto, lūdzam svītrot noteikumu projekta 6.punktā ietverto MK noteikumu Nr.171 4.3.apakšpunktu un attiecīgi precizēt noteikumu projekta  anotācijas I sadaļas 2.punktu.</w:t>
            </w:r>
          </w:p>
        </w:tc>
        <w:tc>
          <w:tcPr>
            <w:tcW w:w="3643" w:type="dxa"/>
            <w:tcBorders>
              <w:left w:val="single" w:sz="4" w:space="0" w:color="auto"/>
              <w:bottom w:val="single" w:sz="4" w:space="0" w:color="auto"/>
            </w:tcBorders>
          </w:tcPr>
          <w:p w14:paraId="6EC89BF1" w14:textId="77777777" w:rsidR="0091458E" w:rsidRPr="00ED01B2" w:rsidRDefault="0091458E" w:rsidP="0091458E">
            <w:pPr>
              <w:jc w:val="center"/>
              <w:rPr>
                <w:b/>
                <w:iCs/>
              </w:rPr>
            </w:pPr>
            <w:r w:rsidRPr="00ED01B2">
              <w:rPr>
                <w:b/>
                <w:iCs/>
              </w:rPr>
              <w:lastRenderedPageBreak/>
              <w:t>Ņemts vērā.</w:t>
            </w:r>
          </w:p>
          <w:p w14:paraId="7DB0D9DB" w14:textId="184A6855" w:rsidR="0091458E" w:rsidRPr="00ED01B2" w:rsidRDefault="0091458E" w:rsidP="0091458E">
            <w:pPr>
              <w:jc w:val="both"/>
            </w:pPr>
            <w:r w:rsidRPr="00ED01B2">
              <w:t>Precizēts noteikum</w:t>
            </w:r>
            <w:r w:rsidR="003A2ECC">
              <w:t>u</w:t>
            </w:r>
            <w:r w:rsidRPr="00ED01B2">
              <w:t xml:space="preserve"> projekta 6.</w:t>
            </w:r>
            <w:r w:rsidR="003A2ECC">
              <w:t> </w:t>
            </w:r>
            <w:r w:rsidRPr="00ED01B2">
              <w:t>punktā ietvertais MK noteikumu</w:t>
            </w:r>
            <w:r w:rsidR="003A2ECC">
              <w:t xml:space="preserve"> </w:t>
            </w:r>
            <w:r w:rsidRPr="00ED01B2">
              <w:t>Nr.171 4.3.apakšpunkts, vārdu “izdod” aiz</w:t>
            </w:r>
            <w:r w:rsidR="003A2ECC">
              <w:t>stājot</w:t>
            </w:r>
            <w:r w:rsidRPr="00ED01B2">
              <w:t xml:space="preserve"> ar vārdu “kontrolē”.</w:t>
            </w:r>
          </w:p>
          <w:p w14:paraId="04A2A63E" w14:textId="0F31DC93" w:rsidR="0091458E" w:rsidRPr="00ED01B2" w:rsidRDefault="0091458E" w:rsidP="0091458E">
            <w:pPr>
              <w:jc w:val="both"/>
            </w:pPr>
            <w:r w:rsidRPr="00ED01B2">
              <w:t xml:space="preserve">Attiecīgi precizējumi </w:t>
            </w:r>
            <w:r w:rsidR="003A2ECC">
              <w:t>izdarī</w:t>
            </w:r>
            <w:r w:rsidRPr="00ED01B2">
              <w:t>ti noteikumu projekta anotācijas I</w:t>
            </w:r>
            <w:r w:rsidR="003A2ECC">
              <w:t> </w:t>
            </w:r>
            <w:r w:rsidRPr="00ED01B2">
              <w:t>sadaļas 2.punktā.</w:t>
            </w:r>
          </w:p>
          <w:p w14:paraId="659ED075" w14:textId="77777777" w:rsidR="0091458E" w:rsidRPr="007F1258" w:rsidRDefault="0091458E" w:rsidP="0091458E">
            <w:pPr>
              <w:jc w:val="both"/>
              <w:rPr>
                <w:b/>
                <w:iCs/>
                <w:highlight w:val="yellow"/>
              </w:rPr>
            </w:pPr>
          </w:p>
        </w:tc>
        <w:tc>
          <w:tcPr>
            <w:tcW w:w="2972" w:type="dxa"/>
            <w:tcBorders>
              <w:bottom w:val="single" w:sz="4" w:space="0" w:color="auto"/>
              <w:right w:val="single" w:sz="4" w:space="0" w:color="auto"/>
            </w:tcBorders>
          </w:tcPr>
          <w:p w14:paraId="18B00AC6" w14:textId="0304D45E" w:rsidR="0091458E" w:rsidRPr="00ED01B2" w:rsidRDefault="0091458E" w:rsidP="0091458E">
            <w:pPr>
              <w:jc w:val="both"/>
            </w:pPr>
            <w:r w:rsidRPr="00ED01B2">
              <w:t>Noteikum</w:t>
            </w:r>
            <w:r w:rsidR="003A2ECC">
              <w:t>u</w:t>
            </w:r>
            <w:r w:rsidRPr="00ED01B2">
              <w:t xml:space="preserve"> projekta 6.</w:t>
            </w:r>
            <w:r w:rsidR="003A2ECC">
              <w:t> </w:t>
            </w:r>
            <w:r w:rsidRPr="00ED01B2">
              <w:t>punkta 4.3.</w:t>
            </w:r>
            <w:r w:rsidR="003A2ECC">
              <w:t> </w:t>
            </w:r>
            <w:r w:rsidRPr="00ED01B2">
              <w:t>apakšpunkts:</w:t>
            </w:r>
          </w:p>
          <w:p w14:paraId="349A017B" w14:textId="0F056840" w:rsidR="0091458E" w:rsidRPr="00ED01B2" w:rsidRDefault="0091458E" w:rsidP="0091458E">
            <w:pPr>
              <w:jc w:val="both"/>
            </w:pPr>
            <w:r w:rsidRPr="00ED01B2">
              <w:t xml:space="preserve">“4.3. </w:t>
            </w:r>
            <w:r w:rsidR="00153948" w:rsidRPr="00153948">
              <w:t>kontrolē ienākošo plūsmu pārraudzīšanas kārtības (</w:t>
            </w:r>
            <w:proofErr w:type="spellStart"/>
            <w:r w:rsidR="00153948" w:rsidRPr="009610A4">
              <w:rPr>
                <w:i/>
              </w:rPr>
              <w:t>Inward</w:t>
            </w:r>
            <w:proofErr w:type="spellEnd"/>
            <w:r w:rsidR="00153948" w:rsidRPr="009610A4">
              <w:rPr>
                <w:i/>
              </w:rPr>
              <w:t xml:space="preserve"> </w:t>
            </w:r>
            <w:proofErr w:type="spellStart"/>
            <w:r w:rsidR="00153948" w:rsidRPr="009610A4">
              <w:rPr>
                <w:i/>
              </w:rPr>
              <w:t>Monitoring</w:t>
            </w:r>
            <w:proofErr w:type="spellEnd"/>
            <w:r w:rsidR="00153948" w:rsidRPr="009610A4">
              <w:rPr>
                <w:i/>
              </w:rPr>
              <w:t xml:space="preserve"> </w:t>
            </w:r>
            <w:proofErr w:type="spellStart"/>
            <w:r w:rsidR="00153948" w:rsidRPr="009610A4">
              <w:rPr>
                <w:i/>
              </w:rPr>
              <w:t>Arrangement</w:t>
            </w:r>
            <w:proofErr w:type="spellEnd"/>
            <w:r w:rsidR="00153948" w:rsidRPr="009610A4">
              <w:rPr>
                <w:i/>
              </w:rPr>
              <w:t xml:space="preserve"> – IMA 1</w:t>
            </w:r>
            <w:r w:rsidR="00153948" w:rsidRPr="00153948">
              <w:t>) sertifikātus atbilstoši regulas 2020/761 72. panta 6. punkta nosacījumiem</w:t>
            </w:r>
            <w:r w:rsidRPr="00ED01B2">
              <w:t>;”</w:t>
            </w:r>
          </w:p>
          <w:p w14:paraId="1337A454" w14:textId="77777777" w:rsidR="0091458E" w:rsidRPr="00ED01B2" w:rsidRDefault="0091458E" w:rsidP="0091458E">
            <w:pPr>
              <w:jc w:val="both"/>
            </w:pPr>
          </w:p>
          <w:p w14:paraId="58A7D96B" w14:textId="74A12DD8" w:rsidR="0091458E" w:rsidRPr="00ED01B2" w:rsidRDefault="0091458E" w:rsidP="0091458E">
            <w:pPr>
              <w:jc w:val="both"/>
            </w:pPr>
            <w:r w:rsidRPr="00ED01B2">
              <w:t>Anotācijas I sadaļas 2.</w:t>
            </w:r>
            <w:r w:rsidR="003A2ECC">
              <w:t> </w:t>
            </w:r>
            <w:r w:rsidRPr="00ED01B2">
              <w:t>punkts:</w:t>
            </w:r>
          </w:p>
          <w:p w14:paraId="3A4CD2D6" w14:textId="224969B6" w:rsidR="0091458E" w:rsidRPr="007F1258" w:rsidRDefault="0091458E" w:rsidP="0091458E">
            <w:pPr>
              <w:jc w:val="both"/>
              <w:rPr>
                <w:highlight w:val="yellow"/>
              </w:rPr>
            </w:pPr>
            <w:r w:rsidRPr="00ED01B2">
              <w:t>“papildināt noteikum</w:t>
            </w:r>
            <w:r w:rsidR="003A2ECC">
              <w:t>us</w:t>
            </w:r>
            <w:r w:rsidRPr="00ED01B2">
              <w:t xml:space="preserve"> Nr.</w:t>
            </w:r>
            <w:r w:rsidR="00091DAE">
              <w:t xml:space="preserve"> </w:t>
            </w:r>
            <w:r w:rsidRPr="00ED01B2">
              <w:t>171 ar 4.3. un 4.4. apakšpunktu, jo tajos ir noteiktas muitas dienesta funkcijas;”</w:t>
            </w:r>
          </w:p>
        </w:tc>
      </w:tr>
      <w:tr w:rsidR="0091458E" w:rsidRPr="00AC04F8" w14:paraId="061E6B8F" w14:textId="77777777" w:rsidTr="006F240A">
        <w:trPr>
          <w:trHeight w:val="503"/>
        </w:trPr>
        <w:tc>
          <w:tcPr>
            <w:tcW w:w="14265" w:type="dxa"/>
            <w:gridSpan w:val="5"/>
            <w:tcBorders>
              <w:left w:val="single" w:sz="4" w:space="0" w:color="auto"/>
              <w:bottom w:val="single" w:sz="4" w:space="0" w:color="auto"/>
              <w:right w:val="single" w:sz="4" w:space="0" w:color="auto"/>
            </w:tcBorders>
          </w:tcPr>
          <w:p w14:paraId="4E0DE531" w14:textId="77777777" w:rsidR="0091458E" w:rsidRPr="00C81ACF" w:rsidRDefault="0091458E" w:rsidP="0091458E">
            <w:pPr>
              <w:shd w:val="clear" w:color="auto" w:fill="FFFFFF"/>
              <w:spacing w:line="293" w:lineRule="atLeast"/>
              <w:jc w:val="center"/>
              <w:rPr>
                <w:b/>
              </w:rPr>
            </w:pPr>
            <w:r>
              <w:rPr>
                <w:b/>
              </w:rPr>
              <w:t>Valsts kanceleja</w:t>
            </w:r>
          </w:p>
        </w:tc>
      </w:tr>
      <w:tr w:rsidR="0091458E" w:rsidRPr="00AC04F8" w14:paraId="439AA334" w14:textId="77777777" w:rsidTr="0091458E">
        <w:trPr>
          <w:trHeight w:val="1966"/>
        </w:trPr>
        <w:tc>
          <w:tcPr>
            <w:tcW w:w="769" w:type="dxa"/>
            <w:tcBorders>
              <w:left w:val="single" w:sz="4" w:space="0" w:color="auto"/>
              <w:bottom w:val="single" w:sz="4" w:space="0" w:color="auto"/>
              <w:right w:val="single" w:sz="4" w:space="0" w:color="auto"/>
            </w:tcBorders>
          </w:tcPr>
          <w:p w14:paraId="58110FDC" w14:textId="77777777" w:rsidR="0091458E" w:rsidRDefault="0091458E" w:rsidP="0091458E">
            <w:pPr>
              <w:pStyle w:val="naisnod"/>
              <w:jc w:val="center"/>
              <w:rPr>
                <w:color w:val="000000"/>
              </w:rPr>
            </w:pPr>
            <w:r>
              <w:rPr>
                <w:color w:val="000000"/>
              </w:rPr>
              <w:t>4.</w:t>
            </w:r>
          </w:p>
        </w:tc>
        <w:tc>
          <w:tcPr>
            <w:tcW w:w="2610" w:type="dxa"/>
            <w:tcBorders>
              <w:top w:val="single" w:sz="4" w:space="0" w:color="auto"/>
              <w:left w:val="single" w:sz="4" w:space="0" w:color="auto"/>
              <w:bottom w:val="single" w:sz="4" w:space="0" w:color="auto"/>
              <w:right w:val="single" w:sz="4" w:space="0" w:color="auto"/>
            </w:tcBorders>
          </w:tcPr>
          <w:p w14:paraId="219A4CA1" w14:textId="77777777" w:rsidR="0091458E" w:rsidRDefault="0091458E" w:rsidP="0091458E">
            <w:pPr>
              <w:pStyle w:val="Paraststmeklis"/>
              <w:spacing w:before="0" w:after="0"/>
              <w:ind w:right="13"/>
              <w:jc w:val="both"/>
            </w:pPr>
            <w:r w:rsidRPr="00456725">
              <w:t xml:space="preserve">8.1 Lai saņemtu importa licenci tarifa kvotām, uz kurām attiecas prasība par uzņēmēju iepriekšējo reģistrāciju, persona pirms pieteikšanās importa licencei reģistrējas regulas 2020/760 13. pantā minētajā licenču turētāju reģistrācijas un </w:t>
            </w:r>
            <w:r w:rsidRPr="00456725">
              <w:lastRenderedPageBreak/>
              <w:t>identifikācijas LORI elektroniskajā sistēmā un aizpilda regulas 2020/760 12. pantā minēto neatkarīguma deklarāciju</w:t>
            </w:r>
            <w:r>
              <w:t>.</w:t>
            </w:r>
          </w:p>
        </w:tc>
        <w:tc>
          <w:tcPr>
            <w:tcW w:w="4271" w:type="dxa"/>
            <w:tcBorders>
              <w:top w:val="single" w:sz="4" w:space="0" w:color="auto"/>
              <w:left w:val="single" w:sz="4" w:space="0" w:color="auto"/>
              <w:bottom w:val="single" w:sz="4" w:space="0" w:color="auto"/>
              <w:right w:val="single" w:sz="4" w:space="0" w:color="auto"/>
            </w:tcBorders>
          </w:tcPr>
          <w:p w14:paraId="377A90EF" w14:textId="77777777" w:rsidR="0091458E" w:rsidRPr="00C81ACF" w:rsidRDefault="0091458E" w:rsidP="0091458E">
            <w:pPr>
              <w:jc w:val="both"/>
            </w:pPr>
            <w:r w:rsidRPr="00C81ACF">
              <w:lastRenderedPageBreak/>
              <w:t>Noteikumu projekts paredz noteikt obligātu reģistrēšanos licenču turētāju reģistrācijas un identifikācijas LORI elektroniskajā sistēmā un neatkarīguma deklarācijas iesniegšanu, lai saņemtu importa licences tarifa kvotām. Lūdzam papildināt anotācijas II sadaļu ar informāciju par šīs prasības ietekmi uz mērķgrupu, tai skaita uz administratīvajām izmaksām.</w:t>
            </w:r>
          </w:p>
        </w:tc>
        <w:tc>
          <w:tcPr>
            <w:tcW w:w="3643" w:type="dxa"/>
            <w:tcBorders>
              <w:left w:val="single" w:sz="4" w:space="0" w:color="auto"/>
              <w:bottom w:val="single" w:sz="4" w:space="0" w:color="auto"/>
            </w:tcBorders>
          </w:tcPr>
          <w:p w14:paraId="7416EF7F" w14:textId="77777777" w:rsidR="0091458E" w:rsidRPr="006A6FC1" w:rsidRDefault="0091458E" w:rsidP="0091458E">
            <w:pPr>
              <w:jc w:val="center"/>
              <w:rPr>
                <w:b/>
                <w:iCs/>
              </w:rPr>
            </w:pPr>
            <w:r w:rsidRPr="006A6FC1">
              <w:rPr>
                <w:b/>
                <w:iCs/>
              </w:rPr>
              <w:t>Ņemts vērā.</w:t>
            </w:r>
          </w:p>
          <w:p w14:paraId="6448276F" w14:textId="77C7DBD6" w:rsidR="00ED1873" w:rsidRDefault="0091458E" w:rsidP="0091458E">
            <w:pPr>
              <w:jc w:val="both"/>
            </w:pPr>
            <w:r>
              <w:rPr>
                <w:bCs/>
                <w:iCs/>
              </w:rPr>
              <w:t>Precizēta anotācijas 2. sadaļa</w:t>
            </w:r>
            <w:r w:rsidR="00091DAE">
              <w:rPr>
                <w:bCs/>
                <w:iCs/>
              </w:rPr>
              <w:t>s ailes</w:t>
            </w:r>
            <w:r>
              <w:rPr>
                <w:bCs/>
                <w:iCs/>
              </w:rPr>
              <w:t xml:space="preserve"> </w:t>
            </w:r>
            <w:r w:rsidR="00091DAE">
              <w:rPr>
                <w:bCs/>
                <w:iCs/>
              </w:rPr>
              <w:t>“</w:t>
            </w:r>
            <w:r w:rsidR="00ED1873" w:rsidRPr="00ED1873">
              <w:t>Sabiedrības mērķgrupas, kuras tiesiskais regulējums ietekmē vai varētu ietekmēt</w:t>
            </w:r>
            <w:r w:rsidR="00091DAE">
              <w:t>” un</w:t>
            </w:r>
          </w:p>
          <w:p w14:paraId="1AC93CB8" w14:textId="12E07F0E" w:rsidR="0091458E" w:rsidRDefault="00091DAE" w:rsidP="0091458E">
            <w:pPr>
              <w:jc w:val="both"/>
              <w:rPr>
                <w:bCs/>
                <w:iCs/>
              </w:rPr>
            </w:pPr>
            <w:r>
              <w:rPr>
                <w:bCs/>
                <w:iCs/>
              </w:rPr>
              <w:t>“</w:t>
            </w:r>
            <w:r w:rsidR="0091458E" w:rsidRPr="007B4FB8">
              <w:rPr>
                <w:bCs/>
                <w:iCs/>
              </w:rPr>
              <w:t>Tiesiskā regulējuma ietekm</w:t>
            </w:r>
            <w:r w:rsidR="00492092">
              <w:rPr>
                <w:bCs/>
                <w:iCs/>
              </w:rPr>
              <w:t>e</w:t>
            </w:r>
            <w:r w:rsidR="0091458E" w:rsidRPr="007B4FB8">
              <w:rPr>
                <w:bCs/>
                <w:iCs/>
              </w:rPr>
              <w:t xml:space="preserve"> uz tautsaimniecību un administratīvo slogu</w:t>
            </w:r>
            <w:r>
              <w:rPr>
                <w:bCs/>
                <w:iCs/>
              </w:rPr>
              <w:t>”</w:t>
            </w:r>
            <w:r w:rsidR="0091458E">
              <w:rPr>
                <w:bCs/>
                <w:iCs/>
              </w:rPr>
              <w:t xml:space="preserve">. </w:t>
            </w:r>
          </w:p>
          <w:p w14:paraId="52DA6965" w14:textId="77777777" w:rsidR="0091458E" w:rsidRPr="004D02E3" w:rsidRDefault="0091458E" w:rsidP="00912031">
            <w:pPr>
              <w:jc w:val="both"/>
              <w:rPr>
                <w:b/>
                <w:iCs/>
              </w:rPr>
            </w:pPr>
          </w:p>
        </w:tc>
        <w:tc>
          <w:tcPr>
            <w:tcW w:w="2972" w:type="dxa"/>
            <w:tcBorders>
              <w:bottom w:val="single" w:sz="4" w:space="0" w:color="auto"/>
              <w:right w:val="single" w:sz="4" w:space="0" w:color="auto"/>
            </w:tcBorders>
          </w:tcPr>
          <w:p w14:paraId="709E664D" w14:textId="2876B840" w:rsidR="0091458E" w:rsidRDefault="00ED1873">
            <w:pPr>
              <w:jc w:val="both"/>
            </w:pPr>
            <w:r w:rsidRPr="00ED1873">
              <w:t xml:space="preserve">Mērķgrupa, uz kuru attiecināms projekta tiesiskais regulējums, ir licencēšanas sistēmas piemērošanas nodrošināšanā, administrēšanā un uzturēšanā iesaistītās valsts pārvaldes iestādes (LAD un VID), kā arī komersanti, kas izmantos licences un tarifu kvotas. Mērķgrupas aptuveno lielumu nav iespējams noteikt, jo tas, ievērojot dabiski svārstīgās </w:t>
            </w:r>
            <w:r w:rsidRPr="00ED1873">
              <w:lastRenderedPageBreak/>
              <w:t xml:space="preserve">tendences lauksaimniecības produktu tirgū, ir mainīgs. Attiecībā uz </w:t>
            </w:r>
            <w:r w:rsidRPr="009610A4">
              <w:rPr>
                <w:i/>
              </w:rPr>
              <w:t>LORI</w:t>
            </w:r>
            <w:r w:rsidRPr="00ED1873">
              <w:t xml:space="preserve"> sistēmu, kurā jāreģistrē mājputnu gaļas un ķiploku importētāji, jā</w:t>
            </w:r>
            <w:r w:rsidR="00091DAE">
              <w:t>piebilst</w:t>
            </w:r>
            <w:r w:rsidRPr="00ED1873">
              <w:t>, ka līdz šim LAD ir reģistrējis tikai vienu ķiploku importētāju.</w:t>
            </w:r>
          </w:p>
          <w:p w14:paraId="0CFDE0EE" w14:textId="77777777" w:rsidR="00ED1873" w:rsidRDefault="00ED1873">
            <w:pPr>
              <w:jc w:val="both"/>
            </w:pPr>
          </w:p>
          <w:p w14:paraId="39216DD9" w14:textId="55020D28" w:rsidR="00ED1873" w:rsidRDefault="00ED1873" w:rsidP="00ED1873">
            <w:pPr>
              <w:jc w:val="both"/>
            </w:pPr>
            <w:r w:rsidRPr="009610A4">
              <w:rPr>
                <w:i/>
              </w:rPr>
              <w:t>LORI</w:t>
            </w:r>
            <w:r>
              <w:t xml:space="preserve"> sistēma, kurā importētājiem ir jāreģistrējas un jāaizpilda deklarācija, attiec</w:t>
            </w:r>
            <w:r w:rsidR="00091DAE">
              <w:t>a</w:t>
            </w:r>
            <w:r>
              <w:t>s tikai uz mājputnu gaļas un ķiploku importu no trešajām valstīm. Latvij</w:t>
            </w:r>
            <w:r w:rsidR="00091DAE">
              <w:t>ā</w:t>
            </w:r>
            <w:r>
              <w:t xml:space="preserve"> līdz</w:t>
            </w:r>
            <w:r w:rsidR="00091DAE">
              <w:t xml:space="preserve"> šim</w:t>
            </w:r>
            <w:r>
              <w:t xml:space="preserve"> </w:t>
            </w:r>
            <w:r w:rsidR="00091DAE">
              <w:t xml:space="preserve">no trešajām valstīm </w:t>
            </w:r>
            <w:r>
              <w:t xml:space="preserve">nav </w:t>
            </w:r>
            <w:r w:rsidR="00091DAE">
              <w:t>tikuši</w:t>
            </w:r>
            <w:r>
              <w:t xml:space="preserve"> </w:t>
            </w:r>
            <w:r w:rsidR="00091DAE">
              <w:t xml:space="preserve">importēti </w:t>
            </w:r>
            <w:r>
              <w:t>mājputn</w:t>
            </w:r>
            <w:r w:rsidR="00091DAE">
              <w:t>i</w:t>
            </w:r>
            <w:r>
              <w:t xml:space="preserve">. </w:t>
            </w:r>
            <w:r w:rsidR="00091DAE">
              <w:t>Ir r</w:t>
            </w:r>
            <w:r>
              <w:t xml:space="preserve">eģistrēts tikai viens uzņēmējs, kas bija pieteicis ķiploku importu no Ķīnas. Latvija no trešajām valstīm importē citas produktu grupas, kurām </w:t>
            </w:r>
            <w:r w:rsidR="00091DAE">
              <w:t xml:space="preserve">nav nepieciešama </w:t>
            </w:r>
            <w:r>
              <w:t xml:space="preserve">reģistrācija </w:t>
            </w:r>
            <w:r w:rsidRPr="009610A4">
              <w:rPr>
                <w:i/>
              </w:rPr>
              <w:t>LORI</w:t>
            </w:r>
            <w:r>
              <w:t xml:space="preserve"> sistēmā. </w:t>
            </w:r>
          </w:p>
          <w:p w14:paraId="200A3B88" w14:textId="4ABFA168" w:rsidR="00ED1873" w:rsidRDefault="00ED1873" w:rsidP="00ED1873">
            <w:pPr>
              <w:jc w:val="both"/>
            </w:pPr>
            <w:r>
              <w:t>Noteikumu projekta tiesiskais regulējums neradīs papildu administratīvo slogu. Mērķgrupai, k</w:t>
            </w:r>
            <w:r w:rsidR="00091DAE">
              <w:t>o</w:t>
            </w:r>
            <w:r>
              <w:t xml:space="preserve"> veido juridiskas personas, administratīvās izmaksas gada laikā nesasniedz 2000 </w:t>
            </w:r>
            <w:proofErr w:type="spellStart"/>
            <w:r w:rsidRPr="009610A4">
              <w:rPr>
                <w:i/>
              </w:rPr>
              <w:t>euro</w:t>
            </w:r>
            <w:proofErr w:type="spellEnd"/>
            <w:r>
              <w:t>.</w:t>
            </w:r>
          </w:p>
        </w:tc>
      </w:tr>
      <w:tr w:rsidR="0091458E" w:rsidRPr="00AC04F8" w14:paraId="0D1B53C6" w14:textId="77777777" w:rsidTr="0091458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2972" w:type="dxa"/>
          <w:tblCellSpacing w:w="0" w:type="dxa"/>
        </w:trPr>
        <w:tc>
          <w:tcPr>
            <w:tcW w:w="7650" w:type="dxa"/>
            <w:gridSpan w:val="3"/>
            <w:tcBorders>
              <w:top w:val="single" w:sz="4" w:space="0" w:color="auto"/>
              <w:left w:val="nil"/>
              <w:bottom w:val="nil"/>
              <w:right w:val="nil"/>
            </w:tcBorders>
            <w:vAlign w:val="center"/>
          </w:tcPr>
          <w:p w14:paraId="1E73D0B8" w14:textId="77777777" w:rsidR="0091458E" w:rsidRPr="00AC04F8" w:rsidRDefault="0091458E" w:rsidP="0091458E">
            <w:pPr>
              <w:pStyle w:val="naiskr"/>
              <w:spacing w:before="0" w:beforeAutospacing="0" w:after="0" w:afterAutospacing="0"/>
              <w:rPr>
                <w:color w:val="000000"/>
              </w:rPr>
            </w:pPr>
            <w:r w:rsidRPr="00AC04F8">
              <w:rPr>
                <w:color w:val="000000"/>
              </w:rPr>
              <w:lastRenderedPageBreak/>
              <w:t> Atbildīgā amatpersona</w:t>
            </w:r>
          </w:p>
        </w:tc>
        <w:tc>
          <w:tcPr>
            <w:tcW w:w="3643" w:type="dxa"/>
            <w:tcBorders>
              <w:top w:val="single" w:sz="4" w:space="0" w:color="auto"/>
              <w:left w:val="nil"/>
              <w:bottom w:val="nil"/>
              <w:right w:val="nil"/>
            </w:tcBorders>
            <w:vAlign w:val="center"/>
          </w:tcPr>
          <w:p w14:paraId="5C1AD99D" w14:textId="77777777" w:rsidR="0091458E" w:rsidRPr="00AC04F8" w:rsidRDefault="0091458E" w:rsidP="0091458E">
            <w:pPr>
              <w:pStyle w:val="naisf"/>
              <w:spacing w:before="0" w:beforeAutospacing="0" w:after="0" w:afterAutospacing="0"/>
              <w:rPr>
                <w:color w:val="000000"/>
              </w:rPr>
            </w:pPr>
            <w:r w:rsidRPr="00AC04F8">
              <w:rPr>
                <w:color w:val="000000"/>
              </w:rPr>
              <w:t>  </w:t>
            </w:r>
          </w:p>
        </w:tc>
      </w:tr>
      <w:tr w:rsidR="0091458E" w:rsidRPr="00AC04F8" w14:paraId="655D49E1" w14:textId="77777777" w:rsidTr="0091458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2972" w:type="dxa"/>
          <w:tblCellSpacing w:w="0" w:type="dxa"/>
        </w:trPr>
        <w:tc>
          <w:tcPr>
            <w:tcW w:w="7650" w:type="dxa"/>
            <w:gridSpan w:val="3"/>
            <w:tcBorders>
              <w:top w:val="nil"/>
              <w:left w:val="nil"/>
              <w:bottom w:val="nil"/>
              <w:right w:val="nil"/>
            </w:tcBorders>
            <w:vAlign w:val="center"/>
          </w:tcPr>
          <w:p w14:paraId="6C699072" w14:textId="77777777" w:rsidR="0091458E" w:rsidRPr="00AC04F8" w:rsidRDefault="0091458E" w:rsidP="0091458E">
            <w:pPr>
              <w:pStyle w:val="naiskr"/>
              <w:spacing w:before="0" w:beforeAutospacing="0" w:after="0" w:afterAutospacing="0"/>
              <w:rPr>
                <w:color w:val="000000"/>
              </w:rPr>
            </w:pPr>
            <w:r w:rsidRPr="00AC04F8">
              <w:rPr>
                <w:color w:val="000000"/>
              </w:rPr>
              <w:t> </w:t>
            </w:r>
          </w:p>
        </w:tc>
        <w:tc>
          <w:tcPr>
            <w:tcW w:w="3643" w:type="dxa"/>
            <w:tcBorders>
              <w:top w:val="single" w:sz="8" w:space="0" w:color="000000"/>
              <w:left w:val="nil"/>
              <w:bottom w:val="nil"/>
              <w:right w:val="nil"/>
            </w:tcBorders>
            <w:vAlign w:val="center"/>
          </w:tcPr>
          <w:p w14:paraId="28D74420" w14:textId="77777777" w:rsidR="0091458E" w:rsidRPr="00AC04F8" w:rsidRDefault="0091458E" w:rsidP="0091458E">
            <w:pPr>
              <w:pStyle w:val="naisf"/>
              <w:spacing w:before="0" w:beforeAutospacing="0" w:after="0" w:afterAutospacing="0"/>
              <w:rPr>
                <w:color w:val="000000"/>
              </w:rPr>
            </w:pPr>
            <w:r w:rsidRPr="00AC04F8">
              <w:rPr>
                <w:color w:val="000000"/>
              </w:rPr>
              <w:t>(paraksts)* </w:t>
            </w:r>
          </w:p>
        </w:tc>
      </w:tr>
    </w:tbl>
    <w:p w14:paraId="46E816CD" w14:textId="77777777" w:rsidR="005F740D" w:rsidRPr="00AC04F8" w:rsidRDefault="005F740D" w:rsidP="005F740D">
      <w:pPr>
        <w:pStyle w:val="naisf"/>
        <w:rPr>
          <w:color w:val="000000"/>
        </w:rPr>
      </w:pPr>
      <w:r w:rsidRPr="00AC04F8">
        <w:rPr>
          <w:color w:val="000000"/>
        </w:rPr>
        <w:t> Piezīme. * Dokumenta rekvizītu "paraksts" neaizpilda, ja elektroniskais dokuments ir sagatavots atbilstoši normatīvajiem aktiem par elektronisko dokumentu noformēšanu.</w:t>
      </w:r>
    </w:p>
    <w:p w14:paraId="50BF9D0C" w14:textId="77777777" w:rsidR="005F740D" w:rsidRPr="00AC04F8" w:rsidRDefault="005F740D" w:rsidP="006D0875">
      <w:pPr>
        <w:pStyle w:val="naisf"/>
        <w:rPr>
          <w:color w:val="000000"/>
        </w:rPr>
      </w:pPr>
      <w:r w:rsidRPr="00AC04F8">
        <w:rPr>
          <w:color w:val="000000"/>
        </w:rPr>
        <w:lastRenderedPageBreak/>
        <w:t> </w:t>
      </w:r>
      <w:r w:rsidR="0014653F">
        <w:rPr>
          <w:color w:val="000000"/>
        </w:rPr>
        <w:t>Marija Dobele</w:t>
      </w:r>
    </w:p>
    <w:tbl>
      <w:tblPr>
        <w:tblW w:w="0" w:type="auto"/>
        <w:tblCellSpacing w:w="0" w:type="dxa"/>
        <w:tblCellMar>
          <w:left w:w="0" w:type="dxa"/>
          <w:right w:w="0" w:type="dxa"/>
        </w:tblCellMar>
        <w:tblLook w:val="0000" w:firstRow="0" w:lastRow="0" w:firstColumn="0" w:lastColumn="0" w:noHBand="0" w:noVBand="0"/>
      </w:tblPr>
      <w:tblGrid>
        <w:gridCol w:w="8265"/>
      </w:tblGrid>
      <w:tr w:rsidR="005F740D" w:rsidRPr="00AC04F8" w14:paraId="203A3D1A" w14:textId="77777777" w:rsidTr="005F740D">
        <w:trPr>
          <w:tblCellSpacing w:w="0" w:type="dxa"/>
        </w:trPr>
        <w:tc>
          <w:tcPr>
            <w:tcW w:w="8265" w:type="dxa"/>
            <w:tcBorders>
              <w:top w:val="single" w:sz="8" w:space="0" w:color="000000"/>
              <w:left w:val="nil"/>
              <w:bottom w:val="nil"/>
              <w:right w:val="nil"/>
            </w:tcBorders>
          </w:tcPr>
          <w:p w14:paraId="61F8C8BF" w14:textId="77777777" w:rsidR="006D0875" w:rsidRPr="00AC04F8" w:rsidRDefault="005F740D" w:rsidP="006D0875">
            <w:pPr>
              <w:pStyle w:val="naisc"/>
              <w:spacing w:before="0" w:beforeAutospacing="0" w:after="120" w:afterAutospacing="0"/>
              <w:rPr>
                <w:i/>
                <w:color w:val="000000"/>
              </w:rPr>
            </w:pPr>
            <w:r w:rsidRPr="00AC04F8">
              <w:rPr>
                <w:i/>
                <w:color w:val="000000"/>
              </w:rPr>
              <w:t>(par projektu atbildīgās amatpersonas vārds un uzvārds)</w:t>
            </w:r>
          </w:p>
        </w:tc>
      </w:tr>
      <w:tr w:rsidR="005F740D" w:rsidRPr="00AC04F8" w14:paraId="389854BE" w14:textId="77777777" w:rsidTr="005F740D">
        <w:trPr>
          <w:tblCellSpacing w:w="0" w:type="dxa"/>
        </w:trPr>
        <w:tc>
          <w:tcPr>
            <w:tcW w:w="8265" w:type="dxa"/>
            <w:tcBorders>
              <w:top w:val="nil"/>
              <w:left w:val="nil"/>
              <w:bottom w:val="single" w:sz="8" w:space="0" w:color="000000"/>
              <w:right w:val="nil"/>
            </w:tcBorders>
          </w:tcPr>
          <w:p w14:paraId="7546CFA1" w14:textId="77777777" w:rsidR="005F740D" w:rsidRPr="00AC04F8" w:rsidRDefault="005E79C6" w:rsidP="00617CFF">
            <w:pPr>
              <w:pStyle w:val="naisf"/>
              <w:rPr>
                <w:color w:val="000000"/>
              </w:rPr>
            </w:pPr>
            <w:r w:rsidRPr="00AC04F8">
              <w:rPr>
                <w:color w:val="000000"/>
              </w:rPr>
              <w:t>Tirgus un tiešā atbalsta departamenta</w:t>
            </w:r>
            <w:r w:rsidR="00843930" w:rsidRPr="00AC04F8">
              <w:rPr>
                <w:color w:val="000000"/>
              </w:rPr>
              <w:t xml:space="preserve"> </w:t>
            </w:r>
            <w:r w:rsidRPr="00AC04F8">
              <w:rPr>
                <w:color w:val="000000"/>
              </w:rPr>
              <w:t>Tirgus kopējās organizācijas nodaļ</w:t>
            </w:r>
            <w:r w:rsidR="003532EF" w:rsidRPr="00AC04F8">
              <w:rPr>
                <w:color w:val="000000"/>
              </w:rPr>
              <w:t>a</w:t>
            </w:r>
            <w:r w:rsidRPr="00AC04F8">
              <w:rPr>
                <w:color w:val="000000"/>
              </w:rPr>
              <w:t xml:space="preserve">s </w:t>
            </w:r>
            <w:r w:rsidR="00617CFF">
              <w:rPr>
                <w:color w:val="000000"/>
              </w:rPr>
              <w:t>vecākā referente</w:t>
            </w:r>
          </w:p>
        </w:tc>
      </w:tr>
      <w:tr w:rsidR="005F740D" w:rsidRPr="00AC04F8" w14:paraId="29239A30" w14:textId="77777777" w:rsidTr="005F740D">
        <w:trPr>
          <w:tblCellSpacing w:w="0" w:type="dxa"/>
        </w:trPr>
        <w:tc>
          <w:tcPr>
            <w:tcW w:w="0" w:type="auto"/>
            <w:tcBorders>
              <w:top w:val="nil"/>
              <w:left w:val="nil"/>
              <w:bottom w:val="nil"/>
              <w:right w:val="nil"/>
            </w:tcBorders>
            <w:vAlign w:val="center"/>
          </w:tcPr>
          <w:p w14:paraId="46F7BD3D" w14:textId="77777777" w:rsidR="005F740D" w:rsidRPr="00AC04F8" w:rsidRDefault="005F740D" w:rsidP="006D0875">
            <w:pPr>
              <w:pStyle w:val="naisc"/>
              <w:spacing w:before="0" w:beforeAutospacing="0" w:after="120" w:afterAutospacing="0"/>
              <w:rPr>
                <w:i/>
                <w:color w:val="000000"/>
              </w:rPr>
            </w:pPr>
            <w:r w:rsidRPr="00AC04F8">
              <w:rPr>
                <w:i/>
                <w:color w:val="000000"/>
              </w:rPr>
              <w:t>(amats)</w:t>
            </w:r>
          </w:p>
        </w:tc>
      </w:tr>
      <w:tr w:rsidR="005F740D" w:rsidRPr="00AC04F8" w14:paraId="6514F092" w14:textId="77777777" w:rsidTr="005F740D">
        <w:trPr>
          <w:tblCellSpacing w:w="0" w:type="dxa"/>
        </w:trPr>
        <w:tc>
          <w:tcPr>
            <w:tcW w:w="0" w:type="auto"/>
            <w:tcBorders>
              <w:top w:val="nil"/>
              <w:left w:val="nil"/>
              <w:bottom w:val="single" w:sz="8" w:space="0" w:color="000000"/>
              <w:right w:val="nil"/>
            </w:tcBorders>
            <w:vAlign w:val="center"/>
          </w:tcPr>
          <w:p w14:paraId="55DEF2C9" w14:textId="77777777" w:rsidR="005F740D" w:rsidRPr="0014653F" w:rsidRDefault="005F740D" w:rsidP="00C166A5">
            <w:pPr>
              <w:pStyle w:val="naisf"/>
              <w:rPr>
                <w:color w:val="000000"/>
              </w:rPr>
            </w:pPr>
            <w:r w:rsidRPr="0014653F">
              <w:rPr>
                <w:color w:val="000000"/>
              </w:rPr>
              <w:t> </w:t>
            </w:r>
            <w:r w:rsidR="00C166A5" w:rsidRPr="0014653F">
              <w:rPr>
                <w:iCs/>
              </w:rPr>
              <w:t>67027</w:t>
            </w:r>
            <w:r w:rsidR="0014653F" w:rsidRPr="0014653F">
              <w:rPr>
                <w:iCs/>
              </w:rPr>
              <w:t>325</w:t>
            </w:r>
          </w:p>
        </w:tc>
      </w:tr>
      <w:tr w:rsidR="005F740D" w:rsidRPr="00AC04F8" w14:paraId="0130C99B" w14:textId="77777777" w:rsidTr="005F740D">
        <w:trPr>
          <w:tblCellSpacing w:w="0" w:type="dxa"/>
        </w:trPr>
        <w:tc>
          <w:tcPr>
            <w:tcW w:w="0" w:type="auto"/>
            <w:tcBorders>
              <w:top w:val="nil"/>
              <w:left w:val="nil"/>
              <w:bottom w:val="nil"/>
              <w:right w:val="nil"/>
            </w:tcBorders>
            <w:vAlign w:val="center"/>
          </w:tcPr>
          <w:p w14:paraId="6F5DEBED" w14:textId="77777777" w:rsidR="005F740D" w:rsidRPr="00AC04F8" w:rsidRDefault="005F740D" w:rsidP="006D0875">
            <w:pPr>
              <w:pStyle w:val="naisc"/>
              <w:spacing w:before="0" w:beforeAutospacing="0" w:after="120" w:afterAutospacing="0"/>
              <w:rPr>
                <w:i/>
                <w:color w:val="000000"/>
              </w:rPr>
            </w:pPr>
            <w:r w:rsidRPr="00AC04F8">
              <w:rPr>
                <w:i/>
                <w:color w:val="000000"/>
              </w:rPr>
              <w:t>(tālruņa un faksa numurs)</w:t>
            </w:r>
          </w:p>
        </w:tc>
      </w:tr>
      <w:tr w:rsidR="005F740D" w:rsidRPr="00AC04F8" w14:paraId="3421FCD6" w14:textId="77777777" w:rsidTr="005F740D">
        <w:trPr>
          <w:tblCellSpacing w:w="0" w:type="dxa"/>
        </w:trPr>
        <w:tc>
          <w:tcPr>
            <w:tcW w:w="0" w:type="auto"/>
            <w:tcBorders>
              <w:top w:val="nil"/>
              <w:left w:val="nil"/>
              <w:bottom w:val="single" w:sz="8" w:space="0" w:color="000000"/>
              <w:right w:val="nil"/>
            </w:tcBorders>
            <w:vAlign w:val="center"/>
          </w:tcPr>
          <w:p w14:paraId="47B2DF01" w14:textId="77777777" w:rsidR="005F740D" w:rsidRPr="00AC04F8" w:rsidRDefault="005F740D" w:rsidP="00C166A5">
            <w:pPr>
              <w:pStyle w:val="naisf"/>
              <w:rPr>
                <w:color w:val="000000"/>
              </w:rPr>
            </w:pPr>
            <w:r w:rsidRPr="00AC04F8">
              <w:rPr>
                <w:color w:val="000000"/>
              </w:rPr>
              <w:t> </w:t>
            </w:r>
            <w:r w:rsidR="0014653F">
              <w:rPr>
                <w:color w:val="000000"/>
              </w:rPr>
              <w:t>Marija.Dobele</w:t>
            </w:r>
            <w:r w:rsidR="005E79C6" w:rsidRPr="00AC04F8">
              <w:rPr>
                <w:color w:val="000000"/>
              </w:rPr>
              <w:t>@zm.gov.lv</w:t>
            </w:r>
          </w:p>
        </w:tc>
      </w:tr>
      <w:tr w:rsidR="005F740D" w:rsidRPr="00AC04F8" w14:paraId="2D091836" w14:textId="77777777" w:rsidTr="005F740D">
        <w:trPr>
          <w:tblCellSpacing w:w="0" w:type="dxa"/>
        </w:trPr>
        <w:tc>
          <w:tcPr>
            <w:tcW w:w="0" w:type="auto"/>
            <w:tcBorders>
              <w:top w:val="nil"/>
              <w:left w:val="nil"/>
              <w:bottom w:val="nil"/>
              <w:right w:val="nil"/>
            </w:tcBorders>
            <w:vAlign w:val="center"/>
          </w:tcPr>
          <w:p w14:paraId="16ED6A06" w14:textId="77777777" w:rsidR="005F740D" w:rsidRPr="00AC04F8" w:rsidRDefault="005F740D">
            <w:pPr>
              <w:pStyle w:val="naisc"/>
              <w:rPr>
                <w:i/>
                <w:color w:val="000000"/>
              </w:rPr>
            </w:pPr>
            <w:r w:rsidRPr="00AC04F8">
              <w:rPr>
                <w:i/>
                <w:color w:val="000000"/>
              </w:rPr>
              <w:t>(e-pasta adrese)</w:t>
            </w:r>
          </w:p>
        </w:tc>
      </w:tr>
    </w:tbl>
    <w:p w14:paraId="50F293A7" w14:textId="77777777" w:rsidR="008145A3" w:rsidRPr="00AC04F8" w:rsidRDefault="008145A3" w:rsidP="001622D4">
      <w:pPr>
        <w:pStyle w:val="naiskr"/>
        <w:rPr>
          <w:color w:val="000000"/>
        </w:rPr>
      </w:pPr>
      <w:bookmarkStart w:id="0" w:name="_GoBack"/>
      <w:bookmarkEnd w:id="0"/>
    </w:p>
    <w:sectPr w:rsidR="008145A3" w:rsidRPr="00AC04F8" w:rsidSect="00E75B82">
      <w:headerReference w:type="default" r:id="rId9"/>
      <w:footerReference w:type="even" r:id="rId10"/>
      <w:footerReference w:type="default" r:id="rId11"/>
      <w:footerReference w:type="first" r:id="rId12"/>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7BBD5" w14:textId="77777777" w:rsidR="002D060F" w:rsidRDefault="002D060F">
      <w:r>
        <w:separator/>
      </w:r>
    </w:p>
  </w:endnote>
  <w:endnote w:type="continuationSeparator" w:id="0">
    <w:p w14:paraId="53585DF5" w14:textId="77777777" w:rsidR="002D060F" w:rsidRDefault="002D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00DD7" w14:textId="77777777" w:rsidR="009C3E0F" w:rsidRDefault="009C3E0F" w:rsidP="00EC29C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85FAE66" w14:textId="77777777" w:rsidR="009C3E0F" w:rsidRDefault="009C3E0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1F689" w14:textId="77777777" w:rsidR="009C3E0F" w:rsidRDefault="009C3E0F" w:rsidP="00EC29C5">
    <w:pPr>
      <w:pStyle w:val="Kjene"/>
      <w:framePr w:wrap="around" w:vAnchor="text" w:hAnchor="margin" w:xAlign="center" w:y="1"/>
      <w:rPr>
        <w:rStyle w:val="Lappusesnumurs"/>
      </w:rPr>
    </w:pPr>
  </w:p>
  <w:p w14:paraId="4B7BE513" w14:textId="115F954A" w:rsidR="009C3E0F" w:rsidRPr="00747C9A" w:rsidRDefault="000D0701" w:rsidP="000D0701">
    <w:pPr>
      <w:pStyle w:val="Kjene"/>
      <w:rPr>
        <w:sz w:val="20"/>
        <w:szCs w:val="20"/>
        <w:lang w:val="lv-LV"/>
      </w:rPr>
    </w:pPr>
    <w:r w:rsidRPr="000D0701">
      <w:rPr>
        <w:sz w:val="20"/>
        <w:szCs w:val="20"/>
        <w:lang w:val="lv-LV"/>
      </w:rPr>
      <w:t>ZMizz_241120_trq</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EFBB0" w14:textId="6ABAADB4" w:rsidR="009C3E0F" w:rsidRPr="000D0701" w:rsidRDefault="000D0701" w:rsidP="000D0701">
    <w:pPr>
      <w:pStyle w:val="Kjene"/>
    </w:pPr>
    <w:r w:rsidRPr="000D0701">
      <w:rPr>
        <w:sz w:val="20"/>
        <w:szCs w:val="20"/>
        <w:lang w:val="lv-LV"/>
      </w:rPr>
      <w:t>ZMizz_241120_trq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39EE0" w14:textId="77777777" w:rsidR="002D060F" w:rsidRDefault="002D060F">
      <w:r>
        <w:separator/>
      </w:r>
    </w:p>
  </w:footnote>
  <w:footnote w:type="continuationSeparator" w:id="0">
    <w:p w14:paraId="65E44418" w14:textId="77777777" w:rsidR="002D060F" w:rsidRDefault="002D0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F4429" w14:textId="77777777" w:rsidR="009C3E0F" w:rsidRDefault="009C3E0F">
    <w:pPr>
      <w:pStyle w:val="Galvene"/>
      <w:jc w:val="center"/>
    </w:pPr>
    <w:r>
      <w:fldChar w:fldCharType="begin"/>
    </w:r>
    <w:r>
      <w:instrText xml:space="preserve"> PAGE   \* MERGEFORMAT </w:instrText>
    </w:r>
    <w:r>
      <w:fldChar w:fldCharType="separate"/>
    </w:r>
    <w:r w:rsidR="00746322">
      <w:rPr>
        <w:noProof/>
      </w:rPr>
      <w:t>9</w:t>
    </w:r>
    <w:r>
      <w:fldChar w:fldCharType="end"/>
    </w:r>
  </w:p>
  <w:p w14:paraId="3DE6C65D" w14:textId="77777777" w:rsidR="009C3E0F" w:rsidRDefault="009C3E0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4CB5"/>
    <w:multiLevelType w:val="hybridMultilevel"/>
    <w:tmpl w:val="617093F8"/>
    <w:lvl w:ilvl="0" w:tplc="A76A0C18">
      <w:start w:val="1"/>
      <w:numFmt w:val="decimal"/>
      <w:pStyle w:val="Texts"/>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45924"/>
    <w:multiLevelType w:val="hybridMultilevel"/>
    <w:tmpl w:val="2B84D27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1">
    <w:nsid w:val="0955333A"/>
    <w:multiLevelType w:val="hybridMultilevel"/>
    <w:tmpl w:val="EED88604"/>
    <w:lvl w:ilvl="0" w:tplc="5CF0F98C">
      <w:start w:val="1"/>
      <w:numFmt w:val="decimal"/>
      <w:lvlText w:val="%1)"/>
      <w:lvlJc w:val="left"/>
      <w:pPr>
        <w:ind w:left="720" w:hanging="360"/>
      </w:pPr>
      <w:rPr>
        <w:rFonts w:hint="default"/>
      </w:rPr>
    </w:lvl>
    <w:lvl w:ilvl="1" w:tplc="2474CB3C" w:tentative="1">
      <w:start w:val="1"/>
      <w:numFmt w:val="lowerLetter"/>
      <w:lvlText w:val="%2."/>
      <w:lvlJc w:val="left"/>
      <w:pPr>
        <w:ind w:left="1440" w:hanging="360"/>
      </w:pPr>
    </w:lvl>
    <w:lvl w:ilvl="2" w:tplc="456CC1BE" w:tentative="1">
      <w:start w:val="1"/>
      <w:numFmt w:val="lowerRoman"/>
      <w:lvlText w:val="%3."/>
      <w:lvlJc w:val="right"/>
      <w:pPr>
        <w:ind w:left="2160" w:hanging="180"/>
      </w:pPr>
    </w:lvl>
    <w:lvl w:ilvl="3" w:tplc="20BE6E00" w:tentative="1">
      <w:start w:val="1"/>
      <w:numFmt w:val="decimal"/>
      <w:lvlText w:val="%4."/>
      <w:lvlJc w:val="left"/>
      <w:pPr>
        <w:ind w:left="2880" w:hanging="360"/>
      </w:pPr>
    </w:lvl>
    <w:lvl w:ilvl="4" w:tplc="8EE8DD9A" w:tentative="1">
      <w:start w:val="1"/>
      <w:numFmt w:val="lowerLetter"/>
      <w:lvlText w:val="%5."/>
      <w:lvlJc w:val="left"/>
      <w:pPr>
        <w:ind w:left="3600" w:hanging="360"/>
      </w:pPr>
    </w:lvl>
    <w:lvl w:ilvl="5" w:tplc="0CDE0772" w:tentative="1">
      <w:start w:val="1"/>
      <w:numFmt w:val="lowerRoman"/>
      <w:lvlText w:val="%6."/>
      <w:lvlJc w:val="right"/>
      <w:pPr>
        <w:ind w:left="4320" w:hanging="180"/>
      </w:pPr>
    </w:lvl>
    <w:lvl w:ilvl="6" w:tplc="E5B4B820" w:tentative="1">
      <w:start w:val="1"/>
      <w:numFmt w:val="decimal"/>
      <w:lvlText w:val="%7."/>
      <w:lvlJc w:val="left"/>
      <w:pPr>
        <w:ind w:left="5040" w:hanging="360"/>
      </w:pPr>
    </w:lvl>
    <w:lvl w:ilvl="7" w:tplc="2132C5AA" w:tentative="1">
      <w:start w:val="1"/>
      <w:numFmt w:val="lowerLetter"/>
      <w:lvlText w:val="%8."/>
      <w:lvlJc w:val="left"/>
      <w:pPr>
        <w:ind w:left="5760" w:hanging="360"/>
      </w:pPr>
    </w:lvl>
    <w:lvl w:ilvl="8" w:tplc="8D7A12C0" w:tentative="1">
      <w:start w:val="1"/>
      <w:numFmt w:val="lowerRoman"/>
      <w:lvlText w:val="%9."/>
      <w:lvlJc w:val="right"/>
      <w:pPr>
        <w:ind w:left="6480" w:hanging="180"/>
      </w:pPr>
    </w:lvl>
  </w:abstractNum>
  <w:abstractNum w:abstractNumId="4" w15:restartNumberingAfterBreak="0">
    <w:nsid w:val="0A1D2A07"/>
    <w:multiLevelType w:val="hybridMultilevel"/>
    <w:tmpl w:val="654A53BE"/>
    <w:lvl w:ilvl="0" w:tplc="6E24BF98">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0BD101A2"/>
    <w:multiLevelType w:val="hybridMultilevel"/>
    <w:tmpl w:val="654A53BE"/>
    <w:lvl w:ilvl="0" w:tplc="6E24BF98">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0CB35B6C"/>
    <w:multiLevelType w:val="hybridMultilevel"/>
    <w:tmpl w:val="F5BE26C8"/>
    <w:lvl w:ilvl="0" w:tplc="691CB9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9E57C7"/>
    <w:multiLevelType w:val="hybridMultilevel"/>
    <w:tmpl w:val="A1BC1738"/>
    <w:lvl w:ilvl="0" w:tplc="0C322C3A">
      <w:start w:val="1"/>
      <w:numFmt w:val="decimal"/>
      <w:lvlText w:val="%1."/>
      <w:lvlJc w:val="left"/>
      <w:pPr>
        <w:ind w:left="1211" w:hanging="360"/>
      </w:pPr>
      <w:rPr>
        <w:b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9" w15:restartNumberingAfterBreak="0">
    <w:nsid w:val="1A415D41"/>
    <w:multiLevelType w:val="hybridMultilevel"/>
    <w:tmpl w:val="4AA885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ACE1170"/>
    <w:multiLevelType w:val="hybridMultilevel"/>
    <w:tmpl w:val="3EB2C5C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1D417D71"/>
    <w:multiLevelType w:val="hybridMultilevel"/>
    <w:tmpl w:val="7972822C"/>
    <w:lvl w:ilvl="0" w:tplc="353481EA">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1090B53"/>
    <w:multiLevelType w:val="multilevel"/>
    <w:tmpl w:val="09403A46"/>
    <w:lvl w:ilvl="0">
      <w:start w:val="1"/>
      <w:numFmt w:val="decimal"/>
      <w:lvlText w:val="%1."/>
      <w:lvlJc w:val="left"/>
      <w:pPr>
        <w:ind w:left="1353" w:hanging="360"/>
      </w:pPr>
      <w:rPr>
        <w:b w:val="0"/>
      </w:rPr>
    </w:lvl>
    <w:lvl w:ilvl="1">
      <w:start w:val="1"/>
      <w:numFmt w:val="decimal"/>
      <w:isLgl/>
      <w:lvlText w:val="%1.%2."/>
      <w:lvlJc w:val="left"/>
      <w:pPr>
        <w:ind w:left="1353" w:hanging="360"/>
      </w:pPr>
    </w:lvl>
    <w:lvl w:ilvl="2">
      <w:start w:val="1"/>
      <w:numFmt w:val="decimal"/>
      <w:isLgl/>
      <w:lvlText w:val="%1.%2.%3."/>
      <w:lvlJc w:val="left"/>
      <w:pPr>
        <w:ind w:left="1855" w:hanging="720"/>
      </w:pPr>
    </w:lvl>
    <w:lvl w:ilvl="3">
      <w:start w:val="1"/>
      <w:numFmt w:val="decimal"/>
      <w:isLgl/>
      <w:lvlText w:val="%1.%2.%3.%4."/>
      <w:lvlJc w:val="left"/>
      <w:pPr>
        <w:ind w:left="1855" w:hanging="720"/>
      </w:pPr>
    </w:lvl>
    <w:lvl w:ilvl="4">
      <w:start w:val="1"/>
      <w:numFmt w:val="decimal"/>
      <w:isLgl/>
      <w:lvlText w:val="%1.%2.%3.%4.%5."/>
      <w:lvlJc w:val="left"/>
      <w:pPr>
        <w:ind w:left="2215" w:hanging="1080"/>
      </w:pPr>
    </w:lvl>
    <w:lvl w:ilvl="5">
      <w:start w:val="1"/>
      <w:numFmt w:val="decimal"/>
      <w:isLgl/>
      <w:lvlText w:val="%1.%2.%3.%4.%5.%6."/>
      <w:lvlJc w:val="left"/>
      <w:pPr>
        <w:ind w:left="2215" w:hanging="1080"/>
      </w:pPr>
    </w:lvl>
    <w:lvl w:ilvl="6">
      <w:start w:val="1"/>
      <w:numFmt w:val="decimal"/>
      <w:isLgl/>
      <w:lvlText w:val="%1.%2.%3.%4.%5.%6.%7."/>
      <w:lvlJc w:val="left"/>
      <w:pPr>
        <w:ind w:left="2575" w:hanging="1440"/>
      </w:pPr>
    </w:lvl>
    <w:lvl w:ilvl="7">
      <w:start w:val="1"/>
      <w:numFmt w:val="decimal"/>
      <w:isLgl/>
      <w:lvlText w:val="%1.%2.%3.%4.%5.%6.%7.%8."/>
      <w:lvlJc w:val="left"/>
      <w:pPr>
        <w:ind w:left="2575" w:hanging="1440"/>
      </w:pPr>
    </w:lvl>
    <w:lvl w:ilvl="8">
      <w:start w:val="1"/>
      <w:numFmt w:val="decimal"/>
      <w:isLgl/>
      <w:lvlText w:val="%1.%2.%3.%4.%5.%6.%7.%8.%9."/>
      <w:lvlJc w:val="left"/>
      <w:pPr>
        <w:ind w:left="2935" w:hanging="1800"/>
      </w:pPr>
    </w:lvl>
  </w:abstractNum>
  <w:abstractNum w:abstractNumId="13" w15:restartNumberingAfterBreak="0">
    <w:nsid w:val="21601B6B"/>
    <w:multiLevelType w:val="hybridMultilevel"/>
    <w:tmpl w:val="CC00CFE8"/>
    <w:lvl w:ilvl="0" w:tplc="6882CECE">
      <w:start w:val="1"/>
      <w:numFmt w:val="decimal"/>
      <w:lvlText w:val="%1."/>
      <w:lvlJc w:val="left"/>
      <w:pPr>
        <w:ind w:left="1229" w:hanging="94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23744E90"/>
    <w:multiLevelType w:val="hybridMultilevel"/>
    <w:tmpl w:val="2F68104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15:restartNumberingAfterBreak="0">
    <w:nsid w:val="26C75677"/>
    <w:multiLevelType w:val="multilevel"/>
    <w:tmpl w:val="09403A46"/>
    <w:lvl w:ilvl="0">
      <w:start w:val="1"/>
      <w:numFmt w:val="decimal"/>
      <w:lvlText w:val="%1."/>
      <w:lvlJc w:val="left"/>
      <w:pPr>
        <w:ind w:left="1353" w:hanging="360"/>
      </w:pPr>
      <w:rPr>
        <w:b w:val="0"/>
      </w:rPr>
    </w:lvl>
    <w:lvl w:ilvl="1">
      <w:start w:val="1"/>
      <w:numFmt w:val="decimal"/>
      <w:isLgl/>
      <w:lvlText w:val="%1.%2."/>
      <w:lvlJc w:val="left"/>
      <w:pPr>
        <w:ind w:left="1353" w:hanging="360"/>
      </w:pPr>
    </w:lvl>
    <w:lvl w:ilvl="2">
      <w:start w:val="1"/>
      <w:numFmt w:val="decimal"/>
      <w:isLgl/>
      <w:lvlText w:val="%1.%2.%3."/>
      <w:lvlJc w:val="left"/>
      <w:pPr>
        <w:ind w:left="1855" w:hanging="720"/>
      </w:pPr>
    </w:lvl>
    <w:lvl w:ilvl="3">
      <w:start w:val="1"/>
      <w:numFmt w:val="decimal"/>
      <w:isLgl/>
      <w:lvlText w:val="%1.%2.%3.%4."/>
      <w:lvlJc w:val="left"/>
      <w:pPr>
        <w:ind w:left="1855" w:hanging="720"/>
      </w:pPr>
    </w:lvl>
    <w:lvl w:ilvl="4">
      <w:start w:val="1"/>
      <w:numFmt w:val="decimal"/>
      <w:isLgl/>
      <w:lvlText w:val="%1.%2.%3.%4.%5."/>
      <w:lvlJc w:val="left"/>
      <w:pPr>
        <w:ind w:left="2215" w:hanging="1080"/>
      </w:pPr>
    </w:lvl>
    <w:lvl w:ilvl="5">
      <w:start w:val="1"/>
      <w:numFmt w:val="decimal"/>
      <w:isLgl/>
      <w:lvlText w:val="%1.%2.%3.%4.%5.%6."/>
      <w:lvlJc w:val="left"/>
      <w:pPr>
        <w:ind w:left="2215" w:hanging="1080"/>
      </w:pPr>
    </w:lvl>
    <w:lvl w:ilvl="6">
      <w:start w:val="1"/>
      <w:numFmt w:val="decimal"/>
      <w:isLgl/>
      <w:lvlText w:val="%1.%2.%3.%4.%5.%6.%7."/>
      <w:lvlJc w:val="left"/>
      <w:pPr>
        <w:ind w:left="2575" w:hanging="1440"/>
      </w:pPr>
    </w:lvl>
    <w:lvl w:ilvl="7">
      <w:start w:val="1"/>
      <w:numFmt w:val="decimal"/>
      <w:isLgl/>
      <w:lvlText w:val="%1.%2.%3.%4.%5.%6.%7.%8."/>
      <w:lvlJc w:val="left"/>
      <w:pPr>
        <w:ind w:left="2575" w:hanging="1440"/>
      </w:pPr>
    </w:lvl>
    <w:lvl w:ilvl="8">
      <w:start w:val="1"/>
      <w:numFmt w:val="decimal"/>
      <w:isLgl/>
      <w:lvlText w:val="%1.%2.%3.%4.%5.%6.%7.%8.%9."/>
      <w:lvlJc w:val="left"/>
      <w:pPr>
        <w:ind w:left="2935" w:hanging="1800"/>
      </w:pPr>
    </w:lvl>
  </w:abstractNum>
  <w:abstractNum w:abstractNumId="16" w15:restartNumberingAfterBreak="0">
    <w:nsid w:val="2A332CD1"/>
    <w:multiLevelType w:val="hybridMultilevel"/>
    <w:tmpl w:val="EE34E2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C2A1464"/>
    <w:multiLevelType w:val="multilevel"/>
    <w:tmpl w:val="B9E4EAF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61E48E0"/>
    <w:multiLevelType w:val="hybridMultilevel"/>
    <w:tmpl w:val="59EAE9D6"/>
    <w:lvl w:ilvl="0" w:tplc="11789BB0">
      <w:start w:val="10"/>
      <w:numFmt w:val="bullet"/>
      <w:lvlText w:val="-"/>
      <w:lvlJc w:val="left"/>
      <w:pPr>
        <w:ind w:left="1080" w:hanging="360"/>
      </w:pPr>
      <w:rPr>
        <w:rFonts w:ascii="Times New Roman" w:eastAsia="Times New Roman" w:hAnsi="Times New Roman" w:cs="Times New Roman" w:hint="default"/>
        <w:i/>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38276CBD"/>
    <w:multiLevelType w:val="hybridMultilevel"/>
    <w:tmpl w:val="B8F8870C"/>
    <w:lvl w:ilvl="0" w:tplc="F26A5BF2">
      <w:start w:val="1"/>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40750CBB"/>
    <w:multiLevelType w:val="multilevel"/>
    <w:tmpl w:val="83A280F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3A551FF"/>
    <w:multiLevelType w:val="hybridMultilevel"/>
    <w:tmpl w:val="426EE106"/>
    <w:lvl w:ilvl="0" w:tplc="EB7A3652">
      <w:start w:val="1"/>
      <w:numFmt w:val="decimal"/>
      <w:lvlText w:val="%1."/>
      <w:lvlJc w:val="left"/>
      <w:pPr>
        <w:ind w:left="1441" w:hanging="732"/>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43FA1629"/>
    <w:multiLevelType w:val="hybridMultilevel"/>
    <w:tmpl w:val="CF28CB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8FF29DC"/>
    <w:multiLevelType w:val="multilevel"/>
    <w:tmpl w:val="09403A46"/>
    <w:lvl w:ilvl="0">
      <w:start w:val="1"/>
      <w:numFmt w:val="decimal"/>
      <w:lvlText w:val="%1."/>
      <w:lvlJc w:val="left"/>
      <w:pPr>
        <w:ind w:left="1353" w:hanging="360"/>
      </w:pPr>
      <w:rPr>
        <w:b w:val="0"/>
      </w:rPr>
    </w:lvl>
    <w:lvl w:ilvl="1">
      <w:start w:val="1"/>
      <w:numFmt w:val="decimal"/>
      <w:isLgl/>
      <w:lvlText w:val="%1.%2."/>
      <w:lvlJc w:val="left"/>
      <w:pPr>
        <w:ind w:left="1353" w:hanging="360"/>
      </w:pPr>
    </w:lvl>
    <w:lvl w:ilvl="2">
      <w:start w:val="1"/>
      <w:numFmt w:val="decimal"/>
      <w:isLgl/>
      <w:lvlText w:val="%1.%2.%3."/>
      <w:lvlJc w:val="left"/>
      <w:pPr>
        <w:ind w:left="1855" w:hanging="720"/>
      </w:pPr>
    </w:lvl>
    <w:lvl w:ilvl="3">
      <w:start w:val="1"/>
      <w:numFmt w:val="decimal"/>
      <w:isLgl/>
      <w:lvlText w:val="%1.%2.%3.%4."/>
      <w:lvlJc w:val="left"/>
      <w:pPr>
        <w:ind w:left="1855" w:hanging="720"/>
      </w:pPr>
    </w:lvl>
    <w:lvl w:ilvl="4">
      <w:start w:val="1"/>
      <w:numFmt w:val="decimal"/>
      <w:isLgl/>
      <w:lvlText w:val="%1.%2.%3.%4.%5."/>
      <w:lvlJc w:val="left"/>
      <w:pPr>
        <w:ind w:left="2215" w:hanging="1080"/>
      </w:pPr>
    </w:lvl>
    <w:lvl w:ilvl="5">
      <w:start w:val="1"/>
      <w:numFmt w:val="decimal"/>
      <w:isLgl/>
      <w:lvlText w:val="%1.%2.%3.%4.%5.%6."/>
      <w:lvlJc w:val="left"/>
      <w:pPr>
        <w:ind w:left="2215" w:hanging="1080"/>
      </w:pPr>
    </w:lvl>
    <w:lvl w:ilvl="6">
      <w:start w:val="1"/>
      <w:numFmt w:val="decimal"/>
      <w:isLgl/>
      <w:lvlText w:val="%1.%2.%3.%4.%5.%6.%7."/>
      <w:lvlJc w:val="left"/>
      <w:pPr>
        <w:ind w:left="2575" w:hanging="1440"/>
      </w:pPr>
    </w:lvl>
    <w:lvl w:ilvl="7">
      <w:start w:val="1"/>
      <w:numFmt w:val="decimal"/>
      <w:isLgl/>
      <w:lvlText w:val="%1.%2.%3.%4.%5.%6.%7.%8."/>
      <w:lvlJc w:val="left"/>
      <w:pPr>
        <w:ind w:left="2575" w:hanging="1440"/>
      </w:pPr>
    </w:lvl>
    <w:lvl w:ilvl="8">
      <w:start w:val="1"/>
      <w:numFmt w:val="decimal"/>
      <w:isLgl/>
      <w:lvlText w:val="%1.%2.%3.%4.%5.%6.%7.%8.%9."/>
      <w:lvlJc w:val="left"/>
      <w:pPr>
        <w:ind w:left="2935" w:hanging="1800"/>
      </w:pPr>
    </w:lvl>
  </w:abstractNum>
  <w:abstractNum w:abstractNumId="24" w15:restartNumberingAfterBreak="0">
    <w:nsid w:val="4FCD3F19"/>
    <w:multiLevelType w:val="hybridMultilevel"/>
    <w:tmpl w:val="654A53BE"/>
    <w:lvl w:ilvl="0" w:tplc="6E24BF98">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60B37DA5"/>
    <w:multiLevelType w:val="hybridMultilevel"/>
    <w:tmpl w:val="8C0660D6"/>
    <w:lvl w:ilvl="0" w:tplc="60C008EA">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4DA5953"/>
    <w:multiLevelType w:val="multilevel"/>
    <w:tmpl w:val="09403A46"/>
    <w:lvl w:ilvl="0">
      <w:start w:val="1"/>
      <w:numFmt w:val="decimal"/>
      <w:lvlText w:val="%1."/>
      <w:lvlJc w:val="left"/>
      <w:pPr>
        <w:ind w:left="1353" w:hanging="360"/>
      </w:pPr>
      <w:rPr>
        <w:b w:val="0"/>
      </w:rPr>
    </w:lvl>
    <w:lvl w:ilvl="1">
      <w:start w:val="1"/>
      <w:numFmt w:val="decimal"/>
      <w:isLgl/>
      <w:lvlText w:val="%1.%2."/>
      <w:lvlJc w:val="left"/>
      <w:pPr>
        <w:ind w:left="1353" w:hanging="360"/>
      </w:pPr>
    </w:lvl>
    <w:lvl w:ilvl="2">
      <w:start w:val="1"/>
      <w:numFmt w:val="decimal"/>
      <w:isLgl/>
      <w:lvlText w:val="%1.%2.%3."/>
      <w:lvlJc w:val="left"/>
      <w:pPr>
        <w:ind w:left="1855" w:hanging="720"/>
      </w:pPr>
    </w:lvl>
    <w:lvl w:ilvl="3">
      <w:start w:val="1"/>
      <w:numFmt w:val="decimal"/>
      <w:isLgl/>
      <w:lvlText w:val="%1.%2.%3.%4."/>
      <w:lvlJc w:val="left"/>
      <w:pPr>
        <w:ind w:left="1855" w:hanging="720"/>
      </w:pPr>
    </w:lvl>
    <w:lvl w:ilvl="4">
      <w:start w:val="1"/>
      <w:numFmt w:val="decimal"/>
      <w:isLgl/>
      <w:lvlText w:val="%1.%2.%3.%4.%5."/>
      <w:lvlJc w:val="left"/>
      <w:pPr>
        <w:ind w:left="2215" w:hanging="1080"/>
      </w:pPr>
    </w:lvl>
    <w:lvl w:ilvl="5">
      <w:start w:val="1"/>
      <w:numFmt w:val="decimal"/>
      <w:isLgl/>
      <w:lvlText w:val="%1.%2.%3.%4.%5.%6."/>
      <w:lvlJc w:val="left"/>
      <w:pPr>
        <w:ind w:left="2215" w:hanging="1080"/>
      </w:pPr>
    </w:lvl>
    <w:lvl w:ilvl="6">
      <w:start w:val="1"/>
      <w:numFmt w:val="decimal"/>
      <w:isLgl/>
      <w:lvlText w:val="%1.%2.%3.%4.%5.%6.%7."/>
      <w:lvlJc w:val="left"/>
      <w:pPr>
        <w:ind w:left="2575" w:hanging="1440"/>
      </w:pPr>
    </w:lvl>
    <w:lvl w:ilvl="7">
      <w:start w:val="1"/>
      <w:numFmt w:val="decimal"/>
      <w:isLgl/>
      <w:lvlText w:val="%1.%2.%3.%4.%5.%6.%7.%8."/>
      <w:lvlJc w:val="left"/>
      <w:pPr>
        <w:ind w:left="2575" w:hanging="1440"/>
      </w:pPr>
    </w:lvl>
    <w:lvl w:ilvl="8">
      <w:start w:val="1"/>
      <w:numFmt w:val="decimal"/>
      <w:isLgl/>
      <w:lvlText w:val="%1.%2.%3.%4.%5.%6.%7.%8.%9."/>
      <w:lvlJc w:val="left"/>
      <w:pPr>
        <w:ind w:left="2935" w:hanging="1800"/>
      </w:pPr>
    </w:lvl>
  </w:abstractNum>
  <w:abstractNum w:abstractNumId="27" w15:restartNumberingAfterBreak="0">
    <w:nsid w:val="669D695E"/>
    <w:multiLevelType w:val="hybridMultilevel"/>
    <w:tmpl w:val="97A8AD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A323EC2"/>
    <w:multiLevelType w:val="hybridMultilevel"/>
    <w:tmpl w:val="9D0C5F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00821DC"/>
    <w:multiLevelType w:val="hybridMultilevel"/>
    <w:tmpl w:val="29AE5D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34872A2"/>
    <w:multiLevelType w:val="hybridMultilevel"/>
    <w:tmpl w:val="2B9C6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8743A59"/>
    <w:multiLevelType w:val="hybridMultilevel"/>
    <w:tmpl w:val="9D2065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A863CE9"/>
    <w:multiLevelType w:val="hybridMultilevel"/>
    <w:tmpl w:val="3DEAA2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C2B53E1"/>
    <w:multiLevelType w:val="hybridMultilevel"/>
    <w:tmpl w:val="A1BC1738"/>
    <w:lvl w:ilvl="0" w:tplc="0C322C3A">
      <w:start w:val="1"/>
      <w:numFmt w:val="decimal"/>
      <w:lvlText w:val="%1."/>
      <w:lvlJc w:val="left"/>
      <w:pPr>
        <w:ind w:left="1211" w:hanging="360"/>
      </w:pPr>
      <w:rPr>
        <w:b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4" w15:restartNumberingAfterBreak="0">
    <w:nsid w:val="7FB94243"/>
    <w:multiLevelType w:val="hybridMultilevel"/>
    <w:tmpl w:val="6B9EE4B0"/>
    <w:lvl w:ilvl="0" w:tplc="278CA4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9"/>
  </w:num>
  <w:num w:numId="2">
    <w:abstractNumId w:val="0"/>
  </w:num>
  <w:num w:numId="3">
    <w:abstractNumId w:val="13"/>
  </w:num>
  <w:num w:numId="4">
    <w:abstractNumId w:val="10"/>
  </w:num>
  <w:num w:numId="5">
    <w:abstractNumId w:val="12"/>
  </w:num>
  <w:num w:numId="6">
    <w:abstractNumId w:val="15"/>
  </w:num>
  <w:num w:numId="7">
    <w:abstractNumId w:val="26"/>
  </w:num>
  <w:num w:numId="8">
    <w:abstractNumId w:val="23"/>
  </w:num>
  <w:num w:numId="9">
    <w:abstractNumId w:val="22"/>
  </w:num>
  <w:num w:numId="10">
    <w:abstractNumId w:val="32"/>
  </w:num>
  <w:num w:numId="11">
    <w:abstractNumId w:val="24"/>
  </w:num>
  <w:num w:numId="12">
    <w:abstractNumId w:val="4"/>
  </w:num>
  <w:num w:numId="13">
    <w:abstractNumId w:val="5"/>
  </w:num>
  <w:num w:numId="14">
    <w:abstractNumId w:val="17"/>
  </w:num>
  <w:num w:numId="15">
    <w:abstractNumId w:val="27"/>
  </w:num>
  <w:num w:numId="16">
    <w:abstractNumId w:val="28"/>
  </w:num>
  <w:num w:numId="17">
    <w:abstractNumId w:val="20"/>
  </w:num>
  <w:num w:numId="18">
    <w:abstractNumId w:val="7"/>
  </w:num>
  <w:num w:numId="19">
    <w:abstractNumId w:val="1"/>
  </w:num>
  <w:num w:numId="20">
    <w:abstractNumId w:val="21"/>
  </w:num>
  <w:num w:numId="21">
    <w:abstractNumId w:val="14"/>
  </w:num>
  <w:num w:numId="22">
    <w:abstractNumId w:val="2"/>
  </w:num>
  <w:num w:numId="23">
    <w:abstractNumId w:val="18"/>
  </w:num>
  <w:num w:numId="24">
    <w:abstractNumId w:val="30"/>
  </w:num>
  <w:num w:numId="25">
    <w:abstractNumId w:val="33"/>
  </w:num>
  <w:num w:numId="26">
    <w:abstractNumId w:val="8"/>
  </w:num>
  <w:num w:numId="27">
    <w:abstractNumId w:val="11"/>
  </w:num>
  <w:num w:numId="28">
    <w:abstractNumId w:val="25"/>
  </w:num>
  <w:num w:numId="29">
    <w:abstractNumId w:val="34"/>
  </w:num>
  <w:num w:numId="30">
    <w:abstractNumId w:val="6"/>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9"/>
  </w:num>
  <w:num w:numId="34">
    <w:abstractNumId w:val="3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40D"/>
    <w:rsid w:val="000004ED"/>
    <w:rsid w:val="000022B3"/>
    <w:rsid w:val="0000247B"/>
    <w:rsid w:val="00002D25"/>
    <w:rsid w:val="000070F4"/>
    <w:rsid w:val="0000737C"/>
    <w:rsid w:val="00011BC3"/>
    <w:rsid w:val="0001358B"/>
    <w:rsid w:val="00013BBB"/>
    <w:rsid w:val="00015C2A"/>
    <w:rsid w:val="000171C9"/>
    <w:rsid w:val="000238F6"/>
    <w:rsid w:val="0003056D"/>
    <w:rsid w:val="00030E76"/>
    <w:rsid w:val="00043A1B"/>
    <w:rsid w:val="000500DF"/>
    <w:rsid w:val="00052ED0"/>
    <w:rsid w:val="000548C4"/>
    <w:rsid w:val="00057B1A"/>
    <w:rsid w:val="00066218"/>
    <w:rsid w:val="0006657F"/>
    <w:rsid w:val="000772B0"/>
    <w:rsid w:val="00077CB6"/>
    <w:rsid w:val="000821E8"/>
    <w:rsid w:val="000842ED"/>
    <w:rsid w:val="00087092"/>
    <w:rsid w:val="00090CE2"/>
    <w:rsid w:val="00091DAE"/>
    <w:rsid w:val="0009297F"/>
    <w:rsid w:val="00093DA3"/>
    <w:rsid w:val="00095ED8"/>
    <w:rsid w:val="000973FD"/>
    <w:rsid w:val="00097AF6"/>
    <w:rsid w:val="000A1A9E"/>
    <w:rsid w:val="000A3238"/>
    <w:rsid w:val="000A627A"/>
    <w:rsid w:val="000B177E"/>
    <w:rsid w:val="000B39F8"/>
    <w:rsid w:val="000B41AB"/>
    <w:rsid w:val="000C0E95"/>
    <w:rsid w:val="000C1811"/>
    <w:rsid w:val="000C3555"/>
    <w:rsid w:val="000C5DB4"/>
    <w:rsid w:val="000C69B2"/>
    <w:rsid w:val="000C75CD"/>
    <w:rsid w:val="000C7CDF"/>
    <w:rsid w:val="000D0701"/>
    <w:rsid w:val="000D145A"/>
    <w:rsid w:val="000D2026"/>
    <w:rsid w:val="000D46EF"/>
    <w:rsid w:val="000E045E"/>
    <w:rsid w:val="000F1449"/>
    <w:rsid w:val="000F5513"/>
    <w:rsid w:val="000F6AB0"/>
    <w:rsid w:val="000F73A4"/>
    <w:rsid w:val="001012A2"/>
    <w:rsid w:val="00101444"/>
    <w:rsid w:val="0010383C"/>
    <w:rsid w:val="00104290"/>
    <w:rsid w:val="001045DA"/>
    <w:rsid w:val="0010625D"/>
    <w:rsid w:val="0010626A"/>
    <w:rsid w:val="001069E5"/>
    <w:rsid w:val="00110181"/>
    <w:rsid w:val="00112DD0"/>
    <w:rsid w:val="00116374"/>
    <w:rsid w:val="00117401"/>
    <w:rsid w:val="00120230"/>
    <w:rsid w:val="00121EE0"/>
    <w:rsid w:val="001252ED"/>
    <w:rsid w:val="0013083A"/>
    <w:rsid w:val="001314D8"/>
    <w:rsid w:val="00134515"/>
    <w:rsid w:val="0013559F"/>
    <w:rsid w:val="0014653F"/>
    <w:rsid w:val="00153371"/>
    <w:rsid w:val="00153948"/>
    <w:rsid w:val="0015467F"/>
    <w:rsid w:val="00155A21"/>
    <w:rsid w:val="00155E02"/>
    <w:rsid w:val="00157636"/>
    <w:rsid w:val="00157DEF"/>
    <w:rsid w:val="001611F9"/>
    <w:rsid w:val="001622D4"/>
    <w:rsid w:val="00163004"/>
    <w:rsid w:val="00163D78"/>
    <w:rsid w:val="00165EAD"/>
    <w:rsid w:val="00165F89"/>
    <w:rsid w:val="00170E30"/>
    <w:rsid w:val="00180782"/>
    <w:rsid w:val="00183296"/>
    <w:rsid w:val="00187EC5"/>
    <w:rsid w:val="00194423"/>
    <w:rsid w:val="00195BF9"/>
    <w:rsid w:val="001A6A0B"/>
    <w:rsid w:val="001A77EA"/>
    <w:rsid w:val="001B18DD"/>
    <w:rsid w:val="001B7935"/>
    <w:rsid w:val="001C0D4C"/>
    <w:rsid w:val="001C207B"/>
    <w:rsid w:val="001C472A"/>
    <w:rsid w:val="001C51A6"/>
    <w:rsid w:val="001C51D6"/>
    <w:rsid w:val="001C77BF"/>
    <w:rsid w:val="001D125B"/>
    <w:rsid w:val="001D24F7"/>
    <w:rsid w:val="001D309F"/>
    <w:rsid w:val="001D5CE3"/>
    <w:rsid w:val="001D5E15"/>
    <w:rsid w:val="001D60DD"/>
    <w:rsid w:val="001E24CC"/>
    <w:rsid w:val="001E298C"/>
    <w:rsid w:val="001E694A"/>
    <w:rsid w:val="001F2B38"/>
    <w:rsid w:val="001F32DE"/>
    <w:rsid w:val="001F43DF"/>
    <w:rsid w:val="00200A5D"/>
    <w:rsid w:val="0020252E"/>
    <w:rsid w:val="00202D83"/>
    <w:rsid w:val="002040CF"/>
    <w:rsid w:val="00204673"/>
    <w:rsid w:val="00206CA7"/>
    <w:rsid w:val="0021066D"/>
    <w:rsid w:val="002108ED"/>
    <w:rsid w:val="0021407D"/>
    <w:rsid w:val="00223F70"/>
    <w:rsid w:val="00226CD8"/>
    <w:rsid w:val="00230B96"/>
    <w:rsid w:val="0023534F"/>
    <w:rsid w:val="00237FA2"/>
    <w:rsid w:val="00240525"/>
    <w:rsid w:val="00241B6F"/>
    <w:rsid w:val="00242A24"/>
    <w:rsid w:val="00243D6D"/>
    <w:rsid w:val="0025027C"/>
    <w:rsid w:val="00251CFB"/>
    <w:rsid w:val="00255D46"/>
    <w:rsid w:val="00257372"/>
    <w:rsid w:val="00261C20"/>
    <w:rsid w:val="002638D2"/>
    <w:rsid w:val="002656E9"/>
    <w:rsid w:val="00265EAE"/>
    <w:rsid w:val="0027015B"/>
    <w:rsid w:val="00270735"/>
    <w:rsid w:val="00271B39"/>
    <w:rsid w:val="00273735"/>
    <w:rsid w:val="002771C1"/>
    <w:rsid w:val="00277239"/>
    <w:rsid w:val="0028527C"/>
    <w:rsid w:val="002917C6"/>
    <w:rsid w:val="00292568"/>
    <w:rsid w:val="00295AC3"/>
    <w:rsid w:val="00295C3F"/>
    <w:rsid w:val="00297A75"/>
    <w:rsid w:val="00297E99"/>
    <w:rsid w:val="002A1826"/>
    <w:rsid w:val="002A2CEB"/>
    <w:rsid w:val="002A3700"/>
    <w:rsid w:val="002A3916"/>
    <w:rsid w:val="002A6BA1"/>
    <w:rsid w:val="002B00CD"/>
    <w:rsid w:val="002B1886"/>
    <w:rsid w:val="002B4C29"/>
    <w:rsid w:val="002B7EEF"/>
    <w:rsid w:val="002C0C98"/>
    <w:rsid w:val="002C20A8"/>
    <w:rsid w:val="002C5088"/>
    <w:rsid w:val="002D04D4"/>
    <w:rsid w:val="002D060F"/>
    <w:rsid w:val="002D0640"/>
    <w:rsid w:val="002D0677"/>
    <w:rsid w:val="002D0A2F"/>
    <w:rsid w:val="002D17AF"/>
    <w:rsid w:val="002D7B70"/>
    <w:rsid w:val="002E0A9B"/>
    <w:rsid w:val="002E11AA"/>
    <w:rsid w:val="002E6464"/>
    <w:rsid w:val="002E65EE"/>
    <w:rsid w:val="002E778F"/>
    <w:rsid w:val="002F02A0"/>
    <w:rsid w:val="002F17C4"/>
    <w:rsid w:val="002F3A35"/>
    <w:rsid w:val="00300946"/>
    <w:rsid w:val="0030622B"/>
    <w:rsid w:val="00311AC1"/>
    <w:rsid w:val="003126DC"/>
    <w:rsid w:val="00312F30"/>
    <w:rsid w:val="003168BA"/>
    <w:rsid w:val="003254BC"/>
    <w:rsid w:val="0032749D"/>
    <w:rsid w:val="003277A1"/>
    <w:rsid w:val="00334A08"/>
    <w:rsid w:val="00336A85"/>
    <w:rsid w:val="0033772C"/>
    <w:rsid w:val="003406DB"/>
    <w:rsid w:val="00341B7C"/>
    <w:rsid w:val="00343575"/>
    <w:rsid w:val="003451CF"/>
    <w:rsid w:val="003532EF"/>
    <w:rsid w:val="003550CA"/>
    <w:rsid w:val="00355937"/>
    <w:rsid w:val="00356207"/>
    <w:rsid w:val="00360429"/>
    <w:rsid w:val="00361C5A"/>
    <w:rsid w:val="0036205E"/>
    <w:rsid w:val="00362711"/>
    <w:rsid w:val="003649D6"/>
    <w:rsid w:val="00372B38"/>
    <w:rsid w:val="003749DC"/>
    <w:rsid w:val="00374A9F"/>
    <w:rsid w:val="00377C93"/>
    <w:rsid w:val="003801EC"/>
    <w:rsid w:val="00381B8C"/>
    <w:rsid w:val="00385E4D"/>
    <w:rsid w:val="00386EB5"/>
    <w:rsid w:val="003A1455"/>
    <w:rsid w:val="003A2C95"/>
    <w:rsid w:val="003A2ECC"/>
    <w:rsid w:val="003A413C"/>
    <w:rsid w:val="003A5046"/>
    <w:rsid w:val="003A6C08"/>
    <w:rsid w:val="003A702D"/>
    <w:rsid w:val="003B1AAB"/>
    <w:rsid w:val="003B2E4A"/>
    <w:rsid w:val="003B4249"/>
    <w:rsid w:val="003B4C29"/>
    <w:rsid w:val="003C1862"/>
    <w:rsid w:val="003C2300"/>
    <w:rsid w:val="003C2846"/>
    <w:rsid w:val="003D2F6B"/>
    <w:rsid w:val="003D3125"/>
    <w:rsid w:val="003D51A8"/>
    <w:rsid w:val="003D6CA8"/>
    <w:rsid w:val="003F6B0E"/>
    <w:rsid w:val="004024F3"/>
    <w:rsid w:val="0040573B"/>
    <w:rsid w:val="00405756"/>
    <w:rsid w:val="0041299C"/>
    <w:rsid w:val="00412BF7"/>
    <w:rsid w:val="00414150"/>
    <w:rsid w:val="00416CB0"/>
    <w:rsid w:val="00417C4F"/>
    <w:rsid w:val="0042293E"/>
    <w:rsid w:val="00422BCB"/>
    <w:rsid w:val="00422DF1"/>
    <w:rsid w:val="00426C89"/>
    <w:rsid w:val="00441CCE"/>
    <w:rsid w:val="00442A32"/>
    <w:rsid w:val="00445D72"/>
    <w:rsid w:val="00445FFD"/>
    <w:rsid w:val="004503C0"/>
    <w:rsid w:val="00451C44"/>
    <w:rsid w:val="00453C82"/>
    <w:rsid w:val="00456356"/>
    <w:rsid w:val="00456725"/>
    <w:rsid w:val="0045748F"/>
    <w:rsid w:val="00461C82"/>
    <w:rsid w:val="0046253B"/>
    <w:rsid w:val="00463031"/>
    <w:rsid w:val="004647C1"/>
    <w:rsid w:val="00465C3F"/>
    <w:rsid w:val="00467C60"/>
    <w:rsid w:val="004752BE"/>
    <w:rsid w:val="00480E8B"/>
    <w:rsid w:val="004840FA"/>
    <w:rsid w:val="00484CA6"/>
    <w:rsid w:val="00492092"/>
    <w:rsid w:val="004926D2"/>
    <w:rsid w:val="00493EB3"/>
    <w:rsid w:val="004B3796"/>
    <w:rsid w:val="004B5F37"/>
    <w:rsid w:val="004C229F"/>
    <w:rsid w:val="004C2BF0"/>
    <w:rsid w:val="004C38E0"/>
    <w:rsid w:val="004C3ED1"/>
    <w:rsid w:val="004C5758"/>
    <w:rsid w:val="004C6DCE"/>
    <w:rsid w:val="004D02E3"/>
    <w:rsid w:val="004D29C0"/>
    <w:rsid w:val="004D5AB8"/>
    <w:rsid w:val="004D7C81"/>
    <w:rsid w:val="004E5B3C"/>
    <w:rsid w:val="004E677D"/>
    <w:rsid w:val="004E6CA1"/>
    <w:rsid w:val="004F0F5B"/>
    <w:rsid w:val="004F11C0"/>
    <w:rsid w:val="004F5811"/>
    <w:rsid w:val="004F5AE4"/>
    <w:rsid w:val="004F6B5C"/>
    <w:rsid w:val="004F7C70"/>
    <w:rsid w:val="00502FA2"/>
    <w:rsid w:val="00505DF9"/>
    <w:rsid w:val="00511ACF"/>
    <w:rsid w:val="005121CD"/>
    <w:rsid w:val="00513275"/>
    <w:rsid w:val="0051503C"/>
    <w:rsid w:val="00517209"/>
    <w:rsid w:val="0052135F"/>
    <w:rsid w:val="00531BAC"/>
    <w:rsid w:val="005345C3"/>
    <w:rsid w:val="005356DA"/>
    <w:rsid w:val="005437AE"/>
    <w:rsid w:val="0054457B"/>
    <w:rsid w:val="0054735F"/>
    <w:rsid w:val="005526BE"/>
    <w:rsid w:val="005645C6"/>
    <w:rsid w:val="00567CD9"/>
    <w:rsid w:val="00571314"/>
    <w:rsid w:val="005733C3"/>
    <w:rsid w:val="005748E4"/>
    <w:rsid w:val="00575C37"/>
    <w:rsid w:val="00576166"/>
    <w:rsid w:val="005765BD"/>
    <w:rsid w:val="00582903"/>
    <w:rsid w:val="00585FCA"/>
    <w:rsid w:val="005903EF"/>
    <w:rsid w:val="005979C7"/>
    <w:rsid w:val="005A3494"/>
    <w:rsid w:val="005A368A"/>
    <w:rsid w:val="005A3A58"/>
    <w:rsid w:val="005A5092"/>
    <w:rsid w:val="005A5348"/>
    <w:rsid w:val="005A68AE"/>
    <w:rsid w:val="005A747D"/>
    <w:rsid w:val="005B1624"/>
    <w:rsid w:val="005B1FBC"/>
    <w:rsid w:val="005B2039"/>
    <w:rsid w:val="005B4D0D"/>
    <w:rsid w:val="005B5DDE"/>
    <w:rsid w:val="005C0BC6"/>
    <w:rsid w:val="005C1486"/>
    <w:rsid w:val="005C3666"/>
    <w:rsid w:val="005C404E"/>
    <w:rsid w:val="005C4946"/>
    <w:rsid w:val="005D0850"/>
    <w:rsid w:val="005D1FF0"/>
    <w:rsid w:val="005D3D95"/>
    <w:rsid w:val="005D4EF3"/>
    <w:rsid w:val="005D6637"/>
    <w:rsid w:val="005E23EA"/>
    <w:rsid w:val="005E4FD1"/>
    <w:rsid w:val="005E5A14"/>
    <w:rsid w:val="005E79C6"/>
    <w:rsid w:val="005F02EE"/>
    <w:rsid w:val="005F740D"/>
    <w:rsid w:val="00602886"/>
    <w:rsid w:val="006112D6"/>
    <w:rsid w:val="00611581"/>
    <w:rsid w:val="00617CFF"/>
    <w:rsid w:val="006216D8"/>
    <w:rsid w:val="006237DD"/>
    <w:rsid w:val="00624AB6"/>
    <w:rsid w:val="00627923"/>
    <w:rsid w:val="00631759"/>
    <w:rsid w:val="0063318D"/>
    <w:rsid w:val="00635D50"/>
    <w:rsid w:val="00636D3E"/>
    <w:rsid w:val="006371DB"/>
    <w:rsid w:val="00642A0E"/>
    <w:rsid w:val="00656821"/>
    <w:rsid w:val="00657543"/>
    <w:rsid w:val="006628AB"/>
    <w:rsid w:val="00666F79"/>
    <w:rsid w:val="00667C17"/>
    <w:rsid w:val="00672E06"/>
    <w:rsid w:val="00672E1E"/>
    <w:rsid w:val="00673315"/>
    <w:rsid w:val="00677A4C"/>
    <w:rsid w:val="00680313"/>
    <w:rsid w:val="00682615"/>
    <w:rsid w:val="00682861"/>
    <w:rsid w:val="006848FA"/>
    <w:rsid w:val="00686868"/>
    <w:rsid w:val="00690D88"/>
    <w:rsid w:val="00691795"/>
    <w:rsid w:val="0069314D"/>
    <w:rsid w:val="00696CF0"/>
    <w:rsid w:val="006A351D"/>
    <w:rsid w:val="006A4A57"/>
    <w:rsid w:val="006A5B32"/>
    <w:rsid w:val="006A5ED3"/>
    <w:rsid w:val="006A6FC1"/>
    <w:rsid w:val="006B386F"/>
    <w:rsid w:val="006C25BF"/>
    <w:rsid w:val="006C3034"/>
    <w:rsid w:val="006C510F"/>
    <w:rsid w:val="006C5573"/>
    <w:rsid w:val="006C639C"/>
    <w:rsid w:val="006C678A"/>
    <w:rsid w:val="006D0875"/>
    <w:rsid w:val="006D2A76"/>
    <w:rsid w:val="006D5B4B"/>
    <w:rsid w:val="006D5BD4"/>
    <w:rsid w:val="006D6557"/>
    <w:rsid w:val="006D670B"/>
    <w:rsid w:val="006D6AD8"/>
    <w:rsid w:val="006E3161"/>
    <w:rsid w:val="006E4458"/>
    <w:rsid w:val="006F021F"/>
    <w:rsid w:val="006F06C2"/>
    <w:rsid w:val="006F1BEE"/>
    <w:rsid w:val="006F39C4"/>
    <w:rsid w:val="006F45E2"/>
    <w:rsid w:val="007006A1"/>
    <w:rsid w:val="00701C56"/>
    <w:rsid w:val="00702C4C"/>
    <w:rsid w:val="00712871"/>
    <w:rsid w:val="00714001"/>
    <w:rsid w:val="00716150"/>
    <w:rsid w:val="0071633B"/>
    <w:rsid w:val="00722AA1"/>
    <w:rsid w:val="00726DA7"/>
    <w:rsid w:val="00730999"/>
    <w:rsid w:val="00734B4A"/>
    <w:rsid w:val="00735564"/>
    <w:rsid w:val="00735B15"/>
    <w:rsid w:val="00735EBB"/>
    <w:rsid w:val="007361BA"/>
    <w:rsid w:val="00736D87"/>
    <w:rsid w:val="00737041"/>
    <w:rsid w:val="00737A1A"/>
    <w:rsid w:val="00737DF7"/>
    <w:rsid w:val="007412F5"/>
    <w:rsid w:val="00741E98"/>
    <w:rsid w:val="00746322"/>
    <w:rsid w:val="0074647E"/>
    <w:rsid w:val="007465F4"/>
    <w:rsid w:val="00747C9A"/>
    <w:rsid w:val="00751580"/>
    <w:rsid w:val="00752505"/>
    <w:rsid w:val="007527A8"/>
    <w:rsid w:val="00756241"/>
    <w:rsid w:val="007607BA"/>
    <w:rsid w:val="00761E94"/>
    <w:rsid w:val="00762F19"/>
    <w:rsid w:val="00767C2F"/>
    <w:rsid w:val="00767CF4"/>
    <w:rsid w:val="00772800"/>
    <w:rsid w:val="00773E1D"/>
    <w:rsid w:val="007755EB"/>
    <w:rsid w:val="007775CE"/>
    <w:rsid w:val="00777A50"/>
    <w:rsid w:val="007840C4"/>
    <w:rsid w:val="007857BA"/>
    <w:rsid w:val="00787438"/>
    <w:rsid w:val="0079470C"/>
    <w:rsid w:val="007A035C"/>
    <w:rsid w:val="007A33BC"/>
    <w:rsid w:val="007A56D5"/>
    <w:rsid w:val="007A64B2"/>
    <w:rsid w:val="007A6BB2"/>
    <w:rsid w:val="007A710F"/>
    <w:rsid w:val="007A7D7D"/>
    <w:rsid w:val="007B48C1"/>
    <w:rsid w:val="007B4AB1"/>
    <w:rsid w:val="007B4FB8"/>
    <w:rsid w:val="007B651A"/>
    <w:rsid w:val="007B6B8E"/>
    <w:rsid w:val="007C478A"/>
    <w:rsid w:val="007C7451"/>
    <w:rsid w:val="007D07A6"/>
    <w:rsid w:val="007D2397"/>
    <w:rsid w:val="007D2493"/>
    <w:rsid w:val="007D2FFC"/>
    <w:rsid w:val="007D55B7"/>
    <w:rsid w:val="007E22E5"/>
    <w:rsid w:val="007E3F6A"/>
    <w:rsid w:val="007E4E70"/>
    <w:rsid w:val="007E70EC"/>
    <w:rsid w:val="007F03A2"/>
    <w:rsid w:val="007F07CB"/>
    <w:rsid w:val="007F1258"/>
    <w:rsid w:val="007F6F5E"/>
    <w:rsid w:val="008019C9"/>
    <w:rsid w:val="00804471"/>
    <w:rsid w:val="00805F26"/>
    <w:rsid w:val="008062CA"/>
    <w:rsid w:val="008068CF"/>
    <w:rsid w:val="0080744D"/>
    <w:rsid w:val="00811BB5"/>
    <w:rsid w:val="008145A3"/>
    <w:rsid w:val="00815F29"/>
    <w:rsid w:val="00817069"/>
    <w:rsid w:val="0082175C"/>
    <w:rsid w:val="0082417B"/>
    <w:rsid w:val="008276FC"/>
    <w:rsid w:val="008304AF"/>
    <w:rsid w:val="00831563"/>
    <w:rsid w:val="00840581"/>
    <w:rsid w:val="008429A0"/>
    <w:rsid w:val="00843930"/>
    <w:rsid w:val="00846A1C"/>
    <w:rsid w:val="0085642E"/>
    <w:rsid w:val="008568DE"/>
    <w:rsid w:val="00860612"/>
    <w:rsid w:val="00860D6E"/>
    <w:rsid w:val="00862651"/>
    <w:rsid w:val="00862F9E"/>
    <w:rsid w:val="0086318D"/>
    <w:rsid w:val="00863C5B"/>
    <w:rsid w:val="0086534C"/>
    <w:rsid w:val="0086633F"/>
    <w:rsid w:val="008666F2"/>
    <w:rsid w:val="00875799"/>
    <w:rsid w:val="00877120"/>
    <w:rsid w:val="008772FE"/>
    <w:rsid w:val="00877BA0"/>
    <w:rsid w:val="00881402"/>
    <w:rsid w:val="00882F49"/>
    <w:rsid w:val="008839B8"/>
    <w:rsid w:val="00893978"/>
    <w:rsid w:val="00895F59"/>
    <w:rsid w:val="008A0C52"/>
    <w:rsid w:val="008A1210"/>
    <w:rsid w:val="008A2329"/>
    <w:rsid w:val="008A2C7A"/>
    <w:rsid w:val="008A3F69"/>
    <w:rsid w:val="008A4ADF"/>
    <w:rsid w:val="008A73DF"/>
    <w:rsid w:val="008A7A74"/>
    <w:rsid w:val="008B2FA8"/>
    <w:rsid w:val="008B4321"/>
    <w:rsid w:val="008B436B"/>
    <w:rsid w:val="008B4474"/>
    <w:rsid w:val="008B64B7"/>
    <w:rsid w:val="008C289D"/>
    <w:rsid w:val="008C57BF"/>
    <w:rsid w:val="008C7930"/>
    <w:rsid w:val="008D4DE7"/>
    <w:rsid w:val="008D6681"/>
    <w:rsid w:val="008D738D"/>
    <w:rsid w:val="008E047D"/>
    <w:rsid w:val="008E1BBF"/>
    <w:rsid w:val="008E4740"/>
    <w:rsid w:val="008E5857"/>
    <w:rsid w:val="008F0109"/>
    <w:rsid w:val="008F0A02"/>
    <w:rsid w:val="008F2A0D"/>
    <w:rsid w:val="008F4038"/>
    <w:rsid w:val="008F5EE7"/>
    <w:rsid w:val="00900101"/>
    <w:rsid w:val="00900875"/>
    <w:rsid w:val="009011AA"/>
    <w:rsid w:val="009030EC"/>
    <w:rsid w:val="00903CCA"/>
    <w:rsid w:val="00903FA1"/>
    <w:rsid w:val="009062BC"/>
    <w:rsid w:val="00912031"/>
    <w:rsid w:val="00912CA2"/>
    <w:rsid w:val="00913531"/>
    <w:rsid w:val="0091458E"/>
    <w:rsid w:val="00917176"/>
    <w:rsid w:val="009178B1"/>
    <w:rsid w:val="00923A39"/>
    <w:rsid w:val="00924A6A"/>
    <w:rsid w:val="00931ADE"/>
    <w:rsid w:val="00933FB7"/>
    <w:rsid w:val="009349D1"/>
    <w:rsid w:val="00942578"/>
    <w:rsid w:val="0094350E"/>
    <w:rsid w:val="00943AAB"/>
    <w:rsid w:val="009443D1"/>
    <w:rsid w:val="009449D8"/>
    <w:rsid w:val="00944BF5"/>
    <w:rsid w:val="00946F7F"/>
    <w:rsid w:val="0095154D"/>
    <w:rsid w:val="0095293E"/>
    <w:rsid w:val="00955723"/>
    <w:rsid w:val="009610A4"/>
    <w:rsid w:val="00961364"/>
    <w:rsid w:val="00963C0C"/>
    <w:rsid w:val="00963D56"/>
    <w:rsid w:val="00964659"/>
    <w:rsid w:val="00967300"/>
    <w:rsid w:val="00973474"/>
    <w:rsid w:val="009740FC"/>
    <w:rsid w:val="00976112"/>
    <w:rsid w:val="009774CE"/>
    <w:rsid w:val="00980CFB"/>
    <w:rsid w:val="009856BD"/>
    <w:rsid w:val="00990DF9"/>
    <w:rsid w:val="00991801"/>
    <w:rsid w:val="009944E7"/>
    <w:rsid w:val="00995383"/>
    <w:rsid w:val="009A1CE7"/>
    <w:rsid w:val="009A25D2"/>
    <w:rsid w:val="009A488A"/>
    <w:rsid w:val="009B22E4"/>
    <w:rsid w:val="009C04FD"/>
    <w:rsid w:val="009C3D45"/>
    <w:rsid w:val="009C3E0F"/>
    <w:rsid w:val="009C7B5F"/>
    <w:rsid w:val="009D2C2A"/>
    <w:rsid w:val="009E3DC8"/>
    <w:rsid w:val="009F16E4"/>
    <w:rsid w:val="009F3BDC"/>
    <w:rsid w:val="009F6F31"/>
    <w:rsid w:val="00A00B79"/>
    <w:rsid w:val="00A00FE1"/>
    <w:rsid w:val="00A01256"/>
    <w:rsid w:val="00A01BEA"/>
    <w:rsid w:val="00A01F9A"/>
    <w:rsid w:val="00A07619"/>
    <w:rsid w:val="00A10911"/>
    <w:rsid w:val="00A1098C"/>
    <w:rsid w:val="00A13ACE"/>
    <w:rsid w:val="00A164A4"/>
    <w:rsid w:val="00A175B3"/>
    <w:rsid w:val="00A23DBB"/>
    <w:rsid w:val="00A31707"/>
    <w:rsid w:val="00A40C35"/>
    <w:rsid w:val="00A44A9A"/>
    <w:rsid w:val="00A46B42"/>
    <w:rsid w:val="00A50BE4"/>
    <w:rsid w:val="00A51811"/>
    <w:rsid w:val="00A542C4"/>
    <w:rsid w:val="00A569A0"/>
    <w:rsid w:val="00A61B59"/>
    <w:rsid w:val="00A75789"/>
    <w:rsid w:val="00A82DBB"/>
    <w:rsid w:val="00A86425"/>
    <w:rsid w:val="00A868A3"/>
    <w:rsid w:val="00A953E9"/>
    <w:rsid w:val="00AA060F"/>
    <w:rsid w:val="00AA0C27"/>
    <w:rsid w:val="00AA2E84"/>
    <w:rsid w:val="00AA62C6"/>
    <w:rsid w:val="00AC04F8"/>
    <w:rsid w:val="00AC4E0C"/>
    <w:rsid w:val="00AC524F"/>
    <w:rsid w:val="00AC6D5B"/>
    <w:rsid w:val="00AC7307"/>
    <w:rsid w:val="00AD083F"/>
    <w:rsid w:val="00AD0D63"/>
    <w:rsid w:val="00AD4320"/>
    <w:rsid w:val="00AD43EE"/>
    <w:rsid w:val="00AD7C12"/>
    <w:rsid w:val="00AE535B"/>
    <w:rsid w:val="00AE739D"/>
    <w:rsid w:val="00AF0A1E"/>
    <w:rsid w:val="00AF410F"/>
    <w:rsid w:val="00AF431A"/>
    <w:rsid w:val="00AF5CC0"/>
    <w:rsid w:val="00AF76D6"/>
    <w:rsid w:val="00B005DD"/>
    <w:rsid w:val="00B006A3"/>
    <w:rsid w:val="00B02570"/>
    <w:rsid w:val="00B05739"/>
    <w:rsid w:val="00B05D64"/>
    <w:rsid w:val="00B06462"/>
    <w:rsid w:val="00B10BE9"/>
    <w:rsid w:val="00B12893"/>
    <w:rsid w:val="00B130CC"/>
    <w:rsid w:val="00B146E7"/>
    <w:rsid w:val="00B167D6"/>
    <w:rsid w:val="00B16A75"/>
    <w:rsid w:val="00B200C0"/>
    <w:rsid w:val="00B221DA"/>
    <w:rsid w:val="00B232A6"/>
    <w:rsid w:val="00B257B1"/>
    <w:rsid w:val="00B303F4"/>
    <w:rsid w:val="00B33E12"/>
    <w:rsid w:val="00B33E27"/>
    <w:rsid w:val="00B34166"/>
    <w:rsid w:val="00B34551"/>
    <w:rsid w:val="00B34BF4"/>
    <w:rsid w:val="00B3577A"/>
    <w:rsid w:val="00B35FF7"/>
    <w:rsid w:val="00B40162"/>
    <w:rsid w:val="00B44D1B"/>
    <w:rsid w:val="00B47477"/>
    <w:rsid w:val="00B474EC"/>
    <w:rsid w:val="00B50072"/>
    <w:rsid w:val="00B50374"/>
    <w:rsid w:val="00B51A7C"/>
    <w:rsid w:val="00B531D4"/>
    <w:rsid w:val="00B60BEF"/>
    <w:rsid w:val="00B6257C"/>
    <w:rsid w:val="00B63583"/>
    <w:rsid w:val="00B636A9"/>
    <w:rsid w:val="00B67BAE"/>
    <w:rsid w:val="00B70E94"/>
    <w:rsid w:val="00B875BB"/>
    <w:rsid w:val="00B90BFD"/>
    <w:rsid w:val="00B91CF0"/>
    <w:rsid w:val="00B94A57"/>
    <w:rsid w:val="00B94C98"/>
    <w:rsid w:val="00B94E65"/>
    <w:rsid w:val="00B95A7E"/>
    <w:rsid w:val="00BA02DF"/>
    <w:rsid w:val="00BA5845"/>
    <w:rsid w:val="00BB19DB"/>
    <w:rsid w:val="00BB7812"/>
    <w:rsid w:val="00BC0839"/>
    <w:rsid w:val="00BD26D0"/>
    <w:rsid w:val="00BD50BF"/>
    <w:rsid w:val="00BE42E2"/>
    <w:rsid w:val="00BE6886"/>
    <w:rsid w:val="00BE7A72"/>
    <w:rsid w:val="00BF1E51"/>
    <w:rsid w:val="00BF4201"/>
    <w:rsid w:val="00BF4C0F"/>
    <w:rsid w:val="00BF677F"/>
    <w:rsid w:val="00BF7AD7"/>
    <w:rsid w:val="00C06BFB"/>
    <w:rsid w:val="00C111EB"/>
    <w:rsid w:val="00C166A5"/>
    <w:rsid w:val="00C17443"/>
    <w:rsid w:val="00C20369"/>
    <w:rsid w:val="00C213E5"/>
    <w:rsid w:val="00C22C86"/>
    <w:rsid w:val="00C31499"/>
    <w:rsid w:val="00C3771F"/>
    <w:rsid w:val="00C409CC"/>
    <w:rsid w:val="00C40E92"/>
    <w:rsid w:val="00C41C5E"/>
    <w:rsid w:val="00C425A8"/>
    <w:rsid w:val="00C43C30"/>
    <w:rsid w:val="00C452C0"/>
    <w:rsid w:val="00C520D5"/>
    <w:rsid w:val="00C52441"/>
    <w:rsid w:val="00C55F80"/>
    <w:rsid w:val="00C56261"/>
    <w:rsid w:val="00C609B6"/>
    <w:rsid w:val="00C6285E"/>
    <w:rsid w:val="00C65A60"/>
    <w:rsid w:val="00C665FF"/>
    <w:rsid w:val="00C668DC"/>
    <w:rsid w:val="00C81ACF"/>
    <w:rsid w:val="00C81BC5"/>
    <w:rsid w:val="00C83CA2"/>
    <w:rsid w:val="00C83DFF"/>
    <w:rsid w:val="00C90E71"/>
    <w:rsid w:val="00CA197F"/>
    <w:rsid w:val="00CA2C08"/>
    <w:rsid w:val="00CA2CE1"/>
    <w:rsid w:val="00CA3F9F"/>
    <w:rsid w:val="00CA4309"/>
    <w:rsid w:val="00CA567A"/>
    <w:rsid w:val="00CA6BDA"/>
    <w:rsid w:val="00CA6F81"/>
    <w:rsid w:val="00CB00CA"/>
    <w:rsid w:val="00CB1825"/>
    <w:rsid w:val="00CB2719"/>
    <w:rsid w:val="00CD02EC"/>
    <w:rsid w:val="00CD08E3"/>
    <w:rsid w:val="00CD35EC"/>
    <w:rsid w:val="00CD76B1"/>
    <w:rsid w:val="00CD775B"/>
    <w:rsid w:val="00CD7865"/>
    <w:rsid w:val="00CE07D6"/>
    <w:rsid w:val="00CE3288"/>
    <w:rsid w:val="00CE41BC"/>
    <w:rsid w:val="00CE60A4"/>
    <w:rsid w:val="00CE699C"/>
    <w:rsid w:val="00CF239C"/>
    <w:rsid w:val="00CF2C02"/>
    <w:rsid w:val="00CF43CC"/>
    <w:rsid w:val="00CF4B18"/>
    <w:rsid w:val="00CF55A1"/>
    <w:rsid w:val="00D0132C"/>
    <w:rsid w:val="00D044E9"/>
    <w:rsid w:val="00D0728B"/>
    <w:rsid w:val="00D14E78"/>
    <w:rsid w:val="00D176CC"/>
    <w:rsid w:val="00D21C17"/>
    <w:rsid w:val="00D260D6"/>
    <w:rsid w:val="00D31BB3"/>
    <w:rsid w:val="00D33D09"/>
    <w:rsid w:val="00D33D7E"/>
    <w:rsid w:val="00D3519B"/>
    <w:rsid w:val="00D37BC8"/>
    <w:rsid w:val="00D37E4E"/>
    <w:rsid w:val="00D400E9"/>
    <w:rsid w:val="00D4043D"/>
    <w:rsid w:val="00D418EB"/>
    <w:rsid w:val="00D5088D"/>
    <w:rsid w:val="00D51623"/>
    <w:rsid w:val="00D51799"/>
    <w:rsid w:val="00D52CBE"/>
    <w:rsid w:val="00D53668"/>
    <w:rsid w:val="00D55E37"/>
    <w:rsid w:val="00D613C6"/>
    <w:rsid w:val="00D6193C"/>
    <w:rsid w:val="00D61951"/>
    <w:rsid w:val="00D63C2D"/>
    <w:rsid w:val="00D66D20"/>
    <w:rsid w:val="00D66DC8"/>
    <w:rsid w:val="00D70D10"/>
    <w:rsid w:val="00D738B0"/>
    <w:rsid w:val="00D73B5A"/>
    <w:rsid w:val="00D745B2"/>
    <w:rsid w:val="00D74DFC"/>
    <w:rsid w:val="00D83E80"/>
    <w:rsid w:val="00D857FD"/>
    <w:rsid w:val="00D87B99"/>
    <w:rsid w:val="00D90981"/>
    <w:rsid w:val="00DA07E9"/>
    <w:rsid w:val="00DA1031"/>
    <w:rsid w:val="00DA6B5E"/>
    <w:rsid w:val="00DB0642"/>
    <w:rsid w:val="00DB55F3"/>
    <w:rsid w:val="00DB6AD1"/>
    <w:rsid w:val="00DB6B68"/>
    <w:rsid w:val="00DC532A"/>
    <w:rsid w:val="00DD19FE"/>
    <w:rsid w:val="00DE0AA5"/>
    <w:rsid w:val="00DE0F32"/>
    <w:rsid w:val="00DE69DC"/>
    <w:rsid w:val="00DF0438"/>
    <w:rsid w:val="00DF2919"/>
    <w:rsid w:val="00DF37A1"/>
    <w:rsid w:val="00DF4012"/>
    <w:rsid w:val="00E02B85"/>
    <w:rsid w:val="00E04145"/>
    <w:rsid w:val="00E10631"/>
    <w:rsid w:val="00E10A91"/>
    <w:rsid w:val="00E11E6C"/>
    <w:rsid w:val="00E17022"/>
    <w:rsid w:val="00E25516"/>
    <w:rsid w:val="00E34BAB"/>
    <w:rsid w:val="00E41A37"/>
    <w:rsid w:val="00E43347"/>
    <w:rsid w:val="00E457FF"/>
    <w:rsid w:val="00E4775E"/>
    <w:rsid w:val="00E50FFE"/>
    <w:rsid w:val="00E51A3C"/>
    <w:rsid w:val="00E5707B"/>
    <w:rsid w:val="00E6342E"/>
    <w:rsid w:val="00E64E9D"/>
    <w:rsid w:val="00E667C3"/>
    <w:rsid w:val="00E678C8"/>
    <w:rsid w:val="00E67EDB"/>
    <w:rsid w:val="00E73EBE"/>
    <w:rsid w:val="00E75B82"/>
    <w:rsid w:val="00E81273"/>
    <w:rsid w:val="00E85C74"/>
    <w:rsid w:val="00E92491"/>
    <w:rsid w:val="00E92F58"/>
    <w:rsid w:val="00E95A9C"/>
    <w:rsid w:val="00EA1071"/>
    <w:rsid w:val="00EA62EF"/>
    <w:rsid w:val="00EA68DD"/>
    <w:rsid w:val="00EB2E66"/>
    <w:rsid w:val="00EB7036"/>
    <w:rsid w:val="00EC049F"/>
    <w:rsid w:val="00EC29C5"/>
    <w:rsid w:val="00EC717E"/>
    <w:rsid w:val="00EC7938"/>
    <w:rsid w:val="00ED01B2"/>
    <w:rsid w:val="00ED0494"/>
    <w:rsid w:val="00ED1873"/>
    <w:rsid w:val="00ED2059"/>
    <w:rsid w:val="00ED378A"/>
    <w:rsid w:val="00EE0AFA"/>
    <w:rsid w:val="00EE0FD3"/>
    <w:rsid w:val="00EE5001"/>
    <w:rsid w:val="00EE641E"/>
    <w:rsid w:val="00EE7246"/>
    <w:rsid w:val="00EF0ADB"/>
    <w:rsid w:val="00EF162B"/>
    <w:rsid w:val="00EF2ACE"/>
    <w:rsid w:val="00EF46E5"/>
    <w:rsid w:val="00EF4898"/>
    <w:rsid w:val="00F0053F"/>
    <w:rsid w:val="00F03A70"/>
    <w:rsid w:val="00F07040"/>
    <w:rsid w:val="00F074EA"/>
    <w:rsid w:val="00F07AEB"/>
    <w:rsid w:val="00F16CBC"/>
    <w:rsid w:val="00F21997"/>
    <w:rsid w:val="00F226B1"/>
    <w:rsid w:val="00F23158"/>
    <w:rsid w:val="00F265A4"/>
    <w:rsid w:val="00F26BAF"/>
    <w:rsid w:val="00F26F7E"/>
    <w:rsid w:val="00F272DD"/>
    <w:rsid w:val="00F303A8"/>
    <w:rsid w:val="00F31032"/>
    <w:rsid w:val="00F324DE"/>
    <w:rsid w:val="00F36242"/>
    <w:rsid w:val="00F4131A"/>
    <w:rsid w:val="00F44A9C"/>
    <w:rsid w:val="00F47219"/>
    <w:rsid w:val="00F50C39"/>
    <w:rsid w:val="00F549D4"/>
    <w:rsid w:val="00F5511B"/>
    <w:rsid w:val="00F619C0"/>
    <w:rsid w:val="00F64728"/>
    <w:rsid w:val="00F77B41"/>
    <w:rsid w:val="00F81ECE"/>
    <w:rsid w:val="00F82C17"/>
    <w:rsid w:val="00F83654"/>
    <w:rsid w:val="00F83FD4"/>
    <w:rsid w:val="00F849B7"/>
    <w:rsid w:val="00F92BE6"/>
    <w:rsid w:val="00F96667"/>
    <w:rsid w:val="00F967D9"/>
    <w:rsid w:val="00F96DE5"/>
    <w:rsid w:val="00FA010B"/>
    <w:rsid w:val="00FA1273"/>
    <w:rsid w:val="00FA28AA"/>
    <w:rsid w:val="00FA577C"/>
    <w:rsid w:val="00FA7890"/>
    <w:rsid w:val="00FB0A30"/>
    <w:rsid w:val="00FB21B3"/>
    <w:rsid w:val="00FB2DF6"/>
    <w:rsid w:val="00FB4E2D"/>
    <w:rsid w:val="00FB6225"/>
    <w:rsid w:val="00FB6291"/>
    <w:rsid w:val="00FB7B62"/>
    <w:rsid w:val="00FC26DA"/>
    <w:rsid w:val="00FC3BF5"/>
    <w:rsid w:val="00FC4938"/>
    <w:rsid w:val="00FC4D9F"/>
    <w:rsid w:val="00FC5D93"/>
    <w:rsid w:val="00FD0411"/>
    <w:rsid w:val="00FD1006"/>
    <w:rsid w:val="00FD1039"/>
    <w:rsid w:val="00FD1AFC"/>
    <w:rsid w:val="00FD1E48"/>
    <w:rsid w:val="00FD2993"/>
    <w:rsid w:val="00FD3B6C"/>
    <w:rsid w:val="00FD3D9E"/>
    <w:rsid w:val="00FD417A"/>
    <w:rsid w:val="00FD603A"/>
    <w:rsid w:val="00FD639F"/>
    <w:rsid w:val="00FD666D"/>
    <w:rsid w:val="00FE4571"/>
    <w:rsid w:val="00FE67B2"/>
    <w:rsid w:val="00FF3EA0"/>
    <w:rsid w:val="00FF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771BE9"/>
  <w15:chartTrackingRefBased/>
  <w15:docId w15:val="{EE5689C9-1957-4BFF-873D-B9A4F5C7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Pr>
      <w:sz w:val="24"/>
      <w:szCs w:val="24"/>
      <w:lang w:val="lv-LV" w:eastAsia="lv-LV"/>
    </w:rPr>
  </w:style>
  <w:style w:type="paragraph" w:styleId="Virsraksts2">
    <w:name w:val="heading 2"/>
    <w:basedOn w:val="Parasts"/>
    <w:next w:val="Parasts"/>
    <w:qFormat/>
    <w:rsid w:val="002C0C98"/>
    <w:pPr>
      <w:keepNext/>
      <w:outlineLvl w:val="1"/>
    </w:pPr>
    <w:rPr>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5F740D"/>
    <w:rPr>
      <w:color w:val="0000FF"/>
      <w:u w:val="single"/>
    </w:rPr>
  </w:style>
  <w:style w:type="paragraph" w:customStyle="1" w:styleId="naisnod">
    <w:name w:val="naisnod"/>
    <w:basedOn w:val="Parasts"/>
    <w:rsid w:val="005F740D"/>
    <w:pPr>
      <w:spacing w:before="100" w:beforeAutospacing="1" w:after="100" w:afterAutospacing="1"/>
    </w:pPr>
  </w:style>
  <w:style w:type="paragraph" w:customStyle="1" w:styleId="naisf">
    <w:name w:val="naisf"/>
    <w:basedOn w:val="Parasts"/>
    <w:rsid w:val="005F740D"/>
    <w:pPr>
      <w:spacing w:before="100" w:beforeAutospacing="1" w:after="100" w:afterAutospacing="1"/>
    </w:pPr>
  </w:style>
  <w:style w:type="paragraph" w:customStyle="1" w:styleId="naisc">
    <w:name w:val="naisc"/>
    <w:basedOn w:val="Parasts"/>
    <w:rsid w:val="005F740D"/>
    <w:pPr>
      <w:spacing w:before="100" w:beforeAutospacing="1" w:after="100" w:afterAutospacing="1"/>
    </w:pPr>
  </w:style>
  <w:style w:type="paragraph" w:customStyle="1" w:styleId="naiskr">
    <w:name w:val="naiskr"/>
    <w:basedOn w:val="Parasts"/>
    <w:rsid w:val="005F740D"/>
    <w:pPr>
      <w:spacing w:before="100" w:beforeAutospacing="1" w:after="100" w:afterAutospacing="1"/>
    </w:pPr>
  </w:style>
  <w:style w:type="paragraph" w:customStyle="1" w:styleId="naislab">
    <w:name w:val="naislab"/>
    <w:basedOn w:val="Parasts"/>
    <w:rsid w:val="005F740D"/>
    <w:pPr>
      <w:spacing w:before="100" w:beforeAutospacing="1" w:after="100" w:afterAutospacing="1"/>
    </w:pPr>
  </w:style>
  <w:style w:type="paragraph" w:customStyle="1" w:styleId="CharChar">
    <w:name w:val="Char Char"/>
    <w:basedOn w:val="Parasts"/>
    <w:rsid w:val="005F740D"/>
    <w:rPr>
      <w:lang w:val="pl-PL" w:eastAsia="pl-PL"/>
    </w:rPr>
  </w:style>
  <w:style w:type="table" w:styleId="Reatabula">
    <w:name w:val="Table Grid"/>
    <w:basedOn w:val="Parastatabula"/>
    <w:rsid w:val="005F7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2C0C98"/>
    <w:pPr>
      <w:ind w:left="720"/>
      <w:contextualSpacing/>
    </w:pPr>
    <w:rPr>
      <w:lang w:val="en-GB" w:eastAsia="en-US"/>
    </w:rPr>
  </w:style>
  <w:style w:type="paragraph" w:styleId="Kjene">
    <w:name w:val="footer"/>
    <w:basedOn w:val="Parasts"/>
    <w:rsid w:val="002C0C98"/>
    <w:pPr>
      <w:tabs>
        <w:tab w:val="center" w:pos="4153"/>
        <w:tab w:val="right" w:pos="8306"/>
      </w:tabs>
    </w:pPr>
    <w:rPr>
      <w:lang w:val="en-GB" w:eastAsia="en-US"/>
    </w:rPr>
  </w:style>
  <w:style w:type="paragraph" w:customStyle="1" w:styleId="Texts">
    <w:name w:val="Texts"/>
    <w:basedOn w:val="Parasts"/>
    <w:rsid w:val="002C0C98"/>
    <w:pPr>
      <w:numPr>
        <w:numId w:val="2"/>
      </w:numPr>
      <w:jc w:val="both"/>
    </w:pPr>
    <w:rPr>
      <w:sz w:val="28"/>
      <w:szCs w:val="28"/>
    </w:rPr>
  </w:style>
  <w:style w:type="paragraph" w:styleId="Pamatteksts2">
    <w:name w:val="Body Text 2"/>
    <w:basedOn w:val="Parasts"/>
    <w:rsid w:val="00C81BC5"/>
    <w:pPr>
      <w:jc w:val="both"/>
    </w:pPr>
    <w:rPr>
      <w:sz w:val="28"/>
      <w:szCs w:val="20"/>
      <w:lang w:eastAsia="en-US"/>
    </w:rPr>
  </w:style>
  <w:style w:type="paragraph" w:customStyle="1" w:styleId="Default">
    <w:name w:val="Default"/>
    <w:uiPriority w:val="99"/>
    <w:rsid w:val="00585FCA"/>
    <w:pPr>
      <w:autoSpaceDE w:val="0"/>
      <w:autoSpaceDN w:val="0"/>
      <w:adjustRightInd w:val="0"/>
    </w:pPr>
    <w:rPr>
      <w:color w:val="000000"/>
      <w:sz w:val="24"/>
      <w:szCs w:val="24"/>
      <w:lang w:val="lv-LV" w:eastAsia="lv-LV"/>
    </w:rPr>
  </w:style>
  <w:style w:type="paragraph" w:styleId="Pamattekstsaratkpi">
    <w:name w:val="Body Text Indent"/>
    <w:basedOn w:val="Parasts"/>
    <w:rsid w:val="00FD3B6C"/>
    <w:pPr>
      <w:spacing w:after="120"/>
      <w:ind w:left="283"/>
    </w:pPr>
    <w:rPr>
      <w:lang w:val="en-GB" w:eastAsia="en-US"/>
    </w:rPr>
  </w:style>
  <w:style w:type="character" w:styleId="Komentraatsauce">
    <w:name w:val="annotation reference"/>
    <w:rsid w:val="004F6B5C"/>
    <w:rPr>
      <w:sz w:val="16"/>
      <w:szCs w:val="16"/>
    </w:rPr>
  </w:style>
  <w:style w:type="paragraph" w:styleId="Komentrateksts">
    <w:name w:val="annotation text"/>
    <w:basedOn w:val="Parasts"/>
    <w:link w:val="KomentratekstsRakstz"/>
    <w:rsid w:val="004F6B5C"/>
    <w:rPr>
      <w:sz w:val="20"/>
      <w:szCs w:val="20"/>
    </w:rPr>
  </w:style>
  <w:style w:type="paragraph" w:styleId="Komentratma">
    <w:name w:val="annotation subject"/>
    <w:basedOn w:val="Komentrateksts"/>
    <w:next w:val="Komentrateksts"/>
    <w:semiHidden/>
    <w:rsid w:val="004F6B5C"/>
    <w:rPr>
      <w:b/>
      <w:bCs/>
    </w:rPr>
  </w:style>
  <w:style w:type="paragraph" w:styleId="Balonteksts">
    <w:name w:val="Balloon Text"/>
    <w:basedOn w:val="Parasts"/>
    <w:link w:val="BalontekstsRakstz"/>
    <w:uiPriority w:val="99"/>
    <w:semiHidden/>
    <w:rsid w:val="004F6B5C"/>
    <w:rPr>
      <w:rFonts w:ascii="Tahoma" w:hAnsi="Tahoma" w:cs="Tahoma"/>
      <w:sz w:val="16"/>
      <w:szCs w:val="16"/>
    </w:rPr>
  </w:style>
  <w:style w:type="paragraph" w:styleId="Galvene">
    <w:name w:val="header"/>
    <w:basedOn w:val="Parasts"/>
    <w:link w:val="GalveneRakstz"/>
    <w:uiPriority w:val="99"/>
    <w:rsid w:val="003406DB"/>
    <w:pPr>
      <w:tabs>
        <w:tab w:val="center" w:pos="4153"/>
        <w:tab w:val="right" w:pos="8306"/>
      </w:tabs>
    </w:pPr>
    <w:rPr>
      <w:lang w:val="x-none" w:eastAsia="x-none"/>
    </w:rPr>
  </w:style>
  <w:style w:type="character" w:styleId="Lappusesnumurs">
    <w:name w:val="page number"/>
    <w:basedOn w:val="Noklusjumarindkopasfonts"/>
    <w:rsid w:val="00EC29C5"/>
  </w:style>
  <w:style w:type="paragraph" w:styleId="Pamatteksts">
    <w:name w:val="Body Text"/>
    <w:basedOn w:val="Parasts"/>
    <w:rsid w:val="00976112"/>
    <w:pPr>
      <w:spacing w:after="120"/>
    </w:pPr>
    <w:rPr>
      <w:sz w:val="28"/>
      <w:szCs w:val="20"/>
      <w:lang w:val="en-GB" w:eastAsia="en-US"/>
    </w:rPr>
  </w:style>
  <w:style w:type="character" w:customStyle="1" w:styleId="GalveneRakstz">
    <w:name w:val="Galvene Rakstz."/>
    <w:link w:val="Galvene"/>
    <w:uiPriority w:val="99"/>
    <w:rsid w:val="00747C9A"/>
    <w:rPr>
      <w:sz w:val="24"/>
      <w:szCs w:val="24"/>
    </w:rPr>
  </w:style>
  <w:style w:type="paragraph" w:customStyle="1" w:styleId="ListParagraph1">
    <w:name w:val="List Paragraph1"/>
    <w:basedOn w:val="Parasts"/>
    <w:rsid w:val="00FC4938"/>
    <w:pPr>
      <w:spacing w:after="200" w:line="276" w:lineRule="auto"/>
      <w:ind w:left="720"/>
    </w:pPr>
    <w:rPr>
      <w:rFonts w:ascii="Calibri" w:hAnsi="Calibri"/>
      <w:sz w:val="22"/>
      <w:szCs w:val="22"/>
      <w:lang w:eastAsia="en-US"/>
    </w:rPr>
  </w:style>
  <w:style w:type="character" w:customStyle="1" w:styleId="KomentratekstsRakstz">
    <w:name w:val="Komentāra teksts Rakstz."/>
    <w:link w:val="Komentrateksts"/>
    <w:rsid w:val="00B33E27"/>
  </w:style>
  <w:style w:type="paragraph" w:customStyle="1" w:styleId="CM4">
    <w:name w:val="CM4"/>
    <w:basedOn w:val="Default"/>
    <w:next w:val="Default"/>
    <w:uiPriority w:val="99"/>
    <w:rsid w:val="009A488A"/>
    <w:rPr>
      <w:color w:val="auto"/>
    </w:rPr>
  </w:style>
  <w:style w:type="character" w:customStyle="1" w:styleId="skypepnhcontainer">
    <w:name w:val="skype_pnh_container"/>
    <w:rsid w:val="004C3ED1"/>
  </w:style>
  <w:style w:type="character" w:customStyle="1" w:styleId="skypepnhtextspan">
    <w:name w:val="skype_pnh_text_span"/>
    <w:rsid w:val="004C3ED1"/>
  </w:style>
  <w:style w:type="character" w:customStyle="1" w:styleId="skypepnhrightspan">
    <w:name w:val="skype_pnh_right_span"/>
    <w:rsid w:val="004C3ED1"/>
  </w:style>
  <w:style w:type="paragraph" w:customStyle="1" w:styleId="norm">
    <w:name w:val="norm"/>
    <w:basedOn w:val="Parasts"/>
    <w:rsid w:val="00D0132C"/>
    <w:pPr>
      <w:spacing w:before="100" w:beforeAutospacing="1" w:after="100" w:afterAutospacing="1"/>
    </w:pPr>
    <w:rPr>
      <w:lang w:val="en-US" w:eastAsia="en-US"/>
    </w:rPr>
  </w:style>
  <w:style w:type="paragraph" w:styleId="Bezatstarpm">
    <w:name w:val="No Spacing"/>
    <w:uiPriority w:val="1"/>
    <w:qFormat/>
    <w:rsid w:val="006D5B4B"/>
    <w:pPr>
      <w:widowControl w:val="0"/>
      <w:spacing w:after="200"/>
    </w:pPr>
    <w:rPr>
      <w:rFonts w:ascii="Calibri" w:eastAsia="Calibri" w:hAnsi="Calibri"/>
      <w:sz w:val="22"/>
      <w:szCs w:val="24"/>
    </w:rPr>
  </w:style>
  <w:style w:type="paragraph" w:customStyle="1" w:styleId="tv213">
    <w:name w:val="tv213"/>
    <w:basedOn w:val="Parasts"/>
    <w:rsid w:val="006D5B4B"/>
    <w:pPr>
      <w:spacing w:before="100" w:beforeAutospacing="1" w:after="100" w:afterAutospacing="1"/>
    </w:pPr>
    <w:rPr>
      <w:lang w:val="en-US" w:eastAsia="en-US"/>
    </w:rPr>
  </w:style>
  <w:style w:type="paragraph" w:customStyle="1" w:styleId="tvhtml">
    <w:name w:val="tv_html"/>
    <w:basedOn w:val="Parasts"/>
    <w:rsid w:val="003532EF"/>
    <w:pPr>
      <w:spacing w:before="100" w:beforeAutospacing="1" w:after="100" w:afterAutospacing="1"/>
    </w:pPr>
  </w:style>
  <w:style w:type="paragraph" w:styleId="Vresteksts">
    <w:name w:val="footnote text"/>
    <w:basedOn w:val="Parasts"/>
    <w:link w:val="VrestekstsRakstz"/>
    <w:uiPriority w:val="99"/>
    <w:unhideWhenUsed/>
    <w:rsid w:val="001252ED"/>
    <w:rPr>
      <w:rFonts w:eastAsia="Calibri"/>
      <w:sz w:val="20"/>
      <w:szCs w:val="20"/>
      <w:lang w:eastAsia="en-US"/>
    </w:rPr>
  </w:style>
  <w:style w:type="character" w:customStyle="1" w:styleId="VrestekstsRakstz">
    <w:name w:val="Vēres teksts Rakstz."/>
    <w:link w:val="Vresteksts"/>
    <w:uiPriority w:val="99"/>
    <w:rsid w:val="001252ED"/>
    <w:rPr>
      <w:rFonts w:eastAsia="Calibri"/>
      <w:lang w:val="lv-LV"/>
    </w:rPr>
  </w:style>
  <w:style w:type="character" w:styleId="Vresatsauce">
    <w:name w:val="footnote reference"/>
    <w:uiPriority w:val="99"/>
    <w:unhideWhenUsed/>
    <w:rsid w:val="001252ED"/>
    <w:rPr>
      <w:vertAlign w:val="superscript"/>
    </w:rPr>
  </w:style>
  <w:style w:type="character" w:customStyle="1" w:styleId="BalontekstsRakstz">
    <w:name w:val="Balonteksts Rakstz."/>
    <w:link w:val="Balonteksts"/>
    <w:uiPriority w:val="99"/>
    <w:semiHidden/>
    <w:rsid w:val="00767C2F"/>
    <w:rPr>
      <w:rFonts w:ascii="Tahoma" w:hAnsi="Tahoma" w:cs="Tahoma"/>
      <w:sz w:val="16"/>
      <w:szCs w:val="16"/>
      <w:lang w:val="lv-LV" w:eastAsia="lv-LV"/>
    </w:rPr>
  </w:style>
  <w:style w:type="paragraph" w:customStyle="1" w:styleId="tv2132">
    <w:name w:val="tv2132"/>
    <w:basedOn w:val="Parasts"/>
    <w:rsid w:val="00C6285E"/>
    <w:pPr>
      <w:spacing w:line="360" w:lineRule="auto"/>
      <w:ind w:firstLine="300"/>
    </w:pPr>
    <w:rPr>
      <w:color w:val="414142"/>
      <w:sz w:val="20"/>
      <w:szCs w:val="20"/>
    </w:rPr>
  </w:style>
  <w:style w:type="character" w:styleId="Izteiksmgs">
    <w:name w:val="Strong"/>
    <w:qFormat/>
    <w:rsid w:val="00D0728B"/>
    <w:rPr>
      <w:b/>
      <w:bCs/>
    </w:rPr>
  </w:style>
  <w:style w:type="paragraph" w:styleId="Paraststmeklis">
    <w:name w:val="Normal (Web)"/>
    <w:basedOn w:val="Parasts"/>
    <w:uiPriority w:val="99"/>
    <w:rsid w:val="00D0728B"/>
    <w:pPr>
      <w:spacing w:before="75" w:after="75"/>
    </w:pPr>
  </w:style>
  <w:style w:type="character" w:customStyle="1" w:styleId="tvhtml1">
    <w:name w:val="tv_html1"/>
    <w:basedOn w:val="Noklusjumarindkopasfonts"/>
    <w:rsid w:val="00963D56"/>
  </w:style>
  <w:style w:type="character" w:styleId="Izclums">
    <w:name w:val="Emphasis"/>
    <w:basedOn w:val="Noklusjumarindkopasfonts"/>
    <w:uiPriority w:val="20"/>
    <w:qFormat/>
    <w:rsid w:val="00696CF0"/>
    <w:rPr>
      <w:i/>
      <w:iCs/>
    </w:rPr>
  </w:style>
  <w:style w:type="character" w:customStyle="1" w:styleId="Neatrisintapieminana1">
    <w:name w:val="Neatrisināta pieminēšana1"/>
    <w:basedOn w:val="Noklusjumarindkopasfonts"/>
    <w:uiPriority w:val="99"/>
    <w:semiHidden/>
    <w:unhideWhenUsed/>
    <w:rsid w:val="00417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194274">
      <w:bodyDiv w:val="1"/>
      <w:marLeft w:val="0"/>
      <w:marRight w:val="0"/>
      <w:marTop w:val="0"/>
      <w:marBottom w:val="0"/>
      <w:divBdr>
        <w:top w:val="none" w:sz="0" w:space="0" w:color="auto"/>
        <w:left w:val="none" w:sz="0" w:space="0" w:color="auto"/>
        <w:bottom w:val="none" w:sz="0" w:space="0" w:color="auto"/>
        <w:right w:val="none" w:sz="0" w:space="0" w:color="auto"/>
      </w:divBdr>
    </w:div>
    <w:div w:id="806094102">
      <w:bodyDiv w:val="1"/>
      <w:marLeft w:val="0"/>
      <w:marRight w:val="0"/>
      <w:marTop w:val="0"/>
      <w:marBottom w:val="0"/>
      <w:divBdr>
        <w:top w:val="none" w:sz="0" w:space="0" w:color="auto"/>
        <w:left w:val="none" w:sz="0" w:space="0" w:color="auto"/>
        <w:bottom w:val="none" w:sz="0" w:space="0" w:color="auto"/>
        <w:right w:val="none" w:sz="0" w:space="0" w:color="auto"/>
      </w:divBdr>
    </w:div>
    <w:div w:id="997269702">
      <w:bodyDiv w:val="1"/>
      <w:marLeft w:val="0"/>
      <w:marRight w:val="0"/>
      <w:marTop w:val="0"/>
      <w:marBottom w:val="0"/>
      <w:divBdr>
        <w:top w:val="none" w:sz="0" w:space="0" w:color="auto"/>
        <w:left w:val="none" w:sz="0" w:space="0" w:color="auto"/>
        <w:bottom w:val="none" w:sz="0" w:space="0" w:color="auto"/>
        <w:right w:val="none" w:sz="0" w:space="0" w:color="auto"/>
      </w:divBdr>
      <w:divsChild>
        <w:div w:id="2043239926">
          <w:marLeft w:val="0"/>
          <w:marRight w:val="0"/>
          <w:marTop w:val="0"/>
          <w:marBottom w:val="0"/>
          <w:divBdr>
            <w:top w:val="none" w:sz="0" w:space="0" w:color="auto"/>
            <w:left w:val="none" w:sz="0" w:space="0" w:color="auto"/>
            <w:bottom w:val="none" w:sz="0" w:space="0" w:color="auto"/>
            <w:right w:val="none" w:sz="0" w:space="0" w:color="auto"/>
          </w:divBdr>
          <w:divsChild>
            <w:div w:id="1396588178">
              <w:marLeft w:val="0"/>
              <w:marRight w:val="0"/>
              <w:marTop w:val="0"/>
              <w:marBottom w:val="0"/>
              <w:divBdr>
                <w:top w:val="none" w:sz="0" w:space="0" w:color="auto"/>
                <w:left w:val="none" w:sz="0" w:space="0" w:color="auto"/>
                <w:bottom w:val="none" w:sz="0" w:space="0" w:color="auto"/>
                <w:right w:val="none" w:sz="0" w:space="0" w:color="auto"/>
              </w:divBdr>
              <w:divsChild>
                <w:div w:id="1113474625">
                  <w:marLeft w:val="0"/>
                  <w:marRight w:val="0"/>
                  <w:marTop w:val="0"/>
                  <w:marBottom w:val="0"/>
                  <w:divBdr>
                    <w:top w:val="none" w:sz="0" w:space="0" w:color="auto"/>
                    <w:left w:val="none" w:sz="0" w:space="0" w:color="auto"/>
                    <w:bottom w:val="none" w:sz="0" w:space="0" w:color="auto"/>
                    <w:right w:val="none" w:sz="0" w:space="0" w:color="auto"/>
                  </w:divBdr>
                  <w:divsChild>
                    <w:div w:id="1462381496">
                      <w:marLeft w:val="0"/>
                      <w:marRight w:val="0"/>
                      <w:marTop w:val="0"/>
                      <w:marBottom w:val="0"/>
                      <w:divBdr>
                        <w:top w:val="none" w:sz="0" w:space="0" w:color="auto"/>
                        <w:left w:val="none" w:sz="0" w:space="0" w:color="auto"/>
                        <w:bottom w:val="none" w:sz="0" w:space="0" w:color="auto"/>
                        <w:right w:val="none" w:sz="0" w:space="0" w:color="auto"/>
                      </w:divBdr>
                      <w:divsChild>
                        <w:div w:id="1811941465">
                          <w:marLeft w:val="0"/>
                          <w:marRight w:val="0"/>
                          <w:marTop w:val="0"/>
                          <w:marBottom w:val="0"/>
                          <w:divBdr>
                            <w:top w:val="none" w:sz="0" w:space="0" w:color="auto"/>
                            <w:left w:val="none" w:sz="0" w:space="0" w:color="auto"/>
                            <w:bottom w:val="none" w:sz="0" w:space="0" w:color="auto"/>
                            <w:right w:val="none" w:sz="0" w:space="0" w:color="auto"/>
                          </w:divBdr>
                          <w:divsChild>
                            <w:div w:id="7272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655988">
      <w:bodyDiv w:val="1"/>
      <w:marLeft w:val="0"/>
      <w:marRight w:val="0"/>
      <w:marTop w:val="0"/>
      <w:marBottom w:val="0"/>
      <w:divBdr>
        <w:top w:val="none" w:sz="0" w:space="0" w:color="auto"/>
        <w:left w:val="none" w:sz="0" w:space="0" w:color="auto"/>
        <w:bottom w:val="none" w:sz="0" w:space="0" w:color="auto"/>
        <w:right w:val="none" w:sz="0" w:space="0" w:color="auto"/>
      </w:divBdr>
    </w:div>
    <w:div w:id="1892693677">
      <w:bodyDiv w:val="1"/>
      <w:marLeft w:val="0"/>
      <w:marRight w:val="0"/>
      <w:marTop w:val="0"/>
      <w:marBottom w:val="0"/>
      <w:divBdr>
        <w:top w:val="none" w:sz="0" w:space="0" w:color="auto"/>
        <w:left w:val="none" w:sz="0" w:space="0" w:color="auto"/>
        <w:bottom w:val="none" w:sz="0" w:space="0" w:color="auto"/>
        <w:right w:val="none" w:sz="0" w:space="0" w:color="auto"/>
      </w:divBdr>
    </w:div>
    <w:div w:id="1938050897">
      <w:bodyDiv w:val="1"/>
      <w:marLeft w:val="0"/>
      <w:marRight w:val="0"/>
      <w:marTop w:val="0"/>
      <w:marBottom w:val="0"/>
      <w:divBdr>
        <w:top w:val="none" w:sz="0" w:space="0" w:color="auto"/>
        <w:left w:val="none" w:sz="0" w:space="0" w:color="auto"/>
        <w:bottom w:val="none" w:sz="0" w:space="0" w:color="auto"/>
        <w:right w:val="none" w:sz="0" w:space="0" w:color="auto"/>
      </w:divBdr>
    </w:div>
    <w:div w:id="202574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23B79-723D-41F1-BA85-28825F72A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1689</Words>
  <Characters>12338</Characters>
  <Application>Microsoft Office Word</Application>
  <DocSecurity>0</DocSecurity>
  <Lines>102</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Valsts un Eiropas Savienības atbalsta piešķiršanas, administrēšanas un uzraudzības kārtība augļu, dārzeņu, un piena piegādei izglītības iestādēm</vt:lpstr>
      <vt:lpstr>Valsts un Eiropas Savienības atbalsta piešķiršanas, administrēšanas un uzraudzības kārtība augļu, dārzeņu, un piena piegādei izglītības iestādēm</vt:lpstr>
    </vt:vector>
  </TitlesOfParts>
  <Company>Zemkopības ministrija</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 gada 20. marta noteikumos Nr. 171 “Lauksaimniecības un pārstrādāto lauksaimniecības produktu Eiropas Savienības licencēšanas un tarifu kvotu sistēmu administrēšanas kārtība”</dc:title>
  <dc:subject>Izziņa par atzinumos sniegtajiem iebildumiem</dc:subject>
  <dc:creator>Marija.Dobele@zm.gov.lv</dc:creator>
  <cp:keywords>Izziņa par atzinumos sniegtajiem iebildumiem</cp:keywords>
  <dc:description>Marija.Dobele@zm.gov.lv
t. 67027325</dc:description>
  <cp:lastModifiedBy>Sanita Papinova</cp:lastModifiedBy>
  <cp:revision>23</cp:revision>
  <cp:lastPrinted>2010-08-02T10:29:00Z</cp:lastPrinted>
  <dcterms:created xsi:type="dcterms:W3CDTF">2020-10-22T07:18:00Z</dcterms:created>
  <dcterms:modified xsi:type="dcterms:W3CDTF">2020-11-24T14:21:00Z</dcterms:modified>
</cp:coreProperties>
</file>