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88" w:rsidRPr="002D7166" w:rsidRDefault="00BD5588" w:rsidP="0044051B">
      <w:pPr>
        <w:pStyle w:val="Title"/>
        <w:ind w:firstLine="539"/>
        <w:contextualSpacing/>
        <w:jc w:val="both"/>
        <w:rPr>
          <w:rFonts w:ascii="Cambria" w:hAnsi="Cambria"/>
          <w:sz w:val="19"/>
          <w:szCs w:val="19"/>
        </w:rPr>
      </w:pPr>
      <w:bookmarkStart w:id="0" w:name="_GoBack"/>
      <w:bookmarkEnd w:id="0"/>
    </w:p>
    <w:p w:rsidR="00BD5588" w:rsidRPr="0044051B" w:rsidRDefault="0044051B" w:rsidP="0044051B">
      <w:pPr>
        <w:shd w:val="clear" w:color="auto" w:fill="FFFFFF"/>
        <w:contextualSpacing/>
        <w:jc w:val="center"/>
        <w:rPr>
          <w:b/>
          <w:iCs/>
        </w:rPr>
      </w:pPr>
      <w:r>
        <w:rPr>
          <w:b/>
          <w:iCs/>
        </w:rPr>
        <w:t xml:space="preserve">Ministru kabineta noteikumu </w:t>
      </w:r>
      <w:r w:rsidR="00947538" w:rsidRPr="0044051B">
        <w:rPr>
          <w:b/>
          <w:iCs/>
        </w:rPr>
        <w:t>“</w:t>
      </w:r>
      <w:r w:rsidR="00947538" w:rsidRPr="0044051B">
        <w:rPr>
          <w:b/>
        </w:rPr>
        <w:t>Grozījumi Ministru kabineta 2004.gada 6.janvāra noteikumos Nr.21 „Valsts noslēpuma, Ziemeļatlantijas līguma organizācijas, Eiropas Savienības un ārvalstu institūciju klasificētās informācijas aizsardzības noteikumi</w:t>
      </w:r>
      <w:r>
        <w:rPr>
          <w:b/>
          <w:iCs/>
        </w:rPr>
        <w:t xml:space="preserve">” </w:t>
      </w:r>
      <w:r w:rsidR="00BD5588" w:rsidRPr="0044051B">
        <w:rPr>
          <w:b/>
          <w:bCs/>
        </w:rPr>
        <w:t>projekta sākotnējās ietekmes novērtējuma ziņojums (anotācija)</w:t>
      </w:r>
    </w:p>
    <w:p w:rsidR="00BD5588" w:rsidRPr="002D7166" w:rsidRDefault="00BD5588" w:rsidP="0044051B">
      <w:pPr>
        <w:pStyle w:val="Title"/>
        <w:ind w:firstLine="539"/>
        <w:contextualSpacing/>
        <w:jc w:val="both"/>
        <w:rPr>
          <w:rFonts w:ascii="Cambria" w:hAnsi="Cambria"/>
          <w:sz w:val="19"/>
          <w:szCs w:val="19"/>
        </w:rPr>
      </w:pPr>
    </w:p>
    <w:tbl>
      <w:tblPr>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82"/>
        <w:gridCol w:w="6606"/>
      </w:tblGrid>
      <w:tr w:rsidR="00BD5588" w:rsidRPr="002D7166" w:rsidTr="00947538">
        <w:trPr>
          <w:cantSplit/>
        </w:trPr>
        <w:tc>
          <w:tcPr>
            <w:tcW w:w="8959" w:type="dxa"/>
            <w:gridSpan w:val="2"/>
            <w:shd w:val="clear" w:color="auto" w:fill="FFFFFF"/>
            <w:vAlign w:val="center"/>
            <w:hideMark/>
          </w:tcPr>
          <w:p w:rsidR="00BD5588" w:rsidRPr="00C61384" w:rsidRDefault="00BD5588" w:rsidP="008A6A6F">
            <w:pPr>
              <w:jc w:val="center"/>
              <w:rPr>
                <w:b/>
                <w:iCs/>
                <w:lang w:eastAsia="en-US"/>
              </w:rPr>
            </w:pPr>
            <w:r w:rsidRPr="00C61384">
              <w:rPr>
                <w:b/>
                <w:iCs/>
                <w:sz w:val="22"/>
                <w:szCs w:val="22"/>
                <w:lang w:eastAsia="en-US"/>
              </w:rPr>
              <w:t>Tiesību akta projekta anotācijas kopsavilkums</w:t>
            </w:r>
          </w:p>
        </w:tc>
      </w:tr>
      <w:tr w:rsidR="00BD5588" w:rsidRPr="002D7166" w:rsidTr="00947538">
        <w:trPr>
          <w:cantSplit/>
        </w:trPr>
        <w:tc>
          <w:tcPr>
            <w:tcW w:w="2296" w:type="dxa"/>
            <w:shd w:val="clear" w:color="auto" w:fill="FFFFFF"/>
            <w:hideMark/>
          </w:tcPr>
          <w:p w:rsidR="00BD5588" w:rsidRPr="00C61384" w:rsidRDefault="00BD5588" w:rsidP="008A6A6F">
            <w:pPr>
              <w:rPr>
                <w:iCs/>
                <w:lang w:eastAsia="en-US"/>
              </w:rPr>
            </w:pPr>
            <w:r w:rsidRPr="00C61384">
              <w:rPr>
                <w:iCs/>
                <w:sz w:val="22"/>
                <w:szCs w:val="22"/>
                <w:lang w:eastAsia="en-US"/>
              </w:rPr>
              <w:t>Mērķis, risinājums un projekta spēkā stāšanās laiks (500 zīmes bez atstarpēm)</w:t>
            </w:r>
          </w:p>
        </w:tc>
        <w:tc>
          <w:tcPr>
            <w:tcW w:w="6663" w:type="dxa"/>
            <w:shd w:val="clear" w:color="auto" w:fill="FFFFFF"/>
            <w:hideMark/>
          </w:tcPr>
          <w:p w:rsidR="0092545C" w:rsidRPr="00C61384" w:rsidRDefault="00910296" w:rsidP="00AB51D2">
            <w:pPr>
              <w:ind w:firstLine="256"/>
              <w:jc w:val="both"/>
              <w:rPr>
                <w:iCs/>
              </w:rPr>
            </w:pPr>
            <w:r w:rsidRPr="00C61384">
              <w:rPr>
                <w:iCs/>
                <w:sz w:val="22"/>
                <w:szCs w:val="22"/>
              </w:rPr>
              <w:t>Projekts</w:t>
            </w:r>
            <w:r w:rsidR="003B21FB" w:rsidRPr="00C61384">
              <w:rPr>
                <w:iCs/>
                <w:sz w:val="22"/>
                <w:szCs w:val="22"/>
              </w:rPr>
              <w:t xml:space="preserve"> </w:t>
            </w:r>
            <w:r w:rsidR="0092545C" w:rsidRPr="00C61384">
              <w:rPr>
                <w:iCs/>
                <w:sz w:val="22"/>
                <w:szCs w:val="22"/>
              </w:rPr>
              <w:t>izstrādāts, lai:</w:t>
            </w:r>
          </w:p>
          <w:p w:rsidR="00295566" w:rsidRPr="00C61384" w:rsidRDefault="0092545C" w:rsidP="00AB51D2">
            <w:pPr>
              <w:ind w:firstLine="256"/>
              <w:jc w:val="both"/>
              <w:rPr>
                <w:iCs/>
              </w:rPr>
            </w:pPr>
            <w:r w:rsidRPr="00C61384">
              <w:rPr>
                <w:iCs/>
                <w:sz w:val="22"/>
                <w:szCs w:val="22"/>
              </w:rPr>
              <w:t xml:space="preserve">1) aktualizētu </w:t>
            </w:r>
            <w:r w:rsidR="00C27A95" w:rsidRPr="00C61384">
              <w:rPr>
                <w:iCs/>
                <w:sz w:val="22"/>
                <w:szCs w:val="22"/>
              </w:rPr>
              <w:t xml:space="preserve">noteikumu </w:t>
            </w:r>
            <w:r w:rsidRPr="00C61384">
              <w:rPr>
                <w:iCs/>
                <w:sz w:val="22"/>
                <w:szCs w:val="22"/>
              </w:rPr>
              <w:t xml:space="preserve">regulējumu, kas </w:t>
            </w:r>
            <w:r w:rsidR="00C27A95" w:rsidRPr="00C61384">
              <w:rPr>
                <w:iCs/>
                <w:sz w:val="22"/>
                <w:szCs w:val="22"/>
              </w:rPr>
              <w:t xml:space="preserve">vairs </w:t>
            </w:r>
            <w:r w:rsidRPr="00C61384">
              <w:rPr>
                <w:iCs/>
                <w:sz w:val="22"/>
                <w:szCs w:val="22"/>
              </w:rPr>
              <w:t>neatbilst mūsdienu iespējām un vajadzībām</w:t>
            </w:r>
            <w:r w:rsidR="00910296" w:rsidRPr="00C61384">
              <w:rPr>
                <w:iCs/>
                <w:sz w:val="22"/>
                <w:szCs w:val="22"/>
              </w:rPr>
              <w:t xml:space="preserve"> (</w:t>
            </w:r>
            <w:r w:rsidR="00552A65" w:rsidRPr="00C61384">
              <w:rPr>
                <w:iCs/>
                <w:sz w:val="22"/>
                <w:szCs w:val="22"/>
              </w:rPr>
              <w:t xml:space="preserve">elektroniska informācijas apmaiņa, </w:t>
            </w:r>
            <w:r w:rsidR="00910296" w:rsidRPr="00C61384">
              <w:rPr>
                <w:iCs/>
                <w:sz w:val="22"/>
                <w:szCs w:val="22"/>
              </w:rPr>
              <w:t>sadarbība ar ārvalstīm un starptautiskām organizācijām)</w:t>
            </w:r>
            <w:r w:rsidR="00295566" w:rsidRPr="00C61384">
              <w:rPr>
                <w:iCs/>
                <w:sz w:val="22"/>
                <w:szCs w:val="22"/>
              </w:rPr>
              <w:t>;</w:t>
            </w:r>
          </w:p>
          <w:p w:rsidR="0092545C" w:rsidRPr="00C61384" w:rsidRDefault="0092545C" w:rsidP="00AB51D2">
            <w:pPr>
              <w:ind w:firstLine="256"/>
              <w:jc w:val="both"/>
              <w:rPr>
                <w:iCs/>
              </w:rPr>
            </w:pPr>
            <w:r w:rsidRPr="00C61384">
              <w:rPr>
                <w:iCs/>
                <w:sz w:val="22"/>
                <w:szCs w:val="22"/>
              </w:rPr>
              <w:t>2) precizētu valsts drošības iestāžu kompetenc</w:t>
            </w:r>
            <w:r w:rsidR="00295566" w:rsidRPr="00C61384">
              <w:rPr>
                <w:iCs/>
                <w:sz w:val="22"/>
                <w:szCs w:val="22"/>
              </w:rPr>
              <w:t>i</w:t>
            </w:r>
            <w:r w:rsidRPr="00C61384">
              <w:rPr>
                <w:iCs/>
                <w:sz w:val="22"/>
                <w:szCs w:val="22"/>
              </w:rPr>
              <w:t xml:space="preserve"> atbilstoši likuma „Par valsts noslēpumu” regulējumam</w:t>
            </w:r>
            <w:r w:rsidR="00C27A95" w:rsidRPr="00C61384">
              <w:rPr>
                <w:iCs/>
                <w:sz w:val="22"/>
                <w:szCs w:val="22"/>
              </w:rPr>
              <w:t xml:space="preserve"> (attiecībā uz personu pārbaudēm, speciālo atļauju izsniegšanu, signālu izlūkošanas informācijas aizsardzību)</w:t>
            </w:r>
            <w:r w:rsidR="001E597B" w:rsidRPr="00C61384">
              <w:rPr>
                <w:iCs/>
                <w:sz w:val="22"/>
                <w:szCs w:val="22"/>
              </w:rPr>
              <w:t>;</w:t>
            </w:r>
          </w:p>
          <w:p w:rsidR="000B40E0" w:rsidRPr="00C61384" w:rsidRDefault="001E597B" w:rsidP="00AB51D2">
            <w:pPr>
              <w:ind w:firstLine="256"/>
              <w:jc w:val="both"/>
              <w:rPr>
                <w:iCs/>
              </w:rPr>
            </w:pPr>
            <w:r w:rsidRPr="00C61384">
              <w:rPr>
                <w:iCs/>
                <w:sz w:val="22"/>
                <w:szCs w:val="22"/>
              </w:rPr>
              <w:t xml:space="preserve">3) novērstu </w:t>
            </w:r>
            <w:r w:rsidR="007B4E46" w:rsidRPr="00C61384">
              <w:rPr>
                <w:iCs/>
                <w:sz w:val="22"/>
                <w:szCs w:val="22"/>
              </w:rPr>
              <w:t>atsevišķas</w:t>
            </w:r>
            <w:r w:rsidRPr="00C61384">
              <w:rPr>
                <w:iCs/>
                <w:sz w:val="22"/>
                <w:szCs w:val="22"/>
              </w:rPr>
              <w:t xml:space="preserve"> praksē konstatētas nepilnības</w:t>
            </w:r>
            <w:r w:rsidR="00910296" w:rsidRPr="00C61384">
              <w:rPr>
                <w:iCs/>
                <w:sz w:val="22"/>
                <w:szCs w:val="22"/>
              </w:rPr>
              <w:t>, t.sk. attiecībā uz aptaujas lapām.</w:t>
            </w:r>
          </w:p>
          <w:p w:rsidR="00BD5588" w:rsidRPr="00C61384" w:rsidRDefault="00DE0695" w:rsidP="00AB51D2">
            <w:pPr>
              <w:ind w:firstLine="256"/>
              <w:jc w:val="both"/>
              <w:rPr>
                <w:i/>
                <w:iCs/>
                <w:lang w:eastAsia="en-US"/>
              </w:rPr>
            </w:pPr>
            <w:r w:rsidRPr="00C61384">
              <w:rPr>
                <w:iCs/>
                <w:sz w:val="22"/>
                <w:szCs w:val="22"/>
              </w:rPr>
              <w:t>Projekts stāsies spēkā vispārējā kārtībā</w:t>
            </w:r>
            <w:r w:rsidR="003B21FB" w:rsidRPr="00C61384">
              <w:rPr>
                <w:iCs/>
                <w:sz w:val="22"/>
                <w:szCs w:val="22"/>
              </w:rPr>
              <w:t>.</w:t>
            </w: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0"/>
        <w:gridCol w:w="1778"/>
        <w:gridCol w:w="6664"/>
      </w:tblGrid>
      <w:tr w:rsidR="00BD5588" w:rsidRPr="00B517C3" w:rsidTr="00315569">
        <w:trPr>
          <w:cantSplit/>
        </w:trPr>
        <w:tc>
          <w:tcPr>
            <w:tcW w:w="8962" w:type="dxa"/>
            <w:gridSpan w:val="3"/>
            <w:vAlign w:val="center"/>
            <w:hideMark/>
          </w:tcPr>
          <w:p w:rsidR="00BD5588" w:rsidRPr="00C61384" w:rsidRDefault="00BD5588" w:rsidP="008A6A6F">
            <w:pPr>
              <w:jc w:val="center"/>
              <w:rPr>
                <w:b/>
                <w:bCs/>
              </w:rPr>
            </w:pPr>
            <w:r w:rsidRPr="00C61384">
              <w:rPr>
                <w:b/>
                <w:bCs/>
                <w:sz w:val="22"/>
                <w:szCs w:val="22"/>
              </w:rPr>
              <w:t>I. Tiesību akta projekta izstrādes nepieciešamība</w:t>
            </w:r>
          </w:p>
        </w:tc>
      </w:tr>
      <w:tr w:rsidR="00BD5588" w:rsidRPr="00B517C3" w:rsidTr="006445FA">
        <w:tc>
          <w:tcPr>
            <w:tcW w:w="520" w:type="dxa"/>
            <w:hideMark/>
          </w:tcPr>
          <w:p w:rsidR="00BD5588" w:rsidRPr="00C61384" w:rsidRDefault="00BD5588" w:rsidP="008A6A6F">
            <w:pPr>
              <w:jc w:val="center"/>
            </w:pPr>
            <w:r w:rsidRPr="00C61384">
              <w:rPr>
                <w:sz w:val="22"/>
                <w:szCs w:val="22"/>
              </w:rPr>
              <w:t>1.</w:t>
            </w:r>
          </w:p>
        </w:tc>
        <w:tc>
          <w:tcPr>
            <w:tcW w:w="1778" w:type="dxa"/>
            <w:hideMark/>
          </w:tcPr>
          <w:p w:rsidR="00BD5588" w:rsidRDefault="00BD5588" w:rsidP="008A6A6F">
            <w:r w:rsidRPr="00C61384">
              <w:rPr>
                <w:sz w:val="22"/>
                <w:szCs w:val="22"/>
              </w:rPr>
              <w:t>Pamatojums</w:t>
            </w:r>
          </w:p>
          <w:p w:rsidR="00050CB9" w:rsidRPr="00C61384" w:rsidRDefault="00050CB9" w:rsidP="008A6A6F"/>
        </w:tc>
        <w:tc>
          <w:tcPr>
            <w:tcW w:w="6664" w:type="dxa"/>
            <w:hideMark/>
          </w:tcPr>
          <w:p w:rsidR="00AB51D2" w:rsidRDefault="003B21FB" w:rsidP="00AB51D2">
            <w:pPr>
              <w:ind w:firstLine="254"/>
            </w:pPr>
            <w:r w:rsidRPr="00C61384">
              <w:rPr>
                <w:sz w:val="22"/>
                <w:szCs w:val="22"/>
              </w:rPr>
              <w:t>Aizsardzības ministrijas iniciatīv</w:t>
            </w:r>
            <w:r w:rsidR="00552A65" w:rsidRPr="00C61384">
              <w:rPr>
                <w:sz w:val="22"/>
                <w:szCs w:val="22"/>
              </w:rPr>
              <w:t>a.</w:t>
            </w:r>
          </w:p>
          <w:p w:rsidR="00050CB9" w:rsidRPr="00C61384" w:rsidRDefault="00050CB9" w:rsidP="00AB51D2">
            <w:pPr>
              <w:ind w:firstLine="254"/>
            </w:pPr>
          </w:p>
        </w:tc>
      </w:tr>
      <w:tr w:rsidR="006445FA" w:rsidRPr="00B517C3" w:rsidTr="006445FA">
        <w:tc>
          <w:tcPr>
            <w:tcW w:w="520" w:type="dxa"/>
            <w:hideMark/>
          </w:tcPr>
          <w:p w:rsidR="006445FA" w:rsidRPr="00C61384" w:rsidRDefault="006445FA" w:rsidP="008A6A6F">
            <w:pPr>
              <w:jc w:val="center"/>
            </w:pPr>
            <w:r w:rsidRPr="00C61384">
              <w:rPr>
                <w:sz w:val="22"/>
                <w:szCs w:val="22"/>
              </w:rPr>
              <w:t>2.</w:t>
            </w:r>
          </w:p>
        </w:tc>
        <w:tc>
          <w:tcPr>
            <w:tcW w:w="1778" w:type="dxa"/>
            <w:hideMark/>
          </w:tcPr>
          <w:p w:rsidR="006445FA" w:rsidRPr="00C61384" w:rsidRDefault="006445FA" w:rsidP="008A6A6F">
            <w:r w:rsidRPr="00C61384">
              <w:rPr>
                <w:sz w:val="22"/>
                <w:szCs w:val="22"/>
              </w:rPr>
              <w:t>Pašreizējā situācija un problēmas, kuru risināšanai tiesību akta projekts izstrādāts, tiesiskā regulējuma mērķis un būtība</w:t>
            </w:r>
          </w:p>
        </w:tc>
        <w:tc>
          <w:tcPr>
            <w:tcW w:w="6664" w:type="dxa"/>
            <w:hideMark/>
          </w:tcPr>
          <w:p w:rsidR="006445FA" w:rsidRPr="00C61384" w:rsidRDefault="006445FA" w:rsidP="00050CB9">
            <w:pPr>
              <w:ind w:firstLine="254"/>
              <w:jc w:val="both"/>
              <w:rPr>
                <w:iCs/>
              </w:rPr>
            </w:pPr>
            <w:r w:rsidRPr="00C61384">
              <w:rPr>
                <w:iCs/>
                <w:sz w:val="22"/>
                <w:szCs w:val="22"/>
              </w:rPr>
              <w:t>Projekts paredz:</w:t>
            </w:r>
          </w:p>
          <w:p w:rsidR="006445FA" w:rsidRPr="00C61384" w:rsidRDefault="006445FA" w:rsidP="00050CB9">
            <w:pPr>
              <w:ind w:firstLine="254"/>
              <w:jc w:val="both"/>
              <w:rPr>
                <w:iCs/>
              </w:rPr>
            </w:pPr>
            <w:r w:rsidRPr="00C61384">
              <w:rPr>
                <w:iCs/>
                <w:sz w:val="22"/>
                <w:szCs w:val="22"/>
              </w:rPr>
              <w:t xml:space="preserve">1) </w:t>
            </w:r>
            <w:r w:rsidRPr="00C61384">
              <w:rPr>
                <w:sz w:val="22"/>
                <w:szCs w:val="22"/>
              </w:rPr>
              <w:t>vienkāršot procesu, kādā tiek uzsāktas personu pārbaudes un izsniegtas speciālās atļaujas pieejai valsts noslēpumam, atvieglojot informācijas aprites procesu starp valsts drošības iestādēm un institūcijām, kuras iniciē personu pārbaudes</w:t>
            </w:r>
            <w:r w:rsidRPr="00C61384">
              <w:rPr>
                <w:iCs/>
                <w:sz w:val="22"/>
                <w:szCs w:val="22"/>
              </w:rPr>
              <w:t>;</w:t>
            </w:r>
          </w:p>
          <w:p w:rsidR="006445FA" w:rsidRPr="00C61384" w:rsidRDefault="006445FA" w:rsidP="00050CB9">
            <w:pPr>
              <w:ind w:firstLine="254"/>
              <w:jc w:val="both"/>
              <w:rPr>
                <w:iCs/>
              </w:rPr>
            </w:pPr>
            <w:r w:rsidRPr="00C61384">
              <w:rPr>
                <w:iCs/>
                <w:sz w:val="22"/>
                <w:szCs w:val="22"/>
              </w:rPr>
              <w:t>2) ieviest speciālu regulējumu, kas būs piemērojams klasificētas informācijas apmaiņā ar ārvalstu un starptautisko organizāciju institūcijām;</w:t>
            </w:r>
          </w:p>
          <w:p w:rsidR="006445FA" w:rsidRPr="00C61384" w:rsidRDefault="006445FA" w:rsidP="00050CB9">
            <w:pPr>
              <w:ind w:firstLine="254"/>
              <w:jc w:val="both"/>
              <w:rPr>
                <w:iCs/>
              </w:rPr>
            </w:pPr>
            <w:r w:rsidRPr="00C61384">
              <w:rPr>
                <w:iCs/>
                <w:sz w:val="22"/>
                <w:szCs w:val="22"/>
              </w:rPr>
              <w:t>3) mainīt likumam „Par valsts noslēpumu” neatbilstošo kompetenču sadalījumu starp valsts drošības iestādēm attiecībā uz personu pārbaudēm un speciālo atļauju izsniegšanu pieejai valsts noslēpumam, tādējādi novēršot dublēšanos, t.i., divu valsts drošības iestāžu iesaisti vienā personas pārbaudē, kā arī attiecīgi precizēt speciālo atļauju uzskaiti;</w:t>
            </w:r>
          </w:p>
          <w:p w:rsidR="006445FA" w:rsidRPr="00C61384" w:rsidRDefault="006445FA" w:rsidP="00050CB9">
            <w:pPr>
              <w:ind w:firstLine="254"/>
              <w:jc w:val="both"/>
              <w:rPr>
                <w:iCs/>
              </w:rPr>
            </w:pPr>
            <w:r w:rsidRPr="00C61384">
              <w:rPr>
                <w:iCs/>
                <w:sz w:val="22"/>
                <w:szCs w:val="22"/>
              </w:rPr>
              <w:t>4) iekļaut detalizētāku regulējumu attiecībā uz pieeju signālu izlūkošanas informācijai, tādējādi precizējot arī Militārās izlūkošanas un drošības dienesta (turpmāk – MIDD) kā nacionālās signālu izlūkošanas iestādes uzdevumus šīs informācijai aizsardzībai;</w:t>
            </w:r>
          </w:p>
          <w:p w:rsidR="006445FA" w:rsidRPr="00C61384" w:rsidRDefault="006445FA" w:rsidP="00050CB9">
            <w:pPr>
              <w:ind w:firstLine="254"/>
              <w:jc w:val="both"/>
              <w:rPr>
                <w:iCs/>
              </w:rPr>
            </w:pPr>
            <w:r w:rsidRPr="00C61384">
              <w:rPr>
                <w:iCs/>
                <w:sz w:val="22"/>
                <w:szCs w:val="22"/>
              </w:rPr>
              <w:t>5) veikt izmaiņas terminoloģijā, aptaujas lapu saturā un to klasifikācijas pakāpē, kā arī precizēt v</w:t>
            </w:r>
            <w:r w:rsidRPr="008661E1">
              <w:rPr>
                <w:iCs/>
                <w:sz w:val="22"/>
                <w:szCs w:val="22"/>
              </w:rPr>
              <w:t>alsts noslēpuma objektu iznīcināšanas kārtību izņēmuma stāvokļa laikā.</w:t>
            </w:r>
          </w:p>
          <w:p w:rsidR="006445FA" w:rsidRPr="00C61384" w:rsidRDefault="006445FA" w:rsidP="00050CB9">
            <w:pPr>
              <w:ind w:firstLine="254"/>
              <w:jc w:val="both"/>
              <w:rPr>
                <w:iCs/>
              </w:rPr>
            </w:pPr>
          </w:p>
          <w:p w:rsidR="006445FA" w:rsidRPr="00C61384" w:rsidRDefault="006445FA" w:rsidP="00050CB9">
            <w:pPr>
              <w:ind w:firstLine="254"/>
              <w:jc w:val="both"/>
              <w:rPr>
                <w:color w:val="000000" w:themeColor="text1"/>
              </w:rPr>
            </w:pPr>
            <w:r w:rsidRPr="00C61384">
              <w:rPr>
                <w:color w:val="000000" w:themeColor="text1"/>
                <w:sz w:val="22"/>
                <w:szCs w:val="22"/>
              </w:rPr>
              <w:t>Ministru kabineta 2004.gada 6.janvāra noteikumi Nr.21 „Valsts noslēpuma, Ziemeļatlantijas līguma organizācijas, Eiropas Savienības un ārvalstu institūciju klasificētās informā</w:t>
            </w:r>
            <w:r>
              <w:rPr>
                <w:color w:val="000000" w:themeColor="text1"/>
                <w:sz w:val="22"/>
                <w:szCs w:val="22"/>
              </w:rPr>
              <w:t>cijas aizsardzības noteikumi” (</w:t>
            </w:r>
            <w:r w:rsidRPr="00C61384">
              <w:rPr>
                <w:color w:val="000000" w:themeColor="text1"/>
                <w:sz w:val="22"/>
                <w:szCs w:val="22"/>
              </w:rPr>
              <w:t xml:space="preserve">turpmāk – noteikumi) nosaka kārtību, kādā institūcijas iniciē personu pārbaudi pieejai valsts noslēpumam, iesniedzot valsts drošības iestādēm šīs pārbaudes veikšanai nepieciešamos dokumentus. Noteikumu sākotnējā redakcija ir izstrādāta 2004.gadā, līdz ar to tie nepieļauj dokumentu apriti elektroniski. Minētais attiecināms arī uz apliecinājumu par to, ka personai ir tiesības veikt darbu ar valsts noslēpumu – saskaņā ar noteikumiem pašlaik to var apliecināt tikai ar noteikta parauga apliecību (speciālo atļauju), ko parakstījis valsts drošības iestādes vadītājs un kuru valsts drošības iestāde izsniedz attiecīgajai personai.  Izpildot šo noteikumu prasību, tiek nelietderīgi izlietoti resursi, jo lielākoties personām šādas fiziski izsniegtas </w:t>
            </w:r>
            <w:r w:rsidRPr="00C61384">
              <w:rPr>
                <w:color w:val="000000" w:themeColor="text1"/>
                <w:sz w:val="22"/>
                <w:szCs w:val="22"/>
              </w:rPr>
              <w:lastRenderedPageBreak/>
              <w:t>apliecības ikdienā nav nepieciešamas. Kā piemēru var minēt Aizsardzības ministriju un tās padotības iestādes, kurās kopumā ir aptuveni 13000 amati, ko var ieņemt tikai personas, kurām piešķirta speciālā atļauja darbam ar valsts noslēpumu. Apmēram 90% no šīm personām speciālā atļauja ir nepieciešama amata pienākumos noteiktu uzdevumu veikšanai tikai attiecīgās institūcijas ietvaros. Tas nozīmē, ka šīm personām faktiski nav nepieciešama noteikumos paredzētā valsts drošības iestādes vadītāja parakstītā apliecība, ja vien tiek nodrošināts, ka attiecīgā institūcija ir informēta par personai piešķirto pieeju valsts noslēpumam. Ievērojot minēto, Projektā paredzētā iespēja valsts drošības iestādēm noteiktā kārtībā informēt institūciju par personas tiesībām veikt darbu ar valsts noslēpumu, neizsniedzot tām noteiktā parauga speciālo atļauju, ievērojami  samazinātu administratīvo slogu, kas rodas no noteikta parauga speciālo atļauju izsniegšanas vai nosūtīšanas, glabāšanas un atpakaļ saņemšanas, gan valsts drošības iestādēm, gan pašām institūcijām. Vienlaikus jānorāda, ka minētais neattiecas uz gadījumiem, kad persona jāinformē par to, ka tai ir liegta pieeja valsts noslēpumam vai attiecīgas kategorijas valsts noslēpuma objektiem, jo kārtība, kādā personu informē par šādu lēmumu, ir precīzi noteikta likumā „Par valsts noslēpumu” - tai var būt būtiska nozīme, apstrīdot valsts drošības iestādes lēmumu.</w:t>
            </w:r>
          </w:p>
          <w:p w:rsidR="006445FA" w:rsidRDefault="006445FA" w:rsidP="00050CB9">
            <w:pPr>
              <w:ind w:firstLine="254"/>
              <w:jc w:val="both"/>
              <w:rPr>
                <w:color w:val="000000" w:themeColor="text1"/>
              </w:rPr>
            </w:pPr>
            <w:r w:rsidRPr="00C61384">
              <w:rPr>
                <w:color w:val="000000" w:themeColor="text1"/>
                <w:sz w:val="22"/>
                <w:szCs w:val="22"/>
              </w:rPr>
              <w:t>Ievērojot visu iepriekš minēto, Projekts paredz grozījumus noteikumu 4.</w:t>
            </w:r>
            <w:r>
              <w:rPr>
                <w:color w:val="000000" w:themeColor="text1"/>
                <w:sz w:val="22"/>
                <w:szCs w:val="22"/>
              </w:rPr>
              <w:t> </w:t>
            </w:r>
            <w:r w:rsidRPr="00C61384">
              <w:rPr>
                <w:color w:val="000000" w:themeColor="text1"/>
                <w:sz w:val="22"/>
                <w:szCs w:val="22"/>
              </w:rPr>
              <w:t>punktā, 11.2.</w:t>
            </w:r>
            <w:r>
              <w:rPr>
                <w:color w:val="000000" w:themeColor="text1"/>
                <w:sz w:val="22"/>
                <w:szCs w:val="22"/>
              </w:rPr>
              <w:t> </w:t>
            </w:r>
            <w:r w:rsidRPr="00C61384">
              <w:rPr>
                <w:color w:val="000000" w:themeColor="text1"/>
                <w:sz w:val="22"/>
                <w:szCs w:val="22"/>
              </w:rPr>
              <w:t>apakšpunktā, 12.</w:t>
            </w:r>
            <w:r w:rsidRPr="00C61384">
              <w:rPr>
                <w:color w:val="000000" w:themeColor="text1"/>
                <w:sz w:val="22"/>
                <w:szCs w:val="22"/>
                <w:vertAlign w:val="superscript"/>
              </w:rPr>
              <w:t>1</w:t>
            </w:r>
            <w:r w:rsidRPr="00C61384">
              <w:rPr>
                <w:color w:val="000000" w:themeColor="text1"/>
                <w:sz w:val="22"/>
                <w:szCs w:val="22"/>
              </w:rPr>
              <w:t xml:space="preserve"> un 15.</w:t>
            </w:r>
            <w:r>
              <w:rPr>
                <w:color w:val="000000" w:themeColor="text1"/>
                <w:sz w:val="22"/>
                <w:szCs w:val="22"/>
              </w:rPr>
              <w:t> </w:t>
            </w:r>
            <w:r w:rsidRPr="00C61384">
              <w:rPr>
                <w:color w:val="000000" w:themeColor="text1"/>
                <w:sz w:val="22"/>
                <w:szCs w:val="22"/>
              </w:rPr>
              <w:t>punktā, kā arī 20.4., 20.6. un 20.7.</w:t>
            </w:r>
            <w:r>
              <w:rPr>
                <w:color w:val="000000" w:themeColor="text1"/>
                <w:sz w:val="22"/>
                <w:szCs w:val="22"/>
              </w:rPr>
              <w:t> </w:t>
            </w:r>
            <w:r w:rsidRPr="00C61384">
              <w:rPr>
                <w:color w:val="000000" w:themeColor="text1"/>
                <w:sz w:val="22"/>
                <w:szCs w:val="22"/>
              </w:rPr>
              <w:t xml:space="preserve">apakšpunktā, dodot iespēju institūcijai un valsts drošības iestādei savstarpējā komunikācijā par </w:t>
            </w:r>
            <w:r>
              <w:rPr>
                <w:color w:val="000000" w:themeColor="text1"/>
                <w:sz w:val="22"/>
                <w:szCs w:val="22"/>
              </w:rPr>
              <w:t>personu</w:t>
            </w:r>
            <w:r w:rsidRPr="00C61384">
              <w:rPr>
                <w:color w:val="000000" w:themeColor="text1"/>
                <w:sz w:val="22"/>
                <w:szCs w:val="22"/>
              </w:rPr>
              <w:t xml:space="preserve"> </w:t>
            </w:r>
            <w:r>
              <w:rPr>
                <w:color w:val="000000" w:themeColor="text1"/>
                <w:sz w:val="22"/>
                <w:szCs w:val="22"/>
              </w:rPr>
              <w:t>pieeju</w:t>
            </w:r>
            <w:r w:rsidRPr="00C61384">
              <w:rPr>
                <w:color w:val="000000" w:themeColor="text1"/>
                <w:sz w:val="22"/>
                <w:szCs w:val="22"/>
              </w:rPr>
              <w:t xml:space="preserve"> valsts noslēpum</w:t>
            </w:r>
            <w:r>
              <w:rPr>
                <w:color w:val="000000" w:themeColor="text1"/>
                <w:sz w:val="22"/>
                <w:szCs w:val="22"/>
              </w:rPr>
              <w:t>am</w:t>
            </w:r>
            <w:r w:rsidRPr="00C61384">
              <w:rPr>
                <w:color w:val="000000" w:themeColor="text1"/>
                <w:sz w:val="22"/>
                <w:szCs w:val="22"/>
              </w:rPr>
              <w:t xml:space="preserve"> izmantot arī</w:t>
            </w:r>
            <w:r>
              <w:rPr>
                <w:color w:val="000000" w:themeColor="text1"/>
                <w:sz w:val="22"/>
                <w:szCs w:val="22"/>
              </w:rPr>
              <w:t xml:space="preserve"> elektroniskas saziņas metodes (</w:t>
            </w:r>
            <w:r w:rsidRPr="00C61384">
              <w:rPr>
                <w:color w:val="000000" w:themeColor="text1"/>
                <w:sz w:val="22"/>
                <w:szCs w:val="22"/>
              </w:rPr>
              <w:t>vienlaicīgi</w:t>
            </w:r>
            <w:r>
              <w:rPr>
                <w:color w:val="000000" w:themeColor="text1"/>
                <w:sz w:val="22"/>
                <w:szCs w:val="22"/>
              </w:rPr>
              <w:t xml:space="preserve"> </w:t>
            </w:r>
            <w:r w:rsidRPr="00C61384">
              <w:rPr>
                <w:color w:val="000000" w:themeColor="text1"/>
                <w:sz w:val="22"/>
                <w:szCs w:val="22"/>
              </w:rPr>
              <w:t>neatceļot un pieļaujot arī esošo kārtību</w:t>
            </w:r>
            <w:r>
              <w:rPr>
                <w:color w:val="000000" w:themeColor="text1"/>
                <w:sz w:val="22"/>
                <w:szCs w:val="22"/>
              </w:rPr>
              <w:t>, ja vienošanās par šādu elektronisku saziņu nav).</w:t>
            </w:r>
          </w:p>
          <w:p w:rsidR="006445FA" w:rsidRDefault="006445FA" w:rsidP="00050CB9">
            <w:pPr>
              <w:ind w:firstLine="254"/>
              <w:jc w:val="both"/>
              <w:rPr>
                <w:color w:val="000000" w:themeColor="text1"/>
              </w:rPr>
            </w:pPr>
            <w:r>
              <w:rPr>
                <w:color w:val="000000" w:themeColor="text1"/>
                <w:sz w:val="22"/>
                <w:szCs w:val="22"/>
              </w:rPr>
              <w:t>Tāpat arī, l</w:t>
            </w:r>
            <w:r w:rsidRPr="00C61384">
              <w:rPr>
                <w:color w:val="000000" w:themeColor="text1"/>
                <w:sz w:val="22"/>
                <w:szCs w:val="22"/>
              </w:rPr>
              <w:t xml:space="preserve">ai atvieglotu informācijas apriti un samazinātu tādu dokumentu skaitu, kurus pašrocīgi jāparaksta pārbaudāmajai personai, </w:t>
            </w:r>
            <w:r>
              <w:rPr>
                <w:color w:val="000000" w:themeColor="text1"/>
                <w:sz w:val="22"/>
                <w:szCs w:val="22"/>
              </w:rPr>
              <w:t>Projektā ir precizēts noteikumu 11. </w:t>
            </w:r>
            <w:r w:rsidRPr="00C61384">
              <w:rPr>
                <w:color w:val="000000" w:themeColor="text1"/>
                <w:sz w:val="22"/>
                <w:szCs w:val="22"/>
              </w:rPr>
              <w:t xml:space="preserve">punkts, </w:t>
            </w:r>
            <w:r>
              <w:rPr>
                <w:color w:val="000000" w:themeColor="text1"/>
                <w:sz w:val="22"/>
                <w:szCs w:val="22"/>
              </w:rPr>
              <w:t>kā arī noteikumu 2. un 3. </w:t>
            </w:r>
            <w:r w:rsidRPr="00C61384">
              <w:rPr>
                <w:color w:val="000000" w:themeColor="text1"/>
                <w:sz w:val="22"/>
                <w:szCs w:val="22"/>
              </w:rPr>
              <w:t xml:space="preserve">pielikums. </w:t>
            </w:r>
            <w:r>
              <w:rPr>
                <w:color w:val="000000" w:themeColor="text1"/>
                <w:sz w:val="22"/>
                <w:szCs w:val="22"/>
              </w:rPr>
              <w:t>Paredzēts, ka v</w:t>
            </w:r>
            <w:r w:rsidRPr="00C61384">
              <w:rPr>
                <w:color w:val="000000" w:themeColor="text1"/>
                <w:sz w:val="22"/>
                <w:szCs w:val="22"/>
              </w:rPr>
              <w:t xml:space="preserve">isi saistību apliecinājumi un personas apņemšanās </w:t>
            </w:r>
            <w:r>
              <w:rPr>
                <w:color w:val="000000" w:themeColor="text1"/>
                <w:sz w:val="22"/>
                <w:szCs w:val="22"/>
              </w:rPr>
              <w:t xml:space="preserve">turpmāk būs </w:t>
            </w:r>
            <w:r w:rsidRPr="00C61384">
              <w:rPr>
                <w:color w:val="000000" w:themeColor="text1"/>
                <w:sz w:val="22"/>
                <w:szCs w:val="22"/>
              </w:rPr>
              <w:t xml:space="preserve">iekļauti </w:t>
            </w:r>
            <w:r>
              <w:rPr>
                <w:color w:val="000000" w:themeColor="text1"/>
                <w:sz w:val="22"/>
                <w:szCs w:val="22"/>
              </w:rPr>
              <w:t xml:space="preserve">vienā </w:t>
            </w:r>
            <w:r w:rsidRPr="00C61384">
              <w:rPr>
                <w:color w:val="000000" w:themeColor="text1"/>
                <w:sz w:val="22"/>
                <w:szCs w:val="22"/>
              </w:rPr>
              <w:t xml:space="preserve">saistību </w:t>
            </w:r>
            <w:r>
              <w:rPr>
                <w:color w:val="000000" w:themeColor="text1"/>
                <w:sz w:val="22"/>
                <w:szCs w:val="22"/>
              </w:rPr>
              <w:t>rakstā (noteikumu 3.pielikums) – tas būs vienīgais dokuments,</w:t>
            </w:r>
            <w:r w:rsidRPr="00C61384">
              <w:rPr>
                <w:color w:val="000000" w:themeColor="text1"/>
                <w:sz w:val="22"/>
                <w:szCs w:val="22"/>
              </w:rPr>
              <w:t xml:space="preserve"> k</w:t>
            </w:r>
            <w:r>
              <w:rPr>
                <w:color w:val="000000" w:themeColor="text1"/>
                <w:sz w:val="22"/>
                <w:szCs w:val="22"/>
              </w:rPr>
              <w:t>o</w:t>
            </w:r>
            <w:r w:rsidRPr="00C61384">
              <w:rPr>
                <w:color w:val="000000" w:themeColor="text1"/>
                <w:sz w:val="22"/>
                <w:szCs w:val="22"/>
              </w:rPr>
              <w:t xml:space="preserve"> personai obligāti jāiesniedz pašrocīgi parakstītu. Savukārt par </w:t>
            </w:r>
            <w:r>
              <w:rPr>
                <w:color w:val="000000" w:themeColor="text1"/>
                <w:sz w:val="22"/>
                <w:szCs w:val="22"/>
              </w:rPr>
              <w:t xml:space="preserve">kārtību, kādā tiek iesniegta </w:t>
            </w:r>
            <w:r w:rsidRPr="00C61384">
              <w:rPr>
                <w:color w:val="000000" w:themeColor="text1"/>
                <w:sz w:val="22"/>
                <w:szCs w:val="22"/>
              </w:rPr>
              <w:t>aptaujas lap</w:t>
            </w:r>
            <w:r>
              <w:rPr>
                <w:color w:val="000000" w:themeColor="text1"/>
                <w:sz w:val="22"/>
                <w:szCs w:val="22"/>
              </w:rPr>
              <w:t>a</w:t>
            </w:r>
            <w:r w:rsidRPr="00C61384">
              <w:rPr>
                <w:color w:val="000000" w:themeColor="text1"/>
                <w:sz w:val="22"/>
                <w:szCs w:val="22"/>
              </w:rPr>
              <w:t xml:space="preserve"> (noteikumu </w:t>
            </w:r>
            <w:r>
              <w:rPr>
                <w:color w:val="000000" w:themeColor="text1"/>
                <w:sz w:val="22"/>
                <w:szCs w:val="22"/>
              </w:rPr>
              <w:t>2</w:t>
            </w:r>
            <w:r w:rsidRPr="00C61384">
              <w:rPr>
                <w:color w:val="000000" w:themeColor="text1"/>
                <w:sz w:val="22"/>
                <w:szCs w:val="22"/>
              </w:rPr>
              <w:t xml:space="preserve">.pielikums) un </w:t>
            </w:r>
            <w:r>
              <w:rPr>
                <w:color w:val="000000" w:themeColor="text1"/>
                <w:sz w:val="22"/>
                <w:szCs w:val="22"/>
              </w:rPr>
              <w:t xml:space="preserve">informācija par izmaiņām aptaujas lapā, </w:t>
            </w:r>
            <w:r w:rsidRPr="00C61384">
              <w:rPr>
                <w:color w:val="000000" w:themeColor="text1"/>
                <w:sz w:val="22"/>
                <w:szCs w:val="22"/>
              </w:rPr>
              <w:t>institūcija</w:t>
            </w:r>
            <w:r>
              <w:rPr>
                <w:color w:val="000000" w:themeColor="text1"/>
                <w:sz w:val="22"/>
                <w:szCs w:val="22"/>
              </w:rPr>
              <w:t xml:space="preserve"> būs tiesīga</w:t>
            </w:r>
            <w:r w:rsidRPr="00C61384">
              <w:rPr>
                <w:color w:val="000000" w:themeColor="text1"/>
                <w:sz w:val="22"/>
                <w:szCs w:val="22"/>
              </w:rPr>
              <w:t xml:space="preserve"> vienoties ar kom</w:t>
            </w:r>
            <w:r>
              <w:rPr>
                <w:color w:val="000000" w:themeColor="text1"/>
                <w:sz w:val="22"/>
                <w:szCs w:val="22"/>
              </w:rPr>
              <w:t>petento valsts drošības iestādi. Tātad – šāda informācija varēs tikt sagatavota un iesniegta arī elektroniski</w:t>
            </w:r>
            <w:r w:rsidRPr="00C61384">
              <w:rPr>
                <w:color w:val="000000" w:themeColor="text1"/>
                <w:sz w:val="22"/>
                <w:szCs w:val="22"/>
              </w:rPr>
              <w:t xml:space="preserve">, ja </w:t>
            </w:r>
            <w:r>
              <w:rPr>
                <w:color w:val="000000" w:themeColor="text1"/>
                <w:sz w:val="22"/>
                <w:szCs w:val="22"/>
              </w:rPr>
              <w:t xml:space="preserve">institūcija par to būs vienojusies ar valsts drošības iestādi un tiks </w:t>
            </w:r>
            <w:r w:rsidRPr="00C61384">
              <w:rPr>
                <w:color w:val="000000" w:themeColor="text1"/>
                <w:sz w:val="22"/>
                <w:szCs w:val="22"/>
              </w:rPr>
              <w:t>nodrošināta informācijas iesniedzēja un ies</w:t>
            </w:r>
            <w:r>
              <w:rPr>
                <w:color w:val="000000" w:themeColor="text1"/>
                <w:sz w:val="22"/>
                <w:szCs w:val="22"/>
              </w:rPr>
              <w:t>niegšanas laika identifikācija.</w:t>
            </w:r>
          </w:p>
          <w:p w:rsidR="006445FA" w:rsidRDefault="006445FA" w:rsidP="00050CB9">
            <w:pPr>
              <w:ind w:firstLine="254"/>
              <w:jc w:val="both"/>
              <w:rPr>
                <w:color w:val="000000" w:themeColor="text1"/>
              </w:rPr>
            </w:pPr>
            <w:r w:rsidRPr="00C61384">
              <w:rPr>
                <w:color w:val="000000" w:themeColor="text1"/>
                <w:sz w:val="22"/>
                <w:szCs w:val="22"/>
              </w:rPr>
              <w:t>Š</w:t>
            </w:r>
            <w:r>
              <w:rPr>
                <w:color w:val="000000" w:themeColor="text1"/>
                <w:sz w:val="22"/>
                <w:szCs w:val="22"/>
              </w:rPr>
              <w:t xml:space="preserve">ajā kontekstā jānorāda, ka pašlaik </w:t>
            </w:r>
            <w:r w:rsidRPr="00C61384">
              <w:rPr>
                <w:color w:val="000000" w:themeColor="text1"/>
                <w:sz w:val="22"/>
                <w:szCs w:val="22"/>
              </w:rPr>
              <w:t xml:space="preserve">noteikumos </w:t>
            </w:r>
            <w:r w:rsidRPr="00373348">
              <w:rPr>
                <w:color w:val="000000" w:themeColor="text1"/>
                <w:sz w:val="22"/>
                <w:szCs w:val="22"/>
              </w:rPr>
              <w:t>(tāpat arī Ministru kabineta 2004. gada 26. oktobra noteikumos Nr. 887)</w:t>
            </w:r>
            <w:r>
              <w:rPr>
                <w:color w:val="000000" w:themeColor="text1"/>
                <w:sz w:val="22"/>
                <w:szCs w:val="22"/>
              </w:rPr>
              <w:t xml:space="preserve"> ir </w:t>
            </w:r>
            <w:r w:rsidRPr="00C61384">
              <w:rPr>
                <w:color w:val="000000" w:themeColor="text1"/>
                <w:sz w:val="22"/>
                <w:szCs w:val="22"/>
              </w:rPr>
              <w:t xml:space="preserve">nepamatoti noteikts, ka </w:t>
            </w:r>
            <w:r>
              <w:rPr>
                <w:color w:val="000000" w:themeColor="text1"/>
                <w:sz w:val="22"/>
                <w:szCs w:val="22"/>
              </w:rPr>
              <w:t xml:space="preserve">visas </w:t>
            </w:r>
            <w:r w:rsidRPr="00C61384">
              <w:rPr>
                <w:color w:val="000000" w:themeColor="text1"/>
                <w:sz w:val="22"/>
                <w:szCs w:val="22"/>
              </w:rPr>
              <w:t>person</w:t>
            </w:r>
            <w:r>
              <w:rPr>
                <w:color w:val="000000" w:themeColor="text1"/>
                <w:sz w:val="22"/>
                <w:szCs w:val="22"/>
              </w:rPr>
              <w:t>u</w:t>
            </w:r>
            <w:r w:rsidRPr="00C61384">
              <w:rPr>
                <w:color w:val="000000" w:themeColor="text1"/>
                <w:sz w:val="22"/>
                <w:szCs w:val="22"/>
              </w:rPr>
              <w:t xml:space="preserve"> aizpildītā</w:t>
            </w:r>
            <w:r>
              <w:rPr>
                <w:color w:val="000000" w:themeColor="text1"/>
                <w:sz w:val="22"/>
                <w:szCs w:val="22"/>
              </w:rPr>
              <w:t>s</w:t>
            </w:r>
            <w:r w:rsidRPr="00C61384">
              <w:rPr>
                <w:color w:val="000000" w:themeColor="text1"/>
                <w:sz w:val="22"/>
                <w:szCs w:val="22"/>
              </w:rPr>
              <w:t xml:space="preserve"> aptaujas lapa</w:t>
            </w:r>
            <w:r>
              <w:rPr>
                <w:color w:val="000000" w:themeColor="text1"/>
                <w:sz w:val="22"/>
                <w:szCs w:val="22"/>
              </w:rPr>
              <w:t>s</w:t>
            </w:r>
            <w:r w:rsidRPr="00C61384">
              <w:rPr>
                <w:color w:val="000000" w:themeColor="text1"/>
                <w:sz w:val="22"/>
                <w:szCs w:val="22"/>
              </w:rPr>
              <w:t xml:space="preserve"> ir valsts noslēpuma objekts ar klasifikācijas pakāpi „KONFIDENCIĀLI</w:t>
            </w:r>
            <w:r>
              <w:rPr>
                <w:color w:val="000000" w:themeColor="text1"/>
                <w:sz w:val="22"/>
                <w:szCs w:val="22"/>
              </w:rPr>
              <w:t>”, kas attiecīgi liedz šādas informācijas sagatavošanu un iesniegšanu elektroniski.</w:t>
            </w:r>
            <w:r w:rsidRPr="00C61384">
              <w:rPr>
                <w:color w:val="000000" w:themeColor="text1"/>
                <w:sz w:val="22"/>
                <w:szCs w:val="22"/>
              </w:rPr>
              <w:t xml:space="preserve"> </w:t>
            </w:r>
            <w:r>
              <w:rPr>
                <w:color w:val="000000" w:themeColor="text1"/>
                <w:sz w:val="22"/>
                <w:szCs w:val="22"/>
              </w:rPr>
              <w:t>Projekts paredz, ka turpmāk aptaujas lapas varēs neklasificēt (ja tam nebūs pamats), jo a</w:t>
            </w:r>
            <w:r w:rsidRPr="00C61384">
              <w:rPr>
                <w:color w:val="000000" w:themeColor="text1"/>
                <w:sz w:val="22"/>
                <w:szCs w:val="22"/>
              </w:rPr>
              <w:t xml:space="preserve">ptaujas lapā iekļautā informācija ir </w:t>
            </w:r>
            <w:r>
              <w:rPr>
                <w:color w:val="000000" w:themeColor="text1"/>
                <w:sz w:val="22"/>
                <w:szCs w:val="22"/>
              </w:rPr>
              <w:t>personas dati, kurus jāaizsargā</w:t>
            </w:r>
            <w:r w:rsidRPr="00C61384">
              <w:rPr>
                <w:color w:val="000000" w:themeColor="text1"/>
                <w:sz w:val="22"/>
                <w:szCs w:val="22"/>
              </w:rPr>
              <w:t xml:space="preserve"> kā ierobe</w:t>
            </w:r>
            <w:r>
              <w:rPr>
                <w:color w:val="000000" w:themeColor="text1"/>
                <w:sz w:val="22"/>
                <w:szCs w:val="22"/>
              </w:rPr>
              <w:t>žotas pieejamības informāciju, un t</w:t>
            </w:r>
            <w:r w:rsidRPr="00C61384">
              <w:rPr>
                <w:color w:val="000000" w:themeColor="text1"/>
                <w:sz w:val="22"/>
                <w:szCs w:val="22"/>
              </w:rPr>
              <w:t xml:space="preserve">ikai atsevišķos izņēmuma gadījumos aptaujas lapā </w:t>
            </w:r>
            <w:r>
              <w:rPr>
                <w:color w:val="000000" w:themeColor="text1"/>
                <w:sz w:val="22"/>
                <w:szCs w:val="22"/>
              </w:rPr>
              <w:t xml:space="preserve">tiek </w:t>
            </w:r>
            <w:r w:rsidRPr="00C61384">
              <w:rPr>
                <w:color w:val="000000" w:themeColor="text1"/>
                <w:sz w:val="22"/>
                <w:szCs w:val="22"/>
              </w:rPr>
              <w:t>iekļaut</w:t>
            </w:r>
            <w:r>
              <w:rPr>
                <w:color w:val="000000" w:themeColor="text1"/>
                <w:sz w:val="22"/>
                <w:szCs w:val="22"/>
              </w:rPr>
              <w:t>a</w:t>
            </w:r>
            <w:r w:rsidRPr="00C61384">
              <w:rPr>
                <w:color w:val="000000" w:themeColor="text1"/>
                <w:sz w:val="22"/>
                <w:szCs w:val="22"/>
              </w:rPr>
              <w:t xml:space="preserve"> informācija, kas </w:t>
            </w:r>
            <w:r>
              <w:rPr>
                <w:color w:val="000000" w:themeColor="text1"/>
                <w:sz w:val="22"/>
                <w:szCs w:val="22"/>
              </w:rPr>
              <w:t xml:space="preserve">tik tiešām </w:t>
            </w:r>
            <w:r w:rsidRPr="00C61384">
              <w:rPr>
                <w:color w:val="000000" w:themeColor="text1"/>
                <w:sz w:val="22"/>
                <w:szCs w:val="22"/>
              </w:rPr>
              <w:t xml:space="preserve">klasificējama kā valsts noslēpuma objekts. </w:t>
            </w:r>
            <w:r>
              <w:rPr>
                <w:color w:val="000000" w:themeColor="text1"/>
                <w:sz w:val="22"/>
                <w:szCs w:val="22"/>
              </w:rPr>
              <w:t>Nepiešķirot</w:t>
            </w:r>
            <w:r w:rsidRPr="00C61384">
              <w:rPr>
                <w:color w:val="000000" w:themeColor="text1"/>
                <w:sz w:val="22"/>
                <w:szCs w:val="22"/>
              </w:rPr>
              <w:t xml:space="preserve"> valsts noslēpuma statusu personas a</w:t>
            </w:r>
            <w:r>
              <w:rPr>
                <w:color w:val="000000" w:themeColor="text1"/>
                <w:sz w:val="22"/>
                <w:szCs w:val="22"/>
              </w:rPr>
              <w:t>izpildītajai aptaujas lapai, radīsies</w:t>
            </w:r>
            <w:r w:rsidRPr="00C61384">
              <w:rPr>
                <w:color w:val="000000" w:themeColor="text1"/>
                <w:sz w:val="22"/>
                <w:szCs w:val="22"/>
              </w:rPr>
              <w:t xml:space="preserve"> iespēja aptaujas lapā apkopoto informāciju iesniegt ar mūsdienīgā</w:t>
            </w:r>
            <w:r>
              <w:rPr>
                <w:color w:val="000000" w:themeColor="text1"/>
                <w:sz w:val="22"/>
                <w:szCs w:val="22"/>
              </w:rPr>
              <w:t>m metodēm, proti, elektroniski.</w:t>
            </w:r>
          </w:p>
          <w:p w:rsidR="006445FA" w:rsidRDefault="006445FA" w:rsidP="00050CB9">
            <w:pPr>
              <w:ind w:firstLine="254"/>
              <w:jc w:val="both"/>
              <w:rPr>
                <w:color w:val="000000" w:themeColor="text1"/>
              </w:rPr>
            </w:pPr>
            <w:r w:rsidRPr="00C61384">
              <w:rPr>
                <w:color w:val="000000" w:themeColor="text1"/>
                <w:sz w:val="22"/>
                <w:szCs w:val="22"/>
              </w:rPr>
              <w:t>Dodot iespēju institūcijām elektroniski nosūtīt valsts drošības iestādei personu pārbaudei nepieciešamo informāciju un arī saņemt elektronisku apliecinājumu, ka personai ir dotas tiesības veikt darbu ar attiecīgas kategorijas valsts noslēpuma objektiem, ievērojami samazinā</w:t>
            </w:r>
            <w:r>
              <w:rPr>
                <w:color w:val="000000" w:themeColor="text1"/>
                <w:sz w:val="22"/>
                <w:szCs w:val="22"/>
              </w:rPr>
              <w:t>sies</w:t>
            </w:r>
            <w:r w:rsidRPr="00C61384">
              <w:rPr>
                <w:color w:val="000000" w:themeColor="text1"/>
                <w:sz w:val="22"/>
                <w:szCs w:val="22"/>
              </w:rPr>
              <w:t xml:space="preserve"> institūciju un valsts drošības iestāžu lietvedību noslogoju</w:t>
            </w:r>
            <w:r>
              <w:rPr>
                <w:color w:val="000000" w:themeColor="text1"/>
                <w:sz w:val="22"/>
                <w:szCs w:val="22"/>
              </w:rPr>
              <w:t>ms un administratīvais slogs kopumā.</w:t>
            </w:r>
          </w:p>
          <w:p w:rsidR="006445FA" w:rsidRDefault="006445FA" w:rsidP="00050CB9">
            <w:pPr>
              <w:ind w:firstLine="254"/>
              <w:jc w:val="both"/>
              <w:rPr>
                <w:color w:val="000000" w:themeColor="text1"/>
              </w:rPr>
            </w:pPr>
            <w:r w:rsidRPr="00C61384">
              <w:rPr>
                <w:color w:val="000000" w:themeColor="text1"/>
                <w:sz w:val="22"/>
                <w:szCs w:val="22"/>
              </w:rPr>
              <w:lastRenderedPageBreak/>
              <w:t xml:space="preserve">Lai </w:t>
            </w:r>
            <w:r>
              <w:rPr>
                <w:color w:val="000000" w:themeColor="text1"/>
                <w:sz w:val="22"/>
                <w:szCs w:val="22"/>
              </w:rPr>
              <w:t xml:space="preserve">vēl vairāk </w:t>
            </w:r>
            <w:r w:rsidRPr="00C61384">
              <w:rPr>
                <w:color w:val="000000" w:themeColor="text1"/>
                <w:sz w:val="22"/>
                <w:szCs w:val="22"/>
              </w:rPr>
              <w:t xml:space="preserve">samazinātu institūcijas un valsts drošības iestādes savstarpējās sarakstes nepieciešamību, </w:t>
            </w:r>
            <w:r>
              <w:rPr>
                <w:color w:val="000000" w:themeColor="text1"/>
                <w:sz w:val="22"/>
                <w:szCs w:val="22"/>
              </w:rPr>
              <w:t xml:space="preserve">Projekts paredz </w:t>
            </w:r>
            <w:r w:rsidRPr="00C61384">
              <w:rPr>
                <w:color w:val="000000" w:themeColor="text1"/>
                <w:sz w:val="22"/>
                <w:szCs w:val="22"/>
              </w:rPr>
              <w:t>saistību rakst</w:t>
            </w:r>
            <w:r>
              <w:rPr>
                <w:color w:val="000000" w:themeColor="text1"/>
                <w:sz w:val="22"/>
                <w:szCs w:val="22"/>
              </w:rPr>
              <w:t>a</w:t>
            </w:r>
            <w:r w:rsidRPr="00C61384">
              <w:rPr>
                <w:color w:val="000000" w:themeColor="text1"/>
                <w:sz w:val="22"/>
                <w:szCs w:val="22"/>
              </w:rPr>
              <w:t xml:space="preserve"> </w:t>
            </w:r>
            <w:r>
              <w:rPr>
                <w:color w:val="000000" w:themeColor="text1"/>
                <w:sz w:val="22"/>
                <w:szCs w:val="22"/>
              </w:rPr>
              <w:t>iekļaušanu to</w:t>
            </w:r>
            <w:r w:rsidRPr="00C61384">
              <w:rPr>
                <w:color w:val="000000" w:themeColor="text1"/>
                <w:sz w:val="22"/>
                <w:szCs w:val="22"/>
              </w:rPr>
              <w:t xml:space="preserve"> dokumentu kopumā, ko institūcija iesniedz</w:t>
            </w:r>
            <w:r>
              <w:rPr>
                <w:color w:val="000000" w:themeColor="text1"/>
                <w:sz w:val="22"/>
                <w:szCs w:val="22"/>
              </w:rPr>
              <w:t>,</w:t>
            </w:r>
            <w:r w:rsidRPr="00C61384">
              <w:rPr>
                <w:color w:val="000000" w:themeColor="text1"/>
                <w:sz w:val="22"/>
                <w:szCs w:val="22"/>
              </w:rPr>
              <w:t xml:space="preserve"> injicējot personas pārbaudi (11.4.</w:t>
            </w:r>
            <w:r>
              <w:rPr>
                <w:color w:val="000000" w:themeColor="text1"/>
                <w:sz w:val="22"/>
                <w:szCs w:val="22"/>
              </w:rPr>
              <w:t> </w:t>
            </w:r>
            <w:r w:rsidRPr="00C61384">
              <w:rPr>
                <w:color w:val="000000" w:themeColor="text1"/>
                <w:sz w:val="22"/>
                <w:szCs w:val="22"/>
              </w:rPr>
              <w:t>apakšpunkts</w:t>
            </w:r>
            <w:r>
              <w:rPr>
                <w:color w:val="000000" w:themeColor="text1"/>
                <w:sz w:val="22"/>
                <w:szCs w:val="22"/>
              </w:rPr>
              <w:t xml:space="preserve">). Attiecīgi </w:t>
            </w:r>
            <w:r w:rsidRPr="00C61384">
              <w:rPr>
                <w:color w:val="000000" w:themeColor="text1"/>
                <w:sz w:val="22"/>
                <w:szCs w:val="22"/>
              </w:rPr>
              <w:t xml:space="preserve">svītrots </w:t>
            </w:r>
            <w:r>
              <w:rPr>
                <w:color w:val="000000" w:themeColor="text1"/>
                <w:sz w:val="22"/>
                <w:szCs w:val="22"/>
              </w:rPr>
              <w:t xml:space="preserve">arī noteikumu </w:t>
            </w:r>
            <w:r w:rsidRPr="00C61384">
              <w:rPr>
                <w:color w:val="000000" w:themeColor="text1"/>
                <w:sz w:val="22"/>
                <w:szCs w:val="22"/>
              </w:rPr>
              <w:t>12.</w:t>
            </w:r>
            <w:r>
              <w:rPr>
                <w:color w:val="000000" w:themeColor="text1"/>
                <w:sz w:val="22"/>
                <w:szCs w:val="22"/>
              </w:rPr>
              <w:t> </w:t>
            </w:r>
            <w:r w:rsidRPr="00C61384">
              <w:rPr>
                <w:color w:val="000000" w:themeColor="text1"/>
                <w:sz w:val="22"/>
                <w:szCs w:val="22"/>
              </w:rPr>
              <w:t>punkts un 20.8.</w:t>
            </w:r>
            <w:r>
              <w:rPr>
                <w:color w:val="000000" w:themeColor="text1"/>
                <w:sz w:val="22"/>
                <w:szCs w:val="22"/>
              </w:rPr>
              <w:t> apakšpunkts.</w:t>
            </w:r>
          </w:p>
          <w:p w:rsidR="006445FA" w:rsidRPr="00050CB9" w:rsidRDefault="006445FA" w:rsidP="006445FA">
            <w:pPr>
              <w:ind w:firstLine="254"/>
              <w:jc w:val="both"/>
              <w:rPr>
                <w:color w:val="000000" w:themeColor="text1"/>
              </w:rPr>
            </w:pPr>
          </w:p>
          <w:p w:rsidR="006445FA" w:rsidRDefault="006445FA" w:rsidP="006445FA">
            <w:pPr>
              <w:ind w:firstLine="254"/>
              <w:jc w:val="both"/>
              <w:rPr>
                <w:color w:val="000000" w:themeColor="text1"/>
              </w:rPr>
            </w:pPr>
            <w:r w:rsidRPr="00785FE8">
              <w:rPr>
                <w:color w:val="000000" w:themeColor="text1"/>
                <w:sz w:val="22"/>
                <w:szCs w:val="22"/>
              </w:rPr>
              <w:t>Projekt</w:t>
            </w:r>
            <w:r>
              <w:rPr>
                <w:color w:val="000000" w:themeColor="text1"/>
                <w:sz w:val="22"/>
                <w:szCs w:val="22"/>
              </w:rPr>
              <w:t>s paredz grozījumus noteikumos, kas precizē</w:t>
            </w:r>
            <w:r w:rsidRPr="00785FE8">
              <w:rPr>
                <w:color w:val="000000" w:themeColor="text1"/>
                <w:sz w:val="22"/>
                <w:szCs w:val="22"/>
              </w:rPr>
              <w:t xml:space="preserve"> valsts drošības iestāžu kompetenc</w:t>
            </w:r>
            <w:r>
              <w:rPr>
                <w:color w:val="000000" w:themeColor="text1"/>
                <w:sz w:val="22"/>
                <w:szCs w:val="22"/>
              </w:rPr>
              <w:t>i, tajā skaitā precizēta tiek arī terminoloģija.</w:t>
            </w:r>
          </w:p>
          <w:p w:rsidR="00E44560" w:rsidRDefault="00DE3A07" w:rsidP="006445FA">
            <w:pPr>
              <w:ind w:firstLine="254"/>
              <w:jc w:val="both"/>
              <w:rPr>
                <w:color w:val="000000" w:themeColor="text1"/>
              </w:rPr>
            </w:pPr>
            <w:r>
              <w:rPr>
                <w:color w:val="000000" w:themeColor="text1"/>
                <w:sz w:val="22"/>
                <w:szCs w:val="22"/>
              </w:rPr>
              <w:t xml:space="preserve">Noteikumos </w:t>
            </w:r>
            <w:r w:rsidR="006445FA" w:rsidRPr="00785FE8">
              <w:rPr>
                <w:color w:val="000000" w:themeColor="text1"/>
                <w:sz w:val="22"/>
                <w:szCs w:val="22"/>
              </w:rPr>
              <w:t>tiek lietots termins „attiecīgā valsts drošības iestāde”</w:t>
            </w:r>
            <w:r>
              <w:rPr>
                <w:color w:val="000000" w:themeColor="text1"/>
                <w:sz w:val="22"/>
                <w:szCs w:val="22"/>
              </w:rPr>
              <w:t xml:space="preserve">, par kuru saskaņā ar noteikumu 12.1. apakšpunktu ir jāuzskata </w:t>
            </w:r>
            <w:r w:rsidR="006445FA" w:rsidRPr="00785FE8">
              <w:rPr>
                <w:color w:val="000000" w:themeColor="text1"/>
                <w:sz w:val="22"/>
                <w:szCs w:val="22"/>
              </w:rPr>
              <w:t>valsts drošības iestād</w:t>
            </w:r>
            <w:r>
              <w:rPr>
                <w:color w:val="000000" w:themeColor="text1"/>
                <w:sz w:val="22"/>
                <w:szCs w:val="22"/>
              </w:rPr>
              <w:t>e</w:t>
            </w:r>
            <w:r w:rsidR="006445FA" w:rsidRPr="00785FE8">
              <w:rPr>
                <w:color w:val="000000" w:themeColor="text1"/>
                <w:sz w:val="22"/>
                <w:szCs w:val="22"/>
              </w:rPr>
              <w:t>, k</w:t>
            </w:r>
            <w:r>
              <w:rPr>
                <w:color w:val="000000" w:themeColor="text1"/>
                <w:sz w:val="22"/>
                <w:szCs w:val="22"/>
              </w:rPr>
              <w:t>as</w:t>
            </w:r>
            <w:r w:rsidR="006445FA" w:rsidRPr="00785FE8">
              <w:rPr>
                <w:color w:val="000000" w:themeColor="text1"/>
                <w:sz w:val="22"/>
                <w:szCs w:val="22"/>
              </w:rPr>
              <w:t xml:space="preserve"> </w:t>
            </w:r>
            <w:r w:rsidR="006445FA" w:rsidRPr="00DE3A07">
              <w:rPr>
                <w:color w:val="000000" w:themeColor="text1"/>
                <w:sz w:val="22"/>
                <w:szCs w:val="22"/>
                <w:u w:val="single"/>
              </w:rPr>
              <w:t>pieņēmusi lēmumu</w:t>
            </w:r>
            <w:r w:rsidR="006445FA" w:rsidRPr="00785FE8">
              <w:rPr>
                <w:color w:val="000000" w:themeColor="text1"/>
                <w:sz w:val="22"/>
                <w:szCs w:val="22"/>
              </w:rPr>
              <w:t xml:space="preserve"> personai izsniegt speciālo atļauju.</w:t>
            </w:r>
            <w:r>
              <w:rPr>
                <w:color w:val="000000" w:themeColor="text1"/>
                <w:sz w:val="22"/>
                <w:szCs w:val="22"/>
              </w:rPr>
              <w:t xml:space="preserve"> Vienlaikus šis termins ir lietots arī noteikumu </w:t>
            </w:r>
            <w:r w:rsidRPr="00785FE8">
              <w:rPr>
                <w:color w:val="000000" w:themeColor="text1"/>
                <w:sz w:val="22"/>
                <w:szCs w:val="22"/>
              </w:rPr>
              <w:t>27.</w:t>
            </w:r>
            <w:r>
              <w:rPr>
                <w:color w:val="000000" w:themeColor="text1"/>
                <w:sz w:val="22"/>
                <w:szCs w:val="22"/>
              </w:rPr>
              <w:t> </w:t>
            </w:r>
            <w:r w:rsidRPr="00785FE8">
              <w:rPr>
                <w:color w:val="000000" w:themeColor="text1"/>
                <w:sz w:val="22"/>
                <w:szCs w:val="22"/>
              </w:rPr>
              <w:t>punktā attiecībā uz valsts drošības iestādi, kura sniedz atzinumu par telpu piemērotību valsts noslēpuma uzglabāšanai.</w:t>
            </w:r>
          </w:p>
          <w:p w:rsidR="006445FA" w:rsidRDefault="00DE3A07" w:rsidP="00762688">
            <w:pPr>
              <w:ind w:firstLine="254"/>
              <w:jc w:val="both"/>
              <w:rPr>
                <w:color w:val="000000" w:themeColor="text1"/>
              </w:rPr>
            </w:pPr>
            <w:r>
              <w:rPr>
                <w:color w:val="000000" w:themeColor="text1"/>
                <w:sz w:val="22"/>
                <w:szCs w:val="22"/>
              </w:rPr>
              <w:t xml:space="preserve">Noteikumi šā brīža redakcijā atšķirīgi reglamentē jautājumu par to, kura valsts drošības iestāde pieņem lēmumu attiecīgās institūcijas telpu un personu pārbaudes rezultātā. Attiecībā uz </w:t>
            </w:r>
            <w:r w:rsidR="00E44560">
              <w:rPr>
                <w:color w:val="000000" w:themeColor="text1"/>
                <w:sz w:val="22"/>
                <w:szCs w:val="22"/>
              </w:rPr>
              <w:t xml:space="preserve">institūcijas </w:t>
            </w:r>
            <w:r>
              <w:rPr>
                <w:color w:val="000000" w:themeColor="text1"/>
                <w:sz w:val="22"/>
                <w:szCs w:val="22"/>
              </w:rPr>
              <w:t xml:space="preserve">telpu pārbaudi </w:t>
            </w:r>
            <w:r w:rsidR="00E44560">
              <w:rPr>
                <w:color w:val="000000" w:themeColor="text1"/>
                <w:sz w:val="22"/>
                <w:szCs w:val="22"/>
              </w:rPr>
              <w:t xml:space="preserve">un pārbaudes rezultātā sniedzamo atzinumu </w:t>
            </w:r>
            <w:r>
              <w:rPr>
                <w:color w:val="000000" w:themeColor="text1"/>
                <w:sz w:val="22"/>
                <w:szCs w:val="22"/>
              </w:rPr>
              <w:t xml:space="preserve">ir saglabāts likumam ”Par valsts noslēpumu” atbilstošais sadalījums pēc nozarēm, savukārt attiecībā uz personu pārbaudi </w:t>
            </w:r>
            <w:r w:rsidR="00E44560">
              <w:rPr>
                <w:color w:val="000000" w:themeColor="text1"/>
                <w:sz w:val="22"/>
                <w:szCs w:val="22"/>
              </w:rPr>
              <w:t xml:space="preserve">un lēmumu par pieeju valsts noslēpumam ir ieviests cits princips – sadalījums atkarībā no piešķiramās speciālās atļaujas kategorijas. </w:t>
            </w:r>
            <w:r w:rsidR="00762688">
              <w:rPr>
                <w:color w:val="000000" w:themeColor="text1"/>
                <w:sz w:val="22"/>
                <w:szCs w:val="22"/>
              </w:rPr>
              <w:t xml:space="preserve">Proti, noteikumu 10.1. apakšpunkts nosaka, ka 1.kategorijas speciālās atļaujas izsniedz Satversmes aizsardzības birojs (turpmāk – SAB). </w:t>
            </w:r>
            <w:r w:rsidR="00E44560">
              <w:rPr>
                <w:color w:val="000000" w:themeColor="text1"/>
                <w:sz w:val="22"/>
                <w:szCs w:val="22"/>
              </w:rPr>
              <w:t xml:space="preserve">Rezultātā personas pārbaude joprojām tiek veikta valsts drošības iestādē atbilstoši attiecīgajai nozarei, savukārt gala lēmumu </w:t>
            </w:r>
            <w:r>
              <w:rPr>
                <w:color w:val="000000" w:themeColor="text1"/>
                <w:sz w:val="22"/>
                <w:szCs w:val="22"/>
              </w:rPr>
              <w:t xml:space="preserve"> </w:t>
            </w:r>
            <w:r w:rsidR="00E44560">
              <w:rPr>
                <w:color w:val="000000" w:themeColor="text1"/>
                <w:sz w:val="22"/>
                <w:szCs w:val="22"/>
              </w:rPr>
              <w:t xml:space="preserve">par speciālās atļaujas pieejai valsts noslēpumam izsniegšanu </w:t>
            </w:r>
            <w:r w:rsidR="00762688">
              <w:rPr>
                <w:color w:val="000000" w:themeColor="text1"/>
                <w:sz w:val="22"/>
                <w:szCs w:val="22"/>
              </w:rPr>
              <w:t xml:space="preserve">atkarībā no kategorijas var </w:t>
            </w:r>
            <w:r w:rsidR="00E44560">
              <w:rPr>
                <w:color w:val="000000" w:themeColor="text1"/>
                <w:sz w:val="22"/>
                <w:szCs w:val="22"/>
              </w:rPr>
              <w:t>pieņem</w:t>
            </w:r>
            <w:r w:rsidR="00762688">
              <w:rPr>
                <w:color w:val="000000" w:themeColor="text1"/>
                <w:sz w:val="22"/>
                <w:szCs w:val="22"/>
              </w:rPr>
              <w:t>t</w:t>
            </w:r>
            <w:r w:rsidR="00E44560">
              <w:rPr>
                <w:color w:val="000000" w:themeColor="text1"/>
                <w:sz w:val="22"/>
                <w:szCs w:val="22"/>
              </w:rPr>
              <w:t xml:space="preserve"> cita valsts drošības iestāde –</w:t>
            </w:r>
            <w:r w:rsidR="00762688">
              <w:rPr>
                <w:color w:val="000000" w:themeColor="text1"/>
                <w:sz w:val="22"/>
                <w:szCs w:val="22"/>
              </w:rPr>
              <w:t xml:space="preserve"> SAB</w:t>
            </w:r>
            <w:r w:rsidR="00E44560">
              <w:rPr>
                <w:color w:val="000000" w:themeColor="text1"/>
                <w:sz w:val="22"/>
                <w:szCs w:val="22"/>
              </w:rPr>
              <w:t xml:space="preserve">. </w:t>
            </w:r>
            <w:r w:rsidR="00762688">
              <w:rPr>
                <w:color w:val="000000" w:themeColor="text1"/>
                <w:sz w:val="22"/>
                <w:szCs w:val="22"/>
              </w:rPr>
              <w:t>Tas nozīmē</w:t>
            </w:r>
            <w:r w:rsidR="006445FA" w:rsidRPr="00785FE8">
              <w:rPr>
                <w:color w:val="000000" w:themeColor="text1"/>
                <w:sz w:val="22"/>
                <w:szCs w:val="22"/>
              </w:rPr>
              <w:t xml:space="preserve">, ka </w:t>
            </w:r>
            <w:r w:rsidR="00762688">
              <w:rPr>
                <w:color w:val="000000" w:themeColor="text1"/>
                <w:sz w:val="22"/>
                <w:szCs w:val="22"/>
              </w:rPr>
              <w:t>vienai institūcijai pašlaik var būt divas dažādas „attiecīgās valsts drošības iestādes”. Līdz ar to</w:t>
            </w:r>
            <w:r w:rsidR="006445FA" w:rsidRPr="00785FE8">
              <w:rPr>
                <w:color w:val="000000" w:themeColor="text1"/>
                <w:sz w:val="22"/>
                <w:szCs w:val="22"/>
              </w:rPr>
              <w:t xml:space="preserve"> nav saprotams, kura valsts drošības iestāde sniegs atzinumu par telpu piemērot</w:t>
            </w:r>
            <w:r w:rsidR="006445FA">
              <w:rPr>
                <w:color w:val="000000" w:themeColor="text1"/>
                <w:sz w:val="22"/>
                <w:szCs w:val="22"/>
              </w:rPr>
              <w:t>ību darbam ar valsts noslēpumu.</w:t>
            </w:r>
          </w:p>
          <w:p w:rsidR="00ED6E24" w:rsidRDefault="00762688" w:rsidP="00ED6E24">
            <w:pPr>
              <w:ind w:firstLine="254"/>
              <w:jc w:val="both"/>
              <w:rPr>
                <w:color w:val="000000" w:themeColor="text1"/>
              </w:rPr>
            </w:pPr>
            <w:r>
              <w:rPr>
                <w:color w:val="000000" w:themeColor="text1"/>
                <w:sz w:val="22"/>
                <w:szCs w:val="22"/>
              </w:rPr>
              <w:t>Šajā kontekstā jānorāda, ka l</w:t>
            </w:r>
            <w:r w:rsidR="006445FA" w:rsidRPr="00785FE8">
              <w:rPr>
                <w:color w:val="000000" w:themeColor="text1"/>
                <w:sz w:val="22"/>
                <w:szCs w:val="22"/>
              </w:rPr>
              <w:t xml:space="preserve">ikuma ”Par valsts noslēpumu” 7.panta trešajā daļā ir noteikts, ka valsts drošības iestādes </w:t>
            </w:r>
            <w:r w:rsidR="006445FA" w:rsidRPr="00762688">
              <w:rPr>
                <w:color w:val="000000" w:themeColor="text1"/>
                <w:sz w:val="22"/>
                <w:szCs w:val="22"/>
                <w:u w:val="single"/>
              </w:rPr>
              <w:t>atbilstoši likumā noteiktajai šo iestāžu kompetencei</w:t>
            </w:r>
            <w:r w:rsidR="006445FA" w:rsidRPr="00785FE8">
              <w:rPr>
                <w:color w:val="000000" w:themeColor="text1"/>
                <w:sz w:val="22"/>
                <w:szCs w:val="22"/>
              </w:rPr>
              <w:t xml:space="preserve"> vada, koordinē, kontrolē un veic valsts noslēpuma aizsardzības pasākumus, bet </w:t>
            </w:r>
            <w:r>
              <w:rPr>
                <w:color w:val="000000" w:themeColor="text1"/>
                <w:sz w:val="22"/>
                <w:szCs w:val="22"/>
              </w:rPr>
              <w:t xml:space="preserve">šī </w:t>
            </w:r>
            <w:r w:rsidR="006445FA" w:rsidRPr="00785FE8">
              <w:rPr>
                <w:color w:val="000000" w:themeColor="text1"/>
                <w:sz w:val="22"/>
                <w:szCs w:val="22"/>
              </w:rPr>
              <w:t>likuma 10.panta trešajā un ceturtajā daļā ir skaidri noteikta valsts drošības iestāžu kompetence p</w:t>
            </w:r>
            <w:r>
              <w:rPr>
                <w:color w:val="000000" w:themeColor="text1"/>
                <w:sz w:val="22"/>
                <w:szCs w:val="22"/>
              </w:rPr>
              <w:t>ersonu un telpu pārbaudes jomā. Saskaņā ar</w:t>
            </w:r>
            <w:r w:rsidR="006445FA" w:rsidRPr="00785FE8">
              <w:rPr>
                <w:color w:val="000000" w:themeColor="text1"/>
                <w:sz w:val="22"/>
                <w:szCs w:val="22"/>
              </w:rPr>
              <w:t xml:space="preserve"> likuma </w:t>
            </w:r>
            <w:r>
              <w:rPr>
                <w:color w:val="000000" w:themeColor="text1"/>
                <w:sz w:val="22"/>
                <w:szCs w:val="22"/>
              </w:rPr>
              <w:t xml:space="preserve">„Par valsts noslēpumu” </w:t>
            </w:r>
            <w:r w:rsidR="006445FA" w:rsidRPr="00785FE8">
              <w:rPr>
                <w:color w:val="000000" w:themeColor="text1"/>
                <w:sz w:val="22"/>
                <w:szCs w:val="22"/>
              </w:rPr>
              <w:t>10.panta pirm</w:t>
            </w:r>
            <w:r>
              <w:rPr>
                <w:color w:val="000000" w:themeColor="text1"/>
                <w:sz w:val="22"/>
                <w:szCs w:val="22"/>
              </w:rPr>
              <w:t>o</w:t>
            </w:r>
            <w:r w:rsidR="006445FA" w:rsidRPr="00785FE8">
              <w:rPr>
                <w:color w:val="000000" w:themeColor="text1"/>
                <w:sz w:val="22"/>
                <w:szCs w:val="22"/>
              </w:rPr>
              <w:t xml:space="preserve"> daļ</w:t>
            </w:r>
            <w:r>
              <w:rPr>
                <w:color w:val="000000" w:themeColor="text1"/>
                <w:sz w:val="22"/>
                <w:szCs w:val="22"/>
              </w:rPr>
              <w:t>u</w:t>
            </w:r>
            <w:r w:rsidR="006445FA" w:rsidRPr="00785FE8">
              <w:rPr>
                <w:color w:val="000000" w:themeColor="text1"/>
                <w:sz w:val="22"/>
                <w:szCs w:val="22"/>
              </w:rPr>
              <w:t xml:space="preserve"> valsts drošības iestādes </w:t>
            </w:r>
            <w:r w:rsidR="006445FA" w:rsidRPr="00762688">
              <w:rPr>
                <w:color w:val="000000" w:themeColor="text1"/>
                <w:sz w:val="22"/>
                <w:szCs w:val="22"/>
              </w:rPr>
              <w:t>savas kompetences ietvaros</w:t>
            </w:r>
            <w:r w:rsidR="006445FA" w:rsidRPr="00785FE8">
              <w:rPr>
                <w:color w:val="000000" w:themeColor="text1"/>
                <w:sz w:val="22"/>
                <w:szCs w:val="22"/>
              </w:rPr>
              <w:t xml:space="preserve"> pārbauda personas un sniedz atzinumu par speciālās atļa</w:t>
            </w:r>
            <w:r>
              <w:rPr>
                <w:color w:val="000000" w:themeColor="text1"/>
                <w:sz w:val="22"/>
                <w:szCs w:val="22"/>
              </w:rPr>
              <w:t>ujas darbam ar valsts noslēpumu</w:t>
            </w:r>
            <w:r w:rsidR="006445FA" w:rsidRPr="00785FE8">
              <w:rPr>
                <w:color w:val="000000" w:themeColor="text1"/>
                <w:sz w:val="22"/>
                <w:szCs w:val="22"/>
              </w:rPr>
              <w:t xml:space="preserve"> izsniegšanas iespēju. </w:t>
            </w:r>
            <w:r>
              <w:rPr>
                <w:color w:val="000000" w:themeColor="text1"/>
                <w:sz w:val="22"/>
                <w:szCs w:val="22"/>
              </w:rPr>
              <w:t>Savukārt</w:t>
            </w:r>
            <w:r w:rsidR="006445FA" w:rsidRPr="00785FE8">
              <w:rPr>
                <w:color w:val="000000" w:themeColor="text1"/>
                <w:sz w:val="22"/>
                <w:szCs w:val="22"/>
              </w:rPr>
              <w:t xml:space="preserve"> Valsts drošības iestāžu likuma 11.panta otrā daļa nosaka, ka valsts drošības iestādes </w:t>
            </w:r>
            <w:r w:rsidR="006445FA" w:rsidRPr="00762688">
              <w:rPr>
                <w:color w:val="000000" w:themeColor="text1"/>
                <w:sz w:val="22"/>
                <w:szCs w:val="22"/>
                <w:u w:val="single"/>
              </w:rPr>
              <w:t>to noteiktās kompetences ietvaros darbojas patstāvīgi.</w:t>
            </w:r>
            <w:r w:rsidR="00ED6E24">
              <w:rPr>
                <w:color w:val="000000" w:themeColor="text1"/>
                <w:sz w:val="22"/>
                <w:szCs w:val="22"/>
              </w:rPr>
              <w:t xml:space="preserve"> </w:t>
            </w:r>
            <w:r>
              <w:rPr>
                <w:color w:val="000000" w:themeColor="text1"/>
                <w:sz w:val="22"/>
                <w:szCs w:val="22"/>
              </w:rPr>
              <w:t>Ievērojot minēto</w:t>
            </w:r>
            <w:r w:rsidR="00ED6E24">
              <w:rPr>
                <w:color w:val="000000" w:themeColor="text1"/>
                <w:sz w:val="22"/>
                <w:szCs w:val="22"/>
              </w:rPr>
              <w:t>,</w:t>
            </w:r>
            <w:r>
              <w:rPr>
                <w:color w:val="000000" w:themeColor="text1"/>
                <w:sz w:val="22"/>
                <w:szCs w:val="22"/>
              </w:rPr>
              <w:t xml:space="preserve"> secināms, ka </w:t>
            </w:r>
            <w:r w:rsidRPr="00785FE8">
              <w:rPr>
                <w:color w:val="000000" w:themeColor="text1"/>
                <w:sz w:val="22"/>
                <w:szCs w:val="22"/>
              </w:rPr>
              <w:t>noteikumu 10.1. apakšpunkt</w:t>
            </w:r>
            <w:r>
              <w:rPr>
                <w:color w:val="000000" w:themeColor="text1"/>
                <w:sz w:val="22"/>
                <w:szCs w:val="22"/>
              </w:rPr>
              <w:t>s, kas nosaka</w:t>
            </w:r>
            <w:r w:rsidRPr="00785FE8">
              <w:rPr>
                <w:color w:val="000000" w:themeColor="text1"/>
                <w:sz w:val="22"/>
                <w:szCs w:val="22"/>
              </w:rPr>
              <w:t xml:space="preserve">, ka </w:t>
            </w:r>
            <w:r w:rsidR="00ED6E24">
              <w:rPr>
                <w:color w:val="000000" w:themeColor="text1"/>
                <w:sz w:val="22"/>
                <w:szCs w:val="22"/>
              </w:rPr>
              <w:t>1.</w:t>
            </w:r>
            <w:r w:rsidRPr="00785FE8">
              <w:rPr>
                <w:color w:val="000000" w:themeColor="text1"/>
                <w:sz w:val="22"/>
                <w:szCs w:val="22"/>
              </w:rPr>
              <w:t xml:space="preserve">kategorijas speciālās atļaujas izsniedz tikai </w:t>
            </w:r>
            <w:r w:rsidR="00ED6E24">
              <w:rPr>
                <w:color w:val="000000" w:themeColor="text1"/>
                <w:sz w:val="22"/>
                <w:szCs w:val="22"/>
              </w:rPr>
              <w:t xml:space="preserve">SAB, faktiski neatbilst likumos </w:t>
            </w:r>
            <w:r w:rsidR="006445FA" w:rsidRPr="00785FE8">
              <w:rPr>
                <w:color w:val="000000" w:themeColor="text1"/>
                <w:sz w:val="22"/>
                <w:szCs w:val="22"/>
              </w:rPr>
              <w:t>skaidri noteikta</w:t>
            </w:r>
            <w:r w:rsidR="00ED6E24">
              <w:rPr>
                <w:color w:val="000000" w:themeColor="text1"/>
                <w:sz w:val="22"/>
                <w:szCs w:val="22"/>
              </w:rPr>
              <w:t>jai</w:t>
            </w:r>
            <w:r w:rsidR="006445FA" w:rsidRPr="00785FE8">
              <w:rPr>
                <w:color w:val="000000" w:themeColor="text1"/>
                <w:sz w:val="22"/>
                <w:szCs w:val="22"/>
              </w:rPr>
              <w:t xml:space="preserve"> valsts drošības iestāžu kompetence</w:t>
            </w:r>
            <w:r w:rsidR="00ED6E24">
              <w:rPr>
                <w:color w:val="000000" w:themeColor="text1"/>
                <w:sz w:val="22"/>
                <w:szCs w:val="22"/>
              </w:rPr>
              <w:t>i</w:t>
            </w:r>
            <w:r w:rsidR="006445FA" w:rsidRPr="00785FE8">
              <w:rPr>
                <w:color w:val="000000" w:themeColor="text1"/>
                <w:sz w:val="22"/>
                <w:szCs w:val="22"/>
              </w:rPr>
              <w:t xml:space="preserve"> </w:t>
            </w:r>
            <w:r w:rsidR="00ED6E24">
              <w:rPr>
                <w:color w:val="000000" w:themeColor="text1"/>
                <w:sz w:val="22"/>
                <w:szCs w:val="22"/>
              </w:rPr>
              <w:t xml:space="preserve">patstāvīgi </w:t>
            </w:r>
            <w:r w:rsidR="006445FA" w:rsidRPr="00785FE8">
              <w:rPr>
                <w:color w:val="000000" w:themeColor="text1"/>
                <w:sz w:val="22"/>
                <w:szCs w:val="22"/>
              </w:rPr>
              <w:t>veikt per</w:t>
            </w:r>
            <w:r>
              <w:rPr>
                <w:color w:val="000000" w:themeColor="text1"/>
                <w:sz w:val="22"/>
                <w:szCs w:val="22"/>
              </w:rPr>
              <w:t>s</w:t>
            </w:r>
            <w:r w:rsidR="006445FA" w:rsidRPr="00785FE8">
              <w:rPr>
                <w:color w:val="000000" w:themeColor="text1"/>
                <w:sz w:val="22"/>
                <w:szCs w:val="22"/>
              </w:rPr>
              <w:t>onu pārbaudi un sniegt atzinumu par</w:t>
            </w:r>
            <w:r w:rsidR="00ED6E24">
              <w:rPr>
                <w:color w:val="000000" w:themeColor="text1"/>
                <w:sz w:val="22"/>
                <w:szCs w:val="22"/>
              </w:rPr>
              <w:t xml:space="preserve"> speciālās atļaujas izsniegšanu</w:t>
            </w:r>
            <w:r w:rsidR="006445FA" w:rsidRPr="00785FE8">
              <w:rPr>
                <w:color w:val="000000" w:themeColor="text1"/>
                <w:sz w:val="22"/>
                <w:szCs w:val="22"/>
              </w:rPr>
              <w:t>. Nedz likumā „Par valsts noslēpumu”, nedz arī citos normatīvajos aktos nav iekļauts deleģējums Ministru kabinetam mainīt vals</w:t>
            </w:r>
            <w:r w:rsidR="00ED6E24">
              <w:rPr>
                <w:color w:val="000000" w:themeColor="text1"/>
                <w:sz w:val="22"/>
                <w:szCs w:val="22"/>
              </w:rPr>
              <w:t>ts drošības iestāžu kompetenci.</w:t>
            </w:r>
          </w:p>
          <w:p w:rsidR="008F1F32" w:rsidRDefault="006445FA" w:rsidP="00ED6E24">
            <w:pPr>
              <w:ind w:firstLine="254"/>
              <w:jc w:val="both"/>
              <w:rPr>
                <w:color w:val="000000" w:themeColor="text1"/>
              </w:rPr>
            </w:pPr>
            <w:r w:rsidRPr="00785FE8">
              <w:rPr>
                <w:color w:val="000000" w:themeColor="text1"/>
                <w:sz w:val="22"/>
                <w:szCs w:val="22"/>
              </w:rPr>
              <w:t xml:space="preserve">Noteikumos iekļautā norma, kas nosaka, ka visas </w:t>
            </w:r>
            <w:r w:rsidR="00ED6E24">
              <w:rPr>
                <w:color w:val="000000" w:themeColor="text1"/>
                <w:sz w:val="22"/>
                <w:szCs w:val="22"/>
              </w:rPr>
              <w:t>1.</w:t>
            </w:r>
            <w:r w:rsidRPr="00785FE8">
              <w:rPr>
                <w:color w:val="000000" w:themeColor="text1"/>
                <w:sz w:val="22"/>
                <w:szCs w:val="22"/>
              </w:rPr>
              <w:t xml:space="preserve">kategorijas speciālās atļaujas izsniedz </w:t>
            </w:r>
            <w:r w:rsidR="00ED6E24">
              <w:rPr>
                <w:color w:val="000000" w:themeColor="text1"/>
                <w:sz w:val="22"/>
                <w:szCs w:val="22"/>
              </w:rPr>
              <w:t>SAB</w:t>
            </w:r>
            <w:r w:rsidRPr="00785FE8">
              <w:rPr>
                <w:color w:val="000000" w:themeColor="text1"/>
                <w:sz w:val="22"/>
                <w:szCs w:val="22"/>
              </w:rPr>
              <w:t xml:space="preserve">, ir saglabājusies vēsturiski. Līdz 2002.gada 23.oktobrim Valsts drošības iestāžu likuma 13.panta septītās daļas 2.punktā bija noteikts, ka Satversmes aizsardzības birojs koordinē valsts </w:t>
            </w:r>
            <w:r w:rsidR="00ED6E24">
              <w:rPr>
                <w:color w:val="000000" w:themeColor="text1"/>
                <w:sz w:val="22"/>
                <w:szCs w:val="22"/>
              </w:rPr>
              <w:t xml:space="preserve">drošības iestāžu darbību. Šīs vēsturiskās </w:t>
            </w:r>
            <w:r w:rsidRPr="00785FE8">
              <w:rPr>
                <w:color w:val="000000" w:themeColor="text1"/>
                <w:sz w:val="22"/>
                <w:szCs w:val="22"/>
              </w:rPr>
              <w:t>norm</w:t>
            </w:r>
            <w:r w:rsidR="00ED6E24">
              <w:rPr>
                <w:color w:val="000000" w:themeColor="text1"/>
                <w:sz w:val="22"/>
                <w:szCs w:val="22"/>
              </w:rPr>
              <w:t>as dēļ</w:t>
            </w:r>
            <w:r w:rsidRPr="00785FE8">
              <w:rPr>
                <w:color w:val="000000" w:themeColor="text1"/>
                <w:sz w:val="22"/>
                <w:szCs w:val="22"/>
              </w:rPr>
              <w:t xml:space="preserve"> līdz 2018.gada 1.jūlijam likuma „Par valsts noslēpumu” 11.panta piektajā daļā un 13.panta trešajā daļā </w:t>
            </w:r>
            <w:r w:rsidR="00ED6E24">
              <w:rPr>
                <w:color w:val="000000" w:themeColor="text1"/>
                <w:sz w:val="22"/>
                <w:szCs w:val="22"/>
              </w:rPr>
              <w:t>bija paredzēts</w:t>
            </w:r>
            <w:r w:rsidRPr="00785FE8">
              <w:rPr>
                <w:color w:val="000000" w:themeColor="text1"/>
                <w:sz w:val="22"/>
                <w:szCs w:val="22"/>
              </w:rPr>
              <w:t xml:space="preserve">, ka </w:t>
            </w:r>
            <w:r w:rsidR="00ED6E24">
              <w:rPr>
                <w:color w:val="000000" w:themeColor="text1"/>
                <w:sz w:val="22"/>
                <w:szCs w:val="22"/>
              </w:rPr>
              <w:t xml:space="preserve">valsts drošības iestāžu </w:t>
            </w:r>
            <w:r w:rsidRPr="00785FE8">
              <w:rPr>
                <w:color w:val="000000" w:themeColor="text1"/>
                <w:sz w:val="22"/>
                <w:szCs w:val="22"/>
              </w:rPr>
              <w:t xml:space="preserve">atteikumu izsniegt speciālo atļauju, speciālās atļaujas anulēšanu, tās termiņa </w:t>
            </w:r>
            <w:r w:rsidRPr="00785FE8">
              <w:rPr>
                <w:color w:val="000000" w:themeColor="text1"/>
                <w:sz w:val="22"/>
                <w:szCs w:val="22"/>
              </w:rPr>
              <w:lastRenderedPageBreak/>
              <w:t xml:space="preserve">nepagarināšanu vai kategorijas pazemināšanu var </w:t>
            </w:r>
            <w:r w:rsidR="00ED6E24">
              <w:rPr>
                <w:color w:val="000000" w:themeColor="text1"/>
                <w:sz w:val="22"/>
                <w:szCs w:val="22"/>
              </w:rPr>
              <w:t>apstrīdēt</w:t>
            </w:r>
            <w:r w:rsidRPr="00785FE8">
              <w:rPr>
                <w:color w:val="000000" w:themeColor="text1"/>
                <w:sz w:val="22"/>
                <w:szCs w:val="22"/>
              </w:rPr>
              <w:t xml:space="preserve"> </w:t>
            </w:r>
            <w:r w:rsidR="00ED6E24">
              <w:rPr>
                <w:color w:val="000000" w:themeColor="text1"/>
                <w:sz w:val="22"/>
                <w:szCs w:val="22"/>
              </w:rPr>
              <w:t>SAB</w:t>
            </w:r>
            <w:r w:rsidRPr="00785FE8">
              <w:rPr>
                <w:color w:val="000000" w:themeColor="text1"/>
                <w:sz w:val="22"/>
                <w:szCs w:val="22"/>
              </w:rPr>
              <w:t xml:space="preserve"> direktoram. Stājoties spēkā </w:t>
            </w:r>
            <w:r w:rsidR="00ED6E24">
              <w:rPr>
                <w:color w:val="000000" w:themeColor="text1"/>
                <w:sz w:val="22"/>
                <w:szCs w:val="22"/>
              </w:rPr>
              <w:t>2018.gada 1.februāra likumam</w:t>
            </w:r>
            <w:r w:rsidRPr="00785FE8">
              <w:rPr>
                <w:color w:val="000000" w:themeColor="text1"/>
                <w:sz w:val="22"/>
                <w:szCs w:val="22"/>
              </w:rPr>
              <w:t xml:space="preserve"> </w:t>
            </w:r>
            <w:r w:rsidR="00ED6E24">
              <w:rPr>
                <w:color w:val="000000" w:themeColor="text1"/>
                <w:sz w:val="22"/>
                <w:szCs w:val="22"/>
              </w:rPr>
              <w:t xml:space="preserve">„Grozījumi </w:t>
            </w:r>
            <w:r w:rsidRPr="00785FE8">
              <w:rPr>
                <w:color w:val="000000" w:themeColor="text1"/>
                <w:sz w:val="22"/>
                <w:szCs w:val="22"/>
              </w:rPr>
              <w:t>likumā „Par valsts noslēpumu”</w:t>
            </w:r>
            <w:r w:rsidR="00ED6E24">
              <w:rPr>
                <w:color w:val="000000" w:themeColor="text1"/>
                <w:sz w:val="22"/>
                <w:szCs w:val="22"/>
              </w:rPr>
              <w:t>”</w:t>
            </w:r>
            <w:r w:rsidRPr="00785FE8">
              <w:rPr>
                <w:color w:val="000000" w:themeColor="text1"/>
                <w:sz w:val="22"/>
                <w:szCs w:val="22"/>
              </w:rPr>
              <w:t>, kur</w:t>
            </w:r>
            <w:r w:rsidR="00ED6E24">
              <w:rPr>
                <w:color w:val="000000" w:themeColor="text1"/>
                <w:sz w:val="22"/>
                <w:szCs w:val="22"/>
              </w:rPr>
              <w:t>a</w:t>
            </w:r>
            <w:r w:rsidRPr="00785FE8">
              <w:rPr>
                <w:color w:val="000000" w:themeColor="text1"/>
                <w:sz w:val="22"/>
                <w:szCs w:val="22"/>
              </w:rPr>
              <w:t xml:space="preserve"> rezultātā atteikumu izsniegt speciālo atļauju vai lēmumu par speciālās atļaujas anulēšanu, tās termiņa nepagarināšanu vai kategorijas pazemināšanu persona </w:t>
            </w:r>
            <w:r w:rsidR="00ED6E24">
              <w:rPr>
                <w:color w:val="000000" w:themeColor="text1"/>
                <w:sz w:val="22"/>
                <w:szCs w:val="22"/>
              </w:rPr>
              <w:t xml:space="preserve">vairs nevar apstrīdēt SAB direktoram, bet gan pārsūdz tiesā, </w:t>
            </w:r>
            <w:r w:rsidRPr="00785FE8">
              <w:rPr>
                <w:color w:val="000000" w:themeColor="text1"/>
                <w:sz w:val="22"/>
                <w:szCs w:val="22"/>
              </w:rPr>
              <w:t xml:space="preserve">zūd arī nepieciešamība </w:t>
            </w:r>
            <w:r w:rsidR="00ED6E24">
              <w:rPr>
                <w:color w:val="000000" w:themeColor="text1"/>
                <w:sz w:val="22"/>
                <w:szCs w:val="22"/>
              </w:rPr>
              <w:t>iesaistī</w:t>
            </w:r>
            <w:r w:rsidRPr="00785FE8">
              <w:rPr>
                <w:color w:val="000000" w:themeColor="text1"/>
                <w:sz w:val="22"/>
                <w:szCs w:val="22"/>
              </w:rPr>
              <w:t xml:space="preserve">t </w:t>
            </w:r>
            <w:r w:rsidR="00ED6E24">
              <w:rPr>
                <w:color w:val="000000" w:themeColor="text1"/>
                <w:sz w:val="22"/>
                <w:szCs w:val="22"/>
              </w:rPr>
              <w:t>SAB</w:t>
            </w:r>
            <w:r w:rsidRPr="00785FE8">
              <w:rPr>
                <w:color w:val="000000" w:themeColor="text1"/>
                <w:sz w:val="22"/>
                <w:szCs w:val="22"/>
              </w:rPr>
              <w:t xml:space="preserve"> citu valsts drošības</w:t>
            </w:r>
            <w:r w:rsidR="00ED6E24">
              <w:rPr>
                <w:color w:val="000000" w:themeColor="text1"/>
                <w:sz w:val="22"/>
                <w:szCs w:val="22"/>
              </w:rPr>
              <w:t xml:space="preserve"> iestāžu veiktajās personu pā</w:t>
            </w:r>
            <w:r w:rsidR="000C22C4">
              <w:rPr>
                <w:color w:val="000000" w:themeColor="text1"/>
                <w:sz w:val="22"/>
                <w:szCs w:val="22"/>
              </w:rPr>
              <w:t xml:space="preserve">rbaudēs, kā arī citos </w:t>
            </w:r>
            <w:r w:rsidR="00ED6E24">
              <w:rPr>
                <w:color w:val="000000" w:themeColor="text1"/>
                <w:sz w:val="22"/>
                <w:szCs w:val="22"/>
              </w:rPr>
              <w:t>valsts noslēpuma aizsardzības pasākumos</w:t>
            </w:r>
            <w:r w:rsidRPr="00785FE8">
              <w:rPr>
                <w:color w:val="000000" w:themeColor="text1"/>
                <w:sz w:val="22"/>
                <w:szCs w:val="22"/>
              </w:rPr>
              <w:t xml:space="preserve">. </w:t>
            </w:r>
            <w:r w:rsidR="000C22C4">
              <w:rPr>
                <w:color w:val="000000" w:themeColor="text1"/>
                <w:sz w:val="22"/>
                <w:szCs w:val="22"/>
              </w:rPr>
              <w:t>Atbilstoši Projektā paredzētajam t</w:t>
            </w:r>
            <w:r w:rsidRPr="00785FE8">
              <w:rPr>
                <w:color w:val="000000" w:themeColor="text1"/>
                <w:sz w:val="22"/>
                <w:szCs w:val="22"/>
              </w:rPr>
              <w:t>urpmāk valsts drošības iestādes var</w:t>
            </w:r>
            <w:r w:rsidR="000C22C4">
              <w:rPr>
                <w:color w:val="000000" w:themeColor="text1"/>
                <w:sz w:val="22"/>
                <w:szCs w:val="22"/>
              </w:rPr>
              <w:t>ēs</w:t>
            </w:r>
            <w:r w:rsidRPr="00785FE8">
              <w:rPr>
                <w:color w:val="000000" w:themeColor="text1"/>
                <w:sz w:val="22"/>
                <w:szCs w:val="22"/>
              </w:rPr>
              <w:t xml:space="preserve"> patstāvīgi pieņemt lēmumu par </w:t>
            </w:r>
            <w:r w:rsidR="000C22C4">
              <w:rPr>
                <w:color w:val="000000" w:themeColor="text1"/>
                <w:sz w:val="22"/>
                <w:szCs w:val="22"/>
              </w:rPr>
              <w:t>1.</w:t>
            </w:r>
            <w:r w:rsidRPr="00785FE8">
              <w:rPr>
                <w:color w:val="000000" w:themeColor="text1"/>
                <w:sz w:val="22"/>
                <w:szCs w:val="22"/>
              </w:rPr>
              <w:t xml:space="preserve">kategorijas speciālās atļaujas izsniegšanu un nepieciešamības gadījumā pārsūdzības procesā aizstāvēt savu lēmumu </w:t>
            </w:r>
            <w:r w:rsidR="000C22C4">
              <w:rPr>
                <w:color w:val="000000" w:themeColor="text1"/>
                <w:sz w:val="22"/>
                <w:szCs w:val="22"/>
              </w:rPr>
              <w:t>tiesā</w:t>
            </w:r>
            <w:r w:rsidR="008F1F32">
              <w:rPr>
                <w:color w:val="000000" w:themeColor="text1"/>
                <w:sz w:val="22"/>
                <w:szCs w:val="22"/>
              </w:rPr>
              <w:t>.</w:t>
            </w:r>
          </w:p>
          <w:p w:rsidR="008F1F32" w:rsidRDefault="006445FA" w:rsidP="008F1F32">
            <w:pPr>
              <w:ind w:firstLine="254"/>
              <w:jc w:val="both"/>
              <w:rPr>
                <w:color w:val="000000" w:themeColor="text1"/>
              </w:rPr>
            </w:pPr>
            <w:r w:rsidRPr="00785FE8">
              <w:rPr>
                <w:color w:val="000000" w:themeColor="text1"/>
                <w:sz w:val="22"/>
                <w:szCs w:val="22"/>
              </w:rPr>
              <w:t>Lēmuma par 1.kategorijas speciālo atļauju izsniegšanu patstāvīga pieņemšana ļau</w:t>
            </w:r>
            <w:r w:rsidR="000C22C4">
              <w:rPr>
                <w:color w:val="000000" w:themeColor="text1"/>
                <w:sz w:val="22"/>
                <w:szCs w:val="22"/>
              </w:rPr>
              <w:t>s</w:t>
            </w:r>
            <w:r w:rsidRPr="00785FE8">
              <w:rPr>
                <w:color w:val="000000" w:themeColor="text1"/>
                <w:sz w:val="22"/>
                <w:szCs w:val="22"/>
              </w:rPr>
              <w:t xml:space="preserve"> valsts drošības iestādēm īstenot arī vienu no likumā „Par valsts noslēpumu” paredzētajiem valsts noslēpuma aizsardzības profilaktiskajiem pasākumiem, proti</w:t>
            </w:r>
            <w:r w:rsidR="000C22C4">
              <w:rPr>
                <w:color w:val="000000" w:themeColor="text1"/>
                <w:sz w:val="22"/>
                <w:szCs w:val="22"/>
              </w:rPr>
              <w:t xml:space="preserve"> –</w:t>
            </w:r>
            <w:r w:rsidRPr="00785FE8">
              <w:rPr>
                <w:color w:val="000000" w:themeColor="text1"/>
                <w:sz w:val="22"/>
                <w:szCs w:val="22"/>
              </w:rPr>
              <w:t xml:space="preserve"> speciālās atļaujas kategorijas pazemināšana </w:t>
            </w:r>
            <w:r w:rsidR="000C22C4">
              <w:rPr>
                <w:color w:val="000000" w:themeColor="text1"/>
                <w:sz w:val="22"/>
                <w:szCs w:val="22"/>
              </w:rPr>
              <w:t xml:space="preserve">– kas ir aktuāli </w:t>
            </w:r>
            <w:r w:rsidRPr="00785FE8">
              <w:rPr>
                <w:color w:val="000000" w:themeColor="text1"/>
                <w:sz w:val="22"/>
                <w:szCs w:val="22"/>
              </w:rPr>
              <w:t>gadījumos, kad pārbaudāmās personas rīcīb</w:t>
            </w:r>
            <w:r w:rsidR="000C22C4">
              <w:rPr>
                <w:color w:val="000000" w:themeColor="text1"/>
                <w:sz w:val="22"/>
                <w:szCs w:val="22"/>
              </w:rPr>
              <w:t>ā</w:t>
            </w:r>
            <w:r w:rsidRPr="00785FE8">
              <w:rPr>
                <w:color w:val="000000" w:themeColor="text1"/>
                <w:sz w:val="22"/>
                <w:szCs w:val="22"/>
              </w:rPr>
              <w:t xml:space="preserve"> ir saskatāmi </w:t>
            </w:r>
            <w:r w:rsidR="008F1F32">
              <w:rPr>
                <w:color w:val="000000" w:themeColor="text1"/>
                <w:sz w:val="22"/>
                <w:szCs w:val="22"/>
              </w:rPr>
              <w:t xml:space="preserve">tādi </w:t>
            </w:r>
            <w:r w:rsidRPr="00785FE8">
              <w:rPr>
                <w:color w:val="000000" w:themeColor="text1"/>
                <w:sz w:val="22"/>
                <w:szCs w:val="22"/>
              </w:rPr>
              <w:t xml:space="preserve">riska faktori, kuru dēļ personai varētu liegt </w:t>
            </w:r>
            <w:r w:rsidR="000C22C4">
              <w:rPr>
                <w:color w:val="000000" w:themeColor="text1"/>
                <w:sz w:val="22"/>
                <w:szCs w:val="22"/>
              </w:rPr>
              <w:t>pieeju</w:t>
            </w:r>
            <w:r w:rsidRPr="00785FE8">
              <w:rPr>
                <w:color w:val="000000" w:themeColor="text1"/>
                <w:sz w:val="22"/>
                <w:szCs w:val="22"/>
              </w:rPr>
              <w:t xml:space="preserve"> sevišķi slepen</w:t>
            </w:r>
            <w:r w:rsidR="000C22C4">
              <w:rPr>
                <w:color w:val="000000" w:themeColor="text1"/>
                <w:sz w:val="22"/>
                <w:szCs w:val="22"/>
              </w:rPr>
              <w:t>iem valsts noslēpuma objektiem</w:t>
            </w:r>
            <w:r w:rsidRPr="00785FE8">
              <w:rPr>
                <w:color w:val="000000" w:themeColor="text1"/>
                <w:sz w:val="22"/>
                <w:szCs w:val="22"/>
              </w:rPr>
              <w:t xml:space="preserve">, vienlaicīgi </w:t>
            </w:r>
            <w:r w:rsidR="000C22C4">
              <w:rPr>
                <w:color w:val="000000" w:themeColor="text1"/>
                <w:sz w:val="22"/>
                <w:szCs w:val="22"/>
              </w:rPr>
              <w:t xml:space="preserve">tomēr </w:t>
            </w:r>
            <w:r w:rsidRPr="00785FE8">
              <w:rPr>
                <w:color w:val="000000" w:themeColor="text1"/>
                <w:sz w:val="22"/>
                <w:szCs w:val="22"/>
              </w:rPr>
              <w:t>neliedzot tiesī</w:t>
            </w:r>
            <w:r w:rsidR="000C22C4">
              <w:rPr>
                <w:color w:val="000000" w:themeColor="text1"/>
                <w:sz w:val="22"/>
                <w:szCs w:val="22"/>
              </w:rPr>
              <w:t xml:space="preserve">bas strādāt ar mazāk sensitīvu – </w:t>
            </w:r>
            <w:r w:rsidRPr="00785FE8">
              <w:rPr>
                <w:color w:val="000000" w:themeColor="text1"/>
                <w:sz w:val="22"/>
                <w:szCs w:val="22"/>
              </w:rPr>
              <w:t xml:space="preserve">slepenu vai konfidenciālu </w:t>
            </w:r>
            <w:r w:rsidR="000C22C4">
              <w:rPr>
                <w:color w:val="000000" w:themeColor="text1"/>
                <w:sz w:val="22"/>
                <w:szCs w:val="22"/>
              </w:rPr>
              <w:t xml:space="preserve">– </w:t>
            </w:r>
            <w:r w:rsidRPr="00785FE8">
              <w:rPr>
                <w:color w:val="000000" w:themeColor="text1"/>
                <w:sz w:val="22"/>
                <w:szCs w:val="22"/>
              </w:rPr>
              <w:t>informāciju.</w:t>
            </w:r>
            <w:r w:rsidR="008F1F32">
              <w:rPr>
                <w:color w:val="000000" w:themeColor="text1"/>
                <w:sz w:val="22"/>
                <w:szCs w:val="22"/>
              </w:rPr>
              <w:t xml:space="preserve"> </w:t>
            </w:r>
            <w:r w:rsidRPr="00785FE8">
              <w:rPr>
                <w:color w:val="000000" w:themeColor="text1"/>
                <w:sz w:val="22"/>
                <w:szCs w:val="22"/>
              </w:rPr>
              <w:t xml:space="preserve">Šobrīd </w:t>
            </w:r>
            <w:r w:rsidR="008F1F32">
              <w:rPr>
                <w:color w:val="000000" w:themeColor="text1"/>
                <w:sz w:val="22"/>
                <w:szCs w:val="22"/>
              </w:rPr>
              <w:t xml:space="preserve">šādu </w:t>
            </w:r>
            <w:r w:rsidRPr="00785FE8">
              <w:rPr>
                <w:color w:val="000000" w:themeColor="text1"/>
                <w:sz w:val="22"/>
                <w:szCs w:val="22"/>
              </w:rPr>
              <w:t>lēmum</w:t>
            </w:r>
            <w:r w:rsidR="008F1F32">
              <w:rPr>
                <w:color w:val="000000" w:themeColor="text1"/>
                <w:sz w:val="22"/>
                <w:szCs w:val="22"/>
              </w:rPr>
              <w:t>u</w:t>
            </w:r>
            <w:r w:rsidRPr="00785FE8">
              <w:rPr>
                <w:color w:val="000000" w:themeColor="text1"/>
                <w:sz w:val="22"/>
                <w:szCs w:val="22"/>
              </w:rPr>
              <w:t xml:space="preserve"> </w:t>
            </w:r>
            <w:r w:rsidR="008F1F32">
              <w:rPr>
                <w:color w:val="000000" w:themeColor="text1"/>
                <w:sz w:val="22"/>
                <w:szCs w:val="22"/>
              </w:rPr>
              <w:t xml:space="preserve">pieņemšana </w:t>
            </w:r>
            <w:r w:rsidRPr="00785FE8">
              <w:rPr>
                <w:color w:val="000000" w:themeColor="text1"/>
                <w:sz w:val="22"/>
                <w:szCs w:val="22"/>
              </w:rPr>
              <w:t xml:space="preserve">par speciālās </w:t>
            </w:r>
            <w:r w:rsidR="008F1F32">
              <w:rPr>
                <w:color w:val="000000" w:themeColor="text1"/>
                <w:sz w:val="22"/>
                <w:szCs w:val="22"/>
              </w:rPr>
              <w:t xml:space="preserve">atļaujas kategorijas pazemināšanu no 1. kategorijas uz 2. vai 3. kategoriju </w:t>
            </w:r>
            <w:r w:rsidRPr="00785FE8">
              <w:rPr>
                <w:color w:val="000000" w:themeColor="text1"/>
                <w:sz w:val="22"/>
                <w:szCs w:val="22"/>
              </w:rPr>
              <w:t xml:space="preserve">nav iespējama, jo lēmums par zemākas kategorijas speciālās atļaujas piešķiršanu </w:t>
            </w:r>
            <w:r w:rsidR="008F1F32">
              <w:rPr>
                <w:color w:val="000000" w:themeColor="text1"/>
                <w:sz w:val="22"/>
                <w:szCs w:val="22"/>
              </w:rPr>
              <w:t xml:space="preserve">ir </w:t>
            </w:r>
            <w:r w:rsidRPr="00785FE8">
              <w:rPr>
                <w:color w:val="000000" w:themeColor="text1"/>
                <w:sz w:val="22"/>
                <w:szCs w:val="22"/>
              </w:rPr>
              <w:t xml:space="preserve">jāpieņem </w:t>
            </w:r>
            <w:r w:rsidR="008F1F32">
              <w:rPr>
                <w:color w:val="000000" w:themeColor="text1"/>
                <w:sz w:val="22"/>
                <w:szCs w:val="22"/>
              </w:rPr>
              <w:t>citai valsts drošības iestādei.</w:t>
            </w:r>
          </w:p>
          <w:p w:rsidR="008F1F32" w:rsidRDefault="006445FA" w:rsidP="008F1F32">
            <w:pPr>
              <w:ind w:firstLine="254"/>
              <w:jc w:val="both"/>
              <w:rPr>
                <w:color w:val="000000" w:themeColor="text1"/>
              </w:rPr>
            </w:pPr>
            <w:r w:rsidRPr="00785FE8">
              <w:rPr>
                <w:color w:val="000000" w:themeColor="text1"/>
                <w:sz w:val="22"/>
                <w:szCs w:val="22"/>
              </w:rPr>
              <w:t>Valsts drošības iestāžu patstāvīga lēmuma par 1.</w:t>
            </w:r>
            <w:r w:rsidR="008F1F32">
              <w:rPr>
                <w:color w:val="000000" w:themeColor="text1"/>
                <w:sz w:val="22"/>
                <w:szCs w:val="22"/>
              </w:rPr>
              <w:t> </w:t>
            </w:r>
            <w:r w:rsidRPr="00785FE8">
              <w:rPr>
                <w:color w:val="000000" w:themeColor="text1"/>
                <w:sz w:val="22"/>
                <w:szCs w:val="22"/>
              </w:rPr>
              <w:t xml:space="preserve">kategorijas speciālo atļauju izsniegšanu pieņemšana </w:t>
            </w:r>
            <w:r w:rsidR="008F1F32">
              <w:rPr>
                <w:color w:val="000000" w:themeColor="text1"/>
                <w:sz w:val="22"/>
                <w:szCs w:val="22"/>
              </w:rPr>
              <w:t xml:space="preserve">turklāt </w:t>
            </w:r>
            <w:r w:rsidRPr="00785FE8">
              <w:rPr>
                <w:color w:val="000000" w:themeColor="text1"/>
                <w:sz w:val="22"/>
                <w:szCs w:val="22"/>
              </w:rPr>
              <w:t>samazinās administratīvo slogu, kas saistīts ar personas pārbaudes lietu pārsūtīšanu un atkārtotu vērtēšanu, kā arī nodrošinās, ka valsts drošības iestāde var veikt pilnvērtīgu uzraudzību pār tās kompetencē esošo nozari un arī visām personām, kurām šajā nozarē ir izsniegtas speciālās atļaujas.</w:t>
            </w:r>
          </w:p>
          <w:p w:rsidR="008A6A6F" w:rsidRDefault="008F1F32" w:rsidP="008F1F32">
            <w:pPr>
              <w:ind w:firstLine="254"/>
              <w:jc w:val="both"/>
              <w:rPr>
                <w:color w:val="000000" w:themeColor="text1"/>
              </w:rPr>
            </w:pPr>
            <w:r>
              <w:rPr>
                <w:color w:val="000000" w:themeColor="text1"/>
                <w:sz w:val="22"/>
                <w:szCs w:val="22"/>
              </w:rPr>
              <w:t xml:space="preserve">Ņemot vērā visu iepriekš minēto, Projekts paredz </w:t>
            </w:r>
            <w:r w:rsidR="008A6A6F">
              <w:rPr>
                <w:color w:val="000000" w:themeColor="text1"/>
                <w:sz w:val="22"/>
                <w:szCs w:val="22"/>
              </w:rPr>
              <w:t xml:space="preserve">arī redakcionālus </w:t>
            </w:r>
            <w:r>
              <w:rPr>
                <w:color w:val="000000" w:themeColor="text1"/>
                <w:sz w:val="22"/>
                <w:szCs w:val="22"/>
              </w:rPr>
              <w:t xml:space="preserve">grozījumus </w:t>
            </w:r>
            <w:r w:rsidR="006445FA" w:rsidRPr="00785FE8">
              <w:rPr>
                <w:color w:val="000000" w:themeColor="text1"/>
                <w:sz w:val="22"/>
                <w:szCs w:val="22"/>
              </w:rPr>
              <w:t xml:space="preserve">noteikumu 4.punktā, </w:t>
            </w:r>
            <w:r>
              <w:rPr>
                <w:color w:val="000000" w:themeColor="text1"/>
                <w:sz w:val="22"/>
                <w:szCs w:val="22"/>
              </w:rPr>
              <w:t xml:space="preserve">kā arī </w:t>
            </w:r>
            <w:r w:rsidR="006445FA" w:rsidRPr="00785FE8">
              <w:rPr>
                <w:color w:val="000000" w:themeColor="text1"/>
                <w:sz w:val="22"/>
                <w:szCs w:val="22"/>
              </w:rPr>
              <w:t>11.1.,</w:t>
            </w:r>
            <w:r>
              <w:rPr>
                <w:color w:val="000000" w:themeColor="text1"/>
                <w:sz w:val="22"/>
                <w:szCs w:val="22"/>
              </w:rPr>
              <w:t> </w:t>
            </w:r>
            <w:r w:rsidR="006445FA" w:rsidRPr="00785FE8">
              <w:rPr>
                <w:color w:val="000000" w:themeColor="text1"/>
                <w:sz w:val="22"/>
                <w:szCs w:val="22"/>
              </w:rPr>
              <w:t>11.2. apakšpunktā, 12.</w:t>
            </w:r>
            <w:r w:rsidR="006445FA" w:rsidRPr="00785FE8">
              <w:rPr>
                <w:color w:val="000000" w:themeColor="text1"/>
                <w:sz w:val="22"/>
                <w:szCs w:val="22"/>
                <w:vertAlign w:val="superscript"/>
              </w:rPr>
              <w:t>1</w:t>
            </w:r>
            <w:r>
              <w:rPr>
                <w:color w:val="000000" w:themeColor="text1"/>
                <w:sz w:val="22"/>
                <w:szCs w:val="22"/>
              </w:rPr>
              <w:t>, 13., 14., 15. </w:t>
            </w:r>
            <w:r w:rsidR="006445FA" w:rsidRPr="00785FE8">
              <w:rPr>
                <w:color w:val="000000" w:themeColor="text1"/>
                <w:sz w:val="22"/>
                <w:szCs w:val="22"/>
              </w:rPr>
              <w:t xml:space="preserve">punktā 16.2., 20.4., 20.6., 20.7., 21.6., 21.7., 21.8. apakšpunktā, 27., 97., 100., 108.,112., 114. un 118. </w:t>
            </w:r>
            <w:r>
              <w:rPr>
                <w:color w:val="000000" w:themeColor="text1"/>
                <w:sz w:val="22"/>
                <w:szCs w:val="22"/>
              </w:rPr>
              <w:t>p</w:t>
            </w:r>
            <w:r w:rsidR="006445FA" w:rsidRPr="00785FE8">
              <w:rPr>
                <w:color w:val="000000" w:themeColor="text1"/>
                <w:sz w:val="22"/>
                <w:szCs w:val="22"/>
              </w:rPr>
              <w:t>unktā</w:t>
            </w:r>
            <w:r>
              <w:rPr>
                <w:color w:val="000000" w:themeColor="text1"/>
                <w:sz w:val="22"/>
                <w:szCs w:val="22"/>
              </w:rPr>
              <w:t xml:space="preserve">, </w:t>
            </w:r>
            <w:r w:rsidR="008A6A6F">
              <w:rPr>
                <w:color w:val="000000" w:themeColor="text1"/>
                <w:sz w:val="22"/>
                <w:szCs w:val="22"/>
              </w:rPr>
              <w:t>aizstājot terminu „attiecīgā valsts drošības iestāde” ar precīzāku terminu „kompetentā valsts drošības iestāde”.</w:t>
            </w:r>
          </w:p>
          <w:p w:rsidR="008A6A6F" w:rsidRDefault="008A6A6F" w:rsidP="008F1F32">
            <w:pPr>
              <w:ind w:firstLine="254"/>
              <w:jc w:val="both"/>
              <w:rPr>
                <w:color w:val="000000" w:themeColor="text1"/>
              </w:rPr>
            </w:pPr>
          </w:p>
          <w:p w:rsidR="001227DF" w:rsidRPr="00E67092" w:rsidRDefault="008A6A6F" w:rsidP="001227DF">
            <w:pPr>
              <w:ind w:firstLine="254"/>
              <w:jc w:val="both"/>
              <w:rPr>
                <w:color w:val="000000" w:themeColor="text1"/>
              </w:rPr>
            </w:pPr>
            <w:r>
              <w:rPr>
                <w:color w:val="000000" w:themeColor="text1"/>
                <w:sz w:val="22"/>
                <w:szCs w:val="22"/>
              </w:rPr>
              <w:t>Tāpat arī Projektā precizēts noteikumu 14.punkts</w:t>
            </w:r>
            <w:r w:rsidR="006445FA" w:rsidRPr="00785FE8">
              <w:rPr>
                <w:color w:val="000000" w:themeColor="text1"/>
                <w:sz w:val="22"/>
                <w:szCs w:val="22"/>
              </w:rPr>
              <w:t xml:space="preserve">, kas nosaka speciālo atļauju uzskaiti un informācijas sniegšanu </w:t>
            </w:r>
            <w:r>
              <w:rPr>
                <w:color w:val="000000" w:themeColor="text1"/>
                <w:sz w:val="22"/>
                <w:szCs w:val="22"/>
              </w:rPr>
              <w:t xml:space="preserve">par speciālās atļaujas esamību – </w:t>
            </w:r>
            <w:r w:rsidR="006445FA" w:rsidRPr="00785FE8">
              <w:rPr>
                <w:color w:val="000000" w:themeColor="text1"/>
                <w:sz w:val="22"/>
                <w:szCs w:val="22"/>
              </w:rPr>
              <w:t>ņemot vērā, ka informācij</w:t>
            </w:r>
            <w:r>
              <w:rPr>
                <w:color w:val="000000" w:themeColor="text1"/>
                <w:sz w:val="22"/>
                <w:szCs w:val="22"/>
              </w:rPr>
              <w:t>ai</w:t>
            </w:r>
            <w:r w:rsidR="006445FA" w:rsidRPr="00785FE8">
              <w:rPr>
                <w:color w:val="000000" w:themeColor="text1"/>
                <w:sz w:val="22"/>
                <w:szCs w:val="22"/>
              </w:rPr>
              <w:t xml:space="preserve"> par </w:t>
            </w:r>
            <w:r>
              <w:rPr>
                <w:color w:val="000000" w:themeColor="text1"/>
                <w:sz w:val="22"/>
                <w:szCs w:val="22"/>
              </w:rPr>
              <w:t xml:space="preserve">konkrētas personas pieeju valsts noslēpumam (t.i., </w:t>
            </w:r>
            <w:r w:rsidR="006445FA" w:rsidRPr="00785FE8">
              <w:rPr>
                <w:color w:val="000000" w:themeColor="text1"/>
                <w:sz w:val="22"/>
                <w:szCs w:val="22"/>
              </w:rPr>
              <w:t xml:space="preserve">speciālās atļaujas </w:t>
            </w:r>
            <w:r>
              <w:rPr>
                <w:color w:val="000000" w:themeColor="text1"/>
                <w:sz w:val="22"/>
                <w:szCs w:val="22"/>
              </w:rPr>
              <w:t>piešķiršanu un esamību)</w:t>
            </w:r>
            <w:r w:rsidR="006445FA" w:rsidRPr="00785FE8">
              <w:rPr>
                <w:color w:val="000000" w:themeColor="text1"/>
                <w:sz w:val="22"/>
                <w:szCs w:val="22"/>
              </w:rPr>
              <w:t xml:space="preserve"> ir sensitīvs raksturs, tikai kompetentā valsts drošības iestāde var izvērtēt, k</w:t>
            </w:r>
            <w:r>
              <w:rPr>
                <w:color w:val="000000" w:themeColor="text1"/>
                <w:sz w:val="22"/>
                <w:szCs w:val="22"/>
              </w:rPr>
              <w:t>uram pieļaujams</w:t>
            </w:r>
            <w:r w:rsidR="006445FA" w:rsidRPr="00785FE8">
              <w:rPr>
                <w:color w:val="000000" w:themeColor="text1"/>
                <w:sz w:val="22"/>
                <w:szCs w:val="22"/>
              </w:rPr>
              <w:t xml:space="preserve"> sniegt šādu informāciju.</w:t>
            </w:r>
            <w:r w:rsidR="003F7539" w:rsidRPr="00785FE8">
              <w:rPr>
                <w:color w:val="000000" w:themeColor="text1"/>
                <w:sz w:val="22"/>
                <w:szCs w:val="22"/>
              </w:rPr>
              <w:t xml:space="preserve"> </w:t>
            </w:r>
            <w:r>
              <w:rPr>
                <w:color w:val="000000" w:themeColor="text1"/>
                <w:sz w:val="22"/>
                <w:szCs w:val="22"/>
              </w:rPr>
              <w:t>Tāpat p</w:t>
            </w:r>
            <w:r w:rsidR="006445FA" w:rsidRPr="00785FE8">
              <w:rPr>
                <w:color w:val="000000" w:themeColor="text1"/>
                <w:sz w:val="22"/>
                <w:szCs w:val="22"/>
              </w:rPr>
              <w:t xml:space="preserve">recizēta </w:t>
            </w:r>
            <w:r>
              <w:rPr>
                <w:color w:val="000000" w:themeColor="text1"/>
                <w:sz w:val="22"/>
                <w:szCs w:val="22"/>
              </w:rPr>
              <w:t xml:space="preserve">noteikumu </w:t>
            </w:r>
            <w:r w:rsidR="006445FA" w:rsidRPr="00785FE8">
              <w:rPr>
                <w:color w:val="000000" w:themeColor="text1"/>
                <w:sz w:val="22"/>
                <w:szCs w:val="22"/>
              </w:rPr>
              <w:t>108. un 112.punktā noteiktā valsts drošības iestāžu kompetence saņemt dienesta izmeklēšan</w:t>
            </w:r>
            <w:r>
              <w:rPr>
                <w:color w:val="000000" w:themeColor="text1"/>
                <w:sz w:val="22"/>
                <w:szCs w:val="22"/>
              </w:rPr>
              <w:t>as</w:t>
            </w:r>
            <w:r w:rsidR="006445FA" w:rsidRPr="00785FE8">
              <w:rPr>
                <w:color w:val="000000" w:themeColor="text1"/>
                <w:sz w:val="22"/>
                <w:szCs w:val="22"/>
              </w:rPr>
              <w:t xml:space="preserve"> </w:t>
            </w:r>
            <w:r w:rsidR="006445FA" w:rsidRPr="00E67092">
              <w:rPr>
                <w:color w:val="000000" w:themeColor="text1"/>
                <w:sz w:val="22"/>
                <w:szCs w:val="22"/>
              </w:rPr>
              <w:t>materiālus un informāciju par diene</w:t>
            </w:r>
            <w:r w:rsidRPr="00E67092">
              <w:rPr>
                <w:color w:val="000000" w:themeColor="text1"/>
                <w:sz w:val="22"/>
                <w:szCs w:val="22"/>
              </w:rPr>
              <w:t xml:space="preserve">sta izmeklēšanas pārtraukšanu, </w:t>
            </w:r>
            <w:r w:rsidR="00C30FB7" w:rsidRPr="00E67092">
              <w:rPr>
                <w:color w:val="000000" w:themeColor="text1"/>
                <w:sz w:val="22"/>
                <w:szCs w:val="22"/>
              </w:rPr>
              <w:t>kā arī preciz</w:t>
            </w:r>
            <w:r w:rsidR="00C30FB7">
              <w:rPr>
                <w:color w:val="000000" w:themeColor="text1"/>
                <w:sz w:val="22"/>
                <w:szCs w:val="22"/>
              </w:rPr>
              <w:t xml:space="preserve">ēts 53.punkts, kas reglamentē lēmuma pārsūdzības kārtību gadījumos, ja saņemts atteikums izsniegt valsts noslēpumu saturošu informāciju, lai tas atbilstu ar 2018.gada 1.februāra likumu „Grozījumi likumā „Par valsts noslēpumu”” noteiktajai kārtībai, kādā </w:t>
            </w:r>
            <w:r w:rsidR="00C30FB7" w:rsidRPr="00E67092">
              <w:rPr>
                <w:sz w:val="22"/>
                <w:szCs w:val="22"/>
              </w:rPr>
              <w:t xml:space="preserve">apstrīd un pārsūdz lēmumu par </w:t>
            </w:r>
            <w:r w:rsidR="00C30FB7" w:rsidRPr="00E67092">
              <w:rPr>
                <w:bCs/>
                <w:sz w:val="22"/>
                <w:szCs w:val="22"/>
              </w:rPr>
              <w:t>speciālās atļaujas atteikumu, anulēšanu</w:t>
            </w:r>
            <w:r w:rsidR="00C30FB7" w:rsidRPr="00E67092">
              <w:rPr>
                <w:bCs/>
                <w:i/>
                <w:iCs/>
                <w:sz w:val="22"/>
                <w:szCs w:val="22"/>
              </w:rPr>
              <w:t xml:space="preserve"> </w:t>
            </w:r>
            <w:r w:rsidR="00C30FB7" w:rsidRPr="00E67092">
              <w:rPr>
                <w:bCs/>
                <w:sz w:val="22"/>
                <w:szCs w:val="22"/>
              </w:rPr>
              <w:t>vai kategorijas pazemināšanu</w:t>
            </w:r>
            <w:r w:rsidR="00C30FB7" w:rsidRPr="00E67092">
              <w:rPr>
                <w:color w:val="000000" w:themeColor="text1"/>
                <w:sz w:val="22"/>
                <w:szCs w:val="22"/>
              </w:rPr>
              <w:t>.</w:t>
            </w:r>
          </w:p>
          <w:p w:rsidR="008A6A6F" w:rsidRPr="008F1F32" w:rsidRDefault="008A6A6F" w:rsidP="008A6A6F">
            <w:pPr>
              <w:ind w:firstLine="254"/>
              <w:jc w:val="both"/>
              <w:rPr>
                <w:color w:val="000000" w:themeColor="text1"/>
              </w:rPr>
            </w:pPr>
          </w:p>
          <w:p w:rsidR="00A83E4B" w:rsidRDefault="006445FA" w:rsidP="00A83E4B">
            <w:pPr>
              <w:ind w:firstLine="254"/>
              <w:jc w:val="both"/>
              <w:rPr>
                <w:color w:val="000000" w:themeColor="text1"/>
              </w:rPr>
            </w:pPr>
            <w:r w:rsidRPr="00785FE8">
              <w:rPr>
                <w:color w:val="000000" w:themeColor="text1"/>
                <w:sz w:val="22"/>
                <w:szCs w:val="22"/>
              </w:rPr>
              <w:t xml:space="preserve"> Likuma ”Par valsts noslēpumu” 7.panta devītajā daļā ir noteikts, ka </w:t>
            </w:r>
            <w:r w:rsidR="00615673">
              <w:rPr>
                <w:color w:val="000000" w:themeColor="text1"/>
                <w:sz w:val="22"/>
                <w:szCs w:val="22"/>
              </w:rPr>
              <w:t>MIDD</w:t>
            </w:r>
            <w:r w:rsidRPr="00785FE8">
              <w:rPr>
                <w:color w:val="000000" w:themeColor="text1"/>
                <w:sz w:val="22"/>
                <w:szCs w:val="22"/>
              </w:rPr>
              <w:t xml:space="preserve"> ir </w:t>
            </w:r>
            <w:r w:rsidR="00615673">
              <w:rPr>
                <w:color w:val="000000" w:themeColor="text1"/>
                <w:sz w:val="22"/>
                <w:szCs w:val="22"/>
              </w:rPr>
              <w:t>nacionālā</w:t>
            </w:r>
            <w:r w:rsidRPr="00785FE8">
              <w:rPr>
                <w:color w:val="000000" w:themeColor="text1"/>
                <w:sz w:val="22"/>
                <w:szCs w:val="22"/>
              </w:rPr>
              <w:t xml:space="preserve"> signālu izlūkošanas iestāde</w:t>
            </w:r>
            <w:r w:rsidR="00615673">
              <w:rPr>
                <w:color w:val="000000" w:themeColor="text1"/>
                <w:sz w:val="22"/>
                <w:szCs w:val="22"/>
              </w:rPr>
              <w:t>, vienlaikus ārējos normatīvajos aktos nav reglamentēti uzdevumi, kas no šādas funkcijas izriet</w:t>
            </w:r>
            <w:r w:rsidRPr="00785FE8">
              <w:rPr>
                <w:color w:val="000000" w:themeColor="text1"/>
                <w:sz w:val="22"/>
                <w:szCs w:val="22"/>
              </w:rPr>
              <w:t>. Signālu izlūkošanas informācija ir specifiska</w:t>
            </w:r>
            <w:r w:rsidR="00615673">
              <w:rPr>
                <w:color w:val="000000" w:themeColor="text1"/>
                <w:sz w:val="22"/>
                <w:szCs w:val="22"/>
              </w:rPr>
              <w:t>, īpaši sensitīva</w:t>
            </w:r>
            <w:r w:rsidRPr="00785FE8">
              <w:rPr>
                <w:color w:val="000000" w:themeColor="text1"/>
                <w:sz w:val="22"/>
                <w:szCs w:val="22"/>
              </w:rPr>
              <w:t xml:space="preserve"> informācija, kuras aizsardzības pamatprincip</w:t>
            </w:r>
            <w:r w:rsidR="00615673">
              <w:rPr>
                <w:color w:val="000000" w:themeColor="text1"/>
                <w:sz w:val="22"/>
                <w:szCs w:val="22"/>
              </w:rPr>
              <w:t>i</w:t>
            </w:r>
            <w:r w:rsidRPr="00785FE8">
              <w:rPr>
                <w:color w:val="000000" w:themeColor="text1"/>
                <w:sz w:val="22"/>
                <w:szCs w:val="22"/>
              </w:rPr>
              <w:t xml:space="preserve"> var atšķirties no vispārējiem </w:t>
            </w:r>
            <w:r w:rsidRPr="00785FE8">
              <w:rPr>
                <w:color w:val="000000" w:themeColor="text1"/>
                <w:sz w:val="22"/>
                <w:szCs w:val="22"/>
              </w:rPr>
              <w:lastRenderedPageBreak/>
              <w:t>klasificētās informācijas</w:t>
            </w:r>
            <w:r w:rsidR="00615673">
              <w:rPr>
                <w:color w:val="000000" w:themeColor="text1"/>
                <w:sz w:val="22"/>
                <w:szCs w:val="22"/>
              </w:rPr>
              <w:t xml:space="preserve"> aizsardzības principiem, tādēļ</w:t>
            </w:r>
            <w:r w:rsidRPr="00785FE8">
              <w:rPr>
                <w:color w:val="000000" w:themeColor="text1"/>
                <w:sz w:val="22"/>
                <w:szCs w:val="22"/>
              </w:rPr>
              <w:t xml:space="preserve"> pirms </w:t>
            </w:r>
            <w:r w:rsidR="00615673">
              <w:rPr>
                <w:color w:val="000000" w:themeColor="text1"/>
                <w:sz w:val="22"/>
                <w:szCs w:val="22"/>
              </w:rPr>
              <w:t xml:space="preserve">persona uzsāk darbu </w:t>
            </w:r>
            <w:r w:rsidRPr="00785FE8">
              <w:rPr>
                <w:color w:val="000000" w:themeColor="text1"/>
                <w:sz w:val="22"/>
                <w:szCs w:val="22"/>
              </w:rPr>
              <w:t xml:space="preserve">ar šādu informāciju </w:t>
            </w:r>
            <w:r w:rsidR="00615673">
              <w:rPr>
                <w:color w:val="000000" w:themeColor="text1"/>
                <w:sz w:val="22"/>
                <w:szCs w:val="22"/>
              </w:rPr>
              <w:t xml:space="preserve">MIDD </w:t>
            </w:r>
            <w:r w:rsidRPr="00785FE8">
              <w:rPr>
                <w:color w:val="000000" w:themeColor="text1"/>
                <w:sz w:val="22"/>
                <w:szCs w:val="22"/>
              </w:rPr>
              <w:t xml:space="preserve">ir jāveic </w:t>
            </w:r>
            <w:r w:rsidR="00615673">
              <w:rPr>
                <w:color w:val="000000" w:themeColor="text1"/>
                <w:sz w:val="22"/>
                <w:szCs w:val="22"/>
              </w:rPr>
              <w:t xml:space="preserve">šīs </w:t>
            </w:r>
            <w:r w:rsidRPr="00785FE8">
              <w:rPr>
                <w:color w:val="000000" w:themeColor="text1"/>
                <w:sz w:val="22"/>
                <w:szCs w:val="22"/>
              </w:rPr>
              <w:t>personas instru</w:t>
            </w:r>
            <w:r w:rsidR="00615673">
              <w:rPr>
                <w:color w:val="000000" w:themeColor="text1"/>
                <w:sz w:val="22"/>
                <w:szCs w:val="22"/>
              </w:rPr>
              <w:t>ēšana</w:t>
            </w:r>
            <w:r w:rsidRPr="00785FE8">
              <w:rPr>
                <w:color w:val="000000" w:themeColor="text1"/>
                <w:sz w:val="22"/>
                <w:szCs w:val="22"/>
              </w:rPr>
              <w:t xml:space="preserve">.  </w:t>
            </w:r>
            <w:r w:rsidR="00615673">
              <w:rPr>
                <w:color w:val="000000" w:themeColor="text1"/>
                <w:sz w:val="22"/>
                <w:szCs w:val="22"/>
              </w:rPr>
              <w:t>Attiecīgi noteikumus paredzēts papildināt</w:t>
            </w:r>
            <w:r w:rsidRPr="00785FE8">
              <w:rPr>
                <w:color w:val="000000" w:themeColor="text1"/>
                <w:sz w:val="22"/>
                <w:szCs w:val="22"/>
              </w:rPr>
              <w:t xml:space="preserve"> ar </w:t>
            </w:r>
            <w:r w:rsidR="00615673">
              <w:rPr>
                <w:color w:val="000000" w:themeColor="text1"/>
                <w:sz w:val="22"/>
                <w:szCs w:val="22"/>
              </w:rPr>
              <w:t xml:space="preserve">jaunu </w:t>
            </w:r>
            <w:r w:rsidRPr="00785FE8">
              <w:rPr>
                <w:color w:val="000000" w:themeColor="text1"/>
                <w:sz w:val="22"/>
                <w:szCs w:val="22"/>
              </w:rPr>
              <w:t>11.</w:t>
            </w:r>
            <w:r w:rsidRPr="00785FE8">
              <w:rPr>
                <w:color w:val="000000" w:themeColor="text1"/>
                <w:sz w:val="22"/>
                <w:szCs w:val="22"/>
                <w:vertAlign w:val="superscript"/>
              </w:rPr>
              <w:t>3</w:t>
            </w:r>
            <w:r w:rsidRPr="00785FE8">
              <w:rPr>
                <w:color w:val="000000" w:themeColor="text1"/>
                <w:sz w:val="22"/>
                <w:szCs w:val="22"/>
              </w:rPr>
              <w:t>, 11.</w:t>
            </w:r>
            <w:r w:rsidRPr="00785FE8">
              <w:rPr>
                <w:color w:val="000000" w:themeColor="text1"/>
                <w:sz w:val="22"/>
                <w:szCs w:val="22"/>
                <w:vertAlign w:val="superscript"/>
              </w:rPr>
              <w:t xml:space="preserve">4 </w:t>
            </w:r>
            <w:r w:rsidRPr="00785FE8">
              <w:rPr>
                <w:color w:val="000000" w:themeColor="text1"/>
                <w:sz w:val="22"/>
                <w:szCs w:val="22"/>
              </w:rPr>
              <w:t>un 11.</w:t>
            </w:r>
            <w:r w:rsidRPr="00785FE8">
              <w:rPr>
                <w:color w:val="000000" w:themeColor="text1"/>
                <w:sz w:val="22"/>
                <w:szCs w:val="22"/>
                <w:vertAlign w:val="superscript"/>
              </w:rPr>
              <w:t>5 </w:t>
            </w:r>
            <w:r w:rsidRPr="00785FE8">
              <w:rPr>
                <w:color w:val="000000" w:themeColor="text1"/>
                <w:sz w:val="22"/>
                <w:szCs w:val="22"/>
              </w:rPr>
              <w:t xml:space="preserve">punktu, </w:t>
            </w:r>
            <w:r w:rsidR="00615673">
              <w:rPr>
                <w:color w:val="000000" w:themeColor="text1"/>
                <w:sz w:val="22"/>
                <w:szCs w:val="22"/>
              </w:rPr>
              <w:t xml:space="preserve">kas </w:t>
            </w:r>
            <w:r w:rsidR="00A83E4B">
              <w:rPr>
                <w:color w:val="000000" w:themeColor="text1"/>
                <w:sz w:val="22"/>
                <w:szCs w:val="22"/>
              </w:rPr>
              <w:t xml:space="preserve">to </w:t>
            </w:r>
            <w:r w:rsidR="00615673">
              <w:rPr>
                <w:color w:val="000000" w:themeColor="text1"/>
                <w:sz w:val="22"/>
                <w:szCs w:val="22"/>
              </w:rPr>
              <w:t>reglamentē</w:t>
            </w:r>
            <w:r w:rsidRPr="00785FE8">
              <w:rPr>
                <w:color w:val="000000" w:themeColor="text1"/>
                <w:sz w:val="22"/>
                <w:szCs w:val="22"/>
              </w:rPr>
              <w:t>.</w:t>
            </w:r>
          </w:p>
          <w:p w:rsidR="00A83E4B" w:rsidRDefault="00A83E4B" w:rsidP="00A83E4B">
            <w:pPr>
              <w:ind w:firstLine="254"/>
              <w:jc w:val="both"/>
              <w:rPr>
                <w:color w:val="000000" w:themeColor="text1"/>
              </w:rPr>
            </w:pPr>
          </w:p>
          <w:p w:rsidR="006445FA" w:rsidRDefault="006445FA" w:rsidP="00A83E4B">
            <w:pPr>
              <w:ind w:firstLine="254"/>
              <w:jc w:val="both"/>
              <w:rPr>
                <w:color w:val="000000" w:themeColor="text1"/>
              </w:rPr>
            </w:pPr>
            <w:r w:rsidRPr="00785FE8">
              <w:rPr>
                <w:color w:val="000000" w:themeColor="text1"/>
                <w:sz w:val="22"/>
                <w:szCs w:val="22"/>
              </w:rPr>
              <w:t>Personu pārbaudes materiāliem nav arhīviskas vērtības, tādēļ, lai samazinātu uzglabā</w:t>
            </w:r>
            <w:r w:rsidR="00A83E4B">
              <w:rPr>
                <w:color w:val="000000" w:themeColor="text1"/>
                <w:sz w:val="22"/>
                <w:szCs w:val="22"/>
              </w:rPr>
              <w:t>jamās</w:t>
            </w:r>
            <w:r w:rsidRPr="00785FE8">
              <w:rPr>
                <w:color w:val="000000" w:themeColor="text1"/>
                <w:sz w:val="22"/>
                <w:szCs w:val="22"/>
              </w:rPr>
              <w:t xml:space="preserve"> informācijas apjomu, šādu informāciju pēc noteikta laika, kad tā </w:t>
            </w:r>
            <w:r w:rsidR="00A83E4B">
              <w:rPr>
                <w:color w:val="000000" w:themeColor="text1"/>
                <w:sz w:val="22"/>
                <w:szCs w:val="22"/>
              </w:rPr>
              <w:t xml:space="preserve">vairs </w:t>
            </w:r>
            <w:r w:rsidRPr="00785FE8">
              <w:rPr>
                <w:color w:val="000000" w:themeColor="text1"/>
                <w:sz w:val="22"/>
                <w:szCs w:val="22"/>
              </w:rPr>
              <w:t xml:space="preserve">nav nepieciešama darbam, var iznīcināt. Precizējot noteikumu 13.punktu, </w:t>
            </w:r>
            <w:r w:rsidR="00A83E4B">
              <w:rPr>
                <w:color w:val="000000" w:themeColor="text1"/>
                <w:sz w:val="22"/>
                <w:szCs w:val="22"/>
              </w:rPr>
              <w:t xml:space="preserve">Projekts </w:t>
            </w:r>
            <w:r w:rsidRPr="00785FE8">
              <w:rPr>
                <w:color w:val="000000" w:themeColor="text1"/>
                <w:sz w:val="22"/>
                <w:szCs w:val="22"/>
              </w:rPr>
              <w:t>no</w:t>
            </w:r>
            <w:r w:rsidR="00A83E4B">
              <w:rPr>
                <w:color w:val="000000" w:themeColor="text1"/>
                <w:sz w:val="22"/>
                <w:szCs w:val="22"/>
              </w:rPr>
              <w:t>saka</w:t>
            </w:r>
            <w:r w:rsidRPr="00785FE8">
              <w:rPr>
                <w:color w:val="000000" w:themeColor="text1"/>
                <w:sz w:val="22"/>
                <w:szCs w:val="22"/>
              </w:rPr>
              <w:t xml:space="preserve"> šādas </w:t>
            </w:r>
            <w:r w:rsidR="00A83E4B">
              <w:rPr>
                <w:color w:val="000000" w:themeColor="text1"/>
                <w:sz w:val="22"/>
                <w:szCs w:val="22"/>
              </w:rPr>
              <w:t>informācijas glabāšanas ilgumu.</w:t>
            </w:r>
          </w:p>
          <w:p w:rsidR="00A83E4B" w:rsidRPr="00A83E4B" w:rsidRDefault="00A83E4B" w:rsidP="00A83E4B">
            <w:pPr>
              <w:ind w:firstLine="254"/>
              <w:jc w:val="both"/>
              <w:rPr>
                <w:color w:val="000000" w:themeColor="text1"/>
              </w:rPr>
            </w:pPr>
          </w:p>
          <w:p w:rsidR="006445FA" w:rsidRPr="00A83E4B" w:rsidRDefault="006445FA" w:rsidP="00A83E4B">
            <w:pPr>
              <w:ind w:firstLine="254"/>
              <w:jc w:val="both"/>
              <w:rPr>
                <w:color w:val="000000" w:themeColor="text1"/>
              </w:rPr>
            </w:pPr>
            <w:r w:rsidRPr="00785FE8">
              <w:rPr>
                <w:color w:val="000000" w:themeColor="text1"/>
                <w:sz w:val="22"/>
                <w:szCs w:val="22"/>
              </w:rPr>
              <w:t xml:space="preserve">Ņemot vērā to, ka ar </w:t>
            </w:r>
            <w:r w:rsidR="00A83E4B">
              <w:rPr>
                <w:color w:val="000000" w:themeColor="text1"/>
                <w:sz w:val="22"/>
                <w:szCs w:val="22"/>
              </w:rPr>
              <w:t xml:space="preserve">2018.gada 1.februāra likumu „Grozījumi </w:t>
            </w:r>
            <w:r w:rsidR="00A83E4B" w:rsidRPr="00785FE8">
              <w:rPr>
                <w:color w:val="000000" w:themeColor="text1"/>
                <w:sz w:val="22"/>
                <w:szCs w:val="22"/>
              </w:rPr>
              <w:t>likumā „Par valsts noslēpumu”</w:t>
            </w:r>
            <w:r w:rsidR="00A83E4B">
              <w:rPr>
                <w:color w:val="000000" w:themeColor="text1"/>
                <w:sz w:val="22"/>
                <w:szCs w:val="22"/>
              </w:rPr>
              <w:t>” tika noteikts personas pārbaudes maksimālais termiņš (</w:t>
            </w:r>
            <w:r w:rsidRPr="00785FE8">
              <w:rPr>
                <w:color w:val="000000" w:themeColor="text1"/>
                <w:sz w:val="22"/>
                <w:szCs w:val="22"/>
              </w:rPr>
              <w:t>personas pārbaude kopumā var ilgt līdz sešiem mēnešiem</w:t>
            </w:r>
            <w:r w:rsidR="00A83E4B">
              <w:rPr>
                <w:color w:val="000000" w:themeColor="text1"/>
                <w:sz w:val="22"/>
                <w:szCs w:val="22"/>
              </w:rPr>
              <w:t>)</w:t>
            </w:r>
            <w:r w:rsidRPr="00785FE8">
              <w:rPr>
                <w:color w:val="000000" w:themeColor="text1"/>
                <w:sz w:val="22"/>
                <w:szCs w:val="22"/>
              </w:rPr>
              <w:t xml:space="preserve">, </w:t>
            </w:r>
            <w:r w:rsidR="00A83E4B">
              <w:rPr>
                <w:color w:val="000000" w:themeColor="text1"/>
                <w:sz w:val="22"/>
                <w:szCs w:val="22"/>
              </w:rPr>
              <w:t xml:space="preserve">Projekts paredz, ka </w:t>
            </w:r>
            <w:r w:rsidRPr="00785FE8">
              <w:rPr>
                <w:color w:val="000000" w:themeColor="text1"/>
                <w:sz w:val="22"/>
                <w:szCs w:val="22"/>
              </w:rPr>
              <w:t xml:space="preserve">pieprasījums par jaunas speciālās atļaujas izsniegšanu </w:t>
            </w:r>
            <w:r w:rsidR="00A83E4B">
              <w:rPr>
                <w:color w:val="000000" w:themeColor="text1"/>
                <w:sz w:val="22"/>
                <w:szCs w:val="22"/>
              </w:rPr>
              <w:t xml:space="preserve">ir </w:t>
            </w:r>
            <w:r w:rsidRPr="00A83E4B">
              <w:rPr>
                <w:color w:val="000000" w:themeColor="text1"/>
                <w:sz w:val="22"/>
                <w:szCs w:val="22"/>
              </w:rPr>
              <w:t xml:space="preserve">jāiesniedz vismaz sešus mēnešus pirms esošas speciālās atļaujas derīguma termiņa beigām. </w:t>
            </w:r>
            <w:r w:rsidR="00A83E4B" w:rsidRPr="00A83E4B">
              <w:rPr>
                <w:color w:val="000000" w:themeColor="text1"/>
                <w:sz w:val="22"/>
                <w:szCs w:val="22"/>
              </w:rPr>
              <w:t>Ievērojot to, ka j</w:t>
            </w:r>
            <w:r w:rsidRPr="00A83E4B">
              <w:rPr>
                <w:color w:val="000000" w:themeColor="text1"/>
                <w:sz w:val="22"/>
                <w:szCs w:val="22"/>
              </w:rPr>
              <w:t xml:space="preserve">aunu aptaujas lapu </w:t>
            </w:r>
            <w:r w:rsidR="00A83E4B" w:rsidRPr="00A83E4B">
              <w:rPr>
                <w:color w:val="000000" w:themeColor="text1"/>
                <w:sz w:val="22"/>
                <w:szCs w:val="22"/>
              </w:rPr>
              <w:t xml:space="preserve">valsts drošības iestādei </w:t>
            </w:r>
            <w:r w:rsidRPr="00A83E4B">
              <w:rPr>
                <w:color w:val="000000" w:themeColor="text1"/>
                <w:sz w:val="22"/>
                <w:szCs w:val="22"/>
              </w:rPr>
              <w:t>iesnie</w:t>
            </w:r>
            <w:r w:rsidR="00A83E4B" w:rsidRPr="00A83E4B">
              <w:rPr>
                <w:color w:val="000000" w:themeColor="text1"/>
                <w:sz w:val="22"/>
                <w:szCs w:val="22"/>
              </w:rPr>
              <w:t>dz</w:t>
            </w:r>
            <w:r w:rsidRPr="00A83E4B">
              <w:rPr>
                <w:color w:val="000000" w:themeColor="text1"/>
                <w:sz w:val="22"/>
                <w:szCs w:val="22"/>
              </w:rPr>
              <w:t xml:space="preserve"> </w:t>
            </w:r>
            <w:r w:rsidR="00A83E4B" w:rsidRPr="00A83E4B">
              <w:rPr>
                <w:color w:val="000000" w:themeColor="text1"/>
                <w:sz w:val="22"/>
                <w:szCs w:val="22"/>
              </w:rPr>
              <w:t xml:space="preserve">pati </w:t>
            </w:r>
            <w:r w:rsidRPr="00A83E4B">
              <w:rPr>
                <w:color w:val="000000" w:themeColor="text1"/>
                <w:sz w:val="22"/>
                <w:szCs w:val="22"/>
              </w:rPr>
              <w:t xml:space="preserve">persona, kura veic darbu ar valsts noslēpumu, nevis iestādes vadītājs, </w:t>
            </w:r>
            <w:r w:rsidR="00A83E4B" w:rsidRPr="00A83E4B">
              <w:rPr>
                <w:color w:val="000000" w:themeColor="text1"/>
                <w:sz w:val="22"/>
                <w:szCs w:val="22"/>
              </w:rPr>
              <w:t xml:space="preserve">Projektā paredzēts </w:t>
            </w:r>
            <w:r w:rsidRPr="00A83E4B">
              <w:rPr>
                <w:color w:val="000000" w:themeColor="text1"/>
                <w:sz w:val="22"/>
                <w:szCs w:val="22"/>
              </w:rPr>
              <w:t>norm</w:t>
            </w:r>
            <w:r w:rsidR="00A83E4B" w:rsidRPr="00A83E4B">
              <w:rPr>
                <w:color w:val="000000" w:themeColor="text1"/>
                <w:sz w:val="22"/>
                <w:szCs w:val="22"/>
              </w:rPr>
              <w:t>u</w:t>
            </w:r>
            <w:r w:rsidRPr="00A83E4B">
              <w:rPr>
                <w:color w:val="000000" w:themeColor="text1"/>
                <w:sz w:val="22"/>
                <w:szCs w:val="22"/>
              </w:rPr>
              <w:t xml:space="preserve"> par jaunas aptaujas lapas iesniegšanu </w:t>
            </w:r>
            <w:r w:rsidR="00A83E4B" w:rsidRPr="00A83E4B">
              <w:rPr>
                <w:color w:val="000000" w:themeColor="text1"/>
                <w:sz w:val="22"/>
                <w:szCs w:val="22"/>
              </w:rPr>
              <w:t>svītrot</w:t>
            </w:r>
            <w:r w:rsidRPr="00A83E4B">
              <w:rPr>
                <w:color w:val="000000" w:themeColor="text1"/>
                <w:sz w:val="22"/>
                <w:szCs w:val="22"/>
              </w:rPr>
              <w:t xml:space="preserve"> no 15.punkta un noteikum</w:t>
            </w:r>
            <w:r w:rsidR="00A83E4B" w:rsidRPr="00A83E4B">
              <w:rPr>
                <w:color w:val="000000" w:themeColor="text1"/>
                <w:sz w:val="22"/>
                <w:szCs w:val="22"/>
              </w:rPr>
              <w:t>us papildināt ar jaunu 21.7. </w:t>
            </w:r>
            <w:r w:rsidRPr="00A83E4B">
              <w:rPr>
                <w:color w:val="000000" w:themeColor="text1"/>
                <w:sz w:val="22"/>
                <w:szCs w:val="22"/>
              </w:rPr>
              <w:t>apakšpunktu.</w:t>
            </w:r>
          </w:p>
          <w:p w:rsidR="00A83E4B" w:rsidRPr="00A83E4B" w:rsidRDefault="00A83E4B" w:rsidP="00A83E4B">
            <w:pPr>
              <w:ind w:firstLine="254"/>
              <w:jc w:val="both"/>
              <w:rPr>
                <w:color w:val="000000" w:themeColor="text1"/>
              </w:rPr>
            </w:pPr>
          </w:p>
          <w:p w:rsidR="002E3514" w:rsidRDefault="006445FA" w:rsidP="00A83E4B">
            <w:pPr>
              <w:ind w:firstLine="254"/>
              <w:jc w:val="both"/>
              <w:rPr>
                <w:color w:val="000000" w:themeColor="text1"/>
              </w:rPr>
            </w:pPr>
            <w:r w:rsidRPr="00A83E4B">
              <w:rPr>
                <w:color w:val="000000" w:themeColor="text1"/>
                <w:sz w:val="22"/>
                <w:szCs w:val="22"/>
              </w:rPr>
              <w:tab/>
              <w:t xml:space="preserve">Kopš </w:t>
            </w:r>
            <w:r w:rsidR="00A83E4B">
              <w:rPr>
                <w:color w:val="000000" w:themeColor="text1"/>
                <w:sz w:val="22"/>
                <w:szCs w:val="22"/>
              </w:rPr>
              <w:t xml:space="preserve">noteikumu pieņemšanas laika – </w:t>
            </w:r>
            <w:r w:rsidRPr="00A83E4B">
              <w:rPr>
                <w:color w:val="000000" w:themeColor="text1"/>
                <w:sz w:val="22"/>
                <w:szCs w:val="22"/>
              </w:rPr>
              <w:t>2004.g</w:t>
            </w:r>
            <w:r w:rsidR="00A83E4B">
              <w:rPr>
                <w:color w:val="000000" w:themeColor="text1"/>
                <w:sz w:val="22"/>
                <w:szCs w:val="22"/>
              </w:rPr>
              <w:t xml:space="preserve">ada – </w:t>
            </w:r>
            <w:r w:rsidRPr="00A83E4B">
              <w:rPr>
                <w:color w:val="000000" w:themeColor="text1"/>
                <w:sz w:val="22"/>
                <w:szCs w:val="22"/>
              </w:rPr>
              <w:t xml:space="preserve">ir ievērojami palielinājusies </w:t>
            </w:r>
            <w:r w:rsidR="00A83E4B">
              <w:rPr>
                <w:color w:val="000000" w:themeColor="text1"/>
                <w:sz w:val="22"/>
                <w:szCs w:val="22"/>
              </w:rPr>
              <w:t xml:space="preserve">starptautiskā sadarbība un attiecīgi arī klasificētas </w:t>
            </w:r>
            <w:r w:rsidRPr="00A83E4B">
              <w:rPr>
                <w:color w:val="000000" w:themeColor="text1"/>
                <w:sz w:val="22"/>
                <w:szCs w:val="22"/>
              </w:rPr>
              <w:t>informācijas</w:t>
            </w:r>
            <w:r w:rsidR="002E3514">
              <w:rPr>
                <w:color w:val="000000" w:themeColor="text1"/>
                <w:sz w:val="22"/>
                <w:szCs w:val="22"/>
              </w:rPr>
              <w:t xml:space="preserve"> apmaiņa ar ārvalstu partneriem un starptautiskām organizācijām. Valsts noslēpumu saturošā informācija nereti tiek izmantota minēto subjektu dokumentu gatavošanā, līdz ar to starptautiski saprotamu klasifikācijas apzīmējumu lietošana ir ļoti būtiska valsts noslēpuma aizsardzības nodrošināšanai, īpaši ņemot vērā to, ka informācijas apmaiņa ar ārvalstīm un starptautiskām organizācijām lielākoties notiek</w:t>
            </w:r>
            <w:r w:rsidRPr="00A83E4B">
              <w:rPr>
                <w:color w:val="000000" w:themeColor="text1"/>
                <w:sz w:val="22"/>
                <w:szCs w:val="22"/>
              </w:rPr>
              <w:t xml:space="preserve"> elektroniskā vidē</w:t>
            </w:r>
            <w:r w:rsidR="002E3514">
              <w:rPr>
                <w:color w:val="000000" w:themeColor="text1"/>
                <w:sz w:val="22"/>
                <w:szCs w:val="22"/>
              </w:rPr>
              <w:t>.</w:t>
            </w:r>
          </w:p>
          <w:p w:rsidR="00794458" w:rsidRDefault="006445FA" w:rsidP="00A83E4B">
            <w:pPr>
              <w:ind w:firstLine="254"/>
              <w:jc w:val="both"/>
              <w:rPr>
                <w:color w:val="000000" w:themeColor="text1"/>
              </w:rPr>
            </w:pPr>
            <w:r w:rsidRPr="00A83E4B">
              <w:rPr>
                <w:color w:val="000000" w:themeColor="text1"/>
                <w:sz w:val="22"/>
                <w:szCs w:val="22"/>
              </w:rPr>
              <w:t>N</w:t>
            </w:r>
            <w:r w:rsidR="002E3514">
              <w:rPr>
                <w:color w:val="000000" w:themeColor="text1"/>
                <w:sz w:val="22"/>
                <w:szCs w:val="22"/>
              </w:rPr>
              <w:t>eskatoties uz minēto, n</w:t>
            </w:r>
            <w:r w:rsidRPr="00A83E4B">
              <w:rPr>
                <w:color w:val="000000" w:themeColor="text1"/>
                <w:sz w:val="22"/>
                <w:szCs w:val="22"/>
              </w:rPr>
              <w:t xml:space="preserve">oteikumi </w:t>
            </w:r>
            <w:r w:rsidR="002E3514">
              <w:rPr>
                <w:color w:val="000000" w:themeColor="text1"/>
                <w:sz w:val="22"/>
                <w:szCs w:val="22"/>
              </w:rPr>
              <w:t xml:space="preserve">joprojām </w:t>
            </w:r>
            <w:r w:rsidRPr="00A83E4B">
              <w:rPr>
                <w:color w:val="000000" w:themeColor="text1"/>
                <w:sz w:val="22"/>
                <w:szCs w:val="22"/>
              </w:rPr>
              <w:t>skaidri nenosaka valsts noslēpuma apzīmējumu lietošanu svešvalodā uz svešvalodā radītiem vai tulkotiem dokumentiem</w:t>
            </w:r>
            <w:r w:rsidR="00794458">
              <w:rPr>
                <w:color w:val="000000" w:themeColor="text1"/>
                <w:sz w:val="22"/>
                <w:szCs w:val="22"/>
              </w:rPr>
              <w:t xml:space="preserve">, līdz ar to </w:t>
            </w:r>
            <w:r w:rsidR="002E3514">
              <w:rPr>
                <w:color w:val="000000" w:themeColor="text1"/>
                <w:sz w:val="22"/>
                <w:szCs w:val="22"/>
              </w:rPr>
              <w:t>pastāv risks, ka</w:t>
            </w:r>
            <w:r w:rsidR="002E3514" w:rsidRPr="00A83E4B">
              <w:rPr>
                <w:color w:val="000000" w:themeColor="text1"/>
                <w:sz w:val="22"/>
                <w:szCs w:val="22"/>
              </w:rPr>
              <w:t xml:space="preserve"> š</w:t>
            </w:r>
            <w:r w:rsidR="002E3514">
              <w:rPr>
                <w:color w:val="000000" w:themeColor="text1"/>
                <w:sz w:val="22"/>
                <w:szCs w:val="22"/>
              </w:rPr>
              <w:t>īs</w:t>
            </w:r>
            <w:r w:rsidR="002E3514" w:rsidRPr="00A83E4B">
              <w:rPr>
                <w:color w:val="000000" w:themeColor="text1"/>
                <w:sz w:val="22"/>
                <w:szCs w:val="22"/>
              </w:rPr>
              <w:t xml:space="preserve"> informācij</w:t>
            </w:r>
            <w:r w:rsidR="002E3514">
              <w:rPr>
                <w:color w:val="000000" w:themeColor="text1"/>
                <w:sz w:val="22"/>
                <w:szCs w:val="22"/>
              </w:rPr>
              <w:t>as elektroniskas</w:t>
            </w:r>
            <w:r w:rsidR="002E3514" w:rsidRPr="00A83E4B">
              <w:rPr>
                <w:color w:val="000000" w:themeColor="text1"/>
                <w:sz w:val="22"/>
                <w:szCs w:val="22"/>
              </w:rPr>
              <w:t xml:space="preserve"> pārsūt</w:t>
            </w:r>
            <w:r w:rsidR="002E3514">
              <w:rPr>
                <w:color w:val="000000" w:themeColor="text1"/>
                <w:sz w:val="22"/>
                <w:szCs w:val="22"/>
              </w:rPr>
              <w:t>īšanas rezultātā</w:t>
            </w:r>
            <w:r w:rsidR="002E3514" w:rsidRPr="00A83E4B">
              <w:rPr>
                <w:color w:val="000000" w:themeColor="text1"/>
                <w:sz w:val="22"/>
                <w:szCs w:val="22"/>
              </w:rPr>
              <w:t xml:space="preserve"> citu valstu pārstāvjiem nesaprotamie apzīmējum</w:t>
            </w:r>
            <w:r w:rsidR="00794458">
              <w:rPr>
                <w:color w:val="000000" w:themeColor="text1"/>
                <w:sz w:val="22"/>
                <w:szCs w:val="22"/>
              </w:rPr>
              <w:t>i „tiek pazaudēti”</w:t>
            </w:r>
            <w:r w:rsidR="002E3514" w:rsidRPr="00A83E4B">
              <w:rPr>
                <w:color w:val="000000" w:themeColor="text1"/>
                <w:sz w:val="22"/>
                <w:szCs w:val="22"/>
              </w:rPr>
              <w:t xml:space="preserve"> un informācija </w:t>
            </w:r>
            <w:r w:rsidR="00794458">
              <w:rPr>
                <w:color w:val="000000" w:themeColor="text1"/>
                <w:sz w:val="22"/>
                <w:szCs w:val="22"/>
              </w:rPr>
              <w:t xml:space="preserve">turpmāk var </w:t>
            </w:r>
            <w:r w:rsidR="002E3514" w:rsidRPr="00A83E4B">
              <w:rPr>
                <w:color w:val="000000" w:themeColor="text1"/>
                <w:sz w:val="22"/>
                <w:szCs w:val="22"/>
              </w:rPr>
              <w:t>neti</w:t>
            </w:r>
            <w:r w:rsidR="00794458">
              <w:rPr>
                <w:color w:val="000000" w:themeColor="text1"/>
                <w:sz w:val="22"/>
                <w:szCs w:val="22"/>
              </w:rPr>
              <w:t>kt</w:t>
            </w:r>
            <w:r w:rsidR="002E3514" w:rsidRPr="00A83E4B">
              <w:rPr>
                <w:color w:val="000000" w:themeColor="text1"/>
                <w:sz w:val="22"/>
                <w:szCs w:val="22"/>
              </w:rPr>
              <w:t xml:space="preserve"> uzskatīt</w:t>
            </w:r>
            <w:r w:rsidR="00794458">
              <w:rPr>
                <w:color w:val="000000" w:themeColor="text1"/>
                <w:sz w:val="22"/>
                <w:szCs w:val="22"/>
              </w:rPr>
              <w:t xml:space="preserve">a par </w:t>
            </w:r>
            <w:r w:rsidR="002E3514" w:rsidRPr="00A83E4B">
              <w:rPr>
                <w:color w:val="000000" w:themeColor="text1"/>
                <w:sz w:val="22"/>
                <w:szCs w:val="22"/>
              </w:rPr>
              <w:t>klasificētu.</w:t>
            </w:r>
          </w:p>
          <w:p w:rsidR="006445FA" w:rsidRDefault="00794458" w:rsidP="00A83E4B">
            <w:pPr>
              <w:ind w:firstLine="254"/>
              <w:jc w:val="both"/>
              <w:rPr>
                <w:color w:val="000000" w:themeColor="text1"/>
              </w:rPr>
            </w:pPr>
            <w:r>
              <w:rPr>
                <w:color w:val="000000" w:themeColor="text1"/>
                <w:sz w:val="22"/>
                <w:szCs w:val="22"/>
              </w:rPr>
              <w:t xml:space="preserve">Ievērojot minēto, lai </w:t>
            </w:r>
            <w:r w:rsidR="006445FA" w:rsidRPr="00A83E4B">
              <w:rPr>
                <w:color w:val="000000" w:themeColor="text1"/>
                <w:sz w:val="22"/>
                <w:szCs w:val="22"/>
              </w:rPr>
              <w:t xml:space="preserve">ārvalstu partneriem būtu saprotami apzīmējumi, kas izvietoti uz Latvijā radītas klasificētas informācijas, </w:t>
            </w:r>
            <w:r w:rsidR="002E3514">
              <w:rPr>
                <w:color w:val="000000" w:themeColor="text1"/>
                <w:sz w:val="22"/>
                <w:szCs w:val="22"/>
              </w:rPr>
              <w:t>Projektā paredzēta iespēja</w:t>
            </w:r>
            <w:r w:rsidR="006445FA" w:rsidRPr="00A83E4B">
              <w:rPr>
                <w:color w:val="000000" w:themeColor="text1"/>
                <w:sz w:val="22"/>
                <w:szCs w:val="22"/>
              </w:rPr>
              <w:t xml:space="preserve"> </w:t>
            </w:r>
            <w:r>
              <w:rPr>
                <w:color w:val="000000" w:themeColor="text1"/>
                <w:sz w:val="22"/>
                <w:szCs w:val="22"/>
              </w:rPr>
              <w:t xml:space="preserve">dokumenta sagatavotājam </w:t>
            </w:r>
            <w:r w:rsidR="006445FA" w:rsidRPr="00A83E4B">
              <w:rPr>
                <w:color w:val="000000" w:themeColor="text1"/>
                <w:sz w:val="22"/>
                <w:szCs w:val="22"/>
              </w:rPr>
              <w:t xml:space="preserve">lietot apzīmējumus tādā svešvalodā, kādā ir sagatavotā dokumenta teksts. Tāpat </w:t>
            </w:r>
            <w:r>
              <w:rPr>
                <w:color w:val="000000" w:themeColor="text1"/>
                <w:sz w:val="22"/>
                <w:szCs w:val="22"/>
              </w:rPr>
              <w:t>arī P</w:t>
            </w:r>
            <w:r w:rsidR="006445FA" w:rsidRPr="00A83E4B">
              <w:rPr>
                <w:color w:val="000000" w:themeColor="text1"/>
                <w:sz w:val="22"/>
                <w:szCs w:val="22"/>
              </w:rPr>
              <w:t>rojektā iekļauti apzīmējumi, kas nosaka, ka informācija radīta konkrētam mērķim</w:t>
            </w:r>
            <w:r>
              <w:rPr>
                <w:color w:val="000000" w:themeColor="text1"/>
                <w:sz w:val="22"/>
                <w:szCs w:val="22"/>
              </w:rPr>
              <w:t xml:space="preserve"> – </w:t>
            </w:r>
            <w:r w:rsidR="006445FA" w:rsidRPr="00A83E4B">
              <w:rPr>
                <w:color w:val="000000" w:themeColor="text1"/>
                <w:sz w:val="22"/>
                <w:szCs w:val="22"/>
              </w:rPr>
              <w:t xml:space="preserve"> nodošanai</w:t>
            </w:r>
            <w:r>
              <w:rPr>
                <w:color w:val="000000" w:themeColor="text1"/>
                <w:sz w:val="22"/>
                <w:szCs w:val="22"/>
              </w:rPr>
              <w:t xml:space="preserve"> konkrētai</w:t>
            </w:r>
            <w:r w:rsidR="006445FA" w:rsidRPr="00A83E4B">
              <w:rPr>
                <w:color w:val="000000" w:themeColor="text1"/>
                <w:sz w:val="22"/>
                <w:szCs w:val="22"/>
              </w:rPr>
              <w:t xml:space="preserve"> ārvalstij vai starptautiskajai organizācijai.</w:t>
            </w:r>
          </w:p>
          <w:p w:rsidR="00794458" w:rsidRPr="00A83E4B" w:rsidRDefault="00794458" w:rsidP="00A83E4B">
            <w:pPr>
              <w:ind w:firstLine="254"/>
              <w:jc w:val="both"/>
              <w:rPr>
                <w:color w:val="000000" w:themeColor="text1"/>
              </w:rPr>
            </w:pPr>
          </w:p>
          <w:p w:rsidR="006445FA" w:rsidRDefault="006445FA" w:rsidP="00A83E4B">
            <w:pPr>
              <w:ind w:firstLine="254"/>
              <w:jc w:val="both"/>
              <w:rPr>
                <w:color w:val="000000" w:themeColor="text1"/>
              </w:rPr>
            </w:pPr>
            <w:r w:rsidRPr="00A83E4B">
              <w:rPr>
                <w:color w:val="000000" w:themeColor="text1"/>
                <w:sz w:val="22"/>
                <w:szCs w:val="22"/>
              </w:rPr>
              <w:t xml:space="preserve">Noteikumu 96.punktā ir noteikts, ka institūcijā sagatavotos un reģistrētos valsts noslēpuma objektus var iznīcināt, ja tie nav nepieciešami darbam, izņemot vienu eksemplāru, kura glabāšanu pēc tā deklasificēšanas saskaņo ar valsts arhīviem. Arhīvu likumā noteiktie dokumentu glabāšanas principi nosaka, ka glabāšanai valsts arhīvā nodod tikai tādus dokumentus, kuriem ir arhīviska vērtība, tādēļ arī </w:t>
            </w:r>
            <w:r w:rsidR="00794458">
              <w:rPr>
                <w:color w:val="000000" w:themeColor="text1"/>
                <w:sz w:val="22"/>
                <w:szCs w:val="22"/>
              </w:rPr>
              <w:t>Projektā paredzēts noteikumus precizēt, nosakot</w:t>
            </w:r>
            <w:r w:rsidRPr="00A83E4B">
              <w:rPr>
                <w:color w:val="000000" w:themeColor="text1"/>
                <w:sz w:val="22"/>
                <w:szCs w:val="22"/>
              </w:rPr>
              <w:t>, ka pēc dokumenta deklasificēšanas ar Valsts arhīvu saskaņo tikai tādu dokumentu glabāša</w:t>
            </w:r>
            <w:r w:rsidR="00794458">
              <w:rPr>
                <w:color w:val="000000" w:themeColor="text1"/>
                <w:sz w:val="22"/>
                <w:szCs w:val="22"/>
              </w:rPr>
              <w:t xml:space="preserve">nu, kuriem ir arhīviska </w:t>
            </w:r>
            <w:r w:rsidR="00510C12">
              <w:rPr>
                <w:color w:val="000000" w:themeColor="text1"/>
                <w:sz w:val="22"/>
                <w:szCs w:val="22"/>
              </w:rPr>
              <w:t>vērtība</w:t>
            </w:r>
            <w:r w:rsidR="00794458">
              <w:rPr>
                <w:color w:val="000000" w:themeColor="text1"/>
                <w:sz w:val="22"/>
                <w:szCs w:val="22"/>
              </w:rPr>
              <w:t>.</w:t>
            </w:r>
          </w:p>
          <w:p w:rsidR="00794458" w:rsidRPr="00A83E4B" w:rsidRDefault="00794458" w:rsidP="00A83E4B">
            <w:pPr>
              <w:ind w:firstLine="254"/>
              <w:jc w:val="both"/>
              <w:rPr>
                <w:color w:val="000000" w:themeColor="text1"/>
              </w:rPr>
            </w:pPr>
          </w:p>
          <w:p w:rsidR="006445FA" w:rsidRPr="00A83E4B" w:rsidRDefault="00794458" w:rsidP="00A83E4B">
            <w:pPr>
              <w:ind w:firstLine="254"/>
              <w:jc w:val="both"/>
            </w:pPr>
            <w:r>
              <w:rPr>
                <w:color w:val="000000" w:themeColor="text1"/>
                <w:sz w:val="22"/>
                <w:szCs w:val="22"/>
              </w:rPr>
              <w:t xml:space="preserve">Ņemot vērā klasificētās informācijas ievērojamo apjomu, kā arī institūciju, kurās glabā valsts noslēpumu, lielo skaitu, </w:t>
            </w:r>
            <w:r w:rsidR="006445FA" w:rsidRPr="00A83E4B">
              <w:rPr>
                <w:color w:val="000000" w:themeColor="text1"/>
                <w:sz w:val="22"/>
                <w:szCs w:val="22"/>
              </w:rPr>
              <w:t xml:space="preserve">Valsts aizsardzības plāna izstrādes un ar tā īstenošanu saistīto mācību laikā </w:t>
            </w:r>
            <w:r>
              <w:rPr>
                <w:color w:val="000000" w:themeColor="text1"/>
                <w:sz w:val="22"/>
                <w:szCs w:val="22"/>
              </w:rPr>
              <w:t xml:space="preserve">ticis </w:t>
            </w:r>
            <w:r w:rsidR="006445FA" w:rsidRPr="00A83E4B">
              <w:rPr>
                <w:color w:val="000000" w:themeColor="text1"/>
                <w:sz w:val="22"/>
                <w:szCs w:val="22"/>
              </w:rPr>
              <w:t xml:space="preserve">konstatēts, ka situācijās, kad valstī ir izsludināts izņēmuma stāvoklis un ir jānodrošina </w:t>
            </w:r>
            <w:r w:rsidR="006445FA" w:rsidRPr="00A83E4B">
              <w:rPr>
                <w:color w:val="000000" w:themeColor="text1"/>
                <w:sz w:val="22"/>
                <w:szCs w:val="22"/>
              </w:rPr>
              <w:lastRenderedPageBreak/>
              <w:t xml:space="preserve">valsts noslēpuma objektu evakuācija, </w:t>
            </w:r>
            <w:r>
              <w:rPr>
                <w:color w:val="000000" w:themeColor="text1"/>
                <w:sz w:val="22"/>
                <w:szCs w:val="22"/>
              </w:rPr>
              <w:t xml:space="preserve">praksē </w:t>
            </w:r>
            <w:r w:rsidR="006445FA" w:rsidRPr="00A83E4B">
              <w:rPr>
                <w:color w:val="000000" w:themeColor="text1"/>
                <w:sz w:val="22"/>
                <w:szCs w:val="22"/>
              </w:rPr>
              <w:t xml:space="preserve">nebūs iespējams nodrošināt valsts drošības iestādes darbinieka klātbūtni </w:t>
            </w:r>
            <w:r>
              <w:rPr>
                <w:color w:val="000000" w:themeColor="text1"/>
                <w:sz w:val="22"/>
                <w:szCs w:val="22"/>
              </w:rPr>
              <w:t>visu</w:t>
            </w:r>
            <w:r w:rsidR="006445FA" w:rsidRPr="00A83E4B">
              <w:rPr>
                <w:color w:val="000000" w:themeColor="text1"/>
                <w:sz w:val="22"/>
                <w:szCs w:val="22"/>
              </w:rPr>
              <w:t xml:space="preserve"> slepenu un sevišķi slepenu valsts noslēpuma objektu iznīcināšanas procesā.</w:t>
            </w:r>
          </w:p>
          <w:p w:rsidR="006445FA" w:rsidRDefault="00794458" w:rsidP="00A83E4B">
            <w:pPr>
              <w:ind w:firstLine="254"/>
              <w:jc w:val="both"/>
              <w:rPr>
                <w:color w:val="000000" w:themeColor="text1"/>
              </w:rPr>
            </w:pPr>
            <w:r>
              <w:rPr>
                <w:color w:val="000000" w:themeColor="text1"/>
                <w:sz w:val="22"/>
                <w:szCs w:val="22"/>
              </w:rPr>
              <w:t>Ievērojot minēto, Projekts precizē n</w:t>
            </w:r>
            <w:r w:rsidR="006445FA" w:rsidRPr="00A83E4B">
              <w:rPr>
                <w:color w:val="000000" w:themeColor="text1"/>
                <w:sz w:val="22"/>
                <w:szCs w:val="22"/>
              </w:rPr>
              <w:t>oteikumu 97.punkt</w:t>
            </w:r>
            <w:r>
              <w:rPr>
                <w:color w:val="000000" w:themeColor="text1"/>
                <w:sz w:val="22"/>
                <w:szCs w:val="22"/>
              </w:rPr>
              <w:t>u, nosakot</w:t>
            </w:r>
            <w:r w:rsidR="006445FA" w:rsidRPr="00A83E4B">
              <w:rPr>
                <w:color w:val="000000" w:themeColor="text1"/>
                <w:sz w:val="22"/>
                <w:szCs w:val="22"/>
              </w:rPr>
              <w:t xml:space="preserve">, ka, ja valstī </w:t>
            </w:r>
            <w:r>
              <w:rPr>
                <w:color w:val="000000" w:themeColor="text1"/>
                <w:sz w:val="22"/>
                <w:szCs w:val="22"/>
              </w:rPr>
              <w:t xml:space="preserve">ir </w:t>
            </w:r>
            <w:r w:rsidR="006445FA" w:rsidRPr="00A83E4B">
              <w:rPr>
                <w:color w:val="000000" w:themeColor="text1"/>
                <w:sz w:val="22"/>
                <w:szCs w:val="22"/>
              </w:rPr>
              <w:t>izsludināts izņēmuma stāvoklis, tad valsts noslēpuma iznīcināšanas procesā nav nepieciešama valsts drošības iestādes darbinieka līdzdalība.</w:t>
            </w:r>
          </w:p>
          <w:p w:rsidR="00794458" w:rsidRPr="00A83E4B" w:rsidRDefault="00794458" w:rsidP="00A83E4B">
            <w:pPr>
              <w:ind w:firstLine="254"/>
              <w:jc w:val="both"/>
              <w:rPr>
                <w:color w:val="000000" w:themeColor="text1"/>
              </w:rPr>
            </w:pPr>
          </w:p>
          <w:p w:rsidR="006445FA" w:rsidRPr="00A83E4B" w:rsidRDefault="006445FA" w:rsidP="00A83E4B">
            <w:pPr>
              <w:ind w:firstLine="254"/>
              <w:jc w:val="both"/>
              <w:rPr>
                <w:color w:val="000000" w:themeColor="text1"/>
              </w:rPr>
            </w:pPr>
            <w:r w:rsidRPr="00A83E4B">
              <w:rPr>
                <w:color w:val="000000" w:themeColor="text1"/>
                <w:sz w:val="22"/>
                <w:szCs w:val="22"/>
              </w:rPr>
              <w:t>Kaujas lauka informācija ir specifiska</w:t>
            </w:r>
            <w:r w:rsidR="00794458">
              <w:rPr>
                <w:color w:val="000000" w:themeColor="text1"/>
                <w:sz w:val="22"/>
                <w:szCs w:val="22"/>
              </w:rPr>
              <w:t>,</w:t>
            </w:r>
            <w:r w:rsidRPr="00A83E4B">
              <w:rPr>
                <w:color w:val="000000" w:themeColor="text1"/>
                <w:sz w:val="22"/>
                <w:szCs w:val="22"/>
              </w:rPr>
              <w:t xml:space="preserve"> ar militāru kaujas uzdevumu izpildi saistīta klasificēta informācija, kura savu aktualitāti zaudē pēc attiecīgā uzdevuma izpildes</w:t>
            </w:r>
            <w:r w:rsidR="00794458">
              <w:rPr>
                <w:color w:val="000000" w:themeColor="text1"/>
                <w:sz w:val="22"/>
                <w:szCs w:val="22"/>
              </w:rPr>
              <w:t>,</w:t>
            </w:r>
            <w:r w:rsidRPr="00A83E4B">
              <w:rPr>
                <w:color w:val="000000" w:themeColor="text1"/>
                <w:sz w:val="22"/>
                <w:szCs w:val="22"/>
              </w:rPr>
              <w:t xml:space="preserve"> </w:t>
            </w:r>
            <w:r w:rsidR="00794458">
              <w:rPr>
                <w:color w:val="000000" w:themeColor="text1"/>
                <w:sz w:val="22"/>
                <w:szCs w:val="22"/>
              </w:rPr>
              <w:t>tas nozīmē, ka</w:t>
            </w:r>
            <w:r w:rsidRPr="00A83E4B">
              <w:rPr>
                <w:color w:val="000000" w:themeColor="text1"/>
                <w:sz w:val="22"/>
                <w:szCs w:val="22"/>
              </w:rPr>
              <w:t xml:space="preserve"> </w:t>
            </w:r>
            <w:r w:rsidR="00794458">
              <w:rPr>
                <w:color w:val="000000" w:themeColor="text1"/>
                <w:sz w:val="22"/>
                <w:szCs w:val="22"/>
              </w:rPr>
              <w:t xml:space="preserve">pēc minētās aktualitātes zaudēšanas tās izpaušana nevar radīt likumā „Par valsts noslēpumu” noteikto apdraudējumu, un </w:t>
            </w:r>
            <w:r w:rsidRPr="00A83E4B">
              <w:rPr>
                <w:color w:val="000000" w:themeColor="text1"/>
                <w:sz w:val="22"/>
                <w:szCs w:val="22"/>
              </w:rPr>
              <w:t>tā būtu deklasificējama. Ņemot vērā</w:t>
            </w:r>
            <w:r w:rsidR="00A35101">
              <w:rPr>
                <w:color w:val="000000" w:themeColor="text1"/>
                <w:sz w:val="22"/>
                <w:szCs w:val="22"/>
              </w:rPr>
              <w:t xml:space="preserve"> to, ka</w:t>
            </w:r>
            <w:r w:rsidRPr="00A83E4B">
              <w:rPr>
                <w:color w:val="000000" w:themeColor="text1"/>
                <w:sz w:val="22"/>
                <w:szCs w:val="22"/>
              </w:rPr>
              <w:t xml:space="preserve"> militāro operāciju laikā nav iespējams īstenot informācijas deklasificēšanu</w:t>
            </w:r>
            <w:r w:rsidR="00A35101">
              <w:rPr>
                <w:color w:val="000000" w:themeColor="text1"/>
                <w:sz w:val="22"/>
                <w:szCs w:val="22"/>
              </w:rPr>
              <w:t>, savukārt</w:t>
            </w:r>
            <w:r w:rsidRPr="00A83E4B">
              <w:rPr>
                <w:color w:val="000000" w:themeColor="text1"/>
                <w:sz w:val="22"/>
                <w:szCs w:val="22"/>
              </w:rPr>
              <w:t xml:space="preserve"> šādas </w:t>
            </w:r>
            <w:r w:rsidR="00A35101">
              <w:rPr>
                <w:color w:val="000000" w:themeColor="text1"/>
                <w:sz w:val="22"/>
                <w:szCs w:val="22"/>
              </w:rPr>
              <w:t xml:space="preserve">neaktuālas </w:t>
            </w:r>
            <w:r w:rsidRPr="00A83E4B">
              <w:rPr>
                <w:color w:val="000000" w:themeColor="text1"/>
                <w:sz w:val="22"/>
                <w:szCs w:val="22"/>
              </w:rPr>
              <w:t xml:space="preserve">informācijas turpmāka aizsardzība var apgrūtināt kaujas uzdevuma izpildi, </w:t>
            </w:r>
            <w:r w:rsidR="00A35101">
              <w:rPr>
                <w:color w:val="000000" w:themeColor="text1"/>
                <w:sz w:val="22"/>
                <w:szCs w:val="22"/>
              </w:rPr>
              <w:t xml:space="preserve">ir </w:t>
            </w:r>
            <w:r w:rsidRPr="00A83E4B">
              <w:rPr>
                <w:color w:val="000000" w:themeColor="text1"/>
                <w:sz w:val="22"/>
                <w:szCs w:val="22"/>
              </w:rPr>
              <w:t xml:space="preserve">nepieciešams rast iespēju šādu informāciju iznīcināt uzdevuma izpildes laikā. </w:t>
            </w:r>
            <w:r w:rsidR="00A35101">
              <w:rPr>
                <w:color w:val="000000" w:themeColor="text1"/>
                <w:sz w:val="22"/>
                <w:szCs w:val="22"/>
              </w:rPr>
              <w:t>Ievērojot minēto, Projekts precizē n</w:t>
            </w:r>
            <w:r w:rsidRPr="00A83E4B">
              <w:rPr>
                <w:color w:val="000000" w:themeColor="text1"/>
                <w:sz w:val="22"/>
                <w:szCs w:val="22"/>
              </w:rPr>
              <w:t>oteikum</w:t>
            </w:r>
            <w:r w:rsidR="00A35101">
              <w:rPr>
                <w:color w:val="000000" w:themeColor="text1"/>
                <w:sz w:val="22"/>
                <w:szCs w:val="22"/>
              </w:rPr>
              <w:t>u</w:t>
            </w:r>
            <w:r w:rsidRPr="00A83E4B">
              <w:rPr>
                <w:color w:val="000000" w:themeColor="text1"/>
                <w:sz w:val="22"/>
                <w:szCs w:val="22"/>
              </w:rPr>
              <w:t xml:space="preserve"> 100.punkt</w:t>
            </w:r>
            <w:r w:rsidR="00A35101">
              <w:rPr>
                <w:color w:val="000000" w:themeColor="text1"/>
                <w:sz w:val="22"/>
                <w:szCs w:val="22"/>
              </w:rPr>
              <w:t>u</w:t>
            </w:r>
            <w:r w:rsidRPr="00A83E4B">
              <w:rPr>
                <w:color w:val="000000" w:themeColor="text1"/>
                <w:sz w:val="22"/>
                <w:szCs w:val="22"/>
              </w:rPr>
              <w:t>, nosakot, ka valsts noslēpuma objektus, kas satur kaujas lauka informāciju</w:t>
            </w:r>
            <w:r w:rsidR="00A35101">
              <w:rPr>
                <w:color w:val="000000" w:themeColor="text1"/>
                <w:sz w:val="22"/>
                <w:szCs w:val="22"/>
              </w:rPr>
              <w:t>,</w:t>
            </w:r>
            <w:r w:rsidRPr="00A83E4B">
              <w:rPr>
                <w:color w:val="000000" w:themeColor="text1"/>
                <w:sz w:val="22"/>
                <w:szCs w:val="22"/>
              </w:rPr>
              <w:t xml:space="preserve"> var iznīcināt bez valsts drošības iestādes darbinieka - liecinieka klātbūtnes.</w:t>
            </w:r>
          </w:p>
          <w:p w:rsidR="006445FA" w:rsidRPr="00C61384" w:rsidRDefault="006445FA" w:rsidP="008A6A6F"/>
        </w:tc>
      </w:tr>
      <w:tr w:rsidR="00BD5588" w:rsidRPr="00B517C3" w:rsidTr="00050CB9">
        <w:tc>
          <w:tcPr>
            <w:tcW w:w="520" w:type="dxa"/>
            <w:hideMark/>
          </w:tcPr>
          <w:p w:rsidR="00BD5588" w:rsidRPr="00050CB9" w:rsidRDefault="00BD5588" w:rsidP="008A6A6F">
            <w:pPr>
              <w:jc w:val="center"/>
            </w:pPr>
            <w:r w:rsidRPr="00050CB9">
              <w:rPr>
                <w:sz w:val="22"/>
                <w:szCs w:val="22"/>
              </w:rPr>
              <w:lastRenderedPageBreak/>
              <w:t>3.</w:t>
            </w:r>
          </w:p>
        </w:tc>
        <w:tc>
          <w:tcPr>
            <w:tcW w:w="1778" w:type="dxa"/>
            <w:hideMark/>
          </w:tcPr>
          <w:p w:rsidR="00BD5588" w:rsidRDefault="00BD5588" w:rsidP="008A6A6F">
            <w:r w:rsidRPr="00050CB9">
              <w:rPr>
                <w:sz w:val="22"/>
                <w:szCs w:val="22"/>
              </w:rPr>
              <w:t>Projekta izstrādē iesaistītās institūcijas un publiskas personas kapitālsabiedrības</w:t>
            </w:r>
          </w:p>
          <w:p w:rsidR="00050CB9" w:rsidRPr="00050CB9" w:rsidRDefault="00050CB9" w:rsidP="008A6A6F"/>
        </w:tc>
        <w:tc>
          <w:tcPr>
            <w:tcW w:w="6664" w:type="dxa"/>
            <w:hideMark/>
          </w:tcPr>
          <w:p w:rsidR="00BD5588" w:rsidRPr="00050CB9" w:rsidRDefault="0004594E" w:rsidP="0091651B">
            <w:pPr>
              <w:jc w:val="both"/>
            </w:pPr>
            <w:r w:rsidRPr="00050CB9">
              <w:rPr>
                <w:sz w:val="22"/>
                <w:szCs w:val="22"/>
              </w:rPr>
              <w:t>Militārās izlūkošanas un drošības dienests, Aizsardzības ministrija, ar Aizsardzības ministra 2020.gada 22.maija rīkojumu Nr.10-p DV „Par darba grupas izveidi normatīvo aktu izstrādei, kas paredz rezerves karavīru tiesības strādāt ar valsts noslēpuma objektiem” izveidota darba grupa</w:t>
            </w:r>
            <w:r w:rsidR="0091651B">
              <w:rPr>
                <w:sz w:val="22"/>
                <w:szCs w:val="22"/>
              </w:rPr>
              <w:t>.</w:t>
            </w:r>
          </w:p>
        </w:tc>
      </w:tr>
      <w:tr w:rsidR="00BD5588" w:rsidRPr="00B517C3" w:rsidTr="00050CB9">
        <w:tc>
          <w:tcPr>
            <w:tcW w:w="520" w:type="dxa"/>
            <w:hideMark/>
          </w:tcPr>
          <w:p w:rsidR="00BD5588" w:rsidRPr="00050CB9" w:rsidRDefault="00BD5588" w:rsidP="008A6A6F">
            <w:pPr>
              <w:jc w:val="center"/>
            </w:pPr>
            <w:r w:rsidRPr="00050CB9">
              <w:rPr>
                <w:sz w:val="22"/>
                <w:szCs w:val="22"/>
              </w:rPr>
              <w:t>4.</w:t>
            </w:r>
          </w:p>
        </w:tc>
        <w:tc>
          <w:tcPr>
            <w:tcW w:w="1778" w:type="dxa"/>
            <w:hideMark/>
          </w:tcPr>
          <w:p w:rsidR="00BD5588" w:rsidRPr="00050CB9" w:rsidRDefault="00BD5588" w:rsidP="008A6A6F">
            <w:r w:rsidRPr="00050CB9">
              <w:rPr>
                <w:sz w:val="22"/>
                <w:szCs w:val="22"/>
              </w:rPr>
              <w:t>Cita informācija</w:t>
            </w:r>
          </w:p>
        </w:tc>
        <w:tc>
          <w:tcPr>
            <w:tcW w:w="6664" w:type="dxa"/>
            <w:hideMark/>
          </w:tcPr>
          <w:p w:rsidR="00BD5588" w:rsidRDefault="0004594E" w:rsidP="0091651B">
            <w:pPr>
              <w:jc w:val="both"/>
            </w:pPr>
            <w:r w:rsidRPr="00050CB9">
              <w:rPr>
                <w:sz w:val="22"/>
                <w:szCs w:val="22"/>
              </w:rPr>
              <w:t xml:space="preserve">3.punktā minētās darba grupas ietvaros secināts, ka normatīvie akti neierobežo rezerves karavīru tiesības strādāt ar valsts noslēpuma objektiem, bet rezerves karavīru pārbaudei nepieciešami papildu resursi, kurus </w:t>
            </w:r>
            <w:r w:rsidR="0091651B">
              <w:rPr>
                <w:sz w:val="22"/>
                <w:szCs w:val="22"/>
              </w:rPr>
              <w:t xml:space="preserve">cita starpā var iegūt </w:t>
            </w:r>
            <w:r w:rsidRPr="00050CB9">
              <w:rPr>
                <w:sz w:val="22"/>
                <w:szCs w:val="22"/>
              </w:rPr>
              <w:t xml:space="preserve">vienkāršojot personu pārbaudei iesniedzamo dokumentu apriti. </w:t>
            </w:r>
          </w:p>
          <w:p w:rsidR="00050CB9" w:rsidRPr="00050CB9" w:rsidRDefault="00050CB9" w:rsidP="0091651B">
            <w:pPr>
              <w:jc w:val="both"/>
            </w:pP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5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967"/>
      </w:tblGrid>
      <w:tr w:rsidR="00BD5588" w:rsidRPr="00B517C3" w:rsidTr="0007419F">
        <w:tc>
          <w:tcPr>
            <w:tcW w:w="5000" w:type="pct"/>
            <w:gridSpan w:val="3"/>
            <w:vAlign w:val="center"/>
            <w:hideMark/>
          </w:tcPr>
          <w:p w:rsidR="00BD5588" w:rsidRPr="0091651B" w:rsidRDefault="00BD5588" w:rsidP="008A6A6F">
            <w:pPr>
              <w:jc w:val="center"/>
              <w:rPr>
                <w:b/>
                <w:bCs/>
              </w:rPr>
            </w:pPr>
            <w:r w:rsidRPr="0091651B">
              <w:rPr>
                <w:b/>
                <w:bCs/>
                <w:sz w:val="22"/>
                <w:szCs w:val="22"/>
              </w:rPr>
              <w:t>II. Tiesību akta projekta ietekme uz sabiedrību, tautsaimniecības attīstību un administratīvo slogu</w:t>
            </w:r>
          </w:p>
        </w:tc>
      </w:tr>
      <w:tr w:rsidR="00BD5588" w:rsidRPr="00B517C3" w:rsidTr="0007419F">
        <w:tc>
          <w:tcPr>
            <w:tcW w:w="290" w:type="pct"/>
            <w:hideMark/>
          </w:tcPr>
          <w:p w:rsidR="00BD5588" w:rsidRPr="0091651B" w:rsidRDefault="00BD5588" w:rsidP="008A6A6F">
            <w:pPr>
              <w:jc w:val="center"/>
            </w:pPr>
            <w:r w:rsidRPr="0091651B">
              <w:rPr>
                <w:sz w:val="22"/>
                <w:szCs w:val="22"/>
              </w:rPr>
              <w:t>1.</w:t>
            </w:r>
          </w:p>
        </w:tc>
        <w:tc>
          <w:tcPr>
            <w:tcW w:w="1381" w:type="pct"/>
            <w:hideMark/>
          </w:tcPr>
          <w:p w:rsidR="00BD5588" w:rsidRPr="0091651B" w:rsidRDefault="00BD5588" w:rsidP="008A6A6F">
            <w:r w:rsidRPr="0091651B">
              <w:rPr>
                <w:sz w:val="22"/>
                <w:szCs w:val="22"/>
              </w:rPr>
              <w:t>Sabiedrības mērķgrupas, kuras tiesiskais regulējums ietekmē vai varētu ietekmēt</w:t>
            </w:r>
          </w:p>
        </w:tc>
        <w:tc>
          <w:tcPr>
            <w:tcW w:w="3329" w:type="pct"/>
            <w:hideMark/>
          </w:tcPr>
          <w:p w:rsidR="00BD5588" w:rsidRPr="0091651B" w:rsidRDefault="00F6389F" w:rsidP="0091651B">
            <w:pPr>
              <w:jc w:val="both"/>
            </w:pPr>
            <w:r w:rsidRPr="0091651B">
              <w:rPr>
                <w:sz w:val="22"/>
                <w:szCs w:val="22"/>
              </w:rPr>
              <w:t xml:space="preserve">Valsts drošības iestādes, </w:t>
            </w:r>
            <w:r w:rsidR="0091651B" w:rsidRPr="0091651B">
              <w:rPr>
                <w:sz w:val="22"/>
                <w:szCs w:val="22"/>
              </w:rPr>
              <w:t>v</w:t>
            </w:r>
            <w:r w:rsidRPr="0091651B">
              <w:rPr>
                <w:sz w:val="22"/>
                <w:szCs w:val="22"/>
              </w:rPr>
              <w:t xml:space="preserve">alsts </w:t>
            </w:r>
            <w:r w:rsidR="0091651B" w:rsidRPr="00F73428">
              <w:rPr>
                <w:sz w:val="22"/>
                <w:szCs w:val="22"/>
              </w:rPr>
              <w:t>un pašvaldību</w:t>
            </w:r>
            <w:r w:rsidR="0091651B">
              <w:rPr>
                <w:sz w:val="22"/>
                <w:szCs w:val="22"/>
              </w:rPr>
              <w:t xml:space="preserve"> </w:t>
            </w:r>
            <w:r w:rsidRPr="0091651B">
              <w:rPr>
                <w:sz w:val="22"/>
                <w:szCs w:val="22"/>
              </w:rPr>
              <w:t>iestādes, kuru nodarbinātie veic darbu ar valsts noslēpumu, tajās skaitā Nacionālie bruņotie spēki, to karavīri, zemessargi, civilie darbinieki,</w:t>
            </w:r>
            <w:r w:rsidR="00E40B21" w:rsidRPr="0091651B">
              <w:rPr>
                <w:sz w:val="22"/>
                <w:szCs w:val="22"/>
              </w:rPr>
              <w:t xml:space="preserve"> </w:t>
            </w:r>
            <w:r w:rsidRPr="0091651B">
              <w:rPr>
                <w:sz w:val="22"/>
                <w:szCs w:val="22"/>
              </w:rPr>
              <w:t xml:space="preserve">rezerves karavīri,  </w:t>
            </w:r>
            <w:r w:rsidR="0091651B">
              <w:rPr>
                <w:sz w:val="22"/>
                <w:szCs w:val="22"/>
              </w:rPr>
              <w:t xml:space="preserve">kā arī </w:t>
            </w:r>
            <w:r w:rsidR="0091651B" w:rsidRPr="0091651B">
              <w:rPr>
                <w:sz w:val="22"/>
                <w:szCs w:val="22"/>
              </w:rPr>
              <w:t>k</w:t>
            </w:r>
            <w:r w:rsidRPr="0091651B">
              <w:rPr>
                <w:sz w:val="22"/>
                <w:szCs w:val="22"/>
              </w:rPr>
              <w:t>omersanti, kuriem nepieciešams industriālās drošības sertifikāts</w:t>
            </w:r>
            <w:r w:rsidR="0091651B" w:rsidRPr="0091651B">
              <w:rPr>
                <w:sz w:val="22"/>
                <w:szCs w:val="22"/>
              </w:rPr>
              <w:t xml:space="preserve">, </w:t>
            </w:r>
            <w:r w:rsidR="0091651B" w:rsidRPr="00F73428">
              <w:rPr>
                <w:sz w:val="22"/>
                <w:szCs w:val="22"/>
              </w:rPr>
              <w:t>un to darbinieki.</w:t>
            </w:r>
          </w:p>
        </w:tc>
      </w:tr>
      <w:tr w:rsidR="00BD5588" w:rsidRPr="00B517C3" w:rsidTr="0007419F">
        <w:tc>
          <w:tcPr>
            <w:tcW w:w="290" w:type="pct"/>
            <w:hideMark/>
          </w:tcPr>
          <w:p w:rsidR="00BD5588" w:rsidRPr="0091651B" w:rsidRDefault="00BD5588" w:rsidP="008A6A6F">
            <w:pPr>
              <w:jc w:val="center"/>
            </w:pPr>
            <w:r w:rsidRPr="0091651B">
              <w:rPr>
                <w:sz w:val="22"/>
                <w:szCs w:val="22"/>
              </w:rPr>
              <w:t>2.</w:t>
            </w:r>
          </w:p>
        </w:tc>
        <w:tc>
          <w:tcPr>
            <w:tcW w:w="1381" w:type="pct"/>
            <w:hideMark/>
          </w:tcPr>
          <w:p w:rsidR="00BD5588" w:rsidRPr="0091651B" w:rsidRDefault="00BD5588" w:rsidP="008A6A6F">
            <w:r w:rsidRPr="0091651B">
              <w:rPr>
                <w:sz w:val="22"/>
                <w:szCs w:val="22"/>
              </w:rPr>
              <w:t>Tiesiskā regulējuma ietekme uz tautsaimniecību un administratīvo slogu</w:t>
            </w:r>
          </w:p>
        </w:tc>
        <w:tc>
          <w:tcPr>
            <w:tcW w:w="3329" w:type="pct"/>
            <w:hideMark/>
          </w:tcPr>
          <w:p w:rsidR="00BD5588" w:rsidRPr="0091651B" w:rsidRDefault="004A78D8" w:rsidP="0091651B">
            <w:pPr>
              <w:jc w:val="both"/>
            </w:pPr>
            <w:r>
              <w:rPr>
                <w:sz w:val="22"/>
                <w:szCs w:val="22"/>
              </w:rPr>
              <w:t>Projekta</w:t>
            </w:r>
            <w:r w:rsidR="00E40B21" w:rsidRPr="0091651B">
              <w:rPr>
                <w:sz w:val="22"/>
                <w:szCs w:val="22"/>
              </w:rPr>
              <w:t xml:space="preserve"> mērķis ir samazināt administratīvo slogu dodot iespēju institūcijām ar  valsts drošības iestādēm komunicēt elektroniski, tajā skaitā izmantojot institūciju iekšējo personāla vadības vai cita veida </w:t>
            </w:r>
            <w:r w:rsidRPr="00F73428">
              <w:rPr>
                <w:sz w:val="22"/>
                <w:szCs w:val="22"/>
              </w:rPr>
              <w:t>informācijas</w:t>
            </w:r>
            <w:r>
              <w:rPr>
                <w:sz w:val="22"/>
                <w:szCs w:val="22"/>
              </w:rPr>
              <w:t xml:space="preserve"> </w:t>
            </w:r>
            <w:r w:rsidR="00E40B21" w:rsidRPr="0091651B">
              <w:rPr>
                <w:sz w:val="22"/>
                <w:szCs w:val="22"/>
              </w:rPr>
              <w:t>sistēmu</w:t>
            </w:r>
            <w:r w:rsidR="00E40B21" w:rsidRPr="00F73428">
              <w:rPr>
                <w:sz w:val="22"/>
                <w:szCs w:val="22"/>
              </w:rPr>
              <w:t xml:space="preserve">.  </w:t>
            </w:r>
            <w:r w:rsidR="001144A9" w:rsidRPr="00F73428">
              <w:rPr>
                <w:sz w:val="22"/>
                <w:szCs w:val="22"/>
              </w:rPr>
              <w:t>Tāpat arī paredzēts novērst dublēšanos valsts drošības iestāžu darbībā, izsniedzot personām 1.kategorijas speciālās atļaujas pieejai sevišķi slepeniem valsts noslēpuma objektiem.</w:t>
            </w:r>
          </w:p>
        </w:tc>
      </w:tr>
      <w:tr w:rsidR="00BD5588" w:rsidRPr="00B517C3" w:rsidTr="0007419F">
        <w:tc>
          <w:tcPr>
            <w:tcW w:w="290" w:type="pct"/>
            <w:hideMark/>
          </w:tcPr>
          <w:p w:rsidR="00BD5588" w:rsidRPr="0091651B" w:rsidRDefault="00BD5588" w:rsidP="008A6A6F">
            <w:pPr>
              <w:jc w:val="center"/>
            </w:pPr>
            <w:r w:rsidRPr="0091651B">
              <w:rPr>
                <w:sz w:val="22"/>
                <w:szCs w:val="22"/>
              </w:rPr>
              <w:t>3.</w:t>
            </w:r>
          </w:p>
        </w:tc>
        <w:tc>
          <w:tcPr>
            <w:tcW w:w="1381" w:type="pct"/>
            <w:hideMark/>
          </w:tcPr>
          <w:p w:rsidR="00BD5588" w:rsidRPr="0091651B" w:rsidRDefault="00BD5588" w:rsidP="008A6A6F">
            <w:r w:rsidRPr="0091651B">
              <w:rPr>
                <w:sz w:val="22"/>
                <w:szCs w:val="22"/>
              </w:rPr>
              <w:t>Administratīvo izmaksu monetārs novērtējums</w:t>
            </w:r>
          </w:p>
        </w:tc>
        <w:tc>
          <w:tcPr>
            <w:tcW w:w="3329" w:type="pct"/>
            <w:hideMark/>
          </w:tcPr>
          <w:p w:rsidR="00BD5588" w:rsidRPr="0091651B" w:rsidRDefault="00E40B21" w:rsidP="00E84231">
            <w:pPr>
              <w:jc w:val="both"/>
            </w:pPr>
            <w:r w:rsidRPr="0091651B">
              <w:rPr>
                <w:sz w:val="22"/>
                <w:szCs w:val="22"/>
              </w:rPr>
              <w:t xml:space="preserve">Tā kā </w:t>
            </w:r>
            <w:r w:rsidR="001144A9" w:rsidRPr="00F73428">
              <w:rPr>
                <w:sz w:val="22"/>
                <w:szCs w:val="22"/>
              </w:rPr>
              <w:t>Projekts paredz</w:t>
            </w:r>
            <w:r w:rsidRPr="00F73428">
              <w:rPr>
                <w:sz w:val="22"/>
                <w:szCs w:val="22"/>
              </w:rPr>
              <w:t xml:space="preserve"> </w:t>
            </w:r>
            <w:r w:rsidR="001144A9" w:rsidRPr="00F73428">
              <w:rPr>
                <w:sz w:val="22"/>
                <w:szCs w:val="22"/>
              </w:rPr>
              <w:t xml:space="preserve">sadarbības formas </w:t>
            </w:r>
            <w:r w:rsidRPr="00F73428">
              <w:rPr>
                <w:sz w:val="22"/>
                <w:szCs w:val="22"/>
              </w:rPr>
              <w:t xml:space="preserve">izvēles iespējas, </w:t>
            </w:r>
            <w:r w:rsidR="001144A9" w:rsidRPr="00F73428">
              <w:rPr>
                <w:sz w:val="22"/>
                <w:szCs w:val="22"/>
              </w:rPr>
              <w:t>institūcijām individuāli vienojoties ar kompetento valsts drošības iestādi par abām pusēm pieņemamāko informācijas apmaiņas kārtību,</w:t>
            </w:r>
            <w:r w:rsidR="001144A9">
              <w:rPr>
                <w:sz w:val="22"/>
                <w:szCs w:val="22"/>
              </w:rPr>
              <w:t xml:space="preserve"> </w:t>
            </w:r>
            <w:r w:rsidRPr="0091651B">
              <w:rPr>
                <w:sz w:val="22"/>
                <w:szCs w:val="22"/>
              </w:rPr>
              <w:t xml:space="preserve">tad </w:t>
            </w:r>
            <w:r w:rsidR="00E84231">
              <w:rPr>
                <w:sz w:val="22"/>
                <w:szCs w:val="22"/>
              </w:rPr>
              <w:t>Projekts</w:t>
            </w:r>
            <w:r w:rsidRPr="0091651B">
              <w:rPr>
                <w:sz w:val="22"/>
                <w:szCs w:val="22"/>
              </w:rPr>
              <w:t xml:space="preserve"> nerada tiešas papildu izmaksas. Administratīvās  izmaksas </w:t>
            </w:r>
            <w:r w:rsidR="00947538" w:rsidRPr="0091651B">
              <w:rPr>
                <w:sz w:val="22"/>
                <w:szCs w:val="22"/>
              </w:rPr>
              <w:t xml:space="preserve">var būt </w:t>
            </w:r>
            <w:r w:rsidRPr="0091651B">
              <w:rPr>
                <w:sz w:val="22"/>
                <w:szCs w:val="22"/>
              </w:rPr>
              <w:t xml:space="preserve">saistītas ar iekšējo personāla vadības sistēmu </w:t>
            </w:r>
            <w:r w:rsidRPr="00F73428">
              <w:rPr>
                <w:sz w:val="22"/>
                <w:szCs w:val="22"/>
              </w:rPr>
              <w:t xml:space="preserve">ieviešanu </w:t>
            </w:r>
            <w:r w:rsidR="00E84231" w:rsidRPr="00F73428">
              <w:rPr>
                <w:sz w:val="22"/>
                <w:szCs w:val="22"/>
              </w:rPr>
              <w:t xml:space="preserve">vai pielāgošanu, lai </w:t>
            </w:r>
            <w:r w:rsidRPr="00F73428">
              <w:rPr>
                <w:sz w:val="22"/>
                <w:szCs w:val="22"/>
              </w:rPr>
              <w:t>nodrošinā</w:t>
            </w:r>
            <w:r w:rsidR="00E84231" w:rsidRPr="00F73428">
              <w:rPr>
                <w:sz w:val="22"/>
                <w:szCs w:val="22"/>
              </w:rPr>
              <w:t>tu</w:t>
            </w:r>
            <w:r w:rsidRPr="00F73428">
              <w:rPr>
                <w:sz w:val="22"/>
                <w:szCs w:val="22"/>
              </w:rPr>
              <w:t xml:space="preserve"> </w:t>
            </w:r>
            <w:r w:rsidR="00E84231" w:rsidRPr="00F73428">
              <w:rPr>
                <w:sz w:val="22"/>
                <w:szCs w:val="22"/>
              </w:rPr>
              <w:t xml:space="preserve">minēto </w:t>
            </w:r>
            <w:r w:rsidRPr="00F73428">
              <w:rPr>
                <w:sz w:val="22"/>
                <w:szCs w:val="22"/>
              </w:rPr>
              <w:t>informācijas apriti</w:t>
            </w:r>
            <w:r w:rsidR="00E84231" w:rsidRPr="00F73428">
              <w:rPr>
                <w:sz w:val="22"/>
                <w:szCs w:val="22"/>
              </w:rPr>
              <w:t xml:space="preserve">, tomēr šādi izdevumi </w:t>
            </w:r>
            <w:r w:rsidR="00947538" w:rsidRPr="00F73428">
              <w:rPr>
                <w:sz w:val="22"/>
                <w:szCs w:val="22"/>
              </w:rPr>
              <w:t xml:space="preserve">radīsies </w:t>
            </w:r>
            <w:r w:rsidR="00E84231" w:rsidRPr="00F73428">
              <w:rPr>
                <w:sz w:val="22"/>
                <w:szCs w:val="22"/>
              </w:rPr>
              <w:t xml:space="preserve">tikai </w:t>
            </w:r>
            <w:r w:rsidR="00947538" w:rsidRPr="00F73428">
              <w:rPr>
                <w:sz w:val="22"/>
                <w:szCs w:val="22"/>
              </w:rPr>
              <w:t xml:space="preserve">pie </w:t>
            </w:r>
            <w:r w:rsidR="00947538" w:rsidRPr="00F73428">
              <w:rPr>
                <w:sz w:val="22"/>
                <w:szCs w:val="22"/>
              </w:rPr>
              <w:lastRenderedPageBreak/>
              <w:t xml:space="preserve">nosacījuma, ja institūcija šādu sistēmu vēlas ieviest, </w:t>
            </w:r>
            <w:r w:rsidR="00E84231" w:rsidRPr="00F73428">
              <w:rPr>
                <w:sz w:val="22"/>
                <w:szCs w:val="22"/>
              </w:rPr>
              <w:t xml:space="preserve">lai </w:t>
            </w:r>
            <w:r w:rsidR="00947538" w:rsidRPr="00F73428">
              <w:rPr>
                <w:sz w:val="22"/>
                <w:szCs w:val="22"/>
              </w:rPr>
              <w:t>tād</w:t>
            </w:r>
            <w:r w:rsidR="00E84231" w:rsidRPr="00F73428">
              <w:rPr>
                <w:sz w:val="22"/>
                <w:szCs w:val="22"/>
              </w:rPr>
              <w:t>ējādi</w:t>
            </w:r>
            <w:r w:rsidR="00947538" w:rsidRPr="00F73428">
              <w:rPr>
                <w:sz w:val="22"/>
                <w:szCs w:val="22"/>
              </w:rPr>
              <w:t xml:space="preserve"> </w:t>
            </w:r>
            <w:r w:rsidR="00E84231" w:rsidRPr="00F73428">
              <w:rPr>
                <w:sz w:val="22"/>
                <w:szCs w:val="22"/>
              </w:rPr>
              <w:t xml:space="preserve">mazinātu </w:t>
            </w:r>
            <w:r w:rsidR="00947538" w:rsidRPr="00F73428">
              <w:rPr>
                <w:sz w:val="22"/>
                <w:szCs w:val="22"/>
              </w:rPr>
              <w:t>administratīvo slogu</w:t>
            </w:r>
            <w:r w:rsidR="00E84231" w:rsidRPr="00F73428">
              <w:rPr>
                <w:sz w:val="22"/>
                <w:szCs w:val="22"/>
              </w:rPr>
              <w:t>, ko rada informācijas aprite, neizmantojot elektroniskās informācijas sistēmas.</w:t>
            </w:r>
          </w:p>
        </w:tc>
      </w:tr>
      <w:tr w:rsidR="00BD5588" w:rsidRPr="00B517C3" w:rsidTr="0007419F">
        <w:tc>
          <w:tcPr>
            <w:tcW w:w="290" w:type="pct"/>
            <w:hideMark/>
          </w:tcPr>
          <w:p w:rsidR="00BD5588" w:rsidRPr="0091651B" w:rsidRDefault="00BD5588" w:rsidP="008A6A6F">
            <w:pPr>
              <w:jc w:val="center"/>
            </w:pPr>
            <w:r w:rsidRPr="0091651B">
              <w:rPr>
                <w:sz w:val="22"/>
                <w:szCs w:val="22"/>
              </w:rPr>
              <w:lastRenderedPageBreak/>
              <w:t>4.</w:t>
            </w:r>
          </w:p>
        </w:tc>
        <w:tc>
          <w:tcPr>
            <w:tcW w:w="1381" w:type="pct"/>
            <w:hideMark/>
          </w:tcPr>
          <w:p w:rsidR="00BD5588" w:rsidRPr="0091651B" w:rsidRDefault="00BD5588" w:rsidP="008A6A6F">
            <w:r w:rsidRPr="0091651B">
              <w:rPr>
                <w:sz w:val="22"/>
                <w:szCs w:val="22"/>
              </w:rPr>
              <w:t>Atbilstības izmaksu monetārs novērtējums</w:t>
            </w:r>
          </w:p>
        </w:tc>
        <w:tc>
          <w:tcPr>
            <w:tcW w:w="3329" w:type="pct"/>
            <w:hideMark/>
          </w:tcPr>
          <w:p w:rsidR="00BD5588" w:rsidRPr="0091651B" w:rsidRDefault="00E84231" w:rsidP="008A6A6F">
            <w:r>
              <w:rPr>
                <w:sz w:val="22"/>
                <w:szCs w:val="22"/>
              </w:rPr>
              <w:t>Nav</w:t>
            </w:r>
          </w:p>
        </w:tc>
      </w:tr>
      <w:tr w:rsidR="00BD5588" w:rsidRPr="00B517C3" w:rsidTr="0007419F">
        <w:tc>
          <w:tcPr>
            <w:tcW w:w="290" w:type="pct"/>
            <w:hideMark/>
          </w:tcPr>
          <w:p w:rsidR="00BD5588" w:rsidRPr="0091651B" w:rsidRDefault="00BD5588" w:rsidP="008A6A6F">
            <w:pPr>
              <w:jc w:val="center"/>
            </w:pPr>
            <w:r w:rsidRPr="0091651B">
              <w:rPr>
                <w:sz w:val="22"/>
                <w:szCs w:val="22"/>
              </w:rPr>
              <w:t>5.</w:t>
            </w:r>
          </w:p>
        </w:tc>
        <w:tc>
          <w:tcPr>
            <w:tcW w:w="1381" w:type="pct"/>
            <w:hideMark/>
          </w:tcPr>
          <w:p w:rsidR="00BD5588" w:rsidRPr="0091651B" w:rsidRDefault="00BD5588" w:rsidP="008A6A6F">
            <w:r w:rsidRPr="0091651B">
              <w:rPr>
                <w:sz w:val="22"/>
                <w:szCs w:val="22"/>
              </w:rPr>
              <w:t>Cita informācija</w:t>
            </w:r>
          </w:p>
        </w:tc>
        <w:tc>
          <w:tcPr>
            <w:tcW w:w="3329" w:type="pct"/>
            <w:hideMark/>
          </w:tcPr>
          <w:p w:rsidR="00BD5588" w:rsidRPr="0091651B" w:rsidRDefault="00BD5588" w:rsidP="008A6A6F">
            <w:r w:rsidRPr="0091651B">
              <w:rPr>
                <w:sz w:val="22"/>
                <w:szCs w:val="22"/>
              </w:rPr>
              <w:t>Nav</w:t>
            </w:r>
          </w:p>
        </w:tc>
      </w:tr>
    </w:tbl>
    <w:p w:rsidR="00BD5588" w:rsidRPr="002D7166" w:rsidRDefault="00BD5588" w:rsidP="00F35D33">
      <w:pPr>
        <w:pStyle w:val="Title"/>
        <w:spacing w:before="130" w:line="260" w:lineRule="exact"/>
        <w:jc w:val="both"/>
        <w:rPr>
          <w:rFonts w:ascii="Cambria" w:hAnsi="Cambria"/>
          <w:sz w:val="19"/>
          <w:szCs w:val="19"/>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7"/>
        <w:gridCol w:w="2461"/>
        <w:gridCol w:w="5377"/>
      </w:tblGrid>
      <w:tr w:rsidR="00BD5588" w:rsidRPr="002D7166" w:rsidTr="00F35D33">
        <w:tc>
          <w:tcPr>
            <w:tcW w:w="8365" w:type="dxa"/>
            <w:gridSpan w:val="3"/>
            <w:shd w:val="clear" w:color="auto" w:fill="auto"/>
            <w:vAlign w:val="center"/>
            <w:hideMark/>
          </w:tcPr>
          <w:p w:rsidR="00BD5588" w:rsidRPr="00F35D33" w:rsidRDefault="00BD5588" w:rsidP="008A6A6F">
            <w:pPr>
              <w:jc w:val="center"/>
              <w:rPr>
                <w:b/>
                <w:bCs/>
                <w:lang w:eastAsia="en-US"/>
              </w:rPr>
            </w:pPr>
            <w:r w:rsidRPr="00F35D33">
              <w:rPr>
                <w:sz w:val="22"/>
                <w:szCs w:val="22"/>
              </w:rPr>
              <w:br w:type="page"/>
            </w:r>
            <w:r w:rsidRPr="00F35D33">
              <w:rPr>
                <w:b/>
                <w:bCs/>
                <w:sz w:val="22"/>
                <w:szCs w:val="22"/>
                <w:lang w:eastAsia="en-US"/>
              </w:rPr>
              <w:t>III. Tiesību akta projekta ietekme uz valsts budžetu un pašvaldību budžetiem</w:t>
            </w:r>
          </w:p>
        </w:tc>
      </w:tr>
      <w:tr w:rsidR="0007419F" w:rsidRPr="002D7166" w:rsidTr="00F35D33">
        <w:tc>
          <w:tcPr>
            <w:tcW w:w="8365" w:type="dxa"/>
            <w:gridSpan w:val="3"/>
            <w:shd w:val="clear" w:color="auto" w:fill="FFFFFF"/>
            <w:vAlign w:val="center"/>
          </w:tcPr>
          <w:p w:rsidR="0007419F" w:rsidRDefault="0007419F" w:rsidP="008A6A6F">
            <w:pPr>
              <w:jc w:val="center"/>
              <w:rPr>
                <w:bCs/>
                <w:lang w:eastAsia="en-US"/>
              </w:rPr>
            </w:pPr>
            <w:r w:rsidRPr="00F35D33">
              <w:rPr>
                <w:bCs/>
                <w:sz w:val="22"/>
                <w:szCs w:val="22"/>
                <w:lang w:eastAsia="en-US"/>
              </w:rPr>
              <w:t>Projekts šo jomu neskar</w:t>
            </w:r>
          </w:p>
          <w:p w:rsidR="00F35D33" w:rsidRPr="00F35D33" w:rsidRDefault="00F35D33" w:rsidP="008A6A6F">
            <w:pPr>
              <w:jc w:val="center"/>
              <w:rPr>
                <w:lang w:eastAsia="en-US"/>
              </w:rPr>
            </w:pPr>
          </w:p>
        </w:tc>
      </w:tr>
      <w:tr w:rsidR="00BD5588" w:rsidRPr="002D7166" w:rsidTr="00F35D33">
        <w:tblPrEx>
          <w:tblCellMar>
            <w:top w:w="30" w:type="dxa"/>
            <w:left w:w="30" w:type="dxa"/>
            <w:bottom w:w="30" w:type="dxa"/>
            <w:right w:w="30" w:type="dxa"/>
          </w:tblCellMar>
        </w:tblPrEx>
        <w:tc>
          <w:tcPr>
            <w:tcW w:w="8365" w:type="dxa"/>
            <w:gridSpan w:val="3"/>
            <w:vAlign w:val="center"/>
            <w:hideMark/>
          </w:tcPr>
          <w:p w:rsidR="00BD5588" w:rsidRPr="00F35D33" w:rsidRDefault="00BD5588" w:rsidP="008A6A6F">
            <w:pPr>
              <w:jc w:val="center"/>
              <w:rPr>
                <w:b/>
                <w:bCs/>
              </w:rPr>
            </w:pPr>
            <w:r w:rsidRPr="00F35D33">
              <w:rPr>
                <w:b/>
                <w:bCs/>
                <w:sz w:val="22"/>
                <w:szCs w:val="22"/>
              </w:rPr>
              <w:t>IV. Tiesību akta projekta ietekme uz spēkā esošo tiesību normu sistēmu</w:t>
            </w:r>
          </w:p>
        </w:tc>
      </w:tr>
      <w:tr w:rsidR="00BD5588" w:rsidRPr="002D7166" w:rsidTr="00F35D33">
        <w:tblPrEx>
          <w:tblCellMar>
            <w:top w:w="30" w:type="dxa"/>
            <w:left w:w="30" w:type="dxa"/>
            <w:bottom w:w="30" w:type="dxa"/>
            <w:right w:w="30" w:type="dxa"/>
          </w:tblCellMar>
        </w:tblPrEx>
        <w:tc>
          <w:tcPr>
            <w:tcW w:w="527" w:type="dxa"/>
            <w:hideMark/>
          </w:tcPr>
          <w:p w:rsidR="00BD5588" w:rsidRPr="00F35D33" w:rsidRDefault="00BD5588" w:rsidP="008A6A6F">
            <w:pPr>
              <w:jc w:val="center"/>
            </w:pPr>
            <w:r w:rsidRPr="00F35D33">
              <w:rPr>
                <w:sz w:val="22"/>
                <w:szCs w:val="22"/>
              </w:rPr>
              <w:t>1.</w:t>
            </w:r>
          </w:p>
        </w:tc>
        <w:tc>
          <w:tcPr>
            <w:tcW w:w="2461" w:type="dxa"/>
            <w:hideMark/>
          </w:tcPr>
          <w:p w:rsidR="00BD5588" w:rsidRPr="00F35D33" w:rsidRDefault="00BD5588" w:rsidP="008A6A6F">
            <w:r w:rsidRPr="00F35D33">
              <w:rPr>
                <w:sz w:val="22"/>
                <w:szCs w:val="22"/>
              </w:rPr>
              <w:t>Saistītie tiesību aktu projekti</w:t>
            </w:r>
          </w:p>
        </w:tc>
        <w:tc>
          <w:tcPr>
            <w:tcW w:w="5377" w:type="dxa"/>
            <w:hideMark/>
          </w:tcPr>
          <w:p w:rsidR="00BD5588" w:rsidRPr="00F35D33" w:rsidRDefault="0007419F" w:rsidP="0007419F">
            <w:pPr>
              <w:jc w:val="both"/>
            </w:pPr>
            <w:r w:rsidRPr="00F35D33">
              <w:rPr>
                <w:sz w:val="22"/>
                <w:szCs w:val="22"/>
              </w:rPr>
              <w:t>Nepieciešams veikt grozījumus Ministru kabineta 2004.gada 26.oktobra noteikumos Nr.887 „Valsts noslēpuma objektu saraksts” attiecībā uz aptaujas lapām nosakāmo klasifikācijas pakāpi.</w:t>
            </w:r>
          </w:p>
          <w:p w:rsidR="0007419F" w:rsidRPr="00F35D33" w:rsidRDefault="0007419F" w:rsidP="0007419F">
            <w:pPr>
              <w:jc w:val="both"/>
            </w:pPr>
          </w:p>
        </w:tc>
      </w:tr>
      <w:tr w:rsidR="00BD5588" w:rsidRPr="002D7166" w:rsidTr="00F35D33">
        <w:tblPrEx>
          <w:tblCellMar>
            <w:top w:w="30" w:type="dxa"/>
            <w:left w:w="30" w:type="dxa"/>
            <w:bottom w:w="30" w:type="dxa"/>
            <w:right w:w="30" w:type="dxa"/>
          </w:tblCellMar>
        </w:tblPrEx>
        <w:tc>
          <w:tcPr>
            <w:tcW w:w="527" w:type="dxa"/>
            <w:hideMark/>
          </w:tcPr>
          <w:p w:rsidR="00BD5588" w:rsidRPr="00F35D33" w:rsidRDefault="00BD5588" w:rsidP="008A6A6F">
            <w:pPr>
              <w:jc w:val="center"/>
            </w:pPr>
            <w:r w:rsidRPr="00F35D33">
              <w:rPr>
                <w:sz w:val="22"/>
                <w:szCs w:val="22"/>
              </w:rPr>
              <w:t>2.</w:t>
            </w:r>
          </w:p>
        </w:tc>
        <w:tc>
          <w:tcPr>
            <w:tcW w:w="2461" w:type="dxa"/>
            <w:hideMark/>
          </w:tcPr>
          <w:p w:rsidR="00BD5588" w:rsidRPr="00F35D33" w:rsidRDefault="00BD5588" w:rsidP="008A6A6F">
            <w:r w:rsidRPr="00F35D33">
              <w:rPr>
                <w:sz w:val="22"/>
                <w:szCs w:val="22"/>
              </w:rPr>
              <w:t>Atbildīgā institūcija</w:t>
            </w:r>
          </w:p>
        </w:tc>
        <w:tc>
          <w:tcPr>
            <w:tcW w:w="5377" w:type="dxa"/>
            <w:hideMark/>
          </w:tcPr>
          <w:p w:rsidR="00BD5588" w:rsidRPr="00F35D33" w:rsidRDefault="0007419F" w:rsidP="008A6A6F">
            <w:r w:rsidRPr="00F35D33">
              <w:rPr>
                <w:sz w:val="22"/>
                <w:szCs w:val="22"/>
              </w:rPr>
              <w:t>Aizsardzības ministrija</w:t>
            </w:r>
          </w:p>
          <w:p w:rsidR="0007419F" w:rsidRPr="00F35D33" w:rsidRDefault="0007419F" w:rsidP="008A6A6F"/>
        </w:tc>
      </w:tr>
      <w:tr w:rsidR="00BD5588" w:rsidRPr="002D7166" w:rsidTr="00F35D33">
        <w:tblPrEx>
          <w:tblCellMar>
            <w:top w:w="30" w:type="dxa"/>
            <w:left w:w="30" w:type="dxa"/>
            <w:bottom w:w="30" w:type="dxa"/>
            <w:right w:w="30" w:type="dxa"/>
          </w:tblCellMar>
        </w:tblPrEx>
        <w:tc>
          <w:tcPr>
            <w:tcW w:w="527" w:type="dxa"/>
            <w:hideMark/>
          </w:tcPr>
          <w:p w:rsidR="00BD5588" w:rsidRPr="00F35D33" w:rsidRDefault="00BD5588" w:rsidP="008A6A6F">
            <w:pPr>
              <w:jc w:val="center"/>
            </w:pPr>
            <w:r w:rsidRPr="00F35D33">
              <w:rPr>
                <w:sz w:val="22"/>
                <w:szCs w:val="22"/>
              </w:rPr>
              <w:t>3.</w:t>
            </w:r>
          </w:p>
        </w:tc>
        <w:tc>
          <w:tcPr>
            <w:tcW w:w="2461" w:type="dxa"/>
            <w:hideMark/>
          </w:tcPr>
          <w:p w:rsidR="00BD5588" w:rsidRPr="00F35D33" w:rsidRDefault="00BD5588" w:rsidP="008A6A6F">
            <w:r w:rsidRPr="00F35D33">
              <w:rPr>
                <w:sz w:val="22"/>
                <w:szCs w:val="22"/>
              </w:rPr>
              <w:t>Cita informācija</w:t>
            </w:r>
          </w:p>
        </w:tc>
        <w:tc>
          <w:tcPr>
            <w:tcW w:w="5377" w:type="dxa"/>
            <w:hideMark/>
          </w:tcPr>
          <w:p w:rsidR="00BD5588" w:rsidRPr="00F35D33" w:rsidRDefault="0007419F" w:rsidP="008A6A6F">
            <w:r w:rsidRPr="00F35D33">
              <w:rPr>
                <w:sz w:val="22"/>
                <w:szCs w:val="22"/>
              </w:rPr>
              <w:t>Nav</w:t>
            </w: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66"/>
      </w:tblGrid>
      <w:tr w:rsidR="00BD5588" w:rsidRPr="002D7166" w:rsidTr="008A6A6F">
        <w:trPr>
          <w:cantSplit/>
        </w:trPr>
        <w:tc>
          <w:tcPr>
            <w:tcW w:w="5000" w:type="pct"/>
            <w:vAlign w:val="center"/>
            <w:hideMark/>
          </w:tcPr>
          <w:p w:rsidR="00BD5588" w:rsidRPr="00F35D33" w:rsidRDefault="00BD5588" w:rsidP="008A6A6F">
            <w:pPr>
              <w:jc w:val="center"/>
              <w:rPr>
                <w:b/>
                <w:bCs/>
              </w:rPr>
            </w:pPr>
            <w:r w:rsidRPr="00F35D33">
              <w:rPr>
                <w:b/>
                <w:bCs/>
                <w:sz w:val="22"/>
                <w:szCs w:val="22"/>
              </w:rPr>
              <w:t>V. Tiesību akta projekta atbilstība Latvijas Republikas starptautiskajām saistībām</w:t>
            </w:r>
          </w:p>
        </w:tc>
      </w:tr>
      <w:tr w:rsidR="009450BB" w:rsidRPr="002D7166" w:rsidTr="009450BB">
        <w:trPr>
          <w:cantSplit/>
          <w:trHeight w:val="525"/>
        </w:trPr>
        <w:tc>
          <w:tcPr>
            <w:tcW w:w="5000" w:type="pct"/>
            <w:vAlign w:val="center"/>
            <w:hideMark/>
          </w:tcPr>
          <w:p w:rsidR="009450BB" w:rsidRPr="00F35D33" w:rsidRDefault="009450BB" w:rsidP="009450BB">
            <w:pPr>
              <w:jc w:val="center"/>
            </w:pPr>
            <w:r w:rsidRPr="00F35D33">
              <w:rPr>
                <w:sz w:val="22"/>
                <w:szCs w:val="22"/>
              </w:rPr>
              <w:t>Projekts šo jomu neskar</w:t>
            </w:r>
          </w:p>
        </w:tc>
      </w:tr>
    </w:tbl>
    <w:p w:rsidR="00BD5588" w:rsidRPr="002D7166" w:rsidRDefault="00BD5588" w:rsidP="00C234BD">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425AF0" w:rsidTr="008A6A6F">
        <w:trPr>
          <w:cantSplit/>
        </w:trPr>
        <w:tc>
          <w:tcPr>
            <w:tcW w:w="5000" w:type="pct"/>
            <w:gridSpan w:val="3"/>
            <w:vAlign w:val="center"/>
            <w:hideMark/>
          </w:tcPr>
          <w:p w:rsidR="00BD5588" w:rsidRPr="00425AF0" w:rsidRDefault="00BD5588" w:rsidP="008A6A6F">
            <w:pPr>
              <w:jc w:val="center"/>
              <w:rPr>
                <w:rFonts w:ascii="Cambria" w:hAnsi="Cambria"/>
                <w:b/>
                <w:bCs/>
                <w:sz w:val="19"/>
                <w:szCs w:val="19"/>
              </w:rPr>
            </w:pPr>
            <w:r w:rsidRPr="00425AF0">
              <w:rPr>
                <w:rFonts w:ascii="Cambria" w:hAnsi="Cambria"/>
                <w:b/>
                <w:bCs/>
                <w:sz w:val="19"/>
                <w:szCs w:val="19"/>
              </w:rPr>
              <w:t>VI. Sabiedrības līdzdalība un komunikācijas aktivitātes</w:t>
            </w:r>
          </w:p>
        </w:tc>
      </w:tr>
      <w:tr w:rsidR="00BD5588" w:rsidRPr="00425AF0" w:rsidTr="008A6A6F">
        <w:trPr>
          <w:cantSplit/>
        </w:trPr>
        <w:tc>
          <w:tcPr>
            <w:tcW w:w="311" w:type="pct"/>
            <w:hideMark/>
          </w:tcPr>
          <w:p w:rsidR="00BD5588" w:rsidRPr="00425AF0" w:rsidRDefault="00BD5588" w:rsidP="008A6A6F">
            <w:pPr>
              <w:jc w:val="center"/>
              <w:rPr>
                <w:rFonts w:ascii="Cambria" w:hAnsi="Cambria"/>
                <w:sz w:val="19"/>
                <w:szCs w:val="19"/>
              </w:rPr>
            </w:pPr>
            <w:r w:rsidRPr="00425AF0">
              <w:rPr>
                <w:rFonts w:ascii="Cambria" w:hAnsi="Cambria"/>
                <w:sz w:val="19"/>
                <w:szCs w:val="19"/>
              </w:rPr>
              <w:t>1.</w:t>
            </w:r>
          </w:p>
        </w:tc>
        <w:tc>
          <w:tcPr>
            <w:tcW w:w="1479" w:type="pct"/>
            <w:hideMark/>
          </w:tcPr>
          <w:p w:rsidR="00BD5588" w:rsidRPr="00425AF0" w:rsidRDefault="00BD5588" w:rsidP="008A6A6F">
            <w:pPr>
              <w:rPr>
                <w:rFonts w:ascii="Cambria" w:hAnsi="Cambria"/>
                <w:sz w:val="19"/>
                <w:szCs w:val="19"/>
              </w:rPr>
            </w:pPr>
            <w:r w:rsidRPr="00425AF0">
              <w:rPr>
                <w:rFonts w:ascii="Cambria" w:hAnsi="Cambria"/>
                <w:sz w:val="19"/>
                <w:szCs w:val="19"/>
              </w:rPr>
              <w:t>Plānotās sabiedrības līdzdalības un komunikācijas aktivitātes saistībā ar projektu</w:t>
            </w:r>
          </w:p>
        </w:tc>
        <w:tc>
          <w:tcPr>
            <w:tcW w:w="3210" w:type="pct"/>
            <w:hideMark/>
          </w:tcPr>
          <w:p w:rsidR="00BD5588" w:rsidRPr="00425AF0" w:rsidRDefault="00344DE7" w:rsidP="008A6A6F">
            <w:pPr>
              <w:rPr>
                <w:rFonts w:ascii="Cambria" w:hAnsi="Cambria"/>
                <w:sz w:val="19"/>
                <w:szCs w:val="19"/>
              </w:rPr>
            </w:pPr>
            <w:r w:rsidRPr="00F35D33">
              <w:rPr>
                <w:sz w:val="22"/>
                <w:szCs w:val="22"/>
              </w:rPr>
              <w:t>Nav</w:t>
            </w:r>
          </w:p>
        </w:tc>
      </w:tr>
      <w:tr w:rsidR="00BD5588" w:rsidRPr="00425AF0" w:rsidTr="008A6A6F">
        <w:trPr>
          <w:cantSplit/>
        </w:trPr>
        <w:tc>
          <w:tcPr>
            <w:tcW w:w="311" w:type="pct"/>
            <w:hideMark/>
          </w:tcPr>
          <w:p w:rsidR="00BD5588" w:rsidRPr="00425AF0" w:rsidRDefault="00BD5588" w:rsidP="008A6A6F">
            <w:pPr>
              <w:jc w:val="center"/>
              <w:rPr>
                <w:rFonts w:ascii="Cambria" w:hAnsi="Cambria"/>
                <w:sz w:val="19"/>
                <w:szCs w:val="19"/>
              </w:rPr>
            </w:pPr>
            <w:r w:rsidRPr="00425AF0">
              <w:rPr>
                <w:rFonts w:ascii="Cambria" w:hAnsi="Cambria"/>
                <w:sz w:val="19"/>
                <w:szCs w:val="19"/>
              </w:rPr>
              <w:t>2.</w:t>
            </w:r>
          </w:p>
        </w:tc>
        <w:tc>
          <w:tcPr>
            <w:tcW w:w="1479" w:type="pct"/>
            <w:hideMark/>
          </w:tcPr>
          <w:p w:rsidR="00BD5588" w:rsidRPr="00425AF0" w:rsidRDefault="00BD5588" w:rsidP="008A6A6F">
            <w:pPr>
              <w:rPr>
                <w:rFonts w:ascii="Cambria" w:hAnsi="Cambria"/>
                <w:sz w:val="19"/>
                <w:szCs w:val="19"/>
              </w:rPr>
            </w:pPr>
            <w:r w:rsidRPr="00425AF0">
              <w:rPr>
                <w:rFonts w:ascii="Cambria" w:hAnsi="Cambria"/>
                <w:sz w:val="19"/>
                <w:szCs w:val="19"/>
              </w:rPr>
              <w:t>Sabiedrības līdzdalība projekta izstrādē</w:t>
            </w:r>
          </w:p>
        </w:tc>
        <w:tc>
          <w:tcPr>
            <w:tcW w:w="3210" w:type="pct"/>
            <w:hideMark/>
          </w:tcPr>
          <w:p w:rsidR="00BD5588" w:rsidRPr="00425AF0" w:rsidRDefault="00344DE7" w:rsidP="008A6A6F">
            <w:pPr>
              <w:rPr>
                <w:rFonts w:ascii="Cambria" w:hAnsi="Cambria"/>
                <w:sz w:val="19"/>
                <w:szCs w:val="19"/>
              </w:rPr>
            </w:pPr>
            <w:r w:rsidRPr="00F35D33">
              <w:rPr>
                <w:sz w:val="22"/>
                <w:szCs w:val="22"/>
              </w:rPr>
              <w:t>Nav</w:t>
            </w:r>
          </w:p>
        </w:tc>
      </w:tr>
      <w:tr w:rsidR="00BD5588" w:rsidRPr="00425AF0" w:rsidTr="008A6A6F">
        <w:trPr>
          <w:cantSplit/>
        </w:trPr>
        <w:tc>
          <w:tcPr>
            <w:tcW w:w="311" w:type="pct"/>
            <w:hideMark/>
          </w:tcPr>
          <w:p w:rsidR="00BD5588" w:rsidRPr="00425AF0" w:rsidRDefault="00BD5588" w:rsidP="008A6A6F">
            <w:pPr>
              <w:jc w:val="center"/>
              <w:rPr>
                <w:rFonts w:ascii="Cambria" w:hAnsi="Cambria"/>
                <w:sz w:val="19"/>
                <w:szCs w:val="19"/>
              </w:rPr>
            </w:pPr>
            <w:r w:rsidRPr="00425AF0">
              <w:rPr>
                <w:rFonts w:ascii="Cambria" w:hAnsi="Cambria"/>
                <w:sz w:val="19"/>
                <w:szCs w:val="19"/>
              </w:rPr>
              <w:t>3.</w:t>
            </w:r>
          </w:p>
        </w:tc>
        <w:tc>
          <w:tcPr>
            <w:tcW w:w="1479" w:type="pct"/>
            <w:hideMark/>
          </w:tcPr>
          <w:p w:rsidR="00BD5588" w:rsidRPr="00425AF0" w:rsidRDefault="00BD5588" w:rsidP="008A6A6F">
            <w:pPr>
              <w:rPr>
                <w:rFonts w:ascii="Cambria" w:hAnsi="Cambria"/>
                <w:sz w:val="19"/>
                <w:szCs w:val="19"/>
              </w:rPr>
            </w:pPr>
            <w:r w:rsidRPr="00425AF0">
              <w:rPr>
                <w:rFonts w:ascii="Cambria" w:hAnsi="Cambria"/>
                <w:sz w:val="19"/>
                <w:szCs w:val="19"/>
              </w:rPr>
              <w:t>Sabiedrības līdzdalības rezultāti</w:t>
            </w:r>
          </w:p>
        </w:tc>
        <w:tc>
          <w:tcPr>
            <w:tcW w:w="3210" w:type="pct"/>
            <w:hideMark/>
          </w:tcPr>
          <w:p w:rsidR="00BD5588" w:rsidRPr="00425AF0" w:rsidRDefault="00344DE7" w:rsidP="008A6A6F">
            <w:pPr>
              <w:rPr>
                <w:rFonts w:ascii="Cambria" w:hAnsi="Cambria"/>
                <w:sz w:val="19"/>
                <w:szCs w:val="19"/>
              </w:rPr>
            </w:pPr>
            <w:r w:rsidRPr="00F35D33">
              <w:rPr>
                <w:sz w:val="22"/>
                <w:szCs w:val="22"/>
              </w:rPr>
              <w:t>Nav</w:t>
            </w:r>
          </w:p>
        </w:tc>
      </w:tr>
      <w:tr w:rsidR="00BD5588" w:rsidRPr="00425AF0" w:rsidTr="008A6A6F">
        <w:trPr>
          <w:cantSplit/>
        </w:trPr>
        <w:tc>
          <w:tcPr>
            <w:tcW w:w="311" w:type="pct"/>
            <w:hideMark/>
          </w:tcPr>
          <w:p w:rsidR="00BD5588" w:rsidRPr="00425AF0" w:rsidRDefault="00BD5588" w:rsidP="008A6A6F">
            <w:pPr>
              <w:jc w:val="center"/>
              <w:rPr>
                <w:rFonts w:ascii="Cambria" w:hAnsi="Cambria"/>
                <w:sz w:val="19"/>
                <w:szCs w:val="19"/>
              </w:rPr>
            </w:pPr>
            <w:r w:rsidRPr="00425AF0">
              <w:rPr>
                <w:rFonts w:ascii="Cambria" w:hAnsi="Cambria"/>
                <w:sz w:val="19"/>
                <w:szCs w:val="19"/>
              </w:rPr>
              <w:t>4.</w:t>
            </w:r>
          </w:p>
        </w:tc>
        <w:tc>
          <w:tcPr>
            <w:tcW w:w="1479" w:type="pct"/>
            <w:hideMark/>
          </w:tcPr>
          <w:p w:rsidR="00BD5588" w:rsidRPr="00425AF0" w:rsidRDefault="00BD5588" w:rsidP="008A6A6F">
            <w:pPr>
              <w:rPr>
                <w:rFonts w:ascii="Cambria" w:hAnsi="Cambria"/>
                <w:sz w:val="19"/>
                <w:szCs w:val="19"/>
              </w:rPr>
            </w:pPr>
            <w:r w:rsidRPr="00425AF0">
              <w:rPr>
                <w:rFonts w:ascii="Cambria" w:hAnsi="Cambria"/>
                <w:sz w:val="19"/>
                <w:szCs w:val="19"/>
              </w:rPr>
              <w:t>Cita informācija</w:t>
            </w:r>
          </w:p>
        </w:tc>
        <w:tc>
          <w:tcPr>
            <w:tcW w:w="3210" w:type="pct"/>
            <w:hideMark/>
          </w:tcPr>
          <w:p w:rsidR="00BD5588" w:rsidRPr="00425AF0" w:rsidRDefault="00344DE7" w:rsidP="008A6A6F">
            <w:pPr>
              <w:rPr>
                <w:rFonts w:ascii="Cambria" w:hAnsi="Cambria"/>
                <w:sz w:val="19"/>
                <w:szCs w:val="19"/>
              </w:rPr>
            </w:pPr>
            <w:r w:rsidRPr="00F35D33">
              <w:rPr>
                <w:sz w:val="22"/>
                <w:szCs w:val="22"/>
              </w:rPr>
              <w:t>Nav</w:t>
            </w: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425AF0" w:rsidTr="008A6A6F">
        <w:trPr>
          <w:cantSplit/>
        </w:trPr>
        <w:tc>
          <w:tcPr>
            <w:tcW w:w="5000" w:type="pct"/>
            <w:gridSpan w:val="3"/>
            <w:vAlign w:val="center"/>
            <w:hideMark/>
          </w:tcPr>
          <w:p w:rsidR="00BD5588" w:rsidRPr="00425AF0" w:rsidRDefault="00BD5588" w:rsidP="008A6A6F">
            <w:pPr>
              <w:jc w:val="center"/>
              <w:rPr>
                <w:rFonts w:ascii="Cambria" w:hAnsi="Cambria"/>
                <w:b/>
                <w:bCs/>
                <w:sz w:val="19"/>
                <w:szCs w:val="19"/>
              </w:rPr>
            </w:pPr>
            <w:r w:rsidRPr="00425AF0">
              <w:rPr>
                <w:rFonts w:ascii="Cambria" w:hAnsi="Cambria"/>
                <w:b/>
                <w:bCs/>
                <w:sz w:val="19"/>
                <w:szCs w:val="19"/>
              </w:rPr>
              <w:t>VII. Tiesību akta projekta izpildes nodrošināšana un tās ietekme uz institūcijām</w:t>
            </w:r>
          </w:p>
        </w:tc>
      </w:tr>
      <w:tr w:rsidR="00BD5588" w:rsidRPr="00425AF0" w:rsidTr="008A6A6F">
        <w:trPr>
          <w:cantSplit/>
        </w:trPr>
        <w:tc>
          <w:tcPr>
            <w:tcW w:w="311" w:type="pct"/>
            <w:hideMark/>
          </w:tcPr>
          <w:p w:rsidR="00BD5588" w:rsidRPr="00425AF0" w:rsidRDefault="00BD5588" w:rsidP="008A6A6F">
            <w:pPr>
              <w:jc w:val="center"/>
              <w:rPr>
                <w:rFonts w:ascii="Cambria" w:hAnsi="Cambria"/>
                <w:sz w:val="19"/>
                <w:szCs w:val="19"/>
              </w:rPr>
            </w:pPr>
            <w:r w:rsidRPr="00425AF0">
              <w:rPr>
                <w:rFonts w:ascii="Cambria" w:hAnsi="Cambria"/>
                <w:sz w:val="19"/>
                <w:szCs w:val="19"/>
              </w:rPr>
              <w:t>1.</w:t>
            </w:r>
          </w:p>
        </w:tc>
        <w:tc>
          <w:tcPr>
            <w:tcW w:w="1479" w:type="pct"/>
            <w:hideMark/>
          </w:tcPr>
          <w:p w:rsidR="00BD5588" w:rsidRPr="00425AF0" w:rsidRDefault="00BD5588" w:rsidP="008A6A6F">
            <w:pPr>
              <w:rPr>
                <w:rFonts w:ascii="Cambria" w:hAnsi="Cambria"/>
                <w:sz w:val="19"/>
                <w:szCs w:val="19"/>
              </w:rPr>
            </w:pPr>
            <w:r w:rsidRPr="00425AF0">
              <w:rPr>
                <w:rFonts w:ascii="Cambria" w:hAnsi="Cambria"/>
                <w:sz w:val="19"/>
                <w:szCs w:val="19"/>
              </w:rPr>
              <w:t>Projekta izpildē iesaistītās institūcijas</w:t>
            </w:r>
          </w:p>
        </w:tc>
        <w:tc>
          <w:tcPr>
            <w:tcW w:w="3210" w:type="pct"/>
            <w:hideMark/>
          </w:tcPr>
          <w:p w:rsidR="00BD5588" w:rsidRPr="00647691" w:rsidRDefault="0097341E" w:rsidP="008A6A6F">
            <w:r w:rsidRPr="00647691">
              <w:rPr>
                <w:sz w:val="22"/>
                <w:szCs w:val="22"/>
              </w:rPr>
              <w:t>Institūcijas, kuras veic darbu ar valsts noslēpuma objektiem</w:t>
            </w:r>
          </w:p>
        </w:tc>
      </w:tr>
      <w:tr w:rsidR="00BD5588" w:rsidRPr="00425AF0" w:rsidTr="008A6A6F">
        <w:trPr>
          <w:cantSplit/>
        </w:trPr>
        <w:tc>
          <w:tcPr>
            <w:tcW w:w="311" w:type="pct"/>
            <w:hideMark/>
          </w:tcPr>
          <w:p w:rsidR="00BD5588" w:rsidRPr="00425AF0" w:rsidRDefault="00BD5588" w:rsidP="008A6A6F">
            <w:pPr>
              <w:jc w:val="center"/>
              <w:rPr>
                <w:rFonts w:ascii="Cambria" w:hAnsi="Cambria"/>
                <w:sz w:val="19"/>
                <w:szCs w:val="19"/>
              </w:rPr>
            </w:pPr>
            <w:r w:rsidRPr="00425AF0">
              <w:rPr>
                <w:rFonts w:ascii="Cambria" w:hAnsi="Cambria"/>
                <w:sz w:val="19"/>
                <w:szCs w:val="19"/>
              </w:rPr>
              <w:t>2.</w:t>
            </w:r>
          </w:p>
        </w:tc>
        <w:tc>
          <w:tcPr>
            <w:tcW w:w="1479" w:type="pct"/>
            <w:hideMark/>
          </w:tcPr>
          <w:p w:rsidR="00BD5588" w:rsidRPr="00425AF0" w:rsidRDefault="00BD5588" w:rsidP="008A6A6F">
            <w:pPr>
              <w:rPr>
                <w:rFonts w:ascii="Cambria" w:hAnsi="Cambria"/>
                <w:sz w:val="19"/>
                <w:szCs w:val="19"/>
              </w:rPr>
            </w:pPr>
            <w:r w:rsidRPr="00425AF0">
              <w:rPr>
                <w:rFonts w:ascii="Cambria" w:hAnsi="Cambria"/>
                <w:sz w:val="19"/>
                <w:szCs w:val="19"/>
              </w:rPr>
              <w:t>Projekta izpildes ietekme uz pārvaldes funkcijām un institucionālo struktūru.</w:t>
            </w:r>
            <w:r w:rsidRPr="00425AF0">
              <w:rPr>
                <w:rFonts w:ascii="Cambria" w:hAnsi="Cambria"/>
                <w:sz w:val="19"/>
                <w:szCs w:val="19"/>
              </w:rPr>
              <w:br/>
              <w:t>Jaunu institūciju izveide, esošu institūciju likvidācija vai reorganizācija, to ietekme uz institūcijas cilvēkresursiem</w:t>
            </w:r>
          </w:p>
        </w:tc>
        <w:tc>
          <w:tcPr>
            <w:tcW w:w="3210" w:type="pct"/>
            <w:hideMark/>
          </w:tcPr>
          <w:p w:rsidR="00BD5588" w:rsidRPr="00647691" w:rsidRDefault="0097341E" w:rsidP="0097341E">
            <w:r w:rsidRPr="00647691">
              <w:rPr>
                <w:sz w:val="22"/>
                <w:szCs w:val="22"/>
              </w:rPr>
              <w:t>Jaunu institūciju izveide vai esošu institūciju likvidācija nav nepieciešama. Mainoties dokumentu plūsmai, iespējama institūciju restrukturizācija.</w:t>
            </w:r>
          </w:p>
        </w:tc>
      </w:tr>
      <w:tr w:rsidR="00BD5588" w:rsidRPr="00425AF0" w:rsidTr="008A6A6F">
        <w:trPr>
          <w:cantSplit/>
        </w:trPr>
        <w:tc>
          <w:tcPr>
            <w:tcW w:w="311" w:type="pct"/>
            <w:hideMark/>
          </w:tcPr>
          <w:p w:rsidR="00BD5588" w:rsidRPr="00425AF0" w:rsidRDefault="00BD5588" w:rsidP="008A6A6F">
            <w:pPr>
              <w:jc w:val="center"/>
              <w:rPr>
                <w:rFonts w:ascii="Cambria" w:hAnsi="Cambria"/>
                <w:sz w:val="19"/>
                <w:szCs w:val="19"/>
              </w:rPr>
            </w:pPr>
            <w:r w:rsidRPr="00425AF0">
              <w:rPr>
                <w:rFonts w:ascii="Cambria" w:hAnsi="Cambria"/>
                <w:sz w:val="19"/>
                <w:szCs w:val="19"/>
              </w:rPr>
              <w:t>3.</w:t>
            </w:r>
          </w:p>
        </w:tc>
        <w:tc>
          <w:tcPr>
            <w:tcW w:w="1479" w:type="pct"/>
            <w:hideMark/>
          </w:tcPr>
          <w:p w:rsidR="00BD5588" w:rsidRPr="00425AF0" w:rsidRDefault="00BD5588" w:rsidP="008A6A6F">
            <w:pPr>
              <w:rPr>
                <w:rFonts w:ascii="Cambria" w:hAnsi="Cambria"/>
                <w:sz w:val="19"/>
                <w:szCs w:val="19"/>
              </w:rPr>
            </w:pPr>
            <w:r w:rsidRPr="00425AF0">
              <w:rPr>
                <w:rFonts w:ascii="Cambria" w:hAnsi="Cambria"/>
                <w:sz w:val="19"/>
                <w:szCs w:val="19"/>
              </w:rPr>
              <w:t>Cita informācija</w:t>
            </w:r>
          </w:p>
        </w:tc>
        <w:tc>
          <w:tcPr>
            <w:tcW w:w="3210" w:type="pct"/>
            <w:hideMark/>
          </w:tcPr>
          <w:p w:rsidR="00BD5588" w:rsidRPr="00647691" w:rsidRDefault="0097341E" w:rsidP="008A6A6F">
            <w:r w:rsidRPr="00647691">
              <w:rPr>
                <w:sz w:val="22"/>
                <w:szCs w:val="22"/>
              </w:rPr>
              <w:t>Nav</w:t>
            </w:r>
          </w:p>
        </w:tc>
      </w:tr>
    </w:tbl>
    <w:p w:rsidR="00E44472" w:rsidRDefault="00E44472"/>
    <w:sectPr w:rsidR="00E44472" w:rsidSect="00466065">
      <w:headerReference w:type="even" r:id="rId8"/>
      <w:headerReference w:type="default" r:id="rId9"/>
      <w:footerReference w:type="even" r:id="rId10"/>
      <w:footerReference w:type="default" r:id="rId11"/>
      <w:headerReference w:type="first" r:id="rId12"/>
      <w:footerReference w:type="first" r:id="rId13"/>
      <w:pgSz w:w="11906" w:h="16838"/>
      <w:pgMar w:top="1134"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0E" w:rsidRDefault="00664D0E" w:rsidP="00664D0E">
      <w:r>
        <w:separator/>
      </w:r>
    </w:p>
  </w:endnote>
  <w:endnote w:type="continuationSeparator" w:id="0">
    <w:p w:rsidR="00664D0E" w:rsidRDefault="00664D0E" w:rsidP="0066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0E" w:rsidRDefault="0066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0E" w:rsidRPr="00664D0E" w:rsidRDefault="00664D0E">
    <w:pPr>
      <w:pStyle w:val="Footer"/>
      <w:rPr>
        <w:lang w:val="en-US"/>
      </w:rPr>
    </w:pPr>
    <w:r>
      <w:rPr>
        <w:lang w:val="en-US"/>
      </w:rPr>
      <w:t>AiManot_18012021_21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0E" w:rsidRDefault="0066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0E" w:rsidRDefault="00664D0E" w:rsidP="00664D0E">
      <w:r>
        <w:separator/>
      </w:r>
    </w:p>
  </w:footnote>
  <w:footnote w:type="continuationSeparator" w:id="0">
    <w:p w:rsidR="00664D0E" w:rsidRDefault="00664D0E" w:rsidP="0066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0E" w:rsidRDefault="0066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0E" w:rsidRDefault="0066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0E" w:rsidRDefault="0066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6BDA"/>
    <w:multiLevelType w:val="hybridMultilevel"/>
    <w:tmpl w:val="D4461C82"/>
    <w:lvl w:ilvl="0" w:tplc="C8E47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4594E"/>
    <w:rsid w:val="00050CB9"/>
    <w:rsid w:val="0006287D"/>
    <w:rsid w:val="0007419F"/>
    <w:rsid w:val="00084E9A"/>
    <w:rsid w:val="000B40E0"/>
    <w:rsid w:val="000C22C4"/>
    <w:rsid w:val="000D6FD1"/>
    <w:rsid w:val="001144A9"/>
    <w:rsid w:val="001227DF"/>
    <w:rsid w:val="001A4107"/>
    <w:rsid w:val="001E597B"/>
    <w:rsid w:val="00295566"/>
    <w:rsid w:val="002E3514"/>
    <w:rsid w:val="002F65FF"/>
    <w:rsid w:val="00315569"/>
    <w:rsid w:val="00344DE7"/>
    <w:rsid w:val="00373348"/>
    <w:rsid w:val="003B21FB"/>
    <w:rsid w:val="003C207A"/>
    <w:rsid w:val="003F7539"/>
    <w:rsid w:val="0044051B"/>
    <w:rsid w:val="00466065"/>
    <w:rsid w:val="004672F5"/>
    <w:rsid w:val="004A78D8"/>
    <w:rsid w:val="005056B1"/>
    <w:rsid w:val="00510C12"/>
    <w:rsid w:val="00521E94"/>
    <w:rsid w:val="00552A65"/>
    <w:rsid w:val="005710BA"/>
    <w:rsid w:val="005A06B9"/>
    <w:rsid w:val="00615673"/>
    <w:rsid w:val="006445FA"/>
    <w:rsid w:val="00647691"/>
    <w:rsid w:val="00664D0E"/>
    <w:rsid w:val="0069770D"/>
    <w:rsid w:val="006C71DF"/>
    <w:rsid w:val="00701822"/>
    <w:rsid w:val="00762688"/>
    <w:rsid w:val="00785FE8"/>
    <w:rsid w:val="00794458"/>
    <w:rsid w:val="007B4E46"/>
    <w:rsid w:val="008116DC"/>
    <w:rsid w:val="008167DF"/>
    <w:rsid w:val="008661E1"/>
    <w:rsid w:val="00871887"/>
    <w:rsid w:val="008A264E"/>
    <w:rsid w:val="008A6A6F"/>
    <w:rsid w:val="008F1F32"/>
    <w:rsid w:val="00907287"/>
    <w:rsid w:val="00910296"/>
    <w:rsid w:val="0091651B"/>
    <w:rsid w:val="0092545C"/>
    <w:rsid w:val="009450BB"/>
    <w:rsid w:val="00947538"/>
    <w:rsid w:val="0095788B"/>
    <w:rsid w:val="0097341E"/>
    <w:rsid w:val="009C0A62"/>
    <w:rsid w:val="009D1AFC"/>
    <w:rsid w:val="00A35101"/>
    <w:rsid w:val="00A83E4B"/>
    <w:rsid w:val="00AB51D2"/>
    <w:rsid w:val="00B94112"/>
    <w:rsid w:val="00BB735B"/>
    <w:rsid w:val="00BD5588"/>
    <w:rsid w:val="00BD7542"/>
    <w:rsid w:val="00C234BD"/>
    <w:rsid w:val="00C27A95"/>
    <w:rsid w:val="00C30FB7"/>
    <w:rsid w:val="00C37A7A"/>
    <w:rsid w:val="00C61384"/>
    <w:rsid w:val="00C67FD4"/>
    <w:rsid w:val="00C936F0"/>
    <w:rsid w:val="00CA2DBF"/>
    <w:rsid w:val="00CF7625"/>
    <w:rsid w:val="00DC434D"/>
    <w:rsid w:val="00DE0695"/>
    <w:rsid w:val="00DE3A07"/>
    <w:rsid w:val="00DF68A4"/>
    <w:rsid w:val="00E40B21"/>
    <w:rsid w:val="00E44472"/>
    <w:rsid w:val="00E44560"/>
    <w:rsid w:val="00E67092"/>
    <w:rsid w:val="00E84231"/>
    <w:rsid w:val="00EB48DB"/>
    <w:rsid w:val="00ED6E24"/>
    <w:rsid w:val="00F21559"/>
    <w:rsid w:val="00F35D33"/>
    <w:rsid w:val="00F42B43"/>
    <w:rsid w:val="00F6389F"/>
    <w:rsid w:val="00F73428"/>
    <w:rsid w:val="00FA2266"/>
    <w:rsid w:val="00FF77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B7D7E-7009-4C53-A55A-CE1793EB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character" w:styleId="CommentReference">
    <w:name w:val="annotation reference"/>
    <w:basedOn w:val="DefaultParagraphFont"/>
    <w:uiPriority w:val="99"/>
    <w:semiHidden/>
    <w:unhideWhenUsed/>
    <w:rsid w:val="00DE0695"/>
    <w:rPr>
      <w:sz w:val="16"/>
      <w:szCs w:val="16"/>
    </w:rPr>
  </w:style>
  <w:style w:type="paragraph" w:styleId="CommentText">
    <w:name w:val="annotation text"/>
    <w:basedOn w:val="Normal"/>
    <w:link w:val="CommentTextChar"/>
    <w:uiPriority w:val="99"/>
    <w:semiHidden/>
    <w:unhideWhenUsed/>
    <w:rsid w:val="00DE0695"/>
    <w:rPr>
      <w:sz w:val="20"/>
      <w:szCs w:val="20"/>
    </w:rPr>
  </w:style>
  <w:style w:type="character" w:customStyle="1" w:styleId="CommentTextChar">
    <w:name w:val="Comment Text Char"/>
    <w:basedOn w:val="DefaultParagraphFont"/>
    <w:link w:val="CommentText"/>
    <w:uiPriority w:val="99"/>
    <w:semiHidden/>
    <w:rsid w:val="00DE069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E0695"/>
    <w:rPr>
      <w:b/>
      <w:bCs/>
    </w:rPr>
  </w:style>
  <w:style w:type="character" w:customStyle="1" w:styleId="CommentSubjectChar">
    <w:name w:val="Comment Subject Char"/>
    <w:basedOn w:val="CommentTextChar"/>
    <w:link w:val="CommentSubject"/>
    <w:uiPriority w:val="99"/>
    <w:semiHidden/>
    <w:rsid w:val="00DE069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E0695"/>
    <w:rPr>
      <w:rFonts w:ascii="Tahoma" w:hAnsi="Tahoma" w:cs="Tahoma"/>
      <w:sz w:val="16"/>
      <w:szCs w:val="16"/>
    </w:rPr>
  </w:style>
  <w:style w:type="character" w:customStyle="1" w:styleId="BalloonTextChar">
    <w:name w:val="Balloon Text Char"/>
    <w:basedOn w:val="DefaultParagraphFont"/>
    <w:link w:val="BalloonText"/>
    <w:uiPriority w:val="99"/>
    <w:semiHidden/>
    <w:rsid w:val="00DE0695"/>
    <w:rPr>
      <w:rFonts w:ascii="Tahoma" w:eastAsia="Times New Roman" w:hAnsi="Tahoma" w:cs="Tahoma"/>
      <w:sz w:val="16"/>
      <w:szCs w:val="16"/>
      <w:lang w:eastAsia="lv-LV"/>
    </w:rPr>
  </w:style>
  <w:style w:type="paragraph" w:styleId="ListParagraph">
    <w:name w:val="List Paragraph"/>
    <w:basedOn w:val="Normal"/>
    <w:uiPriority w:val="34"/>
    <w:qFormat/>
    <w:rsid w:val="0092545C"/>
    <w:pPr>
      <w:ind w:left="720"/>
      <w:contextualSpacing/>
    </w:pPr>
  </w:style>
  <w:style w:type="paragraph" w:styleId="Header">
    <w:name w:val="header"/>
    <w:basedOn w:val="Normal"/>
    <w:link w:val="HeaderChar"/>
    <w:uiPriority w:val="99"/>
    <w:unhideWhenUsed/>
    <w:rsid w:val="00664D0E"/>
    <w:pPr>
      <w:tabs>
        <w:tab w:val="center" w:pos="4153"/>
        <w:tab w:val="right" w:pos="8306"/>
      </w:tabs>
    </w:pPr>
  </w:style>
  <w:style w:type="character" w:customStyle="1" w:styleId="HeaderChar">
    <w:name w:val="Header Char"/>
    <w:basedOn w:val="DefaultParagraphFont"/>
    <w:link w:val="Header"/>
    <w:uiPriority w:val="99"/>
    <w:rsid w:val="00664D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4D0E"/>
    <w:pPr>
      <w:tabs>
        <w:tab w:val="center" w:pos="4153"/>
        <w:tab w:val="right" w:pos="8306"/>
      </w:tabs>
    </w:pPr>
  </w:style>
  <w:style w:type="character" w:customStyle="1" w:styleId="FooterChar">
    <w:name w:val="Footer Char"/>
    <w:basedOn w:val="DefaultParagraphFont"/>
    <w:link w:val="Footer"/>
    <w:uiPriority w:val="99"/>
    <w:rsid w:val="00664D0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CACA4-FA85-43F5-A46A-CDFD9D54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14705</Words>
  <Characters>8383</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Rasa Lubarte</cp:lastModifiedBy>
  <cp:revision>2</cp:revision>
  <dcterms:created xsi:type="dcterms:W3CDTF">2021-01-26T08:51:00Z</dcterms:created>
  <dcterms:modified xsi:type="dcterms:W3CDTF">2021-01-26T08:51:00Z</dcterms:modified>
</cp:coreProperties>
</file>