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6AB74003" w:rsidR="00310924" w:rsidRPr="000965FC" w:rsidRDefault="00171F00" w:rsidP="00A57E77">
      <w:pPr>
        <w:shd w:val="clear" w:color="auto" w:fill="FFFFFF"/>
        <w:tabs>
          <w:tab w:val="left" w:pos="142"/>
          <w:tab w:val="left" w:pos="1134"/>
        </w:tabs>
        <w:spacing w:before="120"/>
        <w:ind w:firstLine="567"/>
        <w:jc w:val="center"/>
        <w:rPr>
          <w:rFonts w:eastAsia="Times New Roman"/>
          <w:b/>
          <w:bCs/>
          <w:color w:val="000000" w:themeColor="text1"/>
          <w:sz w:val="26"/>
          <w:szCs w:val="26"/>
          <w:lang w:val="lv-LV" w:eastAsia="lv-LV"/>
        </w:rPr>
      </w:pPr>
      <w:bookmarkStart w:id="0" w:name="OLE_LINK3"/>
      <w:bookmarkStart w:id="1" w:name="OLE_LINK1"/>
      <w:bookmarkStart w:id="2" w:name="OLE_LINK2"/>
      <w:r w:rsidRPr="000965FC">
        <w:rPr>
          <w:b/>
          <w:bCs/>
          <w:color w:val="000000"/>
          <w:sz w:val="26"/>
          <w:szCs w:val="26"/>
          <w:lang w:val="lv-LV"/>
        </w:rPr>
        <w:t>Ministru kabineta noteikumu projekta “</w:t>
      </w:r>
      <w:r w:rsidRPr="000965FC">
        <w:rPr>
          <w:b/>
          <w:bCs/>
          <w:sz w:val="26"/>
          <w:szCs w:val="26"/>
          <w:lang w:val="lv-LV"/>
        </w:rPr>
        <w:t>Grozījumi Ministru kabineta 2020.gada 10.novembra noteikumos Nr.676 “</w:t>
      </w:r>
      <w:r w:rsidRPr="000965FC">
        <w:rPr>
          <w:b/>
          <w:bCs/>
          <w:color w:val="000000"/>
          <w:sz w:val="26"/>
          <w:szCs w:val="26"/>
          <w:lang w:val="lv-LV"/>
        </w:rPr>
        <w:t>Noteikumi par atbalstu Covid-19 krīzes skartajiem uzņēmumiem apgrozāmo līdzekļu plūsmas nodrošināšanai</w:t>
      </w:r>
      <w:r w:rsidRPr="000965FC">
        <w:rPr>
          <w:b/>
          <w:bCs/>
          <w:sz w:val="26"/>
          <w:szCs w:val="26"/>
          <w:lang w:val="lv-LV"/>
        </w:rPr>
        <w:t>”</w:t>
      </w:r>
      <w:r w:rsidRPr="000965FC">
        <w:rPr>
          <w:b/>
          <w:bCs/>
          <w:color w:val="000000"/>
          <w:sz w:val="26"/>
          <w:szCs w:val="26"/>
          <w:lang w:val="lv-LV"/>
        </w:rPr>
        <w:t xml:space="preserve">” </w:t>
      </w:r>
      <w:r w:rsidR="00032471" w:rsidRPr="000965FC">
        <w:rPr>
          <w:b/>
          <w:bCs/>
          <w:color w:val="000000" w:themeColor="text1"/>
          <w:sz w:val="26"/>
          <w:szCs w:val="26"/>
          <w:lang w:val="lv-LV"/>
        </w:rPr>
        <w:t>sākotnējās ietekmes novērtējuma ziņojums (anotācija)</w:t>
      </w:r>
    </w:p>
    <w:p w14:paraId="286653D2" w14:textId="77777777" w:rsidR="00032471" w:rsidRPr="000965FC" w:rsidRDefault="00032471" w:rsidP="006064F8">
      <w:pPr>
        <w:contextualSpacing/>
        <w:rPr>
          <w:b/>
          <w:color w:val="000000" w:themeColor="text1"/>
          <w:sz w:val="26"/>
          <w:szCs w:val="26"/>
          <w:lang w:val="lv-LV"/>
        </w:rPr>
      </w:pPr>
    </w:p>
    <w:tbl>
      <w:tblPr>
        <w:tblStyle w:val="TableGrid"/>
        <w:tblW w:w="9209" w:type="dxa"/>
        <w:tblLook w:val="04A0" w:firstRow="1" w:lastRow="0" w:firstColumn="1" w:lastColumn="0" w:noHBand="0" w:noVBand="1"/>
      </w:tblPr>
      <w:tblGrid>
        <w:gridCol w:w="2689"/>
        <w:gridCol w:w="6520"/>
      </w:tblGrid>
      <w:tr w:rsidR="00500925" w:rsidRPr="000965FC" w14:paraId="3A2615BC" w14:textId="77777777" w:rsidTr="001342EF">
        <w:tc>
          <w:tcPr>
            <w:tcW w:w="9209" w:type="dxa"/>
            <w:gridSpan w:val="2"/>
          </w:tcPr>
          <w:bookmarkEnd w:id="0"/>
          <w:bookmarkEnd w:id="1"/>
          <w:bookmarkEnd w:id="2"/>
          <w:p w14:paraId="2B822083" w14:textId="742FCAC4" w:rsidR="00500925" w:rsidRPr="000965FC" w:rsidRDefault="00500925" w:rsidP="00434856">
            <w:pPr>
              <w:tabs>
                <w:tab w:val="right" w:pos="9072"/>
              </w:tabs>
              <w:contextualSpacing/>
              <w:rPr>
                <w:color w:val="000000" w:themeColor="text1"/>
                <w:sz w:val="26"/>
                <w:szCs w:val="26"/>
                <w:lang w:val="lv-LV"/>
              </w:rPr>
            </w:pPr>
            <w:r w:rsidRPr="000965FC">
              <w:rPr>
                <w:rFonts w:eastAsia="Times New Roman"/>
                <w:b/>
                <w:bCs/>
                <w:iCs/>
                <w:color w:val="000000" w:themeColor="text1"/>
                <w:sz w:val="26"/>
                <w:szCs w:val="26"/>
                <w:lang w:val="lv-LV" w:eastAsia="lv-LV"/>
              </w:rPr>
              <w:t>Tiesību akta projekta anotācijas kopsavilkums</w:t>
            </w:r>
          </w:p>
        </w:tc>
      </w:tr>
      <w:tr w:rsidR="00500925" w:rsidRPr="000965FC" w14:paraId="075BE558" w14:textId="77777777" w:rsidTr="001342EF">
        <w:tc>
          <w:tcPr>
            <w:tcW w:w="2689" w:type="dxa"/>
          </w:tcPr>
          <w:p w14:paraId="621CA676" w14:textId="59BF0F8D" w:rsidR="00500925" w:rsidRPr="000965FC" w:rsidRDefault="00500925" w:rsidP="00434856">
            <w:pPr>
              <w:tabs>
                <w:tab w:val="right" w:pos="9072"/>
              </w:tabs>
              <w:contextualSpacing/>
              <w:rPr>
                <w:color w:val="000000" w:themeColor="text1"/>
                <w:sz w:val="26"/>
                <w:szCs w:val="26"/>
                <w:lang w:val="lv-LV"/>
              </w:rPr>
            </w:pPr>
            <w:r w:rsidRPr="000965FC">
              <w:rPr>
                <w:rFonts w:eastAsia="Times New Roman"/>
                <w:iCs/>
                <w:color w:val="000000" w:themeColor="text1"/>
                <w:sz w:val="26"/>
                <w:szCs w:val="26"/>
                <w:lang w:val="lv-LV" w:eastAsia="lv-LV"/>
              </w:rPr>
              <w:t>Mērķis, risinājums un projekta spēkā stāšanās laiks</w:t>
            </w:r>
          </w:p>
        </w:tc>
        <w:tc>
          <w:tcPr>
            <w:tcW w:w="6520" w:type="dxa"/>
          </w:tcPr>
          <w:p w14:paraId="21A7B196" w14:textId="6F4EB165" w:rsidR="00500925" w:rsidRPr="000965FC" w:rsidRDefault="00500925" w:rsidP="000B1248">
            <w:pPr>
              <w:shd w:val="clear" w:color="auto" w:fill="FFFFFF"/>
              <w:tabs>
                <w:tab w:val="left" w:pos="142"/>
                <w:tab w:val="left" w:pos="1134"/>
              </w:tabs>
              <w:spacing w:before="120"/>
              <w:jc w:val="both"/>
              <w:rPr>
                <w:rFonts w:eastAsia="Times New Roman"/>
                <w:b/>
                <w:bCs/>
                <w:color w:val="000000" w:themeColor="text1"/>
                <w:sz w:val="26"/>
                <w:szCs w:val="26"/>
                <w:lang w:eastAsia="lv-LV"/>
              </w:rPr>
            </w:pPr>
            <w:r w:rsidRPr="000965FC">
              <w:rPr>
                <w:color w:val="000000" w:themeColor="text1"/>
                <w:sz w:val="26"/>
                <w:szCs w:val="26"/>
                <w:lang w:val="lv-LV"/>
              </w:rPr>
              <w:t>Ministru kabineta noteikumu projekts “</w:t>
            </w:r>
            <w:r w:rsidRPr="000965FC">
              <w:rPr>
                <w:sz w:val="26"/>
                <w:szCs w:val="26"/>
                <w:lang w:val="lv-LV"/>
              </w:rPr>
              <w:t>Grozījumi Ministru kabineta 2020.gada 10.novembra noteikumos Nr.676 “</w:t>
            </w:r>
            <w:r w:rsidRPr="000965FC">
              <w:rPr>
                <w:rFonts w:eastAsia="Times New Roman"/>
                <w:color w:val="000000" w:themeColor="text1"/>
                <w:sz w:val="26"/>
                <w:szCs w:val="26"/>
                <w:lang w:val="lv-LV" w:eastAsia="lv-LV"/>
              </w:rPr>
              <w:t>Noteikumi par atbalstu Covid-19 krīzes skartajiem uzņēmumiem apgrozāmo līdzekļu plūsmas nodrošināšanai</w:t>
            </w:r>
            <w:r w:rsidRPr="000965FC">
              <w:rPr>
                <w:sz w:val="26"/>
                <w:szCs w:val="26"/>
                <w:lang w:val="lv-LV"/>
              </w:rPr>
              <w:t>”</w:t>
            </w:r>
            <w:r w:rsidRPr="000965FC">
              <w:rPr>
                <w:color w:val="000000" w:themeColor="text1"/>
                <w:sz w:val="26"/>
                <w:szCs w:val="26"/>
                <w:lang w:val="lv-LV"/>
              </w:rPr>
              <w:t xml:space="preserve">” </w:t>
            </w:r>
            <w:r w:rsidRPr="000965FC">
              <w:rPr>
                <w:rFonts w:eastAsia="Times New Roman"/>
                <w:iCs/>
                <w:color w:val="000000" w:themeColor="text1"/>
                <w:sz w:val="26"/>
                <w:szCs w:val="26"/>
                <w:lang w:val="lv-LV"/>
              </w:rPr>
              <w:t xml:space="preserve">(turpmāk – MK </w:t>
            </w:r>
            <w:r w:rsidR="00874C1B" w:rsidRPr="000965FC">
              <w:rPr>
                <w:rFonts w:eastAsia="Times New Roman"/>
                <w:iCs/>
                <w:color w:val="000000" w:themeColor="text1"/>
                <w:sz w:val="26"/>
                <w:szCs w:val="26"/>
                <w:lang w:val="lv-LV"/>
              </w:rPr>
              <w:t>N</w:t>
            </w:r>
            <w:r w:rsidRPr="000965FC">
              <w:rPr>
                <w:rFonts w:eastAsia="Times New Roman"/>
                <w:iCs/>
                <w:color w:val="000000" w:themeColor="text1"/>
                <w:sz w:val="26"/>
                <w:szCs w:val="26"/>
                <w:lang w:val="lv-LV"/>
              </w:rPr>
              <w:t>oteikumu projekts) paredz noteikt atbalsta pieejamību visiem nodokļu maksātājiem, kuru saimnieciskā darbība ierobežota Covid-19 krīzes ietekmē.</w:t>
            </w:r>
          </w:p>
          <w:p w14:paraId="002ADC8E" w14:textId="64A596E1" w:rsidR="00500925" w:rsidRPr="000965FC" w:rsidRDefault="00500925" w:rsidP="00433D14">
            <w:pPr>
              <w:tabs>
                <w:tab w:val="right" w:pos="9072"/>
              </w:tabs>
              <w:contextualSpacing/>
              <w:jc w:val="both"/>
              <w:rPr>
                <w:color w:val="000000" w:themeColor="text1"/>
                <w:sz w:val="26"/>
                <w:szCs w:val="26"/>
                <w:lang w:val="lv-LV"/>
              </w:rPr>
            </w:pPr>
            <w:r w:rsidRPr="000965FC">
              <w:rPr>
                <w:iCs/>
                <w:color w:val="000000" w:themeColor="text1"/>
                <w:sz w:val="26"/>
                <w:szCs w:val="26"/>
                <w:lang w:val="lv-LV"/>
              </w:rPr>
              <w:t xml:space="preserve">MK Noteikumu projekts stāsies spēkā nākamajā dienā </w:t>
            </w:r>
            <w:r w:rsidR="003A6A8E" w:rsidRPr="000965FC">
              <w:rPr>
                <w:color w:val="000000" w:themeColor="text1"/>
                <w:sz w:val="26"/>
                <w:szCs w:val="26"/>
                <w:shd w:val="clear" w:color="auto" w:fill="FFFFFF"/>
                <w:lang w:val="lv-LV"/>
              </w:rPr>
              <w:t>pēc tam, kad oficiālajā izdevumā "Latvijas Vēstnesis" tiks publicēts paziņojums par to, ka Eiropas Komisija pieņēmusi lēmumu par šo noteikumu ietvertā komercdarbības atbalsta saderību ar Eiropas Savienības iekšējo tirgu.</w:t>
            </w:r>
          </w:p>
        </w:tc>
      </w:tr>
    </w:tbl>
    <w:p w14:paraId="51B9AD58" w14:textId="5B3BE26F" w:rsidR="00500925" w:rsidRPr="000965FC" w:rsidRDefault="00500925" w:rsidP="00434856">
      <w:pPr>
        <w:tabs>
          <w:tab w:val="right" w:pos="9072"/>
        </w:tabs>
        <w:contextualSpacing/>
        <w:rPr>
          <w:color w:val="000000" w:themeColor="text1"/>
          <w:sz w:val="26"/>
          <w:szCs w:val="26"/>
          <w:lang w:val="lv-LV"/>
        </w:rPr>
      </w:pPr>
    </w:p>
    <w:tbl>
      <w:tblPr>
        <w:tblStyle w:val="TableGrid"/>
        <w:tblW w:w="9209" w:type="dxa"/>
        <w:tblLook w:val="04A0" w:firstRow="1" w:lastRow="0" w:firstColumn="1" w:lastColumn="0" w:noHBand="0" w:noVBand="1"/>
      </w:tblPr>
      <w:tblGrid>
        <w:gridCol w:w="546"/>
        <w:gridCol w:w="2094"/>
        <w:gridCol w:w="6569"/>
      </w:tblGrid>
      <w:tr w:rsidR="00500925" w:rsidRPr="000965FC" w14:paraId="48A6099D" w14:textId="77777777" w:rsidTr="001342EF">
        <w:tc>
          <w:tcPr>
            <w:tcW w:w="9209" w:type="dxa"/>
            <w:gridSpan w:val="3"/>
          </w:tcPr>
          <w:p w14:paraId="5E56F29B" w14:textId="62FE47C9" w:rsidR="00500925" w:rsidRPr="000965FC" w:rsidRDefault="00500925" w:rsidP="00500925">
            <w:pPr>
              <w:tabs>
                <w:tab w:val="right" w:pos="9072"/>
              </w:tabs>
              <w:contextualSpacing/>
              <w:jc w:val="center"/>
              <w:rPr>
                <w:color w:val="000000" w:themeColor="text1"/>
                <w:sz w:val="26"/>
                <w:szCs w:val="26"/>
                <w:lang w:val="lv-LV"/>
              </w:rPr>
            </w:pPr>
            <w:r w:rsidRPr="000965FC">
              <w:rPr>
                <w:b/>
                <w:color w:val="000000" w:themeColor="text1"/>
                <w:sz w:val="26"/>
                <w:szCs w:val="26"/>
                <w:lang w:val="lv-LV"/>
              </w:rPr>
              <w:t>I. Tiesību akta projekta izstrādes nepieciešamība</w:t>
            </w:r>
          </w:p>
        </w:tc>
      </w:tr>
      <w:tr w:rsidR="00500925" w:rsidRPr="000965FC" w14:paraId="16FACD2E" w14:textId="77777777" w:rsidTr="001342EF">
        <w:tc>
          <w:tcPr>
            <w:tcW w:w="546" w:type="dxa"/>
          </w:tcPr>
          <w:p w14:paraId="24CB95B1" w14:textId="5E36F250" w:rsidR="00500925" w:rsidRPr="000965FC" w:rsidRDefault="00500925" w:rsidP="00434856">
            <w:pPr>
              <w:tabs>
                <w:tab w:val="right" w:pos="9072"/>
              </w:tabs>
              <w:contextualSpacing/>
              <w:rPr>
                <w:color w:val="000000" w:themeColor="text1"/>
                <w:sz w:val="26"/>
                <w:szCs w:val="26"/>
                <w:lang w:val="lv-LV"/>
              </w:rPr>
            </w:pPr>
            <w:r w:rsidRPr="000965FC">
              <w:rPr>
                <w:color w:val="000000" w:themeColor="text1"/>
                <w:sz w:val="26"/>
                <w:szCs w:val="26"/>
                <w:lang w:val="lv-LV"/>
              </w:rPr>
              <w:t>1.</w:t>
            </w:r>
          </w:p>
        </w:tc>
        <w:tc>
          <w:tcPr>
            <w:tcW w:w="2094" w:type="dxa"/>
          </w:tcPr>
          <w:p w14:paraId="313A6FFC" w14:textId="63A88328" w:rsidR="00500925" w:rsidRPr="000965FC" w:rsidRDefault="001342EF" w:rsidP="00434856">
            <w:pPr>
              <w:tabs>
                <w:tab w:val="right" w:pos="9072"/>
              </w:tabs>
              <w:contextualSpacing/>
              <w:rPr>
                <w:color w:val="000000" w:themeColor="text1"/>
                <w:sz w:val="26"/>
                <w:szCs w:val="26"/>
                <w:lang w:val="lv-LV"/>
              </w:rPr>
            </w:pPr>
            <w:r w:rsidRPr="000965FC">
              <w:rPr>
                <w:color w:val="000000" w:themeColor="text1"/>
                <w:sz w:val="26"/>
                <w:szCs w:val="26"/>
                <w:lang w:val="lv-LV"/>
              </w:rPr>
              <w:t>Pamatojums</w:t>
            </w:r>
          </w:p>
        </w:tc>
        <w:tc>
          <w:tcPr>
            <w:tcW w:w="6569" w:type="dxa"/>
          </w:tcPr>
          <w:p w14:paraId="29E6D15E" w14:textId="121D5A35" w:rsidR="00500925" w:rsidRPr="000965FC" w:rsidRDefault="001342EF" w:rsidP="000B1248">
            <w:pPr>
              <w:tabs>
                <w:tab w:val="right" w:pos="9072"/>
              </w:tabs>
              <w:contextualSpacing/>
              <w:jc w:val="both"/>
              <w:rPr>
                <w:color w:val="000000" w:themeColor="text1"/>
                <w:sz w:val="26"/>
                <w:szCs w:val="26"/>
                <w:lang w:val="lv-LV"/>
              </w:rPr>
            </w:pPr>
            <w:r w:rsidRPr="000965FC">
              <w:rPr>
                <w:iCs/>
                <w:color w:val="000000" w:themeColor="text1"/>
                <w:sz w:val="26"/>
                <w:szCs w:val="26"/>
                <w:lang w:val="lv-LV"/>
              </w:rPr>
              <w:t xml:space="preserve">MK Noteikumu projekts izstrādāts saskaņā ar </w:t>
            </w:r>
            <w:r w:rsidRPr="000965FC">
              <w:rPr>
                <w:rFonts w:eastAsia="Times New Roman"/>
                <w:iCs/>
                <w:color w:val="000000" w:themeColor="text1"/>
                <w:sz w:val="26"/>
                <w:szCs w:val="26"/>
                <w:lang w:val="lv-LV" w:eastAsia="lv-LV"/>
              </w:rPr>
              <w:t>Covid-19 infekcijas izplatības seku pārvarēšanas 2. pantu un 15. panta trešo daļu</w:t>
            </w:r>
            <w:bookmarkStart w:id="3" w:name="n1"/>
            <w:bookmarkStart w:id="4" w:name="n-596782"/>
            <w:bookmarkEnd w:id="3"/>
            <w:bookmarkEnd w:id="4"/>
            <w:r w:rsidRPr="000965FC">
              <w:rPr>
                <w:iCs/>
                <w:color w:val="000000" w:themeColor="text1"/>
                <w:sz w:val="26"/>
                <w:szCs w:val="26"/>
                <w:lang w:val="lv-LV"/>
              </w:rPr>
              <w:t xml:space="preserve">, lai </w:t>
            </w:r>
            <w:bookmarkStart w:id="5" w:name="_Hlk42162230"/>
            <w:r w:rsidRPr="000965FC">
              <w:rPr>
                <w:iCs/>
                <w:color w:val="000000" w:themeColor="text1"/>
                <w:sz w:val="26"/>
                <w:szCs w:val="26"/>
                <w:lang w:val="lv-LV"/>
              </w:rPr>
              <w:t xml:space="preserve">sniegtu atbalstu Covid-19 krīzes skartam uzņēmumam apgrozāmo līdzekļu plūsmas krituma kompensēšanai, lai pārvarētu Covid-19 krīzes otro izplatīšanās vilni (Ministru prezidenta paziņojums 2020.gada 6.novembrī) un tādējādi </w:t>
            </w:r>
            <w:r w:rsidR="001D4AA6" w:rsidRPr="000965FC">
              <w:rPr>
                <w:iCs/>
                <w:color w:val="000000" w:themeColor="text1"/>
                <w:sz w:val="26"/>
                <w:szCs w:val="26"/>
                <w:lang w:val="lv-LV"/>
              </w:rPr>
              <w:t xml:space="preserve">2021.gadā </w:t>
            </w:r>
            <w:r w:rsidRPr="000965FC">
              <w:rPr>
                <w:iCs/>
                <w:color w:val="000000" w:themeColor="text1"/>
                <w:sz w:val="26"/>
                <w:szCs w:val="26"/>
                <w:lang w:val="lv-LV"/>
              </w:rPr>
              <w:t>turpināt aktivitātes, kas vērstas uz Latvijas tautsaimniecības ilgtspējīgu attīstību</w:t>
            </w:r>
            <w:bookmarkEnd w:id="5"/>
            <w:r w:rsidRPr="000965FC">
              <w:rPr>
                <w:color w:val="000000" w:themeColor="text1"/>
                <w:sz w:val="26"/>
                <w:szCs w:val="26"/>
                <w:lang w:val="lv-LV"/>
              </w:rPr>
              <w:t>.</w:t>
            </w:r>
          </w:p>
        </w:tc>
      </w:tr>
      <w:tr w:rsidR="001342EF" w:rsidRPr="000965FC" w14:paraId="319B0164" w14:textId="77777777" w:rsidTr="001342EF">
        <w:tc>
          <w:tcPr>
            <w:tcW w:w="546" w:type="dxa"/>
          </w:tcPr>
          <w:p w14:paraId="2E9E22DF" w14:textId="64DE8EA7"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2.</w:t>
            </w:r>
          </w:p>
        </w:tc>
        <w:tc>
          <w:tcPr>
            <w:tcW w:w="2094" w:type="dxa"/>
          </w:tcPr>
          <w:p w14:paraId="72130EF3" w14:textId="77777777" w:rsidR="001342EF" w:rsidRPr="000965FC" w:rsidRDefault="001342EF" w:rsidP="001342EF">
            <w:pPr>
              <w:contextualSpacing/>
              <w:rPr>
                <w:color w:val="000000" w:themeColor="text1"/>
                <w:sz w:val="26"/>
                <w:szCs w:val="26"/>
                <w:lang w:val="lv-LV"/>
              </w:rPr>
            </w:pPr>
            <w:r w:rsidRPr="000965FC">
              <w:rPr>
                <w:color w:val="000000" w:themeColor="text1"/>
                <w:sz w:val="26"/>
                <w:szCs w:val="26"/>
                <w:lang w:val="lv-LV"/>
              </w:rPr>
              <w:t>Pašreizējā situācija un problēmas, kuru risināšanai tiesību akta projekts izstrādāts, tiesiskā regulējuma mērķis un būtība</w:t>
            </w:r>
          </w:p>
          <w:p w14:paraId="4B81F531" w14:textId="77777777" w:rsidR="001342EF" w:rsidRPr="000965FC" w:rsidRDefault="001342EF" w:rsidP="001342EF">
            <w:pPr>
              <w:tabs>
                <w:tab w:val="right" w:pos="9072"/>
              </w:tabs>
              <w:contextualSpacing/>
              <w:rPr>
                <w:color w:val="000000" w:themeColor="text1"/>
                <w:sz w:val="26"/>
                <w:szCs w:val="26"/>
                <w:lang w:val="lv-LV"/>
              </w:rPr>
            </w:pPr>
          </w:p>
          <w:p w14:paraId="764F9363" w14:textId="77777777" w:rsidR="00861168" w:rsidRPr="000965FC" w:rsidRDefault="00861168" w:rsidP="00861168">
            <w:pPr>
              <w:rPr>
                <w:sz w:val="26"/>
                <w:szCs w:val="26"/>
                <w:lang w:val="lv-LV"/>
              </w:rPr>
            </w:pPr>
          </w:p>
          <w:p w14:paraId="63A85263" w14:textId="77777777" w:rsidR="00861168" w:rsidRPr="000965FC" w:rsidRDefault="00861168" w:rsidP="00861168">
            <w:pPr>
              <w:rPr>
                <w:sz w:val="26"/>
                <w:szCs w:val="26"/>
                <w:lang w:val="lv-LV"/>
              </w:rPr>
            </w:pPr>
          </w:p>
          <w:p w14:paraId="463953B8" w14:textId="77777777" w:rsidR="00861168" w:rsidRPr="000965FC" w:rsidRDefault="00861168" w:rsidP="00861168">
            <w:pPr>
              <w:rPr>
                <w:sz w:val="26"/>
                <w:szCs w:val="26"/>
                <w:lang w:val="lv-LV"/>
              </w:rPr>
            </w:pPr>
          </w:p>
          <w:p w14:paraId="59082AB0" w14:textId="77777777" w:rsidR="00861168" w:rsidRPr="000965FC" w:rsidRDefault="00861168" w:rsidP="00861168">
            <w:pPr>
              <w:rPr>
                <w:sz w:val="26"/>
                <w:szCs w:val="26"/>
                <w:lang w:val="lv-LV"/>
              </w:rPr>
            </w:pPr>
          </w:p>
          <w:p w14:paraId="10F79FB3" w14:textId="77777777" w:rsidR="00861168" w:rsidRPr="000965FC" w:rsidRDefault="00861168" w:rsidP="00861168">
            <w:pPr>
              <w:rPr>
                <w:sz w:val="26"/>
                <w:szCs w:val="26"/>
                <w:lang w:val="lv-LV"/>
              </w:rPr>
            </w:pPr>
          </w:p>
          <w:p w14:paraId="1A14CCB4" w14:textId="77777777" w:rsidR="00861168" w:rsidRPr="000965FC" w:rsidRDefault="00861168" w:rsidP="00861168">
            <w:pPr>
              <w:rPr>
                <w:sz w:val="26"/>
                <w:szCs w:val="26"/>
                <w:lang w:val="lv-LV"/>
              </w:rPr>
            </w:pPr>
          </w:p>
          <w:p w14:paraId="64CDA14B" w14:textId="77777777" w:rsidR="00861168" w:rsidRPr="000965FC" w:rsidRDefault="00861168" w:rsidP="00861168">
            <w:pPr>
              <w:rPr>
                <w:sz w:val="26"/>
                <w:szCs w:val="26"/>
                <w:lang w:val="lv-LV"/>
              </w:rPr>
            </w:pPr>
          </w:p>
          <w:p w14:paraId="1D2E6346" w14:textId="77777777" w:rsidR="00861168" w:rsidRPr="000965FC" w:rsidRDefault="00861168" w:rsidP="00861168">
            <w:pPr>
              <w:rPr>
                <w:sz w:val="26"/>
                <w:szCs w:val="26"/>
                <w:lang w:val="lv-LV"/>
              </w:rPr>
            </w:pPr>
          </w:p>
          <w:p w14:paraId="6D85EFAD" w14:textId="77777777" w:rsidR="00861168" w:rsidRPr="000965FC" w:rsidRDefault="00861168" w:rsidP="00861168">
            <w:pPr>
              <w:rPr>
                <w:sz w:val="26"/>
                <w:szCs w:val="26"/>
                <w:lang w:val="lv-LV"/>
              </w:rPr>
            </w:pPr>
          </w:p>
          <w:p w14:paraId="7055A088" w14:textId="77777777" w:rsidR="00861168" w:rsidRPr="000965FC" w:rsidRDefault="00861168" w:rsidP="00861168">
            <w:pPr>
              <w:rPr>
                <w:sz w:val="26"/>
                <w:szCs w:val="26"/>
                <w:lang w:val="lv-LV"/>
              </w:rPr>
            </w:pPr>
          </w:p>
          <w:p w14:paraId="3524AE12" w14:textId="77777777" w:rsidR="00861168" w:rsidRPr="000965FC" w:rsidRDefault="00861168" w:rsidP="00861168">
            <w:pPr>
              <w:rPr>
                <w:sz w:val="26"/>
                <w:szCs w:val="26"/>
                <w:lang w:val="lv-LV"/>
              </w:rPr>
            </w:pPr>
          </w:p>
          <w:p w14:paraId="5FC5E9A8" w14:textId="77777777" w:rsidR="00861168" w:rsidRPr="000965FC" w:rsidRDefault="00861168" w:rsidP="00861168">
            <w:pPr>
              <w:rPr>
                <w:sz w:val="26"/>
                <w:szCs w:val="26"/>
                <w:lang w:val="lv-LV"/>
              </w:rPr>
            </w:pPr>
          </w:p>
          <w:p w14:paraId="03AC9198" w14:textId="06B9FC55" w:rsidR="00861168" w:rsidRPr="000965FC" w:rsidRDefault="008247F1" w:rsidP="008247F1">
            <w:pPr>
              <w:tabs>
                <w:tab w:val="left" w:pos="270"/>
              </w:tabs>
              <w:rPr>
                <w:sz w:val="26"/>
                <w:szCs w:val="26"/>
                <w:lang w:val="lv-LV"/>
              </w:rPr>
            </w:pPr>
            <w:r w:rsidRPr="000965FC">
              <w:rPr>
                <w:sz w:val="26"/>
                <w:szCs w:val="26"/>
                <w:lang w:val="lv-LV"/>
              </w:rPr>
              <w:tab/>
            </w:r>
          </w:p>
        </w:tc>
        <w:tc>
          <w:tcPr>
            <w:tcW w:w="6569" w:type="dxa"/>
          </w:tcPr>
          <w:p w14:paraId="233AB45B" w14:textId="1D29F469" w:rsidR="001342EF" w:rsidRPr="000965FC" w:rsidRDefault="001342EF" w:rsidP="001342EF">
            <w:pPr>
              <w:spacing w:before="120"/>
              <w:jc w:val="both"/>
              <w:rPr>
                <w:color w:val="000000" w:themeColor="text1"/>
                <w:sz w:val="26"/>
                <w:szCs w:val="26"/>
                <w:lang w:val="lv-LV"/>
              </w:rPr>
            </w:pPr>
            <w:r w:rsidRPr="000965FC">
              <w:rPr>
                <w:rFonts w:eastAsia="Times New Roman"/>
                <w:color w:val="000000" w:themeColor="text1"/>
                <w:sz w:val="26"/>
                <w:szCs w:val="26"/>
                <w:lang w:val="lv-LV" w:eastAsia="lv-LV"/>
              </w:rPr>
              <w:lastRenderedPageBreak/>
              <w:t xml:space="preserve">Valstī 2020.gada 6.novembrī atkārtoti izsludināta </w:t>
            </w:r>
            <w:r w:rsidR="0059332D" w:rsidRPr="000965FC">
              <w:rPr>
                <w:rFonts w:eastAsia="Times New Roman"/>
                <w:color w:val="000000" w:themeColor="text1"/>
                <w:sz w:val="26"/>
                <w:szCs w:val="26"/>
                <w:lang w:val="lv-LV" w:eastAsia="lv-LV"/>
              </w:rPr>
              <w:t xml:space="preserve">un 2020.gada 29.decembrī pagarināta līdz 2021.gada 7.februārim </w:t>
            </w:r>
            <w:r w:rsidRPr="000965FC">
              <w:rPr>
                <w:rFonts w:eastAsia="Times New Roman"/>
                <w:color w:val="000000" w:themeColor="text1"/>
                <w:sz w:val="26"/>
                <w:szCs w:val="26"/>
                <w:lang w:val="lv-LV" w:eastAsia="lv-LV"/>
              </w:rPr>
              <w:t xml:space="preserve">ārkārtējā situācija un </w:t>
            </w:r>
            <w:r w:rsidR="000B71FB" w:rsidRPr="000965FC">
              <w:rPr>
                <w:rFonts w:eastAsia="Times New Roman"/>
                <w:color w:val="000000" w:themeColor="text1"/>
                <w:sz w:val="26"/>
                <w:szCs w:val="26"/>
                <w:lang w:val="lv-LV" w:eastAsia="lv-LV"/>
              </w:rPr>
              <w:t>tiek</w:t>
            </w:r>
            <w:r w:rsidR="00C77469" w:rsidRPr="000965FC">
              <w:rPr>
                <w:rFonts w:eastAsia="Times New Roman"/>
                <w:color w:val="000000" w:themeColor="text1"/>
                <w:sz w:val="26"/>
                <w:szCs w:val="26"/>
                <w:lang w:val="lv-LV" w:eastAsia="lv-LV"/>
              </w:rPr>
              <w:t xml:space="preserve"> turpināts</w:t>
            </w:r>
            <w:r w:rsidRPr="000965FC">
              <w:rPr>
                <w:rFonts w:eastAsia="Times New Roman"/>
                <w:color w:val="000000" w:themeColor="text1"/>
                <w:sz w:val="26"/>
                <w:szCs w:val="26"/>
                <w:lang w:val="lv-LV" w:eastAsia="lv-LV"/>
              </w:rPr>
              <w:t xml:space="preserve"> </w:t>
            </w:r>
            <w:r w:rsidR="000B71FB" w:rsidRPr="000965FC">
              <w:rPr>
                <w:rFonts w:eastAsia="Times New Roman"/>
                <w:color w:val="000000" w:themeColor="text1"/>
                <w:sz w:val="26"/>
                <w:szCs w:val="26"/>
                <w:lang w:val="lv-LV" w:eastAsia="lv-LV"/>
              </w:rPr>
              <w:t>pastiprināt d</w:t>
            </w:r>
            <w:r w:rsidRPr="000965FC">
              <w:rPr>
                <w:rFonts w:eastAsia="Times New Roman"/>
                <w:color w:val="000000" w:themeColor="text1"/>
                <w:sz w:val="26"/>
                <w:szCs w:val="26"/>
                <w:lang w:val="lv-LV" w:eastAsia="lv-LV"/>
              </w:rPr>
              <w:t>ažāda veida ierobežojum</w:t>
            </w:r>
            <w:r w:rsidR="00C77469" w:rsidRPr="000965FC">
              <w:rPr>
                <w:rFonts w:eastAsia="Times New Roman"/>
                <w:color w:val="000000" w:themeColor="text1"/>
                <w:sz w:val="26"/>
                <w:szCs w:val="26"/>
                <w:lang w:val="lv-LV" w:eastAsia="lv-LV"/>
              </w:rPr>
              <w:t>us</w:t>
            </w:r>
            <w:r w:rsidRPr="000965FC">
              <w:rPr>
                <w:rFonts w:eastAsia="Times New Roman"/>
                <w:color w:val="000000" w:themeColor="text1"/>
                <w:sz w:val="26"/>
                <w:szCs w:val="26"/>
                <w:lang w:val="lv-LV" w:eastAsia="lv-LV"/>
              </w:rPr>
              <w:t xml:space="preserve">, kas kopumā kavē tautsaimniecības attīstību un ekonomikas atveseļošanos, līdz ar to joprojām nepieciešams īstenot </w:t>
            </w:r>
            <w:r w:rsidR="002D36AB" w:rsidRPr="000965FC">
              <w:rPr>
                <w:rFonts w:eastAsia="Times New Roman"/>
                <w:color w:val="000000" w:themeColor="text1"/>
                <w:sz w:val="26"/>
                <w:szCs w:val="26"/>
                <w:lang w:val="lv-LV" w:eastAsia="lv-LV"/>
              </w:rPr>
              <w:t xml:space="preserve">atbalsta </w:t>
            </w:r>
            <w:r w:rsidRPr="000965FC">
              <w:rPr>
                <w:rFonts w:eastAsia="Times New Roman"/>
                <w:color w:val="000000" w:themeColor="text1"/>
                <w:sz w:val="26"/>
                <w:szCs w:val="26"/>
                <w:lang w:val="lv-LV" w:eastAsia="lv-LV"/>
              </w:rPr>
              <w:t>pasākumus Covid-19 krīzes pārvarēšanai.</w:t>
            </w:r>
            <w:r w:rsidRPr="000965FC">
              <w:rPr>
                <w:color w:val="000000" w:themeColor="text1"/>
                <w:sz w:val="26"/>
                <w:szCs w:val="26"/>
                <w:lang w:val="lv-LV"/>
              </w:rPr>
              <w:t xml:space="preserve"> </w:t>
            </w:r>
          </w:p>
          <w:p w14:paraId="2C65BDEC" w14:textId="5C87ADAE" w:rsidR="001342EF" w:rsidRPr="000965FC" w:rsidRDefault="001342EF" w:rsidP="001342EF">
            <w:pPr>
              <w:spacing w:before="120"/>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Ministru kabinetā 2020.gada 10.novembrī tika apstiprināti noteikumi Nr.676 “</w:t>
            </w:r>
            <w:r w:rsidRPr="000965FC">
              <w:rPr>
                <w:sz w:val="26"/>
                <w:szCs w:val="26"/>
                <w:lang w:val="lv-LV"/>
              </w:rPr>
              <w:t>Noteikumi par atbalstu Covid-19 krīzes skartajiem uzņēmumiem apgrozāmo līdzekļu plūsmas nodrošināšanai</w:t>
            </w:r>
            <w:r w:rsidRPr="000965FC">
              <w:rPr>
                <w:rFonts w:eastAsia="Times New Roman"/>
                <w:color w:val="000000" w:themeColor="text1"/>
                <w:sz w:val="26"/>
                <w:szCs w:val="26"/>
                <w:lang w:val="lv-LV" w:eastAsia="lv-LV"/>
              </w:rPr>
              <w:t xml:space="preserve">” (turpmāk – MK Noteikumi Nr.676), nosakot </w:t>
            </w:r>
            <w:r w:rsidRPr="000965FC">
              <w:rPr>
                <w:color w:val="000000" w:themeColor="text1"/>
                <w:sz w:val="26"/>
                <w:szCs w:val="26"/>
                <w:lang w:val="lv-LV"/>
              </w:rPr>
              <w:t xml:space="preserve">kritērijus, pieprasīšanas un piešķiršanas kārtību, ko piemēro krīzes skartajiem nodokļu maksātājiem granta veidā </w:t>
            </w:r>
            <w:r w:rsidRPr="000965FC">
              <w:rPr>
                <w:rFonts w:eastAsia="Times New Roman"/>
                <w:bCs/>
                <w:color w:val="000000" w:themeColor="text1"/>
                <w:sz w:val="26"/>
                <w:szCs w:val="26"/>
                <w:lang w:val="lv-LV" w:eastAsia="lv-LV"/>
              </w:rPr>
              <w:t xml:space="preserve">apgrozāmo līdzekļu plūsmas </w:t>
            </w:r>
            <w:r w:rsidRPr="000965FC">
              <w:rPr>
                <w:color w:val="000000" w:themeColor="text1"/>
                <w:sz w:val="26"/>
                <w:szCs w:val="26"/>
                <w:lang w:val="lv-LV"/>
              </w:rPr>
              <w:t>kompensācijai</w:t>
            </w:r>
            <w:r w:rsidR="007921E4" w:rsidRPr="000965FC">
              <w:rPr>
                <w:color w:val="000000" w:themeColor="text1"/>
                <w:sz w:val="26"/>
                <w:szCs w:val="26"/>
                <w:lang w:val="lv-LV"/>
              </w:rPr>
              <w:t>.</w:t>
            </w:r>
          </w:p>
          <w:p w14:paraId="6F736F04" w14:textId="0F706B4D" w:rsidR="00C420F9" w:rsidRPr="000965FC" w:rsidRDefault="00C420F9" w:rsidP="00E6289C">
            <w:pPr>
              <w:spacing w:before="120"/>
              <w:jc w:val="both"/>
              <w:rPr>
                <w:color w:val="000000" w:themeColor="text1"/>
                <w:sz w:val="26"/>
                <w:szCs w:val="26"/>
                <w:lang w:val="lv-LV"/>
              </w:rPr>
            </w:pPr>
            <w:r w:rsidRPr="000965FC">
              <w:rPr>
                <w:color w:val="000000" w:themeColor="text1"/>
                <w:sz w:val="26"/>
                <w:szCs w:val="26"/>
                <w:u w:val="single"/>
                <w:lang w:val="lv-LV"/>
              </w:rPr>
              <w:t>Identificētā problēma</w:t>
            </w:r>
            <w:r w:rsidR="00E6289C" w:rsidRPr="000965FC">
              <w:rPr>
                <w:color w:val="000000" w:themeColor="text1"/>
                <w:sz w:val="26"/>
                <w:szCs w:val="26"/>
                <w:lang w:val="lv-LV"/>
              </w:rPr>
              <w:t xml:space="preserve"> - </w:t>
            </w:r>
            <w:r w:rsidR="002D36AB" w:rsidRPr="000965FC">
              <w:rPr>
                <w:color w:val="000000" w:themeColor="text1"/>
                <w:sz w:val="26"/>
                <w:szCs w:val="26"/>
                <w:lang w:val="lv-LV"/>
              </w:rPr>
              <w:t>a</w:t>
            </w:r>
            <w:r w:rsidR="007921E4" w:rsidRPr="000965FC">
              <w:rPr>
                <w:color w:val="000000" w:themeColor="text1"/>
                <w:sz w:val="26"/>
                <w:szCs w:val="26"/>
                <w:lang w:val="lv-LV"/>
              </w:rPr>
              <w:t>tbalst</w:t>
            </w:r>
            <w:r w:rsidR="001D4AA6" w:rsidRPr="000965FC">
              <w:rPr>
                <w:color w:val="000000" w:themeColor="text1"/>
                <w:sz w:val="26"/>
                <w:szCs w:val="26"/>
                <w:lang w:val="lv-LV"/>
              </w:rPr>
              <w:t>a</w:t>
            </w:r>
            <w:r w:rsidR="007921E4" w:rsidRPr="000965FC">
              <w:rPr>
                <w:color w:val="000000" w:themeColor="text1"/>
                <w:sz w:val="26"/>
                <w:szCs w:val="26"/>
                <w:lang w:val="lv-LV"/>
              </w:rPr>
              <w:t xml:space="preserve"> </w:t>
            </w:r>
            <w:r w:rsidR="001D4AA6" w:rsidRPr="000965FC">
              <w:rPr>
                <w:color w:val="000000" w:themeColor="text1"/>
                <w:sz w:val="26"/>
                <w:szCs w:val="26"/>
                <w:lang w:val="lv-LV"/>
              </w:rPr>
              <w:t xml:space="preserve">pieejamība Covid-19 ietekmētajiem </w:t>
            </w:r>
            <w:r w:rsidR="007921E4" w:rsidRPr="000965FC">
              <w:rPr>
                <w:color w:val="000000" w:themeColor="text1"/>
                <w:sz w:val="26"/>
                <w:szCs w:val="26"/>
                <w:lang w:val="lv-LV"/>
              </w:rPr>
              <w:t>uzņēmumiem pēc 2021.gada 1.janvāra</w:t>
            </w:r>
            <w:r w:rsidR="00E6289C" w:rsidRPr="000965FC">
              <w:rPr>
                <w:color w:val="000000" w:themeColor="text1"/>
                <w:sz w:val="26"/>
                <w:szCs w:val="26"/>
                <w:lang w:val="lv-LV"/>
              </w:rPr>
              <w:t>.</w:t>
            </w:r>
          </w:p>
          <w:p w14:paraId="6606407E" w14:textId="120B609F" w:rsidR="000B71FB" w:rsidRPr="000965FC" w:rsidRDefault="001342EF" w:rsidP="001342EF">
            <w:pPr>
              <w:spacing w:before="120"/>
              <w:jc w:val="both"/>
              <w:rPr>
                <w:color w:val="000000" w:themeColor="text1"/>
                <w:sz w:val="26"/>
                <w:szCs w:val="26"/>
                <w:lang w:val="lv-LV"/>
              </w:rPr>
            </w:pPr>
            <w:bookmarkStart w:id="6" w:name="_Hlk57995344"/>
            <w:r w:rsidRPr="000965FC">
              <w:rPr>
                <w:color w:val="000000" w:themeColor="text1"/>
                <w:sz w:val="26"/>
                <w:szCs w:val="26"/>
                <w:lang w:val="lv-LV"/>
              </w:rPr>
              <w:t xml:space="preserve">Krīzes vadības grupas uzņēmējdarbības veicināšanai ietvaros </w:t>
            </w:r>
            <w:bookmarkEnd w:id="6"/>
            <w:r w:rsidRPr="000965FC">
              <w:rPr>
                <w:color w:val="000000" w:themeColor="text1"/>
                <w:sz w:val="26"/>
                <w:szCs w:val="26"/>
                <w:lang w:val="lv-LV"/>
              </w:rPr>
              <w:t xml:space="preserve">tika turpinātas konsultācijas ar uzņēmēju pārstāvošajām </w:t>
            </w:r>
            <w:r w:rsidRPr="000965FC">
              <w:rPr>
                <w:color w:val="000000" w:themeColor="text1"/>
                <w:sz w:val="26"/>
                <w:szCs w:val="26"/>
                <w:lang w:val="lv-LV"/>
              </w:rPr>
              <w:lastRenderedPageBreak/>
              <w:t xml:space="preserve">organizācijām par atbalsta programmas nosacījumiem, tika secināts, ka atbalsts ir </w:t>
            </w:r>
            <w:r w:rsidR="007921E4" w:rsidRPr="000965FC">
              <w:rPr>
                <w:color w:val="000000" w:themeColor="text1"/>
                <w:sz w:val="26"/>
                <w:szCs w:val="26"/>
                <w:lang w:val="lv-LV"/>
              </w:rPr>
              <w:t>turpināms</w:t>
            </w:r>
            <w:r w:rsidRPr="000965FC">
              <w:rPr>
                <w:color w:val="000000" w:themeColor="text1"/>
                <w:sz w:val="26"/>
                <w:szCs w:val="26"/>
                <w:lang w:val="lv-LV"/>
              </w:rPr>
              <w:t xml:space="preserve"> Covid-19 skartajiem uzņēmumiem</w:t>
            </w:r>
            <w:r w:rsidR="007921E4" w:rsidRPr="000965FC">
              <w:rPr>
                <w:color w:val="000000" w:themeColor="text1"/>
                <w:sz w:val="26"/>
                <w:szCs w:val="26"/>
                <w:lang w:val="lv-LV"/>
              </w:rPr>
              <w:t>, ņemot vērā, ka turpinās Covid-19 izplatība un valstī tiek pastiprināti ierobežojumi</w:t>
            </w:r>
            <w:r w:rsidR="006C1316" w:rsidRPr="000965FC">
              <w:rPr>
                <w:color w:val="000000" w:themeColor="text1"/>
                <w:sz w:val="26"/>
                <w:szCs w:val="26"/>
                <w:lang w:val="lv-LV"/>
              </w:rPr>
              <w:t xml:space="preserve"> arī </w:t>
            </w:r>
            <w:r w:rsidR="001D4AA6" w:rsidRPr="000965FC">
              <w:rPr>
                <w:color w:val="000000" w:themeColor="text1"/>
                <w:sz w:val="26"/>
                <w:szCs w:val="26"/>
                <w:lang w:val="lv-LV"/>
              </w:rPr>
              <w:t>saimnieciskas darbības veicējiem.</w:t>
            </w:r>
            <w:r w:rsidR="00E6289C" w:rsidRPr="000965FC">
              <w:rPr>
                <w:color w:val="000000" w:themeColor="text1"/>
                <w:sz w:val="26"/>
                <w:szCs w:val="26"/>
                <w:lang w:val="lv-LV"/>
              </w:rPr>
              <w:t xml:space="preserve"> </w:t>
            </w:r>
          </w:p>
          <w:p w14:paraId="6E62EB49" w14:textId="066183B4" w:rsidR="001D4AA6" w:rsidRPr="000965FC" w:rsidRDefault="00E6289C" w:rsidP="001342EF">
            <w:pPr>
              <w:spacing w:before="120"/>
              <w:jc w:val="both"/>
              <w:rPr>
                <w:color w:val="000000" w:themeColor="text1"/>
                <w:sz w:val="26"/>
                <w:szCs w:val="26"/>
                <w:lang w:val="lv-LV"/>
              </w:rPr>
            </w:pPr>
            <w:r w:rsidRPr="000965FC">
              <w:rPr>
                <w:color w:val="000000" w:themeColor="text1"/>
                <w:sz w:val="26"/>
                <w:szCs w:val="26"/>
                <w:lang w:val="lv-LV"/>
              </w:rPr>
              <w:t>Attiecīgi MK Noteikumu projekts:</w:t>
            </w:r>
          </w:p>
          <w:p w14:paraId="15EF4E18" w14:textId="7C3F7BB6" w:rsidR="008247F1" w:rsidRPr="000965FC" w:rsidRDefault="001D4AA6" w:rsidP="00655B43">
            <w:pPr>
              <w:pStyle w:val="ListParagraph"/>
              <w:numPr>
                <w:ilvl w:val="0"/>
                <w:numId w:val="29"/>
              </w:numPr>
              <w:spacing w:before="120"/>
              <w:jc w:val="both"/>
              <w:rPr>
                <w:color w:val="000000" w:themeColor="text1"/>
                <w:sz w:val="26"/>
                <w:szCs w:val="26"/>
                <w:lang w:val="lv-LV"/>
              </w:rPr>
            </w:pPr>
            <w:r w:rsidRPr="000965FC">
              <w:rPr>
                <w:color w:val="000000" w:themeColor="text1"/>
                <w:sz w:val="26"/>
                <w:szCs w:val="26"/>
                <w:lang w:val="lv-LV"/>
              </w:rPr>
              <w:t xml:space="preserve">nosaka atbalsta periodu no </w:t>
            </w:r>
            <w:r w:rsidRPr="000965FC">
              <w:rPr>
                <w:color w:val="000000" w:themeColor="text1"/>
                <w:sz w:val="26"/>
                <w:szCs w:val="26"/>
                <w:shd w:val="clear" w:color="auto" w:fill="FFFFFF"/>
                <w:lang w:val="lv-LV"/>
              </w:rPr>
              <w:t>2020. gada 1. novembra līdz 202</w:t>
            </w:r>
            <w:r w:rsidR="00A2271B" w:rsidRPr="000965FC">
              <w:rPr>
                <w:color w:val="000000" w:themeColor="text1"/>
                <w:sz w:val="26"/>
                <w:szCs w:val="26"/>
                <w:shd w:val="clear" w:color="auto" w:fill="FFFFFF"/>
                <w:lang w:val="lv-LV"/>
              </w:rPr>
              <w:t>1</w:t>
            </w:r>
            <w:r w:rsidRPr="000965FC">
              <w:rPr>
                <w:color w:val="000000" w:themeColor="text1"/>
                <w:sz w:val="26"/>
                <w:szCs w:val="26"/>
                <w:shd w:val="clear" w:color="auto" w:fill="FFFFFF"/>
                <w:lang w:val="lv-LV"/>
              </w:rPr>
              <w:t xml:space="preserve">. gada </w:t>
            </w:r>
            <w:r w:rsidR="00C77469" w:rsidRPr="000965FC">
              <w:rPr>
                <w:color w:val="000000" w:themeColor="text1"/>
                <w:sz w:val="26"/>
                <w:szCs w:val="26"/>
                <w:shd w:val="clear" w:color="auto" w:fill="FFFFFF"/>
                <w:lang w:val="lv-LV"/>
              </w:rPr>
              <w:t>3</w:t>
            </w:r>
            <w:r w:rsidR="008247F1" w:rsidRPr="000965FC">
              <w:rPr>
                <w:color w:val="000000" w:themeColor="text1"/>
                <w:sz w:val="26"/>
                <w:szCs w:val="26"/>
                <w:shd w:val="clear" w:color="auto" w:fill="FFFFFF"/>
                <w:lang w:val="lv-LV"/>
              </w:rPr>
              <w:t>1</w:t>
            </w:r>
            <w:r w:rsidR="00C77469" w:rsidRPr="000965FC">
              <w:rPr>
                <w:color w:val="000000" w:themeColor="text1"/>
                <w:sz w:val="26"/>
                <w:szCs w:val="26"/>
                <w:shd w:val="clear" w:color="auto" w:fill="FFFFFF"/>
                <w:lang w:val="lv-LV"/>
              </w:rPr>
              <w:t>.maijam</w:t>
            </w:r>
            <w:r w:rsidR="008247F1" w:rsidRPr="000965FC">
              <w:rPr>
                <w:color w:val="000000" w:themeColor="text1"/>
                <w:sz w:val="26"/>
                <w:szCs w:val="26"/>
                <w:shd w:val="clear" w:color="auto" w:fill="FFFFFF"/>
                <w:lang w:val="lv-LV"/>
              </w:rPr>
              <w:t xml:space="preserve"> un attiecīgi precizē apgrozījuma krituma vērtējumu konkrētā atbalsta perioda mēnesī pret iepriekš MK Noteikumos Nr.676 noteikto periodu;</w:t>
            </w:r>
          </w:p>
          <w:p w14:paraId="78F55013" w14:textId="092A354D" w:rsidR="00433D14" w:rsidRPr="000965FC" w:rsidRDefault="00433D14" w:rsidP="006C1316">
            <w:pPr>
              <w:spacing w:before="120"/>
              <w:jc w:val="both"/>
              <w:rPr>
                <w:rFonts w:eastAsia="Times New Roman"/>
                <w:sz w:val="26"/>
                <w:szCs w:val="26"/>
                <w:lang w:val="lv-LV" w:eastAsia="lv-LV"/>
              </w:rPr>
            </w:pPr>
            <w:r w:rsidRPr="000965FC">
              <w:rPr>
                <w:color w:val="000000" w:themeColor="text1"/>
                <w:sz w:val="26"/>
                <w:szCs w:val="26"/>
                <w:lang w:val="lv-LV" w:eastAsia="lv-LV"/>
              </w:rPr>
              <w:t xml:space="preserve">MK Noteikumu projekts nosaka, ka turpmāk </w:t>
            </w:r>
            <w:r w:rsidRPr="000965FC">
              <w:rPr>
                <w:rFonts w:eastAsia="Times New Roman"/>
                <w:sz w:val="26"/>
                <w:szCs w:val="26"/>
                <w:lang w:val="lv-LV" w:eastAsia="lv-LV"/>
              </w:rPr>
              <w:t>atbalstu varēs saņemt tāds uzņēmums, kura atbalsta perioda mēnesī (nevis 2020.gada novembrī vai decembrī) apgrozījums ir krities vismaz par 20 %, salīdzinot ar vidējo apgrozījumu 2020. gada augustā, septembrī un oktobrī kopā, un kuram atbalsta perioda mēnesī (nevis 2020.gada novembrī vai decembrī) apgrozījums ir krities vismaz par 30 %, salīdzinot ar apgrozījumu 2019. gada attiecīgajā mēnesī. Attiecināmības periods apgrozījuma kritērija vērtēšanai tiek noteikts nemainīgi pret 2019.gadu, jo tas ir gads, kad nebija noteikti Covid-2019 izplatības ierobežojošie pasākumi un tādējādi nebija ietekmes uz tautsaimniecības attīstību.</w:t>
            </w:r>
          </w:p>
          <w:p w14:paraId="1840F8C3" w14:textId="369C86FA" w:rsidR="00433D14" w:rsidRPr="000965FC" w:rsidRDefault="00433D14" w:rsidP="006C1316">
            <w:pPr>
              <w:spacing w:before="120"/>
              <w:jc w:val="both"/>
              <w:rPr>
                <w:color w:val="000000" w:themeColor="text1"/>
                <w:sz w:val="26"/>
                <w:szCs w:val="26"/>
                <w:lang w:val="lv-LV" w:eastAsia="lv-LV"/>
              </w:rPr>
            </w:pPr>
            <w:r w:rsidRPr="000965FC">
              <w:rPr>
                <w:color w:val="000000" w:themeColor="text1"/>
                <w:sz w:val="26"/>
                <w:szCs w:val="26"/>
                <w:lang w:val="lv-LV" w:eastAsia="lv-LV"/>
              </w:rPr>
              <w:t xml:space="preserve">Arī jaundibinātiem uzņēmumiem jeb tādiem uzņēmumiem, </w:t>
            </w:r>
            <w:r w:rsidRPr="000965FC">
              <w:rPr>
                <w:rFonts w:eastAsia="Times New Roman"/>
                <w:sz w:val="26"/>
                <w:szCs w:val="26"/>
                <w:lang w:val="lv-LV" w:eastAsia="lv-LV"/>
              </w:rPr>
              <w:t>kas reģistrēti Valsts ieņēmumu dienestā kā nodokļu maksātāji pēc 2020. gada 1. janvāra  - apgrozījuma kritērijs turpmāk vērtējams atbalsta perioda mēnesī (kritums vismaz par 20%) salīdzinot ar vidējo apgrozījumu 2020. gada augustā, septembrī un oktobrī kopā jeb periodu, kad nebija noteikti Covid-2019 izplatības ierobežojošie pasākumi un tādējādi nebija ietekmes uz tautsaimniecības attīstību.</w:t>
            </w:r>
          </w:p>
          <w:p w14:paraId="2AD30D5F" w14:textId="17642BE9" w:rsidR="00683FA2" w:rsidRPr="000965FC" w:rsidRDefault="00683FA2" w:rsidP="006C1316">
            <w:pPr>
              <w:spacing w:before="120"/>
              <w:jc w:val="both"/>
              <w:rPr>
                <w:rFonts w:eastAsia="Times New Roman"/>
                <w:color w:val="000000" w:themeColor="text1"/>
                <w:sz w:val="26"/>
                <w:szCs w:val="26"/>
                <w:lang w:val="lv-LV" w:eastAsia="lv-LV"/>
              </w:rPr>
            </w:pPr>
            <w:r w:rsidRPr="000965FC">
              <w:rPr>
                <w:color w:val="000000" w:themeColor="text1"/>
                <w:sz w:val="26"/>
                <w:szCs w:val="26"/>
                <w:lang w:val="lv-LV" w:eastAsia="lv-LV"/>
              </w:rPr>
              <w:t xml:space="preserve">Jāņem vērā, ka </w:t>
            </w:r>
            <w:r w:rsidRPr="000965FC">
              <w:rPr>
                <w:sz w:val="26"/>
                <w:szCs w:val="26"/>
                <w:lang w:val="lv-LV"/>
              </w:rPr>
              <w:t>atbalsta apmērs ir nemainīgi nosakāms 30 % apmērā no uzņēmuma bruto darba algas kopsummas, par kuru samaksāti darba algas nodokļi 2020. gada augustā, septembrī un oktobrī jeb periodā, ka</w:t>
            </w:r>
            <w:r w:rsidR="008247F1" w:rsidRPr="000965FC">
              <w:rPr>
                <w:sz w:val="26"/>
                <w:szCs w:val="26"/>
                <w:lang w:val="lv-LV"/>
              </w:rPr>
              <w:t>d</w:t>
            </w:r>
            <w:r w:rsidRPr="000965FC">
              <w:rPr>
                <w:sz w:val="26"/>
                <w:szCs w:val="26"/>
                <w:lang w:val="lv-LV"/>
              </w:rPr>
              <w:t xml:space="preserve"> nebija izsludināta ārkārtas situācija valstī. </w:t>
            </w:r>
          </w:p>
          <w:p w14:paraId="32588395" w14:textId="393858C0" w:rsidR="006C1316" w:rsidRPr="000965FC" w:rsidRDefault="008247F1" w:rsidP="006C1316">
            <w:pPr>
              <w:pStyle w:val="ListParagraph"/>
              <w:numPr>
                <w:ilvl w:val="0"/>
                <w:numId w:val="29"/>
              </w:numPr>
              <w:spacing w:before="120"/>
              <w:jc w:val="both"/>
              <w:rPr>
                <w:color w:val="000000" w:themeColor="text1"/>
                <w:sz w:val="26"/>
                <w:szCs w:val="26"/>
                <w:lang w:val="lv-LV"/>
              </w:rPr>
            </w:pPr>
            <w:r w:rsidRPr="000965FC">
              <w:rPr>
                <w:color w:val="000000" w:themeColor="text1"/>
                <w:sz w:val="26"/>
                <w:szCs w:val="26"/>
                <w:lang w:val="lv-LV"/>
              </w:rPr>
              <w:t>precizē</w:t>
            </w:r>
            <w:r w:rsidR="001D4AA6" w:rsidRPr="000965FC">
              <w:rPr>
                <w:color w:val="000000" w:themeColor="text1"/>
                <w:sz w:val="26"/>
                <w:szCs w:val="26"/>
                <w:lang w:val="lv-LV"/>
              </w:rPr>
              <w:t xml:space="preserve"> </w:t>
            </w:r>
            <w:r w:rsidR="006C1316" w:rsidRPr="000965FC">
              <w:rPr>
                <w:color w:val="000000" w:themeColor="text1"/>
                <w:sz w:val="26"/>
                <w:szCs w:val="26"/>
                <w:lang w:val="lv-LV"/>
              </w:rPr>
              <w:t>kārtību</w:t>
            </w:r>
            <w:r w:rsidR="001D4AA6" w:rsidRPr="000965FC">
              <w:rPr>
                <w:color w:val="000000" w:themeColor="text1"/>
                <w:sz w:val="26"/>
                <w:szCs w:val="26"/>
                <w:lang w:val="lv-LV"/>
              </w:rPr>
              <w:t xml:space="preserve"> atbalsta sniegšanā – uz atbalstu var pieteikties par katru </w:t>
            </w:r>
            <w:r w:rsidR="00E6289C" w:rsidRPr="000965FC">
              <w:rPr>
                <w:color w:val="000000" w:themeColor="text1"/>
                <w:sz w:val="26"/>
                <w:szCs w:val="26"/>
                <w:lang w:val="lv-LV"/>
              </w:rPr>
              <w:t xml:space="preserve">(nevis visu atbalsta periodu kopā) </w:t>
            </w:r>
            <w:r w:rsidR="001D4AA6" w:rsidRPr="000965FC">
              <w:rPr>
                <w:color w:val="000000" w:themeColor="text1"/>
                <w:sz w:val="26"/>
                <w:szCs w:val="26"/>
                <w:lang w:val="lv-LV"/>
              </w:rPr>
              <w:t xml:space="preserve">no atbalsta perioda mēnešiem, nepārsniedzot atbalsta apmēra noteikto </w:t>
            </w:r>
            <w:r w:rsidR="008962E3" w:rsidRPr="000965FC">
              <w:rPr>
                <w:rFonts w:eastAsia="Times New Roman"/>
                <w:color w:val="000000" w:themeColor="text1"/>
                <w:sz w:val="26"/>
                <w:szCs w:val="26"/>
                <w:lang w:val="lv-LV" w:eastAsia="lv-LV"/>
              </w:rPr>
              <w:t>minēto apmēru, kas noteikts MK Noteikumu Nr.676 6. un 7.punktā</w:t>
            </w:r>
            <w:r w:rsidR="001D4AA6" w:rsidRPr="000965FC">
              <w:rPr>
                <w:color w:val="000000" w:themeColor="text1"/>
                <w:sz w:val="26"/>
                <w:szCs w:val="26"/>
                <w:lang w:val="lv-LV"/>
              </w:rPr>
              <w:t>;</w:t>
            </w:r>
            <w:r w:rsidR="006C1316" w:rsidRPr="000965FC">
              <w:rPr>
                <w:rFonts w:eastAsia="Times New Roman"/>
                <w:color w:val="000000" w:themeColor="text1"/>
                <w:sz w:val="26"/>
                <w:szCs w:val="26"/>
                <w:lang w:val="lv-LV" w:eastAsia="lv-LV"/>
              </w:rPr>
              <w:t xml:space="preserve"> </w:t>
            </w:r>
          </w:p>
          <w:p w14:paraId="68440D64" w14:textId="3E67D2F5" w:rsidR="00506BA0" w:rsidRPr="000965FC" w:rsidRDefault="00506BA0" w:rsidP="00506BA0">
            <w:pPr>
              <w:spacing w:before="120"/>
              <w:jc w:val="both"/>
              <w:rPr>
                <w:color w:val="000000" w:themeColor="text1"/>
                <w:sz w:val="26"/>
                <w:szCs w:val="26"/>
                <w:lang w:val="lv-LV"/>
              </w:rPr>
            </w:pPr>
            <w:r w:rsidRPr="000965FC">
              <w:rPr>
                <w:color w:val="000000" w:themeColor="text1"/>
                <w:sz w:val="26"/>
                <w:szCs w:val="26"/>
                <w:lang w:val="lv-LV"/>
              </w:rPr>
              <w:t xml:space="preserve">MK noteikumu Nr.676 6. un 7.punktā noteiktais apmērs nav pārsniedzams par atbalsta perioda katru mēnesi atsevišķi un kopējā atbalsta summa, kas sniegta saskaņā Pagaidu regulējumu, nepārsniedz 800 000 vai attiecīgi 120 00 </w:t>
            </w:r>
            <w:r w:rsidRPr="000965FC">
              <w:rPr>
                <w:i/>
                <w:iCs/>
                <w:color w:val="000000" w:themeColor="text1"/>
                <w:sz w:val="26"/>
                <w:szCs w:val="26"/>
                <w:lang w:val="lv-LV"/>
              </w:rPr>
              <w:t>euro </w:t>
            </w:r>
            <w:r w:rsidRPr="000965FC">
              <w:rPr>
                <w:color w:val="000000" w:themeColor="text1"/>
                <w:sz w:val="26"/>
                <w:szCs w:val="26"/>
                <w:lang w:val="lv-LV"/>
              </w:rPr>
              <w:t>saistītu personu grupai.</w:t>
            </w:r>
          </w:p>
          <w:p w14:paraId="0F6336C7" w14:textId="12CE2E73" w:rsidR="00FB6F6B" w:rsidRPr="000965FC" w:rsidRDefault="001D4AA6" w:rsidP="001D4AA6">
            <w:pPr>
              <w:pStyle w:val="ListParagraph"/>
              <w:numPr>
                <w:ilvl w:val="0"/>
                <w:numId w:val="29"/>
              </w:numPr>
              <w:spacing w:before="120"/>
              <w:jc w:val="both"/>
              <w:rPr>
                <w:color w:val="000000" w:themeColor="text1"/>
                <w:sz w:val="26"/>
                <w:szCs w:val="26"/>
                <w:lang w:val="lv-LV"/>
              </w:rPr>
            </w:pPr>
            <w:r w:rsidRPr="000965FC">
              <w:rPr>
                <w:rFonts w:eastAsia="Times New Roman"/>
                <w:color w:val="000000" w:themeColor="text1"/>
                <w:sz w:val="26"/>
                <w:szCs w:val="26"/>
                <w:lang w:val="lv-LV" w:eastAsia="lv-LV"/>
              </w:rPr>
              <w:lastRenderedPageBreak/>
              <w:t xml:space="preserve">nosaka, ka uzņēmums, kas saņēmis atbalstu par atbalsta periodu </w:t>
            </w:r>
            <w:r w:rsidRPr="000965FC">
              <w:rPr>
                <w:color w:val="000000" w:themeColor="text1"/>
                <w:sz w:val="26"/>
                <w:szCs w:val="26"/>
                <w:shd w:val="clear" w:color="auto" w:fill="FFFFFF"/>
                <w:lang w:val="lv-LV"/>
              </w:rPr>
              <w:t xml:space="preserve">no 2020. gada 1. novembra </w:t>
            </w:r>
            <w:r w:rsidRPr="000965FC">
              <w:rPr>
                <w:rFonts w:eastAsia="Times New Roman"/>
                <w:color w:val="000000" w:themeColor="text1"/>
                <w:sz w:val="26"/>
                <w:szCs w:val="26"/>
                <w:lang w:val="lv-LV" w:eastAsia="lv-LV"/>
              </w:rPr>
              <w:t>līdz 2020.gada 31.decembrim, var atkārtoti pieteikties atbalstam par 2020.gada novembra vai decembra mēnesi atsevišķi un saņemt atbalstu, kas</w:t>
            </w:r>
            <w:r w:rsidR="006C1316" w:rsidRPr="000965FC">
              <w:rPr>
                <w:rFonts w:eastAsia="Times New Roman"/>
                <w:color w:val="000000" w:themeColor="text1"/>
                <w:sz w:val="26"/>
                <w:szCs w:val="26"/>
                <w:lang w:val="lv-LV" w:eastAsia="lv-LV"/>
              </w:rPr>
              <w:t xml:space="preserve"> katrā</w:t>
            </w:r>
            <w:r w:rsidRPr="000965FC">
              <w:rPr>
                <w:rFonts w:eastAsia="Times New Roman"/>
                <w:color w:val="000000" w:themeColor="text1"/>
                <w:sz w:val="26"/>
                <w:szCs w:val="26"/>
                <w:lang w:val="lv-LV" w:eastAsia="lv-LV"/>
              </w:rPr>
              <w:t xml:space="preserve"> atbalsta</w:t>
            </w:r>
            <w:r w:rsidR="006C1316" w:rsidRPr="000965FC">
              <w:rPr>
                <w:rFonts w:eastAsia="Times New Roman"/>
                <w:color w:val="000000" w:themeColor="text1"/>
                <w:sz w:val="26"/>
                <w:szCs w:val="26"/>
                <w:lang w:val="lv-LV" w:eastAsia="lv-LV"/>
              </w:rPr>
              <w:t xml:space="preserve"> perioda</w:t>
            </w:r>
            <w:r w:rsidRPr="000965FC">
              <w:rPr>
                <w:rFonts w:eastAsia="Times New Roman"/>
                <w:color w:val="000000" w:themeColor="text1"/>
                <w:sz w:val="26"/>
                <w:szCs w:val="26"/>
                <w:lang w:val="lv-LV" w:eastAsia="lv-LV"/>
              </w:rPr>
              <w:t xml:space="preserve"> mēnesī</w:t>
            </w:r>
            <w:r w:rsidR="008247F1" w:rsidRPr="000965FC">
              <w:rPr>
                <w:rFonts w:eastAsia="Times New Roman"/>
                <w:color w:val="000000" w:themeColor="text1"/>
                <w:sz w:val="26"/>
                <w:szCs w:val="26"/>
                <w:lang w:val="lv-LV" w:eastAsia="lv-LV"/>
              </w:rPr>
              <w:t xml:space="preserve"> kopā ar pirms tam saņemto atbalstu</w:t>
            </w:r>
            <w:r w:rsidRPr="000965FC">
              <w:rPr>
                <w:rFonts w:eastAsia="Times New Roman"/>
                <w:color w:val="000000" w:themeColor="text1"/>
                <w:sz w:val="26"/>
                <w:szCs w:val="26"/>
                <w:lang w:val="lv-LV" w:eastAsia="lv-LV"/>
              </w:rPr>
              <w:t xml:space="preserve"> nepārsniedz </w:t>
            </w:r>
            <w:r w:rsidR="006C1316" w:rsidRPr="000965FC">
              <w:rPr>
                <w:rFonts w:eastAsia="Times New Roman"/>
                <w:color w:val="000000" w:themeColor="text1"/>
                <w:sz w:val="26"/>
                <w:szCs w:val="26"/>
                <w:lang w:val="lv-LV" w:eastAsia="lv-LV"/>
              </w:rPr>
              <w:t>MK N</w:t>
            </w:r>
            <w:r w:rsidRPr="000965FC">
              <w:rPr>
                <w:rFonts w:eastAsia="Times New Roman"/>
                <w:color w:val="000000" w:themeColor="text1"/>
                <w:sz w:val="26"/>
                <w:szCs w:val="26"/>
                <w:lang w:val="lv-LV" w:eastAsia="lv-LV"/>
              </w:rPr>
              <w:t xml:space="preserve">oteikumu </w:t>
            </w:r>
            <w:r w:rsidR="006C1316" w:rsidRPr="000965FC">
              <w:rPr>
                <w:rFonts w:eastAsia="Times New Roman"/>
                <w:color w:val="000000" w:themeColor="text1"/>
                <w:sz w:val="26"/>
                <w:szCs w:val="26"/>
                <w:lang w:val="lv-LV" w:eastAsia="lv-LV"/>
              </w:rPr>
              <w:t xml:space="preserve">Nr.676 </w:t>
            </w:r>
            <w:r w:rsidRPr="000965FC">
              <w:rPr>
                <w:rFonts w:eastAsia="Times New Roman"/>
                <w:color w:val="000000" w:themeColor="text1"/>
                <w:sz w:val="26"/>
                <w:szCs w:val="26"/>
                <w:lang w:val="lv-LV" w:eastAsia="lv-LV"/>
              </w:rPr>
              <w:t>6. un 7.punktā minēto apmēru</w:t>
            </w:r>
            <w:r w:rsidR="00C77469" w:rsidRPr="000965FC">
              <w:rPr>
                <w:rFonts w:eastAsia="Times New Roman"/>
                <w:color w:val="000000" w:themeColor="text1"/>
                <w:sz w:val="26"/>
                <w:szCs w:val="26"/>
                <w:lang w:val="lv-LV" w:eastAsia="lv-LV"/>
              </w:rPr>
              <w:t>;</w:t>
            </w:r>
          </w:p>
          <w:p w14:paraId="367EEBCC" w14:textId="53868843" w:rsidR="001D4AA6" w:rsidRPr="000965FC" w:rsidRDefault="00FB6F6B" w:rsidP="00FB6F6B">
            <w:pPr>
              <w:spacing w:before="120"/>
              <w:jc w:val="both"/>
              <w:rPr>
                <w:color w:val="000000" w:themeColor="text1"/>
                <w:sz w:val="26"/>
                <w:szCs w:val="26"/>
                <w:lang w:val="lv-LV"/>
              </w:rPr>
            </w:pPr>
            <w:r w:rsidRPr="000965FC">
              <w:rPr>
                <w:rFonts w:eastAsia="Times New Roman"/>
                <w:color w:val="000000" w:themeColor="text1"/>
                <w:sz w:val="26"/>
                <w:szCs w:val="26"/>
                <w:lang w:val="lv-LV" w:eastAsia="lv-LV"/>
              </w:rPr>
              <w:t>T</w:t>
            </w:r>
            <w:r w:rsidR="001F37E9" w:rsidRPr="000965FC">
              <w:rPr>
                <w:rFonts w:eastAsia="Times New Roman"/>
                <w:color w:val="000000" w:themeColor="text1"/>
                <w:sz w:val="26"/>
                <w:szCs w:val="26"/>
                <w:lang w:val="lv-LV" w:eastAsia="lv-LV"/>
              </w:rPr>
              <w:t xml:space="preserve">.i., </w:t>
            </w:r>
            <w:r w:rsidR="004E403D" w:rsidRPr="000965FC">
              <w:rPr>
                <w:rFonts w:eastAsia="Times New Roman"/>
                <w:color w:val="000000" w:themeColor="text1"/>
                <w:sz w:val="26"/>
                <w:szCs w:val="26"/>
                <w:lang w:val="lv-LV" w:eastAsia="lv-LV"/>
              </w:rPr>
              <w:t>tik</w:t>
            </w:r>
            <w:r w:rsidR="002C3AD4">
              <w:rPr>
                <w:rFonts w:eastAsia="Times New Roman"/>
                <w:color w:val="000000" w:themeColor="text1"/>
                <w:sz w:val="26"/>
                <w:szCs w:val="26"/>
                <w:lang w:val="lv-LV" w:eastAsia="lv-LV"/>
              </w:rPr>
              <w:t>s</w:t>
            </w:r>
            <w:bookmarkStart w:id="7" w:name="_GoBack"/>
            <w:bookmarkEnd w:id="7"/>
            <w:r w:rsidR="004E403D" w:rsidRPr="000965FC">
              <w:rPr>
                <w:rFonts w:eastAsia="Times New Roman"/>
                <w:color w:val="000000" w:themeColor="text1"/>
                <w:sz w:val="26"/>
                <w:szCs w:val="26"/>
                <w:lang w:val="lv-LV" w:eastAsia="lv-LV"/>
              </w:rPr>
              <w:t xml:space="preserve"> uzskatīts, ka līdz šim atbalsta programmas ietvaros saņemtais atbalsts ir saņemts</w:t>
            </w:r>
            <w:r w:rsidRPr="000965FC">
              <w:rPr>
                <w:rFonts w:eastAsia="Times New Roman"/>
                <w:color w:val="000000" w:themeColor="text1"/>
                <w:sz w:val="26"/>
                <w:szCs w:val="26"/>
                <w:lang w:val="lv-LV" w:eastAsia="lv-LV"/>
              </w:rPr>
              <w:t xml:space="preserve"> tikai</w:t>
            </w:r>
            <w:r w:rsidR="004E403D" w:rsidRPr="000965FC">
              <w:rPr>
                <w:rFonts w:eastAsia="Times New Roman"/>
                <w:color w:val="000000" w:themeColor="text1"/>
                <w:sz w:val="26"/>
                <w:szCs w:val="26"/>
                <w:lang w:val="lv-LV" w:eastAsia="lv-LV"/>
              </w:rPr>
              <w:t xml:space="preserve"> par vienu no 2020.gada mēnešiem (novembri vai decembri) un</w:t>
            </w:r>
            <w:r w:rsidR="003E0D6F" w:rsidRPr="000965FC">
              <w:rPr>
                <w:rFonts w:eastAsia="Times New Roman"/>
                <w:color w:val="000000" w:themeColor="text1"/>
                <w:sz w:val="26"/>
                <w:szCs w:val="26"/>
                <w:lang w:val="lv-LV" w:eastAsia="lv-LV"/>
              </w:rPr>
              <w:t xml:space="preserve"> uzņēmums var</w:t>
            </w:r>
            <w:r w:rsidR="004E403D" w:rsidRPr="000965FC">
              <w:rPr>
                <w:rFonts w:eastAsia="Times New Roman"/>
                <w:color w:val="000000" w:themeColor="text1"/>
                <w:sz w:val="26"/>
                <w:szCs w:val="26"/>
                <w:lang w:val="lv-LV" w:eastAsia="lv-LV"/>
              </w:rPr>
              <w:t xml:space="preserve"> </w:t>
            </w:r>
            <w:r w:rsidR="001F37E9" w:rsidRPr="000965FC">
              <w:rPr>
                <w:rFonts w:eastAsia="Times New Roman"/>
                <w:color w:val="000000" w:themeColor="text1"/>
                <w:sz w:val="26"/>
                <w:szCs w:val="26"/>
                <w:lang w:val="lv-LV" w:eastAsia="lv-LV"/>
              </w:rPr>
              <w:t>saņemt iztrūkstošo starpību, ja tāda uzņēmumam tika identificēta, pirmajā reizē piesakot atbalstu par 2020.gada novembri un decembri kopā</w:t>
            </w:r>
            <w:r w:rsidR="004E403D" w:rsidRPr="000965FC">
              <w:rPr>
                <w:rFonts w:eastAsia="Times New Roman"/>
                <w:color w:val="000000" w:themeColor="text1"/>
                <w:sz w:val="26"/>
                <w:szCs w:val="26"/>
                <w:lang w:val="lv-LV" w:eastAsia="lv-LV"/>
              </w:rPr>
              <w:t>, tai skaitā, saņemt atbalstu par 2020.gada otru atbalsta perioda mēnesi atsevišķi</w:t>
            </w:r>
            <w:r w:rsidR="0035018A" w:rsidRPr="000965FC">
              <w:rPr>
                <w:rFonts w:eastAsia="Times New Roman"/>
                <w:color w:val="000000" w:themeColor="text1"/>
                <w:sz w:val="26"/>
                <w:szCs w:val="26"/>
                <w:lang w:val="lv-LV" w:eastAsia="lv-LV"/>
              </w:rPr>
              <w:t>,</w:t>
            </w:r>
            <w:r w:rsidR="0035018A" w:rsidRPr="000965FC">
              <w:rPr>
                <w:rFonts w:eastAsia="Times New Roman"/>
                <w:sz w:val="26"/>
                <w:szCs w:val="26"/>
                <w:lang w:eastAsia="lv-LV"/>
              </w:rPr>
              <w:t xml:space="preserve"> kas </w:t>
            </w:r>
            <w:r w:rsidR="0035018A" w:rsidRPr="000965FC">
              <w:rPr>
                <w:rFonts w:eastAsia="Times New Roman"/>
                <w:sz w:val="26"/>
                <w:szCs w:val="26"/>
                <w:lang w:val="lv-LV" w:eastAsia="lv-LV"/>
              </w:rPr>
              <w:t>atbalsta perioda mēnesī kopā ar jau saņemto atbalstu nepārsniedz MK Noteikumu Nr.676 6. un 7. punktā minēto apmēru</w:t>
            </w:r>
            <w:r w:rsidRPr="000965FC">
              <w:rPr>
                <w:rFonts w:eastAsia="Times New Roman"/>
                <w:color w:val="000000" w:themeColor="text1"/>
                <w:sz w:val="26"/>
                <w:szCs w:val="26"/>
                <w:lang w:val="lv-LV" w:eastAsia="lv-LV"/>
              </w:rPr>
              <w:t>.</w:t>
            </w:r>
          </w:p>
          <w:p w14:paraId="65501F2B" w14:textId="52656E97" w:rsidR="00C420F9" w:rsidRPr="000965FC" w:rsidRDefault="008962E3" w:rsidP="00C420F9">
            <w:pPr>
              <w:pStyle w:val="ListParagraph"/>
              <w:numPr>
                <w:ilvl w:val="0"/>
                <w:numId w:val="29"/>
              </w:numPr>
              <w:spacing w:before="120"/>
              <w:jc w:val="both"/>
              <w:rPr>
                <w:color w:val="000000" w:themeColor="text1"/>
                <w:sz w:val="26"/>
                <w:szCs w:val="26"/>
                <w:lang w:val="lv-LV"/>
              </w:rPr>
            </w:pPr>
            <w:r w:rsidRPr="000965FC">
              <w:rPr>
                <w:color w:val="000000" w:themeColor="text1"/>
                <w:sz w:val="26"/>
                <w:szCs w:val="26"/>
                <w:lang w:val="lv-LV"/>
              </w:rPr>
              <w:t xml:space="preserve">precizēts </w:t>
            </w:r>
            <w:r w:rsidR="00E6289C" w:rsidRPr="000965FC">
              <w:rPr>
                <w:color w:val="000000" w:themeColor="text1"/>
                <w:sz w:val="26"/>
                <w:szCs w:val="26"/>
                <w:lang w:val="lv-LV"/>
              </w:rPr>
              <w:t>i</w:t>
            </w:r>
            <w:r w:rsidRPr="000965FC">
              <w:rPr>
                <w:color w:val="000000" w:themeColor="text1"/>
                <w:sz w:val="26"/>
                <w:szCs w:val="26"/>
                <w:lang w:val="lv-LV"/>
              </w:rPr>
              <w:t>erobežojums pievienotās vērtības nodokļu maksātajiem</w:t>
            </w:r>
            <w:r w:rsidR="00C77469" w:rsidRPr="000965FC">
              <w:rPr>
                <w:color w:val="000000" w:themeColor="text1"/>
                <w:sz w:val="26"/>
                <w:szCs w:val="26"/>
                <w:lang w:val="lv-LV"/>
              </w:rPr>
              <w:t>;</w:t>
            </w:r>
          </w:p>
          <w:p w14:paraId="0ED7916E" w14:textId="7F815D13" w:rsidR="006A4C69" w:rsidRPr="000965FC" w:rsidRDefault="008962E3" w:rsidP="001342EF">
            <w:pPr>
              <w:spacing w:before="120"/>
              <w:jc w:val="both"/>
              <w:rPr>
                <w:color w:val="000000" w:themeColor="text1"/>
                <w:sz w:val="26"/>
                <w:szCs w:val="26"/>
                <w:shd w:val="clear" w:color="auto" w:fill="FFFFFF"/>
                <w:lang w:val="lv-LV"/>
              </w:rPr>
            </w:pPr>
            <w:r w:rsidRPr="000965FC">
              <w:rPr>
                <w:color w:val="000000" w:themeColor="text1"/>
                <w:sz w:val="26"/>
                <w:szCs w:val="26"/>
                <w:lang w:val="lv-LV"/>
              </w:rPr>
              <w:t>MK Noteikumu projekta mērķis ir ierobežot tādu atbalsta pretendentu loku, kas nepilda saistības pret valsti. Attiecīgi</w:t>
            </w:r>
            <w:r w:rsidR="00E6289C" w:rsidRPr="000965FC">
              <w:rPr>
                <w:color w:val="000000" w:themeColor="text1"/>
                <w:sz w:val="26"/>
                <w:szCs w:val="26"/>
                <w:lang w:val="lv-LV"/>
              </w:rPr>
              <w:t>,</w:t>
            </w:r>
            <w:r w:rsidRPr="000965FC">
              <w:rPr>
                <w:color w:val="000000" w:themeColor="text1"/>
                <w:sz w:val="26"/>
                <w:szCs w:val="26"/>
                <w:lang w:val="lv-LV"/>
              </w:rPr>
              <w:t xml:space="preserve"> </w:t>
            </w:r>
            <w:r w:rsidRPr="000965FC">
              <w:rPr>
                <w:color w:val="000000" w:themeColor="text1"/>
                <w:sz w:val="26"/>
                <w:szCs w:val="26"/>
                <w:shd w:val="clear" w:color="auto" w:fill="FFFFFF"/>
                <w:lang w:val="lv-LV"/>
              </w:rPr>
              <w:t>ja uzņēmums ir izslēgts vai pēdējo divu gadu laikā ir bijis izslēgts no Valsts ieņēmumu dienesta pievienotās vērtības nodokļa maksātāju reģistra </w:t>
            </w:r>
            <w:bookmarkStart w:id="8" w:name="_Hlk60762974"/>
            <w:r w:rsidR="00FB6F6B" w:rsidRPr="000965FC">
              <w:rPr>
                <w:color w:val="000000" w:themeColor="text1"/>
                <w:sz w:val="26"/>
                <w:szCs w:val="26"/>
                <w:lang w:val="lv-LV"/>
              </w:rPr>
              <w:t>vai tam ir vai pēdējo divu gadu laikā ir bijusi apturēta saimnieciskā darbība</w:t>
            </w:r>
            <w:bookmarkEnd w:id="8"/>
            <w:r w:rsidRPr="000965FC">
              <w:rPr>
                <w:color w:val="000000" w:themeColor="text1"/>
                <w:sz w:val="26"/>
                <w:szCs w:val="26"/>
                <w:shd w:val="clear" w:color="auto" w:fill="FFFFFF"/>
                <w:lang w:val="lv-LV"/>
              </w:rPr>
              <w:t xml:space="preserve">, tam </w:t>
            </w:r>
            <w:r w:rsidR="00E6289C" w:rsidRPr="000965FC">
              <w:rPr>
                <w:color w:val="000000" w:themeColor="text1"/>
                <w:sz w:val="26"/>
                <w:szCs w:val="26"/>
                <w:shd w:val="clear" w:color="auto" w:fill="FFFFFF"/>
                <w:lang w:val="lv-LV"/>
              </w:rPr>
              <w:t xml:space="preserve">nav paredzēts sniegt </w:t>
            </w:r>
            <w:r w:rsidRPr="000965FC">
              <w:rPr>
                <w:color w:val="000000" w:themeColor="text1"/>
                <w:sz w:val="26"/>
                <w:szCs w:val="26"/>
                <w:shd w:val="clear" w:color="auto" w:fill="FFFFFF"/>
                <w:lang w:val="lv-LV"/>
              </w:rPr>
              <w:t xml:space="preserve">atbalstu. Vienlaikus normas mērķis nav attiecināms uz gadījumu, kad uzņēmums izslēgts no Valsts ieņēmumu dienesta pievienotās vērtības nodokļa maksātāju reģistra  pēc savas iniciatīvas. Lai neradītu šaubas atbalsta sniedzējiem un saņēmējiem par normas interpretāciju, precizēts MK Noteikumu </w:t>
            </w:r>
            <w:r w:rsidR="00FB6F6B" w:rsidRPr="000965FC">
              <w:rPr>
                <w:color w:val="000000" w:themeColor="text1"/>
                <w:sz w:val="26"/>
                <w:szCs w:val="26"/>
                <w:shd w:val="clear" w:color="auto" w:fill="FFFFFF"/>
                <w:lang w:val="lv-LV"/>
              </w:rPr>
              <w:t xml:space="preserve">Nr.676 </w:t>
            </w:r>
            <w:r w:rsidRPr="000965FC">
              <w:rPr>
                <w:color w:val="000000" w:themeColor="text1"/>
                <w:sz w:val="26"/>
                <w:szCs w:val="26"/>
                <w:shd w:val="clear" w:color="auto" w:fill="FFFFFF"/>
                <w:lang w:val="lv-LV"/>
              </w:rPr>
              <w:t>16.3.apakšpunkts.</w:t>
            </w:r>
          </w:p>
          <w:p w14:paraId="69D96193" w14:textId="07F4DEB9" w:rsidR="001F37E9" w:rsidRPr="000965FC" w:rsidRDefault="001F37E9" w:rsidP="001342EF">
            <w:pPr>
              <w:spacing w:before="120"/>
              <w:jc w:val="both"/>
              <w:rPr>
                <w:sz w:val="26"/>
                <w:szCs w:val="26"/>
                <w:lang w:val="lv-LV" w:eastAsia="lv-LV"/>
              </w:rPr>
            </w:pPr>
            <w:r w:rsidRPr="000965FC">
              <w:rPr>
                <w:sz w:val="26"/>
                <w:szCs w:val="26"/>
                <w:lang w:val="lv-LV" w:eastAsia="lv-LV"/>
              </w:rPr>
              <w:t>Ar MK Noteikumu projektu paredzētās izmaiņas plānotas atbalsta programmas piešķirtā valsts budžeta finansējuma ietvaros (70,8 milj. EUR</w:t>
            </w:r>
            <w:r w:rsidR="00FB6F6B" w:rsidRPr="000965FC">
              <w:rPr>
                <w:color w:val="000000" w:themeColor="text1"/>
                <w:sz w:val="26"/>
                <w:szCs w:val="26"/>
                <w:lang w:val="lv-LV"/>
              </w:rPr>
              <w:t xml:space="preserve"> no līdzekļiem neparedzētiem gadījumiem</w:t>
            </w:r>
            <w:r w:rsidRPr="000965FC">
              <w:rPr>
                <w:sz w:val="26"/>
                <w:szCs w:val="26"/>
                <w:lang w:val="lv-LV" w:eastAsia="lv-LV"/>
              </w:rPr>
              <w:t>).</w:t>
            </w:r>
          </w:p>
          <w:p w14:paraId="6E9EBE78" w14:textId="3BC2CBCE" w:rsidR="002D36AB" w:rsidRPr="000965FC" w:rsidRDefault="002D36AB" w:rsidP="001342EF">
            <w:pPr>
              <w:pStyle w:val="paragraph"/>
              <w:spacing w:before="120" w:beforeAutospacing="0" w:after="0" w:afterAutospacing="0"/>
              <w:jc w:val="both"/>
              <w:rPr>
                <w:iCs/>
                <w:color w:val="000000" w:themeColor="text1"/>
                <w:sz w:val="26"/>
                <w:szCs w:val="26"/>
              </w:rPr>
            </w:pPr>
            <w:r w:rsidRPr="000965FC">
              <w:rPr>
                <w:iCs/>
                <w:color w:val="000000" w:themeColor="text1"/>
                <w:sz w:val="26"/>
                <w:szCs w:val="26"/>
              </w:rPr>
              <w:t>Eiropas Komisijas 2020.gada 16.decembrī pieņēma lēmumu</w:t>
            </w:r>
            <w:r w:rsidRPr="000965FC">
              <w:rPr>
                <w:color w:val="000000" w:themeColor="text1"/>
                <w:sz w:val="26"/>
                <w:szCs w:val="26"/>
              </w:rPr>
              <w:t xml:space="preserve"> par MK Noteikumiem Nr.676</w:t>
            </w:r>
            <w:r w:rsidRPr="000965FC">
              <w:rPr>
                <w:iCs/>
                <w:color w:val="000000" w:themeColor="text1"/>
                <w:sz w:val="26"/>
                <w:szCs w:val="26"/>
              </w:rPr>
              <w:t xml:space="preserve"> (</w:t>
            </w:r>
            <w:r w:rsidRPr="000965FC">
              <w:rPr>
                <w:i/>
                <w:color w:val="000000" w:themeColor="text1"/>
                <w:sz w:val="26"/>
                <w:szCs w:val="26"/>
                <w:lang w:val="en-US"/>
              </w:rPr>
              <w:t>SA.59592 (2020/N) – Latvia COVID-19: Grants to companies affected by the COVID-19 crisis to ensure the flow of working capital</w:t>
            </w:r>
            <w:r w:rsidRPr="000965FC">
              <w:rPr>
                <w:iCs/>
                <w:color w:val="000000" w:themeColor="text1"/>
                <w:sz w:val="26"/>
                <w:szCs w:val="26"/>
              </w:rPr>
              <w:t xml:space="preserve">). </w:t>
            </w:r>
          </w:p>
          <w:p w14:paraId="75F6D96E" w14:textId="145058BB" w:rsidR="001342EF" w:rsidRPr="000965FC" w:rsidRDefault="002D36AB" w:rsidP="002D36AB">
            <w:pPr>
              <w:pStyle w:val="paragraph"/>
              <w:spacing w:before="120" w:beforeAutospacing="0" w:after="0" w:afterAutospacing="0"/>
              <w:jc w:val="both"/>
              <w:rPr>
                <w:sz w:val="26"/>
                <w:szCs w:val="26"/>
              </w:rPr>
            </w:pPr>
            <w:r w:rsidRPr="000965FC">
              <w:rPr>
                <w:iCs/>
                <w:color w:val="000000" w:themeColor="text1"/>
                <w:sz w:val="26"/>
                <w:szCs w:val="26"/>
              </w:rPr>
              <w:t xml:space="preserve">Ņemot vērā MK Noteikumu projektā iekļautos grozījumus, Ekonomikas ministrija 5 darbdienu laikā sagatavos un iesniegs ar Finanšu ministriju saskaņotu </w:t>
            </w:r>
            <w:r w:rsidR="001342EF" w:rsidRPr="000965FC">
              <w:rPr>
                <w:color w:val="000000" w:themeColor="text1"/>
                <w:sz w:val="26"/>
                <w:szCs w:val="26"/>
              </w:rPr>
              <w:t xml:space="preserve">paziņojumu </w:t>
            </w:r>
            <w:r w:rsidRPr="000965FC">
              <w:rPr>
                <w:iCs/>
                <w:color w:val="000000" w:themeColor="text1"/>
                <w:sz w:val="26"/>
                <w:szCs w:val="26"/>
              </w:rPr>
              <w:t xml:space="preserve">Eiropas Komisijai </w:t>
            </w:r>
            <w:r w:rsidR="001342EF" w:rsidRPr="000965FC">
              <w:rPr>
                <w:color w:val="000000" w:themeColor="text1"/>
                <w:sz w:val="26"/>
                <w:szCs w:val="26"/>
              </w:rPr>
              <w:t>par MK Noteikum</w:t>
            </w:r>
            <w:r w:rsidRPr="000965FC">
              <w:rPr>
                <w:color w:val="000000" w:themeColor="text1"/>
                <w:sz w:val="26"/>
                <w:szCs w:val="26"/>
              </w:rPr>
              <w:t>u projektu</w:t>
            </w:r>
            <w:r w:rsidR="001342EF" w:rsidRPr="000965FC">
              <w:rPr>
                <w:color w:val="000000" w:themeColor="text1"/>
                <w:sz w:val="26"/>
                <w:szCs w:val="26"/>
              </w:rPr>
              <w:t>, izmantojot Eiropas Komisijas pārziņā esošo elektroniskās paziņošanas sistēmu – SANI 2</w:t>
            </w:r>
            <w:r w:rsidR="001342EF" w:rsidRPr="000965FC">
              <w:rPr>
                <w:iCs/>
                <w:color w:val="000000" w:themeColor="text1"/>
                <w:sz w:val="26"/>
                <w:szCs w:val="26"/>
              </w:rPr>
              <w:t xml:space="preserve">.  </w:t>
            </w:r>
            <w:r w:rsidR="00D953BF" w:rsidRPr="000965FC">
              <w:rPr>
                <w:color w:val="000000" w:themeColor="text1"/>
                <w:sz w:val="26"/>
                <w:szCs w:val="26"/>
                <w:shd w:val="clear" w:color="auto" w:fill="FFFFFF"/>
              </w:rPr>
              <w:t xml:space="preserve">Ekonomikas ministrija pēc tam, kad Eiropas Komisija pieņēmusi lēmumu par MK Noteikumu projektā </w:t>
            </w:r>
            <w:r w:rsidR="00D953BF" w:rsidRPr="000965FC">
              <w:rPr>
                <w:color w:val="000000" w:themeColor="text1"/>
                <w:sz w:val="26"/>
                <w:szCs w:val="26"/>
                <w:shd w:val="clear" w:color="auto" w:fill="FFFFFF"/>
              </w:rPr>
              <w:lastRenderedPageBreak/>
              <w:t>ietvertā komercdarbības atbalsta saderību ar Eiropas Savienības iekšējo tirgu, nosūta attiecīgu paziņojumu publicēšanai oficiālajā izdevumā "Latvijas Vēstnesis".</w:t>
            </w:r>
          </w:p>
          <w:p w14:paraId="0E5A19C3" w14:textId="12F757AB" w:rsidR="001342EF" w:rsidRPr="000965FC" w:rsidRDefault="00FB6F6B" w:rsidP="006A4C69">
            <w:pPr>
              <w:jc w:val="both"/>
              <w:rPr>
                <w:rFonts w:eastAsia="Times New Roman"/>
                <w:sz w:val="26"/>
                <w:szCs w:val="26"/>
                <w:lang w:val="lv-LV" w:eastAsia="lv-LV"/>
              </w:rPr>
            </w:pPr>
            <w:r w:rsidRPr="000965FC">
              <w:rPr>
                <w:color w:val="000000" w:themeColor="text1"/>
                <w:sz w:val="26"/>
                <w:szCs w:val="26"/>
                <w:lang w:val="lv-LV"/>
              </w:rPr>
              <w:t xml:space="preserve">Valsts ieņēmumu dienests atbalsta izmaksu </w:t>
            </w:r>
            <w:r w:rsidR="003A6A8E" w:rsidRPr="000965FC">
              <w:rPr>
                <w:color w:val="000000" w:themeColor="text1"/>
                <w:sz w:val="26"/>
                <w:szCs w:val="26"/>
                <w:lang w:val="lv-LV"/>
              </w:rPr>
              <w:t xml:space="preserve">saskaņā MK Noteikumu projektā ietvertajiem grozījumiem </w:t>
            </w:r>
            <w:r w:rsidRPr="000965FC">
              <w:rPr>
                <w:color w:val="000000" w:themeColor="text1"/>
                <w:sz w:val="26"/>
                <w:szCs w:val="26"/>
                <w:lang w:val="lv-LV"/>
              </w:rPr>
              <w:t>veiks</w:t>
            </w:r>
            <w:r w:rsidR="003A6A8E" w:rsidRPr="000965FC">
              <w:rPr>
                <w:color w:val="000000" w:themeColor="text1"/>
                <w:sz w:val="26"/>
                <w:szCs w:val="26"/>
                <w:lang w:val="lv-LV"/>
              </w:rPr>
              <w:t xml:space="preserve"> pēc </w:t>
            </w:r>
            <w:r w:rsidR="003A6A8E" w:rsidRPr="000965FC">
              <w:rPr>
                <w:color w:val="000000" w:themeColor="text1"/>
                <w:sz w:val="26"/>
                <w:szCs w:val="26"/>
                <w:shd w:val="clear" w:color="auto" w:fill="FFFFFF"/>
              </w:rPr>
              <w:t xml:space="preserve">MK </w:t>
            </w:r>
            <w:r w:rsidR="003A6A8E" w:rsidRPr="000965FC">
              <w:rPr>
                <w:color w:val="000000" w:themeColor="text1"/>
                <w:sz w:val="26"/>
                <w:szCs w:val="26"/>
                <w:shd w:val="clear" w:color="auto" w:fill="FFFFFF"/>
                <w:lang w:val="lv-LV"/>
              </w:rPr>
              <w:t>Noteikumu projekta spēkā stāšanās</w:t>
            </w:r>
            <w:r w:rsidR="00B02C46" w:rsidRPr="000965FC">
              <w:rPr>
                <w:rFonts w:eastAsia="Times New Roman"/>
                <w:sz w:val="26"/>
                <w:szCs w:val="26"/>
                <w:lang w:val="lv-LV" w:eastAsia="lv-LV"/>
              </w:rPr>
              <w:t>.</w:t>
            </w:r>
            <w:r w:rsidR="00247E33" w:rsidRPr="000965FC">
              <w:rPr>
                <w:color w:val="000000"/>
                <w:sz w:val="26"/>
                <w:szCs w:val="26"/>
                <w:lang w:val="lv-LV"/>
              </w:rPr>
              <w:t xml:space="preserve"> Savukārt finansējums noteikumu projekta ieviešanai tiks nodrošināts, iesniedzot pārdales pieprasījumu no līdzekļiem neparedzētiem gadījumiem.</w:t>
            </w:r>
          </w:p>
        </w:tc>
      </w:tr>
      <w:tr w:rsidR="001342EF" w:rsidRPr="000965FC" w14:paraId="6EA8D031" w14:textId="77777777" w:rsidTr="001342EF">
        <w:tc>
          <w:tcPr>
            <w:tcW w:w="546" w:type="dxa"/>
          </w:tcPr>
          <w:p w14:paraId="229131F8" w14:textId="63030CCA"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lastRenderedPageBreak/>
              <w:t>3.</w:t>
            </w:r>
          </w:p>
        </w:tc>
        <w:tc>
          <w:tcPr>
            <w:tcW w:w="2094" w:type="dxa"/>
          </w:tcPr>
          <w:p w14:paraId="3736CC5D" w14:textId="6C65FB4C"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Projekta izstrādē iesaistītās institūcijas un publiskas personas kapitālsabiedrības</w:t>
            </w:r>
          </w:p>
        </w:tc>
        <w:tc>
          <w:tcPr>
            <w:tcW w:w="6569" w:type="dxa"/>
          </w:tcPr>
          <w:p w14:paraId="4C4ADA62" w14:textId="08DC8FAA"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Ekonomikas ministrija, Finanšu ministrija.</w:t>
            </w:r>
          </w:p>
        </w:tc>
      </w:tr>
      <w:tr w:rsidR="001342EF" w:rsidRPr="000965FC" w14:paraId="346F400E" w14:textId="77777777" w:rsidTr="001342EF">
        <w:tc>
          <w:tcPr>
            <w:tcW w:w="546" w:type="dxa"/>
          </w:tcPr>
          <w:p w14:paraId="5D47EBE6" w14:textId="522F84A7"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4.</w:t>
            </w:r>
          </w:p>
        </w:tc>
        <w:tc>
          <w:tcPr>
            <w:tcW w:w="2094" w:type="dxa"/>
          </w:tcPr>
          <w:p w14:paraId="2B31B963" w14:textId="3379E9D4"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Cita informācija</w:t>
            </w:r>
          </w:p>
        </w:tc>
        <w:tc>
          <w:tcPr>
            <w:tcW w:w="6569" w:type="dxa"/>
          </w:tcPr>
          <w:p w14:paraId="2DA1D4D8" w14:textId="1EF02194"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Nav.</w:t>
            </w:r>
          </w:p>
        </w:tc>
      </w:tr>
    </w:tbl>
    <w:p w14:paraId="236A9185" w14:textId="4A5D62F3" w:rsidR="00500925" w:rsidRPr="000965FC" w:rsidRDefault="00500925" w:rsidP="00434856">
      <w:pPr>
        <w:tabs>
          <w:tab w:val="right" w:pos="9072"/>
        </w:tabs>
        <w:contextualSpacing/>
        <w:rPr>
          <w:color w:val="000000" w:themeColor="text1"/>
          <w:sz w:val="26"/>
          <w:szCs w:val="26"/>
          <w:lang w:val="lv-LV"/>
        </w:rPr>
      </w:pPr>
    </w:p>
    <w:tbl>
      <w:tblPr>
        <w:tblW w:w="9218"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466"/>
      </w:tblGrid>
      <w:tr w:rsidR="00844176" w:rsidRPr="000965FC" w14:paraId="5271E387" w14:textId="77777777" w:rsidTr="001342EF">
        <w:trPr>
          <w:trHeight w:val="555"/>
        </w:trPr>
        <w:tc>
          <w:tcPr>
            <w:tcW w:w="9218"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0965FC" w:rsidRDefault="009A00EB" w:rsidP="003D3252">
            <w:pPr>
              <w:contextualSpacing/>
              <w:jc w:val="center"/>
              <w:rPr>
                <w:rFonts w:eastAsia="Times New Roman"/>
                <w:color w:val="000000" w:themeColor="text1"/>
                <w:sz w:val="26"/>
                <w:szCs w:val="26"/>
                <w:lang w:val="lv-LV" w:eastAsia="lv-LV"/>
              </w:rPr>
            </w:pPr>
            <w:r w:rsidRPr="000965FC">
              <w:rPr>
                <w:rFonts w:eastAsia="Times New Roman"/>
                <w:b/>
                <w:bCs/>
                <w:color w:val="000000" w:themeColor="text1"/>
                <w:sz w:val="26"/>
                <w:szCs w:val="26"/>
                <w:lang w:val="lv-LV" w:eastAsia="lv-LV"/>
              </w:rPr>
              <w:t>II. Tiesību akta projekta ietekme uz sabiedrību, tautsaimniecības attīstību un administratīvo slogu</w:t>
            </w:r>
          </w:p>
        </w:tc>
      </w:tr>
      <w:tr w:rsidR="00A76C0A" w:rsidRPr="000965FC" w14:paraId="7F8630C6" w14:textId="77777777" w:rsidTr="001342EF">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Sabiedrības mērķgrupas, kuras tiesiskais regulējums ietekmē vai varētu ietekmēt</w:t>
            </w:r>
          </w:p>
        </w:tc>
        <w:tc>
          <w:tcPr>
            <w:tcW w:w="6466" w:type="dxa"/>
            <w:tcBorders>
              <w:top w:val="single" w:sz="4" w:space="0" w:color="auto"/>
              <w:left w:val="outset" w:sz="6" w:space="0" w:color="414142"/>
              <w:bottom w:val="outset" w:sz="6" w:space="0" w:color="414142"/>
              <w:right w:val="outset" w:sz="6" w:space="0" w:color="414142"/>
            </w:tcBorders>
            <w:hideMark/>
          </w:tcPr>
          <w:p w14:paraId="3D68FB87" w14:textId="0B9CA9AF" w:rsidR="002D36AB" w:rsidRPr="000965FC" w:rsidRDefault="003F0B47" w:rsidP="00B7246E">
            <w:pPr>
              <w:jc w:val="both"/>
              <w:rPr>
                <w:rFonts w:eastAsia="Times New Roman"/>
                <w:sz w:val="26"/>
                <w:szCs w:val="26"/>
                <w:lang w:val="lv-LV" w:eastAsia="lv-LV"/>
              </w:rPr>
            </w:pPr>
            <w:r w:rsidRPr="000965FC">
              <w:rPr>
                <w:color w:val="000000" w:themeColor="text1"/>
                <w:sz w:val="26"/>
                <w:szCs w:val="26"/>
                <w:lang w:val="lv-LV"/>
              </w:rPr>
              <w:t xml:space="preserve">Latvijā reģistrēti </w:t>
            </w:r>
            <w:r w:rsidR="008B6988" w:rsidRPr="000965FC">
              <w:rPr>
                <w:color w:val="000000" w:themeColor="text1"/>
                <w:sz w:val="26"/>
                <w:szCs w:val="26"/>
                <w:lang w:val="lv-LV"/>
              </w:rPr>
              <w:t>nodokļu maksātāji</w:t>
            </w:r>
            <w:r w:rsidR="00080241" w:rsidRPr="000965FC">
              <w:rPr>
                <w:color w:val="000000" w:themeColor="text1"/>
                <w:sz w:val="26"/>
                <w:szCs w:val="26"/>
                <w:lang w:val="lv-LV"/>
              </w:rPr>
              <w:t>.</w:t>
            </w:r>
            <w:r w:rsidR="001902DC" w:rsidRPr="000965FC">
              <w:rPr>
                <w:color w:val="000000" w:themeColor="text1"/>
                <w:sz w:val="26"/>
                <w:szCs w:val="26"/>
                <w:lang w:val="lv-LV"/>
              </w:rPr>
              <w:t xml:space="preserve"> </w:t>
            </w:r>
            <w:r w:rsidR="002D36AB" w:rsidRPr="000965FC">
              <w:rPr>
                <w:color w:val="000000" w:themeColor="text1"/>
                <w:sz w:val="26"/>
                <w:szCs w:val="26"/>
                <w:lang w:val="lv-LV"/>
              </w:rPr>
              <w:t>Valsts ieņēmumu dienests</w:t>
            </w:r>
            <w:r w:rsidR="008B6988" w:rsidRPr="000965FC">
              <w:rPr>
                <w:color w:val="000000" w:themeColor="text1"/>
                <w:sz w:val="26"/>
                <w:szCs w:val="26"/>
                <w:lang w:val="lv-LV"/>
              </w:rPr>
              <w:t>.</w:t>
            </w:r>
            <w:r w:rsidR="002D3B2F" w:rsidRPr="000965FC">
              <w:rPr>
                <w:color w:val="000000" w:themeColor="text1"/>
                <w:sz w:val="26"/>
                <w:szCs w:val="26"/>
                <w:lang w:val="lv-LV"/>
              </w:rPr>
              <w:t xml:space="preserve"> </w:t>
            </w:r>
            <w:r w:rsidR="002D36AB" w:rsidRPr="000965FC">
              <w:rPr>
                <w:color w:val="000000" w:themeColor="text1"/>
                <w:sz w:val="26"/>
                <w:szCs w:val="26"/>
                <w:lang w:val="lv-LV"/>
              </w:rPr>
              <w:t>Uz 202</w:t>
            </w:r>
            <w:r w:rsidR="00DD7C70" w:rsidRPr="000965FC">
              <w:rPr>
                <w:color w:val="000000" w:themeColor="text1"/>
                <w:sz w:val="26"/>
                <w:szCs w:val="26"/>
                <w:lang w:val="lv-LV"/>
              </w:rPr>
              <w:t>1</w:t>
            </w:r>
            <w:r w:rsidR="002D36AB" w:rsidRPr="000965FC">
              <w:rPr>
                <w:color w:val="000000" w:themeColor="text1"/>
                <w:sz w:val="26"/>
                <w:szCs w:val="26"/>
                <w:lang w:val="lv-LV"/>
              </w:rPr>
              <w:t xml:space="preserve">.gada </w:t>
            </w:r>
            <w:r w:rsidR="00DD7C70" w:rsidRPr="000965FC">
              <w:rPr>
                <w:color w:val="000000" w:themeColor="text1"/>
                <w:sz w:val="26"/>
                <w:szCs w:val="26"/>
                <w:lang w:val="lv-LV"/>
              </w:rPr>
              <w:t>4.janvāri</w:t>
            </w:r>
            <w:r w:rsidR="002D36AB" w:rsidRPr="000965FC">
              <w:rPr>
                <w:color w:val="000000" w:themeColor="text1"/>
                <w:sz w:val="26"/>
                <w:szCs w:val="26"/>
                <w:lang w:val="lv-LV"/>
              </w:rPr>
              <w:t xml:space="preserve"> tika reģistrēti </w:t>
            </w:r>
            <w:r w:rsidR="00B7246E" w:rsidRPr="000965FC">
              <w:rPr>
                <w:rFonts w:eastAsia="Times New Roman"/>
                <w:sz w:val="26"/>
                <w:szCs w:val="26"/>
                <w:lang w:val="lv-LV" w:eastAsia="lv-LV"/>
              </w:rPr>
              <w:t>1011 iesniegums par grantu piešķiršanu. Kopējā prasījumu summa – 8570017 EUR. Savukārt izmaksāti granti par 5 iesniegumiem, kopumā 22 552 EUR apmērā</w:t>
            </w:r>
            <w:r w:rsidR="002D36AB" w:rsidRPr="000965FC">
              <w:rPr>
                <w:color w:val="000000" w:themeColor="text1"/>
                <w:sz w:val="26"/>
                <w:szCs w:val="26"/>
                <w:lang w:val="lv-LV"/>
              </w:rPr>
              <w:t>.</w:t>
            </w:r>
          </w:p>
        </w:tc>
      </w:tr>
      <w:tr w:rsidR="00A76C0A" w:rsidRPr="000965FC" w14:paraId="718E705D" w14:textId="77777777" w:rsidTr="001342EF">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Tiesiskā regulējuma ietekme uz tautsaimniecību un administratīvo slogu</w:t>
            </w:r>
          </w:p>
        </w:tc>
        <w:tc>
          <w:tcPr>
            <w:tcW w:w="6466" w:type="dxa"/>
            <w:tcBorders>
              <w:top w:val="outset" w:sz="6" w:space="0" w:color="414142"/>
              <w:left w:val="outset" w:sz="6" w:space="0" w:color="414142"/>
              <w:bottom w:val="outset" w:sz="6" w:space="0" w:color="414142"/>
              <w:right w:val="outset" w:sz="6" w:space="0" w:color="414142"/>
            </w:tcBorders>
            <w:hideMark/>
          </w:tcPr>
          <w:p w14:paraId="33918B01" w14:textId="03D0CF59" w:rsidR="009A00EB" w:rsidRPr="000965FC" w:rsidRDefault="002D36AB" w:rsidP="005F3196">
            <w:pPr>
              <w:pStyle w:val="BodyText"/>
              <w:ind w:right="201"/>
              <w:contextualSpacing/>
              <w:rPr>
                <w:rFonts w:eastAsia="Calibri"/>
                <w:color w:val="000000" w:themeColor="text1"/>
                <w:sz w:val="26"/>
                <w:szCs w:val="26"/>
                <w:lang w:eastAsia="en-US"/>
              </w:rPr>
            </w:pPr>
            <w:r w:rsidRPr="000965FC">
              <w:rPr>
                <w:rFonts w:eastAsia="Calibri"/>
                <w:color w:val="000000" w:themeColor="text1"/>
                <w:sz w:val="26"/>
                <w:szCs w:val="26"/>
                <w:lang w:eastAsia="en-US"/>
              </w:rPr>
              <w:t xml:space="preserve">MK </w:t>
            </w:r>
            <w:r w:rsidR="008B6988" w:rsidRPr="000965FC">
              <w:rPr>
                <w:rFonts w:eastAsia="Calibri"/>
                <w:color w:val="000000" w:themeColor="text1"/>
                <w:sz w:val="26"/>
                <w:szCs w:val="26"/>
                <w:lang w:eastAsia="en-US"/>
              </w:rPr>
              <w:t xml:space="preserve">Noteikumu projektā ietvertā tiesiskā regulējuma īstenošana tiks nodrošināta </w:t>
            </w:r>
            <w:r w:rsidR="002C4AC6" w:rsidRPr="000965FC">
              <w:rPr>
                <w:color w:val="000000" w:themeColor="text1"/>
                <w:sz w:val="26"/>
                <w:szCs w:val="26"/>
              </w:rPr>
              <w:t xml:space="preserve">Valsts ieņēmumu dienesta </w:t>
            </w:r>
            <w:r w:rsidR="008B6988" w:rsidRPr="000965FC">
              <w:rPr>
                <w:rFonts w:eastAsia="Calibri"/>
                <w:color w:val="000000" w:themeColor="text1"/>
                <w:sz w:val="26"/>
                <w:szCs w:val="26"/>
                <w:lang w:eastAsia="en-US"/>
              </w:rPr>
              <w:t>esošo līdzekļu un cilvēkresursu ietvaros.</w:t>
            </w:r>
            <w:r w:rsidR="002C4AC6" w:rsidRPr="000965FC">
              <w:rPr>
                <w:rFonts w:eastAsia="Calibri"/>
                <w:color w:val="000000" w:themeColor="text1"/>
                <w:sz w:val="26"/>
                <w:szCs w:val="26"/>
                <w:lang w:eastAsia="en-US"/>
              </w:rPr>
              <w:t xml:space="preserve"> Ar MK Noteikumu projektu paredzēts turpināt sniegt atbalstu nodokļu maksātājiem, kas veic saimniecisko darbību, bet to darbība ir ierobežota Covid-19 izplatības noteikto ierobežojumu dēļ, tādējādi stabilizējot situāciju tautsaimniecībā.</w:t>
            </w:r>
          </w:p>
        </w:tc>
      </w:tr>
      <w:tr w:rsidR="00A76C0A" w:rsidRPr="000965FC" w14:paraId="6AF18C8D" w14:textId="77777777" w:rsidTr="001342EF">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Administratīvo izmaksu monetārs novērtējums</w:t>
            </w:r>
          </w:p>
        </w:tc>
        <w:tc>
          <w:tcPr>
            <w:tcW w:w="6466" w:type="dxa"/>
            <w:tcBorders>
              <w:top w:val="outset" w:sz="6" w:space="0" w:color="414142"/>
              <w:left w:val="outset" w:sz="6" w:space="0" w:color="414142"/>
              <w:bottom w:val="outset" w:sz="6" w:space="0" w:color="414142"/>
              <w:right w:val="outset" w:sz="6" w:space="0" w:color="414142"/>
            </w:tcBorders>
            <w:hideMark/>
          </w:tcPr>
          <w:p w14:paraId="1C2C4F79" w14:textId="3AE3777D" w:rsidR="009A00EB" w:rsidRPr="000965FC" w:rsidRDefault="001F5AB0" w:rsidP="005F3196">
            <w:pPr>
              <w:pStyle w:val="BodyText"/>
              <w:ind w:right="201"/>
              <w:contextualSpacing/>
              <w:rPr>
                <w:rFonts w:eastAsia="Calibri"/>
                <w:color w:val="000000" w:themeColor="text1"/>
                <w:sz w:val="26"/>
                <w:szCs w:val="26"/>
                <w:lang w:eastAsia="en-US"/>
              </w:rPr>
            </w:pPr>
            <w:r w:rsidRPr="000965FC">
              <w:rPr>
                <w:bCs/>
                <w:iCs/>
                <w:color w:val="000000" w:themeColor="text1"/>
                <w:sz w:val="26"/>
                <w:szCs w:val="26"/>
              </w:rPr>
              <w:t>MK noteikumu projekts</w:t>
            </w:r>
            <w:r w:rsidRPr="000965FC">
              <w:rPr>
                <w:rFonts w:eastAsia="Calibri"/>
                <w:color w:val="000000" w:themeColor="text1"/>
                <w:sz w:val="26"/>
                <w:szCs w:val="26"/>
                <w:lang w:eastAsia="en-US"/>
              </w:rPr>
              <w:t xml:space="preserve"> </w:t>
            </w:r>
            <w:r w:rsidR="009A00EB" w:rsidRPr="000965FC">
              <w:rPr>
                <w:rFonts w:eastAsia="Calibri"/>
                <w:color w:val="000000" w:themeColor="text1"/>
                <w:sz w:val="26"/>
                <w:szCs w:val="26"/>
                <w:lang w:eastAsia="en-US"/>
              </w:rPr>
              <w:t>šo jomu neskar</w:t>
            </w:r>
          </w:p>
        </w:tc>
      </w:tr>
      <w:tr w:rsidR="00A76C0A" w:rsidRPr="000965FC" w14:paraId="259E0982" w14:textId="77777777" w:rsidTr="001342EF">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4.</w:t>
            </w:r>
          </w:p>
        </w:tc>
        <w:tc>
          <w:tcPr>
            <w:tcW w:w="2482" w:type="dxa"/>
            <w:tcBorders>
              <w:top w:val="outset" w:sz="6" w:space="0" w:color="auto"/>
              <w:left w:val="outset" w:sz="6" w:space="0" w:color="auto"/>
              <w:bottom w:val="outset" w:sz="6" w:space="0" w:color="auto"/>
              <w:right w:val="outset" w:sz="6" w:space="0" w:color="auto"/>
            </w:tcBorders>
          </w:tcPr>
          <w:p w14:paraId="46245F1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Atbilstības izmaksu monetārs novērtējums</w:t>
            </w:r>
          </w:p>
        </w:tc>
        <w:tc>
          <w:tcPr>
            <w:tcW w:w="6466" w:type="dxa"/>
            <w:tcBorders>
              <w:top w:val="outset" w:sz="6" w:space="0" w:color="auto"/>
              <w:left w:val="outset" w:sz="6" w:space="0" w:color="auto"/>
              <w:bottom w:val="outset" w:sz="6" w:space="0" w:color="auto"/>
              <w:right w:val="outset" w:sz="6" w:space="0" w:color="auto"/>
            </w:tcBorders>
          </w:tcPr>
          <w:p w14:paraId="7C60B8CA" w14:textId="34E0B4BC" w:rsidR="009A00EB" w:rsidRPr="000965FC" w:rsidRDefault="001F5AB0" w:rsidP="005F3196">
            <w:pPr>
              <w:pStyle w:val="BodyText"/>
              <w:ind w:right="201"/>
              <w:contextualSpacing/>
              <w:rPr>
                <w:rFonts w:eastAsia="Calibri"/>
                <w:color w:val="000000" w:themeColor="text1"/>
                <w:sz w:val="26"/>
                <w:szCs w:val="26"/>
                <w:lang w:eastAsia="en-US"/>
              </w:rPr>
            </w:pPr>
            <w:r w:rsidRPr="000965FC">
              <w:rPr>
                <w:bCs/>
                <w:iCs/>
                <w:color w:val="000000" w:themeColor="text1"/>
                <w:sz w:val="26"/>
                <w:szCs w:val="26"/>
              </w:rPr>
              <w:t>MK noteikumu projekts</w:t>
            </w:r>
            <w:r w:rsidRPr="000965FC">
              <w:rPr>
                <w:rFonts w:eastAsia="Calibri"/>
                <w:color w:val="000000" w:themeColor="text1"/>
                <w:sz w:val="26"/>
                <w:szCs w:val="26"/>
                <w:lang w:eastAsia="en-US"/>
              </w:rPr>
              <w:t xml:space="preserve"> </w:t>
            </w:r>
            <w:r w:rsidR="009A00EB" w:rsidRPr="000965FC">
              <w:rPr>
                <w:rFonts w:eastAsia="Calibri"/>
                <w:color w:val="000000" w:themeColor="text1"/>
                <w:sz w:val="26"/>
                <w:szCs w:val="26"/>
                <w:lang w:eastAsia="en-US"/>
              </w:rPr>
              <w:t>šo jomu neskar</w:t>
            </w:r>
          </w:p>
        </w:tc>
      </w:tr>
      <w:tr w:rsidR="00A76C0A" w:rsidRPr="000965FC" w14:paraId="14FCA979" w14:textId="77777777" w:rsidTr="001342EF">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0965FC" w:rsidRDefault="009A00EB" w:rsidP="005F3196">
            <w:pPr>
              <w:ind w:right="201"/>
              <w:contextualSpacing/>
              <w:jc w:val="both"/>
              <w:rPr>
                <w:color w:val="000000" w:themeColor="text1"/>
                <w:sz w:val="26"/>
                <w:szCs w:val="26"/>
                <w:lang w:val="lv-LV"/>
              </w:rPr>
            </w:pPr>
            <w:r w:rsidRPr="000965FC">
              <w:rPr>
                <w:color w:val="000000" w:themeColor="text1"/>
                <w:sz w:val="26"/>
                <w:szCs w:val="26"/>
                <w:lang w:val="lv-LV"/>
              </w:rPr>
              <w:t>Nav</w:t>
            </w:r>
          </w:p>
        </w:tc>
      </w:tr>
    </w:tbl>
    <w:p w14:paraId="2A21AD4B" w14:textId="41B75651" w:rsidR="00844176" w:rsidRPr="000965FC" w:rsidRDefault="00844176" w:rsidP="00370711">
      <w:pPr>
        <w:contextualSpacing/>
        <w:rPr>
          <w:rFonts w:eastAsia="Times New Roman"/>
          <w:color w:val="000000" w:themeColor="text1"/>
          <w:sz w:val="26"/>
          <w:szCs w:val="26"/>
          <w:lang w:val="lv-LV" w:eastAsia="lv-LV"/>
        </w:rPr>
      </w:pPr>
    </w:p>
    <w:p w14:paraId="31773186" w14:textId="03E02AF9" w:rsidR="001342EF" w:rsidRPr="000965FC" w:rsidRDefault="001342EF" w:rsidP="00370711">
      <w:pPr>
        <w:contextualSpacing/>
        <w:rPr>
          <w:rFonts w:eastAsia="Times New Roman"/>
          <w:color w:val="000000" w:themeColor="text1"/>
          <w:sz w:val="26"/>
          <w:szCs w:val="26"/>
          <w:lang w:val="lv-LV" w:eastAsia="lv-LV"/>
        </w:rPr>
      </w:pPr>
    </w:p>
    <w:tbl>
      <w:tblPr>
        <w:tblpPr w:leftFromText="180" w:rightFromText="180" w:bottomFromText="200" w:vertAnchor="text" w:tblpX="-44" w:tblpY="1"/>
        <w:tblOverlap w:val="neve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1136"/>
        <w:gridCol w:w="1214"/>
        <w:gridCol w:w="998"/>
        <w:gridCol w:w="1072"/>
        <w:gridCol w:w="945"/>
        <w:gridCol w:w="1085"/>
        <w:gridCol w:w="1072"/>
      </w:tblGrid>
      <w:tr w:rsidR="00036FBA" w:rsidRPr="000965FC" w14:paraId="085F8949" w14:textId="77777777" w:rsidTr="001D5277">
        <w:tc>
          <w:tcPr>
            <w:tcW w:w="9219" w:type="dxa"/>
            <w:gridSpan w:val="8"/>
            <w:tcBorders>
              <w:top w:val="single" w:sz="4" w:space="0" w:color="auto"/>
              <w:left w:val="single" w:sz="4" w:space="0" w:color="auto"/>
              <w:bottom w:val="single" w:sz="4" w:space="0" w:color="auto"/>
              <w:right w:val="single" w:sz="4" w:space="0" w:color="auto"/>
            </w:tcBorders>
            <w:hideMark/>
          </w:tcPr>
          <w:p w14:paraId="3262839A" w14:textId="77777777" w:rsidR="00036FBA" w:rsidRPr="000965FC" w:rsidRDefault="00036FBA" w:rsidP="001D5277">
            <w:pPr>
              <w:pStyle w:val="ListParagraph"/>
              <w:tabs>
                <w:tab w:val="left" w:pos="317"/>
              </w:tabs>
              <w:spacing w:line="276" w:lineRule="auto"/>
              <w:ind w:left="0"/>
              <w:jc w:val="center"/>
              <w:rPr>
                <w:b/>
                <w:bCs/>
                <w:sz w:val="26"/>
                <w:szCs w:val="26"/>
                <w:lang w:val="lv-LV" w:eastAsia="ja-JP"/>
              </w:rPr>
            </w:pPr>
            <w:r w:rsidRPr="000965FC">
              <w:rPr>
                <w:b/>
                <w:bCs/>
                <w:sz w:val="26"/>
                <w:szCs w:val="26"/>
                <w:lang w:val="lv-LV" w:eastAsia="ja-JP"/>
              </w:rPr>
              <w:t>III. Tiesību akta projekta ietekme uz valsts budžetu un pašvaldību budžetiem</w:t>
            </w:r>
          </w:p>
        </w:tc>
      </w:tr>
      <w:tr w:rsidR="00036FBA" w:rsidRPr="000965FC" w14:paraId="6F806F58" w14:textId="77777777" w:rsidTr="001D5277">
        <w:tc>
          <w:tcPr>
            <w:tcW w:w="1697" w:type="dxa"/>
            <w:vMerge w:val="restart"/>
            <w:tcBorders>
              <w:top w:val="single" w:sz="4" w:space="0" w:color="auto"/>
              <w:left w:val="single" w:sz="4" w:space="0" w:color="auto"/>
              <w:bottom w:val="single" w:sz="4" w:space="0" w:color="000000"/>
              <w:right w:val="single" w:sz="4" w:space="0" w:color="auto"/>
            </w:tcBorders>
          </w:tcPr>
          <w:p w14:paraId="54225CEE" w14:textId="77777777" w:rsidR="00036FBA" w:rsidRPr="000965FC" w:rsidRDefault="00036FBA" w:rsidP="001D5277">
            <w:pPr>
              <w:spacing w:line="276" w:lineRule="auto"/>
              <w:jc w:val="center"/>
              <w:rPr>
                <w:rFonts w:eastAsia="Times New Roman"/>
                <w:b/>
                <w:bCs/>
                <w:sz w:val="22"/>
                <w:szCs w:val="22"/>
                <w:lang w:val="lv-LV" w:eastAsia="ja-JP"/>
              </w:rPr>
            </w:pPr>
          </w:p>
          <w:p w14:paraId="45540521" w14:textId="77777777" w:rsidR="00036FBA" w:rsidRPr="000965FC" w:rsidRDefault="00036FBA" w:rsidP="001D5277">
            <w:pPr>
              <w:spacing w:line="276" w:lineRule="auto"/>
              <w:jc w:val="center"/>
              <w:rPr>
                <w:rFonts w:eastAsia="Times New Roman"/>
                <w:b/>
                <w:bCs/>
                <w:sz w:val="22"/>
                <w:szCs w:val="22"/>
                <w:lang w:val="lv-LV" w:eastAsia="ja-JP"/>
              </w:rPr>
            </w:pPr>
          </w:p>
          <w:p w14:paraId="4355A7B1" w14:textId="77777777" w:rsidR="00036FBA" w:rsidRPr="000965FC" w:rsidRDefault="00036FBA" w:rsidP="001D5277">
            <w:pPr>
              <w:spacing w:line="276" w:lineRule="auto"/>
              <w:jc w:val="center"/>
              <w:rPr>
                <w:rFonts w:eastAsia="Times New Roman"/>
                <w:b/>
                <w:bCs/>
                <w:sz w:val="22"/>
                <w:szCs w:val="22"/>
                <w:lang w:val="lv-LV" w:eastAsia="ja-JP"/>
              </w:rPr>
            </w:pPr>
          </w:p>
          <w:p w14:paraId="480F0FEF" w14:textId="77777777" w:rsidR="00036FBA" w:rsidRPr="000965FC" w:rsidRDefault="00036FBA" w:rsidP="001D5277">
            <w:pPr>
              <w:spacing w:line="276" w:lineRule="auto"/>
              <w:jc w:val="center"/>
              <w:rPr>
                <w:rFonts w:eastAsia="Times New Roman"/>
                <w:b/>
                <w:bCs/>
                <w:sz w:val="22"/>
                <w:szCs w:val="22"/>
                <w:lang w:val="lv-LV" w:eastAsia="ja-JP"/>
              </w:rPr>
            </w:pPr>
          </w:p>
          <w:p w14:paraId="04E32D7A" w14:textId="77777777" w:rsidR="00036FBA" w:rsidRPr="000965FC" w:rsidRDefault="00036FBA" w:rsidP="001D5277">
            <w:pPr>
              <w:spacing w:line="276" w:lineRule="auto"/>
              <w:jc w:val="center"/>
              <w:rPr>
                <w:rFonts w:eastAsia="Times New Roman"/>
                <w:b/>
                <w:bCs/>
                <w:sz w:val="22"/>
                <w:szCs w:val="22"/>
                <w:lang w:val="lv-LV" w:eastAsia="ja-JP"/>
              </w:rPr>
            </w:pPr>
          </w:p>
          <w:p w14:paraId="1A545925" w14:textId="77777777" w:rsidR="00036FBA" w:rsidRPr="000965FC" w:rsidRDefault="00036FBA" w:rsidP="001D5277">
            <w:pPr>
              <w:spacing w:line="276" w:lineRule="auto"/>
              <w:jc w:val="center"/>
              <w:rPr>
                <w:sz w:val="22"/>
                <w:szCs w:val="22"/>
                <w:lang w:val="lv-LV"/>
              </w:rPr>
            </w:pPr>
            <w:r w:rsidRPr="000965FC">
              <w:rPr>
                <w:rFonts w:eastAsia="Times New Roman"/>
                <w:b/>
                <w:bCs/>
                <w:sz w:val="22"/>
                <w:szCs w:val="22"/>
                <w:lang w:val="lv-LV" w:eastAsia="ja-JP"/>
              </w:rPr>
              <w:t>Rādītāji</w:t>
            </w:r>
          </w:p>
        </w:tc>
        <w:tc>
          <w:tcPr>
            <w:tcW w:w="2350" w:type="dxa"/>
            <w:gridSpan w:val="2"/>
            <w:vMerge w:val="restart"/>
            <w:tcBorders>
              <w:top w:val="single" w:sz="4" w:space="0" w:color="auto"/>
              <w:left w:val="single" w:sz="4" w:space="0" w:color="auto"/>
              <w:bottom w:val="single" w:sz="4" w:space="0" w:color="000000"/>
              <w:right w:val="single" w:sz="4" w:space="0" w:color="auto"/>
            </w:tcBorders>
            <w:hideMark/>
          </w:tcPr>
          <w:p w14:paraId="30ECA048"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
                <w:bCs/>
                <w:sz w:val="22"/>
                <w:szCs w:val="22"/>
                <w:lang w:val="lv-LV" w:eastAsia="ja-JP"/>
              </w:rPr>
              <w:t>2021.gads</w:t>
            </w:r>
          </w:p>
        </w:tc>
        <w:tc>
          <w:tcPr>
            <w:tcW w:w="5172" w:type="dxa"/>
            <w:gridSpan w:val="5"/>
            <w:tcBorders>
              <w:top w:val="single" w:sz="4" w:space="0" w:color="auto"/>
              <w:left w:val="single" w:sz="4" w:space="0" w:color="auto"/>
              <w:bottom w:val="single" w:sz="4" w:space="0" w:color="000000"/>
              <w:right w:val="single" w:sz="4" w:space="0" w:color="auto"/>
            </w:tcBorders>
            <w:hideMark/>
          </w:tcPr>
          <w:p w14:paraId="00CDBAB5"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Turpmākie trīs gadi (</w:t>
            </w:r>
            <w:r w:rsidRPr="000965FC">
              <w:rPr>
                <w:rFonts w:eastAsia="Times New Roman"/>
                <w:i/>
                <w:iCs/>
                <w:sz w:val="22"/>
                <w:szCs w:val="22"/>
                <w:lang w:val="lv-LV" w:eastAsia="ja-JP"/>
              </w:rPr>
              <w:t>euro</w:t>
            </w:r>
            <w:r w:rsidRPr="000965FC">
              <w:rPr>
                <w:rFonts w:eastAsia="Times New Roman"/>
                <w:sz w:val="22"/>
                <w:szCs w:val="22"/>
                <w:lang w:val="lv-LV" w:eastAsia="ja-JP"/>
              </w:rPr>
              <w:t>)</w:t>
            </w:r>
          </w:p>
        </w:tc>
      </w:tr>
      <w:tr w:rsidR="00036FBA" w:rsidRPr="000965FC" w14:paraId="6A4F6244" w14:textId="77777777" w:rsidTr="001D5277">
        <w:tc>
          <w:tcPr>
            <w:tcW w:w="1697" w:type="dxa"/>
            <w:vMerge/>
            <w:tcBorders>
              <w:top w:val="single" w:sz="4" w:space="0" w:color="auto"/>
              <w:left w:val="single" w:sz="4" w:space="0" w:color="auto"/>
              <w:bottom w:val="single" w:sz="4" w:space="0" w:color="000000"/>
              <w:right w:val="single" w:sz="4" w:space="0" w:color="auto"/>
            </w:tcBorders>
            <w:vAlign w:val="center"/>
            <w:hideMark/>
          </w:tcPr>
          <w:p w14:paraId="2D3C68A6" w14:textId="77777777" w:rsidR="00036FBA" w:rsidRPr="000965FC" w:rsidRDefault="00036FBA" w:rsidP="001D5277">
            <w:pPr>
              <w:spacing w:line="276" w:lineRule="auto"/>
              <w:rPr>
                <w:sz w:val="22"/>
                <w:szCs w:val="22"/>
                <w:lang w:val="lv-LV"/>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01877A0E" w14:textId="77777777" w:rsidR="00036FBA" w:rsidRPr="000965FC" w:rsidRDefault="00036FBA" w:rsidP="001D5277">
            <w:pPr>
              <w:spacing w:line="276" w:lineRule="auto"/>
              <w:rPr>
                <w:bCs/>
                <w:sz w:val="22"/>
                <w:szCs w:val="22"/>
                <w:lang w:val="lv-LV"/>
              </w:rPr>
            </w:pP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5622515" w14:textId="77777777" w:rsidR="00036FBA" w:rsidRPr="000965FC" w:rsidRDefault="00036FBA" w:rsidP="001D5277">
            <w:pPr>
              <w:spacing w:line="276" w:lineRule="auto"/>
              <w:jc w:val="center"/>
              <w:rPr>
                <w:rFonts w:eastAsia="Times New Roman"/>
                <w:b/>
                <w:bCs/>
                <w:sz w:val="22"/>
                <w:szCs w:val="22"/>
                <w:lang w:val="lv-LV" w:eastAsia="ja-JP"/>
              </w:rPr>
            </w:pPr>
            <w:r w:rsidRPr="000965FC">
              <w:rPr>
                <w:rFonts w:eastAsia="Times New Roman"/>
                <w:b/>
                <w:bCs/>
                <w:sz w:val="22"/>
                <w:szCs w:val="22"/>
                <w:lang w:val="lv-LV" w:eastAsia="ja-JP"/>
              </w:rPr>
              <w:t>2022</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14:paraId="613560BC" w14:textId="77777777" w:rsidR="00036FBA" w:rsidRPr="000965FC" w:rsidRDefault="00036FBA" w:rsidP="001D5277">
            <w:pPr>
              <w:spacing w:line="276" w:lineRule="auto"/>
              <w:jc w:val="center"/>
              <w:rPr>
                <w:rFonts w:eastAsia="Times New Roman"/>
                <w:b/>
                <w:bCs/>
                <w:sz w:val="22"/>
                <w:szCs w:val="22"/>
                <w:lang w:val="lv-LV" w:eastAsia="ja-JP"/>
              </w:rPr>
            </w:pPr>
            <w:r w:rsidRPr="000965FC">
              <w:rPr>
                <w:rFonts w:eastAsia="Times New Roman"/>
                <w:b/>
                <w:bCs/>
                <w:sz w:val="22"/>
                <w:szCs w:val="22"/>
                <w:lang w:val="lv-LV" w:eastAsia="ja-JP"/>
              </w:rPr>
              <w:t>2023</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7CCE3E3" w14:textId="77777777" w:rsidR="00036FBA" w:rsidRPr="000965FC" w:rsidRDefault="00036FBA" w:rsidP="001D5277">
            <w:pPr>
              <w:spacing w:line="276" w:lineRule="auto"/>
              <w:jc w:val="center"/>
              <w:rPr>
                <w:rFonts w:eastAsia="Times New Roman"/>
                <w:b/>
                <w:bCs/>
                <w:sz w:val="22"/>
                <w:szCs w:val="22"/>
                <w:lang w:val="lv-LV" w:eastAsia="ja-JP"/>
              </w:rPr>
            </w:pPr>
            <w:r w:rsidRPr="000965FC">
              <w:rPr>
                <w:rFonts w:eastAsia="Times New Roman"/>
                <w:b/>
                <w:bCs/>
                <w:sz w:val="22"/>
                <w:szCs w:val="22"/>
                <w:lang w:val="lv-LV" w:eastAsia="ja-JP"/>
              </w:rPr>
              <w:t>2024</w:t>
            </w:r>
          </w:p>
        </w:tc>
      </w:tr>
      <w:tr w:rsidR="00036FBA" w:rsidRPr="000965FC" w14:paraId="05822AB9" w14:textId="77777777" w:rsidTr="001D5277">
        <w:tc>
          <w:tcPr>
            <w:tcW w:w="1697" w:type="dxa"/>
            <w:vMerge/>
            <w:tcBorders>
              <w:top w:val="single" w:sz="4" w:space="0" w:color="auto"/>
              <w:left w:val="single" w:sz="4" w:space="0" w:color="auto"/>
              <w:bottom w:val="single" w:sz="4" w:space="0" w:color="000000"/>
              <w:right w:val="single" w:sz="4" w:space="0" w:color="auto"/>
            </w:tcBorders>
            <w:vAlign w:val="center"/>
            <w:hideMark/>
          </w:tcPr>
          <w:p w14:paraId="0279ACA3" w14:textId="77777777" w:rsidR="00036FBA" w:rsidRPr="000965FC" w:rsidRDefault="00036FBA" w:rsidP="001D5277">
            <w:pPr>
              <w:spacing w:line="276" w:lineRule="auto"/>
              <w:rPr>
                <w:sz w:val="22"/>
                <w:szCs w:val="22"/>
                <w:lang w:val="lv-LV"/>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10E0AC34"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saskaņā ar valsts budžetu kārtējam gadam</w:t>
            </w:r>
          </w:p>
        </w:tc>
        <w:tc>
          <w:tcPr>
            <w:tcW w:w="1214" w:type="dxa"/>
            <w:tcBorders>
              <w:top w:val="single" w:sz="4" w:space="0" w:color="auto"/>
              <w:left w:val="single" w:sz="4" w:space="0" w:color="auto"/>
              <w:bottom w:val="single" w:sz="4" w:space="0" w:color="auto"/>
              <w:right w:val="single" w:sz="4" w:space="0" w:color="auto"/>
            </w:tcBorders>
            <w:vAlign w:val="center"/>
            <w:hideMark/>
          </w:tcPr>
          <w:p w14:paraId="163B0935"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 xml:space="preserve">izmaiņas kārtējā gadā, salīdzinot ar valsts </w:t>
            </w:r>
            <w:r w:rsidRPr="000965FC">
              <w:rPr>
                <w:rFonts w:eastAsia="Times New Roman"/>
                <w:sz w:val="22"/>
                <w:szCs w:val="22"/>
                <w:lang w:val="lv-LV" w:eastAsia="ja-JP"/>
              </w:rPr>
              <w:lastRenderedPageBreak/>
              <w:t>budžetu kārtējam gadam</w:t>
            </w:r>
          </w:p>
        </w:tc>
        <w:tc>
          <w:tcPr>
            <w:tcW w:w="998" w:type="dxa"/>
            <w:tcBorders>
              <w:top w:val="single" w:sz="4" w:space="0" w:color="auto"/>
              <w:left w:val="single" w:sz="4" w:space="0" w:color="auto"/>
              <w:bottom w:val="single" w:sz="4" w:space="0" w:color="auto"/>
              <w:right w:val="single" w:sz="4" w:space="0" w:color="auto"/>
            </w:tcBorders>
            <w:vAlign w:val="center"/>
          </w:tcPr>
          <w:p w14:paraId="71DCF737"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lastRenderedPageBreak/>
              <w:t>saskaņā ar vidēja termiņa budžeta ietvaru</w:t>
            </w:r>
          </w:p>
          <w:p w14:paraId="4504E554" w14:textId="77777777" w:rsidR="00036FBA" w:rsidRPr="000965FC" w:rsidRDefault="00036FBA" w:rsidP="001D5277">
            <w:pPr>
              <w:spacing w:line="276" w:lineRule="auto"/>
              <w:jc w:val="center"/>
              <w:rPr>
                <w:rFonts w:eastAsia="Times New Roman"/>
                <w:sz w:val="22"/>
                <w:szCs w:val="22"/>
                <w:lang w:val="lv-LV" w:eastAsia="ja-JP"/>
              </w:rPr>
            </w:pPr>
          </w:p>
        </w:tc>
        <w:tc>
          <w:tcPr>
            <w:tcW w:w="1072" w:type="dxa"/>
            <w:tcBorders>
              <w:top w:val="single" w:sz="4" w:space="0" w:color="auto"/>
              <w:left w:val="single" w:sz="4" w:space="0" w:color="auto"/>
              <w:bottom w:val="single" w:sz="4" w:space="0" w:color="auto"/>
              <w:right w:val="single" w:sz="4" w:space="0" w:color="auto"/>
            </w:tcBorders>
            <w:hideMark/>
          </w:tcPr>
          <w:p w14:paraId="67DE942A"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lastRenderedPageBreak/>
              <w:t xml:space="preserve">izmaiņas, salīdzinot ar vidēja termiņa budžeta </w:t>
            </w:r>
            <w:r w:rsidRPr="000965FC">
              <w:rPr>
                <w:rFonts w:eastAsia="Times New Roman"/>
                <w:sz w:val="22"/>
                <w:szCs w:val="22"/>
                <w:lang w:val="lv-LV" w:eastAsia="ja-JP"/>
              </w:rPr>
              <w:lastRenderedPageBreak/>
              <w:t>ietvaru 2022. gadam</w:t>
            </w:r>
          </w:p>
        </w:tc>
        <w:tc>
          <w:tcPr>
            <w:tcW w:w="945" w:type="dxa"/>
            <w:tcBorders>
              <w:top w:val="single" w:sz="4" w:space="0" w:color="auto"/>
              <w:left w:val="single" w:sz="4" w:space="0" w:color="auto"/>
              <w:bottom w:val="single" w:sz="4" w:space="0" w:color="auto"/>
              <w:right w:val="single" w:sz="4" w:space="0" w:color="auto"/>
            </w:tcBorders>
            <w:vAlign w:val="center"/>
          </w:tcPr>
          <w:p w14:paraId="60E7087D"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lastRenderedPageBreak/>
              <w:t xml:space="preserve">saskaņā ar vidēja termiņa </w:t>
            </w:r>
            <w:r w:rsidRPr="000965FC">
              <w:rPr>
                <w:rFonts w:eastAsia="Times New Roman"/>
                <w:sz w:val="22"/>
                <w:szCs w:val="22"/>
                <w:lang w:val="lv-LV" w:eastAsia="ja-JP"/>
              </w:rPr>
              <w:lastRenderedPageBreak/>
              <w:t>budžeta ietvaru</w:t>
            </w:r>
          </w:p>
          <w:p w14:paraId="1A3D9F92" w14:textId="77777777" w:rsidR="00036FBA" w:rsidRPr="000965FC" w:rsidRDefault="00036FBA" w:rsidP="001D5277">
            <w:pPr>
              <w:spacing w:line="276" w:lineRule="auto"/>
              <w:jc w:val="center"/>
              <w:rPr>
                <w:rFonts w:eastAsia="Times New Roman"/>
                <w:sz w:val="22"/>
                <w:szCs w:val="22"/>
                <w:lang w:val="lv-LV" w:eastAsia="ja-JP"/>
              </w:rPr>
            </w:pPr>
          </w:p>
        </w:tc>
        <w:tc>
          <w:tcPr>
            <w:tcW w:w="1085" w:type="dxa"/>
            <w:tcBorders>
              <w:top w:val="single" w:sz="4" w:space="0" w:color="auto"/>
              <w:left w:val="single" w:sz="4" w:space="0" w:color="auto"/>
              <w:bottom w:val="single" w:sz="4" w:space="0" w:color="auto"/>
              <w:right w:val="single" w:sz="4" w:space="0" w:color="auto"/>
            </w:tcBorders>
            <w:hideMark/>
          </w:tcPr>
          <w:p w14:paraId="491F56B1"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lastRenderedPageBreak/>
              <w:t xml:space="preserve">izmaiņas, salīdzinot ar vidēja termiņa budžeta </w:t>
            </w:r>
            <w:r w:rsidRPr="000965FC">
              <w:rPr>
                <w:rFonts w:eastAsia="Times New Roman"/>
                <w:sz w:val="22"/>
                <w:szCs w:val="22"/>
                <w:lang w:val="lv-LV" w:eastAsia="ja-JP"/>
              </w:rPr>
              <w:lastRenderedPageBreak/>
              <w:t>ietvaru 2023. gadam</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24D960C"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lastRenderedPageBreak/>
              <w:t xml:space="preserve">izmaiņas, salīdzinot ar vidēja termiņa budžeta </w:t>
            </w:r>
            <w:r w:rsidRPr="000965FC">
              <w:rPr>
                <w:rFonts w:eastAsia="Times New Roman"/>
                <w:sz w:val="22"/>
                <w:szCs w:val="22"/>
                <w:lang w:val="lv-LV" w:eastAsia="ja-JP"/>
              </w:rPr>
              <w:lastRenderedPageBreak/>
              <w:t>ietvaru 2023. gadam</w:t>
            </w:r>
          </w:p>
        </w:tc>
      </w:tr>
      <w:tr w:rsidR="00036FBA" w:rsidRPr="000965FC" w14:paraId="708D75AD"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6DAD9EF2" w14:textId="77777777" w:rsidR="00036FBA" w:rsidRPr="000965FC" w:rsidRDefault="00036FBA" w:rsidP="001D5277">
            <w:pPr>
              <w:spacing w:line="276" w:lineRule="auto"/>
              <w:jc w:val="center"/>
              <w:rPr>
                <w:sz w:val="22"/>
                <w:szCs w:val="22"/>
                <w:lang w:val="lv-LV"/>
              </w:rPr>
            </w:pPr>
            <w:r w:rsidRPr="000965FC">
              <w:rPr>
                <w:sz w:val="22"/>
                <w:szCs w:val="22"/>
                <w:lang w:val="lv-LV"/>
              </w:rPr>
              <w:lastRenderedPageBreak/>
              <w:t>1</w:t>
            </w:r>
          </w:p>
        </w:tc>
        <w:tc>
          <w:tcPr>
            <w:tcW w:w="1136" w:type="dxa"/>
            <w:tcBorders>
              <w:top w:val="single" w:sz="4" w:space="0" w:color="auto"/>
              <w:left w:val="single" w:sz="4" w:space="0" w:color="auto"/>
              <w:bottom w:val="single" w:sz="4" w:space="0" w:color="auto"/>
              <w:right w:val="single" w:sz="4" w:space="0" w:color="auto"/>
            </w:tcBorders>
            <w:hideMark/>
          </w:tcPr>
          <w:p w14:paraId="38B79C68" w14:textId="77777777" w:rsidR="00036FBA" w:rsidRPr="000965FC" w:rsidRDefault="00036FBA" w:rsidP="001D5277">
            <w:pPr>
              <w:spacing w:line="276" w:lineRule="auto"/>
              <w:jc w:val="center"/>
              <w:rPr>
                <w:sz w:val="22"/>
                <w:szCs w:val="22"/>
                <w:lang w:val="lv-LV"/>
              </w:rPr>
            </w:pPr>
            <w:r w:rsidRPr="000965FC">
              <w:rPr>
                <w:sz w:val="22"/>
                <w:szCs w:val="22"/>
                <w:lang w:val="lv-LV"/>
              </w:rPr>
              <w:t>2</w:t>
            </w:r>
          </w:p>
        </w:tc>
        <w:tc>
          <w:tcPr>
            <w:tcW w:w="1214" w:type="dxa"/>
            <w:tcBorders>
              <w:top w:val="single" w:sz="4" w:space="0" w:color="auto"/>
              <w:left w:val="single" w:sz="4" w:space="0" w:color="auto"/>
              <w:bottom w:val="single" w:sz="4" w:space="0" w:color="auto"/>
              <w:right w:val="single" w:sz="4" w:space="0" w:color="auto"/>
            </w:tcBorders>
            <w:vAlign w:val="center"/>
            <w:hideMark/>
          </w:tcPr>
          <w:p w14:paraId="76F80A3C" w14:textId="77777777" w:rsidR="00036FBA" w:rsidRPr="000965FC" w:rsidRDefault="00036FBA" w:rsidP="001D5277">
            <w:pPr>
              <w:spacing w:line="276" w:lineRule="auto"/>
              <w:jc w:val="center"/>
              <w:rPr>
                <w:bCs/>
                <w:sz w:val="22"/>
                <w:szCs w:val="22"/>
                <w:lang w:val="lv-LV"/>
              </w:rPr>
            </w:pPr>
            <w:r w:rsidRPr="000965FC">
              <w:rPr>
                <w:sz w:val="22"/>
                <w:szCs w:val="22"/>
                <w:lang w:val="lv-LV"/>
              </w:rPr>
              <w:t>3</w:t>
            </w:r>
          </w:p>
        </w:tc>
        <w:tc>
          <w:tcPr>
            <w:tcW w:w="998" w:type="dxa"/>
            <w:tcBorders>
              <w:top w:val="single" w:sz="4" w:space="0" w:color="auto"/>
              <w:left w:val="single" w:sz="4" w:space="0" w:color="auto"/>
              <w:bottom w:val="single" w:sz="4" w:space="0" w:color="auto"/>
              <w:right w:val="single" w:sz="4" w:space="0" w:color="auto"/>
            </w:tcBorders>
            <w:vAlign w:val="center"/>
            <w:hideMark/>
          </w:tcPr>
          <w:p w14:paraId="24AD9270"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4</w:t>
            </w:r>
          </w:p>
        </w:tc>
        <w:tc>
          <w:tcPr>
            <w:tcW w:w="1072" w:type="dxa"/>
            <w:tcBorders>
              <w:top w:val="single" w:sz="4" w:space="0" w:color="auto"/>
              <w:left w:val="single" w:sz="4" w:space="0" w:color="auto"/>
              <w:bottom w:val="single" w:sz="4" w:space="0" w:color="auto"/>
              <w:right w:val="single" w:sz="4" w:space="0" w:color="auto"/>
            </w:tcBorders>
            <w:hideMark/>
          </w:tcPr>
          <w:p w14:paraId="31D7A93B"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5</w:t>
            </w:r>
          </w:p>
        </w:tc>
        <w:tc>
          <w:tcPr>
            <w:tcW w:w="945" w:type="dxa"/>
            <w:tcBorders>
              <w:top w:val="single" w:sz="4" w:space="0" w:color="auto"/>
              <w:left w:val="single" w:sz="4" w:space="0" w:color="auto"/>
              <w:bottom w:val="single" w:sz="4" w:space="0" w:color="auto"/>
              <w:right w:val="single" w:sz="4" w:space="0" w:color="auto"/>
            </w:tcBorders>
            <w:vAlign w:val="center"/>
            <w:hideMark/>
          </w:tcPr>
          <w:p w14:paraId="39840E68"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6</w:t>
            </w:r>
          </w:p>
        </w:tc>
        <w:tc>
          <w:tcPr>
            <w:tcW w:w="1085" w:type="dxa"/>
            <w:tcBorders>
              <w:top w:val="single" w:sz="4" w:space="0" w:color="auto"/>
              <w:left w:val="single" w:sz="4" w:space="0" w:color="auto"/>
              <w:bottom w:val="single" w:sz="4" w:space="0" w:color="auto"/>
              <w:right w:val="single" w:sz="4" w:space="0" w:color="auto"/>
            </w:tcBorders>
            <w:hideMark/>
          </w:tcPr>
          <w:p w14:paraId="1A297AAF"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7</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4544951"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8</w:t>
            </w:r>
          </w:p>
        </w:tc>
      </w:tr>
      <w:tr w:rsidR="00036FBA" w:rsidRPr="000965FC" w14:paraId="2EB2E8C0"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7DE85219" w14:textId="77777777" w:rsidR="00036FBA" w:rsidRPr="000965FC" w:rsidRDefault="00036FBA" w:rsidP="001D5277">
            <w:pPr>
              <w:spacing w:line="276" w:lineRule="auto"/>
              <w:rPr>
                <w:rFonts w:eastAsia="Times New Roman"/>
                <w:sz w:val="22"/>
                <w:szCs w:val="22"/>
                <w:lang w:val="lv-LV" w:eastAsia="ja-JP"/>
              </w:rPr>
            </w:pPr>
            <w:r w:rsidRPr="000965FC">
              <w:rPr>
                <w:rFonts w:eastAsia="Times New Roman"/>
                <w:sz w:val="22"/>
                <w:szCs w:val="22"/>
                <w:lang w:val="lv-LV" w:eastAsia="ja-JP"/>
              </w:rPr>
              <w:t>1. Budžeta ieņēmumi:</w:t>
            </w:r>
          </w:p>
        </w:tc>
        <w:tc>
          <w:tcPr>
            <w:tcW w:w="1136" w:type="dxa"/>
            <w:tcBorders>
              <w:top w:val="single" w:sz="4" w:space="0" w:color="auto"/>
              <w:left w:val="single" w:sz="4" w:space="0" w:color="auto"/>
              <w:bottom w:val="single" w:sz="4" w:space="0" w:color="auto"/>
              <w:right w:val="single" w:sz="4" w:space="0" w:color="auto"/>
            </w:tcBorders>
            <w:hideMark/>
          </w:tcPr>
          <w:p w14:paraId="54A28AC8" w14:textId="77777777" w:rsidR="00036FBA" w:rsidRPr="000965FC" w:rsidRDefault="00036FBA" w:rsidP="001D5277">
            <w:pPr>
              <w:spacing w:line="276" w:lineRule="auto"/>
              <w:jc w:val="center"/>
              <w:rPr>
                <w:rFonts w:eastAsia="Arial Unicode MS"/>
                <w:sz w:val="22"/>
                <w:szCs w:val="22"/>
                <w:lang w:val="lv-LV"/>
              </w:rPr>
            </w:pPr>
            <w:r w:rsidRPr="000965FC">
              <w:rPr>
                <w:rFonts w:eastAsia="Arial Unicode MS"/>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hideMark/>
          </w:tcPr>
          <w:p w14:paraId="7AB304AD" w14:textId="77777777" w:rsidR="00036FBA" w:rsidRPr="000965FC" w:rsidRDefault="00036FBA" w:rsidP="001D5277">
            <w:pPr>
              <w:spacing w:line="276" w:lineRule="auto"/>
              <w:jc w:val="center"/>
              <w:rPr>
                <w:rFonts w:eastAsia="Arial Unicode MS"/>
                <w:sz w:val="22"/>
                <w:szCs w:val="22"/>
                <w:lang w:val="lv-LV"/>
              </w:rPr>
            </w:pPr>
            <w:r w:rsidRPr="000965FC">
              <w:rPr>
                <w:rFonts w:eastAsia="Arial Unicode MS"/>
                <w:sz w:val="22"/>
                <w:szCs w:val="22"/>
                <w:lang w:val="lv-LV"/>
              </w:rPr>
              <w:t>0</w:t>
            </w:r>
          </w:p>
        </w:tc>
        <w:tc>
          <w:tcPr>
            <w:tcW w:w="998" w:type="dxa"/>
            <w:tcBorders>
              <w:top w:val="single" w:sz="4" w:space="0" w:color="auto"/>
              <w:left w:val="single" w:sz="4" w:space="0" w:color="auto"/>
              <w:bottom w:val="single" w:sz="4" w:space="0" w:color="auto"/>
              <w:right w:val="single" w:sz="4" w:space="0" w:color="auto"/>
            </w:tcBorders>
            <w:hideMark/>
          </w:tcPr>
          <w:p w14:paraId="40C761E0" w14:textId="77777777" w:rsidR="00036FBA" w:rsidRPr="000965FC" w:rsidRDefault="00036FBA" w:rsidP="001D527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3C02A01F" w14:textId="77777777" w:rsidR="00036FBA" w:rsidRPr="000965FC" w:rsidRDefault="00036FBA" w:rsidP="001D5277">
            <w:pPr>
              <w:spacing w:line="276" w:lineRule="auto"/>
              <w:jc w:val="center"/>
              <w:rPr>
                <w:sz w:val="22"/>
                <w:szCs w:val="22"/>
                <w:lang w:val="lv-LV"/>
              </w:rPr>
            </w:pPr>
            <w:r w:rsidRPr="000965FC">
              <w:rPr>
                <w:rFonts w:eastAsia="Arial Unicode MS"/>
                <w:sz w:val="22"/>
                <w:szCs w:val="22"/>
                <w:lang w:val="lv-LV"/>
              </w:rPr>
              <w:t>0</w:t>
            </w:r>
          </w:p>
        </w:tc>
        <w:tc>
          <w:tcPr>
            <w:tcW w:w="945" w:type="dxa"/>
            <w:tcBorders>
              <w:top w:val="single" w:sz="4" w:space="0" w:color="auto"/>
              <w:left w:val="single" w:sz="4" w:space="0" w:color="auto"/>
              <w:bottom w:val="single" w:sz="4" w:space="0" w:color="auto"/>
              <w:right w:val="single" w:sz="4" w:space="0" w:color="auto"/>
            </w:tcBorders>
            <w:vAlign w:val="center"/>
            <w:hideMark/>
          </w:tcPr>
          <w:p w14:paraId="4BC5A59E" w14:textId="77777777" w:rsidR="00036FBA" w:rsidRPr="000965FC" w:rsidRDefault="00036FBA" w:rsidP="001D5277">
            <w:pPr>
              <w:spacing w:line="276" w:lineRule="auto"/>
              <w:jc w:val="center"/>
              <w:rPr>
                <w:rFonts w:eastAsia="Times New Roman"/>
                <w:b/>
                <w:sz w:val="22"/>
                <w:szCs w:val="22"/>
                <w:lang w:val="lv-LV" w:eastAsia="ja-JP"/>
              </w:rPr>
            </w:pPr>
            <w:r w:rsidRPr="000965FC">
              <w:rPr>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hideMark/>
          </w:tcPr>
          <w:p w14:paraId="786F8EDD" w14:textId="77777777" w:rsidR="00036FBA" w:rsidRPr="000965FC" w:rsidRDefault="00036FBA" w:rsidP="001D5277">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6AC8A6C6" w14:textId="77777777" w:rsidR="00036FBA" w:rsidRPr="000965FC" w:rsidRDefault="00036FBA" w:rsidP="001D5277">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036FBA" w:rsidRPr="000965FC" w14:paraId="0C8E81B1"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2097DA1B" w14:textId="77777777" w:rsidR="00036FBA" w:rsidRPr="000965FC" w:rsidRDefault="00036FBA" w:rsidP="001D5277">
            <w:pPr>
              <w:spacing w:line="276" w:lineRule="auto"/>
              <w:jc w:val="both"/>
              <w:rPr>
                <w:rFonts w:eastAsia="Arial Unicode MS"/>
                <w:sz w:val="22"/>
                <w:szCs w:val="22"/>
                <w:lang w:val="lv-LV"/>
              </w:rPr>
            </w:pPr>
            <w:r w:rsidRPr="000965FC">
              <w:rPr>
                <w:rFonts w:eastAsia="Arial Unicode MS"/>
                <w:sz w:val="22"/>
                <w:szCs w:val="22"/>
                <w:lang w:val="lv-LV"/>
              </w:rPr>
              <w:t>1.1. valsts pamatbudžets</w:t>
            </w:r>
          </w:p>
        </w:tc>
        <w:tc>
          <w:tcPr>
            <w:tcW w:w="1136" w:type="dxa"/>
            <w:tcBorders>
              <w:top w:val="single" w:sz="4" w:space="0" w:color="auto"/>
              <w:left w:val="single" w:sz="4" w:space="0" w:color="auto"/>
              <w:bottom w:val="single" w:sz="4" w:space="0" w:color="auto"/>
              <w:right w:val="single" w:sz="4" w:space="0" w:color="auto"/>
            </w:tcBorders>
            <w:hideMark/>
          </w:tcPr>
          <w:p w14:paraId="7C96F4CD" w14:textId="77777777" w:rsidR="00036FBA" w:rsidRPr="000965FC" w:rsidRDefault="00036FBA" w:rsidP="001D5277">
            <w:pPr>
              <w:spacing w:line="276" w:lineRule="auto"/>
              <w:jc w:val="center"/>
              <w:rPr>
                <w:rFonts w:eastAsia="Arial Unicode MS"/>
                <w:sz w:val="22"/>
                <w:szCs w:val="22"/>
                <w:lang w:val="lv-LV"/>
              </w:rPr>
            </w:pPr>
            <w:r w:rsidRPr="000965FC">
              <w:rPr>
                <w:rFonts w:eastAsia="Arial Unicode MS"/>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hideMark/>
          </w:tcPr>
          <w:p w14:paraId="463A691D" w14:textId="77777777" w:rsidR="00036FBA" w:rsidRPr="000965FC" w:rsidRDefault="00036FBA" w:rsidP="001D5277">
            <w:pPr>
              <w:spacing w:line="276" w:lineRule="auto"/>
              <w:jc w:val="center"/>
              <w:rPr>
                <w:rFonts w:eastAsia="Arial Unicode MS"/>
                <w:sz w:val="22"/>
                <w:szCs w:val="22"/>
                <w:lang w:val="lv-LV"/>
              </w:rPr>
            </w:pPr>
            <w:r w:rsidRPr="000965FC">
              <w:rPr>
                <w:rFonts w:eastAsia="Arial Unicode MS"/>
                <w:sz w:val="22"/>
                <w:szCs w:val="22"/>
                <w:lang w:val="lv-LV"/>
              </w:rPr>
              <w:t>0</w:t>
            </w:r>
          </w:p>
        </w:tc>
        <w:tc>
          <w:tcPr>
            <w:tcW w:w="998" w:type="dxa"/>
            <w:tcBorders>
              <w:top w:val="single" w:sz="4" w:space="0" w:color="auto"/>
              <w:left w:val="single" w:sz="4" w:space="0" w:color="auto"/>
              <w:bottom w:val="single" w:sz="4" w:space="0" w:color="auto"/>
              <w:right w:val="single" w:sz="4" w:space="0" w:color="auto"/>
            </w:tcBorders>
            <w:hideMark/>
          </w:tcPr>
          <w:p w14:paraId="49DF5520" w14:textId="77777777" w:rsidR="00036FBA" w:rsidRPr="000965FC" w:rsidRDefault="00036FBA" w:rsidP="001D527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17D1936E" w14:textId="77777777" w:rsidR="00036FBA" w:rsidRPr="000965FC" w:rsidRDefault="00036FBA" w:rsidP="001D5277">
            <w:pPr>
              <w:spacing w:line="276" w:lineRule="auto"/>
              <w:jc w:val="center"/>
              <w:rPr>
                <w:sz w:val="22"/>
                <w:szCs w:val="22"/>
                <w:lang w:val="lv-LV"/>
              </w:rPr>
            </w:pPr>
            <w:r w:rsidRPr="000965FC">
              <w:rPr>
                <w:rFonts w:eastAsia="Arial Unicode MS"/>
                <w:sz w:val="22"/>
                <w:szCs w:val="22"/>
                <w:lang w:val="lv-LV"/>
              </w:rPr>
              <w:t>0</w:t>
            </w:r>
          </w:p>
        </w:tc>
        <w:tc>
          <w:tcPr>
            <w:tcW w:w="945" w:type="dxa"/>
            <w:tcBorders>
              <w:top w:val="single" w:sz="4" w:space="0" w:color="auto"/>
              <w:left w:val="single" w:sz="4" w:space="0" w:color="auto"/>
              <w:bottom w:val="single" w:sz="4" w:space="0" w:color="auto"/>
              <w:right w:val="single" w:sz="4" w:space="0" w:color="auto"/>
            </w:tcBorders>
            <w:vAlign w:val="center"/>
            <w:hideMark/>
          </w:tcPr>
          <w:p w14:paraId="5E119E87" w14:textId="77777777" w:rsidR="00036FBA" w:rsidRPr="000965FC" w:rsidRDefault="00036FBA" w:rsidP="001D5277">
            <w:pPr>
              <w:spacing w:line="276" w:lineRule="auto"/>
              <w:jc w:val="center"/>
              <w:rPr>
                <w:rFonts w:eastAsia="Times New Roman"/>
                <w:b/>
                <w:sz w:val="22"/>
                <w:szCs w:val="22"/>
                <w:lang w:val="lv-LV" w:eastAsia="ja-JP"/>
              </w:rPr>
            </w:pPr>
            <w:r w:rsidRPr="000965FC">
              <w:rPr>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hideMark/>
          </w:tcPr>
          <w:p w14:paraId="64FB8A64" w14:textId="77777777" w:rsidR="00036FBA" w:rsidRPr="000965FC" w:rsidRDefault="00036FBA" w:rsidP="001D5277">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20F90701" w14:textId="77777777" w:rsidR="00036FBA" w:rsidRPr="000965FC" w:rsidRDefault="00036FBA" w:rsidP="001D5277">
            <w:pPr>
              <w:tabs>
                <w:tab w:val="left" w:pos="315"/>
                <w:tab w:val="center" w:pos="459"/>
              </w:tabs>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036FBA" w:rsidRPr="000965FC" w14:paraId="1E90BCB1"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52120BFC" w14:textId="77777777" w:rsidR="00036FBA" w:rsidRPr="000965FC" w:rsidRDefault="00036FBA" w:rsidP="001D5277">
            <w:pPr>
              <w:spacing w:line="276" w:lineRule="auto"/>
              <w:jc w:val="both"/>
              <w:rPr>
                <w:rFonts w:eastAsia="Arial Unicode MS"/>
                <w:sz w:val="22"/>
                <w:szCs w:val="22"/>
                <w:lang w:val="lv-LV"/>
              </w:rPr>
            </w:pPr>
            <w:r w:rsidRPr="000965FC">
              <w:rPr>
                <w:rFonts w:eastAsia="Arial Unicode MS"/>
                <w:sz w:val="22"/>
                <w:szCs w:val="22"/>
                <w:lang w:val="lv-LV"/>
              </w:rPr>
              <w:t>1.2. valsts speciālais budžets</w:t>
            </w:r>
          </w:p>
        </w:tc>
        <w:tc>
          <w:tcPr>
            <w:tcW w:w="1136" w:type="dxa"/>
            <w:tcBorders>
              <w:top w:val="single" w:sz="4" w:space="0" w:color="auto"/>
              <w:left w:val="single" w:sz="4" w:space="0" w:color="auto"/>
              <w:bottom w:val="single" w:sz="4" w:space="0" w:color="auto"/>
              <w:right w:val="single" w:sz="4" w:space="0" w:color="auto"/>
            </w:tcBorders>
            <w:hideMark/>
          </w:tcPr>
          <w:p w14:paraId="1962B497" w14:textId="77777777" w:rsidR="00036FBA" w:rsidRPr="000965FC" w:rsidRDefault="00036FBA" w:rsidP="001D5277">
            <w:pPr>
              <w:spacing w:line="276" w:lineRule="auto"/>
              <w:jc w:val="center"/>
              <w:rPr>
                <w:rFonts w:eastAsia="Arial Unicode MS"/>
                <w:sz w:val="22"/>
                <w:szCs w:val="22"/>
                <w:lang w:val="lv-LV"/>
              </w:rPr>
            </w:pPr>
            <w:r w:rsidRPr="000965FC">
              <w:rPr>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hideMark/>
          </w:tcPr>
          <w:p w14:paraId="7AB6C9DC" w14:textId="77777777" w:rsidR="00036FBA" w:rsidRPr="000965FC" w:rsidRDefault="00036FBA" w:rsidP="001D5277">
            <w:pPr>
              <w:spacing w:line="276" w:lineRule="auto"/>
              <w:jc w:val="center"/>
              <w:rPr>
                <w:rFonts w:eastAsia="Arial Unicode MS"/>
                <w:sz w:val="22"/>
                <w:szCs w:val="22"/>
                <w:lang w:val="lv-LV"/>
              </w:rPr>
            </w:pPr>
            <w:r w:rsidRPr="000965FC">
              <w:rPr>
                <w:sz w:val="22"/>
                <w:szCs w:val="22"/>
                <w:lang w:val="lv-LV"/>
              </w:rPr>
              <w:t>0</w:t>
            </w:r>
          </w:p>
        </w:tc>
        <w:tc>
          <w:tcPr>
            <w:tcW w:w="998" w:type="dxa"/>
            <w:tcBorders>
              <w:top w:val="single" w:sz="4" w:space="0" w:color="auto"/>
              <w:left w:val="single" w:sz="4" w:space="0" w:color="auto"/>
              <w:bottom w:val="single" w:sz="4" w:space="0" w:color="auto"/>
              <w:right w:val="single" w:sz="4" w:space="0" w:color="auto"/>
            </w:tcBorders>
            <w:hideMark/>
          </w:tcPr>
          <w:p w14:paraId="516B084A" w14:textId="77777777" w:rsidR="00036FBA" w:rsidRPr="000965FC" w:rsidRDefault="00036FBA" w:rsidP="001D5277">
            <w:pPr>
              <w:spacing w:line="276" w:lineRule="auto"/>
              <w:jc w:val="center"/>
              <w:rPr>
                <w:rFonts w:eastAsia="Times New Roman"/>
                <w:b/>
                <w:sz w:val="22"/>
                <w:szCs w:val="22"/>
                <w:lang w:val="lv-LV" w:eastAsia="ja-JP"/>
              </w:rPr>
            </w:pPr>
            <w:r w:rsidRPr="000965FC">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1229D308" w14:textId="77777777" w:rsidR="00036FBA" w:rsidRPr="000965FC" w:rsidRDefault="00036FBA" w:rsidP="001D5277">
            <w:pPr>
              <w:spacing w:line="276" w:lineRule="auto"/>
              <w:jc w:val="center"/>
              <w:rPr>
                <w:sz w:val="22"/>
                <w:szCs w:val="22"/>
                <w:lang w:val="lv-LV"/>
              </w:rPr>
            </w:pPr>
            <w:r w:rsidRPr="000965FC">
              <w:rPr>
                <w:sz w:val="22"/>
                <w:szCs w:val="22"/>
                <w:lang w:val="lv-LV"/>
              </w:rPr>
              <w:t>0</w:t>
            </w:r>
          </w:p>
        </w:tc>
        <w:tc>
          <w:tcPr>
            <w:tcW w:w="945" w:type="dxa"/>
            <w:tcBorders>
              <w:top w:val="single" w:sz="4" w:space="0" w:color="auto"/>
              <w:left w:val="single" w:sz="4" w:space="0" w:color="auto"/>
              <w:bottom w:val="single" w:sz="4" w:space="0" w:color="auto"/>
              <w:right w:val="single" w:sz="4" w:space="0" w:color="auto"/>
            </w:tcBorders>
            <w:hideMark/>
          </w:tcPr>
          <w:p w14:paraId="69918CB5" w14:textId="77777777" w:rsidR="00036FBA" w:rsidRPr="000965FC" w:rsidRDefault="00036FBA" w:rsidP="001D5277">
            <w:pPr>
              <w:spacing w:line="276" w:lineRule="auto"/>
              <w:jc w:val="center"/>
              <w:rPr>
                <w:rFonts w:eastAsia="Times New Roman"/>
                <w:b/>
                <w:sz w:val="22"/>
                <w:szCs w:val="22"/>
                <w:lang w:val="lv-LV" w:eastAsia="ja-JP"/>
              </w:rPr>
            </w:pPr>
            <w:r w:rsidRPr="000965FC">
              <w:rPr>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hideMark/>
          </w:tcPr>
          <w:p w14:paraId="0FCFDB71" w14:textId="77777777" w:rsidR="00036FBA" w:rsidRPr="000965FC" w:rsidRDefault="00036FBA" w:rsidP="001D5277">
            <w:pPr>
              <w:spacing w:line="276" w:lineRule="auto"/>
              <w:jc w:val="center"/>
              <w:rPr>
                <w:sz w:val="22"/>
                <w:szCs w:val="22"/>
                <w:lang w:val="lv-LV"/>
              </w:rPr>
            </w:pPr>
            <w:r w:rsidRPr="000965FC">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34222FCE" w14:textId="77777777" w:rsidR="00036FBA" w:rsidRPr="000965FC" w:rsidRDefault="00036FBA" w:rsidP="001D5277">
            <w:pPr>
              <w:spacing w:line="276" w:lineRule="auto"/>
              <w:jc w:val="center"/>
              <w:rPr>
                <w:rFonts w:eastAsia="Times New Roman"/>
                <w:b/>
                <w:sz w:val="22"/>
                <w:szCs w:val="22"/>
                <w:lang w:val="lv-LV" w:eastAsia="ja-JP"/>
              </w:rPr>
            </w:pPr>
            <w:r w:rsidRPr="000965FC">
              <w:rPr>
                <w:sz w:val="22"/>
                <w:szCs w:val="22"/>
                <w:lang w:val="lv-LV"/>
              </w:rPr>
              <w:t>0</w:t>
            </w:r>
          </w:p>
        </w:tc>
      </w:tr>
      <w:tr w:rsidR="00036FBA" w:rsidRPr="000965FC" w14:paraId="1DD89870"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31A39763" w14:textId="77777777" w:rsidR="00036FBA" w:rsidRPr="000965FC" w:rsidRDefault="00036FBA" w:rsidP="001D5277">
            <w:pPr>
              <w:spacing w:line="276" w:lineRule="auto"/>
              <w:jc w:val="both"/>
              <w:rPr>
                <w:rFonts w:eastAsia="Arial Unicode MS"/>
                <w:sz w:val="22"/>
                <w:szCs w:val="22"/>
                <w:lang w:val="lv-LV"/>
              </w:rPr>
            </w:pPr>
            <w:r w:rsidRPr="000965FC">
              <w:rPr>
                <w:rFonts w:eastAsia="Arial Unicode MS"/>
                <w:sz w:val="22"/>
                <w:szCs w:val="22"/>
                <w:lang w:val="lv-LV"/>
              </w:rPr>
              <w:t>1.3. pašvaldību budžets</w:t>
            </w:r>
          </w:p>
        </w:tc>
        <w:tc>
          <w:tcPr>
            <w:tcW w:w="1136" w:type="dxa"/>
            <w:tcBorders>
              <w:top w:val="single" w:sz="4" w:space="0" w:color="auto"/>
              <w:left w:val="single" w:sz="4" w:space="0" w:color="auto"/>
              <w:bottom w:val="single" w:sz="4" w:space="0" w:color="auto"/>
              <w:right w:val="single" w:sz="4" w:space="0" w:color="auto"/>
            </w:tcBorders>
            <w:hideMark/>
          </w:tcPr>
          <w:p w14:paraId="6BF37692" w14:textId="77777777" w:rsidR="00036FBA" w:rsidRPr="000965FC" w:rsidRDefault="00036FBA" w:rsidP="001D5277">
            <w:pPr>
              <w:spacing w:line="276" w:lineRule="auto"/>
              <w:jc w:val="center"/>
              <w:rPr>
                <w:sz w:val="22"/>
                <w:szCs w:val="22"/>
                <w:lang w:val="lv-LV"/>
              </w:rPr>
            </w:pPr>
            <w:r w:rsidRPr="000965FC">
              <w:rPr>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hideMark/>
          </w:tcPr>
          <w:p w14:paraId="7618B56C" w14:textId="77777777" w:rsidR="00036FBA" w:rsidRPr="000965FC" w:rsidRDefault="00036FBA" w:rsidP="001D5277">
            <w:pPr>
              <w:spacing w:line="276" w:lineRule="auto"/>
              <w:jc w:val="center"/>
              <w:rPr>
                <w:sz w:val="22"/>
                <w:szCs w:val="22"/>
                <w:lang w:val="lv-LV"/>
              </w:rPr>
            </w:pPr>
            <w:r w:rsidRPr="000965FC">
              <w:rPr>
                <w:sz w:val="22"/>
                <w:szCs w:val="22"/>
                <w:lang w:val="lv-LV"/>
              </w:rPr>
              <w:t>0</w:t>
            </w:r>
          </w:p>
        </w:tc>
        <w:tc>
          <w:tcPr>
            <w:tcW w:w="998" w:type="dxa"/>
            <w:tcBorders>
              <w:top w:val="single" w:sz="4" w:space="0" w:color="auto"/>
              <w:left w:val="single" w:sz="4" w:space="0" w:color="auto"/>
              <w:bottom w:val="single" w:sz="4" w:space="0" w:color="auto"/>
              <w:right w:val="single" w:sz="4" w:space="0" w:color="auto"/>
            </w:tcBorders>
            <w:hideMark/>
          </w:tcPr>
          <w:p w14:paraId="2CF4F023" w14:textId="77777777" w:rsidR="00036FBA" w:rsidRPr="000965FC" w:rsidRDefault="00036FBA" w:rsidP="001D5277">
            <w:pPr>
              <w:spacing w:line="276" w:lineRule="auto"/>
              <w:jc w:val="center"/>
              <w:rPr>
                <w:rFonts w:eastAsia="Times New Roman"/>
                <w:b/>
                <w:sz w:val="22"/>
                <w:szCs w:val="22"/>
                <w:lang w:val="lv-LV" w:eastAsia="ja-JP"/>
              </w:rPr>
            </w:pPr>
            <w:r w:rsidRPr="000965FC">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4BAD4AF4" w14:textId="77777777" w:rsidR="00036FBA" w:rsidRPr="000965FC" w:rsidRDefault="00036FBA" w:rsidP="001D5277">
            <w:pPr>
              <w:spacing w:line="276" w:lineRule="auto"/>
              <w:jc w:val="center"/>
              <w:rPr>
                <w:sz w:val="22"/>
                <w:szCs w:val="22"/>
                <w:lang w:val="lv-LV"/>
              </w:rPr>
            </w:pPr>
            <w:r w:rsidRPr="000965FC">
              <w:rPr>
                <w:sz w:val="22"/>
                <w:szCs w:val="22"/>
                <w:lang w:val="lv-LV"/>
              </w:rPr>
              <w:t>0</w:t>
            </w:r>
          </w:p>
        </w:tc>
        <w:tc>
          <w:tcPr>
            <w:tcW w:w="945" w:type="dxa"/>
            <w:tcBorders>
              <w:top w:val="single" w:sz="4" w:space="0" w:color="auto"/>
              <w:left w:val="single" w:sz="4" w:space="0" w:color="auto"/>
              <w:bottom w:val="single" w:sz="4" w:space="0" w:color="auto"/>
              <w:right w:val="single" w:sz="4" w:space="0" w:color="auto"/>
            </w:tcBorders>
            <w:hideMark/>
          </w:tcPr>
          <w:p w14:paraId="52213D1E" w14:textId="77777777" w:rsidR="00036FBA" w:rsidRPr="000965FC" w:rsidRDefault="00036FBA" w:rsidP="001D5277">
            <w:pPr>
              <w:spacing w:line="276" w:lineRule="auto"/>
              <w:jc w:val="center"/>
              <w:rPr>
                <w:rFonts w:eastAsia="Times New Roman"/>
                <w:b/>
                <w:sz w:val="22"/>
                <w:szCs w:val="22"/>
                <w:lang w:val="lv-LV" w:eastAsia="ja-JP"/>
              </w:rPr>
            </w:pPr>
            <w:r w:rsidRPr="000965FC">
              <w:rPr>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hideMark/>
          </w:tcPr>
          <w:p w14:paraId="603296DE" w14:textId="77777777" w:rsidR="00036FBA" w:rsidRPr="000965FC" w:rsidRDefault="00036FBA" w:rsidP="001D5277">
            <w:pPr>
              <w:spacing w:line="276" w:lineRule="auto"/>
              <w:jc w:val="center"/>
              <w:rPr>
                <w:sz w:val="22"/>
                <w:szCs w:val="22"/>
                <w:lang w:val="lv-LV"/>
              </w:rPr>
            </w:pPr>
            <w:r w:rsidRPr="000965FC">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0FD29CDE" w14:textId="77777777" w:rsidR="00036FBA" w:rsidRPr="000965FC" w:rsidRDefault="00036FBA" w:rsidP="001D5277">
            <w:pPr>
              <w:spacing w:line="276" w:lineRule="auto"/>
              <w:jc w:val="center"/>
              <w:rPr>
                <w:rFonts w:eastAsia="Times New Roman"/>
                <w:b/>
                <w:sz w:val="22"/>
                <w:szCs w:val="22"/>
                <w:lang w:val="lv-LV" w:eastAsia="ja-JP"/>
              </w:rPr>
            </w:pPr>
            <w:r w:rsidRPr="000965FC">
              <w:rPr>
                <w:sz w:val="22"/>
                <w:szCs w:val="22"/>
                <w:lang w:val="lv-LV"/>
              </w:rPr>
              <w:t>0</w:t>
            </w:r>
          </w:p>
        </w:tc>
      </w:tr>
      <w:tr w:rsidR="00ED3D84" w:rsidRPr="000965FC" w14:paraId="766501E8"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195CC579" w14:textId="77777777" w:rsidR="00ED3D84" w:rsidRPr="000965FC" w:rsidRDefault="00ED3D84" w:rsidP="00ED3D84">
            <w:pPr>
              <w:spacing w:line="276" w:lineRule="auto"/>
              <w:rPr>
                <w:rFonts w:eastAsia="Times New Roman"/>
                <w:sz w:val="22"/>
                <w:szCs w:val="22"/>
                <w:lang w:val="lv-LV" w:eastAsia="ja-JP"/>
              </w:rPr>
            </w:pPr>
            <w:r w:rsidRPr="000965FC">
              <w:rPr>
                <w:rFonts w:eastAsia="Times New Roman"/>
                <w:sz w:val="22"/>
                <w:szCs w:val="22"/>
                <w:lang w:val="lv-LV" w:eastAsia="ja-JP"/>
              </w:rPr>
              <w:t>2. Budžeta izdevumi:</w:t>
            </w:r>
          </w:p>
        </w:tc>
        <w:tc>
          <w:tcPr>
            <w:tcW w:w="1136" w:type="dxa"/>
            <w:tcBorders>
              <w:top w:val="single" w:sz="4" w:space="0" w:color="auto"/>
              <w:left w:val="single" w:sz="4" w:space="0" w:color="auto"/>
              <w:bottom w:val="single" w:sz="4" w:space="0" w:color="auto"/>
              <w:right w:val="single" w:sz="4" w:space="0" w:color="auto"/>
            </w:tcBorders>
            <w:vAlign w:val="center"/>
            <w:hideMark/>
          </w:tcPr>
          <w:p w14:paraId="1710830F" w14:textId="77777777" w:rsidR="00ED3D84" w:rsidRPr="000965FC" w:rsidRDefault="00ED3D84" w:rsidP="00ED3D84">
            <w:pPr>
              <w:spacing w:line="276" w:lineRule="auto"/>
              <w:jc w:val="center"/>
              <w:rPr>
                <w:sz w:val="22"/>
                <w:szCs w:val="22"/>
                <w:lang w:val="lv-LV"/>
              </w:rPr>
            </w:pPr>
            <w:r w:rsidRPr="000965FC">
              <w:rPr>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hideMark/>
          </w:tcPr>
          <w:p w14:paraId="6F809097" w14:textId="0F4A2F4E" w:rsidR="00ED3D84" w:rsidRPr="000965FC" w:rsidRDefault="00ED3D84" w:rsidP="00ED3D84">
            <w:pPr>
              <w:spacing w:line="276" w:lineRule="auto"/>
              <w:jc w:val="center"/>
            </w:pPr>
            <w:r w:rsidRPr="000965FC">
              <w:rPr>
                <w:rFonts w:eastAsia="Times New Roman"/>
                <w:sz w:val="22"/>
                <w:szCs w:val="22"/>
                <w:lang w:val="lv-LV"/>
              </w:rPr>
              <w:t>70 800 000</w:t>
            </w:r>
          </w:p>
        </w:tc>
        <w:tc>
          <w:tcPr>
            <w:tcW w:w="998" w:type="dxa"/>
            <w:tcBorders>
              <w:top w:val="single" w:sz="4" w:space="0" w:color="auto"/>
              <w:left w:val="single" w:sz="4" w:space="0" w:color="auto"/>
              <w:bottom w:val="single" w:sz="4" w:space="0" w:color="auto"/>
              <w:right w:val="single" w:sz="4" w:space="0" w:color="auto"/>
            </w:tcBorders>
            <w:hideMark/>
          </w:tcPr>
          <w:p w14:paraId="3237EF43" w14:textId="77777777" w:rsidR="00ED3D84" w:rsidRPr="000965FC" w:rsidRDefault="00ED3D84" w:rsidP="00ED3D84">
            <w:pPr>
              <w:spacing w:line="276" w:lineRule="auto"/>
              <w:jc w:val="center"/>
              <w:rPr>
                <w:rFonts w:eastAsia="Times New Roman"/>
                <w:b/>
                <w:bCs/>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tcPr>
          <w:p w14:paraId="26E2A14D" w14:textId="77777777" w:rsidR="00ED3D84" w:rsidRPr="000965FC" w:rsidRDefault="00ED3D84" w:rsidP="00ED3D84">
            <w:pPr>
              <w:spacing w:line="276" w:lineRule="auto"/>
              <w:jc w:val="center"/>
            </w:pPr>
            <w:r w:rsidRPr="000965FC">
              <w:rPr>
                <w:rFonts w:eastAsia="Times New Roman"/>
                <w:sz w:val="22"/>
                <w:szCs w:val="22"/>
                <w:lang w:val="lv-LV"/>
              </w:rPr>
              <w:t>0</w:t>
            </w:r>
          </w:p>
          <w:p w14:paraId="5F52D725" w14:textId="77777777" w:rsidR="00ED3D84" w:rsidRPr="000965FC" w:rsidRDefault="00ED3D84" w:rsidP="00ED3D84">
            <w:pPr>
              <w:spacing w:line="276" w:lineRule="auto"/>
              <w:jc w:val="center"/>
              <w:rPr>
                <w:sz w:val="22"/>
                <w:szCs w:val="22"/>
                <w:lang w:val="lv-LV"/>
              </w:rPr>
            </w:pPr>
          </w:p>
        </w:tc>
        <w:tc>
          <w:tcPr>
            <w:tcW w:w="945" w:type="dxa"/>
            <w:tcBorders>
              <w:top w:val="single" w:sz="4" w:space="0" w:color="auto"/>
              <w:left w:val="single" w:sz="4" w:space="0" w:color="auto"/>
              <w:bottom w:val="single" w:sz="4" w:space="0" w:color="auto"/>
              <w:right w:val="single" w:sz="4" w:space="0" w:color="auto"/>
            </w:tcBorders>
            <w:vAlign w:val="center"/>
            <w:hideMark/>
          </w:tcPr>
          <w:p w14:paraId="08148DEC" w14:textId="77777777" w:rsidR="00ED3D84" w:rsidRPr="000965FC" w:rsidRDefault="00ED3D84" w:rsidP="00ED3D84">
            <w:pPr>
              <w:spacing w:line="276" w:lineRule="auto"/>
              <w:jc w:val="center"/>
              <w:rPr>
                <w:rFonts w:eastAsia="Times New Roman"/>
                <w:b/>
                <w:bCs/>
                <w:sz w:val="22"/>
                <w:szCs w:val="22"/>
                <w:lang w:val="lv-LV" w:eastAsia="ja-JP"/>
              </w:rPr>
            </w:pPr>
            <w:r w:rsidRPr="000965FC">
              <w:rPr>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hideMark/>
          </w:tcPr>
          <w:p w14:paraId="1795444B" w14:textId="77777777" w:rsidR="00ED3D84" w:rsidRPr="000965FC" w:rsidRDefault="00ED3D84" w:rsidP="00ED3D84">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5469B581" w14:textId="77777777" w:rsidR="00ED3D84" w:rsidRPr="000965FC" w:rsidRDefault="00ED3D84" w:rsidP="00ED3D84">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ED3D84" w:rsidRPr="000965FC" w14:paraId="2AB53D3F"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1C071EA4" w14:textId="77777777" w:rsidR="00ED3D84" w:rsidRPr="000965FC" w:rsidRDefault="00ED3D84" w:rsidP="00ED3D84">
            <w:pPr>
              <w:spacing w:line="276" w:lineRule="auto"/>
              <w:rPr>
                <w:rFonts w:eastAsia="Times New Roman"/>
                <w:sz w:val="22"/>
                <w:szCs w:val="22"/>
                <w:lang w:val="lv-LV"/>
              </w:rPr>
            </w:pPr>
            <w:r w:rsidRPr="000965FC">
              <w:rPr>
                <w:rFonts w:eastAsia="Times New Roman"/>
                <w:sz w:val="22"/>
                <w:szCs w:val="22"/>
                <w:lang w:val="lv-LV"/>
              </w:rPr>
              <w:t>2.1. valsts pamatbudžets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82F28B5" w14:textId="77777777" w:rsidR="00ED3D84" w:rsidRPr="000965FC" w:rsidRDefault="00ED3D84" w:rsidP="00ED3D84">
            <w:pPr>
              <w:spacing w:line="276" w:lineRule="auto"/>
              <w:jc w:val="center"/>
              <w:rPr>
                <w:sz w:val="22"/>
                <w:szCs w:val="22"/>
                <w:lang w:val="lv-LV"/>
              </w:rPr>
            </w:pPr>
            <w:r w:rsidRPr="000965FC">
              <w:rPr>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tcPr>
          <w:p w14:paraId="2C058FB0" w14:textId="77777777" w:rsidR="00ED3D84" w:rsidRPr="000965FC" w:rsidRDefault="00ED3D84" w:rsidP="00ED3D84">
            <w:pPr>
              <w:spacing w:line="276" w:lineRule="auto"/>
              <w:jc w:val="center"/>
              <w:rPr>
                <w:rFonts w:eastAsia="Times New Roman"/>
                <w:sz w:val="22"/>
                <w:szCs w:val="22"/>
                <w:lang w:val="lv-LV"/>
              </w:rPr>
            </w:pPr>
            <w:r w:rsidRPr="000965FC">
              <w:rPr>
                <w:rFonts w:eastAsia="Times New Roman"/>
                <w:sz w:val="22"/>
                <w:szCs w:val="22"/>
                <w:lang w:val="lv-LV"/>
              </w:rPr>
              <w:t>70 800 000</w:t>
            </w:r>
          </w:p>
          <w:p w14:paraId="758BE11C" w14:textId="77777777" w:rsidR="00ED3D84" w:rsidRPr="000965FC" w:rsidRDefault="00ED3D84" w:rsidP="00ED3D84">
            <w:pPr>
              <w:spacing w:line="276" w:lineRule="auto"/>
              <w:jc w:val="center"/>
              <w:rPr>
                <w:sz w:val="22"/>
                <w:szCs w:val="22"/>
                <w:lang w:val="lv-LV"/>
              </w:rPr>
            </w:pPr>
          </w:p>
        </w:tc>
        <w:tc>
          <w:tcPr>
            <w:tcW w:w="998" w:type="dxa"/>
            <w:tcBorders>
              <w:top w:val="single" w:sz="4" w:space="0" w:color="auto"/>
              <w:left w:val="single" w:sz="4" w:space="0" w:color="auto"/>
              <w:bottom w:val="single" w:sz="4" w:space="0" w:color="auto"/>
              <w:right w:val="single" w:sz="4" w:space="0" w:color="auto"/>
            </w:tcBorders>
            <w:hideMark/>
          </w:tcPr>
          <w:p w14:paraId="1247EDBB" w14:textId="77777777" w:rsidR="00ED3D84" w:rsidRPr="000965FC" w:rsidRDefault="00ED3D84" w:rsidP="00ED3D84">
            <w:pPr>
              <w:spacing w:line="276" w:lineRule="auto"/>
              <w:jc w:val="center"/>
              <w:rPr>
                <w:rFonts w:eastAsia="Times New Roman"/>
                <w:b/>
                <w:bCs/>
                <w:sz w:val="22"/>
                <w:szCs w:val="22"/>
                <w:lang w:val="lv-LV" w:eastAsia="ja-JP"/>
              </w:rPr>
            </w:pPr>
            <w:r w:rsidRPr="000965FC">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tcPr>
          <w:p w14:paraId="6C77CA77" w14:textId="77777777" w:rsidR="00ED3D84" w:rsidRPr="000965FC" w:rsidRDefault="00ED3D84" w:rsidP="00ED3D84">
            <w:pPr>
              <w:spacing w:line="276" w:lineRule="auto"/>
              <w:jc w:val="center"/>
            </w:pPr>
            <w:r w:rsidRPr="000965FC">
              <w:rPr>
                <w:rFonts w:eastAsia="Times New Roman"/>
                <w:sz w:val="22"/>
                <w:szCs w:val="22"/>
                <w:lang w:val="lv-LV"/>
              </w:rPr>
              <w:t>0</w:t>
            </w:r>
          </w:p>
          <w:p w14:paraId="4A9F2586" w14:textId="77777777" w:rsidR="00ED3D84" w:rsidRPr="000965FC" w:rsidRDefault="00ED3D84" w:rsidP="00ED3D84">
            <w:pPr>
              <w:spacing w:line="276" w:lineRule="auto"/>
              <w:jc w:val="center"/>
              <w:rPr>
                <w:rFonts w:eastAsia="Times New Roman"/>
                <w:sz w:val="22"/>
                <w:szCs w:val="22"/>
                <w:lang w:val="lv-LV"/>
              </w:rPr>
            </w:pPr>
          </w:p>
          <w:p w14:paraId="566F6DE7" w14:textId="77777777" w:rsidR="00ED3D84" w:rsidRPr="000965FC" w:rsidRDefault="00ED3D84" w:rsidP="00ED3D84">
            <w:pPr>
              <w:spacing w:line="276" w:lineRule="auto"/>
              <w:jc w:val="center"/>
              <w:rPr>
                <w:sz w:val="22"/>
                <w:szCs w:val="22"/>
                <w:lang w:val="lv-LV"/>
              </w:rPr>
            </w:pPr>
          </w:p>
          <w:p w14:paraId="0BD82A29" w14:textId="77777777" w:rsidR="00ED3D84" w:rsidRPr="000965FC" w:rsidRDefault="00ED3D84" w:rsidP="00ED3D84">
            <w:pPr>
              <w:spacing w:line="276" w:lineRule="auto"/>
              <w:jc w:val="center"/>
              <w:rPr>
                <w:sz w:val="22"/>
                <w:szCs w:val="22"/>
                <w:lang w:val="lv-LV"/>
              </w:rPr>
            </w:pPr>
          </w:p>
        </w:tc>
        <w:tc>
          <w:tcPr>
            <w:tcW w:w="945" w:type="dxa"/>
            <w:tcBorders>
              <w:top w:val="single" w:sz="4" w:space="0" w:color="auto"/>
              <w:left w:val="single" w:sz="4" w:space="0" w:color="auto"/>
              <w:bottom w:val="single" w:sz="4" w:space="0" w:color="auto"/>
              <w:right w:val="single" w:sz="4" w:space="0" w:color="auto"/>
            </w:tcBorders>
            <w:hideMark/>
          </w:tcPr>
          <w:p w14:paraId="7ED6284E" w14:textId="77777777" w:rsidR="00ED3D84" w:rsidRPr="000965FC" w:rsidRDefault="00ED3D84" w:rsidP="00ED3D84">
            <w:pPr>
              <w:spacing w:line="276" w:lineRule="auto"/>
              <w:jc w:val="center"/>
              <w:rPr>
                <w:rFonts w:eastAsia="Times New Roman"/>
                <w:b/>
                <w:sz w:val="22"/>
                <w:szCs w:val="22"/>
                <w:lang w:val="lv-LV" w:eastAsia="ja-JP"/>
              </w:rPr>
            </w:pPr>
            <w:r w:rsidRPr="000965FC">
              <w:rPr>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hideMark/>
          </w:tcPr>
          <w:p w14:paraId="78D52820" w14:textId="77777777" w:rsidR="00ED3D84" w:rsidRPr="000965FC" w:rsidRDefault="00ED3D84" w:rsidP="00ED3D84">
            <w:pPr>
              <w:spacing w:line="276" w:lineRule="auto"/>
              <w:jc w:val="center"/>
              <w:rPr>
                <w:sz w:val="22"/>
                <w:szCs w:val="22"/>
                <w:lang w:val="lv-LV"/>
              </w:rPr>
            </w:pPr>
            <w:r w:rsidRPr="000965FC">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24715421" w14:textId="77777777" w:rsidR="00ED3D84" w:rsidRPr="000965FC" w:rsidRDefault="00ED3D84" w:rsidP="00ED3D84">
            <w:pPr>
              <w:spacing w:line="276" w:lineRule="auto"/>
              <w:jc w:val="center"/>
              <w:rPr>
                <w:rFonts w:eastAsia="Times New Roman"/>
                <w:b/>
                <w:sz w:val="22"/>
                <w:szCs w:val="22"/>
                <w:lang w:val="lv-LV" w:eastAsia="ja-JP"/>
              </w:rPr>
            </w:pPr>
            <w:r w:rsidRPr="000965FC">
              <w:rPr>
                <w:sz w:val="22"/>
                <w:szCs w:val="22"/>
                <w:lang w:val="lv-LV"/>
              </w:rPr>
              <w:t>0</w:t>
            </w:r>
          </w:p>
        </w:tc>
      </w:tr>
      <w:tr w:rsidR="00ED3D84" w:rsidRPr="000965FC" w14:paraId="75F1E580"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05FB69C4" w14:textId="77777777" w:rsidR="00ED3D84" w:rsidRPr="000965FC" w:rsidRDefault="00ED3D84" w:rsidP="00ED3D84">
            <w:pPr>
              <w:spacing w:line="276" w:lineRule="auto"/>
              <w:rPr>
                <w:rFonts w:eastAsia="Times New Roman"/>
                <w:sz w:val="22"/>
                <w:szCs w:val="22"/>
                <w:lang w:val="lv-LV"/>
              </w:rPr>
            </w:pPr>
            <w:r w:rsidRPr="000965FC">
              <w:rPr>
                <w:rFonts w:eastAsia="Times New Roman"/>
                <w:sz w:val="22"/>
                <w:szCs w:val="22"/>
                <w:lang w:val="lv-LV"/>
              </w:rPr>
              <w:t>2.2. valsts speciālais 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19152972" w14:textId="77777777" w:rsidR="00ED3D84" w:rsidRPr="000965FC" w:rsidRDefault="00ED3D84" w:rsidP="00ED3D84">
            <w:pPr>
              <w:spacing w:line="276" w:lineRule="auto"/>
              <w:jc w:val="center"/>
              <w:rPr>
                <w:sz w:val="22"/>
                <w:szCs w:val="22"/>
                <w:lang w:val="lv-LV"/>
              </w:rPr>
            </w:pPr>
            <w:r w:rsidRPr="000965FC">
              <w:rPr>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5BE3B874" w14:textId="2757B9E3" w:rsidR="00ED3D84" w:rsidRPr="000965FC" w:rsidRDefault="00ED3D84" w:rsidP="00ED3D84">
            <w:pPr>
              <w:spacing w:line="276" w:lineRule="auto"/>
              <w:jc w:val="center"/>
              <w:rPr>
                <w:sz w:val="22"/>
                <w:szCs w:val="22"/>
                <w:lang w:val="lv-LV"/>
              </w:rPr>
            </w:pPr>
            <w:r w:rsidRPr="000965FC">
              <w:rPr>
                <w:sz w:val="22"/>
                <w:szCs w:val="22"/>
                <w:lang w:val="lv-LV"/>
              </w:rPr>
              <w:t>0</w:t>
            </w:r>
          </w:p>
        </w:tc>
        <w:tc>
          <w:tcPr>
            <w:tcW w:w="998" w:type="dxa"/>
            <w:tcBorders>
              <w:top w:val="single" w:sz="4" w:space="0" w:color="auto"/>
              <w:left w:val="single" w:sz="4" w:space="0" w:color="auto"/>
              <w:bottom w:val="single" w:sz="4" w:space="0" w:color="auto"/>
              <w:right w:val="single" w:sz="4" w:space="0" w:color="auto"/>
            </w:tcBorders>
            <w:hideMark/>
          </w:tcPr>
          <w:p w14:paraId="4A282344" w14:textId="77777777" w:rsidR="00ED3D84" w:rsidRPr="000965FC" w:rsidRDefault="00ED3D84" w:rsidP="00ED3D84">
            <w:pPr>
              <w:spacing w:line="276" w:lineRule="auto"/>
              <w:jc w:val="center"/>
              <w:rPr>
                <w:rFonts w:eastAsia="Times New Roman"/>
                <w:b/>
                <w:sz w:val="22"/>
                <w:szCs w:val="22"/>
                <w:lang w:val="lv-LV" w:eastAsia="ja-JP"/>
              </w:rPr>
            </w:pPr>
            <w:r w:rsidRPr="000965FC">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00DDBB7A" w14:textId="77777777" w:rsidR="00ED3D84" w:rsidRPr="000965FC" w:rsidRDefault="00ED3D84" w:rsidP="00ED3D84">
            <w:pPr>
              <w:spacing w:line="276" w:lineRule="auto"/>
              <w:jc w:val="center"/>
              <w:rPr>
                <w:sz w:val="22"/>
                <w:szCs w:val="22"/>
                <w:lang w:val="lv-LV"/>
              </w:rPr>
            </w:pPr>
            <w:r w:rsidRPr="000965FC">
              <w:rPr>
                <w:sz w:val="22"/>
                <w:szCs w:val="22"/>
                <w:lang w:val="lv-LV"/>
              </w:rPr>
              <w:t>0</w:t>
            </w:r>
          </w:p>
        </w:tc>
        <w:tc>
          <w:tcPr>
            <w:tcW w:w="945" w:type="dxa"/>
            <w:tcBorders>
              <w:top w:val="single" w:sz="4" w:space="0" w:color="auto"/>
              <w:left w:val="single" w:sz="4" w:space="0" w:color="auto"/>
              <w:bottom w:val="single" w:sz="4" w:space="0" w:color="auto"/>
              <w:right w:val="single" w:sz="4" w:space="0" w:color="auto"/>
            </w:tcBorders>
            <w:hideMark/>
          </w:tcPr>
          <w:p w14:paraId="556DEDA4" w14:textId="77777777" w:rsidR="00ED3D84" w:rsidRPr="000965FC" w:rsidRDefault="00ED3D84" w:rsidP="00ED3D84">
            <w:pPr>
              <w:spacing w:line="276" w:lineRule="auto"/>
              <w:jc w:val="center"/>
              <w:rPr>
                <w:rFonts w:eastAsia="Times New Roman"/>
                <w:b/>
                <w:sz w:val="22"/>
                <w:szCs w:val="22"/>
                <w:lang w:val="lv-LV" w:eastAsia="ja-JP"/>
              </w:rPr>
            </w:pPr>
            <w:r w:rsidRPr="000965FC">
              <w:rPr>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hideMark/>
          </w:tcPr>
          <w:p w14:paraId="7542A0DD" w14:textId="77777777" w:rsidR="00ED3D84" w:rsidRPr="000965FC" w:rsidRDefault="00ED3D84" w:rsidP="00ED3D84">
            <w:pPr>
              <w:spacing w:line="276" w:lineRule="auto"/>
              <w:jc w:val="center"/>
              <w:rPr>
                <w:sz w:val="22"/>
                <w:szCs w:val="22"/>
                <w:lang w:val="lv-LV"/>
              </w:rPr>
            </w:pPr>
            <w:r w:rsidRPr="000965FC">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1822465C" w14:textId="77777777" w:rsidR="00ED3D84" w:rsidRPr="000965FC" w:rsidRDefault="00ED3D84" w:rsidP="00ED3D84">
            <w:pPr>
              <w:spacing w:line="276" w:lineRule="auto"/>
              <w:jc w:val="center"/>
              <w:rPr>
                <w:rFonts w:eastAsia="Times New Roman"/>
                <w:b/>
                <w:sz w:val="22"/>
                <w:szCs w:val="22"/>
                <w:lang w:val="lv-LV" w:eastAsia="ja-JP"/>
              </w:rPr>
            </w:pPr>
            <w:r w:rsidRPr="000965FC">
              <w:rPr>
                <w:sz w:val="22"/>
                <w:szCs w:val="22"/>
                <w:lang w:val="lv-LV"/>
              </w:rPr>
              <w:t>0</w:t>
            </w:r>
          </w:p>
        </w:tc>
      </w:tr>
      <w:tr w:rsidR="00ED3D84" w:rsidRPr="000965FC" w14:paraId="51ACE6E0"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5BFE5489" w14:textId="77777777" w:rsidR="00ED3D84" w:rsidRPr="000965FC" w:rsidRDefault="00ED3D84" w:rsidP="00ED3D84">
            <w:pPr>
              <w:spacing w:line="276" w:lineRule="auto"/>
              <w:rPr>
                <w:rFonts w:eastAsia="Times New Roman"/>
                <w:sz w:val="22"/>
                <w:szCs w:val="22"/>
                <w:lang w:val="lv-LV"/>
              </w:rPr>
            </w:pPr>
            <w:r w:rsidRPr="000965FC">
              <w:rPr>
                <w:rFonts w:eastAsia="Times New Roman"/>
                <w:sz w:val="22"/>
                <w:szCs w:val="22"/>
                <w:lang w:val="lv-LV"/>
              </w:rPr>
              <w:t>2.3. pašvaldību 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6FE017B" w14:textId="77777777" w:rsidR="00ED3D84" w:rsidRPr="000965FC" w:rsidRDefault="00ED3D84" w:rsidP="00ED3D84">
            <w:pPr>
              <w:spacing w:line="276" w:lineRule="auto"/>
              <w:jc w:val="center"/>
              <w:rPr>
                <w:sz w:val="22"/>
                <w:szCs w:val="22"/>
                <w:lang w:val="lv-LV"/>
              </w:rPr>
            </w:pPr>
            <w:r w:rsidRPr="000965FC">
              <w:rPr>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198BB33D" w14:textId="1E322CE4" w:rsidR="00ED3D84" w:rsidRPr="000965FC" w:rsidRDefault="00ED3D84" w:rsidP="00ED3D84">
            <w:pPr>
              <w:spacing w:line="276" w:lineRule="auto"/>
              <w:jc w:val="center"/>
              <w:rPr>
                <w:sz w:val="22"/>
                <w:szCs w:val="22"/>
                <w:lang w:val="lv-LV"/>
              </w:rPr>
            </w:pPr>
            <w:r w:rsidRPr="000965FC">
              <w:rPr>
                <w:sz w:val="22"/>
                <w:szCs w:val="22"/>
                <w:lang w:val="lv-LV"/>
              </w:rPr>
              <w:t>0</w:t>
            </w:r>
          </w:p>
        </w:tc>
        <w:tc>
          <w:tcPr>
            <w:tcW w:w="998" w:type="dxa"/>
            <w:tcBorders>
              <w:top w:val="single" w:sz="4" w:space="0" w:color="auto"/>
              <w:left w:val="single" w:sz="4" w:space="0" w:color="auto"/>
              <w:bottom w:val="single" w:sz="4" w:space="0" w:color="auto"/>
              <w:right w:val="single" w:sz="4" w:space="0" w:color="auto"/>
            </w:tcBorders>
            <w:hideMark/>
          </w:tcPr>
          <w:p w14:paraId="1F67DFB0" w14:textId="77777777" w:rsidR="00ED3D84" w:rsidRPr="000965FC" w:rsidRDefault="00ED3D84" w:rsidP="00ED3D84">
            <w:pPr>
              <w:spacing w:line="276" w:lineRule="auto"/>
              <w:jc w:val="center"/>
              <w:rPr>
                <w:rFonts w:eastAsia="Times New Roman"/>
                <w:b/>
                <w:sz w:val="22"/>
                <w:szCs w:val="22"/>
                <w:lang w:val="lv-LV" w:eastAsia="ja-JP"/>
              </w:rPr>
            </w:pPr>
            <w:r w:rsidRPr="000965FC">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6EFD2313" w14:textId="77777777" w:rsidR="00ED3D84" w:rsidRPr="000965FC" w:rsidRDefault="00ED3D84" w:rsidP="00ED3D84">
            <w:pPr>
              <w:spacing w:line="276" w:lineRule="auto"/>
              <w:jc w:val="center"/>
              <w:rPr>
                <w:sz w:val="22"/>
                <w:szCs w:val="22"/>
                <w:lang w:val="lv-LV"/>
              </w:rPr>
            </w:pPr>
            <w:r w:rsidRPr="000965FC">
              <w:rPr>
                <w:sz w:val="22"/>
                <w:szCs w:val="22"/>
                <w:lang w:val="lv-LV"/>
              </w:rPr>
              <w:t>0</w:t>
            </w:r>
          </w:p>
        </w:tc>
        <w:tc>
          <w:tcPr>
            <w:tcW w:w="945" w:type="dxa"/>
            <w:tcBorders>
              <w:top w:val="single" w:sz="4" w:space="0" w:color="auto"/>
              <w:left w:val="single" w:sz="4" w:space="0" w:color="auto"/>
              <w:bottom w:val="single" w:sz="4" w:space="0" w:color="auto"/>
              <w:right w:val="single" w:sz="4" w:space="0" w:color="auto"/>
            </w:tcBorders>
            <w:hideMark/>
          </w:tcPr>
          <w:p w14:paraId="00377C54" w14:textId="77777777" w:rsidR="00ED3D84" w:rsidRPr="000965FC" w:rsidRDefault="00ED3D84" w:rsidP="00ED3D84">
            <w:pPr>
              <w:spacing w:line="276" w:lineRule="auto"/>
              <w:jc w:val="center"/>
              <w:rPr>
                <w:rFonts w:eastAsia="Times New Roman"/>
                <w:b/>
                <w:sz w:val="22"/>
                <w:szCs w:val="22"/>
                <w:lang w:val="lv-LV" w:eastAsia="ja-JP"/>
              </w:rPr>
            </w:pPr>
            <w:r w:rsidRPr="000965FC">
              <w:rPr>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hideMark/>
          </w:tcPr>
          <w:p w14:paraId="6BA94FB2" w14:textId="77777777" w:rsidR="00ED3D84" w:rsidRPr="000965FC" w:rsidRDefault="00ED3D84" w:rsidP="00ED3D84">
            <w:pPr>
              <w:spacing w:line="276" w:lineRule="auto"/>
              <w:jc w:val="center"/>
              <w:rPr>
                <w:sz w:val="22"/>
                <w:szCs w:val="22"/>
                <w:lang w:val="lv-LV"/>
              </w:rPr>
            </w:pPr>
            <w:r w:rsidRPr="000965FC">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59634DCF" w14:textId="77777777" w:rsidR="00ED3D84" w:rsidRPr="000965FC" w:rsidRDefault="00ED3D84" w:rsidP="00ED3D84">
            <w:pPr>
              <w:spacing w:line="276" w:lineRule="auto"/>
              <w:jc w:val="center"/>
              <w:rPr>
                <w:rFonts w:eastAsia="Times New Roman"/>
                <w:b/>
                <w:sz w:val="22"/>
                <w:szCs w:val="22"/>
                <w:lang w:val="lv-LV" w:eastAsia="ja-JP"/>
              </w:rPr>
            </w:pPr>
            <w:r w:rsidRPr="000965FC">
              <w:rPr>
                <w:sz w:val="22"/>
                <w:szCs w:val="22"/>
                <w:lang w:val="lv-LV"/>
              </w:rPr>
              <w:t>0</w:t>
            </w:r>
          </w:p>
        </w:tc>
      </w:tr>
      <w:tr w:rsidR="00ED3D84" w:rsidRPr="000965FC" w14:paraId="4EE9F08C"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7121EFB2" w14:textId="77777777" w:rsidR="00ED3D84" w:rsidRPr="000965FC" w:rsidRDefault="00ED3D84" w:rsidP="00ED3D84">
            <w:pPr>
              <w:spacing w:line="276" w:lineRule="auto"/>
              <w:rPr>
                <w:rFonts w:eastAsia="Times New Roman"/>
                <w:sz w:val="22"/>
                <w:szCs w:val="22"/>
                <w:lang w:val="lv-LV" w:eastAsia="ja-JP"/>
              </w:rPr>
            </w:pPr>
            <w:r w:rsidRPr="000965FC">
              <w:rPr>
                <w:rFonts w:eastAsia="Times New Roman"/>
                <w:sz w:val="22"/>
                <w:szCs w:val="22"/>
                <w:lang w:val="lv-LV" w:eastAsia="ja-JP"/>
              </w:rPr>
              <w:t>3. Finansiālā ietekme:</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DF57514" w14:textId="77777777" w:rsidR="00ED3D84" w:rsidRPr="000965FC" w:rsidRDefault="00ED3D84" w:rsidP="00ED3D84">
            <w:pPr>
              <w:spacing w:line="276" w:lineRule="auto"/>
              <w:jc w:val="center"/>
              <w:rPr>
                <w:rFonts w:eastAsia="Arial Unicode MS"/>
                <w:sz w:val="22"/>
                <w:szCs w:val="22"/>
                <w:lang w:val="lv-LV"/>
              </w:rPr>
            </w:pPr>
            <w:r w:rsidRPr="000965FC">
              <w:rPr>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tcPr>
          <w:p w14:paraId="05F0E266" w14:textId="77777777" w:rsidR="00ED3D84" w:rsidRPr="000965FC" w:rsidRDefault="00ED3D84" w:rsidP="00ED3D84">
            <w:pPr>
              <w:spacing w:line="276" w:lineRule="auto"/>
              <w:jc w:val="center"/>
              <w:rPr>
                <w:sz w:val="22"/>
                <w:szCs w:val="22"/>
              </w:rPr>
            </w:pPr>
            <w:r w:rsidRPr="000965FC">
              <w:rPr>
                <w:sz w:val="22"/>
                <w:szCs w:val="22"/>
                <w:lang w:val="lv-LV"/>
              </w:rPr>
              <w:t>- 70 800 000</w:t>
            </w:r>
          </w:p>
          <w:p w14:paraId="052A260B" w14:textId="77777777" w:rsidR="00ED3D84" w:rsidRPr="000965FC" w:rsidRDefault="00ED3D84" w:rsidP="00ED3D84">
            <w:pPr>
              <w:spacing w:line="276" w:lineRule="auto"/>
              <w:jc w:val="center"/>
              <w:rPr>
                <w:sz w:val="22"/>
                <w:szCs w:val="22"/>
                <w:lang w:val="lv-LV"/>
              </w:rPr>
            </w:pPr>
          </w:p>
          <w:p w14:paraId="373177A1" w14:textId="77777777" w:rsidR="00ED3D84" w:rsidRPr="000965FC" w:rsidRDefault="00ED3D84" w:rsidP="00ED3D84">
            <w:pPr>
              <w:spacing w:line="276" w:lineRule="auto"/>
              <w:jc w:val="center"/>
              <w:rPr>
                <w:sz w:val="22"/>
                <w:szCs w:val="22"/>
                <w:lang w:val="lv-LV"/>
              </w:rPr>
            </w:pPr>
          </w:p>
        </w:tc>
        <w:tc>
          <w:tcPr>
            <w:tcW w:w="998" w:type="dxa"/>
            <w:tcBorders>
              <w:top w:val="single" w:sz="4" w:space="0" w:color="auto"/>
              <w:left w:val="single" w:sz="4" w:space="0" w:color="auto"/>
              <w:bottom w:val="single" w:sz="4" w:space="0" w:color="auto"/>
              <w:right w:val="single" w:sz="4" w:space="0" w:color="auto"/>
            </w:tcBorders>
            <w:vAlign w:val="center"/>
            <w:hideMark/>
          </w:tcPr>
          <w:p w14:paraId="7FC73014" w14:textId="77777777" w:rsidR="00ED3D84" w:rsidRPr="000965FC" w:rsidRDefault="00ED3D84" w:rsidP="00ED3D84">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tcPr>
          <w:p w14:paraId="178C723E" w14:textId="77777777" w:rsidR="00ED3D84" w:rsidRPr="000965FC" w:rsidRDefault="00ED3D84" w:rsidP="00ED3D84">
            <w:pPr>
              <w:spacing w:line="276" w:lineRule="auto"/>
              <w:jc w:val="center"/>
              <w:rPr>
                <w:sz w:val="22"/>
                <w:szCs w:val="22"/>
              </w:rPr>
            </w:pPr>
            <w:r w:rsidRPr="000965FC">
              <w:rPr>
                <w:sz w:val="22"/>
                <w:szCs w:val="22"/>
                <w:lang w:val="lv-LV"/>
              </w:rPr>
              <w:t>0</w:t>
            </w:r>
          </w:p>
          <w:p w14:paraId="02077B7C" w14:textId="77777777" w:rsidR="00ED3D84" w:rsidRPr="000965FC" w:rsidRDefault="00ED3D84" w:rsidP="00ED3D84">
            <w:pPr>
              <w:spacing w:line="276" w:lineRule="auto"/>
              <w:jc w:val="center"/>
              <w:rPr>
                <w:sz w:val="22"/>
                <w:szCs w:val="22"/>
                <w:lang w:val="lv-LV"/>
              </w:rPr>
            </w:pPr>
          </w:p>
          <w:p w14:paraId="7418F80B" w14:textId="77777777" w:rsidR="00ED3D84" w:rsidRPr="000965FC" w:rsidRDefault="00ED3D84" w:rsidP="00ED3D84">
            <w:pPr>
              <w:spacing w:line="276" w:lineRule="auto"/>
              <w:jc w:val="center"/>
              <w:rPr>
                <w:sz w:val="22"/>
                <w:szCs w:val="22"/>
                <w:lang w:val="lv-LV"/>
              </w:rPr>
            </w:pPr>
          </w:p>
          <w:p w14:paraId="7CF0C072" w14:textId="77777777" w:rsidR="00ED3D84" w:rsidRPr="000965FC" w:rsidRDefault="00ED3D84" w:rsidP="00ED3D84">
            <w:pPr>
              <w:spacing w:line="276" w:lineRule="auto"/>
              <w:jc w:val="center"/>
              <w:rPr>
                <w:rFonts w:eastAsia="Arial Unicode MS"/>
                <w:sz w:val="22"/>
                <w:szCs w:val="22"/>
                <w:lang w:val="lv-LV"/>
              </w:rPr>
            </w:pPr>
          </w:p>
        </w:tc>
        <w:tc>
          <w:tcPr>
            <w:tcW w:w="945" w:type="dxa"/>
            <w:tcBorders>
              <w:top w:val="single" w:sz="4" w:space="0" w:color="auto"/>
              <w:left w:val="single" w:sz="4" w:space="0" w:color="auto"/>
              <w:bottom w:val="single" w:sz="4" w:space="0" w:color="auto"/>
              <w:right w:val="single" w:sz="4" w:space="0" w:color="auto"/>
            </w:tcBorders>
            <w:vAlign w:val="center"/>
            <w:hideMark/>
          </w:tcPr>
          <w:p w14:paraId="3B13CF53" w14:textId="77777777" w:rsidR="00ED3D84" w:rsidRPr="000965FC" w:rsidRDefault="00ED3D84" w:rsidP="00ED3D84">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02056B03" w14:textId="77777777" w:rsidR="00ED3D84" w:rsidRPr="000965FC" w:rsidRDefault="00ED3D84" w:rsidP="00ED3D84">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24E70CFC" w14:textId="77777777" w:rsidR="00ED3D84" w:rsidRPr="000965FC" w:rsidRDefault="00ED3D84" w:rsidP="00ED3D84">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ED3D84" w:rsidRPr="000965FC" w14:paraId="7594AA71"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7FBE02E6" w14:textId="77777777" w:rsidR="00ED3D84" w:rsidRPr="000965FC" w:rsidRDefault="00ED3D84" w:rsidP="00ED3D84">
            <w:pPr>
              <w:spacing w:line="276" w:lineRule="auto"/>
              <w:rPr>
                <w:rFonts w:eastAsia="Times New Roman"/>
                <w:sz w:val="22"/>
                <w:szCs w:val="22"/>
                <w:lang w:val="lv-LV"/>
              </w:rPr>
            </w:pPr>
            <w:r w:rsidRPr="000965FC">
              <w:rPr>
                <w:rFonts w:eastAsia="Times New Roman"/>
                <w:sz w:val="22"/>
                <w:szCs w:val="22"/>
                <w:lang w:val="lv-LV"/>
              </w:rPr>
              <w:t>3.1. valsts pamatbudžets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7821BCE" w14:textId="77777777" w:rsidR="00ED3D84" w:rsidRPr="000965FC" w:rsidRDefault="00ED3D84" w:rsidP="00ED3D84">
            <w:pPr>
              <w:spacing w:line="276" w:lineRule="auto"/>
              <w:jc w:val="center"/>
              <w:rPr>
                <w:rFonts w:eastAsia="Arial Unicode MS"/>
                <w:sz w:val="22"/>
                <w:szCs w:val="22"/>
                <w:lang w:val="lv-LV"/>
              </w:rPr>
            </w:pPr>
            <w:r w:rsidRPr="000965FC">
              <w:rPr>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tcPr>
          <w:p w14:paraId="3D02364F" w14:textId="77777777" w:rsidR="00ED3D84" w:rsidRPr="000965FC" w:rsidRDefault="00ED3D84" w:rsidP="00ED3D84">
            <w:pPr>
              <w:spacing w:line="276" w:lineRule="auto"/>
              <w:jc w:val="center"/>
              <w:rPr>
                <w:sz w:val="22"/>
                <w:szCs w:val="22"/>
              </w:rPr>
            </w:pPr>
            <w:r w:rsidRPr="000965FC">
              <w:rPr>
                <w:sz w:val="22"/>
                <w:szCs w:val="22"/>
                <w:lang w:val="lv-LV"/>
              </w:rPr>
              <w:t>- 70 800 000</w:t>
            </w:r>
          </w:p>
          <w:p w14:paraId="18EA4506" w14:textId="77777777" w:rsidR="00ED3D84" w:rsidRPr="000965FC" w:rsidRDefault="00ED3D84" w:rsidP="00ED3D84">
            <w:pPr>
              <w:spacing w:line="276" w:lineRule="auto"/>
              <w:jc w:val="center"/>
              <w:rPr>
                <w:sz w:val="22"/>
                <w:szCs w:val="22"/>
                <w:lang w:val="lv-LV"/>
              </w:rPr>
            </w:pPr>
          </w:p>
          <w:p w14:paraId="53B2CCC2" w14:textId="77777777" w:rsidR="00ED3D84" w:rsidRPr="000965FC" w:rsidRDefault="00ED3D84" w:rsidP="00ED3D84">
            <w:pPr>
              <w:spacing w:line="276" w:lineRule="auto"/>
              <w:jc w:val="center"/>
              <w:rPr>
                <w:sz w:val="22"/>
                <w:szCs w:val="22"/>
                <w:lang w:val="lv-LV"/>
              </w:rPr>
            </w:pPr>
          </w:p>
        </w:tc>
        <w:tc>
          <w:tcPr>
            <w:tcW w:w="998" w:type="dxa"/>
            <w:tcBorders>
              <w:top w:val="single" w:sz="4" w:space="0" w:color="auto"/>
              <w:left w:val="single" w:sz="4" w:space="0" w:color="auto"/>
              <w:bottom w:val="single" w:sz="4" w:space="0" w:color="auto"/>
              <w:right w:val="single" w:sz="4" w:space="0" w:color="auto"/>
            </w:tcBorders>
            <w:vAlign w:val="center"/>
            <w:hideMark/>
          </w:tcPr>
          <w:p w14:paraId="0D661D60" w14:textId="77777777" w:rsidR="00ED3D84" w:rsidRPr="000965FC" w:rsidRDefault="00ED3D84" w:rsidP="00ED3D84">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tcPr>
          <w:p w14:paraId="218198C2" w14:textId="77777777" w:rsidR="00ED3D84" w:rsidRPr="000965FC" w:rsidRDefault="00ED3D84" w:rsidP="00ED3D84">
            <w:pPr>
              <w:spacing w:line="276" w:lineRule="auto"/>
              <w:jc w:val="center"/>
              <w:rPr>
                <w:sz w:val="22"/>
                <w:szCs w:val="22"/>
              </w:rPr>
            </w:pPr>
            <w:r w:rsidRPr="000965FC">
              <w:rPr>
                <w:sz w:val="22"/>
                <w:szCs w:val="22"/>
                <w:lang w:val="lv-LV"/>
              </w:rPr>
              <w:t>0</w:t>
            </w:r>
          </w:p>
          <w:p w14:paraId="03CE1CC0" w14:textId="77777777" w:rsidR="00ED3D84" w:rsidRPr="000965FC" w:rsidRDefault="00ED3D84" w:rsidP="00ED3D84">
            <w:pPr>
              <w:spacing w:line="276" w:lineRule="auto"/>
              <w:jc w:val="center"/>
              <w:rPr>
                <w:sz w:val="22"/>
                <w:szCs w:val="22"/>
                <w:lang w:val="lv-LV"/>
              </w:rPr>
            </w:pPr>
          </w:p>
          <w:p w14:paraId="1531B62A" w14:textId="77777777" w:rsidR="00ED3D84" w:rsidRPr="000965FC" w:rsidRDefault="00ED3D84" w:rsidP="00ED3D84">
            <w:pPr>
              <w:spacing w:line="276" w:lineRule="auto"/>
              <w:jc w:val="center"/>
              <w:rPr>
                <w:sz w:val="22"/>
                <w:szCs w:val="22"/>
                <w:lang w:val="lv-LV"/>
              </w:rPr>
            </w:pPr>
          </w:p>
        </w:tc>
        <w:tc>
          <w:tcPr>
            <w:tcW w:w="945" w:type="dxa"/>
            <w:tcBorders>
              <w:top w:val="single" w:sz="4" w:space="0" w:color="auto"/>
              <w:left w:val="single" w:sz="4" w:space="0" w:color="auto"/>
              <w:bottom w:val="single" w:sz="4" w:space="0" w:color="auto"/>
              <w:right w:val="single" w:sz="4" w:space="0" w:color="auto"/>
            </w:tcBorders>
            <w:vAlign w:val="center"/>
            <w:hideMark/>
          </w:tcPr>
          <w:p w14:paraId="2F261684" w14:textId="77777777" w:rsidR="00ED3D84" w:rsidRPr="000965FC" w:rsidRDefault="00ED3D84" w:rsidP="00ED3D84">
            <w:pPr>
              <w:spacing w:line="276" w:lineRule="auto"/>
              <w:jc w:val="center"/>
              <w:rPr>
                <w:sz w:val="22"/>
                <w:szCs w:val="22"/>
                <w:lang w:val="lv-LV"/>
              </w:rPr>
            </w:pPr>
            <w:r w:rsidRPr="000965FC">
              <w:rPr>
                <w:rFonts w:eastAsia="Arial Unicode MS"/>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633A94B3" w14:textId="77777777" w:rsidR="00ED3D84" w:rsidRPr="000965FC" w:rsidRDefault="00ED3D84" w:rsidP="00ED3D84">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5967938F" w14:textId="77777777" w:rsidR="00ED3D84" w:rsidRPr="000965FC" w:rsidRDefault="00ED3D84" w:rsidP="00ED3D84">
            <w:pPr>
              <w:spacing w:line="276" w:lineRule="auto"/>
              <w:jc w:val="center"/>
              <w:rPr>
                <w:sz w:val="22"/>
                <w:szCs w:val="22"/>
                <w:lang w:val="lv-LV"/>
              </w:rPr>
            </w:pPr>
            <w:r w:rsidRPr="000965FC">
              <w:rPr>
                <w:rFonts w:eastAsia="Arial Unicode MS"/>
                <w:sz w:val="22"/>
                <w:szCs w:val="22"/>
                <w:lang w:val="lv-LV"/>
              </w:rPr>
              <w:t>0</w:t>
            </w:r>
          </w:p>
        </w:tc>
      </w:tr>
      <w:tr w:rsidR="00ED3D84" w:rsidRPr="000965FC" w14:paraId="53E149BC"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635B948E" w14:textId="77777777" w:rsidR="00ED3D84" w:rsidRPr="000965FC" w:rsidRDefault="00ED3D84" w:rsidP="00ED3D84">
            <w:pPr>
              <w:spacing w:line="276" w:lineRule="auto"/>
              <w:rPr>
                <w:rFonts w:eastAsia="Times New Roman"/>
                <w:sz w:val="22"/>
                <w:szCs w:val="22"/>
                <w:lang w:val="lv-LV"/>
              </w:rPr>
            </w:pPr>
            <w:r w:rsidRPr="000965FC">
              <w:rPr>
                <w:rFonts w:eastAsia="Times New Roman"/>
                <w:sz w:val="22"/>
                <w:szCs w:val="22"/>
                <w:lang w:val="lv-LV"/>
              </w:rPr>
              <w:t>3.2. speciālais budžets</w:t>
            </w:r>
          </w:p>
        </w:tc>
        <w:tc>
          <w:tcPr>
            <w:tcW w:w="1136" w:type="dxa"/>
            <w:tcBorders>
              <w:top w:val="single" w:sz="4" w:space="0" w:color="auto"/>
              <w:left w:val="single" w:sz="4" w:space="0" w:color="auto"/>
              <w:bottom w:val="single" w:sz="4" w:space="0" w:color="auto"/>
              <w:right w:val="single" w:sz="4" w:space="0" w:color="auto"/>
            </w:tcBorders>
            <w:hideMark/>
          </w:tcPr>
          <w:p w14:paraId="4B5EEDD1" w14:textId="77777777" w:rsidR="00ED3D84" w:rsidRPr="000965FC" w:rsidRDefault="00ED3D84" w:rsidP="00ED3D84">
            <w:pPr>
              <w:spacing w:line="276" w:lineRule="auto"/>
              <w:jc w:val="center"/>
              <w:rPr>
                <w:sz w:val="22"/>
                <w:szCs w:val="22"/>
                <w:lang w:val="lv-LV"/>
              </w:rPr>
            </w:pPr>
            <w:r w:rsidRPr="000965FC">
              <w:rPr>
                <w:rFonts w:eastAsia="Arial Unicode MS"/>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hideMark/>
          </w:tcPr>
          <w:p w14:paraId="13D649CA" w14:textId="77CF911C" w:rsidR="00ED3D84" w:rsidRPr="000965FC" w:rsidRDefault="00ED3D84" w:rsidP="00ED3D84">
            <w:pPr>
              <w:spacing w:line="276" w:lineRule="auto"/>
              <w:jc w:val="center"/>
              <w:rPr>
                <w:sz w:val="22"/>
                <w:szCs w:val="22"/>
                <w:lang w:val="lv-LV"/>
              </w:rPr>
            </w:pPr>
            <w:r w:rsidRPr="000965FC">
              <w:rPr>
                <w:rFonts w:eastAsia="Arial Unicode MS"/>
                <w:sz w:val="22"/>
                <w:szCs w:val="22"/>
                <w:lang w:val="lv-LV"/>
              </w:rPr>
              <w:t>0</w:t>
            </w:r>
          </w:p>
        </w:tc>
        <w:tc>
          <w:tcPr>
            <w:tcW w:w="998" w:type="dxa"/>
            <w:tcBorders>
              <w:top w:val="single" w:sz="4" w:space="0" w:color="auto"/>
              <w:left w:val="single" w:sz="4" w:space="0" w:color="auto"/>
              <w:bottom w:val="single" w:sz="4" w:space="0" w:color="auto"/>
              <w:right w:val="single" w:sz="4" w:space="0" w:color="auto"/>
            </w:tcBorders>
            <w:hideMark/>
          </w:tcPr>
          <w:p w14:paraId="1ED97C36" w14:textId="77777777" w:rsidR="00ED3D84" w:rsidRPr="000965FC" w:rsidRDefault="00ED3D84" w:rsidP="00ED3D84">
            <w:pPr>
              <w:spacing w:line="276" w:lineRule="auto"/>
              <w:jc w:val="center"/>
              <w:rPr>
                <w:rFonts w:eastAsia="Times New Roman"/>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187EF571" w14:textId="77777777" w:rsidR="00ED3D84" w:rsidRPr="000965FC" w:rsidRDefault="00ED3D84" w:rsidP="00ED3D84">
            <w:pPr>
              <w:spacing w:line="276" w:lineRule="auto"/>
              <w:jc w:val="center"/>
              <w:rPr>
                <w:rFonts w:eastAsia="Arial Unicode MS"/>
                <w:sz w:val="22"/>
                <w:szCs w:val="22"/>
                <w:lang w:val="lv-LV"/>
              </w:rPr>
            </w:pPr>
            <w:r w:rsidRPr="000965FC">
              <w:rPr>
                <w:rFonts w:eastAsia="Arial Unicode MS"/>
                <w:sz w:val="22"/>
                <w:szCs w:val="22"/>
                <w:lang w:val="lv-LV"/>
              </w:rPr>
              <w:t>0</w:t>
            </w:r>
          </w:p>
        </w:tc>
        <w:tc>
          <w:tcPr>
            <w:tcW w:w="945" w:type="dxa"/>
            <w:tcBorders>
              <w:top w:val="single" w:sz="4" w:space="0" w:color="auto"/>
              <w:left w:val="single" w:sz="4" w:space="0" w:color="auto"/>
              <w:bottom w:val="single" w:sz="4" w:space="0" w:color="auto"/>
              <w:right w:val="single" w:sz="4" w:space="0" w:color="auto"/>
            </w:tcBorders>
            <w:hideMark/>
          </w:tcPr>
          <w:p w14:paraId="599AB103" w14:textId="77777777" w:rsidR="00ED3D84" w:rsidRPr="000965FC" w:rsidRDefault="00ED3D84" w:rsidP="00ED3D84">
            <w:pPr>
              <w:spacing w:line="276" w:lineRule="auto"/>
              <w:jc w:val="center"/>
              <w:rPr>
                <w:rFonts w:eastAsia="Times New Roman"/>
                <w:sz w:val="22"/>
                <w:szCs w:val="22"/>
                <w:lang w:val="lv-LV"/>
              </w:rPr>
            </w:pPr>
            <w:r w:rsidRPr="000965FC">
              <w:rPr>
                <w:rFonts w:eastAsia="Arial Unicode MS"/>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hideMark/>
          </w:tcPr>
          <w:p w14:paraId="1E85AC70" w14:textId="77777777" w:rsidR="00ED3D84" w:rsidRPr="000965FC" w:rsidRDefault="00ED3D84" w:rsidP="00ED3D84">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09351131" w14:textId="77777777" w:rsidR="00ED3D84" w:rsidRPr="000965FC" w:rsidRDefault="00ED3D84" w:rsidP="00ED3D84">
            <w:pPr>
              <w:spacing w:line="276" w:lineRule="auto"/>
              <w:jc w:val="center"/>
              <w:rPr>
                <w:rFonts w:eastAsia="Times New Roman"/>
                <w:sz w:val="22"/>
                <w:szCs w:val="22"/>
                <w:lang w:val="lv-LV"/>
              </w:rPr>
            </w:pPr>
            <w:r w:rsidRPr="000965FC">
              <w:rPr>
                <w:rFonts w:eastAsia="Arial Unicode MS"/>
                <w:sz w:val="22"/>
                <w:szCs w:val="22"/>
                <w:lang w:val="lv-LV"/>
              </w:rPr>
              <w:t>0</w:t>
            </w:r>
          </w:p>
        </w:tc>
      </w:tr>
      <w:tr w:rsidR="00ED3D84" w:rsidRPr="000965FC" w14:paraId="6EDB121D"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04D68F56" w14:textId="77777777" w:rsidR="00ED3D84" w:rsidRPr="000965FC" w:rsidRDefault="00ED3D84" w:rsidP="00ED3D84">
            <w:pPr>
              <w:spacing w:line="276" w:lineRule="auto"/>
              <w:rPr>
                <w:rFonts w:eastAsia="Times New Roman"/>
                <w:sz w:val="22"/>
                <w:szCs w:val="22"/>
                <w:lang w:val="lv-LV"/>
              </w:rPr>
            </w:pPr>
            <w:r w:rsidRPr="000965FC">
              <w:rPr>
                <w:rFonts w:eastAsia="Times New Roman"/>
                <w:sz w:val="22"/>
                <w:szCs w:val="22"/>
                <w:lang w:val="lv-LV"/>
              </w:rPr>
              <w:t>3.3. pašvaldību budžets</w:t>
            </w:r>
          </w:p>
        </w:tc>
        <w:tc>
          <w:tcPr>
            <w:tcW w:w="1136" w:type="dxa"/>
            <w:tcBorders>
              <w:top w:val="single" w:sz="4" w:space="0" w:color="auto"/>
              <w:left w:val="single" w:sz="4" w:space="0" w:color="auto"/>
              <w:bottom w:val="single" w:sz="4" w:space="0" w:color="auto"/>
              <w:right w:val="single" w:sz="4" w:space="0" w:color="auto"/>
            </w:tcBorders>
            <w:hideMark/>
          </w:tcPr>
          <w:p w14:paraId="36458825" w14:textId="77777777" w:rsidR="00ED3D84" w:rsidRPr="000965FC" w:rsidRDefault="00ED3D84" w:rsidP="00ED3D84">
            <w:pPr>
              <w:spacing w:line="276" w:lineRule="auto"/>
              <w:jc w:val="center"/>
              <w:rPr>
                <w:sz w:val="22"/>
                <w:szCs w:val="22"/>
                <w:lang w:val="lv-LV"/>
              </w:rPr>
            </w:pPr>
            <w:r w:rsidRPr="000965FC">
              <w:rPr>
                <w:rFonts w:eastAsia="Arial Unicode MS"/>
                <w:sz w:val="22"/>
                <w:szCs w:val="22"/>
                <w:lang w:val="lv-LV"/>
              </w:rPr>
              <w:t>0</w:t>
            </w:r>
          </w:p>
        </w:tc>
        <w:tc>
          <w:tcPr>
            <w:tcW w:w="1214" w:type="dxa"/>
            <w:tcBorders>
              <w:top w:val="single" w:sz="4" w:space="0" w:color="auto"/>
              <w:left w:val="single" w:sz="4" w:space="0" w:color="auto"/>
              <w:bottom w:val="single" w:sz="4" w:space="0" w:color="auto"/>
              <w:right w:val="single" w:sz="4" w:space="0" w:color="auto"/>
            </w:tcBorders>
            <w:hideMark/>
          </w:tcPr>
          <w:p w14:paraId="2484CC3C" w14:textId="79B2DB50" w:rsidR="00ED3D84" w:rsidRPr="000965FC" w:rsidRDefault="00ED3D84" w:rsidP="00ED3D84">
            <w:pPr>
              <w:spacing w:line="276" w:lineRule="auto"/>
              <w:jc w:val="center"/>
              <w:rPr>
                <w:sz w:val="22"/>
                <w:szCs w:val="22"/>
                <w:lang w:val="lv-LV"/>
              </w:rPr>
            </w:pPr>
            <w:r w:rsidRPr="000965FC">
              <w:rPr>
                <w:rFonts w:eastAsia="Arial Unicode MS"/>
                <w:sz w:val="22"/>
                <w:szCs w:val="22"/>
                <w:lang w:val="lv-LV"/>
              </w:rPr>
              <w:t>0</w:t>
            </w:r>
          </w:p>
        </w:tc>
        <w:tc>
          <w:tcPr>
            <w:tcW w:w="998" w:type="dxa"/>
            <w:tcBorders>
              <w:top w:val="single" w:sz="4" w:space="0" w:color="auto"/>
              <w:left w:val="single" w:sz="4" w:space="0" w:color="auto"/>
              <w:bottom w:val="single" w:sz="4" w:space="0" w:color="auto"/>
              <w:right w:val="single" w:sz="4" w:space="0" w:color="auto"/>
            </w:tcBorders>
            <w:hideMark/>
          </w:tcPr>
          <w:p w14:paraId="159BD6A4" w14:textId="77777777" w:rsidR="00ED3D84" w:rsidRPr="000965FC" w:rsidRDefault="00ED3D84" w:rsidP="00ED3D84">
            <w:pPr>
              <w:spacing w:line="276" w:lineRule="auto"/>
              <w:jc w:val="center"/>
              <w:rPr>
                <w:rFonts w:eastAsia="Times New Roman"/>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168617F0" w14:textId="77777777" w:rsidR="00ED3D84" w:rsidRPr="000965FC" w:rsidRDefault="00ED3D84" w:rsidP="00ED3D84">
            <w:pPr>
              <w:spacing w:line="276" w:lineRule="auto"/>
              <w:jc w:val="center"/>
              <w:rPr>
                <w:rFonts w:eastAsia="Arial Unicode MS"/>
                <w:sz w:val="22"/>
                <w:szCs w:val="22"/>
                <w:lang w:val="lv-LV"/>
              </w:rPr>
            </w:pPr>
            <w:r w:rsidRPr="000965FC">
              <w:rPr>
                <w:rFonts w:eastAsia="Arial Unicode MS"/>
                <w:sz w:val="22"/>
                <w:szCs w:val="22"/>
                <w:lang w:val="lv-LV"/>
              </w:rPr>
              <w:t>0</w:t>
            </w:r>
          </w:p>
        </w:tc>
        <w:tc>
          <w:tcPr>
            <w:tcW w:w="945" w:type="dxa"/>
            <w:tcBorders>
              <w:top w:val="single" w:sz="4" w:space="0" w:color="auto"/>
              <w:left w:val="single" w:sz="4" w:space="0" w:color="auto"/>
              <w:bottom w:val="single" w:sz="4" w:space="0" w:color="auto"/>
              <w:right w:val="single" w:sz="4" w:space="0" w:color="auto"/>
            </w:tcBorders>
            <w:hideMark/>
          </w:tcPr>
          <w:p w14:paraId="31511B2B" w14:textId="77777777" w:rsidR="00ED3D84" w:rsidRPr="000965FC" w:rsidRDefault="00ED3D84" w:rsidP="00ED3D84">
            <w:pPr>
              <w:spacing w:line="276" w:lineRule="auto"/>
              <w:jc w:val="center"/>
              <w:rPr>
                <w:rFonts w:eastAsia="Times New Roman"/>
                <w:sz w:val="22"/>
                <w:szCs w:val="22"/>
                <w:lang w:val="lv-LV"/>
              </w:rPr>
            </w:pPr>
            <w:r w:rsidRPr="000965FC">
              <w:rPr>
                <w:rFonts w:eastAsia="Arial Unicode MS"/>
                <w:sz w:val="22"/>
                <w:szCs w:val="22"/>
                <w:lang w:val="lv-LV"/>
              </w:rPr>
              <w:t>0</w:t>
            </w:r>
          </w:p>
        </w:tc>
        <w:tc>
          <w:tcPr>
            <w:tcW w:w="1085" w:type="dxa"/>
            <w:tcBorders>
              <w:top w:val="single" w:sz="4" w:space="0" w:color="auto"/>
              <w:left w:val="single" w:sz="4" w:space="0" w:color="auto"/>
              <w:bottom w:val="single" w:sz="4" w:space="0" w:color="auto"/>
              <w:right w:val="single" w:sz="4" w:space="0" w:color="auto"/>
            </w:tcBorders>
            <w:hideMark/>
          </w:tcPr>
          <w:p w14:paraId="0F8C1751" w14:textId="77777777" w:rsidR="00ED3D84" w:rsidRPr="000965FC" w:rsidRDefault="00ED3D84" w:rsidP="00ED3D84">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0C6737F9" w14:textId="77777777" w:rsidR="00ED3D84" w:rsidRPr="000965FC" w:rsidRDefault="00ED3D84" w:rsidP="00ED3D84">
            <w:pPr>
              <w:spacing w:line="276" w:lineRule="auto"/>
              <w:jc w:val="center"/>
              <w:rPr>
                <w:rFonts w:eastAsia="Times New Roman"/>
                <w:sz w:val="22"/>
                <w:szCs w:val="22"/>
                <w:lang w:val="lv-LV"/>
              </w:rPr>
            </w:pPr>
            <w:r w:rsidRPr="000965FC">
              <w:rPr>
                <w:rFonts w:eastAsia="Arial Unicode MS"/>
                <w:sz w:val="22"/>
                <w:szCs w:val="22"/>
                <w:lang w:val="lv-LV"/>
              </w:rPr>
              <w:t>0</w:t>
            </w:r>
          </w:p>
        </w:tc>
      </w:tr>
      <w:tr w:rsidR="00ED3D84" w:rsidRPr="000965FC" w14:paraId="26E14AAB"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6552C763" w14:textId="77777777" w:rsidR="00ED3D84" w:rsidRPr="000965FC" w:rsidRDefault="00ED3D84" w:rsidP="00ED3D84">
            <w:pPr>
              <w:spacing w:line="276" w:lineRule="auto"/>
              <w:rPr>
                <w:rFonts w:eastAsia="Times New Roman"/>
                <w:sz w:val="22"/>
                <w:szCs w:val="22"/>
                <w:lang w:val="lv-LV" w:eastAsia="ja-JP"/>
              </w:rPr>
            </w:pPr>
            <w:r w:rsidRPr="000965FC">
              <w:rPr>
                <w:rFonts w:eastAsia="Times New Roman"/>
                <w:sz w:val="22"/>
                <w:szCs w:val="22"/>
                <w:lang w:val="lv-LV" w:eastAsia="ja-JP"/>
              </w:rPr>
              <w:t>4. Finanšu līdzekļi papildu izdevumu finansēšanai (kompensējošu izdevumu samazinājumu norāda ar "+" zīmi)</w:t>
            </w:r>
          </w:p>
        </w:tc>
        <w:tc>
          <w:tcPr>
            <w:tcW w:w="1136" w:type="dxa"/>
            <w:tcBorders>
              <w:top w:val="single" w:sz="4" w:space="0" w:color="auto"/>
              <w:left w:val="single" w:sz="4" w:space="0" w:color="auto"/>
              <w:bottom w:val="single" w:sz="4" w:space="0" w:color="auto"/>
              <w:right w:val="single" w:sz="4" w:space="0" w:color="auto"/>
            </w:tcBorders>
            <w:hideMark/>
          </w:tcPr>
          <w:p w14:paraId="33B80DB0" w14:textId="77777777" w:rsidR="00ED3D84" w:rsidRPr="000965FC" w:rsidRDefault="00ED3D84" w:rsidP="00ED3D84">
            <w:pPr>
              <w:spacing w:line="276" w:lineRule="auto"/>
              <w:jc w:val="center"/>
              <w:rPr>
                <w:rFonts w:eastAsia="Arial Unicode MS"/>
                <w:sz w:val="22"/>
                <w:szCs w:val="22"/>
                <w:lang w:val="lv-LV"/>
              </w:rPr>
            </w:pPr>
            <w:r w:rsidRPr="000965FC">
              <w:rPr>
                <w:rFonts w:eastAsia="Arial Unicode MS"/>
                <w:sz w:val="22"/>
                <w:szCs w:val="22"/>
                <w:lang w:val="lv-LV"/>
              </w:rPr>
              <w:t>X</w:t>
            </w:r>
          </w:p>
        </w:tc>
        <w:tc>
          <w:tcPr>
            <w:tcW w:w="1214" w:type="dxa"/>
            <w:tcBorders>
              <w:top w:val="single" w:sz="4" w:space="0" w:color="auto"/>
              <w:left w:val="single" w:sz="4" w:space="0" w:color="auto"/>
              <w:bottom w:val="single" w:sz="4" w:space="0" w:color="auto"/>
              <w:right w:val="single" w:sz="4" w:space="0" w:color="auto"/>
            </w:tcBorders>
            <w:hideMark/>
          </w:tcPr>
          <w:p w14:paraId="36F1E1EB" w14:textId="25CD6A5A" w:rsidR="00ED3D84" w:rsidRPr="000965FC" w:rsidRDefault="00ED3D84" w:rsidP="00ED3D84">
            <w:pPr>
              <w:spacing w:line="276" w:lineRule="auto"/>
              <w:jc w:val="center"/>
              <w:rPr>
                <w:rFonts w:eastAsia="Arial Unicode MS"/>
                <w:b/>
                <w:sz w:val="22"/>
                <w:szCs w:val="22"/>
                <w:lang w:val="lv-LV"/>
              </w:rPr>
            </w:pPr>
            <w:r w:rsidRPr="000965FC">
              <w:rPr>
                <w:rFonts w:eastAsia="Arial Unicode MS"/>
                <w:sz w:val="22"/>
                <w:szCs w:val="22"/>
                <w:lang w:val="lv-LV"/>
              </w:rPr>
              <w:t>0</w:t>
            </w:r>
          </w:p>
        </w:tc>
        <w:tc>
          <w:tcPr>
            <w:tcW w:w="998" w:type="dxa"/>
            <w:tcBorders>
              <w:top w:val="single" w:sz="4" w:space="0" w:color="auto"/>
              <w:left w:val="single" w:sz="4" w:space="0" w:color="auto"/>
              <w:bottom w:val="single" w:sz="4" w:space="0" w:color="auto"/>
              <w:right w:val="single" w:sz="4" w:space="0" w:color="auto"/>
            </w:tcBorders>
            <w:hideMark/>
          </w:tcPr>
          <w:p w14:paraId="7874CB0F" w14:textId="77777777" w:rsidR="00ED3D84" w:rsidRPr="000965FC" w:rsidRDefault="00ED3D84" w:rsidP="00ED3D84">
            <w:pPr>
              <w:spacing w:line="276" w:lineRule="auto"/>
              <w:ind w:left="-30"/>
              <w:jc w:val="center"/>
              <w:rPr>
                <w:rFonts w:eastAsia="Times New Roman"/>
                <w:b/>
                <w:sz w:val="22"/>
                <w:szCs w:val="22"/>
                <w:lang w:val="lv-LV"/>
              </w:rPr>
            </w:pPr>
            <w:r w:rsidRPr="000965FC">
              <w:rPr>
                <w:rFonts w:eastAsia="Arial Unicode MS"/>
                <w:sz w:val="22"/>
                <w:szCs w:val="22"/>
                <w:lang w:val="lv-LV"/>
              </w:rPr>
              <w:t>X</w:t>
            </w:r>
          </w:p>
        </w:tc>
        <w:tc>
          <w:tcPr>
            <w:tcW w:w="1072" w:type="dxa"/>
            <w:tcBorders>
              <w:top w:val="single" w:sz="4" w:space="0" w:color="auto"/>
              <w:left w:val="single" w:sz="4" w:space="0" w:color="auto"/>
              <w:bottom w:val="single" w:sz="4" w:space="0" w:color="auto"/>
              <w:right w:val="single" w:sz="4" w:space="0" w:color="auto"/>
            </w:tcBorders>
            <w:hideMark/>
          </w:tcPr>
          <w:p w14:paraId="339F04B9" w14:textId="77777777" w:rsidR="00ED3D84" w:rsidRPr="000965FC" w:rsidRDefault="00ED3D84" w:rsidP="00ED3D84">
            <w:pPr>
              <w:spacing w:line="276" w:lineRule="auto"/>
              <w:ind w:left="-30"/>
              <w:jc w:val="center"/>
              <w:rPr>
                <w:rFonts w:eastAsia="Arial Unicode MS"/>
                <w:sz w:val="22"/>
                <w:szCs w:val="22"/>
                <w:lang w:val="lv-LV"/>
              </w:rPr>
            </w:pPr>
            <w:r w:rsidRPr="000965FC">
              <w:rPr>
                <w:rFonts w:eastAsia="Arial Unicode MS"/>
                <w:sz w:val="22"/>
                <w:szCs w:val="22"/>
                <w:lang w:val="lv-LV"/>
              </w:rPr>
              <w:t>0</w:t>
            </w:r>
          </w:p>
        </w:tc>
        <w:tc>
          <w:tcPr>
            <w:tcW w:w="945" w:type="dxa"/>
            <w:tcBorders>
              <w:top w:val="single" w:sz="4" w:space="0" w:color="auto"/>
              <w:left w:val="single" w:sz="4" w:space="0" w:color="auto"/>
              <w:bottom w:val="single" w:sz="4" w:space="0" w:color="auto"/>
              <w:right w:val="single" w:sz="4" w:space="0" w:color="auto"/>
            </w:tcBorders>
            <w:hideMark/>
          </w:tcPr>
          <w:p w14:paraId="7684F3DD" w14:textId="77777777" w:rsidR="00ED3D84" w:rsidRPr="000965FC" w:rsidRDefault="00ED3D84" w:rsidP="00ED3D84">
            <w:pPr>
              <w:spacing w:line="276" w:lineRule="auto"/>
              <w:ind w:left="-30"/>
              <w:jc w:val="center"/>
              <w:rPr>
                <w:rFonts w:eastAsia="Times New Roman"/>
                <w:b/>
                <w:sz w:val="22"/>
                <w:szCs w:val="22"/>
                <w:lang w:val="lv-LV"/>
              </w:rPr>
            </w:pPr>
            <w:r w:rsidRPr="000965FC">
              <w:rPr>
                <w:rFonts w:eastAsia="Arial Unicode MS"/>
                <w:sz w:val="22"/>
                <w:szCs w:val="22"/>
                <w:lang w:val="lv-LV"/>
              </w:rPr>
              <w:t>X</w:t>
            </w:r>
          </w:p>
        </w:tc>
        <w:tc>
          <w:tcPr>
            <w:tcW w:w="1085" w:type="dxa"/>
            <w:tcBorders>
              <w:top w:val="single" w:sz="4" w:space="0" w:color="auto"/>
              <w:left w:val="single" w:sz="4" w:space="0" w:color="auto"/>
              <w:bottom w:val="single" w:sz="4" w:space="0" w:color="auto"/>
              <w:right w:val="single" w:sz="4" w:space="0" w:color="auto"/>
            </w:tcBorders>
            <w:hideMark/>
          </w:tcPr>
          <w:p w14:paraId="658C4A23" w14:textId="77777777" w:rsidR="00ED3D84" w:rsidRPr="000965FC" w:rsidRDefault="00ED3D84" w:rsidP="00ED3D84">
            <w:pPr>
              <w:spacing w:line="276" w:lineRule="auto"/>
              <w:ind w:left="-30"/>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52050D6F" w14:textId="77777777" w:rsidR="00ED3D84" w:rsidRPr="000965FC" w:rsidRDefault="00ED3D84" w:rsidP="00ED3D84">
            <w:pPr>
              <w:spacing w:line="276" w:lineRule="auto"/>
              <w:ind w:left="-30"/>
              <w:jc w:val="center"/>
              <w:rPr>
                <w:rFonts w:eastAsia="Times New Roman"/>
                <w:b/>
                <w:sz w:val="22"/>
                <w:szCs w:val="22"/>
                <w:lang w:val="lv-LV"/>
              </w:rPr>
            </w:pPr>
            <w:r w:rsidRPr="000965FC">
              <w:rPr>
                <w:rFonts w:eastAsia="Arial Unicode MS"/>
                <w:sz w:val="22"/>
                <w:szCs w:val="22"/>
                <w:lang w:val="lv-LV"/>
              </w:rPr>
              <w:t>X</w:t>
            </w:r>
          </w:p>
        </w:tc>
      </w:tr>
      <w:tr w:rsidR="00036FBA" w:rsidRPr="000965FC" w14:paraId="7128F4AC"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2BFA58D1" w14:textId="77777777" w:rsidR="00036FBA" w:rsidRPr="000965FC" w:rsidRDefault="00036FBA" w:rsidP="001D5277">
            <w:pPr>
              <w:spacing w:line="276" w:lineRule="auto"/>
              <w:rPr>
                <w:rFonts w:eastAsia="Times New Roman"/>
                <w:sz w:val="22"/>
                <w:szCs w:val="22"/>
                <w:lang w:val="lv-LV" w:eastAsia="ja-JP"/>
              </w:rPr>
            </w:pPr>
            <w:r w:rsidRPr="000965FC">
              <w:rPr>
                <w:rFonts w:eastAsia="Times New Roman"/>
                <w:sz w:val="22"/>
                <w:szCs w:val="22"/>
                <w:lang w:val="lv-LV" w:eastAsia="ja-JP"/>
              </w:rPr>
              <w:t>5. Precizēta finansiālā ietekme:</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E2E0379" w14:textId="77777777" w:rsidR="00036FBA" w:rsidRPr="000965FC" w:rsidRDefault="00036FBA" w:rsidP="001D5277">
            <w:pPr>
              <w:spacing w:line="276" w:lineRule="auto"/>
              <w:jc w:val="center"/>
              <w:rPr>
                <w:sz w:val="22"/>
                <w:szCs w:val="22"/>
              </w:rPr>
            </w:pPr>
            <w:r w:rsidRPr="000965FC">
              <w:rPr>
                <w:sz w:val="22"/>
                <w:szCs w:val="22"/>
                <w:lang w:val="lv-LV"/>
              </w:rPr>
              <w:t>X</w:t>
            </w:r>
          </w:p>
        </w:tc>
        <w:tc>
          <w:tcPr>
            <w:tcW w:w="1214" w:type="dxa"/>
            <w:tcBorders>
              <w:top w:val="single" w:sz="4" w:space="0" w:color="auto"/>
              <w:left w:val="single" w:sz="4" w:space="0" w:color="auto"/>
              <w:bottom w:val="single" w:sz="4" w:space="0" w:color="auto"/>
              <w:right w:val="single" w:sz="4" w:space="0" w:color="auto"/>
            </w:tcBorders>
            <w:vAlign w:val="center"/>
          </w:tcPr>
          <w:p w14:paraId="77091877" w14:textId="381E0602" w:rsidR="00ED3D84" w:rsidRPr="000965FC" w:rsidRDefault="00ED3D84" w:rsidP="00ED3D84">
            <w:pPr>
              <w:spacing w:line="276" w:lineRule="auto"/>
              <w:jc w:val="center"/>
              <w:rPr>
                <w:sz w:val="22"/>
                <w:szCs w:val="22"/>
              </w:rPr>
            </w:pPr>
            <w:r w:rsidRPr="000965FC">
              <w:rPr>
                <w:sz w:val="22"/>
                <w:szCs w:val="22"/>
                <w:lang w:val="lv-LV"/>
              </w:rPr>
              <w:t>- 70 800 000</w:t>
            </w:r>
          </w:p>
          <w:p w14:paraId="13260EE4" w14:textId="77777777" w:rsidR="00036FBA" w:rsidRPr="000965FC" w:rsidRDefault="00036FBA" w:rsidP="001D5277">
            <w:pPr>
              <w:spacing w:line="276" w:lineRule="auto"/>
              <w:jc w:val="center"/>
              <w:rPr>
                <w:sz w:val="22"/>
                <w:szCs w:val="22"/>
                <w:lang w:val="lv-LV"/>
              </w:rPr>
            </w:pPr>
          </w:p>
          <w:p w14:paraId="36160709" w14:textId="77777777" w:rsidR="00036FBA" w:rsidRPr="000965FC" w:rsidRDefault="00036FBA" w:rsidP="001D5277">
            <w:pPr>
              <w:spacing w:line="276" w:lineRule="auto"/>
              <w:jc w:val="center"/>
              <w:rPr>
                <w:sz w:val="22"/>
                <w:szCs w:val="22"/>
                <w:lang w:val="lv-LV"/>
              </w:rPr>
            </w:pPr>
          </w:p>
          <w:p w14:paraId="0618C5AE" w14:textId="77777777" w:rsidR="00036FBA" w:rsidRPr="000965FC" w:rsidRDefault="00036FBA" w:rsidP="001D5277">
            <w:pPr>
              <w:spacing w:line="276" w:lineRule="auto"/>
              <w:jc w:val="center"/>
              <w:rPr>
                <w:rFonts w:eastAsia="Arial Unicode MS"/>
                <w:sz w:val="22"/>
                <w:szCs w:val="22"/>
                <w:lang w:val="lv-LV"/>
              </w:rPr>
            </w:pPr>
          </w:p>
        </w:tc>
        <w:tc>
          <w:tcPr>
            <w:tcW w:w="998" w:type="dxa"/>
            <w:tcBorders>
              <w:top w:val="single" w:sz="4" w:space="0" w:color="auto"/>
              <w:left w:val="single" w:sz="4" w:space="0" w:color="auto"/>
              <w:bottom w:val="single" w:sz="4" w:space="0" w:color="auto"/>
              <w:right w:val="single" w:sz="4" w:space="0" w:color="auto"/>
            </w:tcBorders>
            <w:hideMark/>
          </w:tcPr>
          <w:p w14:paraId="7F645CC7" w14:textId="77777777" w:rsidR="00036FBA" w:rsidRPr="000965FC" w:rsidRDefault="00036FBA" w:rsidP="001D5277">
            <w:pPr>
              <w:spacing w:line="276" w:lineRule="auto"/>
              <w:jc w:val="center"/>
              <w:rPr>
                <w:rFonts w:eastAsia="Times New Roman"/>
                <w:sz w:val="22"/>
                <w:szCs w:val="22"/>
                <w:lang w:val="lv-LV"/>
              </w:rPr>
            </w:pPr>
            <w:r w:rsidRPr="000965FC">
              <w:rPr>
                <w:rFonts w:eastAsia="Arial Unicode MS"/>
                <w:sz w:val="22"/>
                <w:szCs w:val="22"/>
                <w:lang w:val="lv-LV"/>
              </w:rPr>
              <w:lastRenderedPageBreak/>
              <w:t>X</w:t>
            </w:r>
          </w:p>
        </w:tc>
        <w:tc>
          <w:tcPr>
            <w:tcW w:w="1072" w:type="dxa"/>
            <w:tcBorders>
              <w:top w:val="single" w:sz="4" w:space="0" w:color="auto"/>
              <w:left w:val="single" w:sz="4" w:space="0" w:color="auto"/>
              <w:bottom w:val="single" w:sz="4" w:space="0" w:color="auto"/>
              <w:right w:val="single" w:sz="4" w:space="0" w:color="auto"/>
            </w:tcBorders>
          </w:tcPr>
          <w:p w14:paraId="484843D1" w14:textId="77777777" w:rsidR="00036FBA" w:rsidRPr="000965FC" w:rsidRDefault="00036FBA" w:rsidP="001D5277">
            <w:pPr>
              <w:spacing w:line="276" w:lineRule="auto"/>
              <w:jc w:val="center"/>
              <w:rPr>
                <w:sz w:val="22"/>
                <w:szCs w:val="22"/>
              </w:rPr>
            </w:pPr>
            <w:r w:rsidRPr="000965FC">
              <w:rPr>
                <w:sz w:val="22"/>
                <w:szCs w:val="22"/>
                <w:lang w:val="lv-LV"/>
              </w:rPr>
              <w:t>0</w:t>
            </w:r>
          </w:p>
          <w:p w14:paraId="175E76C7" w14:textId="77777777" w:rsidR="00036FBA" w:rsidRPr="000965FC" w:rsidRDefault="00036FBA" w:rsidP="001D5277">
            <w:pPr>
              <w:spacing w:line="276" w:lineRule="auto"/>
              <w:jc w:val="center"/>
              <w:rPr>
                <w:sz w:val="22"/>
                <w:szCs w:val="22"/>
                <w:lang w:val="lv-LV"/>
              </w:rPr>
            </w:pPr>
          </w:p>
          <w:p w14:paraId="1DFF7F92" w14:textId="77777777" w:rsidR="00036FBA" w:rsidRPr="000965FC" w:rsidRDefault="00036FBA" w:rsidP="001D5277">
            <w:pPr>
              <w:spacing w:line="276" w:lineRule="auto"/>
              <w:jc w:val="center"/>
              <w:rPr>
                <w:sz w:val="22"/>
                <w:szCs w:val="22"/>
                <w:lang w:val="lv-LV"/>
              </w:rPr>
            </w:pPr>
          </w:p>
          <w:p w14:paraId="6DCDBE42" w14:textId="77777777" w:rsidR="00036FBA" w:rsidRPr="000965FC" w:rsidRDefault="00036FBA" w:rsidP="001D5277">
            <w:pPr>
              <w:spacing w:line="276" w:lineRule="auto"/>
              <w:jc w:val="center"/>
              <w:rPr>
                <w:rFonts w:eastAsia="Arial Unicode MS"/>
                <w:sz w:val="22"/>
                <w:szCs w:val="22"/>
                <w:lang w:val="lv-LV"/>
              </w:rPr>
            </w:pPr>
          </w:p>
        </w:tc>
        <w:tc>
          <w:tcPr>
            <w:tcW w:w="945" w:type="dxa"/>
            <w:tcBorders>
              <w:top w:val="single" w:sz="4" w:space="0" w:color="auto"/>
              <w:left w:val="single" w:sz="4" w:space="0" w:color="auto"/>
              <w:bottom w:val="single" w:sz="4" w:space="0" w:color="auto"/>
              <w:right w:val="single" w:sz="4" w:space="0" w:color="auto"/>
            </w:tcBorders>
            <w:hideMark/>
          </w:tcPr>
          <w:p w14:paraId="0908C8FD" w14:textId="77777777" w:rsidR="00036FBA" w:rsidRPr="000965FC" w:rsidRDefault="00036FBA" w:rsidP="001D5277">
            <w:pPr>
              <w:spacing w:line="276" w:lineRule="auto"/>
              <w:jc w:val="center"/>
              <w:rPr>
                <w:rFonts w:eastAsia="Times New Roman"/>
                <w:sz w:val="22"/>
                <w:szCs w:val="22"/>
                <w:lang w:val="lv-LV"/>
              </w:rPr>
            </w:pPr>
            <w:r w:rsidRPr="000965FC">
              <w:rPr>
                <w:rFonts w:eastAsia="Arial Unicode MS"/>
                <w:sz w:val="22"/>
                <w:szCs w:val="22"/>
                <w:lang w:val="lv-LV"/>
              </w:rPr>
              <w:t>X</w:t>
            </w:r>
          </w:p>
        </w:tc>
        <w:tc>
          <w:tcPr>
            <w:tcW w:w="1085" w:type="dxa"/>
            <w:tcBorders>
              <w:top w:val="single" w:sz="4" w:space="0" w:color="auto"/>
              <w:left w:val="single" w:sz="4" w:space="0" w:color="auto"/>
              <w:bottom w:val="single" w:sz="4" w:space="0" w:color="auto"/>
              <w:right w:val="single" w:sz="4" w:space="0" w:color="auto"/>
            </w:tcBorders>
            <w:hideMark/>
          </w:tcPr>
          <w:p w14:paraId="311351AD" w14:textId="77777777" w:rsidR="00036FBA" w:rsidRPr="000965FC" w:rsidRDefault="00036FBA" w:rsidP="001D5277">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4D31236D" w14:textId="77777777" w:rsidR="00036FBA" w:rsidRPr="000965FC" w:rsidRDefault="00036FBA" w:rsidP="001D5277">
            <w:pPr>
              <w:spacing w:line="276" w:lineRule="auto"/>
              <w:jc w:val="center"/>
              <w:rPr>
                <w:rFonts w:eastAsia="Times New Roman"/>
                <w:sz w:val="22"/>
                <w:szCs w:val="22"/>
                <w:lang w:val="lv-LV"/>
              </w:rPr>
            </w:pPr>
            <w:r w:rsidRPr="000965FC">
              <w:rPr>
                <w:rFonts w:eastAsia="Arial Unicode MS"/>
                <w:sz w:val="22"/>
                <w:szCs w:val="22"/>
                <w:lang w:val="lv-LV"/>
              </w:rPr>
              <w:t>X</w:t>
            </w:r>
          </w:p>
        </w:tc>
      </w:tr>
      <w:tr w:rsidR="00036FBA" w:rsidRPr="000965FC" w14:paraId="3EC80437"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4B3F4FC9" w14:textId="77777777" w:rsidR="00036FBA" w:rsidRPr="000965FC" w:rsidRDefault="00036FBA" w:rsidP="001D5277">
            <w:pPr>
              <w:spacing w:line="276" w:lineRule="auto"/>
              <w:rPr>
                <w:iCs/>
                <w:color w:val="000000"/>
                <w:sz w:val="22"/>
                <w:szCs w:val="22"/>
                <w:lang w:val="lv-LV"/>
              </w:rPr>
            </w:pPr>
            <w:r w:rsidRPr="000965FC">
              <w:rPr>
                <w:iCs/>
                <w:color w:val="000000"/>
                <w:sz w:val="22"/>
                <w:szCs w:val="22"/>
                <w:lang w:val="lv-LV"/>
              </w:rPr>
              <w:t>6. Detalizēts ieņēmumu un izdevumu aprēķins (ja nepieciešams, detalizētu ieņēmumu un izdevumu aprēķinu var pievienot anotācijas pielikumā):</w:t>
            </w:r>
          </w:p>
        </w:tc>
        <w:tc>
          <w:tcPr>
            <w:tcW w:w="7522" w:type="dxa"/>
            <w:gridSpan w:val="7"/>
            <w:vMerge w:val="restart"/>
            <w:tcBorders>
              <w:top w:val="single" w:sz="4" w:space="0" w:color="auto"/>
              <w:left w:val="single" w:sz="4" w:space="0" w:color="auto"/>
              <w:bottom w:val="single" w:sz="4" w:space="0" w:color="000000"/>
              <w:right w:val="single" w:sz="4" w:space="0" w:color="auto"/>
            </w:tcBorders>
          </w:tcPr>
          <w:p w14:paraId="357701C0" w14:textId="2E40A738" w:rsidR="00ED3D84" w:rsidRPr="000965FC" w:rsidRDefault="00ED3D84" w:rsidP="00ED3D84">
            <w:pPr>
              <w:spacing w:line="276" w:lineRule="auto"/>
              <w:ind w:right="57"/>
              <w:jc w:val="both"/>
              <w:rPr>
                <w:rFonts w:eastAsia="Times New Roman"/>
                <w:sz w:val="26"/>
                <w:szCs w:val="26"/>
                <w:lang w:val="lv-LV"/>
              </w:rPr>
            </w:pPr>
            <w:r w:rsidRPr="000965FC">
              <w:rPr>
                <w:rFonts w:eastAsia="Times New Roman"/>
                <w:sz w:val="26"/>
                <w:szCs w:val="26"/>
                <w:lang w:val="lv-LV"/>
              </w:rPr>
              <w:t xml:space="preserve">Jau sākotnēji  MK noteikumu Nr. 676 īstenošanai 2020.gadam tika paredzēts finansējums 70,8 mij. EUR apmērā. </w:t>
            </w:r>
          </w:p>
          <w:p w14:paraId="79F4C8CB" w14:textId="318B0189" w:rsidR="00036FBA" w:rsidRPr="000965FC" w:rsidRDefault="00ED3D84" w:rsidP="00ED3D84">
            <w:pPr>
              <w:spacing w:before="120"/>
              <w:jc w:val="both"/>
              <w:rPr>
                <w:rFonts w:eastAsia="Times New Roman"/>
                <w:sz w:val="24"/>
                <w:szCs w:val="24"/>
                <w:lang w:val="lv-LV"/>
              </w:rPr>
            </w:pPr>
            <w:r w:rsidRPr="000965FC">
              <w:rPr>
                <w:rFonts w:eastAsia="Times New Roman"/>
                <w:sz w:val="26"/>
                <w:szCs w:val="26"/>
                <w:lang w:val="lv-LV"/>
              </w:rPr>
              <w:t xml:space="preserve">Ņemot vērā, ka programma faktiski uzsākta 2020.gada 21.decembrī (jeb pieejama 7 darba dienas), pēc Eiropas Komisijas lēmuma spēkā stāšanās, šobrīd ir pāragri spriest par programmas apguves tempu. Uz 2021.gada 4.janvāri pieprasīts atbalsts par </w:t>
            </w:r>
            <w:r w:rsidRPr="000965FC">
              <w:rPr>
                <w:rFonts w:eastAsia="Times New Roman"/>
                <w:sz w:val="26"/>
                <w:szCs w:val="26"/>
                <w:lang w:val="lv-LV" w:eastAsia="lv-LV"/>
              </w:rPr>
              <w:t xml:space="preserve">8 570 017 EUR. </w:t>
            </w:r>
            <w:r w:rsidRPr="000965FC">
              <w:rPr>
                <w:rFonts w:eastAsia="Times New Roman"/>
                <w:sz w:val="26"/>
                <w:szCs w:val="26"/>
                <w:lang w:val="lv-LV"/>
              </w:rPr>
              <w:t>Līdz ar to  nemainīgi ir sākotnējie pieņēmumi par atbalsta programmai nepieciešamo finansējumu 70,8 milj. EUR apmērā kopā, kura ietvaros 2021.gadā tiks nodrošināta atbalsta izmaksa MK  Noteikumu projektā paredzētajam saņēmēju lokam.</w:t>
            </w:r>
          </w:p>
        </w:tc>
      </w:tr>
      <w:tr w:rsidR="00036FBA" w:rsidRPr="000965FC" w14:paraId="6EA116A7"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1A567E2F" w14:textId="77777777" w:rsidR="00036FBA" w:rsidRPr="000965FC" w:rsidRDefault="00036FBA" w:rsidP="001D5277">
            <w:pPr>
              <w:spacing w:line="276" w:lineRule="auto"/>
              <w:rPr>
                <w:iCs/>
                <w:color w:val="000000"/>
                <w:sz w:val="22"/>
                <w:szCs w:val="22"/>
                <w:lang w:val="lv-LV"/>
              </w:rPr>
            </w:pPr>
            <w:r w:rsidRPr="000965FC">
              <w:rPr>
                <w:iCs/>
                <w:color w:val="000000"/>
                <w:sz w:val="22"/>
                <w:szCs w:val="22"/>
                <w:lang w:val="lv-LV"/>
              </w:rPr>
              <w:t>6.1. detalizēts ieņēmumu aprēķins</w:t>
            </w:r>
          </w:p>
        </w:tc>
        <w:tc>
          <w:tcPr>
            <w:tcW w:w="7522" w:type="dxa"/>
            <w:gridSpan w:val="7"/>
            <w:vMerge/>
            <w:tcBorders>
              <w:top w:val="single" w:sz="4" w:space="0" w:color="auto"/>
              <w:left w:val="single" w:sz="4" w:space="0" w:color="auto"/>
              <w:bottom w:val="single" w:sz="4" w:space="0" w:color="auto"/>
              <w:right w:val="single" w:sz="4" w:space="0" w:color="auto"/>
            </w:tcBorders>
            <w:vAlign w:val="center"/>
            <w:hideMark/>
          </w:tcPr>
          <w:p w14:paraId="0333A081" w14:textId="77777777" w:rsidR="00036FBA" w:rsidRPr="000965FC" w:rsidRDefault="00036FBA" w:rsidP="001D5277">
            <w:pPr>
              <w:spacing w:line="276" w:lineRule="auto"/>
              <w:rPr>
                <w:rFonts w:eastAsia="Times New Roman"/>
                <w:sz w:val="24"/>
                <w:szCs w:val="24"/>
                <w:lang w:val="lv-LV"/>
              </w:rPr>
            </w:pPr>
          </w:p>
        </w:tc>
      </w:tr>
      <w:tr w:rsidR="00036FBA" w:rsidRPr="000965FC" w14:paraId="33A7659D"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34EF01CD" w14:textId="77777777" w:rsidR="00036FBA" w:rsidRPr="000965FC" w:rsidRDefault="00036FBA" w:rsidP="001D5277">
            <w:pPr>
              <w:spacing w:line="276" w:lineRule="auto"/>
              <w:rPr>
                <w:rFonts w:eastAsia="Times New Roman"/>
                <w:sz w:val="26"/>
                <w:szCs w:val="26"/>
                <w:lang w:val="lv-LV"/>
              </w:rPr>
            </w:pPr>
            <w:r w:rsidRPr="000965FC">
              <w:rPr>
                <w:color w:val="000000" w:themeColor="text1"/>
                <w:sz w:val="22"/>
                <w:szCs w:val="22"/>
                <w:lang w:val="lv-LV"/>
              </w:rPr>
              <w:t>6.2. detalizēts izdevumu aprēķins</w:t>
            </w:r>
            <w:r w:rsidRPr="000965FC">
              <w:rPr>
                <w:rFonts w:eastAsia="Times New Roman"/>
                <w:color w:val="FF0000"/>
                <w:sz w:val="26"/>
                <w:szCs w:val="26"/>
                <w:lang w:val="lv-LV"/>
              </w:rPr>
              <w:t xml:space="preserve"> </w:t>
            </w:r>
          </w:p>
        </w:tc>
        <w:tc>
          <w:tcPr>
            <w:tcW w:w="7522" w:type="dxa"/>
            <w:gridSpan w:val="7"/>
            <w:vMerge/>
            <w:tcBorders>
              <w:top w:val="single" w:sz="4" w:space="0" w:color="auto"/>
              <w:left w:val="single" w:sz="4" w:space="0" w:color="auto"/>
              <w:bottom w:val="single" w:sz="4" w:space="0" w:color="auto"/>
              <w:right w:val="single" w:sz="4" w:space="0" w:color="auto"/>
            </w:tcBorders>
            <w:vAlign w:val="center"/>
            <w:hideMark/>
          </w:tcPr>
          <w:p w14:paraId="5024ED10" w14:textId="77777777" w:rsidR="00036FBA" w:rsidRPr="000965FC" w:rsidRDefault="00036FBA" w:rsidP="001D5277">
            <w:pPr>
              <w:spacing w:line="276" w:lineRule="auto"/>
              <w:rPr>
                <w:rFonts w:eastAsia="Times New Roman"/>
                <w:sz w:val="24"/>
                <w:szCs w:val="24"/>
                <w:lang w:val="lv-LV"/>
              </w:rPr>
            </w:pPr>
          </w:p>
        </w:tc>
      </w:tr>
      <w:tr w:rsidR="00036FBA" w:rsidRPr="000965FC" w14:paraId="35EBA1F1"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37F219F8" w14:textId="77777777" w:rsidR="00036FBA" w:rsidRPr="000965FC" w:rsidRDefault="00036FBA" w:rsidP="001D5277">
            <w:pPr>
              <w:spacing w:line="276" w:lineRule="auto"/>
              <w:rPr>
                <w:rFonts w:eastAsia="Times New Roman"/>
                <w:sz w:val="22"/>
                <w:szCs w:val="22"/>
                <w:lang w:val="lv-LV" w:eastAsia="ja-JP"/>
              </w:rPr>
            </w:pPr>
            <w:r w:rsidRPr="000965FC">
              <w:rPr>
                <w:rFonts w:eastAsia="Times New Roman"/>
                <w:sz w:val="22"/>
                <w:szCs w:val="22"/>
                <w:lang w:val="lv-LV" w:eastAsia="ja-JP"/>
              </w:rPr>
              <w:t>7. Amata vietu skaita izmaiņas</w:t>
            </w:r>
          </w:p>
        </w:tc>
        <w:tc>
          <w:tcPr>
            <w:tcW w:w="7522" w:type="dxa"/>
            <w:gridSpan w:val="7"/>
            <w:tcBorders>
              <w:top w:val="single" w:sz="4" w:space="0" w:color="auto"/>
              <w:left w:val="single" w:sz="4" w:space="0" w:color="auto"/>
              <w:bottom w:val="single" w:sz="4" w:space="0" w:color="auto"/>
              <w:right w:val="single" w:sz="4" w:space="0" w:color="auto"/>
            </w:tcBorders>
            <w:hideMark/>
          </w:tcPr>
          <w:p w14:paraId="5DDB0214" w14:textId="77777777" w:rsidR="00036FBA" w:rsidRPr="000965FC" w:rsidRDefault="00036FBA" w:rsidP="001D5277">
            <w:pPr>
              <w:spacing w:line="276" w:lineRule="auto"/>
              <w:jc w:val="both"/>
              <w:rPr>
                <w:rFonts w:eastAsia="Times New Roman"/>
                <w:sz w:val="24"/>
                <w:szCs w:val="24"/>
                <w:lang w:val="lv-LV" w:eastAsia="ja-JP"/>
              </w:rPr>
            </w:pPr>
            <w:r w:rsidRPr="000965FC">
              <w:rPr>
                <w:iCs/>
                <w:color w:val="000000"/>
                <w:sz w:val="26"/>
                <w:szCs w:val="26"/>
                <w:lang w:val="lv-LV"/>
              </w:rPr>
              <w:t>Noteikumu projekts šo jomu neskar</w:t>
            </w:r>
            <w:r w:rsidRPr="000965FC">
              <w:rPr>
                <w:iCs/>
                <w:color w:val="000000"/>
                <w:sz w:val="24"/>
                <w:szCs w:val="24"/>
                <w:lang w:val="lv-LV"/>
              </w:rPr>
              <w:t>.</w:t>
            </w:r>
          </w:p>
        </w:tc>
      </w:tr>
      <w:tr w:rsidR="00036FBA" w:rsidRPr="000965FC" w14:paraId="7EFB3B46" w14:textId="77777777" w:rsidTr="001D5277">
        <w:tc>
          <w:tcPr>
            <w:tcW w:w="1697" w:type="dxa"/>
            <w:tcBorders>
              <w:top w:val="single" w:sz="4" w:space="0" w:color="auto"/>
              <w:left w:val="single" w:sz="4" w:space="0" w:color="auto"/>
              <w:bottom w:val="single" w:sz="4" w:space="0" w:color="auto"/>
              <w:right w:val="single" w:sz="4" w:space="0" w:color="auto"/>
            </w:tcBorders>
            <w:hideMark/>
          </w:tcPr>
          <w:p w14:paraId="2BB06AE0" w14:textId="77777777" w:rsidR="00036FBA" w:rsidRPr="000965FC" w:rsidRDefault="00036FBA" w:rsidP="001D5277">
            <w:pPr>
              <w:spacing w:line="276" w:lineRule="auto"/>
              <w:rPr>
                <w:rFonts w:eastAsia="Times New Roman"/>
                <w:sz w:val="22"/>
                <w:szCs w:val="22"/>
                <w:lang w:val="lv-LV" w:eastAsia="ja-JP"/>
              </w:rPr>
            </w:pPr>
            <w:r w:rsidRPr="000965FC">
              <w:rPr>
                <w:rFonts w:eastAsia="Times New Roman"/>
                <w:sz w:val="22"/>
                <w:szCs w:val="22"/>
                <w:lang w:val="lv-LV" w:eastAsia="ja-JP"/>
              </w:rPr>
              <w:t>8. Cita informācija</w:t>
            </w:r>
          </w:p>
        </w:tc>
        <w:tc>
          <w:tcPr>
            <w:tcW w:w="7522" w:type="dxa"/>
            <w:gridSpan w:val="7"/>
            <w:tcBorders>
              <w:top w:val="single" w:sz="4" w:space="0" w:color="auto"/>
              <w:left w:val="single" w:sz="4" w:space="0" w:color="auto"/>
              <w:bottom w:val="single" w:sz="4" w:space="0" w:color="auto"/>
              <w:right w:val="single" w:sz="4" w:space="0" w:color="auto"/>
            </w:tcBorders>
            <w:hideMark/>
          </w:tcPr>
          <w:p w14:paraId="2A00E26D" w14:textId="396CF8A7" w:rsidR="00036FBA" w:rsidRPr="000965FC" w:rsidRDefault="00C858DF" w:rsidP="00C858DF">
            <w:pPr>
              <w:spacing w:line="276" w:lineRule="auto"/>
              <w:ind w:right="57"/>
              <w:jc w:val="both"/>
              <w:rPr>
                <w:rFonts w:eastAsia="Times New Roman"/>
                <w:sz w:val="26"/>
                <w:szCs w:val="26"/>
                <w:lang w:val="lv-LV"/>
              </w:rPr>
            </w:pPr>
            <w:r w:rsidRPr="000965FC">
              <w:rPr>
                <w:rFonts w:eastAsia="Times New Roman"/>
                <w:sz w:val="26"/>
                <w:szCs w:val="26"/>
                <w:lang w:val="lv-LV"/>
              </w:rPr>
              <w:t xml:space="preserve"> </w:t>
            </w:r>
            <w:r w:rsidR="00ED3D84" w:rsidRPr="000965FC">
              <w:rPr>
                <w:rFonts w:eastAsia="Times New Roman"/>
                <w:sz w:val="26"/>
                <w:szCs w:val="26"/>
                <w:lang w:val="lv-LV"/>
              </w:rPr>
              <w:t>Nav.</w:t>
            </w:r>
          </w:p>
        </w:tc>
      </w:tr>
    </w:tbl>
    <w:p w14:paraId="3140514D" w14:textId="77777777" w:rsidR="00036FBA" w:rsidRPr="000965FC" w:rsidRDefault="00036FBA" w:rsidP="00370711">
      <w:pPr>
        <w:contextualSpacing/>
        <w:rPr>
          <w:rFonts w:eastAsia="Times New Roman"/>
          <w:color w:val="000000" w:themeColor="text1"/>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745145" w:rsidRPr="000965FC" w14:paraId="126BA3C2" w14:textId="77777777" w:rsidTr="001342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EFF3DF" w14:textId="77777777" w:rsidR="00745145" w:rsidRPr="000965FC" w:rsidRDefault="00745145" w:rsidP="00E7617E">
            <w:pPr>
              <w:ind w:firstLine="300"/>
              <w:contextualSpacing/>
              <w:rPr>
                <w:rFonts w:eastAsia="Times New Roman"/>
                <w:b/>
                <w:bCs/>
                <w:color w:val="000000" w:themeColor="text1"/>
                <w:sz w:val="26"/>
                <w:szCs w:val="26"/>
                <w:lang w:val="lv-LV" w:eastAsia="lv-LV"/>
              </w:rPr>
            </w:pPr>
            <w:r w:rsidRPr="000965FC">
              <w:rPr>
                <w:rFonts w:eastAsia="Times New Roman"/>
                <w:b/>
                <w:bCs/>
                <w:color w:val="000000" w:themeColor="text1"/>
                <w:sz w:val="26"/>
                <w:szCs w:val="26"/>
                <w:lang w:val="lv-LV" w:eastAsia="lv-LV"/>
              </w:rPr>
              <w:t>IV. Tiesību akta projekta ietekme uz spēkā esošo tiesību normu sistēmu</w:t>
            </w:r>
          </w:p>
        </w:tc>
      </w:tr>
      <w:tr w:rsidR="00745145" w:rsidRPr="000965FC" w14:paraId="35EEFFE7" w14:textId="77777777" w:rsidTr="001342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4675F2C3" w14:textId="77777777" w:rsidR="00745145" w:rsidRPr="000965FC" w:rsidRDefault="00745145" w:rsidP="00E7617E">
            <w:pPr>
              <w:ind w:firstLine="300"/>
              <w:contextualSpacing/>
              <w:jc w:val="center"/>
              <w:rPr>
                <w:rFonts w:eastAsia="Times New Roman"/>
                <w:b/>
                <w:bCs/>
                <w:color w:val="000000" w:themeColor="text1"/>
                <w:sz w:val="26"/>
                <w:szCs w:val="26"/>
                <w:lang w:val="lv-LV" w:eastAsia="lv-LV"/>
              </w:rPr>
            </w:pPr>
            <w:r w:rsidRPr="000965FC">
              <w:rPr>
                <w:bCs/>
                <w:iCs/>
                <w:color w:val="000000" w:themeColor="text1"/>
                <w:sz w:val="26"/>
                <w:szCs w:val="26"/>
                <w:lang w:val="lv-LV"/>
              </w:rPr>
              <w:t>Projekts šo jomu neskar</w:t>
            </w:r>
          </w:p>
        </w:tc>
      </w:tr>
    </w:tbl>
    <w:p w14:paraId="4284722A" w14:textId="62D78EAA" w:rsidR="00AA6BD3" w:rsidRPr="000965FC" w:rsidRDefault="00AA6BD3" w:rsidP="00370711">
      <w:pPr>
        <w:contextualSpacing/>
        <w:rPr>
          <w:rFonts w:eastAsia="Times New Roman"/>
          <w:color w:val="000000" w:themeColor="text1"/>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9A3668" w:rsidRPr="000965FC" w14:paraId="24E21D80" w14:textId="77777777" w:rsidTr="0025430E">
        <w:tc>
          <w:tcPr>
            <w:tcW w:w="0" w:type="auto"/>
            <w:gridSpan w:val="3"/>
            <w:tcBorders>
              <w:top w:val="outset" w:sz="6" w:space="0" w:color="414142"/>
              <w:left w:val="outset" w:sz="6" w:space="0" w:color="414142"/>
              <w:bottom w:val="outset" w:sz="6" w:space="0" w:color="414142"/>
              <w:right w:val="outset" w:sz="6" w:space="0" w:color="414142"/>
            </w:tcBorders>
            <w:hideMark/>
          </w:tcPr>
          <w:p w14:paraId="68F1F21C" w14:textId="77777777" w:rsidR="009A3668" w:rsidRPr="000965FC" w:rsidRDefault="009A3668" w:rsidP="0025430E">
            <w:pPr>
              <w:contextualSpacing/>
              <w:jc w:val="center"/>
              <w:rPr>
                <w:rFonts w:eastAsia="Times New Roman"/>
                <w:color w:val="000000" w:themeColor="text1"/>
                <w:sz w:val="26"/>
                <w:szCs w:val="26"/>
                <w:lang w:val="lv-LV" w:eastAsia="lv-LV"/>
              </w:rPr>
            </w:pPr>
            <w:r w:rsidRPr="000965FC">
              <w:rPr>
                <w:b/>
                <w:color w:val="000000" w:themeColor="text1"/>
                <w:sz w:val="26"/>
                <w:szCs w:val="26"/>
                <w:lang w:val="lv-LV"/>
              </w:rPr>
              <w:t>V. Tiesību akta projekta atbilstība Latvijas Republikas starptautiskajām saistībām</w:t>
            </w:r>
          </w:p>
        </w:tc>
      </w:tr>
      <w:tr w:rsidR="009A3668" w:rsidRPr="000965FC" w14:paraId="76C4A579" w14:textId="77777777" w:rsidTr="0025430E">
        <w:tc>
          <w:tcPr>
            <w:tcW w:w="227" w:type="pct"/>
            <w:tcBorders>
              <w:top w:val="outset" w:sz="6" w:space="0" w:color="414142"/>
              <w:left w:val="outset" w:sz="6" w:space="0" w:color="414142"/>
              <w:bottom w:val="outset" w:sz="6" w:space="0" w:color="414142"/>
              <w:right w:val="outset" w:sz="6" w:space="0" w:color="414142"/>
            </w:tcBorders>
            <w:hideMark/>
          </w:tcPr>
          <w:p w14:paraId="11927E9C" w14:textId="77777777" w:rsidR="009A3668" w:rsidRPr="000965FC" w:rsidRDefault="009A3668" w:rsidP="0025430E">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3C0FE89C" w14:textId="77777777" w:rsidR="009A3668" w:rsidRPr="000965FC" w:rsidRDefault="009A3668" w:rsidP="0025430E">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495B7C84" w14:textId="77777777" w:rsidR="009A3668" w:rsidRPr="000965FC" w:rsidRDefault="009A3668" w:rsidP="0025430E">
            <w:pPr>
              <w:pStyle w:val="ListParagraph"/>
              <w:numPr>
                <w:ilvl w:val="0"/>
                <w:numId w:val="2"/>
              </w:numPr>
              <w:jc w:val="both"/>
              <w:rPr>
                <w:color w:val="000000" w:themeColor="text1"/>
                <w:sz w:val="26"/>
                <w:szCs w:val="26"/>
                <w:lang w:val="lv-LV"/>
              </w:rPr>
            </w:pPr>
            <w:r w:rsidRPr="000965FC">
              <w:rPr>
                <w:color w:val="000000" w:themeColor="text1"/>
                <w:sz w:val="26"/>
                <w:szCs w:val="26"/>
                <w:lang w:val="lv-LV"/>
              </w:rPr>
              <w:t>Komisijas regula Nr. 651/2014.</w:t>
            </w:r>
          </w:p>
          <w:p w14:paraId="55C4B79B" w14:textId="77777777" w:rsidR="009A3668" w:rsidRPr="000965FC" w:rsidRDefault="009A3668" w:rsidP="0025430E">
            <w:pPr>
              <w:pStyle w:val="ListParagraph"/>
              <w:numPr>
                <w:ilvl w:val="0"/>
                <w:numId w:val="2"/>
              </w:numPr>
              <w:jc w:val="both"/>
              <w:rPr>
                <w:color w:val="000000" w:themeColor="text1"/>
                <w:sz w:val="26"/>
                <w:szCs w:val="26"/>
                <w:lang w:val="lv-LV"/>
              </w:rPr>
            </w:pPr>
            <w:r w:rsidRPr="000965FC">
              <w:rPr>
                <w:color w:val="000000" w:themeColor="text1"/>
                <w:sz w:val="26"/>
                <w:szCs w:val="26"/>
                <w:lang w:val="lv-LV"/>
              </w:rPr>
              <w:t>Pagaidu regulējums.</w:t>
            </w:r>
          </w:p>
        </w:tc>
      </w:tr>
      <w:tr w:rsidR="009A3668" w:rsidRPr="000965FC" w14:paraId="6B630A8D" w14:textId="77777777" w:rsidTr="0025430E">
        <w:tc>
          <w:tcPr>
            <w:tcW w:w="227" w:type="pct"/>
            <w:tcBorders>
              <w:top w:val="outset" w:sz="6" w:space="0" w:color="414142"/>
              <w:left w:val="outset" w:sz="6" w:space="0" w:color="414142"/>
              <w:bottom w:val="outset" w:sz="6" w:space="0" w:color="414142"/>
              <w:right w:val="outset" w:sz="6" w:space="0" w:color="414142"/>
            </w:tcBorders>
            <w:hideMark/>
          </w:tcPr>
          <w:p w14:paraId="710D0FEF" w14:textId="77777777" w:rsidR="009A3668" w:rsidRPr="000965FC" w:rsidRDefault="009A3668" w:rsidP="0025430E">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1D294321" w14:textId="77777777" w:rsidR="009A3668" w:rsidRPr="000965FC" w:rsidRDefault="009A3668" w:rsidP="0025430E">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530113D7" w14:textId="77777777" w:rsidR="009A3668" w:rsidRPr="000965FC" w:rsidRDefault="009A3668" w:rsidP="0025430E">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Projekts šo jomu neskar.</w:t>
            </w:r>
          </w:p>
        </w:tc>
      </w:tr>
      <w:tr w:rsidR="009A3668" w:rsidRPr="000965FC" w14:paraId="697707DF" w14:textId="77777777" w:rsidTr="0025430E">
        <w:tc>
          <w:tcPr>
            <w:tcW w:w="227" w:type="pct"/>
            <w:tcBorders>
              <w:top w:val="outset" w:sz="6" w:space="0" w:color="414142"/>
              <w:left w:val="outset" w:sz="6" w:space="0" w:color="414142"/>
              <w:bottom w:val="outset" w:sz="6" w:space="0" w:color="414142"/>
              <w:right w:val="outset" w:sz="6" w:space="0" w:color="414142"/>
            </w:tcBorders>
            <w:hideMark/>
          </w:tcPr>
          <w:p w14:paraId="5198AF32" w14:textId="77777777" w:rsidR="009A3668" w:rsidRPr="000965FC" w:rsidRDefault="009A3668" w:rsidP="0025430E">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6985E143" w14:textId="77777777" w:rsidR="009A3668" w:rsidRPr="000965FC" w:rsidRDefault="009A3668" w:rsidP="0025430E">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01FA7D9" w14:textId="77777777" w:rsidR="009A3668" w:rsidRPr="000965FC" w:rsidRDefault="009A3668" w:rsidP="0025430E">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Nav</w:t>
            </w:r>
          </w:p>
        </w:tc>
      </w:tr>
    </w:tbl>
    <w:p w14:paraId="1675E043" w14:textId="77777777" w:rsidR="009A3668" w:rsidRPr="000965FC" w:rsidRDefault="009A3668" w:rsidP="009A3668">
      <w:pPr>
        <w:contextualSpacing/>
        <w:rPr>
          <w:color w:val="000000" w:themeColor="text1"/>
          <w:sz w:val="26"/>
          <w:szCs w:val="26"/>
          <w:lang w:val="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970"/>
        <w:gridCol w:w="2126"/>
        <w:gridCol w:w="1712"/>
        <w:gridCol w:w="2397"/>
      </w:tblGrid>
      <w:tr w:rsidR="009A3668" w:rsidRPr="000965FC" w14:paraId="1EAB4718" w14:textId="77777777" w:rsidTr="0025430E">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29338B" w14:textId="77777777" w:rsidR="009A3668" w:rsidRPr="000965FC" w:rsidRDefault="009A3668" w:rsidP="0025430E">
            <w:pPr>
              <w:spacing w:before="100" w:beforeAutospacing="1" w:after="100" w:afterAutospacing="1" w:line="293" w:lineRule="atLeast"/>
              <w:jc w:val="center"/>
              <w:rPr>
                <w:rFonts w:eastAsia="Times New Roman"/>
                <w:b/>
                <w:bCs/>
                <w:color w:val="000000" w:themeColor="text1"/>
                <w:sz w:val="26"/>
                <w:szCs w:val="26"/>
                <w:lang w:val="lv-LV" w:eastAsia="lv-LV"/>
              </w:rPr>
            </w:pPr>
            <w:r w:rsidRPr="000965FC">
              <w:rPr>
                <w:rFonts w:eastAsia="Times New Roman"/>
                <w:b/>
                <w:bCs/>
                <w:color w:val="000000" w:themeColor="text1"/>
                <w:sz w:val="26"/>
                <w:szCs w:val="26"/>
                <w:lang w:val="lv-LV" w:eastAsia="lv-LV"/>
              </w:rPr>
              <w:t>1. tabula</w:t>
            </w:r>
            <w:r w:rsidRPr="000965FC">
              <w:rPr>
                <w:rFonts w:eastAsia="Times New Roman"/>
                <w:b/>
                <w:bCs/>
                <w:color w:val="000000" w:themeColor="text1"/>
                <w:sz w:val="26"/>
                <w:szCs w:val="26"/>
                <w:lang w:val="lv-LV" w:eastAsia="lv-LV"/>
              </w:rPr>
              <w:br/>
              <w:t>Tiesību akta projekta atbilstība ES tiesību aktiem</w:t>
            </w:r>
          </w:p>
        </w:tc>
      </w:tr>
      <w:tr w:rsidR="009A3668" w:rsidRPr="000965FC" w14:paraId="1A276E73" w14:textId="77777777" w:rsidTr="0025430E">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BD33744"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Attiecīgā ES tiesību akta datums, numurs un nosaukums</w:t>
            </w:r>
          </w:p>
        </w:tc>
        <w:tc>
          <w:tcPr>
            <w:tcW w:w="3387"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FBF37C" w14:textId="77777777" w:rsidR="009A3668" w:rsidRPr="000965FC" w:rsidRDefault="009A3668" w:rsidP="0025430E">
            <w:pPr>
              <w:pStyle w:val="naiskr"/>
              <w:rPr>
                <w:color w:val="000000" w:themeColor="text1"/>
                <w:sz w:val="26"/>
                <w:szCs w:val="26"/>
              </w:rPr>
            </w:pPr>
            <w:r w:rsidRPr="000965FC">
              <w:rPr>
                <w:color w:val="000000" w:themeColor="text1"/>
                <w:sz w:val="26"/>
                <w:szCs w:val="26"/>
              </w:rPr>
              <w:t>Ar Noteikumu projektu tiek ieviestas šādas Eiropas Savienības tiesību aktu prasības: </w:t>
            </w:r>
          </w:p>
          <w:p w14:paraId="1537D65D" w14:textId="50E5413A" w:rsidR="009A3668" w:rsidRPr="000965FC" w:rsidRDefault="00C7336A" w:rsidP="00EE4153">
            <w:pPr>
              <w:pStyle w:val="naiskr"/>
              <w:jc w:val="both"/>
              <w:rPr>
                <w:color w:val="000000" w:themeColor="text1"/>
                <w:sz w:val="26"/>
                <w:szCs w:val="26"/>
              </w:rPr>
            </w:pPr>
            <w:r w:rsidRPr="000965FC">
              <w:rPr>
                <w:iCs/>
                <w:color w:val="000000" w:themeColor="text1"/>
                <w:sz w:val="26"/>
                <w:szCs w:val="26"/>
              </w:rPr>
              <w:t>Eiropas Komisijas 2020. gada 19. marta paziņojuma "Pagaidu regulējums valsts atbalsta pasākumiem, ar ko atbalsta ekonomiku pašreizējā Covid-19 uzliesmojuma situācijā" (C(2020)1863) (turpmāk – Pagaidu regulējums)</w:t>
            </w:r>
            <w:r w:rsidR="00EE4153" w:rsidRPr="000965FC">
              <w:rPr>
                <w:color w:val="000000" w:themeColor="text1"/>
                <w:sz w:val="26"/>
                <w:szCs w:val="26"/>
              </w:rPr>
              <w:t>.</w:t>
            </w:r>
          </w:p>
        </w:tc>
      </w:tr>
      <w:tr w:rsidR="009A3668" w:rsidRPr="000965FC" w14:paraId="525C9D75" w14:textId="77777777" w:rsidTr="0025430E">
        <w:tc>
          <w:tcPr>
            <w:tcW w:w="1613"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75C5023F" w14:textId="77777777" w:rsidR="009A3668" w:rsidRPr="000965FC" w:rsidRDefault="009A3668" w:rsidP="0025430E">
            <w:pPr>
              <w:spacing w:before="100" w:beforeAutospacing="1" w:after="100" w:afterAutospacing="1" w:line="293" w:lineRule="atLeast"/>
              <w:jc w:val="cente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A</w:t>
            </w:r>
          </w:p>
        </w:tc>
        <w:tc>
          <w:tcPr>
            <w:tcW w:w="1155"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21F42E3D" w14:textId="77777777" w:rsidR="009A3668" w:rsidRPr="000965FC" w:rsidRDefault="009A3668" w:rsidP="0025430E">
            <w:pPr>
              <w:spacing w:before="100" w:beforeAutospacing="1" w:after="100" w:afterAutospacing="1" w:line="293" w:lineRule="atLeast"/>
              <w:jc w:val="cente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B</w:t>
            </w:r>
          </w:p>
        </w:tc>
        <w:tc>
          <w:tcPr>
            <w:tcW w:w="930"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2F9E9DAC" w14:textId="77777777" w:rsidR="009A3668" w:rsidRPr="000965FC" w:rsidRDefault="009A3668" w:rsidP="0025430E">
            <w:pPr>
              <w:spacing w:before="100" w:beforeAutospacing="1" w:after="100" w:afterAutospacing="1" w:line="293" w:lineRule="atLeast"/>
              <w:jc w:val="cente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w:t>
            </w:r>
          </w:p>
        </w:tc>
        <w:tc>
          <w:tcPr>
            <w:tcW w:w="1302"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73139C35" w14:textId="77777777" w:rsidR="009A3668" w:rsidRPr="000965FC" w:rsidRDefault="009A3668" w:rsidP="0025430E">
            <w:pPr>
              <w:spacing w:before="100" w:beforeAutospacing="1" w:after="100" w:afterAutospacing="1" w:line="293" w:lineRule="atLeast"/>
              <w:jc w:val="cente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D</w:t>
            </w:r>
          </w:p>
        </w:tc>
      </w:tr>
      <w:tr w:rsidR="009A3668" w:rsidRPr="000965FC" w14:paraId="48FCBB94" w14:textId="77777777" w:rsidTr="0025430E">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4196E9C" w14:textId="3414FD83" w:rsidR="009A3668" w:rsidRPr="000965FC" w:rsidRDefault="00EE4153" w:rsidP="0025430E">
            <w:pPr>
              <w:textAlignment w:val="baseline"/>
              <w:rPr>
                <w:color w:val="000000" w:themeColor="text1"/>
                <w:sz w:val="26"/>
                <w:szCs w:val="26"/>
                <w:lang w:val="lv-LV"/>
              </w:rPr>
            </w:pPr>
            <w:r w:rsidRPr="000965FC">
              <w:rPr>
                <w:color w:val="000000" w:themeColor="text1"/>
                <w:sz w:val="26"/>
                <w:szCs w:val="26"/>
                <w:lang w:val="lv-LV"/>
              </w:rPr>
              <w:lastRenderedPageBreak/>
              <w:t xml:space="preserve">Pagaidu regulējuma 22.punkta a) punkts, 23.punkta a),c) punkts, </w:t>
            </w:r>
            <w:r w:rsidRPr="000965FC">
              <w:rPr>
                <w:rFonts w:eastAsia="Times New Roman"/>
                <w:color w:val="000000" w:themeColor="text1"/>
                <w:sz w:val="26"/>
                <w:szCs w:val="26"/>
                <w:lang w:val="lv-LV" w:eastAsia="lv-LV"/>
              </w:rPr>
              <w:t>Komisijas regulas Nr.717/2014 1.panta 1.punkta a)–k) apakšpunkts</w:t>
            </w:r>
          </w:p>
        </w:tc>
        <w:tc>
          <w:tcPr>
            <w:tcW w:w="1155" w:type="pct"/>
            <w:tcBorders>
              <w:top w:val="nil"/>
              <w:left w:val="nil"/>
              <w:bottom w:val="single" w:sz="6" w:space="0" w:color="000000" w:themeColor="text1"/>
              <w:right w:val="single" w:sz="6" w:space="0" w:color="000000" w:themeColor="text1"/>
            </w:tcBorders>
            <w:shd w:val="clear" w:color="auto" w:fill="auto"/>
          </w:tcPr>
          <w:p w14:paraId="7EB520C6" w14:textId="741743EB" w:rsidR="009A3668" w:rsidRPr="000965FC" w:rsidRDefault="009A3668" w:rsidP="0025430E">
            <w:pPr>
              <w:textAlignment w:val="baseline"/>
              <w:rPr>
                <w:color w:val="000000" w:themeColor="text1"/>
                <w:sz w:val="26"/>
                <w:szCs w:val="26"/>
                <w:lang w:val="lv-LV"/>
              </w:rPr>
            </w:pPr>
            <w:r w:rsidRPr="000965FC">
              <w:rPr>
                <w:color w:val="000000" w:themeColor="text1"/>
                <w:sz w:val="26"/>
                <w:szCs w:val="26"/>
                <w:lang w:val="lv-LV"/>
              </w:rPr>
              <w:t xml:space="preserve">Noteikumu projekta </w:t>
            </w:r>
            <w:r w:rsidR="001B64CC" w:rsidRPr="000965FC">
              <w:rPr>
                <w:color w:val="000000" w:themeColor="text1"/>
                <w:sz w:val="26"/>
                <w:szCs w:val="26"/>
                <w:lang w:val="lv-LV"/>
              </w:rPr>
              <w:t>1.</w:t>
            </w:r>
            <w:r w:rsidR="008247F1" w:rsidRPr="000965FC">
              <w:rPr>
                <w:color w:val="000000" w:themeColor="text1"/>
                <w:sz w:val="26"/>
                <w:szCs w:val="26"/>
                <w:lang w:val="lv-LV"/>
              </w:rPr>
              <w:t>3</w:t>
            </w:r>
            <w:r w:rsidRPr="000965FC">
              <w:rPr>
                <w:color w:val="000000" w:themeColor="text1"/>
                <w:sz w:val="26"/>
                <w:szCs w:val="26"/>
                <w:lang w:val="lv-LV"/>
              </w:rPr>
              <w:t>.punkts</w:t>
            </w:r>
          </w:p>
        </w:tc>
        <w:tc>
          <w:tcPr>
            <w:tcW w:w="930" w:type="pct"/>
            <w:tcBorders>
              <w:top w:val="nil"/>
              <w:left w:val="nil"/>
              <w:bottom w:val="single" w:sz="6" w:space="0" w:color="000000" w:themeColor="text1"/>
              <w:right w:val="single" w:sz="6" w:space="0" w:color="000000" w:themeColor="text1"/>
            </w:tcBorders>
            <w:shd w:val="clear" w:color="auto" w:fill="auto"/>
          </w:tcPr>
          <w:p w14:paraId="05B73E6D" w14:textId="77777777" w:rsidR="009A3668" w:rsidRPr="000965FC" w:rsidRDefault="009A3668" w:rsidP="0025430E">
            <w:pPr>
              <w:pStyle w:val="paragraph"/>
              <w:spacing w:before="0" w:beforeAutospacing="0" w:after="0" w:afterAutospacing="0"/>
              <w:textAlignment w:val="baseline"/>
              <w:rPr>
                <w:color w:val="000000" w:themeColor="text1"/>
                <w:sz w:val="26"/>
                <w:szCs w:val="26"/>
              </w:rPr>
            </w:pPr>
            <w:r w:rsidRPr="000965FC">
              <w:rPr>
                <w:color w:val="000000" w:themeColor="text1"/>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61E27DB0" w14:textId="77777777" w:rsidR="009A3668" w:rsidRPr="000965FC" w:rsidRDefault="009A3668" w:rsidP="0025430E">
            <w:pPr>
              <w:pStyle w:val="paragraph"/>
              <w:spacing w:before="0" w:beforeAutospacing="0" w:after="0" w:afterAutospacing="0"/>
              <w:textAlignment w:val="baseline"/>
              <w:rPr>
                <w:color w:val="000000" w:themeColor="text1"/>
                <w:sz w:val="26"/>
                <w:szCs w:val="26"/>
              </w:rPr>
            </w:pPr>
            <w:r w:rsidRPr="000965FC">
              <w:rPr>
                <w:color w:val="000000" w:themeColor="text1"/>
                <w:sz w:val="26"/>
                <w:szCs w:val="26"/>
              </w:rPr>
              <w:t>Neparedz stingrākas prasības.</w:t>
            </w:r>
          </w:p>
        </w:tc>
      </w:tr>
      <w:tr w:rsidR="009A3668" w:rsidRPr="000965FC" w14:paraId="63F8949A" w14:textId="77777777" w:rsidTr="0025430E">
        <w:tc>
          <w:tcPr>
            <w:tcW w:w="1613" w:type="pct"/>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22B4F329"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Kā ir izmantota ES tiesību aktā paredzētā rīcības brīvība dalībvalstij pārņemt vai ieviest noteiktas ES tiesību akta normas? Kādēļ?</w:t>
            </w:r>
          </w:p>
        </w:tc>
        <w:tc>
          <w:tcPr>
            <w:tcW w:w="3387" w:type="pct"/>
            <w:gridSpan w:val="3"/>
            <w:tcBorders>
              <w:top w:val="single" w:sz="4" w:space="0" w:color="auto"/>
              <w:left w:val="single" w:sz="4" w:space="0" w:color="auto"/>
              <w:bottom w:val="single" w:sz="4" w:space="0" w:color="auto"/>
              <w:right w:val="single" w:sz="4" w:space="0" w:color="auto"/>
            </w:tcBorders>
            <w:hideMark/>
          </w:tcPr>
          <w:p w14:paraId="12E12FEF"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rPr>
              <w:t>Projekts šo jomu neskar.</w:t>
            </w:r>
          </w:p>
        </w:tc>
      </w:tr>
      <w:tr w:rsidR="009A3668" w:rsidRPr="000965FC" w14:paraId="59F810CE" w14:textId="77777777" w:rsidTr="0025430E">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69BB4D"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7" w:type="pct"/>
            <w:gridSpan w:val="3"/>
            <w:tcBorders>
              <w:top w:val="single" w:sz="4" w:space="0" w:color="auto"/>
              <w:left w:val="single" w:sz="4" w:space="0" w:color="auto"/>
              <w:bottom w:val="single" w:sz="4" w:space="0" w:color="auto"/>
              <w:right w:val="single" w:sz="4" w:space="0" w:color="auto"/>
            </w:tcBorders>
            <w:hideMark/>
          </w:tcPr>
          <w:p w14:paraId="3D434D44"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rPr>
              <w:t>Atbalsta programma tiks saskaņota ar Eiropas Komisiju.</w:t>
            </w:r>
          </w:p>
        </w:tc>
      </w:tr>
      <w:tr w:rsidR="009A3668" w:rsidRPr="000965FC" w14:paraId="121E5935" w14:textId="77777777" w:rsidTr="0025430E">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A98648"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 informācija</w:t>
            </w:r>
          </w:p>
        </w:tc>
        <w:tc>
          <w:tcPr>
            <w:tcW w:w="3387" w:type="pct"/>
            <w:gridSpan w:val="3"/>
            <w:tcBorders>
              <w:top w:val="single" w:sz="4" w:space="0" w:color="auto"/>
              <w:left w:val="single" w:sz="4" w:space="0" w:color="auto"/>
              <w:bottom w:val="single" w:sz="4" w:space="0" w:color="auto"/>
              <w:right w:val="single" w:sz="4" w:space="0" w:color="auto"/>
            </w:tcBorders>
            <w:hideMark/>
          </w:tcPr>
          <w:p w14:paraId="2E912AA9" w14:textId="77777777" w:rsidR="009A3668" w:rsidRPr="000965FC" w:rsidRDefault="009A3668" w:rsidP="0025430E">
            <w:pPr>
              <w:rPr>
                <w:rFonts w:eastAsia="Times New Roman"/>
                <w:color w:val="000000" w:themeColor="text1"/>
                <w:sz w:val="26"/>
                <w:szCs w:val="26"/>
                <w:lang w:val="lv-LV" w:eastAsia="lv-LV"/>
              </w:rPr>
            </w:pPr>
            <w:r w:rsidRPr="000965FC">
              <w:rPr>
                <w:color w:val="000000" w:themeColor="text1"/>
                <w:sz w:val="26"/>
                <w:szCs w:val="26"/>
                <w:lang w:val="lv-LV"/>
              </w:rPr>
              <w:t>Nav.</w:t>
            </w:r>
          </w:p>
        </w:tc>
      </w:tr>
    </w:tbl>
    <w:p w14:paraId="0881C869" w14:textId="75F20DE1" w:rsidR="009A3668" w:rsidRPr="000965FC" w:rsidRDefault="009A3668" w:rsidP="002B1AD5">
      <w:pPr>
        <w:contextualSpacing/>
        <w:rPr>
          <w:color w:val="000000" w:themeColor="text1"/>
          <w:sz w:val="26"/>
          <w:szCs w:val="26"/>
          <w:lang w:val="lv-LV"/>
        </w:rPr>
      </w:pPr>
    </w:p>
    <w:p w14:paraId="620B5CBF" w14:textId="77777777" w:rsidR="009A3668" w:rsidRPr="000965FC" w:rsidRDefault="009A3668" w:rsidP="002B1AD5">
      <w:pPr>
        <w:contextualSpacing/>
        <w:rPr>
          <w:color w:val="000000" w:themeColor="text1"/>
          <w:sz w:val="26"/>
          <w:szCs w:val="26"/>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7"/>
      </w:tblGrid>
      <w:tr w:rsidR="006F4B13" w:rsidRPr="000965FC" w14:paraId="7EEC0F00" w14:textId="77777777" w:rsidTr="001342EF">
        <w:trPr>
          <w:trHeight w:val="421"/>
        </w:trPr>
        <w:tc>
          <w:tcPr>
            <w:tcW w:w="9214" w:type="dxa"/>
            <w:gridSpan w:val="3"/>
            <w:tcBorders>
              <w:top w:val="single" w:sz="2" w:space="0" w:color="auto"/>
            </w:tcBorders>
            <w:vAlign w:val="center"/>
          </w:tcPr>
          <w:p w14:paraId="7BCCE7F8" w14:textId="77777777" w:rsidR="006F4B13" w:rsidRPr="000965FC" w:rsidRDefault="006F4B13" w:rsidP="00370711">
            <w:pPr>
              <w:ind w:left="57" w:right="57"/>
              <w:contextualSpacing/>
              <w:jc w:val="center"/>
              <w:rPr>
                <w:rFonts w:eastAsia="Times New Roman"/>
                <w:color w:val="000000" w:themeColor="text1"/>
                <w:sz w:val="26"/>
                <w:szCs w:val="26"/>
                <w:lang w:val="lv-LV"/>
              </w:rPr>
            </w:pPr>
            <w:r w:rsidRPr="000965FC">
              <w:rPr>
                <w:rFonts w:eastAsia="Times New Roman"/>
                <w:b/>
                <w:color w:val="000000" w:themeColor="text1"/>
                <w:sz w:val="26"/>
                <w:szCs w:val="26"/>
                <w:lang w:val="lv-LV"/>
              </w:rPr>
              <w:t>VI. Sabiedrības līdzdalība un komunikācijas aktivitātes</w:t>
            </w:r>
          </w:p>
        </w:tc>
      </w:tr>
      <w:tr w:rsidR="003F0B47" w:rsidRPr="000965FC" w14:paraId="6FEF54FD" w14:textId="77777777" w:rsidTr="001342EF">
        <w:trPr>
          <w:trHeight w:val="553"/>
        </w:trPr>
        <w:tc>
          <w:tcPr>
            <w:tcW w:w="426" w:type="dxa"/>
          </w:tcPr>
          <w:p w14:paraId="41086138" w14:textId="77777777" w:rsidR="003F0B47" w:rsidRPr="000965FC" w:rsidRDefault="003F0B47" w:rsidP="003F0B47">
            <w:pPr>
              <w:ind w:left="57" w:right="57"/>
              <w:contextualSpacing/>
              <w:jc w:val="both"/>
              <w:rPr>
                <w:color w:val="000000" w:themeColor="text1"/>
                <w:sz w:val="26"/>
                <w:szCs w:val="26"/>
                <w:lang w:val="lv-LV"/>
              </w:rPr>
            </w:pPr>
            <w:r w:rsidRPr="000965FC">
              <w:rPr>
                <w:color w:val="000000" w:themeColor="text1"/>
                <w:sz w:val="26"/>
                <w:szCs w:val="26"/>
                <w:lang w:val="lv-LV"/>
              </w:rPr>
              <w:t>1.</w:t>
            </w:r>
          </w:p>
        </w:tc>
        <w:tc>
          <w:tcPr>
            <w:tcW w:w="2551" w:type="dxa"/>
          </w:tcPr>
          <w:p w14:paraId="798682AC" w14:textId="77777777" w:rsidR="003F0B47" w:rsidRPr="000965FC" w:rsidRDefault="003F0B47" w:rsidP="003F0B47">
            <w:pPr>
              <w:tabs>
                <w:tab w:val="left" w:pos="170"/>
              </w:tabs>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Plānotās sabiedrības līdzdalības un komunikācijas aktivitātes saistībā ar projektu</w:t>
            </w:r>
          </w:p>
        </w:tc>
        <w:tc>
          <w:tcPr>
            <w:tcW w:w="6237" w:type="dxa"/>
          </w:tcPr>
          <w:p w14:paraId="384FFED0" w14:textId="565B01CE" w:rsidR="003F0B47" w:rsidRPr="000965FC" w:rsidRDefault="00745145" w:rsidP="003F0B47">
            <w:pPr>
              <w:shd w:val="clear" w:color="auto" w:fill="FFFFFF"/>
              <w:ind w:right="113"/>
              <w:contextualSpacing/>
              <w:jc w:val="both"/>
              <w:rPr>
                <w:rFonts w:eastAsia="PMingLiU"/>
                <w:color w:val="000000" w:themeColor="text1"/>
                <w:sz w:val="26"/>
                <w:szCs w:val="26"/>
                <w:lang w:val="lv-LV" w:eastAsia="ja-JP"/>
              </w:rPr>
            </w:pPr>
            <w:r w:rsidRPr="000965FC">
              <w:rPr>
                <w:rFonts w:eastAsia="Times New Roman"/>
                <w:color w:val="000000" w:themeColor="text1"/>
                <w:sz w:val="26"/>
                <w:szCs w:val="26"/>
                <w:lang w:val="lv-LV"/>
              </w:rPr>
              <w:t xml:space="preserve">Sabiedrības līdzdalība ir nodrošināta </w:t>
            </w:r>
            <w:r w:rsidRPr="000965FC">
              <w:rPr>
                <w:color w:val="000000" w:themeColor="text1"/>
                <w:sz w:val="26"/>
                <w:szCs w:val="26"/>
                <w:lang w:val="lv-LV"/>
              </w:rPr>
              <w:t xml:space="preserve">krīzes vadības grupas uzņēmējdarbības veicināšanai </w:t>
            </w:r>
            <w:r w:rsidRPr="000965FC">
              <w:rPr>
                <w:rFonts w:eastAsia="Times New Roman"/>
                <w:color w:val="000000" w:themeColor="text1"/>
                <w:sz w:val="26"/>
                <w:szCs w:val="26"/>
                <w:lang w:val="lv-LV"/>
              </w:rPr>
              <w:t>ietvaros apspriežot noteikumu projektu ar nozares uzņēmējiem.</w:t>
            </w:r>
          </w:p>
        </w:tc>
      </w:tr>
      <w:tr w:rsidR="003F0B47" w:rsidRPr="000965FC" w14:paraId="3F5FD1CD" w14:textId="77777777" w:rsidTr="001342EF">
        <w:trPr>
          <w:trHeight w:val="339"/>
        </w:trPr>
        <w:tc>
          <w:tcPr>
            <w:tcW w:w="426" w:type="dxa"/>
          </w:tcPr>
          <w:p w14:paraId="4B9C6F89" w14:textId="77777777" w:rsidR="003F0B47" w:rsidRPr="000965FC" w:rsidRDefault="003F0B47" w:rsidP="003F0B47">
            <w:pPr>
              <w:ind w:left="57" w:right="57"/>
              <w:contextualSpacing/>
              <w:jc w:val="both"/>
              <w:rPr>
                <w:color w:val="000000" w:themeColor="text1"/>
                <w:sz w:val="26"/>
                <w:szCs w:val="26"/>
                <w:lang w:val="lv-LV"/>
              </w:rPr>
            </w:pPr>
            <w:r w:rsidRPr="000965FC">
              <w:rPr>
                <w:color w:val="000000" w:themeColor="text1"/>
                <w:sz w:val="26"/>
                <w:szCs w:val="26"/>
                <w:lang w:val="lv-LV"/>
              </w:rPr>
              <w:t>2.</w:t>
            </w:r>
          </w:p>
        </w:tc>
        <w:tc>
          <w:tcPr>
            <w:tcW w:w="2551" w:type="dxa"/>
          </w:tcPr>
          <w:p w14:paraId="4B6FBDE6" w14:textId="77777777" w:rsidR="003F0B47" w:rsidRPr="000965FC" w:rsidRDefault="003F0B47" w:rsidP="003F0B47">
            <w:pPr>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Sabiedrības līdzdalība projekta izstrādē</w:t>
            </w:r>
          </w:p>
        </w:tc>
        <w:tc>
          <w:tcPr>
            <w:tcW w:w="6237" w:type="dxa"/>
          </w:tcPr>
          <w:p w14:paraId="18D5064F" w14:textId="46F904D3" w:rsidR="003F0B47" w:rsidRPr="000965FC" w:rsidRDefault="003F0B47" w:rsidP="003F0B47">
            <w:pPr>
              <w:shd w:val="clear" w:color="auto" w:fill="FFFFFF"/>
              <w:ind w:left="57" w:right="113"/>
              <w:contextualSpacing/>
              <w:jc w:val="both"/>
              <w:rPr>
                <w:rFonts w:eastAsia="PMingLiU"/>
                <w:color w:val="000000" w:themeColor="text1"/>
                <w:sz w:val="26"/>
                <w:szCs w:val="26"/>
                <w:shd w:val="clear" w:color="auto" w:fill="FFFFFF"/>
                <w:lang w:val="lv-LV" w:eastAsia="ja-JP"/>
              </w:rPr>
            </w:pPr>
          </w:p>
        </w:tc>
      </w:tr>
      <w:tr w:rsidR="006F4B13" w:rsidRPr="000965FC" w14:paraId="0F937EA3" w14:textId="77777777" w:rsidTr="001342EF">
        <w:trPr>
          <w:trHeight w:val="476"/>
        </w:trPr>
        <w:tc>
          <w:tcPr>
            <w:tcW w:w="426" w:type="dxa"/>
          </w:tcPr>
          <w:p w14:paraId="5A007BCA" w14:textId="77777777" w:rsidR="006F4B13" w:rsidRPr="000965FC" w:rsidRDefault="006F4B13" w:rsidP="00370711">
            <w:pPr>
              <w:ind w:left="57" w:right="57"/>
              <w:contextualSpacing/>
              <w:jc w:val="both"/>
              <w:rPr>
                <w:color w:val="000000" w:themeColor="text1"/>
                <w:sz w:val="26"/>
                <w:szCs w:val="26"/>
                <w:lang w:val="lv-LV"/>
              </w:rPr>
            </w:pPr>
            <w:r w:rsidRPr="000965FC">
              <w:rPr>
                <w:color w:val="000000" w:themeColor="text1"/>
                <w:sz w:val="26"/>
                <w:szCs w:val="26"/>
                <w:lang w:val="lv-LV"/>
              </w:rPr>
              <w:t>3.</w:t>
            </w:r>
          </w:p>
        </w:tc>
        <w:tc>
          <w:tcPr>
            <w:tcW w:w="2551" w:type="dxa"/>
          </w:tcPr>
          <w:p w14:paraId="5F99D7D0" w14:textId="77777777" w:rsidR="006F4B13" w:rsidRPr="000965FC" w:rsidRDefault="006F4B13" w:rsidP="00370711">
            <w:pPr>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Sabiedrības līdzdalības rezultāti</w:t>
            </w:r>
          </w:p>
        </w:tc>
        <w:tc>
          <w:tcPr>
            <w:tcW w:w="6237" w:type="dxa"/>
          </w:tcPr>
          <w:p w14:paraId="2BF921D4" w14:textId="6D400666" w:rsidR="006F4B13" w:rsidRPr="000965FC" w:rsidRDefault="006F4B13" w:rsidP="00370711">
            <w:pPr>
              <w:shd w:val="clear" w:color="auto" w:fill="FFFFFF"/>
              <w:ind w:left="57" w:right="113"/>
              <w:contextualSpacing/>
              <w:jc w:val="both"/>
              <w:rPr>
                <w:rFonts w:eastAsia="PMingLiU"/>
                <w:color w:val="000000" w:themeColor="text1"/>
                <w:sz w:val="26"/>
                <w:szCs w:val="26"/>
                <w:shd w:val="clear" w:color="auto" w:fill="FFFFFF"/>
                <w:lang w:val="lv-LV" w:eastAsia="ja-JP"/>
              </w:rPr>
            </w:pPr>
            <w:r w:rsidRPr="000965FC">
              <w:rPr>
                <w:rFonts w:eastAsia="PMingLiU"/>
                <w:color w:val="000000" w:themeColor="text1"/>
                <w:sz w:val="26"/>
                <w:szCs w:val="26"/>
                <w:shd w:val="clear" w:color="auto" w:fill="FFFFFF"/>
                <w:lang w:val="lv-LV" w:eastAsia="ja-JP"/>
              </w:rPr>
              <w:t>Nav</w:t>
            </w:r>
          </w:p>
        </w:tc>
      </w:tr>
      <w:tr w:rsidR="006F4B13" w:rsidRPr="000965FC" w14:paraId="13638F96" w14:textId="77777777" w:rsidTr="001342EF">
        <w:trPr>
          <w:trHeight w:val="205"/>
        </w:trPr>
        <w:tc>
          <w:tcPr>
            <w:tcW w:w="426" w:type="dxa"/>
          </w:tcPr>
          <w:p w14:paraId="286DE4AB" w14:textId="77777777" w:rsidR="006F4B13" w:rsidRPr="000965FC" w:rsidRDefault="006F4B13" w:rsidP="00282251">
            <w:pPr>
              <w:ind w:left="57" w:right="57"/>
              <w:contextualSpacing/>
              <w:jc w:val="both"/>
              <w:rPr>
                <w:color w:val="000000" w:themeColor="text1"/>
                <w:sz w:val="26"/>
                <w:szCs w:val="26"/>
                <w:lang w:val="lv-LV"/>
              </w:rPr>
            </w:pPr>
            <w:r w:rsidRPr="000965FC">
              <w:rPr>
                <w:color w:val="000000" w:themeColor="text1"/>
                <w:sz w:val="26"/>
                <w:szCs w:val="26"/>
                <w:lang w:val="lv-LV"/>
              </w:rPr>
              <w:t>4.</w:t>
            </w:r>
          </w:p>
        </w:tc>
        <w:tc>
          <w:tcPr>
            <w:tcW w:w="2551" w:type="dxa"/>
          </w:tcPr>
          <w:p w14:paraId="1AEA4978" w14:textId="77777777" w:rsidR="006F4B13" w:rsidRPr="000965FC" w:rsidRDefault="006F4B13" w:rsidP="00282251">
            <w:pPr>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Cita informācija</w:t>
            </w:r>
          </w:p>
        </w:tc>
        <w:tc>
          <w:tcPr>
            <w:tcW w:w="6237" w:type="dxa"/>
          </w:tcPr>
          <w:p w14:paraId="29112FCD" w14:textId="5927F71D" w:rsidR="006F4B13" w:rsidRPr="000965FC" w:rsidRDefault="006F4B13" w:rsidP="00282251">
            <w:pPr>
              <w:ind w:left="57" w:right="113"/>
              <w:contextualSpacing/>
              <w:jc w:val="both"/>
              <w:rPr>
                <w:rFonts w:eastAsia="PMingLiU"/>
                <w:color w:val="000000" w:themeColor="text1"/>
                <w:sz w:val="26"/>
                <w:szCs w:val="26"/>
                <w:lang w:val="lv-LV" w:eastAsia="ja-JP"/>
              </w:rPr>
            </w:pPr>
            <w:r w:rsidRPr="000965FC">
              <w:rPr>
                <w:rFonts w:eastAsia="PMingLiU"/>
                <w:color w:val="000000" w:themeColor="text1"/>
                <w:sz w:val="26"/>
                <w:szCs w:val="26"/>
                <w:lang w:val="lv-LV" w:eastAsia="ja-JP"/>
              </w:rPr>
              <w:t>Nav</w:t>
            </w:r>
          </w:p>
        </w:tc>
      </w:tr>
    </w:tbl>
    <w:p w14:paraId="2EB30350" w14:textId="77777777" w:rsidR="00AA6BD3" w:rsidRPr="000965FC" w:rsidRDefault="00AA6BD3" w:rsidP="00282251">
      <w:pPr>
        <w:contextualSpacing/>
        <w:rPr>
          <w:rFonts w:eastAsia="Times New Roman"/>
          <w:color w:val="000000" w:themeColor="text1"/>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0965FC" w14:paraId="72278BCA" w14:textId="77777777" w:rsidTr="001342EF">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0965FC" w:rsidRDefault="00844176" w:rsidP="005A1518">
            <w:pPr>
              <w:spacing w:before="100" w:beforeAutospacing="1" w:after="100" w:afterAutospacing="1"/>
              <w:ind w:firstLine="300"/>
              <w:jc w:val="center"/>
              <w:rPr>
                <w:rFonts w:eastAsia="Times New Roman"/>
                <w:color w:val="000000" w:themeColor="text1"/>
                <w:sz w:val="26"/>
                <w:szCs w:val="26"/>
                <w:lang w:val="lv-LV" w:eastAsia="lv-LV"/>
              </w:rPr>
            </w:pPr>
            <w:r w:rsidRPr="000965FC">
              <w:rPr>
                <w:b/>
                <w:color w:val="000000" w:themeColor="text1"/>
                <w:sz w:val="26"/>
                <w:szCs w:val="26"/>
                <w:lang w:val="lv-LV"/>
              </w:rPr>
              <w:t>VII. Tiesību akta projekta izpildes nodrošināšana un tās ietekme uz institūcijām</w:t>
            </w:r>
          </w:p>
        </w:tc>
      </w:tr>
      <w:tr w:rsidR="00844176" w:rsidRPr="000965FC" w14:paraId="3BE578E7" w14:textId="77777777" w:rsidTr="001342E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0965FC" w:rsidRDefault="00844176" w:rsidP="00282251">
            <w:pPr>
              <w:contextualSpacing/>
              <w:rPr>
                <w:rFonts w:eastAsia="Times New Roman"/>
                <w:color w:val="000000" w:themeColor="text1"/>
                <w:sz w:val="26"/>
                <w:szCs w:val="26"/>
                <w:lang w:val="lv-LV" w:eastAsia="lv-LV"/>
              </w:rPr>
            </w:pPr>
            <w:r w:rsidRPr="000965FC">
              <w:rPr>
                <w:color w:val="000000" w:themeColor="text1"/>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0965FC" w:rsidRDefault="00844176" w:rsidP="00282251">
            <w:pPr>
              <w:ind w:right="112"/>
              <w:contextualSpacing/>
              <w:jc w:val="both"/>
              <w:rPr>
                <w:color w:val="000000" w:themeColor="text1"/>
                <w:sz w:val="26"/>
                <w:szCs w:val="26"/>
                <w:lang w:val="lv-LV"/>
              </w:rPr>
            </w:pPr>
            <w:r w:rsidRPr="000965FC">
              <w:rPr>
                <w:color w:val="000000" w:themeColor="text1"/>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6B14C65D" w:rsidR="00844176" w:rsidRPr="000965FC" w:rsidRDefault="00844176" w:rsidP="00282251">
            <w:pPr>
              <w:ind w:left="82" w:right="161"/>
              <w:contextualSpacing/>
              <w:jc w:val="both"/>
              <w:rPr>
                <w:color w:val="000000" w:themeColor="text1"/>
                <w:sz w:val="26"/>
                <w:szCs w:val="26"/>
                <w:lang w:val="lv-LV"/>
              </w:rPr>
            </w:pPr>
            <w:r w:rsidRPr="000965FC">
              <w:rPr>
                <w:color w:val="000000" w:themeColor="text1"/>
                <w:sz w:val="26"/>
                <w:szCs w:val="26"/>
                <w:lang w:val="lv-LV"/>
              </w:rPr>
              <w:t>E</w:t>
            </w:r>
            <w:r w:rsidR="00733C32" w:rsidRPr="000965FC">
              <w:rPr>
                <w:color w:val="000000" w:themeColor="text1"/>
                <w:sz w:val="26"/>
                <w:szCs w:val="26"/>
                <w:lang w:val="lv-LV"/>
              </w:rPr>
              <w:t>konomikas ministrija</w:t>
            </w:r>
            <w:r w:rsidR="0074545C" w:rsidRPr="000965FC">
              <w:rPr>
                <w:color w:val="000000" w:themeColor="text1"/>
                <w:sz w:val="26"/>
                <w:szCs w:val="26"/>
                <w:lang w:val="lv-LV"/>
              </w:rPr>
              <w:t xml:space="preserve">, </w:t>
            </w:r>
            <w:r w:rsidR="00745145" w:rsidRPr="000965FC">
              <w:rPr>
                <w:color w:val="000000" w:themeColor="text1"/>
                <w:sz w:val="26"/>
                <w:szCs w:val="26"/>
                <w:lang w:val="lv-LV"/>
              </w:rPr>
              <w:t>VID.</w:t>
            </w:r>
          </w:p>
        </w:tc>
      </w:tr>
      <w:tr w:rsidR="00844176" w:rsidRPr="000965FC" w14:paraId="2CF2C3EA" w14:textId="77777777" w:rsidTr="001342E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0965FC" w:rsidRDefault="00844176" w:rsidP="00282251">
            <w:pPr>
              <w:contextualSpacing/>
              <w:rPr>
                <w:rFonts w:eastAsia="Times New Roman"/>
                <w:color w:val="000000" w:themeColor="text1"/>
                <w:sz w:val="26"/>
                <w:szCs w:val="26"/>
                <w:lang w:val="lv-LV" w:eastAsia="lv-LV"/>
              </w:rPr>
            </w:pPr>
            <w:r w:rsidRPr="000965FC">
              <w:rPr>
                <w:color w:val="000000" w:themeColor="text1"/>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0965FC" w:rsidRDefault="00844176" w:rsidP="00282251">
            <w:pPr>
              <w:ind w:right="112"/>
              <w:contextualSpacing/>
              <w:jc w:val="both"/>
              <w:rPr>
                <w:color w:val="000000" w:themeColor="text1"/>
                <w:sz w:val="26"/>
                <w:szCs w:val="26"/>
                <w:lang w:val="lv-LV"/>
              </w:rPr>
            </w:pPr>
            <w:r w:rsidRPr="000965FC">
              <w:rPr>
                <w:color w:val="000000" w:themeColor="text1"/>
                <w:sz w:val="26"/>
                <w:szCs w:val="26"/>
                <w:lang w:val="lv-LV"/>
              </w:rPr>
              <w:t xml:space="preserve">Projekta izpildes ietekme uz pārvaldes funkcijām un institucionālo struktūru. Jaunu institūciju </w:t>
            </w:r>
            <w:r w:rsidRPr="000965FC">
              <w:rPr>
                <w:color w:val="000000" w:themeColor="text1"/>
                <w:sz w:val="26"/>
                <w:szCs w:val="26"/>
                <w:lang w:val="lv-LV"/>
              </w:rPr>
              <w:lastRenderedPageBreak/>
              <w:t>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118CFB1E" w:rsidR="00844176" w:rsidRPr="000965FC" w:rsidRDefault="001F5AB0" w:rsidP="00282251">
            <w:pPr>
              <w:ind w:left="82" w:right="161"/>
              <w:contextualSpacing/>
              <w:jc w:val="both"/>
              <w:rPr>
                <w:color w:val="000000" w:themeColor="text1"/>
                <w:sz w:val="26"/>
                <w:szCs w:val="26"/>
                <w:lang w:val="lv-LV"/>
              </w:rPr>
            </w:pPr>
            <w:r w:rsidRPr="000965FC">
              <w:rPr>
                <w:rFonts w:eastAsia="Times New Roman"/>
                <w:bCs/>
                <w:iCs/>
                <w:color w:val="000000" w:themeColor="text1"/>
                <w:sz w:val="26"/>
                <w:szCs w:val="26"/>
                <w:lang w:val="lv-LV"/>
              </w:rPr>
              <w:lastRenderedPageBreak/>
              <w:t xml:space="preserve">MK noteikumu projekta </w:t>
            </w:r>
            <w:r w:rsidR="00733C32" w:rsidRPr="000965FC">
              <w:rPr>
                <w:color w:val="000000" w:themeColor="text1"/>
                <w:sz w:val="26"/>
                <w:szCs w:val="26"/>
                <w:lang w:val="lv-LV"/>
              </w:rPr>
              <w:t>izpilde tiks nodrošināta Ekonomikas ministrijas</w:t>
            </w:r>
            <w:r w:rsidR="00745145" w:rsidRPr="000965FC">
              <w:rPr>
                <w:color w:val="000000" w:themeColor="text1"/>
                <w:sz w:val="26"/>
                <w:szCs w:val="26"/>
                <w:lang w:val="lv-LV"/>
              </w:rPr>
              <w:t>, Finanšu ministrijas (normatīvā regulējuma izstrāde)</w:t>
            </w:r>
            <w:r w:rsidR="00844176" w:rsidRPr="000965FC">
              <w:rPr>
                <w:color w:val="000000" w:themeColor="text1"/>
                <w:sz w:val="26"/>
                <w:szCs w:val="26"/>
                <w:lang w:val="lv-LV"/>
              </w:rPr>
              <w:t xml:space="preserve"> un </w:t>
            </w:r>
            <w:r w:rsidR="002C4AC6" w:rsidRPr="000965FC">
              <w:rPr>
                <w:color w:val="000000" w:themeColor="text1"/>
                <w:sz w:val="26"/>
                <w:szCs w:val="26"/>
                <w:lang w:val="lv-LV"/>
              </w:rPr>
              <w:t xml:space="preserve">Valsts ieņēmumu dienesta </w:t>
            </w:r>
            <w:r w:rsidR="00745145" w:rsidRPr="000965FC">
              <w:rPr>
                <w:color w:val="000000" w:themeColor="text1"/>
                <w:sz w:val="26"/>
                <w:szCs w:val="26"/>
                <w:lang w:val="lv-LV"/>
              </w:rPr>
              <w:t xml:space="preserve">(lēmumu pieņemšana un atbalsta izsniegšana) </w:t>
            </w:r>
            <w:r w:rsidR="00844176" w:rsidRPr="000965FC">
              <w:rPr>
                <w:color w:val="000000" w:themeColor="text1"/>
                <w:sz w:val="26"/>
                <w:szCs w:val="26"/>
                <w:lang w:val="lv-LV"/>
              </w:rPr>
              <w:t xml:space="preserve">esošo funkciju </w:t>
            </w:r>
            <w:r w:rsidR="002B7681" w:rsidRPr="000965FC">
              <w:rPr>
                <w:color w:val="000000" w:themeColor="text1"/>
                <w:sz w:val="26"/>
                <w:szCs w:val="26"/>
                <w:lang w:val="lv-LV"/>
              </w:rPr>
              <w:t xml:space="preserve">un cilvēkresursu </w:t>
            </w:r>
            <w:r w:rsidR="00844176" w:rsidRPr="000965FC">
              <w:rPr>
                <w:color w:val="000000" w:themeColor="text1"/>
                <w:sz w:val="26"/>
                <w:szCs w:val="26"/>
                <w:lang w:val="lv-LV"/>
              </w:rPr>
              <w:t>ietvaros</w:t>
            </w:r>
            <w:r w:rsidR="002B7681" w:rsidRPr="000965FC">
              <w:rPr>
                <w:color w:val="000000" w:themeColor="text1"/>
                <w:sz w:val="26"/>
                <w:szCs w:val="26"/>
                <w:lang w:val="lv-LV"/>
              </w:rPr>
              <w:t xml:space="preserve">, kā arī nav paredzēta </w:t>
            </w:r>
            <w:r w:rsidR="002B7681" w:rsidRPr="000965FC">
              <w:rPr>
                <w:color w:val="000000" w:themeColor="text1"/>
                <w:sz w:val="26"/>
                <w:szCs w:val="26"/>
                <w:lang w:val="lv-LV"/>
              </w:rPr>
              <w:lastRenderedPageBreak/>
              <w:t>jaunu institūciju izveide, esošu institūciju likvidācija vai reorganizācija</w:t>
            </w:r>
            <w:r w:rsidR="00844176" w:rsidRPr="000965FC">
              <w:rPr>
                <w:color w:val="000000" w:themeColor="text1"/>
                <w:sz w:val="26"/>
                <w:szCs w:val="26"/>
                <w:lang w:val="lv-LV"/>
              </w:rPr>
              <w:t>.</w:t>
            </w:r>
          </w:p>
        </w:tc>
      </w:tr>
      <w:tr w:rsidR="00844176" w:rsidRPr="000965FC" w14:paraId="2EBACAF6" w14:textId="77777777" w:rsidTr="001342E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0965FC" w:rsidRDefault="00844176" w:rsidP="00282251">
            <w:pPr>
              <w:contextualSpacing/>
              <w:rPr>
                <w:rFonts w:eastAsia="Times New Roman"/>
                <w:color w:val="000000" w:themeColor="text1"/>
                <w:sz w:val="26"/>
                <w:szCs w:val="26"/>
                <w:lang w:val="lv-LV" w:eastAsia="lv-LV"/>
              </w:rPr>
            </w:pPr>
            <w:r w:rsidRPr="000965FC">
              <w:rPr>
                <w:color w:val="000000" w:themeColor="text1"/>
                <w:sz w:val="26"/>
                <w:szCs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0965FC" w:rsidRDefault="00844176" w:rsidP="00282251">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0965FC" w:rsidRDefault="00844176" w:rsidP="00282251">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Nav</w:t>
            </w:r>
          </w:p>
        </w:tc>
      </w:tr>
    </w:tbl>
    <w:p w14:paraId="1AC0CCEF" w14:textId="77777777" w:rsidR="001B0936" w:rsidRPr="000965FC" w:rsidRDefault="001B0936" w:rsidP="00824797">
      <w:pPr>
        <w:ind w:firstLine="567"/>
        <w:jc w:val="both"/>
        <w:rPr>
          <w:color w:val="000000" w:themeColor="text1"/>
          <w:sz w:val="26"/>
          <w:szCs w:val="26"/>
          <w:lang w:val="lv-LV"/>
        </w:rPr>
      </w:pPr>
      <w:bookmarkStart w:id="9" w:name="_Hlk40807714"/>
    </w:p>
    <w:p w14:paraId="3A720579" w14:textId="77777777" w:rsidR="001B0936" w:rsidRPr="000965FC" w:rsidRDefault="001B0936" w:rsidP="00824797">
      <w:pPr>
        <w:ind w:firstLine="567"/>
        <w:jc w:val="both"/>
        <w:rPr>
          <w:color w:val="000000" w:themeColor="text1"/>
          <w:sz w:val="26"/>
          <w:szCs w:val="26"/>
          <w:lang w:val="lv-LV"/>
        </w:rPr>
      </w:pPr>
    </w:p>
    <w:p w14:paraId="6452CC80" w14:textId="1BD9F6A9" w:rsidR="00DA1B53" w:rsidRPr="000965FC" w:rsidRDefault="00DA1B53" w:rsidP="00824797">
      <w:pPr>
        <w:ind w:firstLine="567"/>
        <w:jc w:val="both"/>
        <w:rPr>
          <w:color w:val="000000" w:themeColor="text1"/>
          <w:sz w:val="26"/>
          <w:szCs w:val="26"/>
          <w:lang w:val="lv-LV"/>
        </w:rPr>
      </w:pPr>
      <w:r w:rsidRPr="000965FC">
        <w:rPr>
          <w:color w:val="000000" w:themeColor="text1"/>
          <w:sz w:val="26"/>
          <w:szCs w:val="26"/>
          <w:lang w:val="lv-LV"/>
        </w:rPr>
        <w:t>Ekonomikas ministr</w:t>
      </w:r>
      <w:r w:rsidR="003F0B47" w:rsidRPr="000965FC">
        <w:rPr>
          <w:color w:val="000000" w:themeColor="text1"/>
          <w:sz w:val="26"/>
          <w:szCs w:val="26"/>
          <w:lang w:val="lv-LV"/>
        </w:rPr>
        <w:t>s</w:t>
      </w:r>
      <w:r w:rsidR="003F0B47" w:rsidRPr="000965FC">
        <w:rPr>
          <w:color w:val="000000" w:themeColor="text1"/>
          <w:sz w:val="26"/>
          <w:szCs w:val="26"/>
          <w:lang w:val="lv-LV"/>
        </w:rPr>
        <w:tab/>
      </w:r>
      <w:r w:rsidR="003F0B47" w:rsidRPr="000965FC">
        <w:rPr>
          <w:color w:val="000000" w:themeColor="text1"/>
          <w:sz w:val="26"/>
          <w:szCs w:val="26"/>
          <w:lang w:val="lv-LV"/>
        </w:rPr>
        <w:tab/>
      </w:r>
      <w:r w:rsidR="003F0B47" w:rsidRPr="000965FC">
        <w:rPr>
          <w:color w:val="000000" w:themeColor="text1"/>
          <w:sz w:val="26"/>
          <w:szCs w:val="26"/>
          <w:lang w:val="lv-LV"/>
        </w:rPr>
        <w:tab/>
      </w:r>
      <w:r w:rsidR="003F0B47" w:rsidRPr="000965FC">
        <w:rPr>
          <w:color w:val="000000" w:themeColor="text1"/>
          <w:sz w:val="26"/>
          <w:szCs w:val="26"/>
          <w:lang w:val="lv-LV"/>
        </w:rPr>
        <w:tab/>
      </w:r>
      <w:r w:rsidR="00824797" w:rsidRPr="000965FC">
        <w:rPr>
          <w:color w:val="000000" w:themeColor="text1"/>
          <w:sz w:val="26"/>
          <w:szCs w:val="26"/>
          <w:lang w:val="lv-LV"/>
        </w:rPr>
        <w:tab/>
      </w:r>
      <w:r w:rsidR="00824797" w:rsidRPr="000965FC">
        <w:rPr>
          <w:color w:val="000000" w:themeColor="text1"/>
          <w:sz w:val="26"/>
          <w:szCs w:val="26"/>
          <w:lang w:val="lv-LV"/>
        </w:rPr>
        <w:tab/>
      </w:r>
      <w:r w:rsidR="003F0B47" w:rsidRPr="000965FC">
        <w:rPr>
          <w:color w:val="000000" w:themeColor="text1"/>
          <w:sz w:val="26"/>
          <w:szCs w:val="26"/>
          <w:lang w:val="lv-LV"/>
        </w:rPr>
        <w:t>Jānis Vitenbergs</w:t>
      </w:r>
    </w:p>
    <w:p w14:paraId="6E27AC49" w14:textId="77777777" w:rsidR="001B0936" w:rsidRPr="000965FC" w:rsidRDefault="001B0936" w:rsidP="001B0936">
      <w:pPr>
        <w:ind w:firstLine="567"/>
        <w:rPr>
          <w:color w:val="000000" w:themeColor="text1"/>
          <w:sz w:val="26"/>
          <w:szCs w:val="26"/>
          <w:lang w:val="lv-LV"/>
        </w:rPr>
      </w:pPr>
    </w:p>
    <w:p w14:paraId="186DE79D" w14:textId="6EE1F959" w:rsidR="00102B0D" w:rsidRPr="000965FC" w:rsidRDefault="00862580" w:rsidP="001B0936">
      <w:pPr>
        <w:ind w:firstLine="567"/>
        <w:rPr>
          <w:color w:val="000000" w:themeColor="text1"/>
          <w:sz w:val="26"/>
          <w:szCs w:val="26"/>
          <w:lang w:val="lv-LV"/>
        </w:rPr>
      </w:pPr>
      <w:r w:rsidRPr="000965FC">
        <w:rPr>
          <w:color w:val="000000" w:themeColor="text1"/>
          <w:sz w:val="26"/>
          <w:szCs w:val="26"/>
          <w:lang w:val="lv-LV"/>
        </w:rPr>
        <w:t>Vīza</w:t>
      </w:r>
      <w:r w:rsidR="00102B0D" w:rsidRPr="000965FC">
        <w:rPr>
          <w:color w:val="000000" w:themeColor="text1"/>
          <w:sz w:val="26"/>
          <w:szCs w:val="26"/>
          <w:lang w:val="lv-LV"/>
        </w:rPr>
        <w:t>:</w:t>
      </w:r>
    </w:p>
    <w:bookmarkEnd w:id="9"/>
    <w:p w14:paraId="1479C298" w14:textId="31BF883A" w:rsidR="00DF7086" w:rsidRPr="00E6289C" w:rsidRDefault="00824797" w:rsidP="001B0936">
      <w:pPr>
        <w:tabs>
          <w:tab w:val="left" w:pos="6237"/>
        </w:tabs>
        <w:ind w:firstLine="567"/>
        <w:rPr>
          <w:color w:val="000000" w:themeColor="text1"/>
          <w:sz w:val="26"/>
          <w:szCs w:val="26"/>
          <w:lang w:val="lv-LV"/>
        </w:rPr>
      </w:pPr>
      <w:r w:rsidRPr="000965FC">
        <w:rPr>
          <w:sz w:val="26"/>
          <w:szCs w:val="26"/>
          <w:lang w:val="lv-LV"/>
        </w:rPr>
        <w:t>Valsts sekretār</w:t>
      </w:r>
      <w:r w:rsidR="001B0936" w:rsidRPr="000965FC">
        <w:rPr>
          <w:sz w:val="26"/>
          <w:szCs w:val="26"/>
          <w:lang w:val="lv-LV"/>
        </w:rPr>
        <w:t>s</w:t>
      </w:r>
      <w:r w:rsidRPr="000965FC">
        <w:rPr>
          <w:sz w:val="26"/>
          <w:szCs w:val="26"/>
          <w:lang w:val="lv-LV"/>
        </w:rPr>
        <w:t xml:space="preserve"> </w:t>
      </w:r>
      <w:r w:rsidR="001B0936" w:rsidRPr="000965FC">
        <w:rPr>
          <w:sz w:val="26"/>
          <w:szCs w:val="26"/>
          <w:lang w:val="lv-LV"/>
        </w:rPr>
        <w:tab/>
      </w:r>
      <w:r w:rsidR="001B0936" w:rsidRPr="000965FC">
        <w:rPr>
          <w:sz w:val="26"/>
          <w:szCs w:val="26"/>
          <w:lang w:val="lv-LV"/>
        </w:rPr>
        <w:tab/>
        <w:t>Edmunds Valantis</w:t>
      </w:r>
    </w:p>
    <w:sectPr w:rsidR="00DF7086" w:rsidRPr="00E6289C" w:rsidSect="00136B18">
      <w:headerReference w:type="default" r:id="rId8"/>
      <w:footerReference w:type="default" r:id="rId9"/>
      <w:footerReference w:type="first" r:id="rId10"/>
      <w:endnotePr>
        <w:numFmt w:val="decimal"/>
      </w:endnotePr>
      <w:type w:val="continuous"/>
      <w:pgSz w:w="11906" w:h="16838" w:code="9"/>
      <w:pgMar w:top="1134"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8984" w14:textId="77777777" w:rsidR="00A84412" w:rsidRDefault="00A84412" w:rsidP="006B2FEF">
      <w:r>
        <w:separator/>
      </w:r>
    </w:p>
  </w:endnote>
  <w:endnote w:type="continuationSeparator" w:id="0">
    <w:p w14:paraId="7E57B75E" w14:textId="77777777" w:rsidR="00A84412" w:rsidRDefault="00A84412" w:rsidP="006B2FEF">
      <w:r>
        <w:continuationSeparator/>
      </w:r>
    </w:p>
  </w:endnote>
  <w:endnote w:type="continuationNotice" w:id="1">
    <w:p w14:paraId="7812114C" w14:textId="77777777" w:rsidR="00A84412" w:rsidRDefault="00A84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21EBCD51" w:rsidR="00137CDB" w:rsidRPr="0055278C" w:rsidRDefault="0055278C" w:rsidP="0055278C">
    <w:pPr>
      <w:pStyle w:val="Footer"/>
    </w:pPr>
    <w:r>
      <w:rPr>
        <w:lang w:val="lv-LV"/>
      </w:rPr>
      <w:t>E</w:t>
    </w:r>
    <w:r w:rsidRPr="0055278C">
      <w:rPr>
        <w:lang w:val="lv-LV"/>
      </w:rPr>
      <w:t>MAnot_</w:t>
    </w:r>
    <w:r w:rsidR="002C3AD4">
      <w:rPr>
        <w:lang w:val="lv-LV"/>
      </w:rPr>
      <w:t>11</w:t>
    </w:r>
    <w:r w:rsidRPr="0055278C">
      <w:rPr>
        <w:lang w:val="lv-LV"/>
      </w:rPr>
      <w:t>0121_ApgrozLidz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1AFD00F0" w:rsidR="00137CDB" w:rsidRPr="0055278C" w:rsidRDefault="0055278C" w:rsidP="0055278C">
    <w:pPr>
      <w:pStyle w:val="Footer"/>
    </w:pPr>
    <w:r>
      <w:rPr>
        <w:lang w:val="lv-LV"/>
      </w:rPr>
      <w:t>E</w:t>
    </w:r>
    <w:r w:rsidRPr="0055278C">
      <w:rPr>
        <w:lang w:val="lv-LV"/>
      </w:rPr>
      <w:t>MAnot_</w:t>
    </w:r>
    <w:r w:rsidR="002C3AD4">
      <w:rPr>
        <w:lang w:val="lv-LV"/>
      </w:rPr>
      <w:t>11</w:t>
    </w:r>
    <w:r w:rsidRPr="0055278C">
      <w:rPr>
        <w:lang w:val="lv-LV"/>
      </w:rPr>
      <w:t>0121_ApgrozLidz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83AE" w14:textId="77777777" w:rsidR="00A84412" w:rsidRDefault="00A84412" w:rsidP="006B2FEF">
      <w:r>
        <w:separator/>
      </w:r>
    </w:p>
  </w:footnote>
  <w:footnote w:type="continuationSeparator" w:id="0">
    <w:p w14:paraId="24470927" w14:textId="77777777" w:rsidR="00A84412" w:rsidRDefault="00A84412" w:rsidP="006B2FEF">
      <w:r>
        <w:continuationSeparator/>
      </w:r>
    </w:p>
  </w:footnote>
  <w:footnote w:type="continuationNotice" w:id="1">
    <w:p w14:paraId="58BDBB48" w14:textId="77777777" w:rsidR="00A84412" w:rsidRDefault="00A84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137CDB" w:rsidRPr="005A1518" w:rsidRDefault="00137CDB"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8FD"/>
    <w:multiLevelType w:val="hybridMultilevel"/>
    <w:tmpl w:val="9C9A4262"/>
    <w:lvl w:ilvl="0" w:tplc="42AAEC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1935430C"/>
    <w:multiLevelType w:val="hybridMultilevel"/>
    <w:tmpl w:val="A6940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8E2352"/>
    <w:multiLevelType w:val="hybridMultilevel"/>
    <w:tmpl w:val="59FA4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10"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6"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9EB0DC4"/>
    <w:multiLevelType w:val="hybridMultilevel"/>
    <w:tmpl w:val="9B8E4454"/>
    <w:lvl w:ilvl="0" w:tplc="797281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2"/>
  </w:num>
  <w:num w:numId="4">
    <w:abstractNumId w:val="27"/>
  </w:num>
  <w:num w:numId="5">
    <w:abstractNumId w:val="29"/>
  </w:num>
  <w:num w:numId="6">
    <w:abstractNumId w:val="23"/>
  </w:num>
  <w:num w:numId="7">
    <w:abstractNumId w:val="24"/>
  </w:num>
  <w:num w:numId="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4"/>
  </w:num>
  <w:num w:numId="12">
    <w:abstractNumId w:val="22"/>
  </w:num>
  <w:num w:numId="13">
    <w:abstractNumId w:val="15"/>
  </w:num>
  <w:num w:numId="14">
    <w:abstractNumId w:val="25"/>
  </w:num>
  <w:num w:numId="15">
    <w:abstractNumId w:val="9"/>
  </w:num>
  <w:num w:numId="16">
    <w:abstractNumId w:val="11"/>
  </w:num>
  <w:num w:numId="17">
    <w:abstractNumId w:val="1"/>
  </w:num>
  <w:num w:numId="18">
    <w:abstractNumId w:val="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16"/>
  </w:num>
  <w:num w:numId="23">
    <w:abstractNumId w:val="3"/>
  </w:num>
  <w:num w:numId="24">
    <w:abstractNumId w:val="8"/>
  </w:num>
  <w:num w:numId="25">
    <w:abstractNumId w:val="28"/>
  </w:num>
  <w:num w:numId="26">
    <w:abstractNumId w:val="10"/>
  </w:num>
  <w:num w:numId="27">
    <w:abstractNumId w:val="6"/>
  </w:num>
  <w:num w:numId="28">
    <w:abstractNumId w:val="5"/>
  </w:num>
  <w:num w:numId="29">
    <w:abstractNumId w:val="17"/>
  </w:num>
  <w:num w:numId="30">
    <w:abstractNumId w:val="0"/>
  </w:num>
  <w:num w:numId="3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5DB"/>
    <w:rsid w:val="00024D9D"/>
    <w:rsid w:val="0002596F"/>
    <w:rsid w:val="00026F18"/>
    <w:rsid w:val="0003012D"/>
    <w:rsid w:val="00030B7E"/>
    <w:rsid w:val="0003245D"/>
    <w:rsid w:val="00032471"/>
    <w:rsid w:val="0003265E"/>
    <w:rsid w:val="000331CC"/>
    <w:rsid w:val="00033F5A"/>
    <w:rsid w:val="00035C7B"/>
    <w:rsid w:val="00036FBA"/>
    <w:rsid w:val="00037F4B"/>
    <w:rsid w:val="0004198E"/>
    <w:rsid w:val="000430AC"/>
    <w:rsid w:val="0004380E"/>
    <w:rsid w:val="00043938"/>
    <w:rsid w:val="00044683"/>
    <w:rsid w:val="00044743"/>
    <w:rsid w:val="00047095"/>
    <w:rsid w:val="00047962"/>
    <w:rsid w:val="000527A4"/>
    <w:rsid w:val="0005406E"/>
    <w:rsid w:val="00055AB3"/>
    <w:rsid w:val="00057959"/>
    <w:rsid w:val="000678CD"/>
    <w:rsid w:val="00070F56"/>
    <w:rsid w:val="00071082"/>
    <w:rsid w:val="0007156D"/>
    <w:rsid w:val="00071BC9"/>
    <w:rsid w:val="00072B02"/>
    <w:rsid w:val="0007330D"/>
    <w:rsid w:val="00073914"/>
    <w:rsid w:val="00074090"/>
    <w:rsid w:val="00075EC8"/>
    <w:rsid w:val="0007733E"/>
    <w:rsid w:val="000773A5"/>
    <w:rsid w:val="00077712"/>
    <w:rsid w:val="00077D13"/>
    <w:rsid w:val="0008002B"/>
    <w:rsid w:val="000800A1"/>
    <w:rsid w:val="00080241"/>
    <w:rsid w:val="00080352"/>
    <w:rsid w:val="000818FB"/>
    <w:rsid w:val="00081EC5"/>
    <w:rsid w:val="000831EB"/>
    <w:rsid w:val="0008515E"/>
    <w:rsid w:val="00085640"/>
    <w:rsid w:val="00091668"/>
    <w:rsid w:val="00091F4F"/>
    <w:rsid w:val="0009324B"/>
    <w:rsid w:val="00094B1E"/>
    <w:rsid w:val="00095280"/>
    <w:rsid w:val="00095742"/>
    <w:rsid w:val="00096060"/>
    <w:rsid w:val="000964C6"/>
    <w:rsid w:val="000965FC"/>
    <w:rsid w:val="00096F1F"/>
    <w:rsid w:val="000972D6"/>
    <w:rsid w:val="000A0059"/>
    <w:rsid w:val="000A06F7"/>
    <w:rsid w:val="000A0E5F"/>
    <w:rsid w:val="000A14E3"/>
    <w:rsid w:val="000A2ABB"/>
    <w:rsid w:val="000A37C3"/>
    <w:rsid w:val="000A38DA"/>
    <w:rsid w:val="000A44CE"/>
    <w:rsid w:val="000B0748"/>
    <w:rsid w:val="000B0FC6"/>
    <w:rsid w:val="000B1248"/>
    <w:rsid w:val="000B1926"/>
    <w:rsid w:val="000B1B64"/>
    <w:rsid w:val="000B2C54"/>
    <w:rsid w:val="000B3449"/>
    <w:rsid w:val="000B3FAB"/>
    <w:rsid w:val="000B445E"/>
    <w:rsid w:val="000B492B"/>
    <w:rsid w:val="000B4E50"/>
    <w:rsid w:val="000B5B68"/>
    <w:rsid w:val="000B71B4"/>
    <w:rsid w:val="000B71FB"/>
    <w:rsid w:val="000C090A"/>
    <w:rsid w:val="000C1062"/>
    <w:rsid w:val="000C2431"/>
    <w:rsid w:val="000C2723"/>
    <w:rsid w:val="000C33C1"/>
    <w:rsid w:val="000C4418"/>
    <w:rsid w:val="000C4E81"/>
    <w:rsid w:val="000D2474"/>
    <w:rsid w:val="000D3D56"/>
    <w:rsid w:val="000D43D9"/>
    <w:rsid w:val="000D74B9"/>
    <w:rsid w:val="000E257B"/>
    <w:rsid w:val="000E53C3"/>
    <w:rsid w:val="000E56F8"/>
    <w:rsid w:val="000E5DD2"/>
    <w:rsid w:val="000E63F3"/>
    <w:rsid w:val="000F0A62"/>
    <w:rsid w:val="000F0E0E"/>
    <w:rsid w:val="000F1DA6"/>
    <w:rsid w:val="000F25D2"/>
    <w:rsid w:val="000F2EA7"/>
    <w:rsid w:val="000F4230"/>
    <w:rsid w:val="001001F5"/>
    <w:rsid w:val="00102922"/>
    <w:rsid w:val="00102B0D"/>
    <w:rsid w:val="00102B1D"/>
    <w:rsid w:val="00104CA7"/>
    <w:rsid w:val="00105D17"/>
    <w:rsid w:val="00106F18"/>
    <w:rsid w:val="00110128"/>
    <w:rsid w:val="0011196B"/>
    <w:rsid w:val="001143FB"/>
    <w:rsid w:val="00115CE8"/>
    <w:rsid w:val="0011606F"/>
    <w:rsid w:val="00117C68"/>
    <w:rsid w:val="00122D1A"/>
    <w:rsid w:val="0012624C"/>
    <w:rsid w:val="00126AE9"/>
    <w:rsid w:val="00127419"/>
    <w:rsid w:val="0013024B"/>
    <w:rsid w:val="00131C9F"/>
    <w:rsid w:val="001342EF"/>
    <w:rsid w:val="00136B18"/>
    <w:rsid w:val="00137388"/>
    <w:rsid w:val="00137CDB"/>
    <w:rsid w:val="00137F96"/>
    <w:rsid w:val="001411C3"/>
    <w:rsid w:val="00142C3C"/>
    <w:rsid w:val="00143BB6"/>
    <w:rsid w:val="00144CBE"/>
    <w:rsid w:val="00145366"/>
    <w:rsid w:val="00146697"/>
    <w:rsid w:val="00146D17"/>
    <w:rsid w:val="00151BBD"/>
    <w:rsid w:val="00152387"/>
    <w:rsid w:val="0015295F"/>
    <w:rsid w:val="00156067"/>
    <w:rsid w:val="00156C28"/>
    <w:rsid w:val="0016143E"/>
    <w:rsid w:val="00161BA7"/>
    <w:rsid w:val="001633A3"/>
    <w:rsid w:val="00164E20"/>
    <w:rsid w:val="001650AC"/>
    <w:rsid w:val="001655DD"/>
    <w:rsid w:val="00165747"/>
    <w:rsid w:val="00165F5E"/>
    <w:rsid w:val="0016668A"/>
    <w:rsid w:val="00166A8B"/>
    <w:rsid w:val="0016744E"/>
    <w:rsid w:val="00167597"/>
    <w:rsid w:val="00171F00"/>
    <w:rsid w:val="00172082"/>
    <w:rsid w:val="001748F9"/>
    <w:rsid w:val="00176AB2"/>
    <w:rsid w:val="00177250"/>
    <w:rsid w:val="00177882"/>
    <w:rsid w:val="00177A1E"/>
    <w:rsid w:val="00177C69"/>
    <w:rsid w:val="00180E2B"/>
    <w:rsid w:val="001827B1"/>
    <w:rsid w:val="001830E7"/>
    <w:rsid w:val="00183A56"/>
    <w:rsid w:val="00183B65"/>
    <w:rsid w:val="00183C0A"/>
    <w:rsid w:val="00184926"/>
    <w:rsid w:val="00186A4D"/>
    <w:rsid w:val="00187140"/>
    <w:rsid w:val="001902DC"/>
    <w:rsid w:val="00190B3D"/>
    <w:rsid w:val="001935C8"/>
    <w:rsid w:val="001943B1"/>
    <w:rsid w:val="001946C8"/>
    <w:rsid w:val="00195D43"/>
    <w:rsid w:val="001A04ED"/>
    <w:rsid w:val="001A120C"/>
    <w:rsid w:val="001A1322"/>
    <w:rsid w:val="001A1368"/>
    <w:rsid w:val="001A1439"/>
    <w:rsid w:val="001A2748"/>
    <w:rsid w:val="001A38EA"/>
    <w:rsid w:val="001A3ED2"/>
    <w:rsid w:val="001A45C7"/>
    <w:rsid w:val="001A6B14"/>
    <w:rsid w:val="001A7C3A"/>
    <w:rsid w:val="001A7E1D"/>
    <w:rsid w:val="001B0936"/>
    <w:rsid w:val="001B212C"/>
    <w:rsid w:val="001B3C82"/>
    <w:rsid w:val="001B64CC"/>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AA6"/>
    <w:rsid w:val="001D4C0A"/>
    <w:rsid w:val="001D5277"/>
    <w:rsid w:val="001D6EFA"/>
    <w:rsid w:val="001D7397"/>
    <w:rsid w:val="001D7DC1"/>
    <w:rsid w:val="001E023A"/>
    <w:rsid w:val="001E1B0F"/>
    <w:rsid w:val="001E3588"/>
    <w:rsid w:val="001E4C2F"/>
    <w:rsid w:val="001E5FBC"/>
    <w:rsid w:val="001E6C42"/>
    <w:rsid w:val="001E76A5"/>
    <w:rsid w:val="001E76BE"/>
    <w:rsid w:val="001F2BA2"/>
    <w:rsid w:val="001F37E9"/>
    <w:rsid w:val="001F5AB0"/>
    <w:rsid w:val="001F6DBE"/>
    <w:rsid w:val="001F7086"/>
    <w:rsid w:val="001F7AAD"/>
    <w:rsid w:val="00200E7D"/>
    <w:rsid w:val="00201D17"/>
    <w:rsid w:val="0020468C"/>
    <w:rsid w:val="002107BF"/>
    <w:rsid w:val="00210E64"/>
    <w:rsid w:val="00211315"/>
    <w:rsid w:val="00214E1D"/>
    <w:rsid w:val="002157CB"/>
    <w:rsid w:val="00215A5A"/>
    <w:rsid w:val="00215C6A"/>
    <w:rsid w:val="0021738A"/>
    <w:rsid w:val="002177B0"/>
    <w:rsid w:val="00217F5B"/>
    <w:rsid w:val="00220C45"/>
    <w:rsid w:val="00222D97"/>
    <w:rsid w:val="00223778"/>
    <w:rsid w:val="00223ADA"/>
    <w:rsid w:val="00224E84"/>
    <w:rsid w:val="002253C8"/>
    <w:rsid w:val="002267E7"/>
    <w:rsid w:val="00227BC3"/>
    <w:rsid w:val="00227F25"/>
    <w:rsid w:val="00231BFD"/>
    <w:rsid w:val="00232596"/>
    <w:rsid w:val="00234EDE"/>
    <w:rsid w:val="0023582E"/>
    <w:rsid w:val="002373EA"/>
    <w:rsid w:val="00237878"/>
    <w:rsid w:val="0024184C"/>
    <w:rsid w:val="00241C8F"/>
    <w:rsid w:val="002438ED"/>
    <w:rsid w:val="00244A9E"/>
    <w:rsid w:val="00245164"/>
    <w:rsid w:val="00246849"/>
    <w:rsid w:val="00247E33"/>
    <w:rsid w:val="00250127"/>
    <w:rsid w:val="0025023B"/>
    <w:rsid w:val="00252EEF"/>
    <w:rsid w:val="0025331A"/>
    <w:rsid w:val="00253B6C"/>
    <w:rsid w:val="00254651"/>
    <w:rsid w:val="00254901"/>
    <w:rsid w:val="0025543B"/>
    <w:rsid w:val="00255BAC"/>
    <w:rsid w:val="0025654B"/>
    <w:rsid w:val="00257981"/>
    <w:rsid w:val="002601C7"/>
    <w:rsid w:val="00261B97"/>
    <w:rsid w:val="002651EA"/>
    <w:rsid w:val="0027369F"/>
    <w:rsid w:val="00273700"/>
    <w:rsid w:val="00273B21"/>
    <w:rsid w:val="00275E03"/>
    <w:rsid w:val="00276377"/>
    <w:rsid w:val="00277D9D"/>
    <w:rsid w:val="00281C0B"/>
    <w:rsid w:val="00282251"/>
    <w:rsid w:val="0028269B"/>
    <w:rsid w:val="0028288E"/>
    <w:rsid w:val="00287A6F"/>
    <w:rsid w:val="00287CAE"/>
    <w:rsid w:val="00290EE2"/>
    <w:rsid w:val="00292062"/>
    <w:rsid w:val="002932D2"/>
    <w:rsid w:val="00294DDB"/>
    <w:rsid w:val="00294DF3"/>
    <w:rsid w:val="002957B7"/>
    <w:rsid w:val="00296ECE"/>
    <w:rsid w:val="002A0435"/>
    <w:rsid w:val="002A0BC1"/>
    <w:rsid w:val="002A166A"/>
    <w:rsid w:val="002A1AA4"/>
    <w:rsid w:val="002A3287"/>
    <w:rsid w:val="002A3EC2"/>
    <w:rsid w:val="002A6400"/>
    <w:rsid w:val="002A6535"/>
    <w:rsid w:val="002A669D"/>
    <w:rsid w:val="002B071C"/>
    <w:rsid w:val="002B1AD5"/>
    <w:rsid w:val="002B24D2"/>
    <w:rsid w:val="002B3EAE"/>
    <w:rsid w:val="002B4900"/>
    <w:rsid w:val="002B6364"/>
    <w:rsid w:val="002B7681"/>
    <w:rsid w:val="002B7F82"/>
    <w:rsid w:val="002C00D1"/>
    <w:rsid w:val="002C15A0"/>
    <w:rsid w:val="002C22CF"/>
    <w:rsid w:val="002C3AD4"/>
    <w:rsid w:val="002C3E23"/>
    <w:rsid w:val="002C3E35"/>
    <w:rsid w:val="002C3E51"/>
    <w:rsid w:val="002C49B1"/>
    <w:rsid w:val="002C4AC6"/>
    <w:rsid w:val="002C504B"/>
    <w:rsid w:val="002C743D"/>
    <w:rsid w:val="002D339C"/>
    <w:rsid w:val="002D36AB"/>
    <w:rsid w:val="002D3B2F"/>
    <w:rsid w:val="002D43A2"/>
    <w:rsid w:val="002D6A10"/>
    <w:rsid w:val="002D6BDB"/>
    <w:rsid w:val="002D744A"/>
    <w:rsid w:val="002D7D0E"/>
    <w:rsid w:val="002D7E38"/>
    <w:rsid w:val="002E024D"/>
    <w:rsid w:val="002E054E"/>
    <w:rsid w:val="002E06CA"/>
    <w:rsid w:val="002E0DBA"/>
    <w:rsid w:val="002E1075"/>
    <w:rsid w:val="002E42C4"/>
    <w:rsid w:val="002E4854"/>
    <w:rsid w:val="002E5019"/>
    <w:rsid w:val="002E5643"/>
    <w:rsid w:val="002E678E"/>
    <w:rsid w:val="002E708A"/>
    <w:rsid w:val="002E7635"/>
    <w:rsid w:val="002F06CE"/>
    <w:rsid w:val="002F5587"/>
    <w:rsid w:val="002F5FB0"/>
    <w:rsid w:val="002F741D"/>
    <w:rsid w:val="00300B84"/>
    <w:rsid w:val="00301852"/>
    <w:rsid w:val="00301A6D"/>
    <w:rsid w:val="0030247A"/>
    <w:rsid w:val="00303955"/>
    <w:rsid w:val="00303F18"/>
    <w:rsid w:val="003041BF"/>
    <w:rsid w:val="00304810"/>
    <w:rsid w:val="003055C3"/>
    <w:rsid w:val="003061FB"/>
    <w:rsid w:val="00306270"/>
    <w:rsid w:val="003075D3"/>
    <w:rsid w:val="0031008A"/>
    <w:rsid w:val="00310924"/>
    <w:rsid w:val="0031183F"/>
    <w:rsid w:val="0031259B"/>
    <w:rsid w:val="00312AC2"/>
    <w:rsid w:val="003132CE"/>
    <w:rsid w:val="00314298"/>
    <w:rsid w:val="0031471E"/>
    <w:rsid w:val="003149C1"/>
    <w:rsid w:val="00316B12"/>
    <w:rsid w:val="003176D3"/>
    <w:rsid w:val="00320B22"/>
    <w:rsid w:val="00321683"/>
    <w:rsid w:val="003228DE"/>
    <w:rsid w:val="003238F7"/>
    <w:rsid w:val="00323C8A"/>
    <w:rsid w:val="00326096"/>
    <w:rsid w:val="00326AE5"/>
    <w:rsid w:val="00330421"/>
    <w:rsid w:val="00331281"/>
    <w:rsid w:val="0033237E"/>
    <w:rsid w:val="003334FB"/>
    <w:rsid w:val="00333A5E"/>
    <w:rsid w:val="003344E7"/>
    <w:rsid w:val="0033592F"/>
    <w:rsid w:val="0033779C"/>
    <w:rsid w:val="00337AC6"/>
    <w:rsid w:val="00343524"/>
    <w:rsid w:val="00343A18"/>
    <w:rsid w:val="0034476B"/>
    <w:rsid w:val="00345EE5"/>
    <w:rsid w:val="0034606E"/>
    <w:rsid w:val="00346913"/>
    <w:rsid w:val="003469B5"/>
    <w:rsid w:val="00346CE0"/>
    <w:rsid w:val="0035018A"/>
    <w:rsid w:val="00354ABE"/>
    <w:rsid w:val="00356492"/>
    <w:rsid w:val="00357C6C"/>
    <w:rsid w:val="00360657"/>
    <w:rsid w:val="00362B12"/>
    <w:rsid w:val="003642CF"/>
    <w:rsid w:val="0036591D"/>
    <w:rsid w:val="00366AFE"/>
    <w:rsid w:val="00367B98"/>
    <w:rsid w:val="00367DBA"/>
    <w:rsid w:val="00370711"/>
    <w:rsid w:val="00371757"/>
    <w:rsid w:val="00372E81"/>
    <w:rsid w:val="00373F39"/>
    <w:rsid w:val="00374F73"/>
    <w:rsid w:val="0037530A"/>
    <w:rsid w:val="00375D4C"/>
    <w:rsid w:val="00375F30"/>
    <w:rsid w:val="00376F09"/>
    <w:rsid w:val="00380AC5"/>
    <w:rsid w:val="00380D03"/>
    <w:rsid w:val="00381115"/>
    <w:rsid w:val="00381382"/>
    <w:rsid w:val="003814A5"/>
    <w:rsid w:val="00381B26"/>
    <w:rsid w:val="00381F34"/>
    <w:rsid w:val="00382488"/>
    <w:rsid w:val="00382FEC"/>
    <w:rsid w:val="00385015"/>
    <w:rsid w:val="00385772"/>
    <w:rsid w:val="00385D0B"/>
    <w:rsid w:val="00385E45"/>
    <w:rsid w:val="00387734"/>
    <w:rsid w:val="00387A69"/>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18C"/>
    <w:rsid w:val="003A24AD"/>
    <w:rsid w:val="003A2C91"/>
    <w:rsid w:val="003A3623"/>
    <w:rsid w:val="003A3B51"/>
    <w:rsid w:val="003A40AD"/>
    <w:rsid w:val="003A5DC7"/>
    <w:rsid w:val="003A6163"/>
    <w:rsid w:val="003A6174"/>
    <w:rsid w:val="003A62EB"/>
    <w:rsid w:val="003A6532"/>
    <w:rsid w:val="003A66B2"/>
    <w:rsid w:val="003A6A32"/>
    <w:rsid w:val="003A6A8E"/>
    <w:rsid w:val="003A6B7C"/>
    <w:rsid w:val="003A7D7E"/>
    <w:rsid w:val="003B1693"/>
    <w:rsid w:val="003B32EC"/>
    <w:rsid w:val="003B3488"/>
    <w:rsid w:val="003B5E55"/>
    <w:rsid w:val="003B5F6A"/>
    <w:rsid w:val="003B623A"/>
    <w:rsid w:val="003B63BE"/>
    <w:rsid w:val="003B7B62"/>
    <w:rsid w:val="003C072B"/>
    <w:rsid w:val="003C0DFD"/>
    <w:rsid w:val="003C3D3D"/>
    <w:rsid w:val="003C40D8"/>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0D6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38BC"/>
    <w:rsid w:val="0040415A"/>
    <w:rsid w:val="00406AE2"/>
    <w:rsid w:val="0041036A"/>
    <w:rsid w:val="0041316A"/>
    <w:rsid w:val="00413794"/>
    <w:rsid w:val="004158F6"/>
    <w:rsid w:val="00415A66"/>
    <w:rsid w:val="00416A31"/>
    <w:rsid w:val="00416FF5"/>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D14"/>
    <w:rsid w:val="00433EC2"/>
    <w:rsid w:val="00434856"/>
    <w:rsid w:val="00434CD9"/>
    <w:rsid w:val="004352F7"/>
    <w:rsid w:val="0043554A"/>
    <w:rsid w:val="0043619D"/>
    <w:rsid w:val="004362D3"/>
    <w:rsid w:val="00437DC1"/>
    <w:rsid w:val="00440F95"/>
    <w:rsid w:val="00442246"/>
    <w:rsid w:val="004426EC"/>
    <w:rsid w:val="00442A8B"/>
    <w:rsid w:val="00442D1E"/>
    <w:rsid w:val="00443016"/>
    <w:rsid w:val="00444344"/>
    <w:rsid w:val="00445945"/>
    <w:rsid w:val="00450691"/>
    <w:rsid w:val="00450D9C"/>
    <w:rsid w:val="00450DDE"/>
    <w:rsid w:val="00452140"/>
    <w:rsid w:val="00453BB3"/>
    <w:rsid w:val="00453F94"/>
    <w:rsid w:val="004545A3"/>
    <w:rsid w:val="00454695"/>
    <w:rsid w:val="00454F4E"/>
    <w:rsid w:val="00455D5E"/>
    <w:rsid w:val="00457427"/>
    <w:rsid w:val="0045789E"/>
    <w:rsid w:val="00457C1C"/>
    <w:rsid w:val="004619FE"/>
    <w:rsid w:val="00462679"/>
    <w:rsid w:val="00462B45"/>
    <w:rsid w:val="00463574"/>
    <w:rsid w:val="00464762"/>
    <w:rsid w:val="00466057"/>
    <w:rsid w:val="004666F3"/>
    <w:rsid w:val="00467343"/>
    <w:rsid w:val="0047031A"/>
    <w:rsid w:val="00471A6D"/>
    <w:rsid w:val="004720AD"/>
    <w:rsid w:val="0047322E"/>
    <w:rsid w:val="004741BD"/>
    <w:rsid w:val="00474978"/>
    <w:rsid w:val="004757CE"/>
    <w:rsid w:val="00475FA3"/>
    <w:rsid w:val="00476F80"/>
    <w:rsid w:val="00480F68"/>
    <w:rsid w:val="00481C20"/>
    <w:rsid w:val="00483B86"/>
    <w:rsid w:val="00485293"/>
    <w:rsid w:val="00485773"/>
    <w:rsid w:val="00485E47"/>
    <w:rsid w:val="00486DB6"/>
    <w:rsid w:val="00490499"/>
    <w:rsid w:val="00492273"/>
    <w:rsid w:val="00494206"/>
    <w:rsid w:val="00497AB8"/>
    <w:rsid w:val="004A2579"/>
    <w:rsid w:val="004A2EE3"/>
    <w:rsid w:val="004A4356"/>
    <w:rsid w:val="004A5EEF"/>
    <w:rsid w:val="004A7EC2"/>
    <w:rsid w:val="004B0B1D"/>
    <w:rsid w:val="004B32C2"/>
    <w:rsid w:val="004B3C41"/>
    <w:rsid w:val="004B6792"/>
    <w:rsid w:val="004C0738"/>
    <w:rsid w:val="004C0D20"/>
    <w:rsid w:val="004C0DBB"/>
    <w:rsid w:val="004C0FE6"/>
    <w:rsid w:val="004C10F5"/>
    <w:rsid w:val="004C20F1"/>
    <w:rsid w:val="004C212C"/>
    <w:rsid w:val="004C253C"/>
    <w:rsid w:val="004C2FC4"/>
    <w:rsid w:val="004C30C9"/>
    <w:rsid w:val="004D0B68"/>
    <w:rsid w:val="004D0F95"/>
    <w:rsid w:val="004D232B"/>
    <w:rsid w:val="004D3010"/>
    <w:rsid w:val="004D3ABB"/>
    <w:rsid w:val="004D4A6B"/>
    <w:rsid w:val="004D7342"/>
    <w:rsid w:val="004E1476"/>
    <w:rsid w:val="004E403D"/>
    <w:rsid w:val="004E4946"/>
    <w:rsid w:val="004E5D38"/>
    <w:rsid w:val="004E603B"/>
    <w:rsid w:val="004E626B"/>
    <w:rsid w:val="004E6850"/>
    <w:rsid w:val="004E6C7D"/>
    <w:rsid w:val="004F0105"/>
    <w:rsid w:val="004F0C4A"/>
    <w:rsid w:val="004F13BD"/>
    <w:rsid w:val="004F3C4D"/>
    <w:rsid w:val="004F478F"/>
    <w:rsid w:val="004F489D"/>
    <w:rsid w:val="00500925"/>
    <w:rsid w:val="00501246"/>
    <w:rsid w:val="00502263"/>
    <w:rsid w:val="0050230D"/>
    <w:rsid w:val="0050364D"/>
    <w:rsid w:val="00503D17"/>
    <w:rsid w:val="00504D6E"/>
    <w:rsid w:val="0050598D"/>
    <w:rsid w:val="00506BA0"/>
    <w:rsid w:val="005116FB"/>
    <w:rsid w:val="00511D6F"/>
    <w:rsid w:val="00512576"/>
    <w:rsid w:val="00514B75"/>
    <w:rsid w:val="00515D44"/>
    <w:rsid w:val="00521D69"/>
    <w:rsid w:val="00531AFF"/>
    <w:rsid w:val="00532875"/>
    <w:rsid w:val="00532E9D"/>
    <w:rsid w:val="0053417F"/>
    <w:rsid w:val="00534305"/>
    <w:rsid w:val="0053691B"/>
    <w:rsid w:val="00536AEE"/>
    <w:rsid w:val="00537BA3"/>
    <w:rsid w:val="00537FF8"/>
    <w:rsid w:val="00540ED5"/>
    <w:rsid w:val="00542913"/>
    <w:rsid w:val="005430E0"/>
    <w:rsid w:val="00543516"/>
    <w:rsid w:val="005464E6"/>
    <w:rsid w:val="00546938"/>
    <w:rsid w:val="00547962"/>
    <w:rsid w:val="00547ACF"/>
    <w:rsid w:val="00551C58"/>
    <w:rsid w:val="005525C7"/>
    <w:rsid w:val="00552639"/>
    <w:rsid w:val="0055278C"/>
    <w:rsid w:val="00554D3F"/>
    <w:rsid w:val="00555557"/>
    <w:rsid w:val="00557927"/>
    <w:rsid w:val="00557AA8"/>
    <w:rsid w:val="00557B17"/>
    <w:rsid w:val="00561126"/>
    <w:rsid w:val="00561296"/>
    <w:rsid w:val="005666D7"/>
    <w:rsid w:val="00566916"/>
    <w:rsid w:val="00566F71"/>
    <w:rsid w:val="00567EBC"/>
    <w:rsid w:val="00567FC5"/>
    <w:rsid w:val="00571CCF"/>
    <w:rsid w:val="00572180"/>
    <w:rsid w:val="00572337"/>
    <w:rsid w:val="00572616"/>
    <w:rsid w:val="00573FFE"/>
    <w:rsid w:val="00575FC3"/>
    <w:rsid w:val="0057625C"/>
    <w:rsid w:val="00576743"/>
    <w:rsid w:val="005771D5"/>
    <w:rsid w:val="00577469"/>
    <w:rsid w:val="0058066B"/>
    <w:rsid w:val="0058099B"/>
    <w:rsid w:val="00580B98"/>
    <w:rsid w:val="00581784"/>
    <w:rsid w:val="005836A3"/>
    <w:rsid w:val="00583CBA"/>
    <w:rsid w:val="00584453"/>
    <w:rsid w:val="00586771"/>
    <w:rsid w:val="00591838"/>
    <w:rsid w:val="00591C28"/>
    <w:rsid w:val="00592809"/>
    <w:rsid w:val="0059332D"/>
    <w:rsid w:val="00593343"/>
    <w:rsid w:val="00594A83"/>
    <w:rsid w:val="005960FE"/>
    <w:rsid w:val="005A0C78"/>
    <w:rsid w:val="005A1518"/>
    <w:rsid w:val="005A4807"/>
    <w:rsid w:val="005A5A80"/>
    <w:rsid w:val="005A69BE"/>
    <w:rsid w:val="005A782B"/>
    <w:rsid w:val="005A7DE5"/>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0D97"/>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7CF"/>
    <w:rsid w:val="005F3E9D"/>
    <w:rsid w:val="005F3FC6"/>
    <w:rsid w:val="005F4CFC"/>
    <w:rsid w:val="005F4DD3"/>
    <w:rsid w:val="005F75C4"/>
    <w:rsid w:val="006002BF"/>
    <w:rsid w:val="00600301"/>
    <w:rsid w:val="006008D1"/>
    <w:rsid w:val="00603CC2"/>
    <w:rsid w:val="006064F8"/>
    <w:rsid w:val="0060759A"/>
    <w:rsid w:val="006101CF"/>
    <w:rsid w:val="00611ADA"/>
    <w:rsid w:val="00611E18"/>
    <w:rsid w:val="00611FC0"/>
    <w:rsid w:val="00613A4A"/>
    <w:rsid w:val="00614157"/>
    <w:rsid w:val="00614A2A"/>
    <w:rsid w:val="00614ECD"/>
    <w:rsid w:val="0061767A"/>
    <w:rsid w:val="00622016"/>
    <w:rsid w:val="006231D7"/>
    <w:rsid w:val="00624A71"/>
    <w:rsid w:val="00626031"/>
    <w:rsid w:val="00630C6C"/>
    <w:rsid w:val="00630ED2"/>
    <w:rsid w:val="00631935"/>
    <w:rsid w:val="00631BEB"/>
    <w:rsid w:val="00633332"/>
    <w:rsid w:val="0063475C"/>
    <w:rsid w:val="00636B91"/>
    <w:rsid w:val="006373FF"/>
    <w:rsid w:val="00637833"/>
    <w:rsid w:val="00641AC4"/>
    <w:rsid w:val="006423DF"/>
    <w:rsid w:val="0064541C"/>
    <w:rsid w:val="00646237"/>
    <w:rsid w:val="00646A6F"/>
    <w:rsid w:val="00653397"/>
    <w:rsid w:val="006535C3"/>
    <w:rsid w:val="006537CB"/>
    <w:rsid w:val="00653BA7"/>
    <w:rsid w:val="006553CD"/>
    <w:rsid w:val="006559F5"/>
    <w:rsid w:val="0065752A"/>
    <w:rsid w:val="00657CE4"/>
    <w:rsid w:val="00660C99"/>
    <w:rsid w:val="00661782"/>
    <w:rsid w:val="006622A6"/>
    <w:rsid w:val="00662C11"/>
    <w:rsid w:val="0066570F"/>
    <w:rsid w:val="00672822"/>
    <w:rsid w:val="006729D2"/>
    <w:rsid w:val="00673B07"/>
    <w:rsid w:val="00673BC6"/>
    <w:rsid w:val="00674D70"/>
    <w:rsid w:val="006775B3"/>
    <w:rsid w:val="00683FA2"/>
    <w:rsid w:val="00684808"/>
    <w:rsid w:val="0068483E"/>
    <w:rsid w:val="00685B85"/>
    <w:rsid w:val="00687967"/>
    <w:rsid w:val="00687C63"/>
    <w:rsid w:val="00690F72"/>
    <w:rsid w:val="00694B7D"/>
    <w:rsid w:val="00695FE4"/>
    <w:rsid w:val="006A0F95"/>
    <w:rsid w:val="006A23BF"/>
    <w:rsid w:val="006A427F"/>
    <w:rsid w:val="006A46ED"/>
    <w:rsid w:val="006A485A"/>
    <w:rsid w:val="006A4C69"/>
    <w:rsid w:val="006A516C"/>
    <w:rsid w:val="006A6B80"/>
    <w:rsid w:val="006B0685"/>
    <w:rsid w:val="006B1301"/>
    <w:rsid w:val="006B2D92"/>
    <w:rsid w:val="006B2FEF"/>
    <w:rsid w:val="006B4B31"/>
    <w:rsid w:val="006B6581"/>
    <w:rsid w:val="006B6D6C"/>
    <w:rsid w:val="006B77B3"/>
    <w:rsid w:val="006B7E68"/>
    <w:rsid w:val="006C033D"/>
    <w:rsid w:val="006C1316"/>
    <w:rsid w:val="006C20C5"/>
    <w:rsid w:val="006C5DED"/>
    <w:rsid w:val="006C5ECD"/>
    <w:rsid w:val="006D1520"/>
    <w:rsid w:val="006D2482"/>
    <w:rsid w:val="006D2E02"/>
    <w:rsid w:val="006D2F0C"/>
    <w:rsid w:val="006D3604"/>
    <w:rsid w:val="006D416D"/>
    <w:rsid w:val="006D4C4D"/>
    <w:rsid w:val="006D536E"/>
    <w:rsid w:val="006D5EB4"/>
    <w:rsid w:val="006D6E23"/>
    <w:rsid w:val="006E2082"/>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3DC5"/>
    <w:rsid w:val="007040F2"/>
    <w:rsid w:val="007049DF"/>
    <w:rsid w:val="00705DFA"/>
    <w:rsid w:val="007061B6"/>
    <w:rsid w:val="00710DAC"/>
    <w:rsid w:val="007120EE"/>
    <w:rsid w:val="0071279F"/>
    <w:rsid w:val="007153C5"/>
    <w:rsid w:val="007161D3"/>
    <w:rsid w:val="00720C35"/>
    <w:rsid w:val="00720E7B"/>
    <w:rsid w:val="007211D2"/>
    <w:rsid w:val="00721A37"/>
    <w:rsid w:val="0072232C"/>
    <w:rsid w:val="00725676"/>
    <w:rsid w:val="007262F0"/>
    <w:rsid w:val="00727BE9"/>
    <w:rsid w:val="007314F1"/>
    <w:rsid w:val="00731BE9"/>
    <w:rsid w:val="00731E2B"/>
    <w:rsid w:val="00733C32"/>
    <w:rsid w:val="007359F8"/>
    <w:rsid w:val="007366D2"/>
    <w:rsid w:val="00736B34"/>
    <w:rsid w:val="007420D7"/>
    <w:rsid w:val="00745145"/>
    <w:rsid w:val="0074545C"/>
    <w:rsid w:val="0074742D"/>
    <w:rsid w:val="00752DBC"/>
    <w:rsid w:val="00753B2E"/>
    <w:rsid w:val="00753DC5"/>
    <w:rsid w:val="00753FF4"/>
    <w:rsid w:val="0075411D"/>
    <w:rsid w:val="00755CB1"/>
    <w:rsid w:val="00756116"/>
    <w:rsid w:val="00756F8A"/>
    <w:rsid w:val="00757367"/>
    <w:rsid w:val="007601AF"/>
    <w:rsid w:val="00760295"/>
    <w:rsid w:val="00760998"/>
    <w:rsid w:val="00760B97"/>
    <w:rsid w:val="00760CC2"/>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18F1"/>
    <w:rsid w:val="00782502"/>
    <w:rsid w:val="00782847"/>
    <w:rsid w:val="00783777"/>
    <w:rsid w:val="00783D20"/>
    <w:rsid w:val="007844FB"/>
    <w:rsid w:val="00785232"/>
    <w:rsid w:val="0078549A"/>
    <w:rsid w:val="007862D0"/>
    <w:rsid w:val="00786300"/>
    <w:rsid w:val="00787100"/>
    <w:rsid w:val="00787CDA"/>
    <w:rsid w:val="00791047"/>
    <w:rsid w:val="007921E4"/>
    <w:rsid w:val="0079247D"/>
    <w:rsid w:val="00794F2D"/>
    <w:rsid w:val="007954D3"/>
    <w:rsid w:val="00796159"/>
    <w:rsid w:val="00797AAD"/>
    <w:rsid w:val="007A02C6"/>
    <w:rsid w:val="007A2F02"/>
    <w:rsid w:val="007A5127"/>
    <w:rsid w:val="007A5C51"/>
    <w:rsid w:val="007A68C0"/>
    <w:rsid w:val="007B12C5"/>
    <w:rsid w:val="007B18E8"/>
    <w:rsid w:val="007B1C32"/>
    <w:rsid w:val="007B25FF"/>
    <w:rsid w:val="007B2A03"/>
    <w:rsid w:val="007B2D5B"/>
    <w:rsid w:val="007B41D7"/>
    <w:rsid w:val="007B470C"/>
    <w:rsid w:val="007B70B5"/>
    <w:rsid w:val="007C0DB7"/>
    <w:rsid w:val="007C1A7D"/>
    <w:rsid w:val="007C1F6C"/>
    <w:rsid w:val="007C4094"/>
    <w:rsid w:val="007C45C5"/>
    <w:rsid w:val="007C608D"/>
    <w:rsid w:val="007D2317"/>
    <w:rsid w:val="007D29EC"/>
    <w:rsid w:val="007D50AE"/>
    <w:rsid w:val="007D516C"/>
    <w:rsid w:val="007E1EA6"/>
    <w:rsid w:val="007E2FDE"/>
    <w:rsid w:val="007E4C1F"/>
    <w:rsid w:val="007E50CC"/>
    <w:rsid w:val="007E6851"/>
    <w:rsid w:val="007E6943"/>
    <w:rsid w:val="007F0204"/>
    <w:rsid w:val="007F0E24"/>
    <w:rsid w:val="007F15FD"/>
    <w:rsid w:val="007F3879"/>
    <w:rsid w:val="007F5C3C"/>
    <w:rsid w:val="007F5C58"/>
    <w:rsid w:val="007F6449"/>
    <w:rsid w:val="007F6674"/>
    <w:rsid w:val="00801CA5"/>
    <w:rsid w:val="00805C8C"/>
    <w:rsid w:val="0080630B"/>
    <w:rsid w:val="00806AB5"/>
    <w:rsid w:val="00807142"/>
    <w:rsid w:val="008074E3"/>
    <w:rsid w:val="00807802"/>
    <w:rsid w:val="0080799C"/>
    <w:rsid w:val="00810C18"/>
    <w:rsid w:val="00813ACD"/>
    <w:rsid w:val="00813DF6"/>
    <w:rsid w:val="00814421"/>
    <w:rsid w:val="00814AFC"/>
    <w:rsid w:val="00814B22"/>
    <w:rsid w:val="00817B14"/>
    <w:rsid w:val="0082279D"/>
    <w:rsid w:val="00822862"/>
    <w:rsid w:val="00822C92"/>
    <w:rsid w:val="0082350A"/>
    <w:rsid w:val="00823765"/>
    <w:rsid w:val="00824346"/>
    <w:rsid w:val="00824797"/>
    <w:rsid w:val="008247F1"/>
    <w:rsid w:val="0082597B"/>
    <w:rsid w:val="00826ED9"/>
    <w:rsid w:val="00830A11"/>
    <w:rsid w:val="00831653"/>
    <w:rsid w:val="00831A5D"/>
    <w:rsid w:val="00831DB4"/>
    <w:rsid w:val="00835C08"/>
    <w:rsid w:val="008365EC"/>
    <w:rsid w:val="00836E98"/>
    <w:rsid w:val="00837390"/>
    <w:rsid w:val="00840A8F"/>
    <w:rsid w:val="00844176"/>
    <w:rsid w:val="00844A32"/>
    <w:rsid w:val="00844BF8"/>
    <w:rsid w:val="00846A9D"/>
    <w:rsid w:val="008503CA"/>
    <w:rsid w:val="00852BA6"/>
    <w:rsid w:val="0085308E"/>
    <w:rsid w:val="0085318D"/>
    <w:rsid w:val="008547B4"/>
    <w:rsid w:val="008565FB"/>
    <w:rsid w:val="008577FA"/>
    <w:rsid w:val="00861168"/>
    <w:rsid w:val="00862580"/>
    <w:rsid w:val="00862745"/>
    <w:rsid w:val="00862834"/>
    <w:rsid w:val="00870E97"/>
    <w:rsid w:val="00871516"/>
    <w:rsid w:val="00871E2F"/>
    <w:rsid w:val="00874C1B"/>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BF6"/>
    <w:rsid w:val="00895E41"/>
    <w:rsid w:val="008962E3"/>
    <w:rsid w:val="0089734D"/>
    <w:rsid w:val="008A0A32"/>
    <w:rsid w:val="008A0D08"/>
    <w:rsid w:val="008A1056"/>
    <w:rsid w:val="008A3637"/>
    <w:rsid w:val="008A4911"/>
    <w:rsid w:val="008A50CB"/>
    <w:rsid w:val="008A7CC5"/>
    <w:rsid w:val="008A7E11"/>
    <w:rsid w:val="008B0720"/>
    <w:rsid w:val="008B1C5A"/>
    <w:rsid w:val="008B1CC3"/>
    <w:rsid w:val="008B1DB2"/>
    <w:rsid w:val="008B206C"/>
    <w:rsid w:val="008B34AA"/>
    <w:rsid w:val="008B4335"/>
    <w:rsid w:val="008B5413"/>
    <w:rsid w:val="008B56DF"/>
    <w:rsid w:val="008B5B2C"/>
    <w:rsid w:val="008B5EFB"/>
    <w:rsid w:val="008B6988"/>
    <w:rsid w:val="008B69DC"/>
    <w:rsid w:val="008C10A8"/>
    <w:rsid w:val="008C4552"/>
    <w:rsid w:val="008C4728"/>
    <w:rsid w:val="008C6F73"/>
    <w:rsid w:val="008C7959"/>
    <w:rsid w:val="008D3653"/>
    <w:rsid w:val="008D4F09"/>
    <w:rsid w:val="008D539E"/>
    <w:rsid w:val="008D65D5"/>
    <w:rsid w:val="008D75EB"/>
    <w:rsid w:val="008D7F23"/>
    <w:rsid w:val="008E12FB"/>
    <w:rsid w:val="008E1F57"/>
    <w:rsid w:val="008E5D85"/>
    <w:rsid w:val="008E623A"/>
    <w:rsid w:val="008E751B"/>
    <w:rsid w:val="008F2921"/>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1504"/>
    <w:rsid w:val="00921E12"/>
    <w:rsid w:val="00922352"/>
    <w:rsid w:val="00924FE5"/>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6218"/>
    <w:rsid w:val="00956C4B"/>
    <w:rsid w:val="00957E64"/>
    <w:rsid w:val="00961605"/>
    <w:rsid w:val="009620C5"/>
    <w:rsid w:val="00963C88"/>
    <w:rsid w:val="00965995"/>
    <w:rsid w:val="00965DED"/>
    <w:rsid w:val="00966814"/>
    <w:rsid w:val="00970D58"/>
    <w:rsid w:val="00973167"/>
    <w:rsid w:val="00976450"/>
    <w:rsid w:val="00980174"/>
    <w:rsid w:val="00981A42"/>
    <w:rsid w:val="00985A6C"/>
    <w:rsid w:val="00991E45"/>
    <w:rsid w:val="009921E3"/>
    <w:rsid w:val="0099282E"/>
    <w:rsid w:val="00993596"/>
    <w:rsid w:val="009A00EB"/>
    <w:rsid w:val="009A01FD"/>
    <w:rsid w:val="009A0CC6"/>
    <w:rsid w:val="009A3668"/>
    <w:rsid w:val="009A6766"/>
    <w:rsid w:val="009A692C"/>
    <w:rsid w:val="009A7E10"/>
    <w:rsid w:val="009B0239"/>
    <w:rsid w:val="009B1CEB"/>
    <w:rsid w:val="009B2576"/>
    <w:rsid w:val="009B3508"/>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257"/>
    <w:rsid w:val="009C45DC"/>
    <w:rsid w:val="009C5640"/>
    <w:rsid w:val="009C641F"/>
    <w:rsid w:val="009C7F6E"/>
    <w:rsid w:val="009D0A96"/>
    <w:rsid w:val="009D1051"/>
    <w:rsid w:val="009D2037"/>
    <w:rsid w:val="009D3F87"/>
    <w:rsid w:val="009D43B2"/>
    <w:rsid w:val="009E03F3"/>
    <w:rsid w:val="009E401F"/>
    <w:rsid w:val="009E5C84"/>
    <w:rsid w:val="009E5FB1"/>
    <w:rsid w:val="009E696E"/>
    <w:rsid w:val="009F0613"/>
    <w:rsid w:val="009F0FC9"/>
    <w:rsid w:val="009F1A7E"/>
    <w:rsid w:val="009F3DC0"/>
    <w:rsid w:val="009F7FFA"/>
    <w:rsid w:val="00A03E32"/>
    <w:rsid w:val="00A075B0"/>
    <w:rsid w:val="00A07E66"/>
    <w:rsid w:val="00A11259"/>
    <w:rsid w:val="00A12B76"/>
    <w:rsid w:val="00A13FC8"/>
    <w:rsid w:val="00A14369"/>
    <w:rsid w:val="00A154D5"/>
    <w:rsid w:val="00A15993"/>
    <w:rsid w:val="00A2067E"/>
    <w:rsid w:val="00A20B99"/>
    <w:rsid w:val="00A21F19"/>
    <w:rsid w:val="00A2271B"/>
    <w:rsid w:val="00A229AC"/>
    <w:rsid w:val="00A23E8B"/>
    <w:rsid w:val="00A2429F"/>
    <w:rsid w:val="00A25225"/>
    <w:rsid w:val="00A26607"/>
    <w:rsid w:val="00A26676"/>
    <w:rsid w:val="00A267B2"/>
    <w:rsid w:val="00A27A02"/>
    <w:rsid w:val="00A27FF6"/>
    <w:rsid w:val="00A300B4"/>
    <w:rsid w:val="00A30DAB"/>
    <w:rsid w:val="00A3172A"/>
    <w:rsid w:val="00A32A3F"/>
    <w:rsid w:val="00A337C5"/>
    <w:rsid w:val="00A33B10"/>
    <w:rsid w:val="00A33C43"/>
    <w:rsid w:val="00A340FB"/>
    <w:rsid w:val="00A34C17"/>
    <w:rsid w:val="00A34EAB"/>
    <w:rsid w:val="00A37CD5"/>
    <w:rsid w:val="00A40349"/>
    <w:rsid w:val="00A41560"/>
    <w:rsid w:val="00A41FB2"/>
    <w:rsid w:val="00A43105"/>
    <w:rsid w:val="00A43A02"/>
    <w:rsid w:val="00A451AE"/>
    <w:rsid w:val="00A468F1"/>
    <w:rsid w:val="00A46F10"/>
    <w:rsid w:val="00A471D7"/>
    <w:rsid w:val="00A47CEA"/>
    <w:rsid w:val="00A5065C"/>
    <w:rsid w:val="00A52A4F"/>
    <w:rsid w:val="00A541ED"/>
    <w:rsid w:val="00A5551D"/>
    <w:rsid w:val="00A556E0"/>
    <w:rsid w:val="00A562DC"/>
    <w:rsid w:val="00A56E11"/>
    <w:rsid w:val="00A56E9B"/>
    <w:rsid w:val="00A56F27"/>
    <w:rsid w:val="00A57518"/>
    <w:rsid w:val="00A57E77"/>
    <w:rsid w:val="00A60BA2"/>
    <w:rsid w:val="00A60C80"/>
    <w:rsid w:val="00A61231"/>
    <w:rsid w:val="00A613FE"/>
    <w:rsid w:val="00A662C8"/>
    <w:rsid w:val="00A66F1F"/>
    <w:rsid w:val="00A71824"/>
    <w:rsid w:val="00A718EE"/>
    <w:rsid w:val="00A73448"/>
    <w:rsid w:val="00A76C0A"/>
    <w:rsid w:val="00A82EF2"/>
    <w:rsid w:val="00A84412"/>
    <w:rsid w:val="00A8518E"/>
    <w:rsid w:val="00A86F1C"/>
    <w:rsid w:val="00A9174A"/>
    <w:rsid w:val="00A92A07"/>
    <w:rsid w:val="00A93054"/>
    <w:rsid w:val="00A9317F"/>
    <w:rsid w:val="00A93A17"/>
    <w:rsid w:val="00A94B68"/>
    <w:rsid w:val="00A969CC"/>
    <w:rsid w:val="00A96C8D"/>
    <w:rsid w:val="00A9708B"/>
    <w:rsid w:val="00AA2DCA"/>
    <w:rsid w:val="00AA34A6"/>
    <w:rsid w:val="00AA3A72"/>
    <w:rsid w:val="00AA45BA"/>
    <w:rsid w:val="00AA6BD3"/>
    <w:rsid w:val="00AA75C7"/>
    <w:rsid w:val="00AB3EB4"/>
    <w:rsid w:val="00AB4677"/>
    <w:rsid w:val="00AB6AE8"/>
    <w:rsid w:val="00AC16D2"/>
    <w:rsid w:val="00AC24BD"/>
    <w:rsid w:val="00AC5779"/>
    <w:rsid w:val="00AD146F"/>
    <w:rsid w:val="00AD3391"/>
    <w:rsid w:val="00AD3789"/>
    <w:rsid w:val="00AD3D79"/>
    <w:rsid w:val="00AD4417"/>
    <w:rsid w:val="00AD48AA"/>
    <w:rsid w:val="00AD5B91"/>
    <w:rsid w:val="00AD5C75"/>
    <w:rsid w:val="00AD6AEF"/>
    <w:rsid w:val="00AE0055"/>
    <w:rsid w:val="00AE01F5"/>
    <w:rsid w:val="00AE091D"/>
    <w:rsid w:val="00AE3B88"/>
    <w:rsid w:val="00AE4C8F"/>
    <w:rsid w:val="00AE5675"/>
    <w:rsid w:val="00AE57EC"/>
    <w:rsid w:val="00AE64F9"/>
    <w:rsid w:val="00AF1B01"/>
    <w:rsid w:val="00AF1C04"/>
    <w:rsid w:val="00AF2547"/>
    <w:rsid w:val="00AF254A"/>
    <w:rsid w:val="00AF36C9"/>
    <w:rsid w:val="00AF5053"/>
    <w:rsid w:val="00AF5DF5"/>
    <w:rsid w:val="00AF755E"/>
    <w:rsid w:val="00B02C46"/>
    <w:rsid w:val="00B02EDD"/>
    <w:rsid w:val="00B039A0"/>
    <w:rsid w:val="00B04603"/>
    <w:rsid w:val="00B0569D"/>
    <w:rsid w:val="00B070DA"/>
    <w:rsid w:val="00B1092B"/>
    <w:rsid w:val="00B10B94"/>
    <w:rsid w:val="00B10BDA"/>
    <w:rsid w:val="00B111A5"/>
    <w:rsid w:val="00B117F2"/>
    <w:rsid w:val="00B12313"/>
    <w:rsid w:val="00B13379"/>
    <w:rsid w:val="00B13C6F"/>
    <w:rsid w:val="00B14D75"/>
    <w:rsid w:val="00B15DBA"/>
    <w:rsid w:val="00B16A95"/>
    <w:rsid w:val="00B22432"/>
    <w:rsid w:val="00B2297A"/>
    <w:rsid w:val="00B230F6"/>
    <w:rsid w:val="00B234DB"/>
    <w:rsid w:val="00B26202"/>
    <w:rsid w:val="00B300C7"/>
    <w:rsid w:val="00B30CFE"/>
    <w:rsid w:val="00B313B7"/>
    <w:rsid w:val="00B32793"/>
    <w:rsid w:val="00B33D89"/>
    <w:rsid w:val="00B34F7D"/>
    <w:rsid w:val="00B355D9"/>
    <w:rsid w:val="00B404B6"/>
    <w:rsid w:val="00B40525"/>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171F"/>
    <w:rsid w:val="00B618A9"/>
    <w:rsid w:val="00B621AF"/>
    <w:rsid w:val="00B6475A"/>
    <w:rsid w:val="00B652FE"/>
    <w:rsid w:val="00B65A0A"/>
    <w:rsid w:val="00B65CF6"/>
    <w:rsid w:val="00B65FCF"/>
    <w:rsid w:val="00B66C55"/>
    <w:rsid w:val="00B700CC"/>
    <w:rsid w:val="00B70D5E"/>
    <w:rsid w:val="00B719D3"/>
    <w:rsid w:val="00B7213C"/>
    <w:rsid w:val="00B7246E"/>
    <w:rsid w:val="00B7247E"/>
    <w:rsid w:val="00B74B38"/>
    <w:rsid w:val="00B758FC"/>
    <w:rsid w:val="00B762A0"/>
    <w:rsid w:val="00B76FBA"/>
    <w:rsid w:val="00B77E56"/>
    <w:rsid w:val="00B80371"/>
    <w:rsid w:val="00B8269F"/>
    <w:rsid w:val="00B837AE"/>
    <w:rsid w:val="00B83EED"/>
    <w:rsid w:val="00B85597"/>
    <w:rsid w:val="00B85A89"/>
    <w:rsid w:val="00B868AD"/>
    <w:rsid w:val="00B86DD0"/>
    <w:rsid w:val="00B90822"/>
    <w:rsid w:val="00B90DFE"/>
    <w:rsid w:val="00B91B04"/>
    <w:rsid w:val="00B91C8A"/>
    <w:rsid w:val="00B9742D"/>
    <w:rsid w:val="00BA131A"/>
    <w:rsid w:val="00BA2274"/>
    <w:rsid w:val="00BA549E"/>
    <w:rsid w:val="00BA7BF3"/>
    <w:rsid w:val="00BB0042"/>
    <w:rsid w:val="00BB0BAA"/>
    <w:rsid w:val="00BB1EA2"/>
    <w:rsid w:val="00BB3437"/>
    <w:rsid w:val="00BB480B"/>
    <w:rsid w:val="00BB4E62"/>
    <w:rsid w:val="00BB55EA"/>
    <w:rsid w:val="00BB6326"/>
    <w:rsid w:val="00BB7389"/>
    <w:rsid w:val="00BB7D03"/>
    <w:rsid w:val="00BC1411"/>
    <w:rsid w:val="00BC31E7"/>
    <w:rsid w:val="00BC384D"/>
    <w:rsid w:val="00BC3E8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AF"/>
    <w:rsid w:val="00C054A9"/>
    <w:rsid w:val="00C05DCC"/>
    <w:rsid w:val="00C05EF2"/>
    <w:rsid w:val="00C07585"/>
    <w:rsid w:val="00C10ACD"/>
    <w:rsid w:val="00C11685"/>
    <w:rsid w:val="00C1189F"/>
    <w:rsid w:val="00C12263"/>
    <w:rsid w:val="00C12CF8"/>
    <w:rsid w:val="00C136CD"/>
    <w:rsid w:val="00C13D67"/>
    <w:rsid w:val="00C14903"/>
    <w:rsid w:val="00C151DF"/>
    <w:rsid w:val="00C1563D"/>
    <w:rsid w:val="00C15EB7"/>
    <w:rsid w:val="00C1626D"/>
    <w:rsid w:val="00C175FA"/>
    <w:rsid w:val="00C17A3E"/>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28B0"/>
    <w:rsid w:val="00C32C97"/>
    <w:rsid w:val="00C32DF0"/>
    <w:rsid w:val="00C33A18"/>
    <w:rsid w:val="00C3507C"/>
    <w:rsid w:val="00C353F8"/>
    <w:rsid w:val="00C35A54"/>
    <w:rsid w:val="00C3732D"/>
    <w:rsid w:val="00C416DB"/>
    <w:rsid w:val="00C420F9"/>
    <w:rsid w:val="00C423B7"/>
    <w:rsid w:val="00C42887"/>
    <w:rsid w:val="00C42ACD"/>
    <w:rsid w:val="00C42C49"/>
    <w:rsid w:val="00C44178"/>
    <w:rsid w:val="00C446A5"/>
    <w:rsid w:val="00C45150"/>
    <w:rsid w:val="00C46737"/>
    <w:rsid w:val="00C52004"/>
    <w:rsid w:val="00C546C5"/>
    <w:rsid w:val="00C56C9E"/>
    <w:rsid w:val="00C62D9D"/>
    <w:rsid w:val="00C6333E"/>
    <w:rsid w:val="00C633A8"/>
    <w:rsid w:val="00C64DE5"/>
    <w:rsid w:val="00C65AAE"/>
    <w:rsid w:val="00C66A4D"/>
    <w:rsid w:val="00C703A0"/>
    <w:rsid w:val="00C7141D"/>
    <w:rsid w:val="00C72945"/>
    <w:rsid w:val="00C7336A"/>
    <w:rsid w:val="00C75E3A"/>
    <w:rsid w:val="00C77378"/>
    <w:rsid w:val="00C77469"/>
    <w:rsid w:val="00C77C68"/>
    <w:rsid w:val="00C77E1B"/>
    <w:rsid w:val="00C82E0E"/>
    <w:rsid w:val="00C82FA2"/>
    <w:rsid w:val="00C85115"/>
    <w:rsid w:val="00C858DF"/>
    <w:rsid w:val="00C86896"/>
    <w:rsid w:val="00C869FA"/>
    <w:rsid w:val="00C86AE5"/>
    <w:rsid w:val="00C86B0C"/>
    <w:rsid w:val="00C87C40"/>
    <w:rsid w:val="00C90148"/>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6195"/>
    <w:rsid w:val="00CC7F65"/>
    <w:rsid w:val="00CD0F55"/>
    <w:rsid w:val="00CD1C12"/>
    <w:rsid w:val="00CD1D66"/>
    <w:rsid w:val="00CD1F7F"/>
    <w:rsid w:val="00CD2774"/>
    <w:rsid w:val="00CD2B6A"/>
    <w:rsid w:val="00CD5FCA"/>
    <w:rsid w:val="00CD7CCA"/>
    <w:rsid w:val="00CE0AC5"/>
    <w:rsid w:val="00CE1DD6"/>
    <w:rsid w:val="00CE261F"/>
    <w:rsid w:val="00CE35E1"/>
    <w:rsid w:val="00CE399B"/>
    <w:rsid w:val="00CE5541"/>
    <w:rsid w:val="00CE5C53"/>
    <w:rsid w:val="00CF0573"/>
    <w:rsid w:val="00CF24BB"/>
    <w:rsid w:val="00CF2973"/>
    <w:rsid w:val="00CF4607"/>
    <w:rsid w:val="00CF5CC7"/>
    <w:rsid w:val="00CF6767"/>
    <w:rsid w:val="00CF747C"/>
    <w:rsid w:val="00D00576"/>
    <w:rsid w:val="00D0207F"/>
    <w:rsid w:val="00D02CD4"/>
    <w:rsid w:val="00D04299"/>
    <w:rsid w:val="00D0506F"/>
    <w:rsid w:val="00D05A7A"/>
    <w:rsid w:val="00D07B78"/>
    <w:rsid w:val="00D12B80"/>
    <w:rsid w:val="00D137C3"/>
    <w:rsid w:val="00D13BD0"/>
    <w:rsid w:val="00D13D6F"/>
    <w:rsid w:val="00D165F4"/>
    <w:rsid w:val="00D1668E"/>
    <w:rsid w:val="00D16C33"/>
    <w:rsid w:val="00D177EA"/>
    <w:rsid w:val="00D20CC5"/>
    <w:rsid w:val="00D217AC"/>
    <w:rsid w:val="00D2202A"/>
    <w:rsid w:val="00D27E4D"/>
    <w:rsid w:val="00D31BE1"/>
    <w:rsid w:val="00D35B96"/>
    <w:rsid w:val="00D37973"/>
    <w:rsid w:val="00D40EAC"/>
    <w:rsid w:val="00D41F46"/>
    <w:rsid w:val="00D4222D"/>
    <w:rsid w:val="00D42754"/>
    <w:rsid w:val="00D455A4"/>
    <w:rsid w:val="00D45636"/>
    <w:rsid w:val="00D47188"/>
    <w:rsid w:val="00D51DD0"/>
    <w:rsid w:val="00D5265D"/>
    <w:rsid w:val="00D52D6B"/>
    <w:rsid w:val="00D60415"/>
    <w:rsid w:val="00D610AA"/>
    <w:rsid w:val="00D62E09"/>
    <w:rsid w:val="00D64101"/>
    <w:rsid w:val="00D6470A"/>
    <w:rsid w:val="00D64FFD"/>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4C8"/>
    <w:rsid w:val="00D84DE0"/>
    <w:rsid w:val="00D854E6"/>
    <w:rsid w:val="00D85E59"/>
    <w:rsid w:val="00D87FC5"/>
    <w:rsid w:val="00D90CAE"/>
    <w:rsid w:val="00D9189D"/>
    <w:rsid w:val="00D93A48"/>
    <w:rsid w:val="00D953BF"/>
    <w:rsid w:val="00D96FBA"/>
    <w:rsid w:val="00D97622"/>
    <w:rsid w:val="00DA1B53"/>
    <w:rsid w:val="00DA1FCE"/>
    <w:rsid w:val="00DA2048"/>
    <w:rsid w:val="00DA239C"/>
    <w:rsid w:val="00DA433D"/>
    <w:rsid w:val="00DA58AF"/>
    <w:rsid w:val="00DA7141"/>
    <w:rsid w:val="00DA744D"/>
    <w:rsid w:val="00DA7DEB"/>
    <w:rsid w:val="00DB14CA"/>
    <w:rsid w:val="00DB3228"/>
    <w:rsid w:val="00DB3721"/>
    <w:rsid w:val="00DB3D04"/>
    <w:rsid w:val="00DB57B4"/>
    <w:rsid w:val="00DB65B4"/>
    <w:rsid w:val="00DC07AE"/>
    <w:rsid w:val="00DC10A1"/>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96D"/>
    <w:rsid w:val="00DD7872"/>
    <w:rsid w:val="00DD79C8"/>
    <w:rsid w:val="00DD7C70"/>
    <w:rsid w:val="00DD7FBA"/>
    <w:rsid w:val="00DE0896"/>
    <w:rsid w:val="00DE0AD5"/>
    <w:rsid w:val="00DE6C1E"/>
    <w:rsid w:val="00DE7E62"/>
    <w:rsid w:val="00DF1A49"/>
    <w:rsid w:val="00DF1C2B"/>
    <w:rsid w:val="00DF2F6B"/>
    <w:rsid w:val="00DF3993"/>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2680"/>
    <w:rsid w:val="00E140A6"/>
    <w:rsid w:val="00E147F3"/>
    <w:rsid w:val="00E15447"/>
    <w:rsid w:val="00E15B7B"/>
    <w:rsid w:val="00E167D8"/>
    <w:rsid w:val="00E16ACD"/>
    <w:rsid w:val="00E20773"/>
    <w:rsid w:val="00E2107F"/>
    <w:rsid w:val="00E22628"/>
    <w:rsid w:val="00E22EA4"/>
    <w:rsid w:val="00E23059"/>
    <w:rsid w:val="00E231E0"/>
    <w:rsid w:val="00E233A4"/>
    <w:rsid w:val="00E241B0"/>
    <w:rsid w:val="00E27DCB"/>
    <w:rsid w:val="00E30352"/>
    <w:rsid w:val="00E33146"/>
    <w:rsid w:val="00E374D1"/>
    <w:rsid w:val="00E37F50"/>
    <w:rsid w:val="00E40942"/>
    <w:rsid w:val="00E43646"/>
    <w:rsid w:val="00E44C1D"/>
    <w:rsid w:val="00E50D80"/>
    <w:rsid w:val="00E50E6F"/>
    <w:rsid w:val="00E51035"/>
    <w:rsid w:val="00E5218A"/>
    <w:rsid w:val="00E53438"/>
    <w:rsid w:val="00E539B3"/>
    <w:rsid w:val="00E552C2"/>
    <w:rsid w:val="00E55EC8"/>
    <w:rsid w:val="00E56469"/>
    <w:rsid w:val="00E56D02"/>
    <w:rsid w:val="00E57209"/>
    <w:rsid w:val="00E5727D"/>
    <w:rsid w:val="00E57FAB"/>
    <w:rsid w:val="00E6289C"/>
    <w:rsid w:val="00E670D3"/>
    <w:rsid w:val="00E713A7"/>
    <w:rsid w:val="00E72404"/>
    <w:rsid w:val="00E72FF6"/>
    <w:rsid w:val="00E73990"/>
    <w:rsid w:val="00E74A15"/>
    <w:rsid w:val="00E74E1B"/>
    <w:rsid w:val="00E7567F"/>
    <w:rsid w:val="00E7617E"/>
    <w:rsid w:val="00E8184B"/>
    <w:rsid w:val="00E81F3E"/>
    <w:rsid w:val="00E85807"/>
    <w:rsid w:val="00E86211"/>
    <w:rsid w:val="00E86ACB"/>
    <w:rsid w:val="00E900E0"/>
    <w:rsid w:val="00E90628"/>
    <w:rsid w:val="00E9122B"/>
    <w:rsid w:val="00E9166A"/>
    <w:rsid w:val="00E92193"/>
    <w:rsid w:val="00E93CFE"/>
    <w:rsid w:val="00E94580"/>
    <w:rsid w:val="00E953B9"/>
    <w:rsid w:val="00EA0D43"/>
    <w:rsid w:val="00EA0EBB"/>
    <w:rsid w:val="00EA1619"/>
    <w:rsid w:val="00EA2EB1"/>
    <w:rsid w:val="00EA49CE"/>
    <w:rsid w:val="00EA4CBA"/>
    <w:rsid w:val="00EA6CD3"/>
    <w:rsid w:val="00EA7EDF"/>
    <w:rsid w:val="00EB184B"/>
    <w:rsid w:val="00EB27FB"/>
    <w:rsid w:val="00EB47F3"/>
    <w:rsid w:val="00EC03E6"/>
    <w:rsid w:val="00EC15B7"/>
    <w:rsid w:val="00EC218F"/>
    <w:rsid w:val="00EC53D6"/>
    <w:rsid w:val="00ED053C"/>
    <w:rsid w:val="00ED0911"/>
    <w:rsid w:val="00ED0A46"/>
    <w:rsid w:val="00ED1105"/>
    <w:rsid w:val="00ED18C9"/>
    <w:rsid w:val="00ED2979"/>
    <w:rsid w:val="00ED29D2"/>
    <w:rsid w:val="00ED377A"/>
    <w:rsid w:val="00ED39FF"/>
    <w:rsid w:val="00ED3D84"/>
    <w:rsid w:val="00ED4255"/>
    <w:rsid w:val="00ED5CF7"/>
    <w:rsid w:val="00ED603E"/>
    <w:rsid w:val="00EE1650"/>
    <w:rsid w:val="00EE4153"/>
    <w:rsid w:val="00EE44FE"/>
    <w:rsid w:val="00EE4A54"/>
    <w:rsid w:val="00EE4C51"/>
    <w:rsid w:val="00EE59DE"/>
    <w:rsid w:val="00EE5F2B"/>
    <w:rsid w:val="00EE61BD"/>
    <w:rsid w:val="00EE7BA0"/>
    <w:rsid w:val="00EE7F7D"/>
    <w:rsid w:val="00EF2696"/>
    <w:rsid w:val="00EF55B6"/>
    <w:rsid w:val="00EF67AA"/>
    <w:rsid w:val="00EF6CBF"/>
    <w:rsid w:val="00EF6F48"/>
    <w:rsid w:val="00F00E88"/>
    <w:rsid w:val="00F01691"/>
    <w:rsid w:val="00F019FA"/>
    <w:rsid w:val="00F02EB7"/>
    <w:rsid w:val="00F03FAA"/>
    <w:rsid w:val="00F05303"/>
    <w:rsid w:val="00F0662E"/>
    <w:rsid w:val="00F066C5"/>
    <w:rsid w:val="00F06F21"/>
    <w:rsid w:val="00F070EA"/>
    <w:rsid w:val="00F1504D"/>
    <w:rsid w:val="00F15773"/>
    <w:rsid w:val="00F1588A"/>
    <w:rsid w:val="00F17360"/>
    <w:rsid w:val="00F21E93"/>
    <w:rsid w:val="00F23C9C"/>
    <w:rsid w:val="00F2556C"/>
    <w:rsid w:val="00F25C34"/>
    <w:rsid w:val="00F2652E"/>
    <w:rsid w:val="00F27363"/>
    <w:rsid w:val="00F30608"/>
    <w:rsid w:val="00F30A0A"/>
    <w:rsid w:val="00F32129"/>
    <w:rsid w:val="00F32822"/>
    <w:rsid w:val="00F32ADC"/>
    <w:rsid w:val="00F34AB5"/>
    <w:rsid w:val="00F34DCC"/>
    <w:rsid w:val="00F352DD"/>
    <w:rsid w:val="00F35567"/>
    <w:rsid w:val="00F3569E"/>
    <w:rsid w:val="00F40716"/>
    <w:rsid w:val="00F40762"/>
    <w:rsid w:val="00F40F20"/>
    <w:rsid w:val="00F418C2"/>
    <w:rsid w:val="00F41A04"/>
    <w:rsid w:val="00F42208"/>
    <w:rsid w:val="00F449A8"/>
    <w:rsid w:val="00F44B3E"/>
    <w:rsid w:val="00F46FF2"/>
    <w:rsid w:val="00F509C9"/>
    <w:rsid w:val="00F51164"/>
    <w:rsid w:val="00F526D1"/>
    <w:rsid w:val="00F5297D"/>
    <w:rsid w:val="00F53042"/>
    <w:rsid w:val="00F53217"/>
    <w:rsid w:val="00F532A7"/>
    <w:rsid w:val="00F53508"/>
    <w:rsid w:val="00F53B91"/>
    <w:rsid w:val="00F542FA"/>
    <w:rsid w:val="00F544F1"/>
    <w:rsid w:val="00F5586F"/>
    <w:rsid w:val="00F64D33"/>
    <w:rsid w:val="00F652EB"/>
    <w:rsid w:val="00F65BFF"/>
    <w:rsid w:val="00F660C2"/>
    <w:rsid w:val="00F669EB"/>
    <w:rsid w:val="00F70443"/>
    <w:rsid w:val="00F7097D"/>
    <w:rsid w:val="00F716EF"/>
    <w:rsid w:val="00F758A5"/>
    <w:rsid w:val="00F76BCC"/>
    <w:rsid w:val="00F77D50"/>
    <w:rsid w:val="00F8059E"/>
    <w:rsid w:val="00F81A0A"/>
    <w:rsid w:val="00F838F0"/>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3DE5"/>
    <w:rsid w:val="00FA4A91"/>
    <w:rsid w:val="00FA4EC5"/>
    <w:rsid w:val="00FA5EE1"/>
    <w:rsid w:val="00FA6BB2"/>
    <w:rsid w:val="00FA6E71"/>
    <w:rsid w:val="00FA7ED3"/>
    <w:rsid w:val="00FB1472"/>
    <w:rsid w:val="00FB1994"/>
    <w:rsid w:val="00FB3376"/>
    <w:rsid w:val="00FB66E5"/>
    <w:rsid w:val="00FB68FB"/>
    <w:rsid w:val="00FB6F6B"/>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664"/>
    <w:rsid w:val="00FF42CE"/>
    <w:rsid w:val="00FF5967"/>
    <w:rsid w:val="00FF5D5C"/>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 w:type="table" w:styleId="TableGrid">
    <w:name w:val="Table Grid"/>
    <w:basedOn w:val="TableNormal"/>
    <w:uiPriority w:val="59"/>
    <w:rsid w:val="0050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784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8584">
          <w:marLeft w:val="0"/>
          <w:marRight w:val="0"/>
          <w:marTop w:val="0"/>
          <w:marBottom w:val="0"/>
          <w:divBdr>
            <w:top w:val="none" w:sz="0" w:space="0" w:color="auto"/>
            <w:left w:val="none" w:sz="0" w:space="0" w:color="auto"/>
            <w:bottom w:val="none" w:sz="0" w:space="0" w:color="auto"/>
            <w:right w:val="none" w:sz="0" w:space="0" w:color="auto"/>
          </w:divBdr>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16203815">
      <w:bodyDiv w:val="1"/>
      <w:marLeft w:val="0"/>
      <w:marRight w:val="0"/>
      <w:marTop w:val="0"/>
      <w:marBottom w:val="0"/>
      <w:divBdr>
        <w:top w:val="none" w:sz="0" w:space="0" w:color="auto"/>
        <w:left w:val="none" w:sz="0" w:space="0" w:color="auto"/>
        <w:bottom w:val="none" w:sz="0" w:space="0" w:color="auto"/>
        <w:right w:val="none" w:sz="0" w:space="0" w:color="auto"/>
      </w:divBdr>
      <w:divsChild>
        <w:div w:id="1115707436">
          <w:marLeft w:val="0"/>
          <w:marRight w:val="0"/>
          <w:marTop w:val="0"/>
          <w:marBottom w:val="0"/>
          <w:divBdr>
            <w:top w:val="none" w:sz="0" w:space="0" w:color="auto"/>
            <w:left w:val="none" w:sz="0" w:space="0" w:color="auto"/>
            <w:bottom w:val="none" w:sz="0" w:space="0" w:color="auto"/>
            <w:right w:val="none" w:sz="0" w:space="0" w:color="auto"/>
          </w:divBdr>
        </w:div>
      </w:divsChild>
    </w:div>
    <w:div w:id="730420834">
      <w:bodyDiv w:val="1"/>
      <w:marLeft w:val="0"/>
      <w:marRight w:val="0"/>
      <w:marTop w:val="0"/>
      <w:marBottom w:val="0"/>
      <w:divBdr>
        <w:top w:val="none" w:sz="0" w:space="0" w:color="auto"/>
        <w:left w:val="none" w:sz="0" w:space="0" w:color="auto"/>
        <w:bottom w:val="none" w:sz="0" w:space="0" w:color="auto"/>
        <w:right w:val="none" w:sz="0" w:space="0" w:color="auto"/>
      </w:divBdr>
      <w:divsChild>
        <w:div w:id="464927446">
          <w:marLeft w:val="0"/>
          <w:marRight w:val="0"/>
          <w:marTop w:val="0"/>
          <w:marBottom w:val="0"/>
          <w:divBdr>
            <w:top w:val="none" w:sz="0" w:space="0" w:color="auto"/>
            <w:left w:val="none" w:sz="0" w:space="0" w:color="auto"/>
            <w:bottom w:val="none" w:sz="0" w:space="0" w:color="auto"/>
            <w:right w:val="none" w:sz="0" w:space="0" w:color="auto"/>
          </w:divBdr>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38467931">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63620448">
      <w:bodyDiv w:val="1"/>
      <w:marLeft w:val="0"/>
      <w:marRight w:val="0"/>
      <w:marTop w:val="0"/>
      <w:marBottom w:val="0"/>
      <w:divBdr>
        <w:top w:val="none" w:sz="0" w:space="0" w:color="auto"/>
        <w:left w:val="none" w:sz="0" w:space="0" w:color="auto"/>
        <w:bottom w:val="none" w:sz="0" w:space="0" w:color="auto"/>
        <w:right w:val="none" w:sz="0" w:space="0" w:color="auto"/>
      </w:divBdr>
      <w:divsChild>
        <w:div w:id="1240290902">
          <w:marLeft w:val="0"/>
          <w:marRight w:val="0"/>
          <w:marTop w:val="0"/>
          <w:marBottom w:val="0"/>
          <w:divBdr>
            <w:top w:val="none" w:sz="0" w:space="0" w:color="auto"/>
            <w:left w:val="none" w:sz="0" w:space="0" w:color="auto"/>
            <w:bottom w:val="none" w:sz="0" w:space="0" w:color="auto"/>
            <w:right w:val="none" w:sz="0" w:space="0" w:color="auto"/>
          </w:divBdr>
        </w:div>
      </w:divsChild>
    </w:div>
    <w:div w:id="1196695245">
      <w:bodyDiv w:val="1"/>
      <w:marLeft w:val="0"/>
      <w:marRight w:val="0"/>
      <w:marTop w:val="0"/>
      <w:marBottom w:val="0"/>
      <w:divBdr>
        <w:top w:val="none" w:sz="0" w:space="0" w:color="auto"/>
        <w:left w:val="none" w:sz="0" w:space="0" w:color="auto"/>
        <w:bottom w:val="none" w:sz="0" w:space="0" w:color="auto"/>
        <w:right w:val="none" w:sz="0" w:space="0" w:color="auto"/>
      </w:divBdr>
      <w:divsChild>
        <w:div w:id="816340320">
          <w:marLeft w:val="0"/>
          <w:marRight w:val="0"/>
          <w:marTop w:val="0"/>
          <w:marBottom w:val="0"/>
          <w:divBdr>
            <w:top w:val="none" w:sz="0" w:space="0" w:color="auto"/>
            <w:left w:val="none" w:sz="0" w:space="0" w:color="auto"/>
            <w:bottom w:val="none" w:sz="0" w:space="0" w:color="auto"/>
            <w:right w:val="none" w:sz="0" w:space="0" w:color="auto"/>
          </w:divBdr>
          <w:divsChild>
            <w:div w:id="1879313920">
              <w:marLeft w:val="0"/>
              <w:marRight w:val="0"/>
              <w:marTop w:val="0"/>
              <w:marBottom w:val="0"/>
              <w:divBdr>
                <w:top w:val="none" w:sz="0" w:space="0" w:color="auto"/>
                <w:left w:val="none" w:sz="0" w:space="0" w:color="auto"/>
                <w:bottom w:val="none" w:sz="0" w:space="0" w:color="auto"/>
                <w:right w:val="none" w:sz="0" w:space="0" w:color="auto"/>
              </w:divBdr>
              <w:divsChild>
                <w:div w:id="419103230">
                  <w:marLeft w:val="0"/>
                  <w:marRight w:val="0"/>
                  <w:marTop w:val="0"/>
                  <w:marBottom w:val="0"/>
                  <w:divBdr>
                    <w:top w:val="none" w:sz="0" w:space="0" w:color="auto"/>
                    <w:left w:val="none" w:sz="0" w:space="0" w:color="auto"/>
                    <w:bottom w:val="none" w:sz="0" w:space="0" w:color="auto"/>
                    <w:right w:val="none" w:sz="0" w:space="0" w:color="auto"/>
                  </w:divBdr>
                  <w:divsChild>
                    <w:div w:id="1723871870">
                      <w:marLeft w:val="0"/>
                      <w:marRight w:val="0"/>
                      <w:marTop w:val="0"/>
                      <w:marBottom w:val="0"/>
                      <w:divBdr>
                        <w:top w:val="none" w:sz="0" w:space="0" w:color="auto"/>
                        <w:left w:val="none" w:sz="0" w:space="0" w:color="auto"/>
                        <w:bottom w:val="none" w:sz="0" w:space="0" w:color="auto"/>
                        <w:right w:val="none" w:sz="0" w:space="0" w:color="auto"/>
                      </w:divBdr>
                      <w:divsChild>
                        <w:div w:id="1031303265">
                          <w:marLeft w:val="0"/>
                          <w:marRight w:val="0"/>
                          <w:marTop w:val="0"/>
                          <w:marBottom w:val="0"/>
                          <w:divBdr>
                            <w:top w:val="none" w:sz="0" w:space="0" w:color="auto"/>
                            <w:left w:val="none" w:sz="0" w:space="0" w:color="auto"/>
                            <w:bottom w:val="none" w:sz="0" w:space="0" w:color="auto"/>
                            <w:right w:val="none" w:sz="0" w:space="0" w:color="auto"/>
                          </w:divBdr>
                          <w:divsChild>
                            <w:div w:id="1084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19475">
      <w:bodyDiv w:val="1"/>
      <w:marLeft w:val="0"/>
      <w:marRight w:val="0"/>
      <w:marTop w:val="0"/>
      <w:marBottom w:val="0"/>
      <w:divBdr>
        <w:top w:val="none" w:sz="0" w:space="0" w:color="auto"/>
        <w:left w:val="none" w:sz="0" w:space="0" w:color="auto"/>
        <w:bottom w:val="none" w:sz="0" w:space="0" w:color="auto"/>
        <w:right w:val="none" w:sz="0" w:space="0" w:color="auto"/>
      </w:divBdr>
    </w:div>
    <w:div w:id="1328552811">
      <w:bodyDiv w:val="1"/>
      <w:marLeft w:val="0"/>
      <w:marRight w:val="0"/>
      <w:marTop w:val="0"/>
      <w:marBottom w:val="0"/>
      <w:divBdr>
        <w:top w:val="none" w:sz="0" w:space="0" w:color="auto"/>
        <w:left w:val="none" w:sz="0" w:space="0" w:color="auto"/>
        <w:bottom w:val="none" w:sz="0" w:space="0" w:color="auto"/>
        <w:right w:val="none" w:sz="0" w:space="0" w:color="auto"/>
      </w:divBdr>
      <w:divsChild>
        <w:div w:id="803815754">
          <w:marLeft w:val="0"/>
          <w:marRight w:val="0"/>
          <w:marTop w:val="0"/>
          <w:marBottom w:val="0"/>
          <w:divBdr>
            <w:top w:val="none" w:sz="0" w:space="0" w:color="auto"/>
            <w:left w:val="none" w:sz="0" w:space="0" w:color="auto"/>
            <w:bottom w:val="none" w:sz="0" w:space="0" w:color="auto"/>
            <w:right w:val="none" w:sz="0" w:space="0" w:color="auto"/>
          </w:divBdr>
        </w:div>
      </w:divsChild>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7290507">
      <w:bodyDiv w:val="1"/>
      <w:marLeft w:val="0"/>
      <w:marRight w:val="0"/>
      <w:marTop w:val="0"/>
      <w:marBottom w:val="0"/>
      <w:divBdr>
        <w:top w:val="none" w:sz="0" w:space="0" w:color="auto"/>
        <w:left w:val="none" w:sz="0" w:space="0" w:color="auto"/>
        <w:bottom w:val="none" w:sz="0" w:space="0" w:color="auto"/>
        <w:right w:val="none" w:sz="0" w:space="0" w:color="auto"/>
      </w:divBdr>
      <w:divsChild>
        <w:div w:id="1399128273">
          <w:marLeft w:val="0"/>
          <w:marRight w:val="0"/>
          <w:marTop w:val="0"/>
          <w:marBottom w:val="0"/>
          <w:divBdr>
            <w:top w:val="none" w:sz="0" w:space="0" w:color="auto"/>
            <w:left w:val="none" w:sz="0" w:space="0" w:color="auto"/>
            <w:bottom w:val="none" w:sz="0" w:space="0" w:color="auto"/>
            <w:right w:val="none" w:sz="0" w:space="0" w:color="auto"/>
          </w:divBdr>
        </w:div>
      </w:divsChild>
    </w:div>
    <w:div w:id="1526558308">
      <w:bodyDiv w:val="1"/>
      <w:marLeft w:val="0"/>
      <w:marRight w:val="0"/>
      <w:marTop w:val="0"/>
      <w:marBottom w:val="0"/>
      <w:divBdr>
        <w:top w:val="none" w:sz="0" w:space="0" w:color="auto"/>
        <w:left w:val="none" w:sz="0" w:space="0" w:color="auto"/>
        <w:bottom w:val="none" w:sz="0" w:space="0" w:color="auto"/>
        <w:right w:val="none" w:sz="0" w:space="0" w:color="auto"/>
      </w:divBdr>
      <w:divsChild>
        <w:div w:id="1684741254">
          <w:marLeft w:val="0"/>
          <w:marRight w:val="0"/>
          <w:marTop w:val="0"/>
          <w:marBottom w:val="0"/>
          <w:divBdr>
            <w:top w:val="none" w:sz="0" w:space="0" w:color="auto"/>
            <w:left w:val="none" w:sz="0" w:space="0" w:color="auto"/>
            <w:bottom w:val="none" w:sz="0" w:space="0" w:color="auto"/>
            <w:right w:val="none" w:sz="0" w:space="0" w:color="auto"/>
          </w:divBdr>
        </w:div>
      </w:divsChild>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685932354">
      <w:bodyDiv w:val="1"/>
      <w:marLeft w:val="0"/>
      <w:marRight w:val="0"/>
      <w:marTop w:val="0"/>
      <w:marBottom w:val="0"/>
      <w:divBdr>
        <w:top w:val="none" w:sz="0" w:space="0" w:color="auto"/>
        <w:left w:val="none" w:sz="0" w:space="0" w:color="auto"/>
        <w:bottom w:val="none" w:sz="0" w:space="0" w:color="auto"/>
        <w:right w:val="none" w:sz="0" w:space="0" w:color="auto"/>
      </w:divBdr>
    </w:div>
    <w:div w:id="1730230884">
      <w:bodyDiv w:val="1"/>
      <w:marLeft w:val="0"/>
      <w:marRight w:val="0"/>
      <w:marTop w:val="0"/>
      <w:marBottom w:val="0"/>
      <w:divBdr>
        <w:top w:val="none" w:sz="0" w:space="0" w:color="auto"/>
        <w:left w:val="none" w:sz="0" w:space="0" w:color="auto"/>
        <w:bottom w:val="none" w:sz="0" w:space="0" w:color="auto"/>
        <w:right w:val="none" w:sz="0" w:space="0" w:color="auto"/>
      </w:divBdr>
      <w:divsChild>
        <w:div w:id="922958534">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81CB-BAF5-41CC-B0FE-9F471BE7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8</Pages>
  <Words>8883</Words>
  <Characters>5064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79</cp:revision>
  <cp:lastPrinted>2020-05-15T10:54:00Z</cp:lastPrinted>
  <dcterms:created xsi:type="dcterms:W3CDTF">2020-11-11T10:39:00Z</dcterms:created>
  <dcterms:modified xsi:type="dcterms:W3CDTF">2021-01-11T11:23:00Z</dcterms:modified>
</cp:coreProperties>
</file>