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3DE00" w14:textId="6AB74003" w:rsidR="00310924" w:rsidRPr="000965FC" w:rsidRDefault="00171F00" w:rsidP="00A57E77">
      <w:pPr>
        <w:shd w:val="clear" w:color="auto" w:fill="FFFFFF"/>
        <w:tabs>
          <w:tab w:val="left" w:pos="142"/>
          <w:tab w:val="left" w:pos="1134"/>
        </w:tabs>
        <w:spacing w:before="120"/>
        <w:ind w:firstLine="567"/>
        <w:jc w:val="center"/>
        <w:rPr>
          <w:rFonts w:eastAsia="Times New Roman"/>
          <w:b/>
          <w:bCs/>
          <w:color w:val="000000" w:themeColor="text1"/>
          <w:sz w:val="26"/>
          <w:szCs w:val="26"/>
          <w:lang w:val="lv-LV" w:eastAsia="lv-LV"/>
        </w:rPr>
      </w:pPr>
      <w:bookmarkStart w:id="0" w:name="OLE_LINK3"/>
      <w:bookmarkStart w:id="1" w:name="OLE_LINK1"/>
      <w:bookmarkStart w:id="2" w:name="OLE_LINK2"/>
      <w:r w:rsidRPr="000965FC">
        <w:rPr>
          <w:b/>
          <w:bCs/>
          <w:color w:val="000000"/>
          <w:sz w:val="26"/>
          <w:szCs w:val="26"/>
          <w:lang w:val="lv-LV"/>
        </w:rPr>
        <w:t>Ministru kabineta noteikumu projekta “</w:t>
      </w:r>
      <w:r w:rsidRPr="000965FC">
        <w:rPr>
          <w:b/>
          <w:bCs/>
          <w:sz w:val="26"/>
          <w:szCs w:val="26"/>
          <w:lang w:val="lv-LV"/>
        </w:rPr>
        <w:t>Grozījumi Ministru kabineta 2020.gada 10.novembra noteikumos Nr.676 “</w:t>
      </w:r>
      <w:r w:rsidRPr="000965FC">
        <w:rPr>
          <w:b/>
          <w:bCs/>
          <w:color w:val="000000"/>
          <w:sz w:val="26"/>
          <w:szCs w:val="26"/>
          <w:lang w:val="lv-LV"/>
        </w:rPr>
        <w:t>Noteikumi par atbalstu Covid-19 krīzes skartajiem uzņēmumiem apgrozāmo līdzekļu plūsmas nodrošināšanai</w:t>
      </w:r>
      <w:r w:rsidRPr="000965FC">
        <w:rPr>
          <w:b/>
          <w:bCs/>
          <w:sz w:val="26"/>
          <w:szCs w:val="26"/>
          <w:lang w:val="lv-LV"/>
        </w:rPr>
        <w:t>”</w:t>
      </w:r>
      <w:r w:rsidRPr="000965FC">
        <w:rPr>
          <w:b/>
          <w:bCs/>
          <w:color w:val="000000"/>
          <w:sz w:val="26"/>
          <w:szCs w:val="26"/>
          <w:lang w:val="lv-LV"/>
        </w:rPr>
        <w:t xml:space="preserve">” </w:t>
      </w:r>
      <w:r w:rsidR="00032471" w:rsidRPr="000965FC">
        <w:rPr>
          <w:b/>
          <w:bCs/>
          <w:color w:val="000000" w:themeColor="text1"/>
          <w:sz w:val="26"/>
          <w:szCs w:val="26"/>
          <w:lang w:val="lv-LV"/>
        </w:rPr>
        <w:t>sākotnējās ietekmes novērtējuma ziņojums (anotācija)</w:t>
      </w:r>
    </w:p>
    <w:p w14:paraId="286653D2" w14:textId="77777777" w:rsidR="00032471" w:rsidRPr="000965FC" w:rsidRDefault="00032471" w:rsidP="006064F8">
      <w:pPr>
        <w:contextualSpacing/>
        <w:rPr>
          <w:b/>
          <w:color w:val="000000" w:themeColor="text1"/>
          <w:sz w:val="26"/>
          <w:szCs w:val="26"/>
          <w:lang w:val="lv-LV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500925" w:rsidRPr="000965FC" w14:paraId="3A2615BC" w14:textId="77777777" w:rsidTr="001342EF">
        <w:tc>
          <w:tcPr>
            <w:tcW w:w="9209" w:type="dxa"/>
            <w:gridSpan w:val="2"/>
          </w:tcPr>
          <w:bookmarkEnd w:id="0"/>
          <w:bookmarkEnd w:id="1"/>
          <w:bookmarkEnd w:id="2"/>
          <w:p w14:paraId="2B822083" w14:textId="742FCAC4" w:rsidR="00500925" w:rsidRPr="000965FC" w:rsidRDefault="00500925" w:rsidP="00434856">
            <w:pPr>
              <w:tabs>
                <w:tab w:val="right" w:pos="9072"/>
              </w:tabs>
              <w:contextualSpacing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rFonts w:eastAsia="Times New Roman"/>
                <w:b/>
                <w:bCs/>
                <w:iCs/>
                <w:color w:val="000000" w:themeColor="text1"/>
                <w:sz w:val="26"/>
                <w:szCs w:val="26"/>
                <w:lang w:val="lv-LV" w:eastAsia="lv-LV"/>
              </w:rPr>
              <w:t>Tiesību akta projekta anotācijas kopsavilkums</w:t>
            </w:r>
          </w:p>
        </w:tc>
      </w:tr>
      <w:tr w:rsidR="00500925" w:rsidRPr="000965FC" w14:paraId="075BE558" w14:textId="77777777" w:rsidTr="001342EF">
        <w:tc>
          <w:tcPr>
            <w:tcW w:w="2689" w:type="dxa"/>
          </w:tcPr>
          <w:p w14:paraId="621CA676" w14:textId="59BF0F8D" w:rsidR="00500925" w:rsidRPr="000965FC" w:rsidRDefault="00500925" w:rsidP="00434856">
            <w:pPr>
              <w:tabs>
                <w:tab w:val="right" w:pos="9072"/>
              </w:tabs>
              <w:contextualSpacing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rFonts w:eastAsia="Times New Roman"/>
                <w:iCs/>
                <w:color w:val="000000" w:themeColor="text1"/>
                <w:sz w:val="26"/>
                <w:szCs w:val="26"/>
                <w:lang w:val="lv-LV" w:eastAsia="lv-LV"/>
              </w:rPr>
              <w:t>Mērķis, risinājums un projekta spēkā stāšanās laiks</w:t>
            </w:r>
          </w:p>
        </w:tc>
        <w:tc>
          <w:tcPr>
            <w:tcW w:w="6520" w:type="dxa"/>
          </w:tcPr>
          <w:p w14:paraId="21A7B196" w14:textId="5ABA37A7" w:rsidR="00500925" w:rsidRPr="000965FC" w:rsidRDefault="00500925" w:rsidP="000B1248">
            <w:pPr>
              <w:shd w:val="clear" w:color="auto" w:fill="FFFFFF"/>
              <w:tabs>
                <w:tab w:val="left" w:pos="142"/>
                <w:tab w:val="left" w:pos="1134"/>
              </w:tabs>
              <w:spacing w:before="120"/>
              <w:jc w:val="both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eastAsia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Ministru kabineta noteikumu projekts “</w:t>
            </w:r>
            <w:r w:rsidRPr="000965FC">
              <w:rPr>
                <w:sz w:val="26"/>
                <w:szCs w:val="26"/>
                <w:lang w:val="lv-LV"/>
              </w:rPr>
              <w:t>Grozījumi Ministru kabineta 2020.gada 10.novembra noteikumos Nr.676 “</w:t>
            </w: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Noteikumi par atbalstu Covid-19 krīzes skartajiem uzņēmumiem apgrozāmo līdzekļu plūsmas nodrošināšanai</w:t>
            </w:r>
            <w:r w:rsidRPr="000965FC">
              <w:rPr>
                <w:sz w:val="26"/>
                <w:szCs w:val="26"/>
                <w:lang w:val="lv-LV"/>
              </w:rPr>
              <w:t>”</w:t>
            </w: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” </w:t>
            </w:r>
            <w:r w:rsidRPr="000965FC">
              <w:rPr>
                <w:rFonts w:eastAsia="Times New Roman"/>
                <w:iCs/>
                <w:color w:val="000000" w:themeColor="text1"/>
                <w:sz w:val="26"/>
                <w:szCs w:val="26"/>
                <w:lang w:val="lv-LV"/>
              </w:rPr>
              <w:t xml:space="preserve">(turpmāk – MK </w:t>
            </w:r>
            <w:r w:rsidR="00874C1B" w:rsidRPr="000965FC">
              <w:rPr>
                <w:rFonts w:eastAsia="Times New Roman"/>
                <w:iCs/>
                <w:color w:val="000000" w:themeColor="text1"/>
                <w:sz w:val="26"/>
                <w:szCs w:val="26"/>
                <w:lang w:val="lv-LV"/>
              </w:rPr>
              <w:t>N</w:t>
            </w:r>
            <w:r w:rsidRPr="000965FC">
              <w:rPr>
                <w:rFonts w:eastAsia="Times New Roman"/>
                <w:iCs/>
                <w:color w:val="000000" w:themeColor="text1"/>
                <w:sz w:val="26"/>
                <w:szCs w:val="26"/>
                <w:lang w:val="lv-LV"/>
              </w:rPr>
              <w:t xml:space="preserve">oteikumu projekts) paredz noteikt </w:t>
            </w:r>
            <w:r w:rsidR="00467463">
              <w:rPr>
                <w:rFonts w:eastAsia="Times New Roman"/>
                <w:iCs/>
                <w:color w:val="000000" w:themeColor="text1"/>
                <w:sz w:val="26"/>
                <w:szCs w:val="26"/>
                <w:lang w:val="lv-LV"/>
              </w:rPr>
              <w:t xml:space="preserve">lielāka apmēra </w:t>
            </w:r>
            <w:r w:rsidRPr="000965FC">
              <w:rPr>
                <w:rFonts w:eastAsia="Times New Roman"/>
                <w:iCs/>
                <w:color w:val="000000" w:themeColor="text1"/>
                <w:sz w:val="26"/>
                <w:szCs w:val="26"/>
                <w:lang w:val="lv-LV"/>
              </w:rPr>
              <w:t>atbalsta pieejamību visiem nodokļu maksātājiem, kuru saimnieciskā darbība ierobežota Covid-19 krīzes ietekmē.</w:t>
            </w:r>
          </w:p>
          <w:p w14:paraId="002ADC8E" w14:textId="17A66F3D" w:rsidR="00500925" w:rsidRPr="000965FC" w:rsidRDefault="00F77C73" w:rsidP="00433D14">
            <w:pPr>
              <w:tabs>
                <w:tab w:val="right" w:pos="9072"/>
              </w:tabs>
              <w:contextualSpacing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iCs/>
                <w:color w:val="000000" w:themeColor="text1"/>
                <w:sz w:val="26"/>
                <w:szCs w:val="26"/>
                <w:lang w:val="lv-LV"/>
              </w:rPr>
              <w:t xml:space="preserve">MK Noteikumu projekts stāsies spēkā nākamajā dienā </w:t>
            </w:r>
            <w:r w:rsidRPr="000965FC">
              <w:rPr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>pēc tam, kad oficiālajā izdevumā "Latvijas Vēstnesis" tiks publicēts paziņojums par to, ka Eiropas Komisija pieņēmusi lēmumu par šo noteikumu ietvertā komercdarbības atbalsta saderību ar Eiropas Savienības iekšējo tirgu</w:t>
            </w:r>
            <w:r w:rsidR="003A6A8E" w:rsidRPr="000965FC">
              <w:rPr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>.</w:t>
            </w:r>
          </w:p>
        </w:tc>
      </w:tr>
    </w:tbl>
    <w:p w14:paraId="51B9AD58" w14:textId="5B3BE26F" w:rsidR="00500925" w:rsidRPr="000965FC" w:rsidRDefault="00500925" w:rsidP="00434856">
      <w:pPr>
        <w:tabs>
          <w:tab w:val="right" w:pos="9072"/>
        </w:tabs>
        <w:contextualSpacing/>
        <w:rPr>
          <w:color w:val="000000" w:themeColor="text1"/>
          <w:sz w:val="26"/>
          <w:szCs w:val="26"/>
          <w:lang w:val="lv-LV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46"/>
        <w:gridCol w:w="2094"/>
        <w:gridCol w:w="6569"/>
      </w:tblGrid>
      <w:tr w:rsidR="00500925" w:rsidRPr="000965FC" w14:paraId="48A6099D" w14:textId="77777777" w:rsidTr="001342EF">
        <w:tc>
          <w:tcPr>
            <w:tcW w:w="9209" w:type="dxa"/>
            <w:gridSpan w:val="3"/>
          </w:tcPr>
          <w:p w14:paraId="5E56F29B" w14:textId="62FE47C9" w:rsidR="00500925" w:rsidRPr="000965FC" w:rsidRDefault="00500925" w:rsidP="00500925">
            <w:pPr>
              <w:tabs>
                <w:tab w:val="right" w:pos="9072"/>
              </w:tabs>
              <w:contextualSpacing/>
              <w:jc w:val="center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b/>
                <w:color w:val="000000" w:themeColor="text1"/>
                <w:sz w:val="26"/>
                <w:szCs w:val="26"/>
                <w:lang w:val="lv-LV"/>
              </w:rPr>
              <w:t>I. Tiesību akta projekta izstrādes nepieciešamība</w:t>
            </w:r>
          </w:p>
        </w:tc>
      </w:tr>
      <w:tr w:rsidR="00500925" w:rsidRPr="000965FC" w14:paraId="16FACD2E" w14:textId="77777777" w:rsidTr="001342EF">
        <w:tc>
          <w:tcPr>
            <w:tcW w:w="546" w:type="dxa"/>
          </w:tcPr>
          <w:p w14:paraId="24CB95B1" w14:textId="5E36F250" w:rsidR="00500925" w:rsidRPr="000965FC" w:rsidRDefault="00500925" w:rsidP="00434856">
            <w:pPr>
              <w:tabs>
                <w:tab w:val="right" w:pos="9072"/>
              </w:tabs>
              <w:contextualSpacing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1.</w:t>
            </w:r>
          </w:p>
        </w:tc>
        <w:tc>
          <w:tcPr>
            <w:tcW w:w="2094" w:type="dxa"/>
          </w:tcPr>
          <w:p w14:paraId="313A6FFC" w14:textId="63A88328" w:rsidR="00500925" w:rsidRPr="000965FC" w:rsidRDefault="001342EF" w:rsidP="00434856">
            <w:pPr>
              <w:tabs>
                <w:tab w:val="right" w:pos="9072"/>
              </w:tabs>
              <w:contextualSpacing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Pamatojums</w:t>
            </w:r>
          </w:p>
        </w:tc>
        <w:tc>
          <w:tcPr>
            <w:tcW w:w="6569" w:type="dxa"/>
          </w:tcPr>
          <w:p w14:paraId="29E6D15E" w14:textId="121D5A35" w:rsidR="00500925" w:rsidRPr="000965FC" w:rsidRDefault="001342EF" w:rsidP="000B1248">
            <w:pPr>
              <w:tabs>
                <w:tab w:val="right" w:pos="9072"/>
              </w:tabs>
              <w:contextualSpacing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iCs/>
                <w:color w:val="000000" w:themeColor="text1"/>
                <w:sz w:val="26"/>
                <w:szCs w:val="26"/>
                <w:lang w:val="lv-LV"/>
              </w:rPr>
              <w:t xml:space="preserve">MK Noteikumu projekts izstrādāts saskaņā ar </w:t>
            </w:r>
            <w:r w:rsidRPr="000965FC">
              <w:rPr>
                <w:rFonts w:eastAsia="Times New Roman"/>
                <w:iCs/>
                <w:color w:val="000000" w:themeColor="text1"/>
                <w:sz w:val="26"/>
                <w:szCs w:val="26"/>
                <w:lang w:val="lv-LV" w:eastAsia="lv-LV"/>
              </w:rPr>
              <w:t>Covid-19 infekcijas izplatības seku pārvarēšanas 2. pantu un 15. panta trešo daļu</w:t>
            </w:r>
            <w:bookmarkStart w:id="3" w:name="n1"/>
            <w:bookmarkStart w:id="4" w:name="n-596782"/>
            <w:bookmarkEnd w:id="3"/>
            <w:bookmarkEnd w:id="4"/>
            <w:r w:rsidRPr="000965FC">
              <w:rPr>
                <w:iCs/>
                <w:color w:val="000000" w:themeColor="text1"/>
                <w:sz w:val="26"/>
                <w:szCs w:val="26"/>
                <w:lang w:val="lv-LV"/>
              </w:rPr>
              <w:t xml:space="preserve">, lai </w:t>
            </w:r>
            <w:bookmarkStart w:id="5" w:name="_Hlk42162230"/>
            <w:r w:rsidRPr="000965FC">
              <w:rPr>
                <w:iCs/>
                <w:color w:val="000000" w:themeColor="text1"/>
                <w:sz w:val="26"/>
                <w:szCs w:val="26"/>
                <w:lang w:val="lv-LV"/>
              </w:rPr>
              <w:t xml:space="preserve">sniegtu atbalstu Covid-19 krīzes skartam uzņēmumam apgrozāmo līdzekļu plūsmas krituma kompensēšanai, lai pārvarētu Covid-19 krīzes otro izplatīšanās vilni (Ministru prezidenta paziņojums 2020.gada 6.novembrī) un tādējādi </w:t>
            </w:r>
            <w:r w:rsidR="001D4AA6" w:rsidRPr="000965FC">
              <w:rPr>
                <w:iCs/>
                <w:color w:val="000000" w:themeColor="text1"/>
                <w:sz w:val="26"/>
                <w:szCs w:val="26"/>
                <w:lang w:val="lv-LV"/>
              </w:rPr>
              <w:t xml:space="preserve">2021.gadā </w:t>
            </w:r>
            <w:r w:rsidRPr="000965FC">
              <w:rPr>
                <w:iCs/>
                <w:color w:val="000000" w:themeColor="text1"/>
                <w:sz w:val="26"/>
                <w:szCs w:val="26"/>
                <w:lang w:val="lv-LV"/>
              </w:rPr>
              <w:t>turpināt aktivitātes, kas vērstas uz Latvijas tautsaimniecības ilgtspējīgu attīstību</w:t>
            </w:r>
            <w:bookmarkEnd w:id="5"/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.</w:t>
            </w:r>
          </w:p>
        </w:tc>
      </w:tr>
      <w:tr w:rsidR="001342EF" w:rsidRPr="000965FC" w14:paraId="319B0164" w14:textId="77777777" w:rsidTr="001342EF">
        <w:tc>
          <w:tcPr>
            <w:tcW w:w="546" w:type="dxa"/>
          </w:tcPr>
          <w:p w14:paraId="2E9E22DF" w14:textId="64DE8EA7" w:rsidR="001342EF" w:rsidRPr="000965FC" w:rsidRDefault="001342EF" w:rsidP="001342EF">
            <w:pPr>
              <w:tabs>
                <w:tab w:val="right" w:pos="9072"/>
              </w:tabs>
              <w:contextualSpacing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2.</w:t>
            </w:r>
          </w:p>
        </w:tc>
        <w:tc>
          <w:tcPr>
            <w:tcW w:w="2094" w:type="dxa"/>
          </w:tcPr>
          <w:p w14:paraId="72130EF3" w14:textId="77777777" w:rsidR="001342EF" w:rsidRPr="000965FC" w:rsidRDefault="001342EF" w:rsidP="001342EF">
            <w:pPr>
              <w:contextualSpacing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Pašreizējā situācija un problēmas, kuru risināšanai tiesību akta projekts izstrādāts, tiesiskā regulējuma mērķis un būtība</w:t>
            </w:r>
          </w:p>
          <w:p w14:paraId="4B81F531" w14:textId="77777777" w:rsidR="001342EF" w:rsidRPr="000965FC" w:rsidRDefault="001342EF" w:rsidP="001342EF">
            <w:pPr>
              <w:tabs>
                <w:tab w:val="right" w:pos="9072"/>
              </w:tabs>
              <w:contextualSpacing/>
              <w:rPr>
                <w:color w:val="000000" w:themeColor="text1"/>
                <w:sz w:val="26"/>
                <w:szCs w:val="26"/>
                <w:lang w:val="lv-LV"/>
              </w:rPr>
            </w:pPr>
          </w:p>
          <w:p w14:paraId="764F9363" w14:textId="77777777" w:rsidR="00861168" w:rsidRPr="000965FC" w:rsidRDefault="00861168" w:rsidP="00861168">
            <w:pPr>
              <w:rPr>
                <w:sz w:val="26"/>
                <w:szCs w:val="26"/>
                <w:lang w:val="lv-LV"/>
              </w:rPr>
            </w:pPr>
          </w:p>
          <w:p w14:paraId="63A85263" w14:textId="77777777" w:rsidR="00861168" w:rsidRPr="000965FC" w:rsidRDefault="00861168" w:rsidP="00861168">
            <w:pPr>
              <w:rPr>
                <w:sz w:val="26"/>
                <w:szCs w:val="26"/>
                <w:lang w:val="lv-LV"/>
              </w:rPr>
            </w:pPr>
          </w:p>
          <w:p w14:paraId="463953B8" w14:textId="77777777" w:rsidR="00861168" w:rsidRPr="000965FC" w:rsidRDefault="00861168" w:rsidP="00861168">
            <w:pPr>
              <w:rPr>
                <w:sz w:val="26"/>
                <w:szCs w:val="26"/>
                <w:lang w:val="lv-LV"/>
              </w:rPr>
            </w:pPr>
          </w:p>
          <w:p w14:paraId="59082AB0" w14:textId="77777777" w:rsidR="00861168" w:rsidRPr="000965FC" w:rsidRDefault="00861168" w:rsidP="00861168">
            <w:pPr>
              <w:rPr>
                <w:sz w:val="26"/>
                <w:szCs w:val="26"/>
                <w:lang w:val="lv-LV"/>
              </w:rPr>
            </w:pPr>
          </w:p>
          <w:p w14:paraId="10F79FB3" w14:textId="77777777" w:rsidR="00861168" w:rsidRPr="000965FC" w:rsidRDefault="00861168" w:rsidP="00861168">
            <w:pPr>
              <w:rPr>
                <w:sz w:val="26"/>
                <w:szCs w:val="26"/>
                <w:lang w:val="lv-LV"/>
              </w:rPr>
            </w:pPr>
          </w:p>
          <w:p w14:paraId="1A14CCB4" w14:textId="77777777" w:rsidR="00861168" w:rsidRPr="000965FC" w:rsidRDefault="00861168" w:rsidP="00861168">
            <w:pPr>
              <w:rPr>
                <w:sz w:val="26"/>
                <w:szCs w:val="26"/>
                <w:lang w:val="lv-LV"/>
              </w:rPr>
            </w:pPr>
          </w:p>
          <w:p w14:paraId="64CDA14B" w14:textId="77777777" w:rsidR="00861168" w:rsidRPr="000965FC" w:rsidRDefault="00861168" w:rsidP="00861168">
            <w:pPr>
              <w:rPr>
                <w:sz w:val="26"/>
                <w:szCs w:val="26"/>
                <w:lang w:val="lv-LV"/>
              </w:rPr>
            </w:pPr>
          </w:p>
          <w:p w14:paraId="1D2E6346" w14:textId="77777777" w:rsidR="00861168" w:rsidRPr="000965FC" w:rsidRDefault="00861168" w:rsidP="00861168">
            <w:pPr>
              <w:rPr>
                <w:sz w:val="26"/>
                <w:szCs w:val="26"/>
                <w:lang w:val="lv-LV"/>
              </w:rPr>
            </w:pPr>
          </w:p>
          <w:p w14:paraId="6D85EFAD" w14:textId="77777777" w:rsidR="00861168" w:rsidRPr="000965FC" w:rsidRDefault="00861168" w:rsidP="009D1FC1">
            <w:pPr>
              <w:ind w:firstLine="720"/>
              <w:rPr>
                <w:sz w:val="26"/>
                <w:szCs w:val="26"/>
                <w:lang w:val="lv-LV"/>
              </w:rPr>
            </w:pPr>
          </w:p>
          <w:p w14:paraId="7055A088" w14:textId="77777777" w:rsidR="00861168" w:rsidRPr="000965FC" w:rsidRDefault="00861168" w:rsidP="00861168">
            <w:pPr>
              <w:rPr>
                <w:sz w:val="26"/>
                <w:szCs w:val="26"/>
                <w:lang w:val="lv-LV"/>
              </w:rPr>
            </w:pPr>
          </w:p>
          <w:p w14:paraId="3524AE12" w14:textId="77777777" w:rsidR="00861168" w:rsidRPr="000965FC" w:rsidRDefault="00861168" w:rsidP="00861168">
            <w:pPr>
              <w:rPr>
                <w:sz w:val="26"/>
                <w:szCs w:val="26"/>
                <w:lang w:val="lv-LV"/>
              </w:rPr>
            </w:pPr>
          </w:p>
          <w:p w14:paraId="5FC5E9A8" w14:textId="77777777" w:rsidR="00861168" w:rsidRPr="000965FC" w:rsidRDefault="00861168" w:rsidP="00861168">
            <w:pPr>
              <w:rPr>
                <w:sz w:val="26"/>
                <w:szCs w:val="26"/>
                <w:lang w:val="lv-LV"/>
              </w:rPr>
            </w:pPr>
          </w:p>
          <w:p w14:paraId="03AC9198" w14:textId="06B9FC55" w:rsidR="00861168" w:rsidRPr="000965FC" w:rsidRDefault="008247F1" w:rsidP="008247F1">
            <w:pPr>
              <w:tabs>
                <w:tab w:val="left" w:pos="270"/>
              </w:tabs>
              <w:rPr>
                <w:sz w:val="26"/>
                <w:szCs w:val="26"/>
                <w:lang w:val="lv-LV"/>
              </w:rPr>
            </w:pPr>
            <w:r w:rsidRPr="000965FC">
              <w:rPr>
                <w:sz w:val="26"/>
                <w:szCs w:val="26"/>
                <w:lang w:val="lv-LV"/>
              </w:rPr>
              <w:tab/>
            </w:r>
          </w:p>
        </w:tc>
        <w:tc>
          <w:tcPr>
            <w:tcW w:w="6569" w:type="dxa"/>
          </w:tcPr>
          <w:p w14:paraId="233AB45B" w14:textId="1D29F469" w:rsidR="001342EF" w:rsidRPr="000965FC" w:rsidRDefault="001342EF" w:rsidP="001342EF">
            <w:pPr>
              <w:spacing w:before="120"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lastRenderedPageBreak/>
              <w:t xml:space="preserve">Valstī 2020.gada 6.novembrī atkārtoti izsludināta </w:t>
            </w:r>
            <w:r w:rsidR="0059332D"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 xml:space="preserve">un 2020.gada 29.decembrī pagarināta līdz 2021.gada 7.februārim </w:t>
            </w: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 xml:space="preserve">ārkārtējā situācija un </w:t>
            </w:r>
            <w:r w:rsidR="000B71FB"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tiek</w:t>
            </w:r>
            <w:r w:rsidR="00C77469"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 xml:space="preserve"> turpināts</w:t>
            </w: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 xml:space="preserve"> </w:t>
            </w:r>
            <w:r w:rsidR="000B71FB"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pastiprināt d</w:t>
            </w: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ažāda veida ierobežojum</w:t>
            </w:r>
            <w:r w:rsidR="00C77469"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us</w:t>
            </w: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 xml:space="preserve">, kas kopumā kavē tautsaimniecības attīstību un ekonomikas atveseļošanos, līdz ar to joprojām nepieciešams īstenot </w:t>
            </w:r>
            <w:r w:rsidR="002D36AB"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 xml:space="preserve">atbalsta </w:t>
            </w: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pasākumus Covid-19 krīzes pārvarēšanai.</w:t>
            </w: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  <w:p w14:paraId="2C65BDEC" w14:textId="5C87ADAE" w:rsidR="001342EF" w:rsidRPr="000965FC" w:rsidRDefault="001342EF" w:rsidP="001342EF">
            <w:pPr>
              <w:spacing w:before="120"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Ministru kabinetā 2020.gada 10.novembrī tika apstiprināti noteikumi Nr.676 “</w:t>
            </w:r>
            <w:r w:rsidRPr="000965FC">
              <w:rPr>
                <w:sz w:val="26"/>
                <w:szCs w:val="26"/>
                <w:lang w:val="lv-LV"/>
              </w:rPr>
              <w:t>Noteikumi par atbalstu Covid-19 krīzes skartajiem uzņēmumiem apgrozāmo līdzekļu plūsmas nodrošināšanai</w:t>
            </w: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 xml:space="preserve">” (turpmāk – MK Noteikumi Nr.676), nosakot </w:t>
            </w: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kritērijus, pieprasīšanas un piešķiršanas kārtību, ko piemēro krīzes skartajiem nodokļu maksātājiem granta veidā </w:t>
            </w:r>
            <w:r w:rsidRPr="000965FC">
              <w:rPr>
                <w:rFonts w:eastAsia="Times New Roman"/>
                <w:bCs/>
                <w:color w:val="000000" w:themeColor="text1"/>
                <w:sz w:val="26"/>
                <w:szCs w:val="26"/>
                <w:lang w:val="lv-LV" w:eastAsia="lv-LV"/>
              </w:rPr>
              <w:t xml:space="preserve">apgrozāmo līdzekļu plūsmas </w:t>
            </w: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kompensācijai</w:t>
            </w:r>
            <w:r w:rsidR="007921E4" w:rsidRPr="000965FC">
              <w:rPr>
                <w:color w:val="000000" w:themeColor="text1"/>
                <w:sz w:val="26"/>
                <w:szCs w:val="26"/>
                <w:lang w:val="lv-LV"/>
              </w:rPr>
              <w:t>.</w:t>
            </w:r>
          </w:p>
          <w:p w14:paraId="6F736F04" w14:textId="03823FD8" w:rsidR="00C420F9" w:rsidRPr="000965FC" w:rsidRDefault="00C420F9" w:rsidP="00E6289C">
            <w:pPr>
              <w:spacing w:before="120"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u w:val="single"/>
                <w:lang w:val="lv-LV"/>
              </w:rPr>
              <w:t>Identificētā problēma</w:t>
            </w:r>
            <w:r w:rsidR="00E6289C"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  <w:r w:rsidR="00467463">
              <w:rPr>
                <w:color w:val="000000" w:themeColor="text1"/>
                <w:sz w:val="26"/>
                <w:szCs w:val="26"/>
                <w:lang w:val="lv-LV"/>
              </w:rPr>
              <w:t>–</w:t>
            </w:r>
            <w:r w:rsidR="00E6289C"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  <w:r w:rsidR="00467463">
              <w:rPr>
                <w:color w:val="000000" w:themeColor="text1"/>
                <w:sz w:val="26"/>
                <w:szCs w:val="26"/>
                <w:lang w:val="lv-LV"/>
              </w:rPr>
              <w:t xml:space="preserve">ņemot vērā ieilgušo Covid-19 krīzi uz uzņēmēju saimniecisko darbību, nepieciešams palielināt </w:t>
            </w:r>
            <w:r w:rsidR="002D36AB" w:rsidRPr="000965FC">
              <w:rPr>
                <w:color w:val="000000" w:themeColor="text1"/>
                <w:sz w:val="26"/>
                <w:szCs w:val="26"/>
                <w:lang w:val="lv-LV"/>
              </w:rPr>
              <w:t>a</w:t>
            </w:r>
            <w:r w:rsidR="007921E4" w:rsidRPr="000965FC">
              <w:rPr>
                <w:color w:val="000000" w:themeColor="text1"/>
                <w:sz w:val="26"/>
                <w:szCs w:val="26"/>
                <w:lang w:val="lv-LV"/>
              </w:rPr>
              <w:t>tbalst</w:t>
            </w:r>
            <w:r w:rsidR="001D4AA6" w:rsidRPr="000965FC">
              <w:rPr>
                <w:color w:val="000000" w:themeColor="text1"/>
                <w:sz w:val="26"/>
                <w:szCs w:val="26"/>
                <w:lang w:val="lv-LV"/>
              </w:rPr>
              <w:t>a</w:t>
            </w:r>
            <w:r w:rsidR="00467463">
              <w:rPr>
                <w:color w:val="000000" w:themeColor="text1"/>
                <w:sz w:val="26"/>
                <w:szCs w:val="26"/>
                <w:lang w:val="lv-LV"/>
              </w:rPr>
              <w:t xml:space="preserve"> slieks</w:t>
            </w:r>
            <w:r w:rsidR="00F77C73">
              <w:rPr>
                <w:color w:val="000000" w:themeColor="text1"/>
                <w:sz w:val="26"/>
                <w:szCs w:val="26"/>
                <w:lang w:val="lv-LV"/>
              </w:rPr>
              <w:t>n</w:t>
            </w:r>
            <w:bookmarkStart w:id="6" w:name="_GoBack"/>
            <w:bookmarkEnd w:id="6"/>
            <w:r w:rsidR="00467463">
              <w:rPr>
                <w:color w:val="000000" w:themeColor="text1"/>
                <w:sz w:val="26"/>
                <w:szCs w:val="26"/>
                <w:lang w:val="lv-LV"/>
              </w:rPr>
              <w:t>i</w:t>
            </w:r>
            <w:r w:rsidR="007921E4"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  <w:r w:rsidR="001D4AA6"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Covid-19 ietekmētajiem </w:t>
            </w:r>
            <w:r w:rsidR="007921E4" w:rsidRPr="000965FC">
              <w:rPr>
                <w:color w:val="000000" w:themeColor="text1"/>
                <w:sz w:val="26"/>
                <w:szCs w:val="26"/>
                <w:lang w:val="lv-LV"/>
              </w:rPr>
              <w:t>uzņēmumiem pēc 2021.gada 1.janvāra</w:t>
            </w:r>
            <w:r w:rsidR="00E6289C" w:rsidRPr="000965FC">
              <w:rPr>
                <w:color w:val="000000" w:themeColor="text1"/>
                <w:sz w:val="26"/>
                <w:szCs w:val="26"/>
                <w:lang w:val="lv-LV"/>
              </w:rPr>
              <w:t>.</w:t>
            </w:r>
            <w:r w:rsidR="00467463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  <w:p w14:paraId="6606407E" w14:textId="1FF68DF8" w:rsidR="000B71FB" w:rsidRPr="000965FC" w:rsidRDefault="00467463" w:rsidP="001342EF">
            <w:pPr>
              <w:spacing w:before="120"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bookmarkStart w:id="7" w:name="_Hlk57995344"/>
            <w:r>
              <w:rPr>
                <w:color w:val="000000" w:themeColor="text1"/>
                <w:sz w:val="26"/>
                <w:szCs w:val="26"/>
                <w:lang w:val="lv-LV"/>
              </w:rPr>
              <w:lastRenderedPageBreak/>
              <w:t xml:space="preserve">Minētais priekšlikums ir izskatīts 2021.gada 13.janvāra </w:t>
            </w:r>
            <w:r w:rsidR="001342EF" w:rsidRPr="000965FC">
              <w:rPr>
                <w:color w:val="000000" w:themeColor="text1"/>
                <w:sz w:val="26"/>
                <w:szCs w:val="26"/>
                <w:lang w:val="lv-LV"/>
              </w:rPr>
              <w:t>Krīzes vadības grupas uzņēmējdarbības veicināšanai ietvaros</w:t>
            </w:r>
            <w:bookmarkEnd w:id="7"/>
            <w:r>
              <w:rPr>
                <w:color w:val="000000" w:themeColor="text1"/>
                <w:sz w:val="26"/>
                <w:szCs w:val="26"/>
                <w:lang w:val="lv-LV"/>
              </w:rPr>
              <w:t xml:space="preserve">, kurā </w:t>
            </w:r>
            <w:r w:rsidR="001342EF" w:rsidRPr="000965FC">
              <w:rPr>
                <w:color w:val="000000" w:themeColor="text1"/>
                <w:sz w:val="26"/>
                <w:szCs w:val="26"/>
                <w:lang w:val="lv-LV"/>
              </w:rPr>
              <w:t>tika turpinātas konsultācijas ar uzņēmēju pārstāvošajām organizācijām par atbalsta programmas nosacījumiem</w:t>
            </w:r>
            <w:r w:rsidR="001D4AA6" w:rsidRPr="000965FC">
              <w:rPr>
                <w:color w:val="000000" w:themeColor="text1"/>
                <w:sz w:val="26"/>
                <w:szCs w:val="26"/>
                <w:lang w:val="lv-LV"/>
              </w:rPr>
              <w:t>.</w:t>
            </w:r>
            <w:r w:rsidR="00E6289C"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  <w:p w14:paraId="1F76AD9C" w14:textId="77777777" w:rsidR="00C81933" w:rsidRDefault="00E6289C" w:rsidP="00467463">
            <w:pPr>
              <w:spacing w:before="120"/>
              <w:jc w:val="both"/>
              <w:rPr>
                <w:sz w:val="26"/>
                <w:szCs w:val="26"/>
                <w:lang w:val="lv-LV"/>
              </w:rPr>
            </w:pPr>
            <w:r w:rsidRPr="00467463">
              <w:rPr>
                <w:color w:val="000000" w:themeColor="text1"/>
                <w:sz w:val="26"/>
                <w:szCs w:val="26"/>
                <w:lang w:val="lv-LV"/>
              </w:rPr>
              <w:t>Attiecīgi MK Noteikumu projekts</w:t>
            </w:r>
            <w:r w:rsidR="00467463" w:rsidRPr="00467463">
              <w:rPr>
                <w:color w:val="000000" w:themeColor="text1"/>
                <w:sz w:val="26"/>
                <w:szCs w:val="26"/>
                <w:lang w:val="lv-LV"/>
              </w:rPr>
              <w:t xml:space="preserve"> n</w:t>
            </w:r>
            <w:r w:rsidR="001D4AA6" w:rsidRPr="00467463">
              <w:rPr>
                <w:color w:val="000000" w:themeColor="text1"/>
                <w:sz w:val="26"/>
                <w:szCs w:val="26"/>
                <w:lang w:val="lv-LV"/>
              </w:rPr>
              <w:t>osaka</w:t>
            </w:r>
            <w:r w:rsidR="00467463" w:rsidRPr="00467463">
              <w:rPr>
                <w:color w:val="000000" w:themeColor="text1"/>
                <w:sz w:val="26"/>
                <w:szCs w:val="26"/>
                <w:lang w:val="lv-LV"/>
              </w:rPr>
              <w:t>, ka atbalsta apmērs</w:t>
            </w:r>
            <w:r w:rsidR="00467463">
              <w:rPr>
                <w:sz w:val="28"/>
                <w:szCs w:val="28"/>
              </w:rPr>
              <w:t xml:space="preserve"> par </w:t>
            </w:r>
            <w:r w:rsidR="00467463" w:rsidRPr="00467463">
              <w:rPr>
                <w:sz w:val="26"/>
                <w:szCs w:val="26"/>
                <w:lang w:val="lv-LV"/>
              </w:rPr>
              <w:t>2021.gada atbalsta perioda mēnešiem</w:t>
            </w:r>
            <w:r w:rsidR="00467463" w:rsidRPr="00467463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  <w:r w:rsidR="00467463" w:rsidRPr="00467463">
              <w:rPr>
                <w:sz w:val="26"/>
                <w:szCs w:val="26"/>
                <w:shd w:val="clear" w:color="auto" w:fill="FFFFFF"/>
                <w:lang w:val="lv-LV"/>
              </w:rPr>
              <w:t>30 % apmērā no uzņēmuma bruto darba algas kopsummas, par kuru samaksāti darba algas nodokļi 2020. gada augustā, septembrī un oktobrī, bet ne vairāk kā 50 000 </w:t>
            </w:r>
            <w:r w:rsidR="00467463" w:rsidRPr="00467463">
              <w:rPr>
                <w:i/>
                <w:iCs/>
                <w:sz w:val="26"/>
                <w:szCs w:val="26"/>
                <w:lang w:val="lv-LV"/>
              </w:rPr>
              <w:t>euro</w:t>
            </w:r>
            <w:r w:rsidR="00467463" w:rsidRPr="00467463">
              <w:rPr>
                <w:sz w:val="26"/>
                <w:szCs w:val="26"/>
                <w:lang w:val="lv-LV"/>
              </w:rPr>
              <w:t xml:space="preserve"> katrā atbalsta perioda mēnesī atsevišķi tiek palielināts uz </w:t>
            </w:r>
            <w:r w:rsidR="00467463" w:rsidRPr="00467463">
              <w:rPr>
                <w:sz w:val="26"/>
                <w:szCs w:val="26"/>
                <w:shd w:val="clear" w:color="auto" w:fill="FFFFFF"/>
                <w:lang w:val="lv-LV"/>
              </w:rPr>
              <w:t>60 %</w:t>
            </w:r>
            <w:r w:rsidR="009E08AF">
              <w:rPr>
                <w:sz w:val="26"/>
                <w:szCs w:val="26"/>
                <w:shd w:val="clear" w:color="auto" w:fill="FFFFFF"/>
                <w:lang w:val="lv-LV"/>
              </w:rPr>
              <w:t xml:space="preserve"> apmēru</w:t>
            </w:r>
            <w:r w:rsidR="00467463" w:rsidRPr="00467463">
              <w:rPr>
                <w:sz w:val="26"/>
                <w:szCs w:val="26"/>
                <w:shd w:val="clear" w:color="auto" w:fill="FFFFFF"/>
                <w:lang w:val="lv-LV"/>
              </w:rPr>
              <w:t xml:space="preserve"> no uzņēmuma bruto darba algas kopsummas, par kuru samaksāti darba algas nodokļi 2020. gada augustā, septembrī un oktobrī, bet ne vairāk kā 100 000 </w:t>
            </w:r>
            <w:r w:rsidR="00467463" w:rsidRPr="00467463">
              <w:rPr>
                <w:i/>
                <w:iCs/>
                <w:sz w:val="26"/>
                <w:szCs w:val="26"/>
                <w:lang w:val="lv-LV"/>
              </w:rPr>
              <w:t>euro</w:t>
            </w:r>
            <w:r w:rsidR="00467463" w:rsidRPr="00467463">
              <w:rPr>
                <w:sz w:val="26"/>
                <w:szCs w:val="26"/>
                <w:lang w:val="lv-LV"/>
              </w:rPr>
              <w:t xml:space="preserve"> katrā atbalsta perioda mēnesī atsevišķi</w:t>
            </w:r>
            <w:r w:rsidR="00467463">
              <w:rPr>
                <w:sz w:val="26"/>
                <w:szCs w:val="26"/>
                <w:lang w:val="lv-LV"/>
              </w:rPr>
              <w:t>.</w:t>
            </w:r>
            <w:r w:rsidR="00467463" w:rsidRPr="00467463">
              <w:rPr>
                <w:sz w:val="26"/>
                <w:szCs w:val="26"/>
                <w:lang w:val="lv-LV"/>
              </w:rPr>
              <w:t xml:space="preserve"> </w:t>
            </w:r>
          </w:p>
          <w:p w14:paraId="4A12643D" w14:textId="26EF0BCC" w:rsidR="00467463" w:rsidRPr="00467463" w:rsidRDefault="00C81933" w:rsidP="00467463">
            <w:pPr>
              <w:spacing w:before="12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Iesniegumiem par 2020.gada novembri un decembri atbalsta apmērs paliek nemainīgs </w:t>
            </w:r>
            <w:r w:rsidRPr="00467463">
              <w:rPr>
                <w:sz w:val="26"/>
                <w:szCs w:val="26"/>
                <w:shd w:val="clear" w:color="auto" w:fill="FFFFFF"/>
                <w:lang w:val="lv-LV"/>
              </w:rPr>
              <w:t>30 % apmērā no uzņēmuma bruto darba algas kopsummas, par kuru samaksāti darba algas nodokļi 2020. gada augustā, septembrī un oktobrī, bet ne vairāk kā 50 000 </w:t>
            </w:r>
            <w:r w:rsidRPr="00467463">
              <w:rPr>
                <w:i/>
                <w:iCs/>
                <w:sz w:val="26"/>
                <w:szCs w:val="26"/>
                <w:lang w:val="lv-LV"/>
              </w:rPr>
              <w:t>euro</w:t>
            </w:r>
            <w:r w:rsidRPr="00467463">
              <w:rPr>
                <w:sz w:val="26"/>
                <w:szCs w:val="26"/>
                <w:lang w:val="lv-LV"/>
              </w:rPr>
              <w:t xml:space="preserve"> katrā atbalsta perioda mēnesī atsevišķi</w:t>
            </w:r>
            <w:r>
              <w:rPr>
                <w:sz w:val="26"/>
                <w:szCs w:val="26"/>
                <w:lang w:val="lv-LV"/>
              </w:rPr>
              <w:t>.</w:t>
            </w:r>
          </w:p>
          <w:p w14:paraId="480EEDF0" w14:textId="55A230C5" w:rsidR="00467463" w:rsidRDefault="00467463" w:rsidP="00467463">
            <w:pPr>
              <w:spacing w:before="120"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467463">
              <w:rPr>
                <w:sz w:val="26"/>
                <w:szCs w:val="26"/>
                <w:lang w:val="lv-LV"/>
              </w:rPr>
              <w:t>Nemainīgs paliek nosacījums, ka kopējā atbalsta</w:t>
            </w:r>
            <w:r w:rsidR="009E08AF" w:rsidRPr="00467463">
              <w:rPr>
                <w:sz w:val="26"/>
                <w:szCs w:val="26"/>
                <w:lang w:val="lv-LV"/>
              </w:rPr>
              <w:t xml:space="preserve"> summa</w:t>
            </w:r>
            <w:r w:rsidRPr="00467463">
              <w:rPr>
                <w:sz w:val="26"/>
                <w:szCs w:val="26"/>
                <w:lang w:val="lv-LV"/>
              </w:rPr>
              <w:t>, kas sniegt</w:t>
            </w:r>
            <w:r w:rsidR="009E08AF">
              <w:rPr>
                <w:sz w:val="26"/>
                <w:szCs w:val="26"/>
                <w:lang w:val="lv-LV"/>
              </w:rPr>
              <w:t>a</w:t>
            </w:r>
            <w:r w:rsidRPr="00467463">
              <w:rPr>
                <w:sz w:val="26"/>
                <w:szCs w:val="26"/>
                <w:lang w:val="lv-LV"/>
              </w:rPr>
              <w:t xml:space="preserve"> saskaņā ar </w:t>
            </w:r>
            <w:r w:rsidRPr="00467463">
              <w:rPr>
                <w:sz w:val="26"/>
                <w:szCs w:val="26"/>
                <w:shd w:val="clear" w:color="auto" w:fill="FFFFFF"/>
                <w:lang w:val="lv-LV"/>
              </w:rPr>
              <w:t xml:space="preserve">Eiropas Komisijas </w:t>
            </w:r>
            <w:r w:rsidRPr="00467463">
              <w:rPr>
                <w:spacing w:val="-2"/>
                <w:sz w:val="26"/>
                <w:szCs w:val="26"/>
                <w:shd w:val="clear" w:color="auto" w:fill="FFFFFF"/>
                <w:lang w:val="lv-LV"/>
              </w:rPr>
              <w:t xml:space="preserve">2020. gada 19. marta paziņojumu "Pagaidu regulējums valsts atbalsta pasākumiem, </w:t>
            </w:r>
            <w:r w:rsidRPr="00467463">
              <w:rPr>
                <w:sz w:val="26"/>
                <w:szCs w:val="26"/>
                <w:shd w:val="clear" w:color="auto" w:fill="FFFFFF"/>
                <w:lang w:val="lv-LV"/>
              </w:rPr>
              <w:t>ar ko atbalsta ekonomiku pašreizējā Covid-19 uzliesmojuma situācijā" (C(2020)1863) (turpmāk – Pagaidu regulējums)</w:t>
            </w:r>
            <w:r w:rsidRPr="00467463">
              <w:rPr>
                <w:sz w:val="26"/>
                <w:szCs w:val="26"/>
                <w:lang w:val="lv-LV"/>
              </w:rPr>
              <w:t>, nepārsniedz 800 000 </w:t>
            </w:r>
            <w:r w:rsidRPr="00467463">
              <w:rPr>
                <w:i/>
                <w:iCs/>
                <w:sz w:val="26"/>
                <w:szCs w:val="26"/>
                <w:lang w:val="lv-LV"/>
              </w:rPr>
              <w:t xml:space="preserve">euro vai 120 000 euro </w:t>
            </w:r>
            <w:r w:rsidRPr="00467463">
              <w:rPr>
                <w:sz w:val="26"/>
                <w:szCs w:val="26"/>
                <w:lang w:val="lv-LV"/>
              </w:rPr>
              <w:t>saistītu personu grupai.</w:t>
            </w:r>
            <w:r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  <w:p w14:paraId="15EF4E18" w14:textId="1922DE96" w:rsidR="008247F1" w:rsidRPr="009D1FC1" w:rsidRDefault="00467463" w:rsidP="00467463">
            <w:pPr>
              <w:spacing w:before="120"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DF5A4D">
              <w:rPr>
                <w:color w:val="000000" w:themeColor="text1"/>
                <w:sz w:val="26"/>
                <w:szCs w:val="26"/>
                <w:lang w:val="lv-LV"/>
              </w:rPr>
              <w:t xml:space="preserve">Ar MK Noteikumu projektu Covid-19 </w:t>
            </w:r>
            <w:r w:rsidRPr="00DF5A4D">
              <w:rPr>
                <w:color w:val="000000"/>
                <w:sz w:val="26"/>
                <w:szCs w:val="26"/>
                <w:lang w:val="lv-LV" w:eastAsia="lv-LV"/>
              </w:rPr>
              <w:t xml:space="preserve">krīzes skartajiem potenciālajiem atbalsta saņēmējiem </w:t>
            </w:r>
            <w:r w:rsidRPr="00DF5A4D">
              <w:rPr>
                <w:color w:val="000000" w:themeColor="text1"/>
                <w:sz w:val="26"/>
                <w:szCs w:val="26"/>
                <w:lang w:val="lv-LV"/>
              </w:rPr>
              <w:t xml:space="preserve">tiek paredzēti </w:t>
            </w:r>
            <w:r w:rsidR="009E08AF">
              <w:rPr>
                <w:color w:val="000000" w:themeColor="text1"/>
                <w:sz w:val="26"/>
                <w:szCs w:val="26"/>
                <w:lang w:val="lv-LV"/>
              </w:rPr>
              <w:t>labvēlīgāki</w:t>
            </w:r>
            <w:r w:rsidRPr="00DF5A4D">
              <w:rPr>
                <w:color w:val="000000" w:themeColor="text1"/>
                <w:sz w:val="26"/>
                <w:szCs w:val="26"/>
                <w:lang w:val="lv-LV"/>
              </w:rPr>
              <w:t xml:space="preserve"> nosacījumi, salīdzinājumā ar iepriekš noteikto atbalsta periodu 2020.gada novembrī un decembrī, jo tad nebija vērojama tik negatīva ietekme tautsaimniecībā, taču ieilgstot krīzei un turpinot ierobežojumus uzņēmējdarbībai, atbalsts </w:t>
            </w:r>
            <w:r w:rsidR="00DF5A4D" w:rsidRPr="00DF5A4D">
              <w:rPr>
                <w:color w:val="000000" w:themeColor="text1"/>
                <w:sz w:val="26"/>
                <w:szCs w:val="26"/>
                <w:lang w:val="lv-LV"/>
              </w:rPr>
              <w:t>par sekojošiem atbalsta mēnešiem 2021.gadā ir pieejams lielākā apmērā un</w:t>
            </w:r>
            <w:r w:rsidRPr="00DF5A4D">
              <w:rPr>
                <w:color w:val="000000" w:themeColor="text1"/>
                <w:sz w:val="26"/>
                <w:szCs w:val="26"/>
                <w:lang w:val="lv-LV"/>
              </w:rPr>
              <w:t xml:space="preserve"> joprojām pieejams visiem Covid-19 </w:t>
            </w:r>
            <w:r w:rsidRPr="00DF5A4D">
              <w:rPr>
                <w:color w:val="000000"/>
                <w:sz w:val="26"/>
                <w:szCs w:val="26"/>
                <w:lang w:val="lv-LV" w:eastAsia="lv-LV"/>
              </w:rPr>
              <w:t>krīzes skartajiem potenciālajiem atbalsta saņēmējiem</w:t>
            </w:r>
            <w:r w:rsidR="009D1FC1" w:rsidRPr="009D1FC1">
              <w:rPr>
                <w:color w:val="000000"/>
                <w:sz w:val="26"/>
                <w:szCs w:val="26"/>
                <w:lang w:val="lv-LV" w:eastAsia="lv-LV"/>
              </w:rPr>
              <w:t>,</w:t>
            </w:r>
            <w:r w:rsidR="009D1FC1" w:rsidRPr="009D1FC1">
              <w:rPr>
                <w:color w:val="000000" w:themeColor="text1"/>
                <w:sz w:val="26"/>
                <w:szCs w:val="26"/>
                <w:lang w:val="lv-LV"/>
              </w:rPr>
              <w:t xml:space="preserve"> tādējādi stabilizējot situāciju tautsaimniecībā</w:t>
            </w:r>
            <w:r w:rsidRPr="009D1FC1">
              <w:rPr>
                <w:color w:val="000000" w:themeColor="text1"/>
                <w:sz w:val="26"/>
                <w:szCs w:val="26"/>
                <w:lang w:val="lv-LV"/>
              </w:rPr>
              <w:t>.</w:t>
            </w:r>
          </w:p>
          <w:p w14:paraId="69D96193" w14:textId="07F4DEB9" w:rsidR="001F37E9" w:rsidRPr="000965FC" w:rsidRDefault="001F37E9" w:rsidP="001342EF">
            <w:pPr>
              <w:spacing w:before="120"/>
              <w:jc w:val="both"/>
              <w:rPr>
                <w:sz w:val="26"/>
                <w:szCs w:val="26"/>
                <w:lang w:val="lv-LV" w:eastAsia="lv-LV"/>
              </w:rPr>
            </w:pPr>
            <w:r w:rsidRPr="000965FC">
              <w:rPr>
                <w:sz w:val="26"/>
                <w:szCs w:val="26"/>
                <w:lang w:val="lv-LV" w:eastAsia="lv-LV"/>
              </w:rPr>
              <w:t>Ar MK Noteikumu projektu paredzētās izmaiņas plānotas atbalsta programmas piešķirtā valsts budžeta finansējuma ietvaros (70,8 milj. EUR</w:t>
            </w:r>
            <w:r w:rsidR="00FB6F6B"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 no līdzekļiem neparedzētiem gadījumiem</w:t>
            </w:r>
            <w:r w:rsidRPr="000965FC">
              <w:rPr>
                <w:sz w:val="26"/>
                <w:szCs w:val="26"/>
                <w:lang w:val="lv-LV" w:eastAsia="lv-LV"/>
              </w:rPr>
              <w:t>).</w:t>
            </w:r>
          </w:p>
          <w:p w14:paraId="6E9EBE78" w14:textId="3BC2CBCE" w:rsidR="002D36AB" w:rsidRPr="000965FC" w:rsidRDefault="002D36AB" w:rsidP="001342EF">
            <w:pPr>
              <w:pStyle w:val="paragraph"/>
              <w:spacing w:before="120" w:beforeAutospacing="0" w:after="0" w:afterAutospacing="0"/>
              <w:jc w:val="both"/>
              <w:rPr>
                <w:iCs/>
                <w:color w:val="000000" w:themeColor="text1"/>
                <w:sz w:val="26"/>
                <w:szCs w:val="26"/>
              </w:rPr>
            </w:pPr>
            <w:r w:rsidRPr="000965FC">
              <w:rPr>
                <w:iCs/>
                <w:color w:val="000000" w:themeColor="text1"/>
                <w:sz w:val="26"/>
                <w:szCs w:val="26"/>
              </w:rPr>
              <w:t>Eiropas Komisijas 2020.gada 16.decembrī pieņēma lēmumu</w:t>
            </w:r>
            <w:r w:rsidRPr="000965FC">
              <w:rPr>
                <w:color w:val="000000" w:themeColor="text1"/>
                <w:sz w:val="26"/>
                <w:szCs w:val="26"/>
              </w:rPr>
              <w:t xml:space="preserve"> par MK Noteikumiem Nr.676</w:t>
            </w:r>
            <w:r w:rsidRPr="000965FC">
              <w:rPr>
                <w:iCs/>
                <w:color w:val="000000" w:themeColor="text1"/>
                <w:sz w:val="26"/>
                <w:szCs w:val="26"/>
              </w:rPr>
              <w:t xml:space="preserve"> (</w:t>
            </w:r>
            <w:r w:rsidRPr="000965FC">
              <w:rPr>
                <w:i/>
                <w:color w:val="000000" w:themeColor="text1"/>
                <w:sz w:val="26"/>
                <w:szCs w:val="26"/>
                <w:lang w:val="en-US"/>
              </w:rPr>
              <w:t>SA.59592 (2020/N) – Latvia COVID-19: Grants to companies affected by the COVID-19 crisis to ensure the flow of working capital</w:t>
            </w:r>
            <w:r w:rsidRPr="000965FC">
              <w:rPr>
                <w:iCs/>
                <w:color w:val="000000" w:themeColor="text1"/>
                <w:sz w:val="26"/>
                <w:szCs w:val="26"/>
              </w:rPr>
              <w:t xml:space="preserve">). </w:t>
            </w:r>
          </w:p>
          <w:p w14:paraId="75F6D96E" w14:textId="61D31720" w:rsidR="001342EF" w:rsidRPr="000965FC" w:rsidRDefault="002D36AB" w:rsidP="002D36AB">
            <w:pPr>
              <w:pStyle w:val="paragraph"/>
              <w:spacing w:before="120" w:beforeAutospacing="0" w:after="0" w:afterAutospacing="0"/>
              <w:jc w:val="both"/>
              <w:rPr>
                <w:sz w:val="26"/>
                <w:szCs w:val="26"/>
              </w:rPr>
            </w:pPr>
            <w:r w:rsidRPr="000965FC">
              <w:rPr>
                <w:iCs/>
                <w:color w:val="000000" w:themeColor="text1"/>
                <w:sz w:val="26"/>
                <w:szCs w:val="26"/>
              </w:rPr>
              <w:t>Ņemot vērā MK Noteikumu projektā iekļautos grozījumus</w:t>
            </w:r>
            <w:r w:rsidR="00DF5A4D">
              <w:rPr>
                <w:iCs/>
                <w:color w:val="000000" w:themeColor="text1"/>
                <w:sz w:val="26"/>
                <w:szCs w:val="26"/>
              </w:rPr>
              <w:t xml:space="preserve">, kā arī 2021.gda 12.janvārī Ministru kabinetā apstiprinātos </w:t>
            </w:r>
            <w:r w:rsidR="00DF5A4D">
              <w:rPr>
                <w:iCs/>
                <w:color w:val="000000" w:themeColor="text1"/>
                <w:sz w:val="26"/>
                <w:szCs w:val="26"/>
              </w:rPr>
              <w:lastRenderedPageBreak/>
              <w:t>MK Noteikumu N</w:t>
            </w:r>
            <w:r w:rsidR="009D1FC1">
              <w:rPr>
                <w:iCs/>
                <w:color w:val="000000" w:themeColor="text1"/>
                <w:sz w:val="26"/>
                <w:szCs w:val="26"/>
              </w:rPr>
              <w:t>r</w:t>
            </w:r>
            <w:r w:rsidR="00DF5A4D">
              <w:rPr>
                <w:iCs/>
                <w:color w:val="000000" w:themeColor="text1"/>
                <w:sz w:val="26"/>
                <w:szCs w:val="26"/>
              </w:rPr>
              <w:t>.676 grozījumus</w:t>
            </w:r>
            <w:r w:rsidRPr="000965FC">
              <w:rPr>
                <w:iCs/>
                <w:color w:val="000000" w:themeColor="text1"/>
                <w:sz w:val="26"/>
                <w:szCs w:val="26"/>
              </w:rPr>
              <w:t xml:space="preserve">, Ekonomikas ministrija 5 darbdienu laikā sagatavos un iesniegs ar Finanšu ministriju saskaņotu </w:t>
            </w:r>
            <w:r w:rsidR="001342EF" w:rsidRPr="000965FC">
              <w:rPr>
                <w:color w:val="000000" w:themeColor="text1"/>
                <w:sz w:val="26"/>
                <w:szCs w:val="26"/>
              </w:rPr>
              <w:t xml:space="preserve">paziņojumu </w:t>
            </w:r>
            <w:r w:rsidRPr="000965FC">
              <w:rPr>
                <w:iCs/>
                <w:color w:val="000000" w:themeColor="text1"/>
                <w:sz w:val="26"/>
                <w:szCs w:val="26"/>
              </w:rPr>
              <w:t xml:space="preserve">Eiropas Komisijai </w:t>
            </w:r>
            <w:r w:rsidR="001342EF" w:rsidRPr="000965FC">
              <w:rPr>
                <w:color w:val="000000" w:themeColor="text1"/>
                <w:sz w:val="26"/>
                <w:szCs w:val="26"/>
              </w:rPr>
              <w:t>par MK Noteikum</w:t>
            </w:r>
            <w:r w:rsidRPr="000965FC">
              <w:rPr>
                <w:color w:val="000000" w:themeColor="text1"/>
                <w:sz w:val="26"/>
                <w:szCs w:val="26"/>
              </w:rPr>
              <w:t>u projektu</w:t>
            </w:r>
            <w:r w:rsidR="001342EF" w:rsidRPr="000965FC">
              <w:rPr>
                <w:color w:val="000000" w:themeColor="text1"/>
                <w:sz w:val="26"/>
                <w:szCs w:val="26"/>
              </w:rPr>
              <w:t>, izmantojot Eiropas Komisijas pārziņā esošo elektroniskās paziņošanas sistēmu – SANI 2</w:t>
            </w:r>
            <w:r w:rsidR="001342EF" w:rsidRPr="000965FC">
              <w:rPr>
                <w:iCs/>
                <w:color w:val="000000" w:themeColor="text1"/>
                <w:sz w:val="26"/>
                <w:szCs w:val="26"/>
              </w:rPr>
              <w:t xml:space="preserve">.  </w:t>
            </w:r>
            <w:r w:rsidR="00D953BF" w:rsidRPr="000965FC">
              <w:rPr>
                <w:color w:val="000000" w:themeColor="text1"/>
                <w:sz w:val="26"/>
                <w:szCs w:val="26"/>
                <w:shd w:val="clear" w:color="auto" w:fill="FFFFFF"/>
              </w:rPr>
              <w:t>Ekonomikas ministrija pēc tam, kad Eiropas Komisija pieņēmusi lēmumu par MK Noteikumu projektā ietvertā komercdarbības atbalsta saderību ar Eiropas Savienības iekšējo tirgu, nosūta attiecīgu paziņojumu publicēšanai oficiālajā izdevumā "Latvijas Vēstnesis".</w:t>
            </w:r>
          </w:p>
          <w:p w14:paraId="0E5A19C3" w14:textId="60899235" w:rsidR="001342EF" w:rsidRPr="000965FC" w:rsidRDefault="00FB6F6B" w:rsidP="006A4C69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Valsts ieņēmumu dienests atbalsta izmaksu </w:t>
            </w:r>
            <w:r w:rsidR="003A6A8E"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saskaņā MK Noteikumu projektā ietvertajiem grozījumiem </w:t>
            </w: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veiks</w:t>
            </w:r>
            <w:r w:rsidR="003A6A8E"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 pēc </w:t>
            </w:r>
            <w:r w:rsidR="003A6A8E" w:rsidRPr="000965FC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MK </w:t>
            </w:r>
            <w:r w:rsidR="003A6A8E" w:rsidRPr="000965FC">
              <w:rPr>
                <w:color w:val="000000" w:themeColor="text1"/>
                <w:sz w:val="26"/>
                <w:szCs w:val="26"/>
                <w:shd w:val="clear" w:color="auto" w:fill="FFFFFF"/>
                <w:lang w:val="lv-LV"/>
              </w:rPr>
              <w:t>Noteikumu projekta spēkā stāšanās</w:t>
            </w:r>
            <w:r w:rsidR="00B02C46" w:rsidRPr="000965FC">
              <w:rPr>
                <w:rFonts w:eastAsia="Times New Roman"/>
                <w:sz w:val="26"/>
                <w:szCs w:val="26"/>
                <w:lang w:val="lv-LV" w:eastAsia="lv-LV"/>
              </w:rPr>
              <w:t>.</w:t>
            </w:r>
          </w:p>
        </w:tc>
      </w:tr>
      <w:tr w:rsidR="001342EF" w:rsidRPr="000965FC" w14:paraId="6EA8D031" w14:textId="77777777" w:rsidTr="001342EF">
        <w:tc>
          <w:tcPr>
            <w:tcW w:w="546" w:type="dxa"/>
          </w:tcPr>
          <w:p w14:paraId="229131F8" w14:textId="63030CCA" w:rsidR="001342EF" w:rsidRPr="000965FC" w:rsidRDefault="001342EF" w:rsidP="001342EF">
            <w:pPr>
              <w:tabs>
                <w:tab w:val="right" w:pos="9072"/>
              </w:tabs>
              <w:contextualSpacing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lastRenderedPageBreak/>
              <w:t>3.</w:t>
            </w:r>
          </w:p>
        </w:tc>
        <w:tc>
          <w:tcPr>
            <w:tcW w:w="2094" w:type="dxa"/>
          </w:tcPr>
          <w:p w14:paraId="3736CC5D" w14:textId="6C65FB4C" w:rsidR="001342EF" w:rsidRPr="000965FC" w:rsidRDefault="001342EF" w:rsidP="001342EF">
            <w:pPr>
              <w:tabs>
                <w:tab w:val="right" w:pos="9072"/>
              </w:tabs>
              <w:contextualSpacing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Projekta izstrādē iesaistītās institūcijas un publiskas personas kapitālsabiedrības</w:t>
            </w:r>
          </w:p>
        </w:tc>
        <w:tc>
          <w:tcPr>
            <w:tcW w:w="6569" w:type="dxa"/>
          </w:tcPr>
          <w:p w14:paraId="4C4ADA62" w14:textId="08DC8FAA" w:rsidR="001342EF" w:rsidRPr="000965FC" w:rsidRDefault="001342EF" w:rsidP="001342EF">
            <w:pPr>
              <w:tabs>
                <w:tab w:val="right" w:pos="9072"/>
              </w:tabs>
              <w:contextualSpacing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Ekonomikas ministrija, Finanšu ministrija.</w:t>
            </w:r>
          </w:p>
        </w:tc>
      </w:tr>
      <w:tr w:rsidR="001342EF" w:rsidRPr="000965FC" w14:paraId="346F400E" w14:textId="77777777" w:rsidTr="001342EF">
        <w:tc>
          <w:tcPr>
            <w:tcW w:w="546" w:type="dxa"/>
          </w:tcPr>
          <w:p w14:paraId="5D47EBE6" w14:textId="522F84A7" w:rsidR="001342EF" w:rsidRPr="000965FC" w:rsidRDefault="001342EF" w:rsidP="001342EF">
            <w:pPr>
              <w:tabs>
                <w:tab w:val="right" w:pos="9072"/>
              </w:tabs>
              <w:contextualSpacing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4.</w:t>
            </w:r>
          </w:p>
        </w:tc>
        <w:tc>
          <w:tcPr>
            <w:tcW w:w="2094" w:type="dxa"/>
          </w:tcPr>
          <w:p w14:paraId="2B31B963" w14:textId="3379E9D4" w:rsidR="001342EF" w:rsidRPr="000965FC" w:rsidRDefault="001342EF" w:rsidP="001342EF">
            <w:pPr>
              <w:tabs>
                <w:tab w:val="right" w:pos="9072"/>
              </w:tabs>
              <w:contextualSpacing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Cita informācija</w:t>
            </w:r>
          </w:p>
        </w:tc>
        <w:tc>
          <w:tcPr>
            <w:tcW w:w="6569" w:type="dxa"/>
          </w:tcPr>
          <w:p w14:paraId="2DA1D4D8" w14:textId="1EF02194" w:rsidR="001342EF" w:rsidRPr="000965FC" w:rsidRDefault="001342EF" w:rsidP="001342EF">
            <w:pPr>
              <w:tabs>
                <w:tab w:val="right" w:pos="9072"/>
              </w:tabs>
              <w:contextualSpacing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Nav.</w:t>
            </w:r>
          </w:p>
        </w:tc>
      </w:tr>
    </w:tbl>
    <w:p w14:paraId="236A9185" w14:textId="4A5D62F3" w:rsidR="00500925" w:rsidRPr="000965FC" w:rsidRDefault="00500925" w:rsidP="00434856">
      <w:pPr>
        <w:tabs>
          <w:tab w:val="right" w:pos="9072"/>
        </w:tabs>
        <w:contextualSpacing/>
        <w:rPr>
          <w:color w:val="000000" w:themeColor="text1"/>
          <w:sz w:val="26"/>
          <w:szCs w:val="26"/>
          <w:lang w:val="lv-LV"/>
        </w:rPr>
      </w:pPr>
    </w:p>
    <w:tbl>
      <w:tblPr>
        <w:tblW w:w="9218" w:type="dxa"/>
        <w:tblInd w:w="-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2482"/>
        <w:gridCol w:w="6466"/>
      </w:tblGrid>
      <w:tr w:rsidR="00844176" w:rsidRPr="000965FC" w14:paraId="5271E387" w14:textId="77777777" w:rsidTr="001342EF">
        <w:trPr>
          <w:trHeight w:val="555"/>
        </w:trPr>
        <w:tc>
          <w:tcPr>
            <w:tcW w:w="9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2511" w14:textId="2050B5AE" w:rsidR="00844176" w:rsidRPr="000965FC" w:rsidRDefault="009A00EB" w:rsidP="003D3252">
            <w:pPr>
              <w:contextualSpacing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lv-LV" w:eastAsia="lv-LV"/>
              </w:rPr>
              <w:t>II. Tiesību akta projekta ietekme uz sabiedrību, tautsaimniecības attīstību un administratīvo slogu</w:t>
            </w:r>
          </w:p>
        </w:tc>
      </w:tr>
      <w:tr w:rsidR="00A76C0A" w:rsidRPr="000965FC" w14:paraId="7F8630C6" w14:textId="77777777" w:rsidTr="001342EF">
        <w:trPr>
          <w:trHeight w:val="465"/>
        </w:trPr>
        <w:tc>
          <w:tcPr>
            <w:tcW w:w="270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3CFEBF" w14:textId="77777777" w:rsidR="009A00EB" w:rsidRPr="000965FC" w:rsidRDefault="009A00EB" w:rsidP="009A00EB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05C526" w14:textId="77777777" w:rsidR="009A00EB" w:rsidRPr="000965FC" w:rsidRDefault="009A00EB" w:rsidP="009A00EB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Sabiedrības mērķgrupas, kuras tiesiskais regulējums ietekmē vai varētu ietekmēt</w:t>
            </w:r>
          </w:p>
        </w:tc>
        <w:tc>
          <w:tcPr>
            <w:tcW w:w="6466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68FB87" w14:textId="0C789A69" w:rsidR="002D36AB" w:rsidRPr="009D1FC1" w:rsidRDefault="003F0B47" w:rsidP="009D1FC1">
            <w:pPr>
              <w:jc w:val="both"/>
              <w:rPr>
                <w:rFonts w:ascii="Segoe UI" w:eastAsia="Times New Roman" w:hAnsi="Segoe UI" w:cs="Segoe UI"/>
                <w:sz w:val="21"/>
                <w:szCs w:val="21"/>
                <w:lang w:val="lv-LV" w:eastAsia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Latvijā reģistrēti </w:t>
            </w:r>
            <w:r w:rsidR="008B6988" w:rsidRPr="000965FC">
              <w:rPr>
                <w:color w:val="000000" w:themeColor="text1"/>
                <w:sz w:val="26"/>
                <w:szCs w:val="26"/>
                <w:lang w:val="lv-LV"/>
              </w:rPr>
              <w:t>nodokļu maksātāji</w:t>
            </w:r>
            <w:r w:rsidR="00080241" w:rsidRPr="000965FC">
              <w:rPr>
                <w:color w:val="000000" w:themeColor="text1"/>
                <w:sz w:val="26"/>
                <w:szCs w:val="26"/>
                <w:lang w:val="lv-LV"/>
              </w:rPr>
              <w:t>.</w:t>
            </w:r>
            <w:r w:rsidR="001902DC"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  <w:r w:rsidR="002D36AB" w:rsidRPr="000965FC">
              <w:rPr>
                <w:color w:val="000000" w:themeColor="text1"/>
                <w:sz w:val="26"/>
                <w:szCs w:val="26"/>
                <w:lang w:val="lv-LV"/>
              </w:rPr>
              <w:t>Valsts ieņēmumu dienests</w:t>
            </w:r>
            <w:r w:rsidR="008B6988" w:rsidRPr="000965FC">
              <w:rPr>
                <w:color w:val="000000" w:themeColor="text1"/>
                <w:sz w:val="26"/>
                <w:szCs w:val="26"/>
                <w:lang w:val="lv-LV"/>
              </w:rPr>
              <w:t>.</w:t>
            </w:r>
            <w:r w:rsidR="002D3B2F"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  <w:r w:rsidR="002D36AB" w:rsidRPr="009D1FC1">
              <w:rPr>
                <w:color w:val="000000" w:themeColor="text1"/>
                <w:sz w:val="26"/>
                <w:szCs w:val="26"/>
                <w:lang w:val="lv-LV"/>
              </w:rPr>
              <w:t>Uz 202</w:t>
            </w:r>
            <w:r w:rsidR="00DD7C70" w:rsidRPr="009D1FC1">
              <w:rPr>
                <w:color w:val="000000" w:themeColor="text1"/>
                <w:sz w:val="26"/>
                <w:szCs w:val="26"/>
                <w:lang w:val="lv-LV"/>
              </w:rPr>
              <w:t>1</w:t>
            </w:r>
            <w:r w:rsidR="002D36AB" w:rsidRPr="009D1FC1">
              <w:rPr>
                <w:color w:val="000000" w:themeColor="text1"/>
                <w:sz w:val="26"/>
                <w:szCs w:val="26"/>
                <w:lang w:val="lv-LV"/>
              </w:rPr>
              <w:t xml:space="preserve">.gada </w:t>
            </w:r>
            <w:r w:rsidR="009D1FC1" w:rsidRPr="009D1FC1">
              <w:rPr>
                <w:color w:val="000000" w:themeColor="text1"/>
                <w:sz w:val="26"/>
                <w:szCs w:val="26"/>
                <w:lang w:val="lv-LV"/>
              </w:rPr>
              <w:t>12</w:t>
            </w:r>
            <w:r w:rsidR="00DD7C70" w:rsidRPr="009D1FC1">
              <w:rPr>
                <w:color w:val="000000" w:themeColor="text1"/>
                <w:sz w:val="26"/>
                <w:szCs w:val="26"/>
                <w:lang w:val="lv-LV"/>
              </w:rPr>
              <w:t>.janvāri</w:t>
            </w:r>
            <w:r w:rsidR="002D36AB" w:rsidRPr="009D1FC1">
              <w:rPr>
                <w:color w:val="000000" w:themeColor="text1"/>
                <w:sz w:val="26"/>
                <w:szCs w:val="26"/>
                <w:lang w:val="lv-LV"/>
              </w:rPr>
              <w:t xml:space="preserve"> tika reģistrēti </w:t>
            </w:r>
            <w:r w:rsidR="009D1FC1" w:rsidRPr="009D1FC1">
              <w:rPr>
                <w:rFonts w:eastAsia="Times New Roman"/>
                <w:sz w:val="26"/>
                <w:szCs w:val="26"/>
                <w:lang w:val="lv-LV" w:eastAsia="lv-LV"/>
              </w:rPr>
              <w:t>2020 iesniegumi par grantu piešķiršanu. Kopējā prasījumu summa – 16 080 683 e</w:t>
            </w:r>
            <w:r w:rsidR="009D1FC1">
              <w:rPr>
                <w:rFonts w:eastAsia="Times New Roman"/>
                <w:sz w:val="26"/>
                <w:szCs w:val="26"/>
                <w:lang w:val="lv-LV" w:eastAsia="lv-LV"/>
              </w:rPr>
              <w:t>u</w:t>
            </w:r>
            <w:r w:rsidR="009D1FC1" w:rsidRPr="009D1FC1">
              <w:rPr>
                <w:rFonts w:eastAsia="Times New Roman"/>
                <w:sz w:val="26"/>
                <w:szCs w:val="26"/>
                <w:lang w:val="lv-LV" w:eastAsia="lv-LV"/>
              </w:rPr>
              <w:t>ro. Savukārt izmaksāti granti par 59 iesniegumiem, kopumā 666 800 e</w:t>
            </w:r>
            <w:r w:rsidR="009D1FC1">
              <w:rPr>
                <w:rFonts w:eastAsia="Times New Roman"/>
                <w:sz w:val="26"/>
                <w:szCs w:val="26"/>
                <w:lang w:val="lv-LV" w:eastAsia="lv-LV"/>
              </w:rPr>
              <w:t>u</w:t>
            </w:r>
            <w:r w:rsidR="009D1FC1" w:rsidRPr="009D1FC1">
              <w:rPr>
                <w:rFonts w:eastAsia="Times New Roman"/>
                <w:sz w:val="26"/>
                <w:szCs w:val="26"/>
                <w:lang w:val="lv-LV" w:eastAsia="lv-LV"/>
              </w:rPr>
              <w:t>ro apmērā</w:t>
            </w:r>
            <w:r w:rsidR="002D36AB" w:rsidRPr="009D1FC1">
              <w:rPr>
                <w:color w:val="000000" w:themeColor="text1"/>
                <w:sz w:val="26"/>
                <w:szCs w:val="26"/>
                <w:lang w:val="lv-LV"/>
              </w:rPr>
              <w:t>.</w:t>
            </w:r>
          </w:p>
        </w:tc>
      </w:tr>
      <w:tr w:rsidR="00A76C0A" w:rsidRPr="000965FC" w14:paraId="718E705D" w14:textId="77777777" w:rsidTr="001342EF">
        <w:trPr>
          <w:trHeight w:val="510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A07C0" w14:textId="77777777" w:rsidR="009A00EB" w:rsidRPr="000965FC" w:rsidRDefault="009A00EB" w:rsidP="009A00EB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24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D83946" w14:textId="77777777" w:rsidR="009A00EB" w:rsidRPr="000965FC" w:rsidRDefault="009A00EB" w:rsidP="009A00EB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646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918B01" w14:textId="03D0CF59" w:rsidR="009A00EB" w:rsidRPr="000965FC" w:rsidRDefault="002D36AB" w:rsidP="005F3196">
            <w:pPr>
              <w:pStyle w:val="BodyText"/>
              <w:ind w:right="201"/>
              <w:contextualSpacing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965F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MK </w:t>
            </w:r>
            <w:r w:rsidR="008B6988" w:rsidRPr="000965F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Noteikumu projektā ietvertā tiesiskā regulējuma īstenošana tiks nodrošināta </w:t>
            </w:r>
            <w:r w:rsidR="002C4AC6" w:rsidRPr="000965FC">
              <w:rPr>
                <w:color w:val="000000" w:themeColor="text1"/>
                <w:sz w:val="26"/>
                <w:szCs w:val="26"/>
              </w:rPr>
              <w:t xml:space="preserve">Valsts ieņēmumu dienesta </w:t>
            </w:r>
            <w:r w:rsidR="008B6988" w:rsidRPr="000965F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esošo līdzekļu un cilvēkresursu ietvaros.</w:t>
            </w:r>
            <w:r w:rsidR="002C4AC6" w:rsidRPr="000965F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Ar MK Noteikumu projektu paredzēts turpināt sniegt atbalstu nodokļu maksātājiem, kas veic saimniecisko darbību, bet to darbība ir ierobežota Covid-19 izplatības noteikto ierobežojumu dēļ, tādējādi stabilizējot situāciju tautsaimniecībā.</w:t>
            </w:r>
          </w:p>
        </w:tc>
      </w:tr>
      <w:tr w:rsidR="00A76C0A" w:rsidRPr="000965FC" w14:paraId="6AF18C8D" w14:textId="77777777" w:rsidTr="001342EF">
        <w:trPr>
          <w:trHeight w:val="510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9992C" w14:textId="77777777" w:rsidR="009A00EB" w:rsidRPr="000965FC" w:rsidRDefault="009A00EB" w:rsidP="009A00EB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24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F5EA5A" w14:textId="77777777" w:rsidR="009A00EB" w:rsidRPr="000965FC" w:rsidRDefault="009A00EB" w:rsidP="009A00EB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Administratīvo izmaksu monetārs novērtējums</w:t>
            </w:r>
          </w:p>
        </w:tc>
        <w:tc>
          <w:tcPr>
            <w:tcW w:w="646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2C4F79" w14:textId="69C1DBC2" w:rsidR="009A00EB" w:rsidRPr="000965FC" w:rsidRDefault="001F5AB0" w:rsidP="005F3196">
            <w:pPr>
              <w:pStyle w:val="BodyText"/>
              <w:ind w:right="201"/>
              <w:contextualSpacing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965FC">
              <w:rPr>
                <w:bCs/>
                <w:iCs/>
                <w:color w:val="000000" w:themeColor="text1"/>
                <w:sz w:val="26"/>
                <w:szCs w:val="26"/>
              </w:rPr>
              <w:t>MK noteikumu projekts</w:t>
            </w:r>
            <w:r w:rsidRPr="000965F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9A00EB" w:rsidRPr="000965F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šo jomu neskar</w:t>
            </w:r>
            <w:r w:rsidR="009D1FC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76C0A" w:rsidRPr="000965FC" w14:paraId="259E0982" w14:textId="77777777" w:rsidTr="001342EF">
        <w:trPr>
          <w:trHeight w:val="510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9F4E2" w14:textId="77777777" w:rsidR="009A00EB" w:rsidRPr="000965FC" w:rsidRDefault="009A00EB" w:rsidP="009A00EB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4.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45F16" w14:textId="77777777" w:rsidR="009A00EB" w:rsidRPr="000965FC" w:rsidRDefault="009A00EB" w:rsidP="009A00EB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Atbilstības izmaksu monetārs novērtējums</w:t>
            </w:r>
          </w:p>
        </w:tc>
        <w:tc>
          <w:tcPr>
            <w:tcW w:w="6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0B8CA" w14:textId="4D189551" w:rsidR="009A00EB" w:rsidRPr="000965FC" w:rsidRDefault="001F5AB0" w:rsidP="005F3196">
            <w:pPr>
              <w:pStyle w:val="BodyText"/>
              <w:ind w:right="201"/>
              <w:contextualSpacing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965FC">
              <w:rPr>
                <w:bCs/>
                <w:iCs/>
                <w:color w:val="000000" w:themeColor="text1"/>
                <w:sz w:val="26"/>
                <w:szCs w:val="26"/>
              </w:rPr>
              <w:t>MK noteikumu projekts</w:t>
            </w:r>
            <w:r w:rsidRPr="000965F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9A00EB" w:rsidRPr="000965FC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šo jomu neskar</w:t>
            </w:r>
            <w:r w:rsidR="009D1FC1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76C0A" w:rsidRPr="000965FC" w14:paraId="14FCA979" w14:textId="77777777" w:rsidTr="001342EF">
        <w:trPr>
          <w:trHeight w:val="345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DF77E6" w14:textId="77777777" w:rsidR="009A00EB" w:rsidRPr="000965FC" w:rsidRDefault="009A00EB" w:rsidP="009A00EB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5.</w:t>
            </w:r>
          </w:p>
        </w:tc>
        <w:tc>
          <w:tcPr>
            <w:tcW w:w="248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078AD2" w14:textId="77777777" w:rsidR="009A00EB" w:rsidRPr="000965FC" w:rsidRDefault="009A00EB" w:rsidP="009A00EB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46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657313" w14:textId="77777777" w:rsidR="009A00EB" w:rsidRPr="000965FC" w:rsidRDefault="009A00EB" w:rsidP="005F3196">
            <w:pPr>
              <w:ind w:right="201"/>
              <w:contextualSpacing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Nav</w:t>
            </w:r>
          </w:p>
        </w:tc>
      </w:tr>
    </w:tbl>
    <w:p w14:paraId="2A21AD4B" w14:textId="41B75651" w:rsidR="00844176" w:rsidRPr="000965FC" w:rsidRDefault="00844176" w:rsidP="00370711">
      <w:pPr>
        <w:contextualSpacing/>
        <w:rPr>
          <w:rFonts w:eastAsia="Times New Roman"/>
          <w:color w:val="000000" w:themeColor="text1"/>
          <w:sz w:val="26"/>
          <w:szCs w:val="26"/>
          <w:lang w:val="lv-LV" w:eastAsia="lv-LV"/>
        </w:rPr>
      </w:pPr>
    </w:p>
    <w:p w14:paraId="31773186" w14:textId="03E02AF9" w:rsidR="001342EF" w:rsidRPr="000965FC" w:rsidRDefault="001342EF" w:rsidP="00370711">
      <w:pPr>
        <w:contextualSpacing/>
        <w:rPr>
          <w:rFonts w:eastAsia="Times New Roman"/>
          <w:color w:val="000000" w:themeColor="text1"/>
          <w:sz w:val="26"/>
          <w:szCs w:val="26"/>
          <w:lang w:val="lv-LV" w:eastAsia="lv-LV"/>
        </w:rPr>
      </w:pPr>
    </w:p>
    <w:tbl>
      <w:tblPr>
        <w:tblpPr w:leftFromText="180" w:rightFromText="180" w:bottomFromText="200" w:vertAnchor="text" w:tblpX="-44" w:tblpY="1"/>
        <w:tblOverlap w:val="never"/>
        <w:tblW w:w="9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8"/>
        <w:gridCol w:w="986"/>
        <w:gridCol w:w="1156"/>
        <w:gridCol w:w="958"/>
        <w:gridCol w:w="1072"/>
        <w:gridCol w:w="927"/>
        <w:gridCol w:w="1080"/>
        <w:gridCol w:w="1072"/>
      </w:tblGrid>
      <w:tr w:rsidR="00036FBA" w:rsidRPr="000965FC" w14:paraId="085F8949" w14:textId="77777777" w:rsidTr="001D5277">
        <w:tc>
          <w:tcPr>
            <w:tcW w:w="9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839A" w14:textId="77777777" w:rsidR="00036FBA" w:rsidRPr="000965FC" w:rsidRDefault="00036FBA" w:rsidP="001D5277">
            <w:pPr>
              <w:pStyle w:val="ListParagraph"/>
              <w:tabs>
                <w:tab w:val="left" w:pos="317"/>
              </w:tabs>
              <w:spacing w:line="276" w:lineRule="auto"/>
              <w:ind w:left="0"/>
              <w:jc w:val="center"/>
              <w:rPr>
                <w:b/>
                <w:bCs/>
                <w:sz w:val="26"/>
                <w:szCs w:val="26"/>
                <w:lang w:val="lv-LV" w:eastAsia="ja-JP"/>
              </w:rPr>
            </w:pPr>
            <w:r w:rsidRPr="000965FC">
              <w:rPr>
                <w:b/>
                <w:bCs/>
                <w:sz w:val="26"/>
                <w:szCs w:val="26"/>
                <w:lang w:val="lv-LV" w:eastAsia="ja-JP"/>
              </w:rPr>
              <w:t>III. Tiesību akta projekta ietekme uz valsts budžetu un pašvaldību budžetiem</w:t>
            </w:r>
          </w:p>
        </w:tc>
      </w:tr>
      <w:tr w:rsidR="00036FBA" w:rsidRPr="000965FC" w14:paraId="6F806F58" w14:textId="77777777" w:rsidTr="009E08AF"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225CEE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lv-LV" w:eastAsia="ja-JP"/>
              </w:rPr>
            </w:pPr>
          </w:p>
          <w:p w14:paraId="45540521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lv-LV" w:eastAsia="ja-JP"/>
              </w:rPr>
            </w:pPr>
          </w:p>
          <w:p w14:paraId="4355A7B1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lv-LV" w:eastAsia="ja-JP"/>
              </w:rPr>
            </w:pPr>
          </w:p>
          <w:p w14:paraId="480F0FEF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lv-LV" w:eastAsia="ja-JP"/>
              </w:rPr>
            </w:pPr>
          </w:p>
          <w:p w14:paraId="04E32D7A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lv-LV" w:eastAsia="ja-JP"/>
              </w:rPr>
            </w:pPr>
          </w:p>
          <w:p w14:paraId="1A545925" w14:textId="77777777" w:rsidR="00036FBA" w:rsidRPr="000965FC" w:rsidRDefault="00036FBA" w:rsidP="001D5277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Times New Roman"/>
                <w:b/>
                <w:bCs/>
                <w:sz w:val="22"/>
                <w:szCs w:val="22"/>
                <w:lang w:val="lv-LV" w:eastAsia="ja-JP"/>
              </w:rPr>
              <w:t>Rādītāji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0ECA048" w14:textId="77777777" w:rsidR="00036FBA" w:rsidRPr="000965FC" w:rsidRDefault="00036FBA" w:rsidP="001D5277">
            <w:pPr>
              <w:pStyle w:val="ListParagraph"/>
              <w:tabs>
                <w:tab w:val="left" w:pos="317"/>
              </w:tabs>
              <w:spacing w:line="276" w:lineRule="auto"/>
              <w:ind w:left="34"/>
              <w:jc w:val="center"/>
              <w:rPr>
                <w:bCs/>
                <w:sz w:val="22"/>
                <w:szCs w:val="22"/>
                <w:lang w:val="lv-LV"/>
              </w:rPr>
            </w:pPr>
            <w:r w:rsidRPr="000965FC">
              <w:rPr>
                <w:b/>
                <w:bCs/>
                <w:sz w:val="22"/>
                <w:szCs w:val="22"/>
                <w:lang w:val="lv-LV" w:eastAsia="ja-JP"/>
              </w:rPr>
              <w:lastRenderedPageBreak/>
              <w:t>2021.gads</w:t>
            </w:r>
          </w:p>
        </w:tc>
        <w:tc>
          <w:tcPr>
            <w:tcW w:w="5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0CDBAB5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t>Turpmākie trīs gadi (</w:t>
            </w:r>
            <w:r w:rsidRPr="000965FC">
              <w:rPr>
                <w:rFonts w:eastAsia="Times New Roman"/>
                <w:i/>
                <w:iCs/>
                <w:sz w:val="22"/>
                <w:szCs w:val="22"/>
                <w:lang w:val="lv-LV" w:eastAsia="ja-JP"/>
              </w:rPr>
              <w:t>euro</w:t>
            </w: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t>)</w:t>
            </w:r>
          </w:p>
        </w:tc>
      </w:tr>
      <w:tr w:rsidR="00036FBA" w:rsidRPr="000965FC" w14:paraId="6A4F6244" w14:textId="77777777" w:rsidTr="009E08AF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C68A6" w14:textId="77777777" w:rsidR="00036FBA" w:rsidRPr="000965FC" w:rsidRDefault="00036FBA" w:rsidP="001D5277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77A0E" w14:textId="77777777" w:rsidR="00036FBA" w:rsidRPr="000965FC" w:rsidRDefault="00036FBA" w:rsidP="001D5277">
            <w:pPr>
              <w:spacing w:line="276" w:lineRule="auto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22515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b/>
                <w:bCs/>
                <w:sz w:val="22"/>
                <w:szCs w:val="22"/>
                <w:lang w:val="lv-LV" w:eastAsia="ja-JP"/>
              </w:rPr>
              <w:t>2022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560BC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b/>
                <w:bCs/>
                <w:sz w:val="22"/>
                <w:szCs w:val="22"/>
                <w:lang w:val="lv-LV" w:eastAsia="ja-JP"/>
              </w:rPr>
              <w:t>2023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E3E3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b/>
                <w:bCs/>
                <w:sz w:val="22"/>
                <w:szCs w:val="22"/>
                <w:lang w:val="lv-LV" w:eastAsia="ja-JP"/>
              </w:rPr>
              <w:t>2024</w:t>
            </w:r>
          </w:p>
        </w:tc>
      </w:tr>
      <w:tr w:rsidR="00036FBA" w:rsidRPr="000965FC" w14:paraId="05822AB9" w14:textId="77777777" w:rsidTr="009E08AF"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9ACA3" w14:textId="77777777" w:rsidR="00036FBA" w:rsidRPr="000965FC" w:rsidRDefault="00036FBA" w:rsidP="001D5277">
            <w:pPr>
              <w:spacing w:line="276" w:lineRule="auto"/>
              <w:rPr>
                <w:sz w:val="22"/>
                <w:szCs w:val="22"/>
                <w:lang w:val="lv-LV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AC34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t>saskaņā ar valsts budžetu kārtējam gadam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0935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t>izmaiņas kārtējā gadā, salīdzinot ar valsts budžetu kārtējam gadam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F737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t>saskaņā ar vidēja termiņa budžeta ietvaru</w:t>
            </w:r>
          </w:p>
          <w:p w14:paraId="4504E554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 w:eastAsia="ja-JP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942A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t>izmaiņas, salīdzinot ar vidēja termiņa budžeta ietvaru 2022. gadam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087D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t>saskaņā ar vidēja termiņa budžeta ietvaru</w:t>
            </w:r>
          </w:p>
          <w:p w14:paraId="1A3D9F92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56B1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t>izmaiņas, salīdzinot ar vidēja termiņa budžeta ietvaru 2023. gadam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960C" w14:textId="77777777" w:rsidR="00036FBA" w:rsidRPr="000965FC" w:rsidRDefault="00036FBA" w:rsidP="001D527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t>izmaiņas, salīdzinot ar vidēja termiņa budžeta ietvaru 2023. gadam</w:t>
            </w:r>
          </w:p>
        </w:tc>
      </w:tr>
      <w:tr w:rsidR="00036FBA" w:rsidRPr="000965FC" w14:paraId="708D75AD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9EF2" w14:textId="77777777" w:rsidR="00036FBA" w:rsidRPr="000965FC" w:rsidRDefault="00036FBA" w:rsidP="001D5277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9C68" w14:textId="77777777" w:rsidR="00036FBA" w:rsidRPr="000965FC" w:rsidRDefault="00036FBA" w:rsidP="001D5277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0A3C" w14:textId="77777777" w:rsidR="00036FBA" w:rsidRPr="000965FC" w:rsidRDefault="00036FBA" w:rsidP="001D5277">
            <w:pPr>
              <w:spacing w:line="276" w:lineRule="auto"/>
              <w:jc w:val="center"/>
              <w:rPr>
                <w:bCs/>
                <w:sz w:val="22"/>
                <w:szCs w:val="22"/>
                <w:lang w:val="lv-LV"/>
              </w:rPr>
            </w:pPr>
            <w:r w:rsidRPr="000965FC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9270" w14:textId="77777777" w:rsidR="00036FBA" w:rsidRPr="000965FC" w:rsidRDefault="00036FBA" w:rsidP="001D5277">
            <w:pPr>
              <w:pStyle w:val="ListParagraph"/>
              <w:tabs>
                <w:tab w:val="left" w:pos="317"/>
              </w:tabs>
              <w:spacing w:line="276" w:lineRule="auto"/>
              <w:ind w:left="34"/>
              <w:jc w:val="center"/>
              <w:rPr>
                <w:bCs/>
                <w:sz w:val="22"/>
                <w:szCs w:val="22"/>
                <w:lang w:val="lv-LV"/>
              </w:rPr>
            </w:pPr>
            <w:r w:rsidRPr="000965FC">
              <w:rPr>
                <w:bCs/>
                <w:sz w:val="22"/>
                <w:szCs w:val="22"/>
                <w:lang w:val="lv-LV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7A93B" w14:textId="77777777" w:rsidR="00036FBA" w:rsidRPr="000965FC" w:rsidRDefault="00036FBA" w:rsidP="001D5277">
            <w:pPr>
              <w:pStyle w:val="ListParagraph"/>
              <w:tabs>
                <w:tab w:val="left" w:pos="317"/>
              </w:tabs>
              <w:spacing w:line="276" w:lineRule="auto"/>
              <w:ind w:left="34"/>
              <w:jc w:val="center"/>
              <w:rPr>
                <w:bCs/>
                <w:sz w:val="22"/>
                <w:szCs w:val="22"/>
                <w:lang w:val="lv-LV"/>
              </w:rPr>
            </w:pPr>
            <w:r w:rsidRPr="000965FC">
              <w:rPr>
                <w:bCs/>
                <w:sz w:val="22"/>
                <w:szCs w:val="22"/>
                <w:lang w:val="lv-LV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40E68" w14:textId="77777777" w:rsidR="00036FBA" w:rsidRPr="000965FC" w:rsidRDefault="00036FBA" w:rsidP="001D5277">
            <w:pPr>
              <w:pStyle w:val="ListParagraph"/>
              <w:tabs>
                <w:tab w:val="left" w:pos="317"/>
              </w:tabs>
              <w:spacing w:line="276" w:lineRule="auto"/>
              <w:ind w:left="34"/>
              <w:jc w:val="center"/>
              <w:rPr>
                <w:bCs/>
                <w:sz w:val="22"/>
                <w:szCs w:val="22"/>
                <w:lang w:val="lv-LV"/>
              </w:rPr>
            </w:pPr>
            <w:r w:rsidRPr="000965FC">
              <w:rPr>
                <w:bCs/>
                <w:sz w:val="22"/>
                <w:szCs w:val="22"/>
                <w:lang w:val="lv-LV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7AAF" w14:textId="77777777" w:rsidR="00036FBA" w:rsidRPr="000965FC" w:rsidRDefault="00036FBA" w:rsidP="001D5277">
            <w:pPr>
              <w:pStyle w:val="ListParagraph"/>
              <w:tabs>
                <w:tab w:val="left" w:pos="317"/>
              </w:tabs>
              <w:spacing w:line="276" w:lineRule="auto"/>
              <w:ind w:left="34"/>
              <w:jc w:val="center"/>
              <w:rPr>
                <w:bCs/>
                <w:sz w:val="22"/>
                <w:szCs w:val="22"/>
                <w:lang w:val="lv-LV"/>
              </w:rPr>
            </w:pPr>
            <w:r w:rsidRPr="000965FC">
              <w:rPr>
                <w:bCs/>
                <w:sz w:val="22"/>
                <w:szCs w:val="22"/>
                <w:lang w:val="lv-LV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4951" w14:textId="77777777" w:rsidR="00036FBA" w:rsidRPr="000965FC" w:rsidRDefault="00036FBA" w:rsidP="001D5277">
            <w:pPr>
              <w:pStyle w:val="ListParagraph"/>
              <w:tabs>
                <w:tab w:val="left" w:pos="317"/>
              </w:tabs>
              <w:spacing w:line="276" w:lineRule="auto"/>
              <w:ind w:left="34"/>
              <w:jc w:val="center"/>
              <w:rPr>
                <w:bCs/>
                <w:sz w:val="22"/>
                <w:szCs w:val="22"/>
                <w:lang w:val="lv-LV"/>
              </w:rPr>
            </w:pPr>
            <w:r w:rsidRPr="000965FC">
              <w:rPr>
                <w:bCs/>
                <w:sz w:val="22"/>
                <w:szCs w:val="22"/>
                <w:lang w:val="lv-LV"/>
              </w:rPr>
              <w:t>8</w:t>
            </w:r>
          </w:p>
        </w:tc>
      </w:tr>
      <w:tr w:rsidR="009E08AF" w:rsidRPr="000965FC" w14:paraId="2EB2E8C0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5219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t>1. Budžeta ieņēmumi: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8AC8" w14:textId="590DC836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04AD" w14:textId="7F56518B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61E0" w14:textId="7FC020A6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2A01F" w14:textId="3A9FE607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A59E" w14:textId="6F4D215E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8EDD" w14:textId="21750480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8A6C6" w14:textId="1AA9F675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</w:tr>
      <w:tr w:rsidR="009E08AF" w:rsidRPr="000965FC" w14:paraId="0C8E81B1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DA1B" w14:textId="77777777" w:rsidR="009E08AF" w:rsidRPr="000965FC" w:rsidRDefault="009E08AF" w:rsidP="009E08AF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1.1. valsts pamatbudžets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F4CD" w14:textId="5F24E1B9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691D" w14:textId="1CC4A113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F5520" w14:textId="1A8DC491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936E" w14:textId="2ECDB7F4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9E87" w14:textId="69B19D03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8A64" w14:textId="57BEB572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0701" w14:textId="692D7F41" w:rsidR="009E08AF" w:rsidRPr="000965FC" w:rsidRDefault="009E08AF" w:rsidP="009E08AF">
            <w:pPr>
              <w:tabs>
                <w:tab w:val="left" w:pos="315"/>
                <w:tab w:val="center" w:pos="459"/>
              </w:tabs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</w:tr>
      <w:tr w:rsidR="009E08AF" w:rsidRPr="000965FC" w14:paraId="1E90BCB1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0BFC" w14:textId="77777777" w:rsidR="009E08AF" w:rsidRPr="000965FC" w:rsidRDefault="009E08AF" w:rsidP="009E08AF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1.2. valsts speciālais budžets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B497" w14:textId="50614370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6C9DC" w14:textId="1FBCF4EB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084A" w14:textId="55A2F908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D308" w14:textId="79FE5665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8CB5" w14:textId="2EA95813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FDB71" w14:textId="23BEC8EA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22FCE" w14:textId="3C99FEE3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</w:tr>
      <w:tr w:rsidR="009E08AF" w:rsidRPr="000965FC" w14:paraId="1DD89870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39763" w14:textId="77777777" w:rsidR="009E08AF" w:rsidRPr="000965FC" w:rsidRDefault="009E08AF" w:rsidP="009E08AF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1.3. pašvaldību budžets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7692" w14:textId="421069DD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B56C" w14:textId="14BED3BC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F023" w14:textId="5D51917A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4AF4" w14:textId="5AA8973E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3D1E" w14:textId="130F2587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96DE" w14:textId="3757A7F3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9CDE" w14:textId="3584CCE6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</w:tr>
      <w:tr w:rsidR="009E08AF" w:rsidRPr="000965FC" w14:paraId="766501E8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C579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t>2. Budžeta izdevumi: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830F" w14:textId="1F94D677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09097" w14:textId="21BE16DB" w:rsidR="009E08AF" w:rsidRPr="000965FC" w:rsidRDefault="009E08AF" w:rsidP="009E08AF">
            <w:pPr>
              <w:spacing w:line="276" w:lineRule="auto"/>
              <w:jc w:val="center"/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EF43" w14:textId="41F33924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D725" w14:textId="10BF1578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48DEC" w14:textId="1D26DA62" w:rsidR="009E08AF" w:rsidRPr="000965FC" w:rsidRDefault="009E08AF" w:rsidP="009E08AF">
            <w:pPr>
              <w:spacing w:line="36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5444B" w14:textId="0DBF1400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B581" w14:textId="45384D1B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</w:tr>
      <w:tr w:rsidR="009E08AF" w:rsidRPr="000965FC" w14:paraId="2AB53D3F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1EA4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2"/>
                <w:szCs w:val="22"/>
                <w:lang w:val="lv-LV"/>
              </w:rPr>
            </w:pPr>
            <w:r w:rsidRPr="000965FC">
              <w:rPr>
                <w:rFonts w:eastAsia="Times New Roman"/>
                <w:sz w:val="22"/>
                <w:szCs w:val="22"/>
                <w:lang w:val="lv-LV"/>
              </w:rPr>
              <w:t>2.1. valsts pamatbudžets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F28B5" w14:textId="57ADA3E1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E11C" w14:textId="7CC12BB2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7EDBB" w14:textId="080E1928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2A29" w14:textId="68D9BBA3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284E" w14:textId="3EA360DE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52820" w14:textId="17F98D70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5421" w14:textId="4E06E6FA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</w:tr>
      <w:tr w:rsidR="009E08AF" w:rsidRPr="000965FC" w14:paraId="75F1E580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69C4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2"/>
                <w:szCs w:val="22"/>
                <w:lang w:val="lv-LV"/>
              </w:rPr>
            </w:pPr>
            <w:r w:rsidRPr="000965FC">
              <w:rPr>
                <w:rFonts w:eastAsia="Times New Roman"/>
                <w:sz w:val="22"/>
                <w:szCs w:val="22"/>
                <w:lang w:val="lv-LV"/>
              </w:rPr>
              <w:t>2.2. valsts speciālais budžets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2972" w14:textId="0ADDC054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B874" w14:textId="7EBAB5B9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2344" w14:textId="19A50B15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BB7A" w14:textId="1A79627B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DEDA4" w14:textId="3E66DF7F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A0DD" w14:textId="19E90A89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2465C" w14:textId="6C1AED52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</w:tr>
      <w:tr w:rsidR="009E08AF" w:rsidRPr="000965FC" w14:paraId="51ACE6E0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5489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2"/>
                <w:szCs w:val="22"/>
                <w:lang w:val="lv-LV"/>
              </w:rPr>
            </w:pPr>
            <w:r w:rsidRPr="000965FC">
              <w:rPr>
                <w:rFonts w:eastAsia="Times New Roman"/>
                <w:sz w:val="22"/>
                <w:szCs w:val="22"/>
                <w:lang w:val="lv-LV"/>
              </w:rPr>
              <w:t>2.3. pašvaldību budžets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E017B" w14:textId="338A01A5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BB33D" w14:textId="67BC3E22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7DFB0" w14:textId="7CF39C00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D2313" w14:textId="1A2FF5E5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7C54" w14:textId="054FC894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4FB2" w14:textId="3E8D93D6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4DCF" w14:textId="4533AB9D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</w:tr>
      <w:tr w:rsidR="009E08AF" w:rsidRPr="000965FC" w14:paraId="4EE9F08C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EFB2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t>3. Finansiālā ietekme: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7514" w14:textId="225995BF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77A1" w14:textId="4C7EBA49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73014" w14:textId="35422405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C072" w14:textId="3B01A446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CF53" w14:textId="710343B5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6B03" w14:textId="743CB8DA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70CFC" w14:textId="6BBDB9D5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val="lv-LV" w:eastAsia="ja-JP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</w:tr>
      <w:tr w:rsidR="009E08AF" w:rsidRPr="000965FC" w14:paraId="7594AA71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02E6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2"/>
                <w:szCs w:val="22"/>
                <w:lang w:val="lv-LV"/>
              </w:rPr>
            </w:pPr>
            <w:r w:rsidRPr="000965FC">
              <w:rPr>
                <w:rFonts w:eastAsia="Times New Roman"/>
                <w:sz w:val="22"/>
                <w:szCs w:val="22"/>
                <w:lang w:val="lv-LV"/>
              </w:rPr>
              <w:t>3.1. valsts pamatbudžets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1BCE" w14:textId="6614C485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CCC2" w14:textId="6213C9FE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1D60" w14:textId="732410A9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B62A" w14:textId="4DC2DFCB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61684" w14:textId="0B7FC81F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94B3" w14:textId="1EC55265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7938F" w14:textId="5291CBF3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</w:tr>
      <w:tr w:rsidR="009E08AF" w:rsidRPr="000965FC" w14:paraId="53E149BC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948E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2"/>
                <w:szCs w:val="22"/>
                <w:lang w:val="lv-LV"/>
              </w:rPr>
            </w:pPr>
            <w:r w:rsidRPr="000965FC">
              <w:rPr>
                <w:rFonts w:eastAsia="Times New Roman"/>
                <w:sz w:val="22"/>
                <w:szCs w:val="22"/>
                <w:lang w:val="lv-LV"/>
              </w:rPr>
              <w:t>3.2. speciālais budžets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EEDD1" w14:textId="0B375600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49CA" w14:textId="23EE6706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7C36" w14:textId="1DE768C0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F571" w14:textId="338F763C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B103" w14:textId="18D88BF7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AC70" w14:textId="1BCCF363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1131" w14:textId="3C4BDAB2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</w:tr>
      <w:tr w:rsidR="009E08AF" w:rsidRPr="000965FC" w14:paraId="6EDB121D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8F56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2"/>
                <w:szCs w:val="22"/>
                <w:lang w:val="lv-LV"/>
              </w:rPr>
            </w:pPr>
            <w:r w:rsidRPr="000965FC">
              <w:rPr>
                <w:rFonts w:eastAsia="Times New Roman"/>
                <w:sz w:val="22"/>
                <w:szCs w:val="22"/>
                <w:lang w:val="lv-LV"/>
              </w:rPr>
              <w:t>3.3. pašvaldību budžets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58825" w14:textId="2347721E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CC3C" w14:textId="04E6D421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D6A4" w14:textId="0D97A899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617F0" w14:textId="1E10D34A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1B2B" w14:textId="74D26B53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1751" w14:textId="7F3B7D60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37F9" w14:textId="5239718C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</w:tr>
      <w:tr w:rsidR="009E08AF" w:rsidRPr="000965FC" w14:paraId="26E14AAB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C763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t>4. Finanšu līdzekļi papildu izdevumu finansēšanai (kompensējošu izdevumu samazinājumu norāda ar "+" zīmi)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0DB0" w14:textId="385B52B8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X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E1EB" w14:textId="25CD6A5A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CB0F" w14:textId="77777777" w:rsidR="009E08AF" w:rsidRPr="000965FC" w:rsidRDefault="009E08AF" w:rsidP="009E08AF">
            <w:pPr>
              <w:spacing w:line="276" w:lineRule="auto"/>
              <w:ind w:left="-30"/>
              <w:jc w:val="center"/>
              <w:rPr>
                <w:rFonts w:eastAsia="Times New Roman"/>
                <w:b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X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04B9" w14:textId="77777777" w:rsidR="009E08AF" w:rsidRPr="000965FC" w:rsidRDefault="009E08AF" w:rsidP="009E08AF">
            <w:pPr>
              <w:spacing w:line="276" w:lineRule="auto"/>
              <w:ind w:left="-30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F3DD" w14:textId="77777777" w:rsidR="009E08AF" w:rsidRPr="000965FC" w:rsidRDefault="009E08AF" w:rsidP="009E08AF">
            <w:pPr>
              <w:spacing w:line="276" w:lineRule="auto"/>
              <w:ind w:left="-30"/>
              <w:jc w:val="center"/>
              <w:rPr>
                <w:rFonts w:eastAsia="Times New Roman"/>
                <w:b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4A23" w14:textId="77777777" w:rsidR="009E08AF" w:rsidRPr="000965FC" w:rsidRDefault="009E08AF" w:rsidP="009E08AF">
            <w:pPr>
              <w:spacing w:line="276" w:lineRule="auto"/>
              <w:ind w:left="-30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0D6F" w14:textId="77777777" w:rsidR="009E08AF" w:rsidRPr="000965FC" w:rsidRDefault="009E08AF" w:rsidP="009E08AF">
            <w:pPr>
              <w:spacing w:line="276" w:lineRule="auto"/>
              <w:ind w:left="-30"/>
              <w:jc w:val="center"/>
              <w:rPr>
                <w:rFonts w:eastAsia="Times New Roman"/>
                <w:b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X</w:t>
            </w:r>
          </w:p>
        </w:tc>
      </w:tr>
      <w:tr w:rsidR="009E08AF" w:rsidRPr="000965FC" w14:paraId="7128F4AC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58D1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t>5. Precizēta finansiālā ietekme: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0379" w14:textId="53663A5F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X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1877" w14:textId="5E6299F7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>0</w:t>
            </w:r>
          </w:p>
          <w:p w14:paraId="13260EE4" w14:textId="77777777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  <w:p w14:paraId="36160709" w14:textId="77777777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  <w:p w14:paraId="0618C5AE" w14:textId="77777777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5CC7" w14:textId="77777777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X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43D1" w14:textId="77777777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65FC">
              <w:rPr>
                <w:sz w:val="22"/>
                <w:szCs w:val="22"/>
                <w:lang w:val="lv-LV"/>
              </w:rPr>
              <w:t>0</w:t>
            </w:r>
          </w:p>
          <w:p w14:paraId="175E76C7" w14:textId="77777777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  <w:p w14:paraId="1DFF7F92" w14:textId="77777777" w:rsidR="009E08AF" w:rsidRPr="000965FC" w:rsidRDefault="009E08AF" w:rsidP="009E08AF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  <w:p w14:paraId="6DCDBE42" w14:textId="77777777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C8FD" w14:textId="77777777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51AD" w14:textId="77777777" w:rsidR="009E08AF" w:rsidRPr="000965FC" w:rsidRDefault="009E08AF" w:rsidP="009E08AF">
            <w:pPr>
              <w:spacing w:line="276" w:lineRule="auto"/>
              <w:jc w:val="center"/>
              <w:rPr>
                <w:rFonts w:eastAsia="Arial Unicode MS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1236D" w14:textId="77777777" w:rsidR="009E08AF" w:rsidRPr="000965FC" w:rsidRDefault="009E08AF" w:rsidP="009E08A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val="lv-LV"/>
              </w:rPr>
            </w:pPr>
            <w:r w:rsidRPr="000965FC">
              <w:rPr>
                <w:rFonts w:eastAsia="Arial Unicode MS"/>
                <w:sz w:val="22"/>
                <w:szCs w:val="22"/>
                <w:lang w:val="lv-LV"/>
              </w:rPr>
              <w:t>X</w:t>
            </w:r>
          </w:p>
        </w:tc>
      </w:tr>
      <w:tr w:rsidR="009E08AF" w:rsidRPr="000965FC" w14:paraId="3EC80437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4FC9" w14:textId="77777777" w:rsidR="009E08AF" w:rsidRPr="000965FC" w:rsidRDefault="009E08AF" w:rsidP="009E08AF">
            <w:pPr>
              <w:spacing w:line="276" w:lineRule="auto"/>
              <w:rPr>
                <w:iCs/>
                <w:color w:val="000000"/>
                <w:sz w:val="22"/>
                <w:szCs w:val="22"/>
                <w:lang w:val="lv-LV"/>
              </w:rPr>
            </w:pPr>
            <w:r w:rsidRPr="000965FC">
              <w:rPr>
                <w:iCs/>
                <w:color w:val="000000"/>
                <w:sz w:val="22"/>
                <w:szCs w:val="22"/>
                <w:lang w:val="lv-LV"/>
              </w:rPr>
              <w:t xml:space="preserve">6. Detalizēts ieņēmumu un izdevumu aprēķins (ja nepieciešams, detalizētu ieņēmumu un </w:t>
            </w:r>
            <w:r w:rsidRPr="000965FC">
              <w:rPr>
                <w:iCs/>
                <w:color w:val="000000"/>
                <w:sz w:val="22"/>
                <w:szCs w:val="22"/>
                <w:lang w:val="lv-LV"/>
              </w:rPr>
              <w:lastRenderedPageBreak/>
              <w:t>izdevumu aprēķinu var pievienot anotācijas pielikumā):</w:t>
            </w:r>
          </w:p>
        </w:tc>
        <w:tc>
          <w:tcPr>
            <w:tcW w:w="72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F4C8CB" w14:textId="0D503CF8" w:rsidR="009E08AF" w:rsidRPr="000965FC" w:rsidRDefault="009E08AF" w:rsidP="009E08AF">
            <w:pPr>
              <w:spacing w:before="120"/>
              <w:jc w:val="both"/>
              <w:rPr>
                <w:rFonts w:eastAsia="Times New Roman"/>
                <w:sz w:val="24"/>
                <w:szCs w:val="24"/>
                <w:lang w:val="lv-LV"/>
              </w:rPr>
            </w:pPr>
            <w:r w:rsidRPr="000965FC">
              <w:rPr>
                <w:iCs/>
                <w:color w:val="000000"/>
                <w:sz w:val="26"/>
                <w:szCs w:val="26"/>
                <w:lang w:val="lv-LV"/>
              </w:rPr>
              <w:lastRenderedPageBreak/>
              <w:t>Noteikumu projekts šo jomu neskar</w:t>
            </w:r>
            <w:r w:rsidRPr="000965FC">
              <w:rPr>
                <w:iCs/>
                <w:color w:val="000000"/>
                <w:sz w:val="24"/>
                <w:szCs w:val="24"/>
                <w:lang w:val="lv-LV"/>
              </w:rPr>
              <w:t>.</w:t>
            </w:r>
          </w:p>
        </w:tc>
      </w:tr>
      <w:tr w:rsidR="009E08AF" w:rsidRPr="000965FC" w14:paraId="6EA116A7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7E2F" w14:textId="77777777" w:rsidR="009E08AF" w:rsidRPr="000965FC" w:rsidRDefault="009E08AF" w:rsidP="009E08AF">
            <w:pPr>
              <w:spacing w:line="276" w:lineRule="auto"/>
              <w:rPr>
                <w:iCs/>
                <w:color w:val="000000"/>
                <w:sz w:val="22"/>
                <w:szCs w:val="22"/>
                <w:lang w:val="lv-LV"/>
              </w:rPr>
            </w:pPr>
            <w:r w:rsidRPr="000965FC">
              <w:rPr>
                <w:iCs/>
                <w:color w:val="000000"/>
                <w:sz w:val="22"/>
                <w:szCs w:val="22"/>
                <w:lang w:val="lv-LV"/>
              </w:rPr>
              <w:t>6.1. detalizēts ieņēmumu aprēķins</w:t>
            </w:r>
          </w:p>
        </w:tc>
        <w:tc>
          <w:tcPr>
            <w:tcW w:w="72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A081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4"/>
                <w:szCs w:val="24"/>
                <w:lang w:val="lv-LV"/>
              </w:rPr>
            </w:pPr>
          </w:p>
        </w:tc>
      </w:tr>
      <w:tr w:rsidR="009E08AF" w:rsidRPr="000965FC" w14:paraId="33A7659D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01CD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2"/>
                <w:szCs w:val="22"/>
                <w:lang w:val="lv-LV"/>
              </w:rPr>
              <w:t>6.2. detalizēts izdevumu aprēķins</w:t>
            </w:r>
            <w:r w:rsidRPr="000965FC">
              <w:rPr>
                <w:rFonts w:eastAsia="Times New Roman"/>
                <w:color w:val="FF0000"/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72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ED10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4"/>
                <w:szCs w:val="24"/>
                <w:lang w:val="lv-LV"/>
              </w:rPr>
            </w:pPr>
          </w:p>
        </w:tc>
      </w:tr>
      <w:tr w:rsidR="009E08AF" w:rsidRPr="000965FC" w14:paraId="35EBA1F1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19F8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t>7. Amata vietu skaita izmaiņas</w:t>
            </w:r>
          </w:p>
        </w:tc>
        <w:tc>
          <w:tcPr>
            <w:tcW w:w="7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0214" w14:textId="77777777" w:rsidR="009E08AF" w:rsidRPr="000965FC" w:rsidRDefault="009E08AF" w:rsidP="009E08AF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  <w:lang w:val="lv-LV" w:eastAsia="ja-JP"/>
              </w:rPr>
            </w:pPr>
            <w:r w:rsidRPr="000965FC">
              <w:rPr>
                <w:iCs/>
                <w:color w:val="000000"/>
                <w:sz w:val="26"/>
                <w:szCs w:val="26"/>
                <w:lang w:val="lv-LV"/>
              </w:rPr>
              <w:t>Noteikumu projekts šo jomu neskar</w:t>
            </w:r>
            <w:r w:rsidRPr="000965FC">
              <w:rPr>
                <w:iCs/>
                <w:color w:val="000000"/>
                <w:sz w:val="24"/>
                <w:szCs w:val="24"/>
                <w:lang w:val="lv-LV"/>
              </w:rPr>
              <w:t>.</w:t>
            </w:r>
          </w:p>
        </w:tc>
      </w:tr>
      <w:tr w:rsidR="009E08AF" w:rsidRPr="000965FC" w14:paraId="7EFB3B46" w14:textId="77777777" w:rsidTr="009E08A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6AE0" w14:textId="77777777" w:rsidR="009E08AF" w:rsidRPr="000965FC" w:rsidRDefault="009E08AF" w:rsidP="009E08AF">
            <w:pPr>
              <w:spacing w:line="276" w:lineRule="auto"/>
              <w:rPr>
                <w:rFonts w:eastAsia="Times New Roman"/>
                <w:sz w:val="22"/>
                <w:szCs w:val="22"/>
                <w:lang w:val="lv-LV" w:eastAsia="ja-JP"/>
              </w:rPr>
            </w:pPr>
            <w:r w:rsidRPr="000965FC">
              <w:rPr>
                <w:rFonts w:eastAsia="Times New Roman"/>
                <w:sz w:val="22"/>
                <w:szCs w:val="22"/>
                <w:lang w:val="lv-LV" w:eastAsia="ja-JP"/>
              </w:rPr>
              <w:t>8. Cita informācija</w:t>
            </w:r>
          </w:p>
        </w:tc>
        <w:tc>
          <w:tcPr>
            <w:tcW w:w="7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E26D" w14:textId="5783D152" w:rsidR="009E08AF" w:rsidRPr="000965FC" w:rsidRDefault="009E08AF" w:rsidP="009E08AF">
            <w:pPr>
              <w:spacing w:line="276" w:lineRule="auto"/>
              <w:ind w:right="57"/>
              <w:jc w:val="both"/>
              <w:rPr>
                <w:rFonts w:eastAsia="Times New Roman"/>
                <w:sz w:val="26"/>
                <w:szCs w:val="26"/>
                <w:lang w:val="lv-LV"/>
              </w:rPr>
            </w:pPr>
            <w:r>
              <w:rPr>
                <w:rFonts w:eastAsia="Times New Roman"/>
                <w:sz w:val="26"/>
                <w:szCs w:val="26"/>
                <w:lang w:val="lv-LV"/>
              </w:rPr>
              <w:t>MK Noteikumu projektā iekļautā atbalsta apmēra palielinājums tiks nodrošināts</w:t>
            </w:r>
            <w:r w:rsidRPr="000965FC">
              <w:rPr>
                <w:rFonts w:eastAsia="Times New Roman"/>
                <w:sz w:val="26"/>
                <w:szCs w:val="26"/>
                <w:lang w:val="lv-LV"/>
              </w:rPr>
              <w:t xml:space="preserve"> sākotnēji  MK noteikumu Nr. 676 īstenošanai paredzēt</w:t>
            </w:r>
            <w:r>
              <w:rPr>
                <w:rFonts w:eastAsia="Times New Roman"/>
                <w:sz w:val="26"/>
                <w:szCs w:val="26"/>
                <w:lang w:val="lv-LV"/>
              </w:rPr>
              <w:t>ā</w:t>
            </w:r>
            <w:r w:rsidRPr="000965FC">
              <w:rPr>
                <w:rFonts w:eastAsia="Times New Roman"/>
                <w:sz w:val="26"/>
                <w:szCs w:val="26"/>
                <w:lang w:val="lv-LV"/>
              </w:rPr>
              <w:t xml:space="preserve"> finansējum</w:t>
            </w:r>
            <w:r>
              <w:rPr>
                <w:rFonts w:eastAsia="Times New Roman"/>
                <w:sz w:val="26"/>
                <w:szCs w:val="26"/>
                <w:lang w:val="lv-LV"/>
              </w:rPr>
              <w:t>a ietvaros</w:t>
            </w:r>
            <w:r w:rsidRPr="000965FC">
              <w:rPr>
                <w:rFonts w:eastAsia="Times New Roman"/>
                <w:sz w:val="26"/>
                <w:szCs w:val="26"/>
                <w:lang w:val="lv-LV"/>
              </w:rPr>
              <w:t xml:space="preserve"> 70,8 mij. EUR apmērā.</w:t>
            </w:r>
          </w:p>
        </w:tc>
      </w:tr>
    </w:tbl>
    <w:p w14:paraId="3140514D" w14:textId="77777777" w:rsidR="00036FBA" w:rsidRPr="000965FC" w:rsidRDefault="00036FBA" w:rsidP="00370711">
      <w:pPr>
        <w:contextualSpacing/>
        <w:rPr>
          <w:rFonts w:eastAsia="Times New Roman"/>
          <w:color w:val="000000" w:themeColor="text1"/>
          <w:sz w:val="26"/>
          <w:szCs w:val="26"/>
          <w:lang w:val="lv-LV"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="00745145" w:rsidRPr="000965FC" w14:paraId="126BA3C2" w14:textId="77777777" w:rsidTr="001342EF">
        <w:trPr>
          <w:trHeight w:val="45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AEFF3DF" w14:textId="77777777" w:rsidR="00745145" w:rsidRPr="000965FC" w:rsidRDefault="00745145" w:rsidP="00E7617E">
            <w:pPr>
              <w:ind w:firstLine="300"/>
              <w:contextualSpacing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lv-LV" w:eastAsia="lv-LV"/>
              </w:rPr>
              <w:t>IV. Tiesību akta projekta ietekme uz spēkā esošo tiesību normu sistēmu</w:t>
            </w:r>
          </w:p>
        </w:tc>
      </w:tr>
      <w:tr w:rsidR="00745145" w:rsidRPr="000965FC" w14:paraId="35EEFFE7" w14:textId="77777777" w:rsidTr="001342EF">
        <w:trPr>
          <w:trHeight w:val="45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675F2C3" w14:textId="77777777" w:rsidR="00745145" w:rsidRPr="000965FC" w:rsidRDefault="00745145" w:rsidP="00E7617E">
            <w:pPr>
              <w:ind w:firstLine="300"/>
              <w:contextualSpacing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bCs/>
                <w:iCs/>
                <w:color w:val="000000" w:themeColor="text1"/>
                <w:sz w:val="26"/>
                <w:szCs w:val="26"/>
                <w:lang w:val="lv-LV"/>
              </w:rPr>
              <w:t>Projekts šo jomu neskar</w:t>
            </w:r>
          </w:p>
        </w:tc>
      </w:tr>
    </w:tbl>
    <w:p w14:paraId="4284722A" w14:textId="62D78EAA" w:rsidR="00AA6BD3" w:rsidRPr="000965FC" w:rsidRDefault="00AA6BD3" w:rsidP="00370711">
      <w:pPr>
        <w:contextualSpacing/>
        <w:rPr>
          <w:rFonts w:eastAsia="Times New Roman"/>
          <w:color w:val="000000" w:themeColor="text1"/>
          <w:sz w:val="26"/>
          <w:szCs w:val="26"/>
          <w:lang w:val="lv-LV" w:eastAsia="lv-LV"/>
        </w:rPr>
      </w:pPr>
    </w:p>
    <w:tbl>
      <w:tblPr>
        <w:tblW w:w="920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2552"/>
        <w:gridCol w:w="6235"/>
      </w:tblGrid>
      <w:tr w:rsidR="009A3668" w:rsidRPr="000965FC" w14:paraId="24E21D80" w14:textId="77777777" w:rsidTr="0025430E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8F1F21C" w14:textId="77777777" w:rsidR="009A3668" w:rsidRPr="000965FC" w:rsidRDefault="009A3668" w:rsidP="0025430E">
            <w:pPr>
              <w:contextualSpacing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b/>
                <w:color w:val="000000" w:themeColor="text1"/>
                <w:sz w:val="26"/>
                <w:szCs w:val="26"/>
                <w:lang w:val="lv-LV"/>
              </w:rPr>
              <w:t>V. Tiesību akta projekta atbilstība Latvijas Republikas starptautiskajām saistībām</w:t>
            </w:r>
          </w:p>
        </w:tc>
      </w:tr>
      <w:tr w:rsidR="009A3668" w:rsidRPr="000965FC" w14:paraId="76C4A579" w14:textId="77777777" w:rsidTr="0025430E">
        <w:tc>
          <w:tcPr>
            <w:tcW w:w="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927E9C" w14:textId="77777777" w:rsidR="009A3668" w:rsidRPr="000965FC" w:rsidRDefault="009A3668" w:rsidP="0025430E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0FE89C" w14:textId="77777777" w:rsidR="009A3668" w:rsidRPr="000965FC" w:rsidRDefault="009A3668" w:rsidP="0025430E">
            <w:pPr>
              <w:contextualSpacing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Saistības pret Eiropas Savienību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5B7C84" w14:textId="77777777" w:rsidR="009A3668" w:rsidRPr="000965FC" w:rsidRDefault="009A3668" w:rsidP="0025430E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Komisijas regula Nr. 651/2014.</w:t>
            </w:r>
          </w:p>
          <w:p w14:paraId="55C4B79B" w14:textId="77777777" w:rsidR="009A3668" w:rsidRPr="000965FC" w:rsidRDefault="009A3668" w:rsidP="0025430E">
            <w:pPr>
              <w:pStyle w:val="ListParagraph"/>
              <w:numPr>
                <w:ilvl w:val="0"/>
                <w:numId w:val="2"/>
              </w:numPr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Pagaidu regulējums.</w:t>
            </w:r>
          </w:p>
        </w:tc>
      </w:tr>
      <w:tr w:rsidR="009A3668" w:rsidRPr="000965FC" w14:paraId="6B630A8D" w14:textId="77777777" w:rsidTr="0025430E">
        <w:tc>
          <w:tcPr>
            <w:tcW w:w="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0D0FEF" w14:textId="77777777" w:rsidR="009A3668" w:rsidRPr="000965FC" w:rsidRDefault="009A3668" w:rsidP="0025430E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294321" w14:textId="77777777" w:rsidR="009A3668" w:rsidRPr="000965FC" w:rsidRDefault="009A3668" w:rsidP="0025430E">
            <w:pPr>
              <w:contextualSpacing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Citas starptautiskās saistības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0113D7" w14:textId="77777777" w:rsidR="009A3668" w:rsidRPr="000965FC" w:rsidRDefault="009A3668" w:rsidP="0025430E">
            <w:pPr>
              <w:contextualSpacing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Projekts šo jomu neskar.</w:t>
            </w:r>
          </w:p>
        </w:tc>
      </w:tr>
      <w:tr w:rsidR="009A3668" w:rsidRPr="000965FC" w14:paraId="697707DF" w14:textId="77777777" w:rsidTr="0025430E">
        <w:tc>
          <w:tcPr>
            <w:tcW w:w="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98AF32" w14:textId="77777777" w:rsidR="009A3668" w:rsidRPr="000965FC" w:rsidRDefault="009A3668" w:rsidP="0025430E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85E143" w14:textId="77777777" w:rsidR="009A3668" w:rsidRPr="000965FC" w:rsidRDefault="009A3668" w:rsidP="0025430E">
            <w:pPr>
              <w:contextualSpacing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1FA7D9" w14:textId="77777777" w:rsidR="009A3668" w:rsidRPr="000965FC" w:rsidRDefault="009A3668" w:rsidP="0025430E">
            <w:pPr>
              <w:contextualSpacing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Nav</w:t>
            </w:r>
          </w:p>
        </w:tc>
      </w:tr>
    </w:tbl>
    <w:p w14:paraId="1675E043" w14:textId="77777777" w:rsidR="009A3668" w:rsidRPr="000965FC" w:rsidRDefault="009A3668" w:rsidP="009A3668">
      <w:pPr>
        <w:contextualSpacing/>
        <w:rPr>
          <w:color w:val="000000" w:themeColor="text1"/>
          <w:sz w:val="26"/>
          <w:szCs w:val="26"/>
          <w:lang w:val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0"/>
        <w:gridCol w:w="2126"/>
        <w:gridCol w:w="1712"/>
        <w:gridCol w:w="2397"/>
      </w:tblGrid>
      <w:tr w:rsidR="009A3668" w:rsidRPr="000965FC" w14:paraId="1EAB4718" w14:textId="77777777" w:rsidTr="0025430E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4329338B" w14:textId="77777777" w:rsidR="009A3668" w:rsidRPr="000965FC" w:rsidRDefault="009A3668" w:rsidP="0025430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lv-LV" w:eastAsia="lv-LV"/>
              </w:rPr>
              <w:t>1. tabula</w:t>
            </w:r>
            <w:r w:rsidRPr="000965FC">
              <w:rPr>
                <w:rFonts w:eastAsia="Times New Roman"/>
                <w:b/>
                <w:bCs/>
                <w:color w:val="000000" w:themeColor="text1"/>
                <w:sz w:val="26"/>
                <w:szCs w:val="26"/>
                <w:lang w:val="lv-LV" w:eastAsia="lv-LV"/>
              </w:rPr>
              <w:br/>
              <w:t>Tiesību akta projekta atbilstība ES tiesību aktiem</w:t>
            </w:r>
          </w:p>
        </w:tc>
      </w:tr>
      <w:tr w:rsidR="009A3668" w:rsidRPr="000965FC" w14:paraId="1A276E73" w14:textId="77777777" w:rsidTr="0025430E">
        <w:tc>
          <w:tcPr>
            <w:tcW w:w="1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BD33744" w14:textId="77777777" w:rsidR="009A3668" w:rsidRPr="000965FC" w:rsidRDefault="009A3668" w:rsidP="0025430E">
            <w:pPr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Attiecīgā ES tiesību akta datums, numurs un nosaukums</w:t>
            </w:r>
          </w:p>
        </w:tc>
        <w:tc>
          <w:tcPr>
            <w:tcW w:w="338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60FBF37C" w14:textId="77777777" w:rsidR="009A3668" w:rsidRPr="000965FC" w:rsidRDefault="009A3668" w:rsidP="0025430E">
            <w:pPr>
              <w:pStyle w:val="naiskr"/>
              <w:rPr>
                <w:color w:val="000000" w:themeColor="text1"/>
                <w:sz w:val="26"/>
                <w:szCs w:val="26"/>
              </w:rPr>
            </w:pPr>
            <w:r w:rsidRPr="000965FC">
              <w:rPr>
                <w:color w:val="000000" w:themeColor="text1"/>
                <w:sz w:val="26"/>
                <w:szCs w:val="26"/>
              </w:rPr>
              <w:t>Ar Noteikumu projektu tiek ieviestas šādas Eiropas Savienības tiesību aktu prasības: </w:t>
            </w:r>
          </w:p>
          <w:p w14:paraId="1537D65D" w14:textId="50E5413A" w:rsidR="009A3668" w:rsidRPr="000965FC" w:rsidRDefault="00C7336A" w:rsidP="00EE4153">
            <w:pPr>
              <w:pStyle w:val="naiskr"/>
              <w:jc w:val="both"/>
              <w:rPr>
                <w:color w:val="000000" w:themeColor="text1"/>
                <w:sz w:val="26"/>
                <w:szCs w:val="26"/>
              </w:rPr>
            </w:pPr>
            <w:r w:rsidRPr="000965FC">
              <w:rPr>
                <w:iCs/>
                <w:color w:val="000000" w:themeColor="text1"/>
                <w:sz w:val="26"/>
                <w:szCs w:val="26"/>
              </w:rPr>
              <w:t>Eiropas Komisijas 2020. gada 19. marta paziņojuma "Pagaidu regulējums valsts atbalsta pasākumiem, ar ko atbalsta ekonomiku pašreizējā Covid-19 uzliesmojuma situācijā" (C(2020)1863) (turpmāk – Pagaidu regulējums)</w:t>
            </w:r>
            <w:r w:rsidR="00EE4153" w:rsidRPr="000965FC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9A3668" w:rsidRPr="000965FC" w14:paraId="525C9D75" w14:textId="77777777" w:rsidTr="0025430E">
        <w:tc>
          <w:tcPr>
            <w:tcW w:w="1613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5C5023F" w14:textId="77777777" w:rsidR="009A3668" w:rsidRPr="000965FC" w:rsidRDefault="009A3668" w:rsidP="0025430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A</w:t>
            </w:r>
          </w:p>
        </w:tc>
        <w:tc>
          <w:tcPr>
            <w:tcW w:w="1155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1F42E3D" w14:textId="77777777" w:rsidR="009A3668" w:rsidRPr="000965FC" w:rsidRDefault="009A3668" w:rsidP="0025430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B</w:t>
            </w:r>
          </w:p>
        </w:tc>
        <w:tc>
          <w:tcPr>
            <w:tcW w:w="93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2F9E9DAC" w14:textId="77777777" w:rsidR="009A3668" w:rsidRPr="000965FC" w:rsidRDefault="009A3668" w:rsidP="0025430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C</w:t>
            </w:r>
          </w:p>
        </w:tc>
        <w:tc>
          <w:tcPr>
            <w:tcW w:w="1302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 w:themeFill="background1"/>
            <w:vAlign w:val="center"/>
            <w:hideMark/>
          </w:tcPr>
          <w:p w14:paraId="73139C35" w14:textId="77777777" w:rsidR="009A3668" w:rsidRPr="000965FC" w:rsidRDefault="009A3668" w:rsidP="0025430E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D</w:t>
            </w:r>
          </w:p>
        </w:tc>
      </w:tr>
      <w:tr w:rsidR="009A3668" w:rsidRPr="000965FC" w14:paraId="48FCBB94" w14:textId="77777777" w:rsidTr="0025430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3" w:type="pct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196E9C" w14:textId="3414FD83" w:rsidR="009A3668" w:rsidRPr="000965FC" w:rsidRDefault="00EE4153" w:rsidP="0025430E">
            <w:pPr>
              <w:textAlignment w:val="baseline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Pagaidu regulējuma 22.punkta a) punkts, 23.punkta a),c) punkts, </w:t>
            </w: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Komisijas regulas Nr.717/2014 1.panta 1.punkta a)–k) apakšpunkts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EB520C6" w14:textId="538B23FC" w:rsidR="009A3668" w:rsidRPr="000965FC" w:rsidRDefault="009A3668" w:rsidP="0025430E">
            <w:pPr>
              <w:textAlignment w:val="baseline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Noteikumu projekta </w:t>
            </w:r>
            <w:r w:rsidR="001B64CC" w:rsidRPr="000965FC">
              <w:rPr>
                <w:color w:val="000000" w:themeColor="text1"/>
                <w:sz w:val="26"/>
                <w:szCs w:val="26"/>
                <w:lang w:val="lv-LV"/>
              </w:rPr>
              <w:t>1.</w:t>
            </w:r>
            <w:r w:rsidR="009E08AF">
              <w:rPr>
                <w:color w:val="000000" w:themeColor="text1"/>
                <w:sz w:val="26"/>
                <w:szCs w:val="26"/>
                <w:lang w:val="lv-LV"/>
              </w:rPr>
              <w:t>1</w:t>
            </w: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.</w:t>
            </w:r>
            <w:r w:rsidR="00DA3AFD">
              <w:rPr>
                <w:color w:val="000000" w:themeColor="text1"/>
                <w:sz w:val="26"/>
                <w:szCs w:val="26"/>
                <w:lang w:val="lv-LV"/>
              </w:rPr>
              <w:t>-1.3.</w:t>
            </w: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punkts</w:t>
            </w:r>
          </w:p>
        </w:tc>
        <w:tc>
          <w:tcPr>
            <w:tcW w:w="930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5B73E6D" w14:textId="77777777" w:rsidR="009A3668" w:rsidRPr="000965FC" w:rsidRDefault="009A3668" w:rsidP="0025430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0965FC">
              <w:rPr>
                <w:color w:val="000000" w:themeColor="text1"/>
                <w:sz w:val="26"/>
                <w:szCs w:val="26"/>
              </w:rPr>
              <w:t>Ieviests pilnībā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1E27DB0" w14:textId="77777777" w:rsidR="009A3668" w:rsidRPr="000965FC" w:rsidRDefault="009A3668" w:rsidP="0025430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0965FC">
              <w:rPr>
                <w:color w:val="000000" w:themeColor="text1"/>
                <w:sz w:val="26"/>
                <w:szCs w:val="26"/>
              </w:rPr>
              <w:t>Neparedz stingrākas prasības.</w:t>
            </w:r>
          </w:p>
        </w:tc>
      </w:tr>
      <w:tr w:rsidR="009A3668" w:rsidRPr="000965FC" w14:paraId="63F8949A" w14:textId="77777777" w:rsidTr="0025430E">
        <w:tc>
          <w:tcPr>
            <w:tcW w:w="1613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22B4F329" w14:textId="77777777" w:rsidR="009A3668" w:rsidRPr="000965FC" w:rsidRDefault="009A3668" w:rsidP="0025430E">
            <w:pPr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 xml:space="preserve">Kā ir izmantota ES tiesību aktā paredzētā rīcības brīvība dalībvalstij pārņemt </w:t>
            </w: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lastRenderedPageBreak/>
              <w:t>vai ieviest noteiktas ES tiesību akta normas? Kādēļ?</w:t>
            </w:r>
          </w:p>
        </w:tc>
        <w:tc>
          <w:tcPr>
            <w:tcW w:w="3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2FEF" w14:textId="77777777" w:rsidR="009A3668" w:rsidRPr="000965FC" w:rsidRDefault="009A3668" w:rsidP="0025430E">
            <w:pPr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/>
              </w:rPr>
              <w:lastRenderedPageBreak/>
              <w:t>Projekts šo jomu neskar.</w:t>
            </w:r>
          </w:p>
        </w:tc>
      </w:tr>
      <w:tr w:rsidR="009A3668" w:rsidRPr="000965FC" w14:paraId="59F810CE" w14:textId="77777777" w:rsidTr="0025430E">
        <w:tc>
          <w:tcPr>
            <w:tcW w:w="1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5269BB4D" w14:textId="77777777" w:rsidR="009A3668" w:rsidRPr="000965FC" w:rsidRDefault="009A3668" w:rsidP="0025430E">
            <w:pPr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4D44" w14:textId="77777777" w:rsidR="009A3668" w:rsidRPr="000965FC" w:rsidRDefault="009A3668" w:rsidP="0025430E">
            <w:pPr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/>
              </w:rPr>
              <w:t>Atbalsta programma tiks saskaņota ar Eiropas Komisiju.</w:t>
            </w:r>
          </w:p>
        </w:tc>
      </w:tr>
      <w:tr w:rsidR="009A3668" w:rsidRPr="000965FC" w14:paraId="121E5935" w14:textId="77777777" w:rsidTr="0025430E">
        <w:tc>
          <w:tcPr>
            <w:tcW w:w="16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 w:themeFill="background1"/>
            <w:hideMark/>
          </w:tcPr>
          <w:p w14:paraId="1CA98648" w14:textId="77777777" w:rsidR="009A3668" w:rsidRPr="000965FC" w:rsidRDefault="009A3668" w:rsidP="0025430E">
            <w:pPr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33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2AA9" w14:textId="77777777" w:rsidR="009A3668" w:rsidRPr="000965FC" w:rsidRDefault="009A3668" w:rsidP="0025430E">
            <w:pPr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Nav.</w:t>
            </w:r>
          </w:p>
        </w:tc>
      </w:tr>
    </w:tbl>
    <w:p w14:paraId="0881C869" w14:textId="75F20DE1" w:rsidR="009A3668" w:rsidRPr="000965FC" w:rsidRDefault="009A3668" w:rsidP="002B1AD5">
      <w:pPr>
        <w:contextualSpacing/>
        <w:rPr>
          <w:color w:val="000000" w:themeColor="text1"/>
          <w:sz w:val="26"/>
          <w:szCs w:val="26"/>
          <w:lang w:val="lv-LV"/>
        </w:rPr>
      </w:pPr>
    </w:p>
    <w:p w14:paraId="620B5CBF" w14:textId="77777777" w:rsidR="009A3668" w:rsidRPr="000965FC" w:rsidRDefault="009A3668" w:rsidP="002B1AD5">
      <w:pPr>
        <w:contextualSpacing/>
        <w:rPr>
          <w:color w:val="000000" w:themeColor="text1"/>
          <w:sz w:val="26"/>
          <w:szCs w:val="26"/>
          <w:lang w:val="lv-LV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237"/>
      </w:tblGrid>
      <w:tr w:rsidR="006F4B13" w:rsidRPr="000965FC" w14:paraId="7EEC0F00" w14:textId="77777777" w:rsidTr="001342EF">
        <w:trPr>
          <w:trHeight w:val="421"/>
        </w:trPr>
        <w:tc>
          <w:tcPr>
            <w:tcW w:w="9214" w:type="dxa"/>
            <w:gridSpan w:val="3"/>
            <w:tcBorders>
              <w:top w:val="single" w:sz="2" w:space="0" w:color="auto"/>
            </w:tcBorders>
            <w:vAlign w:val="center"/>
          </w:tcPr>
          <w:p w14:paraId="7BCCE7F8" w14:textId="77777777" w:rsidR="006F4B13" w:rsidRPr="000965FC" w:rsidRDefault="006F4B13" w:rsidP="00370711">
            <w:pPr>
              <w:ind w:left="57" w:right="57"/>
              <w:contextualSpacing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rFonts w:eastAsia="Times New Roman"/>
                <w:b/>
                <w:color w:val="000000" w:themeColor="text1"/>
                <w:sz w:val="26"/>
                <w:szCs w:val="26"/>
                <w:lang w:val="lv-LV"/>
              </w:rPr>
              <w:t>VI. Sabiedrības līdzdalība un komunikācijas aktivitātes</w:t>
            </w:r>
          </w:p>
        </w:tc>
      </w:tr>
      <w:tr w:rsidR="003F0B47" w:rsidRPr="000965FC" w14:paraId="6FEF54FD" w14:textId="77777777" w:rsidTr="001342EF">
        <w:trPr>
          <w:trHeight w:val="553"/>
        </w:trPr>
        <w:tc>
          <w:tcPr>
            <w:tcW w:w="426" w:type="dxa"/>
          </w:tcPr>
          <w:p w14:paraId="41086138" w14:textId="77777777" w:rsidR="003F0B47" w:rsidRPr="000965FC" w:rsidRDefault="003F0B47" w:rsidP="003F0B47">
            <w:pPr>
              <w:ind w:left="57" w:right="57"/>
              <w:contextualSpacing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1.</w:t>
            </w:r>
          </w:p>
        </w:tc>
        <w:tc>
          <w:tcPr>
            <w:tcW w:w="2551" w:type="dxa"/>
          </w:tcPr>
          <w:p w14:paraId="798682AC" w14:textId="77777777" w:rsidR="003F0B47" w:rsidRPr="000965FC" w:rsidRDefault="003F0B47" w:rsidP="003F0B47">
            <w:pPr>
              <w:tabs>
                <w:tab w:val="left" w:pos="170"/>
              </w:tabs>
              <w:ind w:left="57" w:right="57"/>
              <w:contextualSpacing/>
              <w:rPr>
                <w:rFonts w:eastAsia="PMingLiU"/>
                <w:color w:val="000000" w:themeColor="text1"/>
                <w:sz w:val="26"/>
                <w:szCs w:val="26"/>
                <w:lang w:val="lv-LV" w:eastAsia="ja-JP"/>
              </w:rPr>
            </w:pPr>
            <w:r w:rsidRPr="000965FC">
              <w:rPr>
                <w:rFonts w:eastAsia="PMingLiU"/>
                <w:color w:val="000000" w:themeColor="text1"/>
                <w:sz w:val="26"/>
                <w:szCs w:val="26"/>
                <w:lang w:val="lv-LV" w:eastAsia="ja-JP"/>
              </w:rPr>
              <w:t>Plānotās sabiedrības līdzdalības un komunikācijas aktivitātes saistībā ar projektu</w:t>
            </w:r>
          </w:p>
        </w:tc>
        <w:tc>
          <w:tcPr>
            <w:tcW w:w="6237" w:type="dxa"/>
          </w:tcPr>
          <w:p w14:paraId="384FFED0" w14:textId="565B01CE" w:rsidR="003F0B47" w:rsidRPr="000965FC" w:rsidRDefault="00745145" w:rsidP="003F0B47">
            <w:pPr>
              <w:shd w:val="clear" w:color="auto" w:fill="FFFFFF"/>
              <w:ind w:right="113"/>
              <w:contextualSpacing/>
              <w:jc w:val="both"/>
              <w:rPr>
                <w:rFonts w:eastAsia="PMingLiU"/>
                <w:color w:val="000000" w:themeColor="text1"/>
                <w:sz w:val="26"/>
                <w:szCs w:val="26"/>
                <w:lang w:val="lv-LV" w:eastAsia="ja-JP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/>
              </w:rPr>
              <w:t xml:space="preserve">Sabiedrības līdzdalība ir nodrošināta </w:t>
            </w: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krīzes vadības grupas uzņēmējdarbības veicināšanai </w:t>
            </w: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/>
              </w:rPr>
              <w:t>ietvaros apspriežot noteikumu projektu ar nozares uzņēmējiem.</w:t>
            </w:r>
          </w:p>
        </w:tc>
      </w:tr>
      <w:tr w:rsidR="003F0B47" w:rsidRPr="000965FC" w14:paraId="3F5FD1CD" w14:textId="77777777" w:rsidTr="001342EF">
        <w:trPr>
          <w:trHeight w:val="339"/>
        </w:trPr>
        <w:tc>
          <w:tcPr>
            <w:tcW w:w="426" w:type="dxa"/>
          </w:tcPr>
          <w:p w14:paraId="4B9C6F89" w14:textId="77777777" w:rsidR="003F0B47" w:rsidRPr="000965FC" w:rsidRDefault="003F0B47" w:rsidP="003F0B47">
            <w:pPr>
              <w:ind w:left="57" w:right="57"/>
              <w:contextualSpacing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2.</w:t>
            </w:r>
          </w:p>
        </w:tc>
        <w:tc>
          <w:tcPr>
            <w:tcW w:w="2551" w:type="dxa"/>
          </w:tcPr>
          <w:p w14:paraId="4B6FBDE6" w14:textId="77777777" w:rsidR="003F0B47" w:rsidRPr="000965FC" w:rsidRDefault="003F0B47" w:rsidP="003F0B47">
            <w:pPr>
              <w:ind w:left="57" w:right="57"/>
              <w:contextualSpacing/>
              <w:rPr>
                <w:rFonts w:eastAsia="PMingLiU"/>
                <w:color w:val="000000" w:themeColor="text1"/>
                <w:sz w:val="26"/>
                <w:szCs w:val="26"/>
                <w:lang w:val="lv-LV" w:eastAsia="ja-JP"/>
              </w:rPr>
            </w:pPr>
            <w:r w:rsidRPr="000965FC">
              <w:rPr>
                <w:rFonts w:eastAsia="PMingLiU"/>
                <w:color w:val="000000" w:themeColor="text1"/>
                <w:sz w:val="26"/>
                <w:szCs w:val="26"/>
                <w:lang w:val="lv-LV" w:eastAsia="ja-JP"/>
              </w:rPr>
              <w:t>Sabiedrības līdzdalība projekta izstrādē</w:t>
            </w:r>
          </w:p>
        </w:tc>
        <w:tc>
          <w:tcPr>
            <w:tcW w:w="6237" w:type="dxa"/>
          </w:tcPr>
          <w:p w14:paraId="18D5064F" w14:textId="46F904D3" w:rsidR="003F0B47" w:rsidRPr="000965FC" w:rsidRDefault="003F0B47" w:rsidP="003F0B47">
            <w:pPr>
              <w:shd w:val="clear" w:color="auto" w:fill="FFFFFF"/>
              <w:ind w:left="57" w:right="113"/>
              <w:contextualSpacing/>
              <w:jc w:val="both"/>
              <w:rPr>
                <w:rFonts w:eastAsia="PMingLiU"/>
                <w:color w:val="000000" w:themeColor="text1"/>
                <w:sz w:val="26"/>
                <w:szCs w:val="26"/>
                <w:shd w:val="clear" w:color="auto" w:fill="FFFFFF"/>
                <w:lang w:val="lv-LV" w:eastAsia="ja-JP"/>
              </w:rPr>
            </w:pPr>
          </w:p>
        </w:tc>
      </w:tr>
      <w:tr w:rsidR="006F4B13" w:rsidRPr="000965FC" w14:paraId="0F937EA3" w14:textId="77777777" w:rsidTr="001342EF">
        <w:trPr>
          <w:trHeight w:val="476"/>
        </w:trPr>
        <w:tc>
          <w:tcPr>
            <w:tcW w:w="426" w:type="dxa"/>
          </w:tcPr>
          <w:p w14:paraId="5A007BCA" w14:textId="77777777" w:rsidR="006F4B13" w:rsidRPr="000965FC" w:rsidRDefault="006F4B13" w:rsidP="00370711">
            <w:pPr>
              <w:ind w:left="57" w:right="57"/>
              <w:contextualSpacing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3.</w:t>
            </w:r>
          </w:p>
        </w:tc>
        <w:tc>
          <w:tcPr>
            <w:tcW w:w="2551" w:type="dxa"/>
          </w:tcPr>
          <w:p w14:paraId="5F99D7D0" w14:textId="77777777" w:rsidR="006F4B13" w:rsidRPr="000965FC" w:rsidRDefault="006F4B13" w:rsidP="00370711">
            <w:pPr>
              <w:ind w:left="57" w:right="57"/>
              <w:contextualSpacing/>
              <w:rPr>
                <w:rFonts w:eastAsia="PMingLiU"/>
                <w:color w:val="000000" w:themeColor="text1"/>
                <w:sz w:val="26"/>
                <w:szCs w:val="26"/>
                <w:lang w:val="lv-LV" w:eastAsia="ja-JP"/>
              </w:rPr>
            </w:pPr>
            <w:r w:rsidRPr="000965FC">
              <w:rPr>
                <w:rFonts w:eastAsia="PMingLiU"/>
                <w:color w:val="000000" w:themeColor="text1"/>
                <w:sz w:val="26"/>
                <w:szCs w:val="26"/>
                <w:lang w:val="lv-LV" w:eastAsia="ja-JP"/>
              </w:rPr>
              <w:t>Sabiedrības līdzdalības rezultāti</w:t>
            </w:r>
          </w:p>
        </w:tc>
        <w:tc>
          <w:tcPr>
            <w:tcW w:w="6237" w:type="dxa"/>
          </w:tcPr>
          <w:p w14:paraId="2BF921D4" w14:textId="6D400666" w:rsidR="006F4B13" w:rsidRPr="000965FC" w:rsidRDefault="006F4B13" w:rsidP="00370711">
            <w:pPr>
              <w:shd w:val="clear" w:color="auto" w:fill="FFFFFF"/>
              <w:ind w:left="57" w:right="113"/>
              <w:contextualSpacing/>
              <w:jc w:val="both"/>
              <w:rPr>
                <w:rFonts w:eastAsia="PMingLiU"/>
                <w:color w:val="000000" w:themeColor="text1"/>
                <w:sz w:val="26"/>
                <w:szCs w:val="26"/>
                <w:shd w:val="clear" w:color="auto" w:fill="FFFFFF"/>
                <w:lang w:val="lv-LV" w:eastAsia="ja-JP"/>
              </w:rPr>
            </w:pPr>
            <w:r w:rsidRPr="000965FC">
              <w:rPr>
                <w:rFonts w:eastAsia="PMingLiU"/>
                <w:color w:val="000000" w:themeColor="text1"/>
                <w:sz w:val="26"/>
                <w:szCs w:val="26"/>
                <w:shd w:val="clear" w:color="auto" w:fill="FFFFFF"/>
                <w:lang w:val="lv-LV" w:eastAsia="ja-JP"/>
              </w:rPr>
              <w:t>Nav</w:t>
            </w:r>
          </w:p>
        </w:tc>
      </w:tr>
      <w:tr w:rsidR="006F4B13" w:rsidRPr="000965FC" w14:paraId="13638F96" w14:textId="77777777" w:rsidTr="001342EF">
        <w:trPr>
          <w:trHeight w:val="205"/>
        </w:trPr>
        <w:tc>
          <w:tcPr>
            <w:tcW w:w="426" w:type="dxa"/>
          </w:tcPr>
          <w:p w14:paraId="286DE4AB" w14:textId="77777777" w:rsidR="006F4B13" w:rsidRPr="000965FC" w:rsidRDefault="006F4B13" w:rsidP="00282251">
            <w:pPr>
              <w:ind w:left="57" w:right="57"/>
              <w:contextualSpacing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4.</w:t>
            </w:r>
          </w:p>
        </w:tc>
        <w:tc>
          <w:tcPr>
            <w:tcW w:w="2551" w:type="dxa"/>
          </w:tcPr>
          <w:p w14:paraId="1AEA4978" w14:textId="77777777" w:rsidR="006F4B13" w:rsidRPr="000965FC" w:rsidRDefault="006F4B13" w:rsidP="00282251">
            <w:pPr>
              <w:ind w:left="57" w:right="57"/>
              <w:contextualSpacing/>
              <w:rPr>
                <w:rFonts w:eastAsia="PMingLiU"/>
                <w:color w:val="000000" w:themeColor="text1"/>
                <w:sz w:val="26"/>
                <w:szCs w:val="26"/>
                <w:lang w:val="lv-LV" w:eastAsia="ja-JP"/>
              </w:rPr>
            </w:pPr>
            <w:r w:rsidRPr="000965FC">
              <w:rPr>
                <w:rFonts w:eastAsia="PMingLiU"/>
                <w:color w:val="000000" w:themeColor="text1"/>
                <w:sz w:val="26"/>
                <w:szCs w:val="26"/>
                <w:lang w:val="lv-LV" w:eastAsia="ja-JP"/>
              </w:rPr>
              <w:t>Cita informācija</w:t>
            </w:r>
          </w:p>
        </w:tc>
        <w:tc>
          <w:tcPr>
            <w:tcW w:w="6237" w:type="dxa"/>
          </w:tcPr>
          <w:p w14:paraId="29112FCD" w14:textId="5927F71D" w:rsidR="006F4B13" w:rsidRPr="000965FC" w:rsidRDefault="006F4B13" w:rsidP="00282251">
            <w:pPr>
              <w:ind w:left="57" w:right="113"/>
              <w:contextualSpacing/>
              <w:jc w:val="both"/>
              <w:rPr>
                <w:rFonts w:eastAsia="PMingLiU"/>
                <w:color w:val="000000" w:themeColor="text1"/>
                <w:sz w:val="26"/>
                <w:szCs w:val="26"/>
                <w:lang w:val="lv-LV" w:eastAsia="ja-JP"/>
              </w:rPr>
            </w:pPr>
            <w:r w:rsidRPr="000965FC">
              <w:rPr>
                <w:rFonts w:eastAsia="PMingLiU"/>
                <w:color w:val="000000" w:themeColor="text1"/>
                <w:sz w:val="26"/>
                <w:szCs w:val="26"/>
                <w:lang w:val="lv-LV" w:eastAsia="ja-JP"/>
              </w:rPr>
              <w:t>Nav</w:t>
            </w:r>
          </w:p>
        </w:tc>
      </w:tr>
    </w:tbl>
    <w:p w14:paraId="2EB30350" w14:textId="77777777" w:rsidR="00AA6BD3" w:rsidRPr="000965FC" w:rsidRDefault="00AA6BD3" w:rsidP="00282251">
      <w:pPr>
        <w:contextualSpacing/>
        <w:rPr>
          <w:rFonts w:eastAsia="Times New Roman"/>
          <w:color w:val="000000" w:themeColor="text1"/>
          <w:sz w:val="26"/>
          <w:szCs w:val="26"/>
          <w:lang w:val="lv-LV" w:eastAsia="lv-LV"/>
        </w:rPr>
      </w:pPr>
    </w:p>
    <w:tbl>
      <w:tblPr>
        <w:tblW w:w="920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"/>
        <w:gridCol w:w="2701"/>
        <w:gridCol w:w="6237"/>
      </w:tblGrid>
      <w:tr w:rsidR="00844176" w:rsidRPr="000965FC" w14:paraId="72278BCA" w14:textId="77777777" w:rsidTr="001342EF">
        <w:trPr>
          <w:trHeight w:val="375"/>
        </w:trPr>
        <w:tc>
          <w:tcPr>
            <w:tcW w:w="9206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C12EA7" w14:textId="53912CA3" w:rsidR="00844176" w:rsidRPr="000965FC" w:rsidRDefault="00844176" w:rsidP="005A151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b/>
                <w:color w:val="000000" w:themeColor="text1"/>
                <w:sz w:val="26"/>
                <w:szCs w:val="26"/>
                <w:lang w:val="lv-LV"/>
              </w:rPr>
              <w:t>VII. Tiesību akta projekta izpildes nodrošināšana un tās ietekme uz institūcijām</w:t>
            </w:r>
          </w:p>
        </w:tc>
      </w:tr>
      <w:tr w:rsidR="00844176" w:rsidRPr="000965FC" w14:paraId="3BE578E7" w14:textId="77777777" w:rsidTr="001342EF">
        <w:trPr>
          <w:trHeight w:val="42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2ABD64" w14:textId="77777777" w:rsidR="00844176" w:rsidRPr="000965FC" w:rsidRDefault="00844176" w:rsidP="00282251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1.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B08CA7" w14:textId="77777777" w:rsidR="00844176" w:rsidRPr="000965FC" w:rsidRDefault="00844176" w:rsidP="00282251">
            <w:pPr>
              <w:ind w:right="112"/>
              <w:contextualSpacing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Projekta izpildē iesaistītās institūcijas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10CF17" w14:textId="6B14C65D" w:rsidR="00844176" w:rsidRPr="000965FC" w:rsidRDefault="00844176" w:rsidP="00282251">
            <w:pPr>
              <w:ind w:left="82" w:right="161"/>
              <w:contextualSpacing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E</w:t>
            </w:r>
            <w:r w:rsidR="00733C32" w:rsidRPr="000965FC">
              <w:rPr>
                <w:color w:val="000000" w:themeColor="text1"/>
                <w:sz w:val="26"/>
                <w:szCs w:val="26"/>
                <w:lang w:val="lv-LV"/>
              </w:rPr>
              <w:t>konomikas ministrija</w:t>
            </w:r>
            <w:r w:rsidR="0074545C"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, </w:t>
            </w:r>
            <w:r w:rsidR="00745145" w:rsidRPr="000965FC">
              <w:rPr>
                <w:color w:val="000000" w:themeColor="text1"/>
                <w:sz w:val="26"/>
                <w:szCs w:val="26"/>
                <w:lang w:val="lv-LV"/>
              </w:rPr>
              <w:t>VID.</w:t>
            </w:r>
          </w:p>
        </w:tc>
      </w:tr>
      <w:tr w:rsidR="00844176" w:rsidRPr="000965FC" w14:paraId="2CF2C3EA" w14:textId="77777777" w:rsidTr="001342EF">
        <w:trPr>
          <w:trHeight w:val="45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5BFDB2" w14:textId="77777777" w:rsidR="00844176" w:rsidRPr="000965FC" w:rsidRDefault="00844176" w:rsidP="00282251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2.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209650" w14:textId="77777777" w:rsidR="00844176" w:rsidRPr="000965FC" w:rsidRDefault="00844176" w:rsidP="00282251">
            <w:pPr>
              <w:ind w:right="112"/>
              <w:contextualSpacing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Projekta izpildes ietekme uz pārvaldes funkcijām un institucionālo struktūru. Jaunu institūciju izveide, esošu institūciju likvidācija vai reorganizācija, to ietekme uz institūcijas cilvēkresursiem.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5A7977" w14:textId="118CFB1E" w:rsidR="00844176" w:rsidRPr="000965FC" w:rsidRDefault="001F5AB0" w:rsidP="00282251">
            <w:pPr>
              <w:ind w:left="82" w:right="161"/>
              <w:contextualSpacing/>
              <w:jc w:val="both"/>
              <w:rPr>
                <w:color w:val="000000" w:themeColor="text1"/>
                <w:sz w:val="26"/>
                <w:szCs w:val="26"/>
                <w:lang w:val="lv-LV"/>
              </w:rPr>
            </w:pPr>
            <w:r w:rsidRPr="000965FC">
              <w:rPr>
                <w:rFonts w:eastAsia="Times New Roman"/>
                <w:bCs/>
                <w:iCs/>
                <w:color w:val="000000" w:themeColor="text1"/>
                <w:sz w:val="26"/>
                <w:szCs w:val="26"/>
                <w:lang w:val="lv-LV"/>
              </w:rPr>
              <w:t xml:space="preserve">MK noteikumu projekta </w:t>
            </w:r>
            <w:r w:rsidR="00733C32" w:rsidRPr="000965FC">
              <w:rPr>
                <w:color w:val="000000" w:themeColor="text1"/>
                <w:sz w:val="26"/>
                <w:szCs w:val="26"/>
                <w:lang w:val="lv-LV"/>
              </w:rPr>
              <w:t>izpilde tiks nodrošināta Ekonomikas ministrijas</w:t>
            </w:r>
            <w:r w:rsidR="00745145" w:rsidRPr="000965FC">
              <w:rPr>
                <w:color w:val="000000" w:themeColor="text1"/>
                <w:sz w:val="26"/>
                <w:szCs w:val="26"/>
                <w:lang w:val="lv-LV"/>
              </w:rPr>
              <w:t>, Finanšu ministrijas (normatīvā regulējuma izstrāde)</w:t>
            </w:r>
            <w:r w:rsidR="00844176"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 un </w:t>
            </w:r>
            <w:r w:rsidR="002C4AC6"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Valsts ieņēmumu dienesta </w:t>
            </w:r>
            <w:r w:rsidR="00745145"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(lēmumu pieņemšana un atbalsta izsniegšana) </w:t>
            </w:r>
            <w:r w:rsidR="00844176"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esošo funkciju </w:t>
            </w:r>
            <w:r w:rsidR="002B7681" w:rsidRPr="000965FC">
              <w:rPr>
                <w:color w:val="000000" w:themeColor="text1"/>
                <w:sz w:val="26"/>
                <w:szCs w:val="26"/>
                <w:lang w:val="lv-LV"/>
              </w:rPr>
              <w:t xml:space="preserve">un cilvēkresursu </w:t>
            </w:r>
            <w:r w:rsidR="00844176" w:rsidRPr="000965FC">
              <w:rPr>
                <w:color w:val="000000" w:themeColor="text1"/>
                <w:sz w:val="26"/>
                <w:szCs w:val="26"/>
                <w:lang w:val="lv-LV"/>
              </w:rPr>
              <w:t>ietvaros</w:t>
            </w:r>
            <w:r w:rsidR="002B7681" w:rsidRPr="000965FC">
              <w:rPr>
                <w:color w:val="000000" w:themeColor="text1"/>
                <w:sz w:val="26"/>
                <w:szCs w:val="26"/>
                <w:lang w:val="lv-LV"/>
              </w:rPr>
              <w:t>, kā arī nav paredzēta jaunu institūciju izveide, esošu institūciju likvidācija vai reorganizācija</w:t>
            </w:r>
            <w:r w:rsidR="00844176" w:rsidRPr="000965FC">
              <w:rPr>
                <w:color w:val="000000" w:themeColor="text1"/>
                <w:sz w:val="26"/>
                <w:szCs w:val="26"/>
                <w:lang w:val="lv-LV"/>
              </w:rPr>
              <w:t>.</w:t>
            </w:r>
          </w:p>
        </w:tc>
      </w:tr>
      <w:tr w:rsidR="00844176" w:rsidRPr="000965FC" w14:paraId="2EBACAF6" w14:textId="77777777" w:rsidTr="001342EF">
        <w:trPr>
          <w:trHeight w:val="39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52C13F" w14:textId="77777777" w:rsidR="00844176" w:rsidRPr="000965FC" w:rsidRDefault="00844176" w:rsidP="00282251">
            <w:pPr>
              <w:contextualSpacing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color w:val="000000" w:themeColor="text1"/>
                <w:sz w:val="26"/>
                <w:szCs w:val="26"/>
                <w:lang w:val="lv-LV"/>
              </w:rPr>
              <w:t>3.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CC748B" w14:textId="77777777" w:rsidR="00844176" w:rsidRPr="000965FC" w:rsidRDefault="00844176" w:rsidP="00282251">
            <w:pPr>
              <w:contextualSpacing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FA647" w14:textId="77777777" w:rsidR="00844176" w:rsidRPr="000965FC" w:rsidRDefault="00844176" w:rsidP="00282251">
            <w:pPr>
              <w:contextualSpacing/>
              <w:jc w:val="both"/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</w:pPr>
            <w:r w:rsidRPr="000965FC">
              <w:rPr>
                <w:rFonts w:eastAsia="Times New Roman"/>
                <w:color w:val="000000" w:themeColor="text1"/>
                <w:sz w:val="26"/>
                <w:szCs w:val="26"/>
                <w:lang w:val="lv-LV" w:eastAsia="lv-LV"/>
              </w:rPr>
              <w:t>Nav</w:t>
            </w:r>
          </w:p>
        </w:tc>
      </w:tr>
    </w:tbl>
    <w:p w14:paraId="3A720579" w14:textId="77777777" w:rsidR="001B0936" w:rsidRPr="000965FC" w:rsidRDefault="001B0936" w:rsidP="00824797">
      <w:pPr>
        <w:ind w:firstLine="567"/>
        <w:jc w:val="both"/>
        <w:rPr>
          <w:color w:val="000000" w:themeColor="text1"/>
          <w:sz w:val="26"/>
          <w:szCs w:val="26"/>
          <w:lang w:val="lv-LV"/>
        </w:rPr>
      </w:pPr>
      <w:bookmarkStart w:id="8" w:name="_Hlk40807714"/>
    </w:p>
    <w:p w14:paraId="6452CC80" w14:textId="1BD9F6A9" w:rsidR="00DA1B53" w:rsidRPr="000965FC" w:rsidRDefault="00DA1B53" w:rsidP="00824797">
      <w:pPr>
        <w:ind w:firstLine="567"/>
        <w:jc w:val="both"/>
        <w:rPr>
          <w:color w:val="000000" w:themeColor="text1"/>
          <w:sz w:val="26"/>
          <w:szCs w:val="26"/>
          <w:lang w:val="lv-LV"/>
        </w:rPr>
      </w:pPr>
      <w:r w:rsidRPr="000965FC">
        <w:rPr>
          <w:color w:val="000000" w:themeColor="text1"/>
          <w:sz w:val="26"/>
          <w:szCs w:val="26"/>
          <w:lang w:val="lv-LV"/>
        </w:rPr>
        <w:t>Ekonomikas ministr</w:t>
      </w:r>
      <w:r w:rsidR="003F0B47" w:rsidRPr="000965FC">
        <w:rPr>
          <w:color w:val="000000" w:themeColor="text1"/>
          <w:sz w:val="26"/>
          <w:szCs w:val="26"/>
          <w:lang w:val="lv-LV"/>
        </w:rPr>
        <w:t>s</w:t>
      </w:r>
      <w:r w:rsidR="003F0B47" w:rsidRPr="000965FC">
        <w:rPr>
          <w:color w:val="000000" w:themeColor="text1"/>
          <w:sz w:val="26"/>
          <w:szCs w:val="26"/>
          <w:lang w:val="lv-LV"/>
        </w:rPr>
        <w:tab/>
      </w:r>
      <w:r w:rsidR="003F0B47" w:rsidRPr="000965FC">
        <w:rPr>
          <w:color w:val="000000" w:themeColor="text1"/>
          <w:sz w:val="26"/>
          <w:szCs w:val="26"/>
          <w:lang w:val="lv-LV"/>
        </w:rPr>
        <w:tab/>
      </w:r>
      <w:r w:rsidR="003F0B47" w:rsidRPr="000965FC">
        <w:rPr>
          <w:color w:val="000000" w:themeColor="text1"/>
          <w:sz w:val="26"/>
          <w:szCs w:val="26"/>
          <w:lang w:val="lv-LV"/>
        </w:rPr>
        <w:tab/>
      </w:r>
      <w:r w:rsidR="003F0B47" w:rsidRPr="000965FC">
        <w:rPr>
          <w:color w:val="000000" w:themeColor="text1"/>
          <w:sz w:val="26"/>
          <w:szCs w:val="26"/>
          <w:lang w:val="lv-LV"/>
        </w:rPr>
        <w:tab/>
      </w:r>
      <w:r w:rsidR="00824797" w:rsidRPr="000965FC">
        <w:rPr>
          <w:color w:val="000000" w:themeColor="text1"/>
          <w:sz w:val="26"/>
          <w:szCs w:val="26"/>
          <w:lang w:val="lv-LV"/>
        </w:rPr>
        <w:tab/>
      </w:r>
      <w:r w:rsidR="00824797" w:rsidRPr="000965FC">
        <w:rPr>
          <w:color w:val="000000" w:themeColor="text1"/>
          <w:sz w:val="26"/>
          <w:szCs w:val="26"/>
          <w:lang w:val="lv-LV"/>
        </w:rPr>
        <w:tab/>
      </w:r>
      <w:r w:rsidR="003F0B47" w:rsidRPr="000965FC">
        <w:rPr>
          <w:color w:val="000000" w:themeColor="text1"/>
          <w:sz w:val="26"/>
          <w:szCs w:val="26"/>
          <w:lang w:val="lv-LV"/>
        </w:rPr>
        <w:t>Jānis Vitenbergs</w:t>
      </w:r>
    </w:p>
    <w:p w14:paraId="186DE79D" w14:textId="6EE1F959" w:rsidR="00102B0D" w:rsidRPr="000965FC" w:rsidRDefault="00862580" w:rsidP="001B0936">
      <w:pPr>
        <w:ind w:firstLine="567"/>
        <w:rPr>
          <w:color w:val="000000" w:themeColor="text1"/>
          <w:sz w:val="26"/>
          <w:szCs w:val="26"/>
          <w:lang w:val="lv-LV"/>
        </w:rPr>
      </w:pPr>
      <w:r w:rsidRPr="000965FC">
        <w:rPr>
          <w:color w:val="000000" w:themeColor="text1"/>
          <w:sz w:val="26"/>
          <w:szCs w:val="26"/>
          <w:lang w:val="lv-LV"/>
        </w:rPr>
        <w:lastRenderedPageBreak/>
        <w:t>Vīza</w:t>
      </w:r>
      <w:r w:rsidR="00102B0D" w:rsidRPr="000965FC">
        <w:rPr>
          <w:color w:val="000000" w:themeColor="text1"/>
          <w:sz w:val="26"/>
          <w:szCs w:val="26"/>
          <w:lang w:val="lv-LV"/>
        </w:rPr>
        <w:t>:</w:t>
      </w:r>
    </w:p>
    <w:bookmarkEnd w:id="8"/>
    <w:p w14:paraId="1479C298" w14:textId="31BF883A" w:rsidR="00DF7086" w:rsidRPr="00E6289C" w:rsidRDefault="00824797" w:rsidP="001B0936">
      <w:pPr>
        <w:tabs>
          <w:tab w:val="left" w:pos="6237"/>
        </w:tabs>
        <w:ind w:firstLine="567"/>
        <w:rPr>
          <w:color w:val="000000" w:themeColor="text1"/>
          <w:sz w:val="26"/>
          <w:szCs w:val="26"/>
          <w:lang w:val="lv-LV"/>
        </w:rPr>
      </w:pPr>
      <w:r w:rsidRPr="000965FC">
        <w:rPr>
          <w:sz w:val="26"/>
          <w:szCs w:val="26"/>
          <w:lang w:val="lv-LV"/>
        </w:rPr>
        <w:t>Valsts sekretār</w:t>
      </w:r>
      <w:r w:rsidR="001B0936" w:rsidRPr="000965FC">
        <w:rPr>
          <w:sz w:val="26"/>
          <w:szCs w:val="26"/>
          <w:lang w:val="lv-LV"/>
        </w:rPr>
        <w:t>s</w:t>
      </w:r>
      <w:r w:rsidRPr="000965FC">
        <w:rPr>
          <w:sz w:val="26"/>
          <w:szCs w:val="26"/>
          <w:lang w:val="lv-LV"/>
        </w:rPr>
        <w:t xml:space="preserve"> </w:t>
      </w:r>
      <w:r w:rsidR="001B0936" w:rsidRPr="000965FC">
        <w:rPr>
          <w:sz w:val="26"/>
          <w:szCs w:val="26"/>
          <w:lang w:val="lv-LV"/>
        </w:rPr>
        <w:tab/>
      </w:r>
      <w:r w:rsidR="001B0936" w:rsidRPr="000965FC">
        <w:rPr>
          <w:sz w:val="26"/>
          <w:szCs w:val="26"/>
          <w:lang w:val="lv-LV"/>
        </w:rPr>
        <w:tab/>
        <w:t>Edmunds Valantis</w:t>
      </w:r>
    </w:p>
    <w:sectPr w:rsidR="00DF7086" w:rsidRPr="00E6289C" w:rsidSect="009E08AF">
      <w:headerReference w:type="default" r:id="rId8"/>
      <w:footerReference w:type="default" r:id="rId9"/>
      <w:footerReference w:type="first" r:id="rId10"/>
      <w:endnotePr>
        <w:numFmt w:val="decimal"/>
      </w:endnotePr>
      <w:type w:val="continuous"/>
      <w:pgSz w:w="11906" w:h="16838" w:code="9"/>
      <w:pgMar w:top="1134" w:right="1134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AA60D" w14:textId="77777777" w:rsidR="00323DBB" w:rsidRDefault="00323DBB" w:rsidP="006B2FEF">
      <w:r>
        <w:separator/>
      </w:r>
    </w:p>
  </w:endnote>
  <w:endnote w:type="continuationSeparator" w:id="0">
    <w:p w14:paraId="1E85CA98" w14:textId="77777777" w:rsidR="00323DBB" w:rsidRDefault="00323DBB" w:rsidP="006B2FEF">
      <w:r>
        <w:continuationSeparator/>
      </w:r>
    </w:p>
  </w:endnote>
  <w:endnote w:type="continuationNotice" w:id="1">
    <w:p w14:paraId="2FF81775" w14:textId="77777777" w:rsidR="00323DBB" w:rsidRDefault="00323D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9F64A" w14:textId="3F8B7AE1" w:rsidR="00137CDB" w:rsidRPr="0055278C" w:rsidRDefault="0055278C" w:rsidP="0055278C">
    <w:pPr>
      <w:pStyle w:val="Footer"/>
    </w:pPr>
    <w:r>
      <w:rPr>
        <w:lang w:val="lv-LV"/>
      </w:rPr>
      <w:t>E</w:t>
    </w:r>
    <w:r w:rsidRPr="0055278C">
      <w:rPr>
        <w:lang w:val="lv-LV"/>
      </w:rPr>
      <w:t>MAnot_</w:t>
    </w:r>
    <w:r w:rsidR="002C3AD4">
      <w:rPr>
        <w:lang w:val="lv-LV"/>
      </w:rPr>
      <w:t>1</w:t>
    </w:r>
    <w:r w:rsidR="009D1FC1">
      <w:rPr>
        <w:lang w:val="lv-LV"/>
      </w:rPr>
      <w:t>3</w:t>
    </w:r>
    <w:r w:rsidRPr="0055278C">
      <w:rPr>
        <w:lang w:val="lv-LV"/>
      </w:rPr>
      <w:t>0121_ApgrozLidz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EEC1D" w14:textId="3F2D153C" w:rsidR="00137CDB" w:rsidRPr="0055278C" w:rsidRDefault="0055278C" w:rsidP="0055278C">
    <w:pPr>
      <w:pStyle w:val="Footer"/>
    </w:pPr>
    <w:r>
      <w:rPr>
        <w:lang w:val="lv-LV"/>
      </w:rPr>
      <w:t>E</w:t>
    </w:r>
    <w:r w:rsidRPr="0055278C">
      <w:rPr>
        <w:lang w:val="lv-LV"/>
      </w:rPr>
      <w:t>MAnot_</w:t>
    </w:r>
    <w:r w:rsidR="002C3AD4">
      <w:rPr>
        <w:lang w:val="lv-LV"/>
      </w:rPr>
      <w:t>1</w:t>
    </w:r>
    <w:r w:rsidR="009D1FC1">
      <w:rPr>
        <w:lang w:val="lv-LV"/>
      </w:rPr>
      <w:t>3</w:t>
    </w:r>
    <w:r w:rsidRPr="0055278C">
      <w:rPr>
        <w:lang w:val="lv-LV"/>
      </w:rPr>
      <w:t>0121_ApgrozLidz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2DC94" w14:textId="77777777" w:rsidR="00323DBB" w:rsidRDefault="00323DBB" w:rsidP="006B2FEF">
      <w:r>
        <w:separator/>
      </w:r>
    </w:p>
  </w:footnote>
  <w:footnote w:type="continuationSeparator" w:id="0">
    <w:p w14:paraId="5587AB39" w14:textId="77777777" w:rsidR="00323DBB" w:rsidRDefault="00323DBB" w:rsidP="006B2FEF">
      <w:r>
        <w:continuationSeparator/>
      </w:r>
    </w:p>
  </w:footnote>
  <w:footnote w:type="continuationNotice" w:id="1">
    <w:p w14:paraId="04FEFDF9" w14:textId="77777777" w:rsidR="00323DBB" w:rsidRDefault="00323D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6272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597F8B3" w14:textId="36B16E87" w:rsidR="00137CDB" w:rsidRPr="005A1518" w:rsidRDefault="00137CDB" w:rsidP="005A1518">
        <w:pPr>
          <w:pStyle w:val="Header"/>
          <w:jc w:val="center"/>
          <w:rPr>
            <w:sz w:val="24"/>
          </w:rPr>
        </w:pPr>
        <w:r w:rsidRPr="00B014C2">
          <w:rPr>
            <w:sz w:val="24"/>
            <w:szCs w:val="24"/>
          </w:rPr>
          <w:fldChar w:fldCharType="begin"/>
        </w:r>
        <w:r w:rsidRPr="00B014C2">
          <w:rPr>
            <w:sz w:val="24"/>
            <w:szCs w:val="24"/>
          </w:rPr>
          <w:instrText xml:space="preserve"> PAGE   \* MERGEFORMAT </w:instrText>
        </w:r>
        <w:r w:rsidRPr="00B014C2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10</w:t>
        </w:r>
        <w:r w:rsidRPr="00B014C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F68FD"/>
    <w:multiLevelType w:val="hybridMultilevel"/>
    <w:tmpl w:val="9C9A4262"/>
    <w:lvl w:ilvl="0" w:tplc="42AAE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018CE"/>
    <w:multiLevelType w:val="hybridMultilevel"/>
    <w:tmpl w:val="771AAA26"/>
    <w:lvl w:ilvl="0" w:tplc="A03242A8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307F7"/>
    <w:multiLevelType w:val="hybridMultilevel"/>
    <w:tmpl w:val="AA90F2CA"/>
    <w:lvl w:ilvl="0" w:tplc="A254E06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25538"/>
    <w:multiLevelType w:val="hybridMultilevel"/>
    <w:tmpl w:val="7F82FC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508E5"/>
    <w:multiLevelType w:val="hybridMultilevel"/>
    <w:tmpl w:val="A84613B8"/>
    <w:lvl w:ilvl="0" w:tplc="B5EE08B0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935430C"/>
    <w:multiLevelType w:val="hybridMultilevel"/>
    <w:tmpl w:val="A6940A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F7FDD"/>
    <w:multiLevelType w:val="hybridMultilevel"/>
    <w:tmpl w:val="538693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E2352"/>
    <w:multiLevelType w:val="hybridMultilevel"/>
    <w:tmpl w:val="59FA49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4680E"/>
    <w:multiLevelType w:val="hybridMultilevel"/>
    <w:tmpl w:val="F1AC058E"/>
    <w:lvl w:ilvl="0" w:tplc="F83EFEA0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DB942D5"/>
    <w:multiLevelType w:val="hybridMultilevel"/>
    <w:tmpl w:val="7B44420E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F5D2E67"/>
    <w:multiLevelType w:val="hybridMultilevel"/>
    <w:tmpl w:val="61EC32F6"/>
    <w:lvl w:ilvl="0" w:tplc="DD163D0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53A42"/>
    <w:multiLevelType w:val="hybridMultilevel"/>
    <w:tmpl w:val="123620B4"/>
    <w:lvl w:ilvl="0" w:tplc="A832F7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D7DD8"/>
    <w:multiLevelType w:val="hybridMultilevel"/>
    <w:tmpl w:val="5D96A968"/>
    <w:lvl w:ilvl="0" w:tplc="741CB2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218C9"/>
    <w:multiLevelType w:val="hybridMultilevel"/>
    <w:tmpl w:val="0E924508"/>
    <w:lvl w:ilvl="0" w:tplc="B2F010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110AF"/>
    <w:multiLevelType w:val="hybridMultilevel"/>
    <w:tmpl w:val="8CFABD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7077B"/>
    <w:multiLevelType w:val="hybridMultilevel"/>
    <w:tmpl w:val="11F89F4E"/>
    <w:lvl w:ilvl="0" w:tplc="0240C17C">
      <w:start w:val="1"/>
      <w:numFmt w:val="decimal"/>
      <w:lvlText w:val="%1."/>
      <w:lvlJc w:val="left"/>
      <w:pPr>
        <w:ind w:left="9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729" w:hanging="360"/>
      </w:pPr>
    </w:lvl>
    <w:lvl w:ilvl="2" w:tplc="0426001B" w:tentative="1">
      <w:start w:val="1"/>
      <w:numFmt w:val="lowerRoman"/>
      <w:lvlText w:val="%3."/>
      <w:lvlJc w:val="right"/>
      <w:pPr>
        <w:ind w:left="1449" w:hanging="180"/>
      </w:pPr>
    </w:lvl>
    <w:lvl w:ilvl="3" w:tplc="0426000F" w:tentative="1">
      <w:start w:val="1"/>
      <w:numFmt w:val="decimal"/>
      <w:lvlText w:val="%4."/>
      <w:lvlJc w:val="left"/>
      <w:pPr>
        <w:ind w:left="2169" w:hanging="360"/>
      </w:pPr>
    </w:lvl>
    <w:lvl w:ilvl="4" w:tplc="04260019" w:tentative="1">
      <w:start w:val="1"/>
      <w:numFmt w:val="lowerLetter"/>
      <w:lvlText w:val="%5."/>
      <w:lvlJc w:val="left"/>
      <w:pPr>
        <w:ind w:left="2889" w:hanging="360"/>
      </w:pPr>
    </w:lvl>
    <w:lvl w:ilvl="5" w:tplc="0426001B" w:tentative="1">
      <w:start w:val="1"/>
      <w:numFmt w:val="lowerRoman"/>
      <w:lvlText w:val="%6."/>
      <w:lvlJc w:val="right"/>
      <w:pPr>
        <w:ind w:left="3609" w:hanging="180"/>
      </w:pPr>
    </w:lvl>
    <w:lvl w:ilvl="6" w:tplc="0426000F" w:tentative="1">
      <w:start w:val="1"/>
      <w:numFmt w:val="decimal"/>
      <w:lvlText w:val="%7."/>
      <w:lvlJc w:val="left"/>
      <w:pPr>
        <w:ind w:left="4329" w:hanging="360"/>
      </w:pPr>
    </w:lvl>
    <w:lvl w:ilvl="7" w:tplc="04260019" w:tentative="1">
      <w:start w:val="1"/>
      <w:numFmt w:val="lowerLetter"/>
      <w:lvlText w:val="%8."/>
      <w:lvlJc w:val="left"/>
      <w:pPr>
        <w:ind w:left="5049" w:hanging="360"/>
      </w:pPr>
    </w:lvl>
    <w:lvl w:ilvl="8" w:tplc="0426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6" w15:restartNumberingAfterBreak="0">
    <w:nsid w:val="44D733BF"/>
    <w:multiLevelType w:val="hybridMultilevel"/>
    <w:tmpl w:val="642AF8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B0DC4"/>
    <w:multiLevelType w:val="hybridMultilevel"/>
    <w:tmpl w:val="9B8E4454"/>
    <w:lvl w:ilvl="0" w:tplc="797281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87C69"/>
    <w:multiLevelType w:val="multilevel"/>
    <w:tmpl w:val="404C0A9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9" w15:restartNumberingAfterBreak="0">
    <w:nsid w:val="4ABE1100"/>
    <w:multiLevelType w:val="hybridMultilevel"/>
    <w:tmpl w:val="10144120"/>
    <w:lvl w:ilvl="0" w:tplc="D0A627C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449D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74612C"/>
    <w:multiLevelType w:val="multilevel"/>
    <w:tmpl w:val="5912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E25007"/>
    <w:multiLevelType w:val="hybridMultilevel"/>
    <w:tmpl w:val="CE92514A"/>
    <w:lvl w:ilvl="0" w:tplc="8FD2E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451A2"/>
    <w:multiLevelType w:val="hybridMultilevel"/>
    <w:tmpl w:val="D9B6B5E4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9824DC"/>
    <w:multiLevelType w:val="hybridMultilevel"/>
    <w:tmpl w:val="0B0AE480"/>
    <w:lvl w:ilvl="0" w:tplc="385EE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C6EA7"/>
    <w:multiLevelType w:val="hybridMultilevel"/>
    <w:tmpl w:val="16A4D00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C0B53"/>
    <w:multiLevelType w:val="hybridMultilevel"/>
    <w:tmpl w:val="3A261E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82718"/>
    <w:multiLevelType w:val="hybridMultilevel"/>
    <w:tmpl w:val="615ED1BE"/>
    <w:lvl w:ilvl="0" w:tplc="B2F010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22B5B"/>
    <w:multiLevelType w:val="hybridMultilevel"/>
    <w:tmpl w:val="FE90A80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3642B"/>
    <w:multiLevelType w:val="hybridMultilevel"/>
    <w:tmpl w:val="3B86CF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27"/>
  </w:num>
  <w:num w:numId="5">
    <w:abstractNumId w:val="29"/>
  </w:num>
  <w:num w:numId="6">
    <w:abstractNumId w:val="23"/>
  </w:num>
  <w:num w:numId="7">
    <w:abstractNumId w:val="24"/>
  </w:num>
  <w:num w:numId="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0"/>
  </w:num>
  <w:num w:numId="11">
    <w:abstractNumId w:val="4"/>
  </w:num>
  <w:num w:numId="12">
    <w:abstractNumId w:val="22"/>
  </w:num>
  <w:num w:numId="13">
    <w:abstractNumId w:val="15"/>
  </w:num>
  <w:num w:numId="14">
    <w:abstractNumId w:val="25"/>
  </w:num>
  <w:num w:numId="15">
    <w:abstractNumId w:val="9"/>
  </w:num>
  <w:num w:numId="16">
    <w:abstractNumId w:val="11"/>
  </w:num>
  <w:num w:numId="17">
    <w:abstractNumId w:val="1"/>
  </w:num>
  <w:num w:numId="18">
    <w:abstractNumId w:val="9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4"/>
  </w:num>
  <w:num w:numId="22">
    <w:abstractNumId w:val="16"/>
  </w:num>
  <w:num w:numId="23">
    <w:abstractNumId w:val="3"/>
  </w:num>
  <w:num w:numId="24">
    <w:abstractNumId w:val="8"/>
  </w:num>
  <w:num w:numId="25">
    <w:abstractNumId w:val="28"/>
  </w:num>
  <w:num w:numId="26">
    <w:abstractNumId w:val="10"/>
  </w:num>
  <w:num w:numId="27">
    <w:abstractNumId w:val="6"/>
  </w:num>
  <w:num w:numId="28">
    <w:abstractNumId w:val="5"/>
  </w:num>
  <w:num w:numId="29">
    <w:abstractNumId w:val="17"/>
  </w:num>
  <w:num w:numId="30">
    <w:abstractNumId w:val="0"/>
  </w:num>
  <w:num w:numId="3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D3"/>
    <w:rsid w:val="000008A9"/>
    <w:rsid w:val="000058AA"/>
    <w:rsid w:val="0000653D"/>
    <w:rsid w:val="00007491"/>
    <w:rsid w:val="0001048C"/>
    <w:rsid w:val="00013B61"/>
    <w:rsid w:val="00014B9F"/>
    <w:rsid w:val="00016159"/>
    <w:rsid w:val="0002003C"/>
    <w:rsid w:val="000231D2"/>
    <w:rsid w:val="000240CA"/>
    <w:rsid w:val="000245DB"/>
    <w:rsid w:val="00024D9D"/>
    <w:rsid w:val="0002596F"/>
    <w:rsid w:val="00026F18"/>
    <w:rsid w:val="0003012D"/>
    <w:rsid w:val="00030B7E"/>
    <w:rsid w:val="0003245D"/>
    <w:rsid w:val="00032471"/>
    <w:rsid w:val="0003265E"/>
    <w:rsid w:val="000331CC"/>
    <w:rsid w:val="00033F5A"/>
    <w:rsid w:val="00035C7B"/>
    <w:rsid w:val="00036FBA"/>
    <w:rsid w:val="00037F4B"/>
    <w:rsid w:val="0004198E"/>
    <w:rsid w:val="000430AC"/>
    <w:rsid w:val="0004380E"/>
    <w:rsid w:val="00043938"/>
    <w:rsid w:val="00044683"/>
    <w:rsid w:val="00044743"/>
    <w:rsid w:val="00047095"/>
    <w:rsid w:val="00047962"/>
    <w:rsid w:val="000527A4"/>
    <w:rsid w:val="0005406E"/>
    <w:rsid w:val="00055AB3"/>
    <w:rsid w:val="00057959"/>
    <w:rsid w:val="000678CD"/>
    <w:rsid w:val="00070F56"/>
    <w:rsid w:val="00071082"/>
    <w:rsid w:val="0007156D"/>
    <w:rsid w:val="00071BC9"/>
    <w:rsid w:val="00072B02"/>
    <w:rsid w:val="0007330D"/>
    <w:rsid w:val="00073914"/>
    <w:rsid w:val="00074090"/>
    <w:rsid w:val="00075EC8"/>
    <w:rsid w:val="0007733E"/>
    <w:rsid w:val="000773A5"/>
    <w:rsid w:val="00077712"/>
    <w:rsid w:val="00077D13"/>
    <w:rsid w:val="0008002B"/>
    <w:rsid w:val="000800A1"/>
    <w:rsid w:val="00080241"/>
    <w:rsid w:val="00080352"/>
    <w:rsid w:val="000818FB"/>
    <w:rsid w:val="00081EC5"/>
    <w:rsid w:val="000831EB"/>
    <w:rsid w:val="0008515E"/>
    <w:rsid w:val="00085640"/>
    <w:rsid w:val="00091668"/>
    <w:rsid w:val="00091F4F"/>
    <w:rsid w:val="0009324B"/>
    <w:rsid w:val="00094B1E"/>
    <w:rsid w:val="00095280"/>
    <w:rsid w:val="00095742"/>
    <w:rsid w:val="00096060"/>
    <w:rsid w:val="000964C6"/>
    <w:rsid w:val="000965FC"/>
    <w:rsid w:val="00096F1F"/>
    <w:rsid w:val="000972D6"/>
    <w:rsid w:val="000A0059"/>
    <w:rsid w:val="000A06F7"/>
    <w:rsid w:val="000A0E5F"/>
    <w:rsid w:val="000A14E3"/>
    <w:rsid w:val="000A2ABB"/>
    <w:rsid w:val="000A37C3"/>
    <w:rsid w:val="000A38DA"/>
    <w:rsid w:val="000A44CE"/>
    <w:rsid w:val="000B0748"/>
    <w:rsid w:val="000B0FC6"/>
    <w:rsid w:val="000B1248"/>
    <w:rsid w:val="000B1926"/>
    <w:rsid w:val="000B1B64"/>
    <w:rsid w:val="000B2C54"/>
    <w:rsid w:val="000B3449"/>
    <w:rsid w:val="000B3FAB"/>
    <w:rsid w:val="000B445E"/>
    <w:rsid w:val="000B492B"/>
    <w:rsid w:val="000B4E50"/>
    <w:rsid w:val="000B5B68"/>
    <w:rsid w:val="000B71B4"/>
    <w:rsid w:val="000B71FB"/>
    <w:rsid w:val="000C090A"/>
    <w:rsid w:val="000C1062"/>
    <w:rsid w:val="000C2431"/>
    <w:rsid w:val="000C2723"/>
    <w:rsid w:val="000C33C1"/>
    <w:rsid w:val="000C4418"/>
    <w:rsid w:val="000C4E81"/>
    <w:rsid w:val="000D2474"/>
    <w:rsid w:val="000D3D56"/>
    <w:rsid w:val="000D43D9"/>
    <w:rsid w:val="000D74B9"/>
    <w:rsid w:val="000E257B"/>
    <w:rsid w:val="000E53C3"/>
    <w:rsid w:val="000E56F8"/>
    <w:rsid w:val="000E5DD2"/>
    <w:rsid w:val="000E63F3"/>
    <w:rsid w:val="000F0A62"/>
    <w:rsid w:val="000F0E0E"/>
    <w:rsid w:val="000F1DA6"/>
    <w:rsid w:val="000F25D2"/>
    <w:rsid w:val="000F2EA7"/>
    <w:rsid w:val="000F4230"/>
    <w:rsid w:val="001001F5"/>
    <w:rsid w:val="00102922"/>
    <w:rsid w:val="00102B0D"/>
    <w:rsid w:val="00102B1D"/>
    <w:rsid w:val="00104CA7"/>
    <w:rsid w:val="00105D17"/>
    <w:rsid w:val="00106F18"/>
    <w:rsid w:val="00110128"/>
    <w:rsid w:val="0011196B"/>
    <w:rsid w:val="001143FB"/>
    <w:rsid w:val="00115CE8"/>
    <w:rsid w:val="0011606F"/>
    <w:rsid w:val="00117C68"/>
    <w:rsid w:val="00122D1A"/>
    <w:rsid w:val="0012624C"/>
    <w:rsid w:val="00126AE9"/>
    <w:rsid w:val="00127419"/>
    <w:rsid w:val="0013024B"/>
    <w:rsid w:val="00131C9F"/>
    <w:rsid w:val="001342EF"/>
    <w:rsid w:val="00136B18"/>
    <w:rsid w:val="00137388"/>
    <w:rsid w:val="00137CDB"/>
    <w:rsid w:val="00137F96"/>
    <w:rsid w:val="001411C3"/>
    <w:rsid w:val="00142C3C"/>
    <w:rsid w:val="00143BB6"/>
    <w:rsid w:val="00144CBE"/>
    <w:rsid w:val="00145366"/>
    <w:rsid w:val="00146697"/>
    <w:rsid w:val="00146D17"/>
    <w:rsid w:val="00151BBD"/>
    <w:rsid w:val="00152387"/>
    <w:rsid w:val="0015295F"/>
    <w:rsid w:val="00156067"/>
    <w:rsid w:val="00156C28"/>
    <w:rsid w:val="0016143E"/>
    <w:rsid w:val="00161BA7"/>
    <w:rsid w:val="001633A3"/>
    <w:rsid w:val="00164E20"/>
    <w:rsid w:val="001650AC"/>
    <w:rsid w:val="001655DD"/>
    <w:rsid w:val="00165747"/>
    <w:rsid w:val="00165F5E"/>
    <w:rsid w:val="0016668A"/>
    <w:rsid w:val="00166A8B"/>
    <w:rsid w:val="0016744E"/>
    <w:rsid w:val="00167597"/>
    <w:rsid w:val="00171F00"/>
    <w:rsid w:val="00172082"/>
    <w:rsid w:val="001748F9"/>
    <w:rsid w:val="00176AB2"/>
    <w:rsid w:val="00177250"/>
    <w:rsid w:val="00177882"/>
    <w:rsid w:val="00177A1E"/>
    <w:rsid w:val="00177C69"/>
    <w:rsid w:val="00180E2B"/>
    <w:rsid w:val="001827B1"/>
    <w:rsid w:val="001830E7"/>
    <w:rsid w:val="00183A56"/>
    <w:rsid w:val="00183B65"/>
    <w:rsid w:val="00183C0A"/>
    <w:rsid w:val="00184926"/>
    <w:rsid w:val="00186A4D"/>
    <w:rsid w:val="00187140"/>
    <w:rsid w:val="001902DC"/>
    <w:rsid w:val="00190B3D"/>
    <w:rsid w:val="001935C8"/>
    <w:rsid w:val="001943B1"/>
    <w:rsid w:val="001946C8"/>
    <w:rsid w:val="00195D43"/>
    <w:rsid w:val="001A04ED"/>
    <w:rsid w:val="001A120C"/>
    <w:rsid w:val="001A1322"/>
    <w:rsid w:val="001A1368"/>
    <w:rsid w:val="001A1439"/>
    <w:rsid w:val="001A2748"/>
    <w:rsid w:val="001A38EA"/>
    <w:rsid w:val="001A3ED2"/>
    <w:rsid w:val="001A45C7"/>
    <w:rsid w:val="001A6B14"/>
    <w:rsid w:val="001A7C3A"/>
    <w:rsid w:val="001A7E1D"/>
    <w:rsid w:val="001B0936"/>
    <w:rsid w:val="001B212C"/>
    <w:rsid w:val="001B3C82"/>
    <w:rsid w:val="001B64CC"/>
    <w:rsid w:val="001B70CA"/>
    <w:rsid w:val="001B7454"/>
    <w:rsid w:val="001C0801"/>
    <w:rsid w:val="001C143C"/>
    <w:rsid w:val="001C1B72"/>
    <w:rsid w:val="001C2832"/>
    <w:rsid w:val="001C28B9"/>
    <w:rsid w:val="001C362D"/>
    <w:rsid w:val="001C5ED6"/>
    <w:rsid w:val="001C6208"/>
    <w:rsid w:val="001C68A2"/>
    <w:rsid w:val="001C70CC"/>
    <w:rsid w:val="001D0561"/>
    <w:rsid w:val="001D0800"/>
    <w:rsid w:val="001D2C06"/>
    <w:rsid w:val="001D3167"/>
    <w:rsid w:val="001D41F0"/>
    <w:rsid w:val="001D4AA6"/>
    <w:rsid w:val="001D4C0A"/>
    <w:rsid w:val="001D5277"/>
    <w:rsid w:val="001D6EFA"/>
    <w:rsid w:val="001D7397"/>
    <w:rsid w:val="001D7DC1"/>
    <w:rsid w:val="001E023A"/>
    <w:rsid w:val="001E1B0F"/>
    <w:rsid w:val="001E3588"/>
    <w:rsid w:val="001E4C2F"/>
    <w:rsid w:val="001E5FBC"/>
    <w:rsid w:val="001E6C42"/>
    <w:rsid w:val="001E76A5"/>
    <w:rsid w:val="001E76BE"/>
    <w:rsid w:val="001F2BA2"/>
    <w:rsid w:val="001F37E9"/>
    <w:rsid w:val="001F5AB0"/>
    <w:rsid w:val="001F6DBE"/>
    <w:rsid w:val="001F7086"/>
    <w:rsid w:val="001F7AAD"/>
    <w:rsid w:val="00200E7D"/>
    <w:rsid w:val="00201D17"/>
    <w:rsid w:val="0020468C"/>
    <w:rsid w:val="002107BF"/>
    <w:rsid w:val="00210E64"/>
    <w:rsid w:val="00211315"/>
    <w:rsid w:val="00214E1D"/>
    <w:rsid w:val="002157CB"/>
    <w:rsid w:val="00215A5A"/>
    <w:rsid w:val="00215C6A"/>
    <w:rsid w:val="0021738A"/>
    <w:rsid w:val="002177B0"/>
    <w:rsid w:val="00217F5B"/>
    <w:rsid w:val="00220C45"/>
    <w:rsid w:val="00222D97"/>
    <w:rsid w:val="00223778"/>
    <w:rsid w:val="00223ADA"/>
    <w:rsid w:val="00224E84"/>
    <w:rsid w:val="002253C8"/>
    <w:rsid w:val="002267E7"/>
    <w:rsid w:val="00227BC3"/>
    <w:rsid w:val="00227F25"/>
    <w:rsid w:val="00231BFD"/>
    <w:rsid w:val="00232596"/>
    <w:rsid w:val="00234EDE"/>
    <w:rsid w:val="0023582E"/>
    <w:rsid w:val="002373EA"/>
    <w:rsid w:val="00237878"/>
    <w:rsid w:val="0024184C"/>
    <w:rsid w:val="00241C8F"/>
    <w:rsid w:val="002438ED"/>
    <w:rsid w:val="00244A9E"/>
    <w:rsid w:val="00245164"/>
    <w:rsid w:val="00246849"/>
    <w:rsid w:val="00247E33"/>
    <w:rsid w:val="00250127"/>
    <w:rsid w:val="0025023B"/>
    <w:rsid w:val="00252EEF"/>
    <w:rsid w:val="0025331A"/>
    <w:rsid w:val="00253B6C"/>
    <w:rsid w:val="00254651"/>
    <w:rsid w:val="00254901"/>
    <w:rsid w:val="0025543B"/>
    <w:rsid w:val="00255BAC"/>
    <w:rsid w:val="0025654B"/>
    <w:rsid w:val="00257981"/>
    <w:rsid w:val="002601C7"/>
    <w:rsid w:val="00261B97"/>
    <w:rsid w:val="002651EA"/>
    <w:rsid w:val="0027369F"/>
    <w:rsid w:val="00273700"/>
    <w:rsid w:val="00273B21"/>
    <w:rsid w:val="00275E03"/>
    <w:rsid w:val="00276377"/>
    <w:rsid w:val="00277D9D"/>
    <w:rsid w:val="00281C0B"/>
    <w:rsid w:val="00282251"/>
    <w:rsid w:val="0028269B"/>
    <w:rsid w:val="0028288E"/>
    <w:rsid w:val="00287A6F"/>
    <w:rsid w:val="00287CAE"/>
    <w:rsid w:val="00290EE2"/>
    <w:rsid w:val="00292062"/>
    <w:rsid w:val="002932D2"/>
    <w:rsid w:val="00294DDB"/>
    <w:rsid w:val="00294DF3"/>
    <w:rsid w:val="002957B7"/>
    <w:rsid w:val="00296ECE"/>
    <w:rsid w:val="002A0435"/>
    <w:rsid w:val="002A0BC1"/>
    <w:rsid w:val="002A166A"/>
    <w:rsid w:val="002A1AA4"/>
    <w:rsid w:val="002A3287"/>
    <w:rsid w:val="002A3EC2"/>
    <w:rsid w:val="002A6400"/>
    <w:rsid w:val="002A6535"/>
    <w:rsid w:val="002A669D"/>
    <w:rsid w:val="002B071C"/>
    <w:rsid w:val="002B1AD5"/>
    <w:rsid w:val="002B24D2"/>
    <w:rsid w:val="002B3EAE"/>
    <w:rsid w:val="002B4900"/>
    <w:rsid w:val="002B6364"/>
    <w:rsid w:val="002B7681"/>
    <w:rsid w:val="002B7F82"/>
    <w:rsid w:val="002C00D1"/>
    <w:rsid w:val="002C15A0"/>
    <w:rsid w:val="002C22CF"/>
    <w:rsid w:val="002C3AD4"/>
    <w:rsid w:val="002C3E23"/>
    <w:rsid w:val="002C3E35"/>
    <w:rsid w:val="002C3E51"/>
    <w:rsid w:val="002C49B1"/>
    <w:rsid w:val="002C4AC6"/>
    <w:rsid w:val="002C504B"/>
    <w:rsid w:val="002C743D"/>
    <w:rsid w:val="002D339C"/>
    <w:rsid w:val="002D36AB"/>
    <w:rsid w:val="002D3B2F"/>
    <w:rsid w:val="002D43A2"/>
    <w:rsid w:val="002D6A10"/>
    <w:rsid w:val="002D6BDB"/>
    <w:rsid w:val="002D744A"/>
    <w:rsid w:val="002D7D0E"/>
    <w:rsid w:val="002D7E38"/>
    <w:rsid w:val="002E024D"/>
    <w:rsid w:val="002E054E"/>
    <w:rsid w:val="002E06CA"/>
    <w:rsid w:val="002E0DBA"/>
    <w:rsid w:val="002E1075"/>
    <w:rsid w:val="002E42C4"/>
    <w:rsid w:val="002E4854"/>
    <w:rsid w:val="002E5019"/>
    <w:rsid w:val="002E5643"/>
    <w:rsid w:val="002E678E"/>
    <w:rsid w:val="002E708A"/>
    <w:rsid w:val="002E7635"/>
    <w:rsid w:val="002F06CE"/>
    <w:rsid w:val="002F5587"/>
    <w:rsid w:val="002F5FB0"/>
    <w:rsid w:val="002F741D"/>
    <w:rsid w:val="00300B84"/>
    <w:rsid w:val="00301852"/>
    <w:rsid w:val="00301A6D"/>
    <w:rsid w:val="0030247A"/>
    <w:rsid w:val="00303955"/>
    <w:rsid w:val="00303F18"/>
    <w:rsid w:val="003041BF"/>
    <w:rsid w:val="00304810"/>
    <w:rsid w:val="003055C3"/>
    <w:rsid w:val="003061FB"/>
    <w:rsid w:val="00306270"/>
    <w:rsid w:val="003075D3"/>
    <w:rsid w:val="0031008A"/>
    <w:rsid w:val="00310924"/>
    <w:rsid w:val="0031183F"/>
    <w:rsid w:val="0031259B"/>
    <w:rsid w:val="00312AC2"/>
    <w:rsid w:val="003132CE"/>
    <w:rsid w:val="00314298"/>
    <w:rsid w:val="0031471E"/>
    <w:rsid w:val="003149C1"/>
    <w:rsid w:val="00316B12"/>
    <w:rsid w:val="003176D3"/>
    <w:rsid w:val="00320B22"/>
    <w:rsid w:val="00321683"/>
    <w:rsid w:val="003228DE"/>
    <w:rsid w:val="003238F7"/>
    <w:rsid w:val="00323C8A"/>
    <w:rsid w:val="00323DBB"/>
    <w:rsid w:val="00326096"/>
    <w:rsid w:val="00326AE5"/>
    <w:rsid w:val="00330421"/>
    <w:rsid w:val="00331281"/>
    <w:rsid w:val="0033237E"/>
    <w:rsid w:val="003334FB"/>
    <w:rsid w:val="00333A5E"/>
    <w:rsid w:val="003344E7"/>
    <w:rsid w:val="0033592F"/>
    <w:rsid w:val="0033779C"/>
    <w:rsid w:val="00337AC6"/>
    <w:rsid w:val="00343524"/>
    <w:rsid w:val="00343A18"/>
    <w:rsid w:val="0034476B"/>
    <w:rsid w:val="00345EE5"/>
    <w:rsid w:val="0034606E"/>
    <w:rsid w:val="00346913"/>
    <w:rsid w:val="003469B5"/>
    <w:rsid w:val="00346CE0"/>
    <w:rsid w:val="0035018A"/>
    <w:rsid w:val="00354ABE"/>
    <w:rsid w:val="00356492"/>
    <w:rsid w:val="00357C6C"/>
    <w:rsid w:val="00360657"/>
    <w:rsid w:val="00362B12"/>
    <w:rsid w:val="003642CF"/>
    <w:rsid w:val="0036591D"/>
    <w:rsid w:val="00366AFE"/>
    <w:rsid w:val="00367B98"/>
    <w:rsid w:val="00367DBA"/>
    <w:rsid w:val="00370711"/>
    <w:rsid w:val="00371757"/>
    <w:rsid w:val="00372E81"/>
    <w:rsid w:val="00373F39"/>
    <w:rsid w:val="00374F73"/>
    <w:rsid w:val="0037530A"/>
    <w:rsid w:val="00375D4C"/>
    <w:rsid w:val="00375F30"/>
    <w:rsid w:val="00376F09"/>
    <w:rsid w:val="00380AC5"/>
    <w:rsid w:val="00380D03"/>
    <w:rsid w:val="00381115"/>
    <w:rsid w:val="00381382"/>
    <w:rsid w:val="003814A5"/>
    <w:rsid w:val="00381B26"/>
    <w:rsid w:val="00381F34"/>
    <w:rsid w:val="00382488"/>
    <w:rsid w:val="00382FEC"/>
    <w:rsid w:val="00385015"/>
    <w:rsid w:val="00385772"/>
    <w:rsid w:val="00385D0B"/>
    <w:rsid w:val="00385E45"/>
    <w:rsid w:val="00387734"/>
    <w:rsid w:val="00387A69"/>
    <w:rsid w:val="003911D7"/>
    <w:rsid w:val="0039139B"/>
    <w:rsid w:val="003913FB"/>
    <w:rsid w:val="00391F87"/>
    <w:rsid w:val="00392998"/>
    <w:rsid w:val="0039319E"/>
    <w:rsid w:val="00393AFF"/>
    <w:rsid w:val="00393E8A"/>
    <w:rsid w:val="003949F0"/>
    <w:rsid w:val="00395460"/>
    <w:rsid w:val="00396152"/>
    <w:rsid w:val="003962D9"/>
    <w:rsid w:val="003979E5"/>
    <w:rsid w:val="00397CBF"/>
    <w:rsid w:val="00397D0E"/>
    <w:rsid w:val="003A01ED"/>
    <w:rsid w:val="003A1D77"/>
    <w:rsid w:val="003A218C"/>
    <w:rsid w:val="003A24AD"/>
    <w:rsid w:val="003A2C91"/>
    <w:rsid w:val="003A3623"/>
    <w:rsid w:val="003A3B51"/>
    <w:rsid w:val="003A40AD"/>
    <w:rsid w:val="003A5DC7"/>
    <w:rsid w:val="003A6163"/>
    <w:rsid w:val="003A6174"/>
    <w:rsid w:val="003A62EB"/>
    <w:rsid w:val="003A6532"/>
    <w:rsid w:val="003A66B2"/>
    <w:rsid w:val="003A6A32"/>
    <w:rsid w:val="003A6A8E"/>
    <w:rsid w:val="003A6B7C"/>
    <w:rsid w:val="003A7D7E"/>
    <w:rsid w:val="003B1693"/>
    <w:rsid w:val="003B32EC"/>
    <w:rsid w:val="003B3488"/>
    <w:rsid w:val="003B5E55"/>
    <w:rsid w:val="003B5F6A"/>
    <w:rsid w:val="003B623A"/>
    <w:rsid w:val="003B63BE"/>
    <w:rsid w:val="003B7B62"/>
    <w:rsid w:val="003C072B"/>
    <w:rsid w:val="003C0DFD"/>
    <w:rsid w:val="003C3D3D"/>
    <w:rsid w:val="003C40D8"/>
    <w:rsid w:val="003C5836"/>
    <w:rsid w:val="003C6B54"/>
    <w:rsid w:val="003C7796"/>
    <w:rsid w:val="003D0189"/>
    <w:rsid w:val="003D0448"/>
    <w:rsid w:val="003D0D82"/>
    <w:rsid w:val="003D0FB7"/>
    <w:rsid w:val="003D1A86"/>
    <w:rsid w:val="003D3252"/>
    <w:rsid w:val="003D3CA2"/>
    <w:rsid w:val="003D3E7E"/>
    <w:rsid w:val="003D5BA4"/>
    <w:rsid w:val="003D7F0B"/>
    <w:rsid w:val="003E06DF"/>
    <w:rsid w:val="003E0D6F"/>
    <w:rsid w:val="003E145E"/>
    <w:rsid w:val="003E168E"/>
    <w:rsid w:val="003E171B"/>
    <w:rsid w:val="003E275D"/>
    <w:rsid w:val="003E3100"/>
    <w:rsid w:val="003E4132"/>
    <w:rsid w:val="003E5276"/>
    <w:rsid w:val="003E5850"/>
    <w:rsid w:val="003E58C7"/>
    <w:rsid w:val="003E5A6D"/>
    <w:rsid w:val="003E5B81"/>
    <w:rsid w:val="003E5D7B"/>
    <w:rsid w:val="003E637A"/>
    <w:rsid w:val="003E78C2"/>
    <w:rsid w:val="003F0341"/>
    <w:rsid w:val="003F0B47"/>
    <w:rsid w:val="003F1BF6"/>
    <w:rsid w:val="003F288B"/>
    <w:rsid w:val="003F2B20"/>
    <w:rsid w:val="003F2C34"/>
    <w:rsid w:val="003F2DF0"/>
    <w:rsid w:val="003F30FC"/>
    <w:rsid w:val="003F45CD"/>
    <w:rsid w:val="003F4CC7"/>
    <w:rsid w:val="003F7C94"/>
    <w:rsid w:val="00401397"/>
    <w:rsid w:val="0040156C"/>
    <w:rsid w:val="004038BC"/>
    <w:rsid w:val="0040415A"/>
    <w:rsid w:val="00406AE2"/>
    <w:rsid w:val="0041036A"/>
    <w:rsid w:val="0041316A"/>
    <w:rsid w:val="00413794"/>
    <w:rsid w:val="004158F6"/>
    <w:rsid w:val="00415A66"/>
    <w:rsid w:val="00416A31"/>
    <w:rsid w:val="00416FF5"/>
    <w:rsid w:val="00417136"/>
    <w:rsid w:val="00417240"/>
    <w:rsid w:val="0041770B"/>
    <w:rsid w:val="004205F6"/>
    <w:rsid w:val="00420760"/>
    <w:rsid w:val="00420CFF"/>
    <w:rsid w:val="004224C2"/>
    <w:rsid w:val="00423B46"/>
    <w:rsid w:val="00424376"/>
    <w:rsid w:val="00425AA9"/>
    <w:rsid w:val="00426250"/>
    <w:rsid w:val="00426A69"/>
    <w:rsid w:val="00426B77"/>
    <w:rsid w:val="00430F61"/>
    <w:rsid w:val="00431019"/>
    <w:rsid w:val="00433D14"/>
    <w:rsid w:val="00433EC2"/>
    <w:rsid w:val="00434856"/>
    <w:rsid w:val="00434CD9"/>
    <w:rsid w:val="004352F7"/>
    <w:rsid w:val="0043554A"/>
    <w:rsid w:val="0043619D"/>
    <w:rsid w:val="004362D3"/>
    <w:rsid w:val="00437DC1"/>
    <w:rsid w:val="00440F95"/>
    <w:rsid w:val="00442246"/>
    <w:rsid w:val="004426EC"/>
    <w:rsid w:val="00442A8B"/>
    <w:rsid w:val="00442D1E"/>
    <w:rsid w:val="00443016"/>
    <w:rsid w:val="00444344"/>
    <w:rsid w:val="00445945"/>
    <w:rsid w:val="00450691"/>
    <w:rsid w:val="00450D9C"/>
    <w:rsid w:val="00450DDE"/>
    <w:rsid w:val="00452140"/>
    <w:rsid w:val="00453BB3"/>
    <w:rsid w:val="00453F94"/>
    <w:rsid w:val="004545A3"/>
    <w:rsid w:val="00454695"/>
    <w:rsid w:val="00454F4E"/>
    <w:rsid w:val="00455D5E"/>
    <w:rsid w:val="00457427"/>
    <w:rsid w:val="0045789E"/>
    <w:rsid w:val="00457C1C"/>
    <w:rsid w:val="004619FE"/>
    <w:rsid w:val="00462679"/>
    <w:rsid w:val="00462B45"/>
    <w:rsid w:val="00463574"/>
    <w:rsid w:val="00464762"/>
    <w:rsid w:val="00466057"/>
    <w:rsid w:val="004666F3"/>
    <w:rsid w:val="00467343"/>
    <w:rsid w:val="00467463"/>
    <w:rsid w:val="0047031A"/>
    <w:rsid w:val="00471A6D"/>
    <w:rsid w:val="004720AD"/>
    <w:rsid w:val="0047322E"/>
    <w:rsid w:val="004741BD"/>
    <w:rsid w:val="00474978"/>
    <w:rsid w:val="004757CE"/>
    <w:rsid w:val="00475FA3"/>
    <w:rsid w:val="00476F80"/>
    <w:rsid w:val="00480F68"/>
    <w:rsid w:val="00481C20"/>
    <w:rsid w:val="00483B86"/>
    <w:rsid w:val="00485293"/>
    <w:rsid w:val="00485773"/>
    <w:rsid w:val="00485E47"/>
    <w:rsid w:val="00486DB6"/>
    <w:rsid w:val="00490499"/>
    <w:rsid w:val="00492273"/>
    <w:rsid w:val="00494206"/>
    <w:rsid w:val="00497AB8"/>
    <w:rsid w:val="004A2579"/>
    <w:rsid w:val="004A2EE3"/>
    <w:rsid w:val="004A4356"/>
    <w:rsid w:val="004A5EEF"/>
    <w:rsid w:val="004A7EC2"/>
    <w:rsid w:val="004B0B1D"/>
    <w:rsid w:val="004B32C2"/>
    <w:rsid w:val="004B3C41"/>
    <w:rsid w:val="004B6792"/>
    <w:rsid w:val="004C0738"/>
    <w:rsid w:val="004C0D20"/>
    <w:rsid w:val="004C0DBB"/>
    <w:rsid w:val="004C0FE6"/>
    <w:rsid w:val="004C10F5"/>
    <w:rsid w:val="004C20F1"/>
    <w:rsid w:val="004C212C"/>
    <w:rsid w:val="004C253C"/>
    <w:rsid w:val="004C2FC4"/>
    <w:rsid w:val="004C30C9"/>
    <w:rsid w:val="004D0B68"/>
    <w:rsid w:val="004D0F95"/>
    <w:rsid w:val="004D232B"/>
    <w:rsid w:val="004D3010"/>
    <w:rsid w:val="004D3ABB"/>
    <w:rsid w:val="004D4A6B"/>
    <w:rsid w:val="004D7342"/>
    <w:rsid w:val="004E1476"/>
    <w:rsid w:val="004E403D"/>
    <w:rsid w:val="004E4946"/>
    <w:rsid w:val="004E5D38"/>
    <w:rsid w:val="004E603B"/>
    <w:rsid w:val="004E626B"/>
    <w:rsid w:val="004E6850"/>
    <w:rsid w:val="004E6C7D"/>
    <w:rsid w:val="004F0105"/>
    <w:rsid w:val="004F0C4A"/>
    <w:rsid w:val="004F13BD"/>
    <w:rsid w:val="004F3C4D"/>
    <w:rsid w:val="004F478F"/>
    <w:rsid w:val="004F489D"/>
    <w:rsid w:val="00500925"/>
    <w:rsid w:val="00501246"/>
    <w:rsid w:val="00502263"/>
    <w:rsid w:val="0050230D"/>
    <w:rsid w:val="0050364D"/>
    <w:rsid w:val="00503D17"/>
    <w:rsid w:val="00504D6E"/>
    <w:rsid w:val="0050598D"/>
    <w:rsid w:val="00506BA0"/>
    <w:rsid w:val="005116FB"/>
    <w:rsid w:val="00511D6F"/>
    <w:rsid w:val="00512576"/>
    <w:rsid w:val="00514B75"/>
    <w:rsid w:val="00515D44"/>
    <w:rsid w:val="00521D69"/>
    <w:rsid w:val="00531AFF"/>
    <w:rsid w:val="00532875"/>
    <w:rsid w:val="00532E9D"/>
    <w:rsid w:val="0053417F"/>
    <w:rsid w:val="00534305"/>
    <w:rsid w:val="0053691B"/>
    <w:rsid w:val="00536AEE"/>
    <w:rsid w:val="00537BA3"/>
    <w:rsid w:val="00537FF8"/>
    <w:rsid w:val="00540ED5"/>
    <w:rsid w:val="00542913"/>
    <w:rsid w:val="005430E0"/>
    <w:rsid w:val="00543516"/>
    <w:rsid w:val="005464E6"/>
    <w:rsid w:val="00546938"/>
    <w:rsid w:val="00547962"/>
    <w:rsid w:val="00547ACF"/>
    <w:rsid w:val="00551C58"/>
    <w:rsid w:val="005525C7"/>
    <w:rsid w:val="00552639"/>
    <w:rsid w:val="0055278C"/>
    <w:rsid w:val="00554D3F"/>
    <w:rsid w:val="00555557"/>
    <w:rsid w:val="00557927"/>
    <w:rsid w:val="00557AA8"/>
    <w:rsid w:val="00557B17"/>
    <w:rsid w:val="00561126"/>
    <w:rsid w:val="00561296"/>
    <w:rsid w:val="005666D7"/>
    <w:rsid w:val="00566916"/>
    <w:rsid w:val="00566F71"/>
    <w:rsid w:val="00567EBC"/>
    <w:rsid w:val="00567FC5"/>
    <w:rsid w:val="00571CCF"/>
    <w:rsid w:val="00572180"/>
    <w:rsid w:val="00572337"/>
    <w:rsid w:val="00572616"/>
    <w:rsid w:val="00573FFE"/>
    <w:rsid w:val="00575FC3"/>
    <w:rsid w:val="0057625C"/>
    <w:rsid w:val="00576743"/>
    <w:rsid w:val="005771D5"/>
    <w:rsid w:val="00577469"/>
    <w:rsid w:val="0058066B"/>
    <w:rsid w:val="0058099B"/>
    <w:rsid w:val="00580B98"/>
    <w:rsid w:val="00581784"/>
    <w:rsid w:val="005836A3"/>
    <w:rsid w:val="00583CBA"/>
    <w:rsid w:val="00584453"/>
    <w:rsid w:val="00586771"/>
    <w:rsid w:val="00591838"/>
    <w:rsid w:val="00591C28"/>
    <w:rsid w:val="00592809"/>
    <w:rsid w:val="0059332D"/>
    <w:rsid w:val="00593343"/>
    <w:rsid w:val="00594A83"/>
    <w:rsid w:val="005960FE"/>
    <w:rsid w:val="005A0C78"/>
    <w:rsid w:val="005A1518"/>
    <w:rsid w:val="005A4807"/>
    <w:rsid w:val="005A5A80"/>
    <w:rsid w:val="005A69BE"/>
    <w:rsid w:val="005A782B"/>
    <w:rsid w:val="005A7DE5"/>
    <w:rsid w:val="005B089D"/>
    <w:rsid w:val="005B0FC7"/>
    <w:rsid w:val="005B297A"/>
    <w:rsid w:val="005B29EF"/>
    <w:rsid w:val="005B2DA5"/>
    <w:rsid w:val="005B476F"/>
    <w:rsid w:val="005B5E25"/>
    <w:rsid w:val="005B5F05"/>
    <w:rsid w:val="005B6095"/>
    <w:rsid w:val="005B65B8"/>
    <w:rsid w:val="005B6A0D"/>
    <w:rsid w:val="005B6D1C"/>
    <w:rsid w:val="005B6FD2"/>
    <w:rsid w:val="005C04E5"/>
    <w:rsid w:val="005C0D97"/>
    <w:rsid w:val="005C1764"/>
    <w:rsid w:val="005C3B2C"/>
    <w:rsid w:val="005C3D03"/>
    <w:rsid w:val="005C51FA"/>
    <w:rsid w:val="005C5413"/>
    <w:rsid w:val="005C59B9"/>
    <w:rsid w:val="005C63C7"/>
    <w:rsid w:val="005C6628"/>
    <w:rsid w:val="005C6B2C"/>
    <w:rsid w:val="005C73E4"/>
    <w:rsid w:val="005C7B1F"/>
    <w:rsid w:val="005D06E8"/>
    <w:rsid w:val="005D1195"/>
    <w:rsid w:val="005D11E7"/>
    <w:rsid w:val="005D2167"/>
    <w:rsid w:val="005D688E"/>
    <w:rsid w:val="005D6B98"/>
    <w:rsid w:val="005D6F53"/>
    <w:rsid w:val="005D794E"/>
    <w:rsid w:val="005E2FF9"/>
    <w:rsid w:val="005E30B2"/>
    <w:rsid w:val="005E39B3"/>
    <w:rsid w:val="005E4164"/>
    <w:rsid w:val="005F24C4"/>
    <w:rsid w:val="005F3196"/>
    <w:rsid w:val="005F32D1"/>
    <w:rsid w:val="005F37CF"/>
    <w:rsid w:val="005F3E9D"/>
    <w:rsid w:val="005F3FC6"/>
    <w:rsid w:val="005F4CFC"/>
    <w:rsid w:val="005F4DD3"/>
    <w:rsid w:val="005F75C4"/>
    <w:rsid w:val="006002BF"/>
    <w:rsid w:val="00600301"/>
    <w:rsid w:val="006008D1"/>
    <w:rsid w:val="00603CC2"/>
    <w:rsid w:val="006064F8"/>
    <w:rsid w:val="0060759A"/>
    <w:rsid w:val="006101CF"/>
    <w:rsid w:val="00611ADA"/>
    <w:rsid w:val="00611E18"/>
    <w:rsid w:val="00611FC0"/>
    <w:rsid w:val="00613A4A"/>
    <w:rsid w:val="00614157"/>
    <w:rsid w:val="00614A2A"/>
    <w:rsid w:val="00614ECD"/>
    <w:rsid w:val="0061767A"/>
    <w:rsid w:val="00622016"/>
    <w:rsid w:val="006231D7"/>
    <w:rsid w:val="00624A71"/>
    <w:rsid w:val="00626031"/>
    <w:rsid w:val="00630C6C"/>
    <w:rsid w:val="00630ED2"/>
    <w:rsid w:val="00631935"/>
    <w:rsid w:val="00631BEB"/>
    <w:rsid w:val="00633332"/>
    <w:rsid w:val="0063475C"/>
    <w:rsid w:val="00636B91"/>
    <w:rsid w:val="006373FF"/>
    <w:rsid w:val="00637833"/>
    <w:rsid w:val="00641AC4"/>
    <w:rsid w:val="006423DF"/>
    <w:rsid w:val="0064541C"/>
    <w:rsid w:val="00646237"/>
    <w:rsid w:val="00646A6F"/>
    <w:rsid w:val="00653397"/>
    <w:rsid w:val="006535C3"/>
    <w:rsid w:val="006537CB"/>
    <w:rsid w:val="00653BA7"/>
    <w:rsid w:val="006553CD"/>
    <w:rsid w:val="006559F5"/>
    <w:rsid w:val="0065752A"/>
    <w:rsid w:val="00657CE4"/>
    <w:rsid w:val="00660C99"/>
    <w:rsid w:val="00661782"/>
    <w:rsid w:val="006622A6"/>
    <w:rsid w:val="00662C11"/>
    <w:rsid w:val="0066570F"/>
    <w:rsid w:val="00672822"/>
    <w:rsid w:val="006729D2"/>
    <w:rsid w:val="00673B07"/>
    <w:rsid w:val="00673BC6"/>
    <w:rsid w:val="00674D70"/>
    <w:rsid w:val="006775B3"/>
    <w:rsid w:val="00683FA2"/>
    <w:rsid w:val="00684808"/>
    <w:rsid w:val="0068483E"/>
    <w:rsid w:val="00685B85"/>
    <w:rsid w:val="00687967"/>
    <w:rsid w:val="00687C63"/>
    <w:rsid w:val="00690F72"/>
    <w:rsid w:val="00694B7D"/>
    <w:rsid w:val="00695FE4"/>
    <w:rsid w:val="006A0F95"/>
    <w:rsid w:val="006A23BF"/>
    <w:rsid w:val="006A427F"/>
    <w:rsid w:val="006A46ED"/>
    <w:rsid w:val="006A485A"/>
    <w:rsid w:val="006A4C69"/>
    <w:rsid w:val="006A516C"/>
    <w:rsid w:val="006A6B80"/>
    <w:rsid w:val="006B0685"/>
    <w:rsid w:val="006B1301"/>
    <w:rsid w:val="006B2D92"/>
    <w:rsid w:val="006B2FEF"/>
    <w:rsid w:val="006B4B31"/>
    <w:rsid w:val="006B6581"/>
    <w:rsid w:val="006B6D6C"/>
    <w:rsid w:val="006B77B3"/>
    <w:rsid w:val="006B7E68"/>
    <w:rsid w:val="006C033D"/>
    <w:rsid w:val="006C1316"/>
    <w:rsid w:val="006C20C5"/>
    <w:rsid w:val="006C5DED"/>
    <w:rsid w:val="006C5ECD"/>
    <w:rsid w:val="006D1520"/>
    <w:rsid w:val="006D2482"/>
    <w:rsid w:val="006D2E02"/>
    <w:rsid w:val="006D2F0C"/>
    <w:rsid w:val="006D3604"/>
    <w:rsid w:val="006D416D"/>
    <w:rsid w:val="006D4C4D"/>
    <w:rsid w:val="006D536E"/>
    <w:rsid w:val="006D5EB4"/>
    <w:rsid w:val="006D6E23"/>
    <w:rsid w:val="006E2082"/>
    <w:rsid w:val="006E3BE5"/>
    <w:rsid w:val="006E5D5B"/>
    <w:rsid w:val="006E67BA"/>
    <w:rsid w:val="006E6C3F"/>
    <w:rsid w:val="006F2362"/>
    <w:rsid w:val="006F47EB"/>
    <w:rsid w:val="006F4B13"/>
    <w:rsid w:val="006F4DE9"/>
    <w:rsid w:val="006F61B5"/>
    <w:rsid w:val="006F71C2"/>
    <w:rsid w:val="00700894"/>
    <w:rsid w:val="007008B0"/>
    <w:rsid w:val="00700AC3"/>
    <w:rsid w:val="00700AD6"/>
    <w:rsid w:val="00700E68"/>
    <w:rsid w:val="00701065"/>
    <w:rsid w:val="0070175E"/>
    <w:rsid w:val="00703DC5"/>
    <w:rsid w:val="007040F2"/>
    <w:rsid w:val="007049DF"/>
    <w:rsid w:val="00705DFA"/>
    <w:rsid w:val="007061B6"/>
    <w:rsid w:val="00710DAC"/>
    <w:rsid w:val="007120EE"/>
    <w:rsid w:val="0071279F"/>
    <w:rsid w:val="007153C5"/>
    <w:rsid w:val="007161D3"/>
    <w:rsid w:val="00720C35"/>
    <w:rsid w:val="00720E7B"/>
    <w:rsid w:val="007211D2"/>
    <w:rsid w:val="00721A37"/>
    <w:rsid w:val="0072232C"/>
    <w:rsid w:val="00725676"/>
    <w:rsid w:val="007262F0"/>
    <w:rsid w:val="00727BE9"/>
    <w:rsid w:val="007314F1"/>
    <w:rsid w:val="00731BE9"/>
    <w:rsid w:val="00731E2B"/>
    <w:rsid w:val="00733C32"/>
    <w:rsid w:val="007359F8"/>
    <w:rsid w:val="007366D2"/>
    <w:rsid w:val="00736B34"/>
    <w:rsid w:val="007420D7"/>
    <w:rsid w:val="00745145"/>
    <w:rsid w:val="0074545C"/>
    <w:rsid w:val="0074742D"/>
    <w:rsid w:val="00752DBC"/>
    <w:rsid w:val="00753B2E"/>
    <w:rsid w:val="00753DC5"/>
    <w:rsid w:val="00753FF4"/>
    <w:rsid w:val="0075411D"/>
    <w:rsid w:val="00755CB1"/>
    <w:rsid w:val="00756116"/>
    <w:rsid w:val="00756F8A"/>
    <w:rsid w:val="00757367"/>
    <w:rsid w:val="007601AF"/>
    <w:rsid w:val="00760295"/>
    <w:rsid w:val="00760998"/>
    <w:rsid w:val="00760B97"/>
    <w:rsid w:val="00760CC2"/>
    <w:rsid w:val="007623ED"/>
    <w:rsid w:val="00762675"/>
    <w:rsid w:val="00762FC8"/>
    <w:rsid w:val="007632E7"/>
    <w:rsid w:val="00765825"/>
    <w:rsid w:val="007700D3"/>
    <w:rsid w:val="00770970"/>
    <w:rsid w:val="0077131C"/>
    <w:rsid w:val="0077138B"/>
    <w:rsid w:val="0077534E"/>
    <w:rsid w:val="00775B8D"/>
    <w:rsid w:val="00777133"/>
    <w:rsid w:val="0077733C"/>
    <w:rsid w:val="0078045E"/>
    <w:rsid w:val="00780B70"/>
    <w:rsid w:val="007818F1"/>
    <w:rsid w:val="00782502"/>
    <w:rsid w:val="00782847"/>
    <w:rsid w:val="00783777"/>
    <w:rsid w:val="00783D20"/>
    <w:rsid w:val="007844FB"/>
    <w:rsid w:val="00785232"/>
    <w:rsid w:val="0078549A"/>
    <w:rsid w:val="007862D0"/>
    <w:rsid w:val="00786300"/>
    <w:rsid w:val="00787100"/>
    <w:rsid w:val="00787CDA"/>
    <w:rsid w:val="00791047"/>
    <w:rsid w:val="007921E4"/>
    <w:rsid w:val="0079247D"/>
    <w:rsid w:val="00794F2D"/>
    <w:rsid w:val="007954D3"/>
    <w:rsid w:val="00796159"/>
    <w:rsid w:val="00797AAD"/>
    <w:rsid w:val="007A02C6"/>
    <w:rsid w:val="007A2F02"/>
    <w:rsid w:val="007A5127"/>
    <w:rsid w:val="007A5C51"/>
    <w:rsid w:val="007A68C0"/>
    <w:rsid w:val="007B12C5"/>
    <w:rsid w:val="007B18E8"/>
    <w:rsid w:val="007B1C32"/>
    <w:rsid w:val="007B25FF"/>
    <w:rsid w:val="007B2A03"/>
    <w:rsid w:val="007B2D5B"/>
    <w:rsid w:val="007B41D7"/>
    <w:rsid w:val="007B470C"/>
    <w:rsid w:val="007B70B5"/>
    <w:rsid w:val="007C0DB7"/>
    <w:rsid w:val="007C1A7D"/>
    <w:rsid w:val="007C1F6C"/>
    <w:rsid w:val="007C4094"/>
    <w:rsid w:val="007C45C5"/>
    <w:rsid w:val="007C608D"/>
    <w:rsid w:val="007D2317"/>
    <w:rsid w:val="007D29EC"/>
    <w:rsid w:val="007D50AE"/>
    <w:rsid w:val="007D516C"/>
    <w:rsid w:val="007E1EA6"/>
    <w:rsid w:val="007E2FDE"/>
    <w:rsid w:val="007E4C1F"/>
    <w:rsid w:val="007E50CC"/>
    <w:rsid w:val="007E6851"/>
    <w:rsid w:val="007E6943"/>
    <w:rsid w:val="007F0204"/>
    <w:rsid w:val="007F0E24"/>
    <w:rsid w:val="007F15FD"/>
    <w:rsid w:val="007F3879"/>
    <w:rsid w:val="007F5C3C"/>
    <w:rsid w:val="007F5C58"/>
    <w:rsid w:val="007F6449"/>
    <w:rsid w:val="007F6674"/>
    <w:rsid w:val="00801CA5"/>
    <w:rsid w:val="00805C8C"/>
    <w:rsid w:val="0080630B"/>
    <w:rsid w:val="00806AB5"/>
    <w:rsid w:val="00807142"/>
    <w:rsid w:val="008074E3"/>
    <w:rsid w:val="00807802"/>
    <w:rsid w:val="0080799C"/>
    <w:rsid w:val="00810C18"/>
    <w:rsid w:val="00813ACD"/>
    <w:rsid w:val="00813DF6"/>
    <w:rsid w:val="00814421"/>
    <w:rsid w:val="00814AFC"/>
    <w:rsid w:val="00814B22"/>
    <w:rsid w:val="00817B14"/>
    <w:rsid w:val="0082279D"/>
    <w:rsid w:val="00822862"/>
    <w:rsid w:val="00822C92"/>
    <w:rsid w:val="0082350A"/>
    <w:rsid w:val="00823765"/>
    <w:rsid w:val="00824346"/>
    <w:rsid w:val="00824797"/>
    <w:rsid w:val="008247F1"/>
    <w:rsid w:val="0082597B"/>
    <w:rsid w:val="00826ED9"/>
    <w:rsid w:val="00830A11"/>
    <w:rsid w:val="00831653"/>
    <w:rsid w:val="00831A5D"/>
    <w:rsid w:val="00831DB4"/>
    <w:rsid w:val="00835C08"/>
    <w:rsid w:val="008365EC"/>
    <w:rsid w:val="00836E98"/>
    <w:rsid w:val="00837390"/>
    <w:rsid w:val="00840A8F"/>
    <w:rsid w:val="00844176"/>
    <w:rsid w:val="00844A32"/>
    <w:rsid w:val="00844BF8"/>
    <w:rsid w:val="00846A9D"/>
    <w:rsid w:val="008503CA"/>
    <w:rsid w:val="00852BA6"/>
    <w:rsid w:val="0085308E"/>
    <w:rsid w:val="0085318D"/>
    <w:rsid w:val="008547B4"/>
    <w:rsid w:val="008565FB"/>
    <w:rsid w:val="008577FA"/>
    <w:rsid w:val="00861168"/>
    <w:rsid w:val="00862580"/>
    <w:rsid w:val="00862745"/>
    <w:rsid w:val="00862834"/>
    <w:rsid w:val="00870E97"/>
    <w:rsid w:val="00871516"/>
    <w:rsid w:val="00871E2F"/>
    <w:rsid w:val="00874C1B"/>
    <w:rsid w:val="00876284"/>
    <w:rsid w:val="008764DD"/>
    <w:rsid w:val="00876E40"/>
    <w:rsid w:val="00877499"/>
    <w:rsid w:val="008814E9"/>
    <w:rsid w:val="00882CCA"/>
    <w:rsid w:val="00883C37"/>
    <w:rsid w:val="008841EB"/>
    <w:rsid w:val="0088688D"/>
    <w:rsid w:val="00886A4C"/>
    <w:rsid w:val="00887064"/>
    <w:rsid w:val="008910B2"/>
    <w:rsid w:val="00891622"/>
    <w:rsid w:val="00891C00"/>
    <w:rsid w:val="008921BE"/>
    <w:rsid w:val="00895BF6"/>
    <w:rsid w:val="00895E41"/>
    <w:rsid w:val="008962E3"/>
    <w:rsid w:val="0089734D"/>
    <w:rsid w:val="008A0A32"/>
    <w:rsid w:val="008A0D08"/>
    <w:rsid w:val="008A1056"/>
    <w:rsid w:val="008A3637"/>
    <w:rsid w:val="008A4911"/>
    <w:rsid w:val="008A50CB"/>
    <w:rsid w:val="008A7CC5"/>
    <w:rsid w:val="008A7E11"/>
    <w:rsid w:val="008B0720"/>
    <w:rsid w:val="008B1C5A"/>
    <w:rsid w:val="008B1CC3"/>
    <w:rsid w:val="008B1DB2"/>
    <w:rsid w:val="008B206C"/>
    <w:rsid w:val="008B34AA"/>
    <w:rsid w:val="008B4335"/>
    <w:rsid w:val="008B5413"/>
    <w:rsid w:val="008B56DF"/>
    <w:rsid w:val="008B5B2C"/>
    <w:rsid w:val="008B5EFB"/>
    <w:rsid w:val="008B6988"/>
    <w:rsid w:val="008B69DC"/>
    <w:rsid w:val="008C10A8"/>
    <w:rsid w:val="008C4552"/>
    <w:rsid w:val="008C4728"/>
    <w:rsid w:val="008C6F73"/>
    <w:rsid w:val="008C7959"/>
    <w:rsid w:val="008D3653"/>
    <w:rsid w:val="008D4F09"/>
    <w:rsid w:val="008D539E"/>
    <w:rsid w:val="008D65D5"/>
    <w:rsid w:val="008D75EB"/>
    <w:rsid w:val="008D7F23"/>
    <w:rsid w:val="008E12FB"/>
    <w:rsid w:val="008E1F57"/>
    <w:rsid w:val="008E5D85"/>
    <w:rsid w:val="008E623A"/>
    <w:rsid w:val="008E751B"/>
    <w:rsid w:val="008F2921"/>
    <w:rsid w:val="008F5CF9"/>
    <w:rsid w:val="00900C33"/>
    <w:rsid w:val="0090193D"/>
    <w:rsid w:val="009034C7"/>
    <w:rsid w:val="00903AFA"/>
    <w:rsid w:val="00906ABE"/>
    <w:rsid w:val="00907D1C"/>
    <w:rsid w:val="00907DD7"/>
    <w:rsid w:val="00910BBC"/>
    <w:rsid w:val="0091182D"/>
    <w:rsid w:val="00911DA2"/>
    <w:rsid w:val="00915081"/>
    <w:rsid w:val="009165D6"/>
    <w:rsid w:val="00917D6F"/>
    <w:rsid w:val="0092003A"/>
    <w:rsid w:val="009202BB"/>
    <w:rsid w:val="00921504"/>
    <w:rsid w:val="00921E12"/>
    <w:rsid w:val="00922352"/>
    <w:rsid w:val="00924FE5"/>
    <w:rsid w:val="0092710C"/>
    <w:rsid w:val="009271F4"/>
    <w:rsid w:val="00930B77"/>
    <w:rsid w:val="0093112B"/>
    <w:rsid w:val="0093298F"/>
    <w:rsid w:val="009354F2"/>
    <w:rsid w:val="009370A3"/>
    <w:rsid w:val="00937BB0"/>
    <w:rsid w:val="0094022B"/>
    <w:rsid w:val="00941E05"/>
    <w:rsid w:val="00942D63"/>
    <w:rsid w:val="0094437B"/>
    <w:rsid w:val="009455DB"/>
    <w:rsid w:val="00945DB2"/>
    <w:rsid w:val="009511D6"/>
    <w:rsid w:val="00951DCF"/>
    <w:rsid w:val="00951ED7"/>
    <w:rsid w:val="00954428"/>
    <w:rsid w:val="00954541"/>
    <w:rsid w:val="00954C0F"/>
    <w:rsid w:val="00955118"/>
    <w:rsid w:val="009551F0"/>
    <w:rsid w:val="00956218"/>
    <w:rsid w:val="00956C4B"/>
    <w:rsid w:val="00957E64"/>
    <w:rsid w:val="00961605"/>
    <w:rsid w:val="009620C5"/>
    <w:rsid w:val="00963C88"/>
    <w:rsid w:val="00965995"/>
    <w:rsid w:val="00965DED"/>
    <w:rsid w:val="00966814"/>
    <w:rsid w:val="00970D58"/>
    <w:rsid w:val="00973167"/>
    <w:rsid w:val="00976450"/>
    <w:rsid w:val="00980174"/>
    <w:rsid w:val="00981A42"/>
    <w:rsid w:val="00985A6C"/>
    <w:rsid w:val="00991E45"/>
    <w:rsid w:val="009921E3"/>
    <w:rsid w:val="0099282E"/>
    <w:rsid w:val="00993596"/>
    <w:rsid w:val="009A00EB"/>
    <w:rsid w:val="009A01FD"/>
    <w:rsid w:val="009A0CC6"/>
    <w:rsid w:val="009A3668"/>
    <w:rsid w:val="009A6766"/>
    <w:rsid w:val="009A692C"/>
    <w:rsid w:val="009A7E10"/>
    <w:rsid w:val="009B0239"/>
    <w:rsid w:val="009B1CEB"/>
    <w:rsid w:val="009B2576"/>
    <w:rsid w:val="009B3508"/>
    <w:rsid w:val="009B3AE3"/>
    <w:rsid w:val="009B430C"/>
    <w:rsid w:val="009B43EB"/>
    <w:rsid w:val="009B584C"/>
    <w:rsid w:val="009B60F7"/>
    <w:rsid w:val="009B6613"/>
    <w:rsid w:val="009B6674"/>
    <w:rsid w:val="009B7000"/>
    <w:rsid w:val="009B75D4"/>
    <w:rsid w:val="009C0178"/>
    <w:rsid w:val="009C030C"/>
    <w:rsid w:val="009C061A"/>
    <w:rsid w:val="009C108E"/>
    <w:rsid w:val="009C1FE8"/>
    <w:rsid w:val="009C228A"/>
    <w:rsid w:val="009C282F"/>
    <w:rsid w:val="009C2E2D"/>
    <w:rsid w:val="009C3257"/>
    <w:rsid w:val="009C45DC"/>
    <w:rsid w:val="009C5640"/>
    <w:rsid w:val="009C641F"/>
    <w:rsid w:val="009C7F6E"/>
    <w:rsid w:val="009D0A96"/>
    <w:rsid w:val="009D1051"/>
    <w:rsid w:val="009D1FC1"/>
    <w:rsid w:val="009D2037"/>
    <w:rsid w:val="009D3F87"/>
    <w:rsid w:val="009D43B2"/>
    <w:rsid w:val="009E03F3"/>
    <w:rsid w:val="009E08AF"/>
    <w:rsid w:val="009E401F"/>
    <w:rsid w:val="009E5C84"/>
    <w:rsid w:val="009E5FB1"/>
    <w:rsid w:val="009E696E"/>
    <w:rsid w:val="009F0613"/>
    <w:rsid w:val="009F0FC9"/>
    <w:rsid w:val="009F1A7E"/>
    <w:rsid w:val="009F3DC0"/>
    <w:rsid w:val="009F7FFA"/>
    <w:rsid w:val="00A03E32"/>
    <w:rsid w:val="00A075B0"/>
    <w:rsid w:val="00A07E66"/>
    <w:rsid w:val="00A11259"/>
    <w:rsid w:val="00A12B76"/>
    <w:rsid w:val="00A13FC8"/>
    <w:rsid w:val="00A14369"/>
    <w:rsid w:val="00A154D5"/>
    <w:rsid w:val="00A15993"/>
    <w:rsid w:val="00A2067E"/>
    <w:rsid w:val="00A20B99"/>
    <w:rsid w:val="00A21F19"/>
    <w:rsid w:val="00A2271B"/>
    <w:rsid w:val="00A229AC"/>
    <w:rsid w:val="00A23E8B"/>
    <w:rsid w:val="00A2429F"/>
    <w:rsid w:val="00A25225"/>
    <w:rsid w:val="00A26607"/>
    <w:rsid w:val="00A26676"/>
    <w:rsid w:val="00A267B2"/>
    <w:rsid w:val="00A27A02"/>
    <w:rsid w:val="00A27FF6"/>
    <w:rsid w:val="00A300B4"/>
    <w:rsid w:val="00A30DAB"/>
    <w:rsid w:val="00A3172A"/>
    <w:rsid w:val="00A32A3F"/>
    <w:rsid w:val="00A337C5"/>
    <w:rsid w:val="00A33B10"/>
    <w:rsid w:val="00A33C43"/>
    <w:rsid w:val="00A340FB"/>
    <w:rsid w:val="00A34C17"/>
    <w:rsid w:val="00A34EAB"/>
    <w:rsid w:val="00A37CD5"/>
    <w:rsid w:val="00A40349"/>
    <w:rsid w:val="00A41560"/>
    <w:rsid w:val="00A41FB2"/>
    <w:rsid w:val="00A43105"/>
    <w:rsid w:val="00A43A02"/>
    <w:rsid w:val="00A451AE"/>
    <w:rsid w:val="00A468F1"/>
    <w:rsid w:val="00A46F10"/>
    <w:rsid w:val="00A471D7"/>
    <w:rsid w:val="00A47CEA"/>
    <w:rsid w:val="00A5065C"/>
    <w:rsid w:val="00A52A4F"/>
    <w:rsid w:val="00A541ED"/>
    <w:rsid w:val="00A5551D"/>
    <w:rsid w:val="00A556E0"/>
    <w:rsid w:val="00A562DC"/>
    <w:rsid w:val="00A56E11"/>
    <w:rsid w:val="00A56E9B"/>
    <w:rsid w:val="00A56F27"/>
    <w:rsid w:val="00A57518"/>
    <w:rsid w:val="00A57E77"/>
    <w:rsid w:val="00A60BA2"/>
    <w:rsid w:val="00A60C80"/>
    <w:rsid w:val="00A61231"/>
    <w:rsid w:val="00A613FE"/>
    <w:rsid w:val="00A662C8"/>
    <w:rsid w:val="00A66F1F"/>
    <w:rsid w:val="00A71824"/>
    <w:rsid w:val="00A718EE"/>
    <w:rsid w:val="00A73448"/>
    <w:rsid w:val="00A76C0A"/>
    <w:rsid w:val="00A82EF2"/>
    <w:rsid w:val="00A84412"/>
    <w:rsid w:val="00A8518E"/>
    <w:rsid w:val="00A86F1C"/>
    <w:rsid w:val="00A9174A"/>
    <w:rsid w:val="00A92A07"/>
    <w:rsid w:val="00A93054"/>
    <w:rsid w:val="00A9317F"/>
    <w:rsid w:val="00A93A17"/>
    <w:rsid w:val="00A94B68"/>
    <w:rsid w:val="00A969CC"/>
    <w:rsid w:val="00A96C8D"/>
    <w:rsid w:val="00A9708B"/>
    <w:rsid w:val="00AA2DCA"/>
    <w:rsid w:val="00AA34A6"/>
    <w:rsid w:val="00AA3A72"/>
    <w:rsid w:val="00AA45BA"/>
    <w:rsid w:val="00AA6BD3"/>
    <w:rsid w:val="00AA75C7"/>
    <w:rsid w:val="00AB3EB4"/>
    <w:rsid w:val="00AB4677"/>
    <w:rsid w:val="00AB6AE8"/>
    <w:rsid w:val="00AC16D2"/>
    <w:rsid w:val="00AC24BD"/>
    <w:rsid w:val="00AC5779"/>
    <w:rsid w:val="00AD146F"/>
    <w:rsid w:val="00AD3391"/>
    <w:rsid w:val="00AD3789"/>
    <w:rsid w:val="00AD3D79"/>
    <w:rsid w:val="00AD4417"/>
    <w:rsid w:val="00AD48AA"/>
    <w:rsid w:val="00AD5B91"/>
    <w:rsid w:val="00AD5C75"/>
    <w:rsid w:val="00AD6AEF"/>
    <w:rsid w:val="00AE0055"/>
    <w:rsid w:val="00AE01F5"/>
    <w:rsid w:val="00AE091D"/>
    <w:rsid w:val="00AE3B88"/>
    <w:rsid w:val="00AE4C8F"/>
    <w:rsid w:val="00AE5675"/>
    <w:rsid w:val="00AE57EC"/>
    <w:rsid w:val="00AE64F9"/>
    <w:rsid w:val="00AF1B01"/>
    <w:rsid w:val="00AF1C04"/>
    <w:rsid w:val="00AF2547"/>
    <w:rsid w:val="00AF254A"/>
    <w:rsid w:val="00AF36C9"/>
    <w:rsid w:val="00AF5053"/>
    <w:rsid w:val="00AF5DF5"/>
    <w:rsid w:val="00AF755E"/>
    <w:rsid w:val="00B02C46"/>
    <w:rsid w:val="00B02EDD"/>
    <w:rsid w:val="00B039A0"/>
    <w:rsid w:val="00B04603"/>
    <w:rsid w:val="00B0569D"/>
    <w:rsid w:val="00B070DA"/>
    <w:rsid w:val="00B1092B"/>
    <w:rsid w:val="00B10B94"/>
    <w:rsid w:val="00B10BDA"/>
    <w:rsid w:val="00B111A5"/>
    <w:rsid w:val="00B117F2"/>
    <w:rsid w:val="00B12313"/>
    <w:rsid w:val="00B13379"/>
    <w:rsid w:val="00B13C6F"/>
    <w:rsid w:val="00B14D75"/>
    <w:rsid w:val="00B15DBA"/>
    <w:rsid w:val="00B16A95"/>
    <w:rsid w:val="00B22432"/>
    <w:rsid w:val="00B2297A"/>
    <w:rsid w:val="00B230F6"/>
    <w:rsid w:val="00B234DB"/>
    <w:rsid w:val="00B26202"/>
    <w:rsid w:val="00B300C7"/>
    <w:rsid w:val="00B30CFE"/>
    <w:rsid w:val="00B313B7"/>
    <w:rsid w:val="00B32793"/>
    <w:rsid w:val="00B33D89"/>
    <w:rsid w:val="00B34F7D"/>
    <w:rsid w:val="00B355D9"/>
    <w:rsid w:val="00B404B6"/>
    <w:rsid w:val="00B40525"/>
    <w:rsid w:val="00B414FF"/>
    <w:rsid w:val="00B4164D"/>
    <w:rsid w:val="00B41B41"/>
    <w:rsid w:val="00B44AB9"/>
    <w:rsid w:val="00B450C4"/>
    <w:rsid w:val="00B457C4"/>
    <w:rsid w:val="00B45CBC"/>
    <w:rsid w:val="00B462F7"/>
    <w:rsid w:val="00B4697F"/>
    <w:rsid w:val="00B46A16"/>
    <w:rsid w:val="00B47747"/>
    <w:rsid w:val="00B47E34"/>
    <w:rsid w:val="00B504BC"/>
    <w:rsid w:val="00B50D88"/>
    <w:rsid w:val="00B51099"/>
    <w:rsid w:val="00B51427"/>
    <w:rsid w:val="00B5564B"/>
    <w:rsid w:val="00B55A30"/>
    <w:rsid w:val="00B56A48"/>
    <w:rsid w:val="00B56B47"/>
    <w:rsid w:val="00B6171F"/>
    <w:rsid w:val="00B618A9"/>
    <w:rsid w:val="00B621AF"/>
    <w:rsid w:val="00B6475A"/>
    <w:rsid w:val="00B652FE"/>
    <w:rsid w:val="00B65A0A"/>
    <w:rsid w:val="00B65CF6"/>
    <w:rsid w:val="00B65FCF"/>
    <w:rsid w:val="00B66C55"/>
    <w:rsid w:val="00B700CC"/>
    <w:rsid w:val="00B70D5E"/>
    <w:rsid w:val="00B719D3"/>
    <w:rsid w:val="00B7213C"/>
    <w:rsid w:val="00B7246E"/>
    <w:rsid w:val="00B7247E"/>
    <w:rsid w:val="00B74B38"/>
    <w:rsid w:val="00B758FC"/>
    <w:rsid w:val="00B762A0"/>
    <w:rsid w:val="00B76FBA"/>
    <w:rsid w:val="00B77E56"/>
    <w:rsid w:val="00B80371"/>
    <w:rsid w:val="00B8269F"/>
    <w:rsid w:val="00B837AE"/>
    <w:rsid w:val="00B83EED"/>
    <w:rsid w:val="00B85597"/>
    <w:rsid w:val="00B85A89"/>
    <w:rsid w:val="00B868AD"/>
    <w:rsid w:val="00B86DD0"/>
    <w:rsid w:val="00B90822"/>
    <w:rsid w:val="00B90DFE"/>
    <w:rsid w:val="00B91B04"/>
    <w:rsid w:val="00B91C8A"/>
    <w:rsid w:val="00B9742D"/>
    <w:rsid w:val="00BA131A"/>
    <w:rsid w:val="00BA2274"/>
    <w:rsid w:val="00BA549E"/>
    <w:rsid w:val="00BA7BF3"/>
    <w:rsid w:val="00BB0042"/>
    <w:rsid w:val="00BB0BAA"/>
    <w:rsid w:val="00BB1EA2"/>
    <w:rsid w:val="00BB3437"/>
    <w:rsid w:val="00BB480B"/>
    <w:rsid w:val="00BB4E62"/>
    <w:rsid w:val="00BB55EA"/>
    <w:rsid w:val="00BB6326"/>
    <w:rsid w:val="00BB7389"/>
    <w:rsid w:val="00BB7D03"/>
    <w:rsid w:val="00BC1411"/>
    <w:rsid w:val="00BC31E7"/>
    <w:rsid w:val="00BC384D"/>
    <w:rsid w:val="00BC3E8D"/>
    <w:rsid w:val="00BC608E"/>
    <w:rsid w:val="00BC69DC"/>
    <w:rsid w:val="00BC7045"/>
    <w:rsid w:val="00BD188A"/>
    <w:rsid w:val="00BD20AE"/>
    <w:rsid w:val="00BD48AF"/>
    <w:rsid w:val="00BD746F"/>
    <w:rsid w:val="00BD7AE1"/>
    <w:rsid w:val="00BE0E6C"/>
    <w:rsid w:val="00BE15E4"/>
    <w:rsid w:val="00BE39A9"/>
    <w:rsid w:val="00BE4F6B"/>
    <w:rsid w:val="00BE6127"/>
    <w:rsid w:val="00BE786E"/>
    <w:rsid w:val="00BF13E6"/>
    <w:rsid w:val="00BF15B9"/>
    <w:rsid w:val="00BF2A0D"/>
    <w:rsid w:val="00BF2AA4"/>
    <w:rsid w:val="00BF5BCD"/>
    <w:rsid w:val="00BF630B"/>
    <w:rsid w:val="00BF6A38"/>
    <w:rsid w:val="00BF742F"/>
    <w:rsid w:val="00BF7AE2"/>
    <w:rsid w:val="00BF7BD9"/>
    <w:rsid w:val="00BF7D60"/>
    <w:rsid w:val="00C00B0A"/>
    <w:rsid w:val="00C017FE"/>
    <w:rsid w:val="00C030EA"/>
    <w:rsid w:val="00C03273"/>
    <w:rsid w:val="00C0447C"/>
    <w:rsid w:val="00C04CAF"/>
    <w:rsid w:val="00C050AF"/>
    <w:rsid w:val="00C054A9"/>
    <w:rsid w:val="00C05DCC"/>
    <w:rsid w:val="00C05EF2"/>
    <w:rsid w:val="00C07585"/>
    <w:rsid w:val="00C10ACD"/>
    <w:rsid w:val="00C11685"/>
    <w:rsid w:val="00C1189F"/>
    <w:rsid w:val="00C12263"/>
    <w:rsid w:val="00C12CF8"/>
    <w:rsid w:val="00C136CD"/>
    <w:rsid w:val="00C13D67"/>
    <w:rsid w:val="00C14903"/>
    <w:rsid w:val="00C151DF"/>
    <w:rsid w:val="00C1563D"/>
    <w:rsid w:val="00C15EB7"/>
    <w:rsid w:val="00C1626D"/>
    <w:rsid w:val="00C175FA"/>
    <w:rsid w:val="00C17A3E"/>
    <w:rsid w:val="00C212B4"/>
    <w:rsid w:val="00C21746"/>
    <w:rsid w:val="00C21BC7"/>
    <w:rsid w:val="00C220E6"/>
    <w:rsid w:val="00C228F0"/>
    <w:rsid w:val="00C23427"/>
    <w:rsid w:val="00C23F73"/>
    <w:rsid w:val="00C25016"/>
    <w:rsid w:val="00C2510F"/>
    <w:rsid w:val="00C2517F"/>
    <w:rsid w:val="00C26333"/>
    <w:rsid w:val="00C264E6"/>
    <w:rsid w:val="00C26C80"/>
    <w:rsid w:val="00C26E37"/>
    <w:rsid w:val="00C271E6"/>
    <w:rsid w:val="00C328B0"/>
    <w:rsid w:val="00C32C97"/>
    <w:rsid w:val="00C32DF0"/>
    <w:rsid w:val="00C33A18"/>
    <w:rsid w:val="00C3507C"/>
    <w:rsid w:val="00C353F8"/>
    <w:rsid w:val="00C35A54"/>
    <w:rsid w:val="00C3732D"/>
    <w:rsid w:val="00C416DB"/>
    <w:rsid w:val="00C420F9"/>
    <w:rsid w:val="00C423B7"/>
    <w:rsid w:val="00C42887"/>
    <w:rsid w:val="00C42ACD"/>
    <w:rsid w:val="00C42C49"/>
    <w:rsid w:val="00C44178"/>
    <w:rsid w:val="00C446A5"/>
    <w:rsid w:val="00C45150"/>
    <w:rsid w:val="00C46737"/>
    <w:rsid w:val="00C52004"/>
    <w:rsid w:val="00C546C5"/>
    <w:rsid w:val="00C56C9E"/>
    <w:rsid w:val="00C62D9D"/>
    <w:rsid w:val="00C6333E"/>
    <w:rsid w:val="00C633A8"/>
    <w:rsid w:val="00C64DE5"/>
    <w:rsid w:val="00C65AAE"/>
    <w:rsid w:val="00C66A4D"/>
    <w:rsid w:val="00C703A0"/>
    <w:rsid w:val="00C7141D"/>
    <w:rsid w:val="00C72945"/>
    <w:rsid w:val="00C7336A"/>
    <w:rsid w:val="00C75E3A"/>
    <w:rsid w:val="00C77378"/>
    <w:rsid w:val="00C77469"/>
    <w:rsid w:val="00C77C68"/>
    <w:rsid w:val="00C77E1B"/>
    <w:rsid w:val="00C81933"/>
    <w:rsid w:val="00C82E0E"/>
    <w:rsid w:val="00C82FA2"/>
    <w:rsid w:val="00C85115"/>
    <w:rsid w:val="00C858DF"/>
    <w:rsid w:val="00C86896"/>
    <w:rsid w:val="00C869FA"/>
    <w:rsid w:val="00C86AE5"/>
    <w:rsid w:val="00C86B0C"/>
    <w:rsid w:val="00C87C40"/>
    <w:rsid w:val="00C90148"/>
    <w:rsid w:val="00C933DE"/>
    <w:rsid w:val="00C93422"/>
    <w:rsid w:val="00C95D2F"/>
    <w:rsid w:val="00C973F1"/>
    <w:rsid w:val="00CA082C"/>
    <w:rsid w:val="00CA0BCB"/>
    <w:rsid w:val="00CA373F"/>
    <w:rsid w:val="00CB237D"/>
    <w:rsid w:val="00CB2492"/>
    <w:rsid w:val="00CB2A80"/>
    <w:rsid w:val="00CB2F00"/>
    <w:rsid w:val="00CB5A26"/>
    <w:rsid w:val="00CB6AC4"/>
    <w:rsid w:val="00CC08B4"/>
    <w:rsid w:val="00CC10D3"/>
    <w:rsid w:val="00CC2DAC"/>
    <w:rsid w:val="00CC4858"/>
    <w:rsid w:val="00CC6195"/>
    <w:rsid w:val="00CC7F65"/>
    <w:rsid w:val="00CD0F55"/>
    <w:rsid w:val="00CD1C12"/>
    <w:rsid w:val="00CD1D66"/>
    <w:rsid w:val="00CD1F7F"/>
    <w:rsid w:val="00CD2774"/>
    <w:rsid w:val="00CD2B6A"/>
    <w:rsid w:val="00CD5FCA"/>
    <w:rsid w:val="00CD7CCA"/>
    <w:rsid w:val="00CE0AC5"/>
    <w:rsid w:val="00CE1DD6"/>
    <w:rsid w:val="00CE261F"/>
    <w:rsid w:val="00CE35E1"/>
    <w:rsid w:val="00CE399B"/>
    <w:rsid w:val="00CE5541"/>
    <w:rsid w:val="00CE5C53"/>
    <w:rsid w:val="00CF0573"/>
    <w:rsid w:val="00CF24BB"/>
    <w:rsid w:val="00CF2973"/>
    <w:rsid w:val="00CF4607"/>
    <w:rsid w:val="00CF5CC7"/>
    <w:rsid w:val="00CF6767"/>
    <w:rsid w:val="00CF747C"/>
    <w:rsid w:val="00D00576"/>
    <w:rsid w:val="00D0207F"/>
    <w:rsid w:val="00D02CD4"/>
    <w:rsid w:val="00D04299"/>
    <w:rsid w:val="00D0506F"/>
    <w:rsid w:val="00D05A7A"/>
    <w:rsid w:val="00D07B78"/>
    <w:rsid w:val="00D12B80"/>
    <w:rsid w:val="00D137C3"/>
    <w:rsid w:val="00D13BD0"/>
    <w:rsid w:val="00D13D6F"/>
    <w:rsid w:val="00D165F4"/>
    <w:rsid w:val="00D1668E"/>
    <w:rsid w:val="00D16C33"/>
    <w:rsid w:val="00D177EA"/>
    <w:rsid w:val="00D20CC5"/>
    <w:rsid w:val="00D217AC"/>
    <w:rsid w:val="00D2202A"/>
    <w:rsid w:val="00D27E4D"/>
    <w:rsid w:val="00D31BE1"/>
    <w:rsid w:val="00D35B96"/>
    <w:rsid w:val="00D37973"/>
    <w:rsid w:val="00D40EAC"/>
    <w:rsid w:val="00D41F46"/>
    <w:rsid w:val="00D4222D"/>
    <w:rsid w:val="00D42754"/>
    <w:rsid w:val="00D455A4"/>
    <w:rsid w:val="00D45636"/>
    <w:rsid w:val="00D47188"/>
    <w:rsid w:val="00D51DD0"/>
    <w:rsid w:val="00D5265D"/>
    <w:rsid w:val="00D52D6B"/>
    <w:rsid w:val="00D60415"/>
    <w:rsid w:val="00D610AA"/>
    <w:rsid w:val="00D62E09"/>
    <w:rsid w:val="00D64101"/>
    <w:rsid w:val="00D6470A"/>
    <w:rsid w:val="00D64FFD"/>
    <w:rsid w:val="00D671F5"/>
    <w:rsid w:val="00D67CE9"/>
    <w:rsid w:val="00D70AAA"/>
    <w:rsid w:val="00D7105E"/>
    <w:rsid w:val="00D71684"/>
    <w:rsid w:val="00D72D32"/>
    <w:rsid w:val="00D7671C"/>
    <w:rsid w:val="00D767E6"/>
    <w:rsid w:val="00D76D7C"/>
    <w:rsid w:val="00D77A0C"/>
    <w:rsid w:val="00D8131B"/>
    <w:rsid w:val="00D816A2"/>
    <w:rsid w:val="00D81D94"/>
    <w:rsid w:val="00D8420C"/>
    <w:rsid w:val="00D844C8"/>
    <w:rsid w:val="00D84DE0"/>
    <w:rsid w:val="00D854E6"/>
    <w:rsid w:val="00D85E59"/>
    <w:rsid w:val="00D87FC5"/>
    <w:rsid w:val="00D90CAE"/>
    <w:rsid w:val="00D9189D"/>
    <w:rsid w:val="00D93A48"/>
    <w:rsid w:val="00D953BF"/>
    <w:rsid w:val="00D96FBA"/>
    <w:rsid w:val="00D97622"/>
    <w:rsid w:val="00DA1B53"/>
    <w:rsid w:val="00DA1FCE"/>
    <w:rsid w:val="00DA2048"/>
    <w:rsid w:val="00DA239C"/>
    <w:rsid w:val="00DA3AFD"/>
    <w:rsid w:val="00DA433D"/>
    <w:rsid w:val="00DA58AF"/>
    <w:rsid w:val="00DA7141"/>
    <w:rsid w:val="00DA744D"/>
    <w:rsid w:val="00DA7DEB"/>
    <w:rsid w:val="00DB14CA"/>
    <w:rsid w:val="00DB3228"/>
    <w:rsid w:val="00DB3721"/>
    <w:rsid w:val="00DB3D04"/>
    <w:rsid w:val="00DB57B4"/>
    <w:rsid w:val="00DB65B4"/>
    <w:rsid w:val="00DC07AE"/>
    <w:rsid w:val="00DC10A1"/>
    <w:rsid w:val="00DC15CB"/>
    <w:rsid w:val="00DC1AC5"/>
    <w:rsid w:val="00DC3106"/>
    <w:rsid w:val="00DC3534"/>
    <w:rsid w:val="00DC499A"/>
    <w:rsid w:val="00DC64F8"/>
    <w:rsid w:val="00DC72F1"/>
    <w:rsid w:val="00DD00BE"/>
    <w:rsid w:val="00DD02D4"/>
    <w:rsid w:val="00DD0953"/>
    <w:rsid w:val="00DD0F2E"/>
    <w:rsid w:val="00DD1A44"/>
    <w:rsid w:val="00DD1CB9"/>
    <w:rsid w:val="00DD1F77"/>
    <w:rsid w:val="00DD23E0"/>
    <w:rsid w:val="00DD2637"/>
    <w:rsid w:val="00DD2F35"/>
    <w:rsid w:val="00DD3660"/>
    <w:rsid w:val="00DD696D"/>
    <w:rsid w:val="00DD7872"/>
    <w:rsid w:val="00DD79C8"/>
    <w:rsid w:val="00DD7C70"/>
    <w:rsid w:val="00DD7FBA"/>
    <w:rsid w:val="00DE0896"/>
    <w:rsid w:val="00DE0AD5"/>
    <w:rsid w:val="00DE6C1E"/>
    <w:rsid w:val="00DE7E62"/>
    <w:rsid w:val="00DF1A49"/>
    <w:rsid w:val="00DF1C2B"/>
    <w:rsid w:val="00DF2F6B"/>
    <w:rsid w:val="00DF3993"/>
    <w:rsid w:val="00DF5A4D"/>
    <w:rsid w:val="00DF6975"/>
    <w:rsid w:val="00DF6E16"/>
    <w:rsid w:val="00DF7086"/>
    <w:rsid w:val="00E00218"/>
    <w:rsid w:val="00E018E1"/>
    <w:rsid w:val="00E0333C"/>
    <w:rsid w:val="00E0484E"/>
    <w:rsid w:val="00E07AC4"/>
    <w:rsid w:val="00E10305"/>
    <w:rsid w:val="00E1062C"/>
    <w:rsid w:val="00E1136D"/>
    <w:rsid w:val="00E116BA"/>
    <w:rsid w:val="00E11D27"/>
    <w:rsid w:val="00E11D29"/>
    <w:rsid w:val="00E12680"/>
    <w:rsid w:val="00E140A6"/>
    <w:rsid w:val="00E147F3"/>
    <w:rsid w:val="00E15447"/>
    <w:rsid w:val="00E15B7B"/>
    <w:rsid w:val="00E167D8"/>
    <w:rsid w:val="00E16ACD"/>
    <w:rsid w:val="00E20773"/>
    <w:rsid w:val="00E2107F"/>
    <w:rsid w:val="00E22628"/>
    <w:rsid w:val="00E22EA4"/>
    <w:rsid w:val="00E23059"/>
    <w:rsid w:val="00E231E0"/>
    <w:rsid w:val="00E233A4"/>
    <w:rsid w:val="00E241B0"/>
    <w:rsid w:val="00E27DCB"/>
    <w:rsid w:val="00E30352"/>
    <w:rsid w:val="00E33146"/>
    <w:rsid w:val="00E374D1"/>
    <w:rsid w:val="00E37F50"/>
    <w:rsid w:val="00E40942"/>
    <w:rsid w:val="00E43646"/>
    <w:rsid w:val="00E44C1D"/>
    <w:rsid w:val="00E50D80"/>
    <w:rsid w:val="00E50E6F"/>
    <w:rsid w:val="00E51035"/>
    <w:rsid w:val="00E5218A"/>
    <w:rsid w:val="00E53438"/>
    <w:rsid w:val="00E539B3"/>
    <w:rsid w:val="00E552C2"/>
    <w:rsid w:val="00E55EC8"/>
    <w:rsid w:val="00E56469"/>
    <w:rsid w:val="00E56D02"/>
    <w:rsid w:val="00E57209"/>
    <w:rsid w:val="00E5727D"/>
    <w:rsid w:val="00E57FAB"/>
    <w:rsid w:val="00E6289C"/>
    <w:rsid w:val="00E670D3"/>
    <w:rsid w:val="00E713A7"/>
    <w:rsid w:val="00E72404"/>
    <w:rsid w:val="00E72FF6"/>
    <w:rsid w:val="00E73990"/>
    <w:rsid w:val="00E74A15"/>
    <w:rsid w:val="00E74E1B"/>
    <w:rsid w:val="00E7567F"/>
    <w:rsid w:val="00E7617E"/>
    <w:rsid w:val="00E8184B"/>
    <w:rsid w:val="00E81F3E"/>
    <w:rsid w:val="00E85807"/>
    <w:rsid w:val="00E86211"/>
    <w:rsid w:val="00E86ACB"/>
    <w:rsid w:val="00E900E0"/>
    <w:rsid w:val="00E90628"/>
    <w:rsid w:val="00E9122B"/>
    <w:rsid w:val="00E9166A"/>
    <w:rsid w:val="00E92193"/>
    <w:rsid w:val="00E93ABB"/>
    <w:rsid w:val="00E93CFE"/>
    <w:rsid w:val="00E94580"/>
    <w:rsid w:val="00E953B9"/>
    <w:rsid w:val="00EA0D43"/>
    <w:rsid w:val="00EA0EBB"/>
    <w:rsid w:val="00EA1619"/>
    <w:rsid w:val="00EA2EB1"/>
    <w:rsid w:val="00EA49CE"/>
    <w:rsid w:val="00EA4CBA"/>
    <w:rsid w:val="00EA6CD3"/>
    <w:rsid w:val="00EA7EDF"/>
    <w:rsid w:val="00EB184B"/>
    <w:rsid w:val="00EB27FB"/>
    <w:rsid w:val="00EB47F3"/>
    <w:rsid w:val="00EC03E6"/>
    <w:rsid w:val="00EC15B7"/>
    <w:rsid w:val="00EC218F"/>
    <w:rsid w:val="00EC53D6"/>
    <w:rsid w:val="00ED053C"/>
    <w:rsid w:val="00ED0911"/>
    <w:rsid w:val="00ED0A46"/>
    <w:rsid w:val="00ED1105"/>
    <w:rsid w:val="00ED18C9"/>
    <w:rsid w:val="00ED2979"/>
    <w:rsid w:val="00ED29D2"/>
    <w:rsid w:val="00ED377A"/>
    <w:rsid w:val="00ED39FF"/>
    <w:rsid w:val="00ED3D84"/>
    <w:rsid w:val="00ED4255"/>
    <w:rsid w:val="00ED5CF7"/>
    <w:rsid w:val="00ED603E"/>
    <w:rsid w:val="00EE1650"/>
    <w:rsid w:val="00EE4153"/>
    <w:rsid w:val="00EE44FE"/>
    <w:rsid w:val="00EE4A54"/>
    <w:rsid w:val="00EE4C51"/>
    <w:rsid w:val="00EE59DE"/>
    <w:rsid w:val="00EE5F2B"/>
    <w:rsid w:val="00EE61BD"/>
    <w:rsid w:val="00EE7BA0"/>
    <w:rsid w:val="00EE7F7D"/>
    <w:rsid w:val="00EF2696"/>
    <w:rsid w:val="00EF55B6"/>
    <w:rsid w:val="00EF67AA"/>
    <w:rsid w:val="00EF6CBF"/>
    <w:rsid w:val="00EF6F48"/>
    <w:rsid w:val="00F00E88"/>
    <w:rsid w:val="00F01691"/>
    <w:rsid w:val="00F019FA"/>
    <w:rsid w:val="00F02EB7"/>
    <w:rsid w:val="00F03FAA"/>
    <w:rsid w:val="00F05303"/>
    <w:rsid w:val="00F0662E"/>
    <w:rsid w:val="00F066C5"/>
    <w:rsid w:val="00F06F21"/>
    <w:rsid w:val="00F070EA"/>
    <w:rsid w:val="00F1504D"/>
    <w:rsid w:val="00F15773"/>
    <w:rsid w:val="00F1588A"/>
    <w:rsid w:val="00F17360"/>
    <w:rsid w:val="00F21E93"/>
    <w:rsid w:val="00F23C9C"/>
    <w:rsid w:val="00F2556C"/>
    <w:rsid w:val="00F25C34"/>
    <w:rsid w:val="00F2652E"/>
    <w:rsid w:val="00F27363"/>
    <w:rsid w:val="00F30608"/>
    <w:rsid w:val="00F30A0A"/>
    <w:rsid w:val="00F32129"/>
    <w:rsid w:val="00F32822"/>
    <w:rsid w:val="00F32ADC"/>
    <w:rsid w:val="00F34AB5"/>
    <w:rsid w:val="00F34DCC"/>
    <w:rsid w:val="00F352DD"/>
    <w:rsid w:val="00F35567"/>
    <w:rsid w:val="00F3569E"/>
    <w:rsid w:val="00F40716"/>
    <w:rsid w:val="00F40762"/>
    <w:rsid w:val="00F40F20"/>
    <w:rsid w:val="00F418C2"/>
    <w:rsid w:val="00F41A04"/>
    <w:rsid w:val="00F42208"/>
    <w:rsid w:val="00F449A8"/>
    <w:rsid w:val="00F44B3E"/>
    <w:rsid w:val="00F46FF2"/>
    <w:rsid w:val="00F509C9"/>
    <w:rsid w:val="00F51164"/>
    <w:rsid w:val="00F526D1"/>
    <w:rsid w:val="00F5297D"/>
    <w:rsid w:val="00F53042"/>
    <w:rsid w:val="00F53217"/>
    <w:rsid w:val="00F532A7"/>
    <w:rsid w:val="00F53508"/>
    <w:rsid w:val="00F53B91"/>
    <w:rsid w:val="00F542FA"/>
    <w:rsid w:val="00F544F1"/>
    <w:rsid w:val="00F5586F"/>
    <w:rsid w:val="00F64D33"/>
    <w:rsid w:val="00F652EB"/>
    <w:rsid w:val="00F65BFF"/>
    <w:rsid w:val="00F660C2"/>
    <w:rsid w:val="00F669EB"/>
    <w:rsid w:val="00F70443"/>
    <w:rsid w:val="00F7097D"/>
    <w:rsid w:val="00F716EF"/>
    <w:rsid w:val="00F758A5"/>
    <w:rsid w:val="00F76BCC"/>
    <w:rsid w:val="00F77C73"/>
    <w:rsid w:val="00F77D50"/>
    <w:rsid w:val="00F8059E"/>
    <w:rsid w:val="00F81A0A"/>
    <w:rsid w:val="00F838F0"/>
    <w:rsid w:val="00F858D1"/>
    <w:rsid w:val="00F85A24"/>
    <w:rsid w:val="00F87A26"/>
    <w:rsid w:val="00F9016C"/>
    <w:rsid w:val="00F929ED"/>
    <w:rsid w:val="00F9305D"/>
    <w:rsid w:val="00F94CC0"/>
    <w:rsid w:val="00F94D89"/>
    <w:rsid w:val="00F9522F"/>
    <w:rsid w:val="00F96902"/>
    <w:rsid w:val="00FA024A"/>
    <w:rsid w:val="00FA2346"/>
    <w:rsid w:val="00FA37DC"/>
    <w:rsid w:val="00FA3AB1"/>
    <w:rsid w:val="00FA3B62"/>
    <w:rsid w:val="00FA3DE5"/>
    <w:rsid w:val="00FA4A91"/>
    <w:rsid w:val="00FA4EC5"/>
    <w:rsid w:val="00FA5EE1"/>
    <w:rsid w:val="00FA6BB2"/>
    <w:rsid w:val="00FA6E71"/>
    <w:rsid w:val="00FA7ED3"/>
    <w:rsid w:val="00FB1472"/>
    <w:rsid w:val="00FB1994"/>
    <w:rsid w:val="00FB3376"/>
    <w:rsid w:val="00FB66E5"/>
    <w:rsid w:val="00FB68FB"/>
    <w:rsid w:val="00FB6F6B"/>
    <w:rsid w:val="00FC3C5A"/>
    <w:rsid w:val="00FC3C7A"/>
    <w:rsid w:val="00FC4BE9"/>
    <w:rsid w:val="00FC4C22"/>
    <w:rsid w:val="00FC6839"/>
    <w:rsid w:val="00FC6FCC"/>
    <w:rsid w:val="00FC745E"/>
    <w:rsid w:val="00FD01FC"/>
    <w:rsid w:val="00FD061B"/>
    <w:rsid w:val="00FD2AD2"/>
    <w:rsid w:val="00FD5F34"/>
    <w:rsid w:val="00FD5FEF"/>
    <w:rsid w:val="00FE2D33"/>
    <w:rsid w:val="00FE510B"/>
    <w:rsid w:val="00FE6FC3"/>
    <w:rsid w:val="00FE76B5"/>
    <w:rsid w:val="00FE76D2"/>
    <w:rsid w:val="00FF15B4"/>
    <w:rsid w:val="00FF22AC"/>
    <w:rsid w:val="00FF2598"/>
    <w:rsid w:val="00FF3664"/>
    <w:rsid w:val="00FF42CE"/>
    <w:rsid w:val="00FF5967"/>
    <w:rsid w:val="00FF5D5C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049DE3"/>
  <w15:docId w15:val="{FFC5070A-869C-45D7-974A-330AE733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C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6C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EA6CD3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EA6CD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nhideWhenUsed/>
    <w:rsid w:val="00EA6C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naisf">
    <w:name w:val="naisf"/>
    <w:basedOn w:val="Normal"/>
    <w:rsid w:val="00EA6CD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EA6CD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paragraph" w:customStyle="1" w:styleId="tv2131">
    <w:name w:val="tv2131"/>
    <w:basedOn w:val="Normal"/>
    <w:rsid w:val="00EA6CD3"/>
    <w:pPr>
      <w:spacing w:line="360" w:lineRule="auto"/>
      <w:ind w:firstLine="335"/>
    </w:pPr>
    <w:rPr>
      <w:rFonts w:eastAsia="Times New Roman"/>
      <w:color w:val="414142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D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166A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961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1605"/>
  </w:style>
  <w:style w:type="character" w:customStyle="1" w:styleId="CommentTextChar">
    <w:name w:val="Comment Text Char"/>
    <w:basedOn w:val="DefaultParagraphFont"/>
    <w:link w:val="CommentText"/>
    <w:uiPriority w:val="99"/>
    <w:rsid w:val="00961605"/>
    <w:rPr>
      <w:rFonts w:ascii="Times New Roman" w:eastAsia="Calibri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605"/>
    <w:rPr>
      <w:rFonts w:ascii="Times New Roman" w:eastAsia="Calibri" w:hAnsi="Times New Roman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46A1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AD6AEF"/>
    <w:pPr>
      <w:jc w:val="both"/>
    </w:pPr>
    <w:rPr>
      <w:rFonts w:eastAsia="Times New Roman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AD6AE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AD6AEF"/>
    <w:rPr>
      <w:rFonts w:ascii="Times New Roman" w:hAnsi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753FF4"/>
  </w:style>
  <w:style w:type="character" w:customStyle="1" w:styleId="bumpedfont15">
    <w:name w:val="bumpedfont15"/>
    <w:rsid w:val="006C20C5"/>
  </w:style>
  <w:style w:type="character" w:styleId="PlaceholderText">
    <w:name w:val="Placeholder Text"/>
    <w:basedOn w:val="DefaultParagraphFont"/>
    <w:uiPriority w:val="99"/>
    <w:semiHidden/>
    <w:rsid w:val="00200E7D"/>
    <w:rPr>
      <w:color w:val="808080"/>
    </w:rPr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D165F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5E30B2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DC64F8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Default">
    <w:name w:val="Default"/>
    <w:rsid w:val="00FE76B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v213">
    <w:name w:val="tv213"/>
    <w:basedOn w:val="Normal"/>
    <w:rsid w:val="00F94D89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733C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47ACF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47ACF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B621AF"/>
    <w:rPr>
      <w:color w:val="2B579A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D97622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C78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1F3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1F3E"/>
    <w:rPr>
      <w:rFonts w:ascii="Times New Roman" w:eastAsia="Calibri" w:hAnsi="Times New Roman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E81F3E"/>
    <w:rPr>
      <w:vertAlign w:val="superscript"/>
    </w:rPr>
  </w:style>
  <w:style w:type="character" w:customStyle="1" w:styleId="italics">
    <w:name w:val="italics"/>
    <w:basedOn w:val="DefaultParagraphFont"/>
    <w:rsid w:val="00580B9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38D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233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F7086"/>
    <w:rPr>
      <w:color w:val="605E5C"/>
      <w:shd w:val="clear" w:color="auto" w:fill="E1DFDD"/>
    </w:rPr>
  </w:style>
  <w:style w:type="paragraph" w:customStyle="1" w:styleId="doc-ti">
    <w:name w:val="doc-ti"/>
    <w:basedOn w:val="Normal"/>
    <w:rsid w:val="008C10A8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0B445E"/>
  </w:style>
  <w:style w:type="paragraph" w:customStyle="1" w:styleId="paragraph">
    <w:name w:val="paragraph"/>
    <w:basedOn w:val="Normal"/>
    <w:rsid w:val="0060759A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character" w:customStyle="1" w:styleId="spellingerror">
    <w:name w:val="spellingerror"/>
    <w:basedOn w:val="DefaultParagraphFont"/>
    <w:rsid w:val="00721A37"/>
  </w:style>
  <w:style w:type="character" w:customStyle="1" w:styleId="eop">
    <w:name w:val="eop"/>
    <w:basedOn w:val="DefaultParagraphFont"/>
    <w:rsid w:val="00745145"/>
  </w:style>
  <w:style w:type="table" w:styleId="TableGrid">
    <w:name w:val="Table Grid"/>
    <w:basedOn w:val="TableNormal"/>
    <w:uiPriority w:val="59"/>
    <w:rsid w:val="00500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7DA6A-87C7-4BB4-B24D-EDB327FB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7</Pages>
  <Words>7272</Words>
  <Characters>4146</Characters>
  <Application>Microsoft Office Word</Application>
  <DocSecurity>0</DocSecurity>
  <Lines>34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Altum</Company>
  <LinksUpToDate>false</LinksUpToDate>
  <CharactersWithSpaces>11396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Anotācija</dc:subject>
  <dc:creator>Dita.Tetere@em.gov.lv</dc:creator>
  <dc:description>67013298
Signe.Tuklere@em.gov</dc:description>
  <cp:lastModifiedBy>Ilze Lore</cp:lastModifiedBy>
  <cp:revision>83</cp:revision>
  <cp:lastPrinted>2020-05-15T10:54:00Z</cp:lastPrinted>
  <dcterms:created xsi:type="dcterms:W3CDTF">2020-11-11T10:39:00Z</dcterms:created>
  <dcterms:modified xsi:type="dcterms:W3CDTF">2021-01-13T12:29:00Z</dcterms:modified>
</cp:coreProperties>
</file>