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097" w14:textId="77777777" w:rsidR="007116C7" w:rsidRPr="0044384F" w:rsidRDefault="007116C7" w:rsidP="000D2876">
      <w:pPr>
        <w:pStyle w:val="naisnod"/>
        <w:spacing w:before="0" w:after="0"/>
      </w:pPr>
      <w:r w:rsidRPr="0044384F">
        <w:t>Izziņa par atzinumos sniegtajiem iebildumiem</w:t>
      </w:r>
    </w:p>
    <w:tbl>
      <w:tblPr>
        <w:tblW w:w="0" w:type="auto"/>
        <w:jc w:val="center"/>
        <w:tblLook w:val="00A0" w:firstRow="1" w:lastRow="0" w:firstColumn="1" w:lastColumn="0" w:noHBand="0" w:noVBand="0"/>
      </w:tblPr>
      <w:tblGrid>
        <w:gridCol w:w="10188"/>
      </w:tblGrid>
      <w:tr w:rsidR="0044384F" w:rsidRPr="0044384F" w14:paraId="4AE583D5" w14:textId="77777777">
        <w:trPr>
          <w:jc w:val="center"/>
        </w:trPr>
        <w:tc>
          <w:tcPr>
            <w:tcW w:w="10188" w:type="dxa"/>
            <w:tcBorders>
              <w:bottom w:val="single" w:sz="6" w:space="0" w:color="000000"/>
            </w:tcBorders>
          </w:tcPr>
          <w:p w14:paraId="4149E511" w14:textId="36705B2E" w:rsidR="007116C7" w:rsidRPr="0044384F" w:rsidRDefault="00B50AA7" w:rsidP="000D2876">
            <w:pPr>
              <w:jc w:val="center"/>
            </w:pPr>
            <w:r w:rsidRPr="0044384F">
              <w:rPr>
                <w:b/>
              </w:rPr>
              <w:t>Grozījumi Ministru kabineta 2015. gada 14. jūlija noteikumos Nr. 395 “Kārtība, kādā energoietilpīgi apstrādes rūpniecības uzņēmumi iegūst tiesības uz samazinātu līdzdalību obligātā iepirkuma komponentes maksājumam”</w:t>
            </w:r>
          </w:p>
        </w:tc>
      </w:tr>
    </w:tbl>
    <w:p w14:paraId="61FF673B" w14:textId="77777777" w:rsidR="007116C7" w:rsidRPr="0044384F" w:rsidRDefault="007116C7" w:rsidP="000D2876">
      <w:pPr>
        <w:pStyle w:val="naisc"/>
        <w:spacing w:before="0" w:after="0"/>
        <w:ind w:firstLine="1080"/>
      </w:pPr>
      <w:r w:rsidRPr="0044384F">
        <w:t>(dokumenta veids un nosaukums)</w:t>
      </w:r>
    </w:p>
    <w:p w14:paraId="1E282F02" w14:textId="77777777" w:rsidR="007B4C0F" w:rsidRPr="0044384F" w:rsidRDefault="007B4C0F" w:rsidP="000D2876">
      <w:pPr>
        <w:pStyle w:val="naisf"/>
        <w:spacing w:before="0" w:after="0"/>
        <w:ind w:firstLine="720"/>
      </w:pPr>
    </w:p>
    <w:p w14:paraId="06A01AC6" w14:textId="77777777" w:rsidR="007B4C0F" w:rsidRPr="0044384F" w:rsidRDefault="007B4C0F" w:rsidP="000D2876">
      <w:pPr>
        <w:pStyle w:val="naisf"/>
        <w:spacing w:before="0" w:after="0"/>
        <w:ind w:firstLine="0"/>
        <w:jc w:val="center"/>
        <w:rPr>
          <w:b/>
        </w:rPr>
      </w:pPr>
      <w:r w:rsidRPr="0044384F">
        <w:rPr>
          <w:b/>
        </w:rPr>
        <w:t xml:space="preserve">I. Jautājumi, par kuriem saskaņošanā </w:t>
      </w:r>
      <w:r w:rsidR="00134188" w:rsidRPr="0044384F">
        <w:rPr>
          <w:b/>
        </w:rPr>
        <w:t xml:space="preserve">vienošanās </w:t>
      </w:r>
      <w:r w:rsidRPr="0044384F">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44384F" w:rsidRPr="0044384F"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44384F" w:rsidRDefault="005F4BFD" w:rsidP="000D2876">
            <w:pPr>
              <w:pStyle w:val="naisc"/>
              <w:spacing w:before="0" w:after="0"/>
            </w:pPr>
            <w:r w:rsidRPr="0044384F">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44384F" w:rsidRDefault="005F4BFD" w:rsidP="000D2876">
            <w:pPr>
              <w:pStyle w:val="naisc"/>
              <w:spacing w:before="0" w:after="0"/>
              <w:ind w:firstLine="12"/>
            </w:pPr>
            <w:r w:rsidRPr="0044384F">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44384F" w:rsidRDefault="005F4BFD" w:rsidP="000D2876">
            <w:pPr>
              <w:pStyle w:val="naisc"/>
              <w:spacing w:before="0" w:after="0"/>
              <w:ind w:right="3"/>
            </w:pPr>
            <w:r w:rsidRPr="0044384F">
              <w:t>Atzinumā norādītais ministrijas (citas institūcijas) iebildums</w:t>
            </w:r>
            <w:r w:rsidR="00184479" w:rsidRPr="0044384F">
              <w:t>,</w:t>
            </w:r>
            <w:r w:rsidR="000E5509" w:rsidRPr="0044384F">
              <w:t xml:space="preserve"> kā arī saskaņošanā papildus izteiktais iebildums</w:t>
            </w:r>
            <w:r w:rsidRPr="0044384F">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44384F" w:rsidRDefault="005F4BFD" w:rsidP="000D2876">
            <w:pPr>
              <w:pStyle w:val="naisc"/>
              <w:spacing w:before="0" w:after="0"/>
              <w:ind w:firstLine="21"/>
            </w:pPr>
            <w:r w:rsidRPr="0044384F">
              <w:t>Atbildīgās ministrijas pamatojums</w:t>
            </w:r>
            <w:r w:rsidR="009307F2" w:rsidRPr="0044384F">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44384F" w:rsidRDefault="005F4BFD" w:rsidP="000D2876">
            <w:pPr>
              <w:jc w:val="center"/>
            </w:pPr>
            <w:r w:rsidRPr="0044384F">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44384F" w:rsidRDefault="005F4BFD" w:rsidP="000D2876">
            <w:pPr>
              <w:jc w:val="center"/>
            </w:pPr>
            <w:r w:rsidRPr="0044384F">
              <w:t>Projekta attiecīgā punkta (panta) galīgā redakcija</w:t>
            </w:r>
          </w:p>
        </w:tc>
      </w:tr>
      <w:tr w:rsidR="0044384F" w:rsidRPr="0044384F"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44384F" w:rsidRDefault="008A36C9" w:rsidP="000D2876">
            <w:pPr>
              <w:pStyle w:val="naisc"/>
              <w:spacing w:before="0" w:after="0"/>
            </w:pPr>
            <w:r w:rsidRPr="0044384F">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44384F" w:rsidRDefault="008A36C9" w:rsidP="000D2876">
            <w:pPr>
              <w:pStyle w:val="naisc"/>
              <w:spacing w:before="0" w:after="0"/>
            </w:pPr>
            <w:r w:rsidRPr="0044384F">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44384F" w:rsidRDefault="008A36C9" w:rsidP="000D2876">
            <w:pPr>
              <w:pStyle w:val="naisc"/>
              <w:spacing w:before="0" w:after="0"/>
            </w:pPr>
            <w:r w:rsidRPr="0044384F">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44384F" w:rsidRDefault="008A36C9" w:rsidP="000D2876">
            <w:pPr>
              <w:pStyle w:val="naisc"/>
              <w:spacing w:before="0" w:after="0"/>
            </w:pPr>
            <w:r w:rsidRPr="0044384F">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44384F" w:rsidRDefault="008A36C9" w:rsidP="000D2876">
            <w:pPr>
              <w:jc w:val="center"/>
            </w:pPr>
            <w:r w:rsidRPr="0044384F">
              <w:t>5</w:t>
            </w:r>
          </w:p>
        </w:tc>
        <w:tc>
          <w:tcPr>
            <w:tcW w:w="1920" w:type="dxa"/>
            <w:tcBorders>
              <w:top w:val="single" w:sz="4" w:space="0" w:color="auto"/>
              <w:left w:val="single" w:sz="4" w:space="0" w:color="auto"/>
              <w:bottom w:val="single" w:sz="4" w:space="0" w:color="auto"/>
            </w:tcBorders>
          </w:tcPr>
          <w:p w14:paraId="2F85ECA1" w14:textId="77777777" w:rsidR="005F4BFD" w:rsidRPr="0044384F" w:rsidRDefault="008A36C9" w:rsidP="000D2876">
            <w:pPr>
              <w:jc w:val="center"/>
            </w:pPr>
            <w:r w:rsidRPr="0044384F">
              <w:t>6</w:t>
            </w:r>
          </w:p>
        </w:tc>
      </w:tr>
      <w:tr w:rsidR="0044384F" w:rsidRPr="0044384F"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44384F" w:rsidRDefault="005F4BFD" w:rsidP="000D2876">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44384F" w:rsidRDefault="005F4BFD" w:rsidP="000D2876">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44384F" w:rsidRDefault="005F4BFD" w:rsidP="000D2876">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44384F" w:rsidRDefault="005F4BFD" w:rsidP="000D2876">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44384F" w:rsidRDefault="005F4BFD" w:rsidP="000D2876"/>
        </w:tc>
        <w:tc>
          <w:tcPr>
            <w:tcW w:w="1920" w:type="dxa"/>
            <w:tcBorders>
              <w:top w:val="single" w:sz="4" w:space="0" w:color="auto"/>
              <w:left w:val="single" w:sz="4" w:space="0" w:color="auto"/>
              <w:bottom w:val="single" w:sz="4" w:space="0" w:color="auto"/>
            </w:tcBorders>
          </w:tcPr>
          <w:p w14:paraId="3AE9D4F6" w14:textId="77777777" w:rsidR="005F4BFD" w:rsidRPr="0044384F" w:rsidRDefault="005F4BFD" w:rsidP="000D2876"/>
        </w:tc>
      </w:tr>
      <w:tr w:rsidR="003C1201" w:rsidRPr="0044384F"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44384F" w:rsidRDefault="008A36C9" w:rsidP="000D2876">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44384F" w:rsidRDefault="008A36C9" w:rsidP="000D2876">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44384F" w:rsidRDefault="008A36C9" w:rsidP="000D2876">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44384F" w:rsidRDefault="008A36C9" w:rsidP="000D2876">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44384F" w:rsidRDefault="008A36C9" w:rsidP="000D2876"/>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44384F" w:rsidRDefault="008A36C9" w:rsidP="000D2876"/>
        </w:tc>
      </w:tr>
    </w:tbl>
    <w:p w14:paraId="4C28E07D" w14:textId="77777777" w:rsidR="00E46FF6" w:rsidRPr="0044384F" w:rsidRDefault="00E46FF6" w:rsidP="000D2876">
      <w:pPr>
        <w:pStyle w:val="naisf"/>
        <w:spacing w:before="0" w:after="0"/>
        <w:ind w:firstLine="0"/>
        <w:rPr>
          <w:b/>
        </w:rPr>
      </w:pPr>
    </w:p>
    <w:p w14:paraId="5F1003A0" w14:textId="5C733E46" w:rsidR="005D67F7" w:rsidRPr="0044384F" w:rsidRDefault="005D67F7" w:rsidP="000D2876">
      <w:pPr>
        <w:pStyle w:val="naisf"/>
        <w:spacing w:before="0" w:after="0"/>
        <w:ind w:firstLine="0"/>
        <w:rPr>
          <w:b/>
        </w:rPr>
      </w:pPr>
      <w:r w:rsidRPr="0044384F">
        <w:rPr>
          <w:b/>
        </w:rPr>
        <w:t xml:space="preserve">Informācija par </w:t>
      </w:r>
      <w:proofErr w:type="spellStart"/>
      <w:r w:rsidRPr="0044384F">
        <w:rPr>
          <w:b/>
        </w:rPr>
        <w:t>starpministriju</w:t>
      </w:r>
      <w:proofErr w:type="spellEnd"/>
      <w:r w:rsidRPr="0044384F">
        <w:rPr>
          <w:b/>
        </w:rPr>
        <w:t xml:space="preserve"> (starpinstitūciju) sanāksmi vai elektronisko saskaņošanu</w:t>
      </w:r>
    </w:p>
    <w:tbl>
      <w:tblPr>
        <w:tblW w:w="1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0"/>
        <w:gridCol w:w="622"/>
        <w:gridCol w:w="8191"/>
      </w:tblGrid>
      <w:tr w:rsidR="0044384F" w:rsidRPr="0044384F" w14:paraId="31C707FE" w14:textId="77777777" w:rsidTr="00AC7092">
        <w:tc>
          <w:tcPr>
            <w:tcW w:w="5190" w:type="dxa"/>
            <w:tcBorders>
              <w:top w:val="nil"/>
              <w:left w:val="nil"/>
              <w:bottom w:val="nil"/>
              <w:right w:val="nil"/>
            </w:tcBorders>
          </w:tcPr>
          <w:p w14:paraId="218B58F5" w14:textId="77777777" w:rsidR="00AC7092" w:rsidRPr="0044384F" w:rsidRDefault="00AC7092" w:rsidP="000D2876">
            <w:pPr>
              <w:pStyle w:val="naisf"/>
              <w:spacing w:before="0" w:after="0"/>
              <w:ind w:firstLine="0"/>
            </w:pPr>
            <w:r w:rsidRPr="0044384F">
              <w:t>Datums</w:t>
            </w:r>
          </w:p>
        </w:tc>
        <w:tc>
          <w:tcPr>
            <w:tcW w:w="622" w:type="dxa"/>
            <w:tcBorders>
              <w:top w:val="nil"/>
              <w:left w:val="nil"/>
              <w:right w:val="nil"/>
            </w:tcBorders>
          </w:tcPr>
          <w:p w14:paraId="0C8E928E" w14:textId="77777777" w:rsidR="00AC7092" w:rsidRPr="0044384F" w:rsidRDefault="00AC7092" w:rsidP="000D2876">
            <w:pPr>
              <w:pStyle w:val="NormalWeb"/>
              <w:spacing w:before="0" w:beforeAutospacing="0" w:after="0" w:afterAutospacing="0"/>
            </w:pPr>
          </w:p>
        </w:tc>
        <w:tc>
          <w:tcPr>
            <w:tcW w:w="8191" w:type="dxa"/>
            <w:tcBorders>
              <w:top w:val="nil"/>
              <w:left w:val="nil"/>
              <w:right w:val="nil"/>
            </w:tcBorders>
          </w:tcPr>
          <w:p w14:paraId="79E06D1E" w14:textId="4F3A5030" w:rsidR="00AC7092" w:rsidRPr="0044384F" w:rsidRDefault="00633C4F" w:rsidP="000D2876">
            <w:pPr>
              <w:pStyle w:val="NormalWeb"/>
              <w:spacing w:before="0" w:beforeAutospacing="0" w:after="0" w:afterAutospacing="0"/>
            </w:pPr>
            <w:r w:rsidRPr="0044384F">
              <w:t>0</w:t>
            </w:r>
            <w:r w:rsidR="001A4B8F" w:rsidRPr="0044384F">
              <w:t>8</w:t>
            </w:r>
            <w:r w:rsidRPr="0044384F">
              <w:t>.12.2020.-</w:t>
            </w:r>
            <w:r w:rsidR="001A4B8F" w:rsidRPr="0044384F">
              <w:t>10</w:t>
            </w:r>
            <w:r w:rsidR="00616994" w:rsidRPr="0044384F">
              <w:t>.12.2020.</w:t>
            </w:r>
          </w:p>
        </w:tc>
      </w:tr>
      <w:tr w:rsidR="0044384F" w:rsidRPr="0044384F" w14:paraId="2AEE2194" w14:textId="77777777" w:rsidTr="00AC7092">
        <w:tc>
          <w:tcPr>
            <w:tcW w:w="5190" w:type="dxa"/>
            <w:tcBorders>
              <w:top w:val="nil"/>
              <w:left w:val="nil"/>
              <w:bottom w:val="nil"/>
              <w:right w:val="nil"/>
            </w:tcBorders>
          </w:tcPr>
          <w:p w14:paraId="4DBC9197" w14:textId="77777777" w:rsidR="00AC7092" w:rsidRPr="0044384F" w:rsidRDefault="00AC7092" w:rsidP="000D2876">
            <w:pPr>
              <w:pStyle w:val="naiskr"/>
              <w:spacing w:before="0" w:after="0"/>
            </w:pPr>
            <w:r w:rsidRPr="0044384F">
              <w:t>Saskaņošanas dalībnieki</w:t>
            </w:r>
          </w:p>
        </w:tc>
        <w:tc>
          <w:tcPr>
            <w:tcW w:w="622" w:type="dxa"/>
            <w:tcBorders>
              <w:left w:val="nil"/>
              <w:right w:val="nil"/>
            </w:tcBorders>
          </w:tcPr>
          <w:p w14:paraId="0BAF1C25" w14:textId="77777777" w:rsidR="00AC7092" w:rsidRPr="0044384F" w:rsidRDefault="00AC7092" w:rsidP="000D2876">
            <w:pPr>
              <w:jc w:val="both"/>
            </w:pPr>
          </w:p>
        </w:tc>
        <w:tc>
          <w:tcPr>
            <w:tcW w:w="8191" w:type="dxa"/>
            <w:tcBorders>
              <w:left w:val="nil"/>
              <w:right w:val="nil"/>
            </w:tcBorders>
          </w:tcPr>
          <w:p w14:paraId="562A2C30" w14:textId="47DE4277" w:rsidR="005A5817" w:rsidRPr="0044384F" w:rsidRDefault="00AC7092" w:rsidP="000D2876">
            <w:pPr>
              <w:shd w:val="clear" w:color="auto" w:fill="FFFFFF"/>
              <w:jc w:val="both"/>
              <w:outlineLvl w:val="0"/>
              <w:rPr>
                <w:b/>
                <w:bCs/>
                <w:sz w:val="22"/>
                <w:szCs w:val="22"/>
              </w:rPr>
            </w:pPr>
            <w:r w:rsidRPr="0044384F">
              <w:t>Tieslietu ministrija, Finanšu ministrija,</w:t>
            </w:r>
            <w:r w:rsidR="00601B3B" w:rsidRPr="0044384F">
              <w:t xml:space="preserve"> Vides aizsardzības un reģionālās attīstības ministrija,</w:t>
            </w:r>
            <w:r w:rsidRPr="0044384F">
              <w:t xml:space="preserve"> </w:t>
            </w:r>
            <w:r w:rsidR="00671BDD" w:rsidRPr="0044384F">
              <w:t>Latvijas Brīvo arodbiedrību savienība, Latvijas Darba devēju konfederācija, Sabiedrisko pakalpojumu regulēšanas komisija</w:t>
            </w:r>
            <w:r w:rsidR="00336EFE" w:rsidRPr="0044384F">
              <w:t>, Latvijas Tirdzniecības un rūpniecības kamera</w:t>
            </w:r>
            <w:r w:rsidR="00AA6C9B" w:rsidRPr="0044384F">
              <w:t>, Latvijas Pārtikas uzņēmumu federācija, Būvniecības ražotāju asociācija</w:t>
            </w:r>
            <w:r w:rsidR="00B31D9B" w:rsidRPr="0044384F">
              <w:t xml:space="preserve">, </w:t>
            </w:r>
            <w:hyperlink r:id="rId8" w:history="1">
              <w:r w:rsidR="00B31D9B" w:rsidRPr="0044384F">
                <w:t>Lauksaimniecības organizāciju sadarbības padome</w:t>
              </w:r>
            </w:hyperlink>
          </w:p>
        </w:tc>
      </w:tr>
      <w:tr w:rsidR="0044384F" w:rsidRPr="0044384F" w14:paraId="19FED45C" w14:textId="77777777" w:rsidTr="00AC7092">
        <w:trPr>
          <w:trHeight w:val="285"/>
        </w:trPr>
        <w:tc>
          <w:tcPr>
            <w:tcW w:w="5190" w:type="dxa"/>
            <w:tcBorders>
              <w:top w:val="nil"/>
              <w:left w:val="nil"/>
              <w:bottom w:val="nil"/>
              <w:right w:val="nil"/>
            </w:tcBorders>
          </w:tcPr>
          <w:p w14:paraId="449613F3" w14:textId="1A8C9C08" w:rsidR="00AC7092" w:rsidRPr="0044384F" w:rsidRDefault="00AC7092" w:rsidP="000D2876">
            <w:pPr>
              <w:pStyle w:val="naiskr"/>
              <w:spacing w:before="0" w:after="0"/>
            </w:pPr>
            <w:r w:rsidRPr="0044384F">
              <w:t>Saskaņošanas dalībnieki izskatīja šādu ministriju (citu institūciju) iebildumus</w:t>
            </w:r>
          </w:p>
        </w:tc>
        <w:tc>
          <w:tcPr>
            <w:tcW w:w="622" w:type="dxa"/>
            <w:tcBorders>
              <w:left w:val="nil"/>
              <w:right w:val="nil"/>
            </w:tcBorders>
          </w:tcPr>
          <w:p w14:paraId="7FFF3617" w14:textId="77777777" w:rsidR="00AC7092" w:rsidRPr="0044384F" w:rsidRDefault="00AC7092" w:rsidP="000D2876">
            <w:pPr>
              <w:pStyle w:val="naiskr"/>
              <w:spacing w:before="0" w:after="0"/>
              <w:ind w:firstLine="12"/>
              <w:jc w:val="both"/>
            </w:pPr>
          </w:p>
        </w:tc>
        <w:tc>
          <w:tcPr>
            <w:tcW w:w="8191" w:type="dxa"/>
            <w:tcBorders>
              <w:left w:val="nil"/>
              <w:right w:val="nil"/>
            </w:tcBorders>
          </w:tcPr>
          <w:p w14:paraId="21497449" w14:textId="02F7FC81" w:rsidR="00AC7092" w:rsidRPr="0044384F" w:rsidRDefault="00336EFE" w:rsidP="000D2876">
            <w:pPr>
              <w:pStyle w:val="naiskr"/>
              <w:spacing w:before="0" w:after="0"/>
              <w:ind w:firstLine="12"/>
              <w:jc w:val="both"/>
            </w:pPr>
            <w:r w:rsidRPr="0044384F">
              <w:t>Latvijas Tirdzniecības un rūpniecības kamera, Tieslietu ministrija, Finanšu ministrija</w:t>
            </w:r>
            <w:r w:rsidR="00671BDD" w:rsidRPr="0044384F">
              <w:t xml:space="preserve">, </w:t>
            </w:r>
            <w:r w:rsidR="00601B3B" w:rsidRPr="0044384F">
              <w:t xml:space="preserve">Vides aizsardzības un reģionālās attīstības ministrija, </w:t>
            </w:r>
            <w:r w:rsidR="00671BDD" w:rsidRPr="0044384F">
              <w:t>Latvijas Darba devēju konfederācija</w:t>
            </w:r>
          </w:p>
        </w:tc>
      </w:tr>
      <w:tr w:rsidR="00682E8C" w:rsidRPr="0044384F" w14:paraId="5C8CD070" w14:textId="77777777" w:rsidTr="00AC7092">
        <w:tc>
          <w:tcPr>
            <w:tcW w:w="5190" w:type="dxa"/>
            <w:tcBorders>
              <w:top w:val="nil"/>
              <w:left w:val="nil"/>
              <w:bottom w:val="nil"/>
              <w:right w:val="nil"/>
            </w:tcBorders>
          </w:tcPr>
          <w:p w14:paraId="280E99A3" w14:textId="77777777" w:rsidR="00AC7092" w:rsidRPr="0044384F" w:rsidRDefault="00AC7092" w:rsidP="000D2876">
            <w:pPr>
              <w:pStyle w:val="naiskr"/>
              <w:spacing w:before="0" w:after="0"/>
            </w:pPr>
            <w:r w:rsidRPr="0044384F">
              <w:t>Ministrijas (citas institūcijas), kuras nav ieradušās uz sanāksmi vai kuras nav atbildējušas uz uzaicinājumu piedalīties elektroniskajā saskaņošanā</w:t>
            </w:r>
          </w:p>
        </w:tc>
        <w:tc>
          <w:tcPr>
            <w:tcW w:w="622" w:type="dxa"/>
            <w:tcBorders>
              <w:left w:val="nil"/>
              <w:right w:val="nil"/>
            </w:tcBorders>
          </w:tcPr>
          <w:p w14:paraId="12E5AB1E" w14:textId="77777777" w:rsidR="00AC7092" w:rsidRPr="0044384F" w:rsidRDefault="00AC7092" w:rsidP="000D2876">
            <w:pPr>
              <w:pStyle w:val="naiskr"/>
              <w:spacing w:before="0" w:after="0"/>
              <w:jc w:val="both"/>
            </w:pPr>
          </w:p>
        </w:tc>
        <w:tc>
          <w:tcPr>
            <w:tcW w:w="8191" w:type="dxa"/>
            <w:tcBorders>
              <w:left w:val="nil"/>
              <w:right w:val="nil"/>
            </w:tcBorders>
          </w:tcPr>
          <w:p w14:paraId="5328BAA3" w14:textId="2744D56E" w:rsidR="00AC7092" w:rsidRPr="0044384F" w:rsidRDefault="005A5817" w:rsidP="000D2876">
            <w:pPr>
              <w:pStyle w:val="naiskr"/>
              <w:spacing w:before="0" w:after="0"/>
              <w:jc w:val="both"/>
            </w:pPr>
            <w:r w:rsidRPr="0044384F">
              <w:t>-</w:t>
            </w:r>
          </w:p>
        </w:tc>
      </w:tr>
    </w:tbl>
    <w:p w14:paraId="756E9F65" w14:textId="77777777" w:rsidR="00683081" w:rsidRPr="0044384F" w:rsidRDefault="00683081" w:rsidP="000D2876">
      <w:pPr>
        <w:pStyle w:val="naisf"/>
        <w:spacing w:before="0" w:after="0"/>
        <w:ind w:firstLine="720"/>
      </w:pPr>
    </w:p>
    <w:p w14:paraId="2FE5DB7B" w14:textId="77777777" w:rsidR="007B4C0F" w:rsidRPr="0044384F" w:rsidRDefault="007B4C0F" w:rsidP="000D2876">
      <w:pPr>
        <w:pStyle w:val="naisf"/>
        <w:spacing w:before="0" w:after="0"/>
        <w:ind w:firstLine="0"/>
        <w:jc w:val="center"/>
        <w:rPr>
          <w:b/>
        </w:rPr>
      </w:pPr>
      <w:r w:rsidRPr="0044384F">
        <w:rPr>
          <w:b/>
        </w:rPr>
        <w:t>II. </w:t>
      </w:r>
      <w:r w:rsidR="00134188" w:rsidRPr="0044384F">
        <w:rPr>
          <w:b/>
        </w:rPr>
        <w:t>Jautājumi, par kuriem saskaņošanā vienošan</w:t>
      </w:r>
      <w:r w:rsidR="00144622" w:rsidRPr="0044384F">
        <w:rPr>
          <w:b/>
        </w:rPr>
        <w:t>ā</w:t>
      </w:r>
      <w:r w:rsidR="00134188" w:rsidRPr="0044384F">
        <w:rPr>
          <w:b/>
        </w:rPr>
        <w:t>s ir panākta</w:t>
      </w:r>
    </w:p>
    <w:p w14:paraId="2021C5D8" w14:textId="77777777" w:rsidR="007B4C0F" w:rsidRPr="0044384F" w:rsidRDefault="007B4C0F" w:rsidP="000D2876">
      <w:pPr>
        <w:pStyle w:val="naisf"/>
        <w:spacing w:before="0" w:after="0"/>
        <w:ind w:firstLine="720"/>
      </w:pPr>
    </w:p>
    <w:tbl>
      <w:tblPr>
        <w:tblW w:w="1417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
        <w:gridCol w:w="684"/>
        <w:gridCol w:w="2898"/>
        <w:gridCol w:w="4337"/>
        <w:gridCol w:w="330"/>
        <w:gridCol w:w="2927"/>
        <w:gridCol w:w="2992"/>
      </w:tblGrid>
      <w:tr w:rsidR="0044384F" w:rsidRPr="0044384F" w14:paraId="17BACFE2" w14:textId="77777777" w:rsidTr="00CF0C27">
        <w:trPr>
          <w:gridBefore w:val="1"/>
          <w:wBefore w:w="7" w:type="dxa"/>
        </w:trPr>
        <w:tc>
          <w:tcPr>
            <w:tcW w:w="684"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44384F" w:rsidRDefault="00134188" w:rsidP="000D2876">
            <w:pPr>
              <w:pStyle w:val="naisc"/>
              <w:spacing w:before="0" w:after="0"/>
            </w:pPr>
            <w:r w:rsidRPr="0044384F">
              <w:t>Nr. p.k.</w:t>
            </w:r>
          </w:p>
        </w:tc>
        <w:tc>
          <w:tcPr>
            <w:tcW w:w="2898"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44384F" w:rsidRDefault="00134188" w:rsidP="000D2876">
            <w:pPr>
              <w:pStyle w:val="naisc"/>
              <w:spacing w:before="0" w:after="0"/>
              <w:ind w:firstLine="12"/>
            </w:pPr>
            <w:r w:rsidRPr="0044384F">
              <w:t>Saskaņošanai nosūtītā projekta redakcija (konkrēta punkta (panta) redakcija)</w:t>
            </w:r>
          </w:p>
        </w:tc>
        <w:tc>
          <w:tcPr>
            <w:tcW w:w="4337"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44384F" w:rsidRDefault="00134188" w:rsidP="000D2876">
            <w:pPr>
              <w:pStyle w:val="naisc"/>
              <w:spacing w:before="0" w:after="0"/>
              <w:ind w:right="3"/>
            </w:pPr>
            <w:r w:rsidRPr="0044384F">
              <w:t>Atzinumā norādītais ministrijas (citas institūcijas) iebildums, kā arī saskaņošanā papildus izteiktais iebildums par projekta konkrēto punktu (pantu)</w:t>
            </w:r>
          </w:p>
        </w:tc>
        <w:tc>
          <w:tcPr>
            <w:tcW w:w="3257"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44384F" w:rsidRDefault="00134188" w:rsidP="000D2876">
            <w:pPr>
              <w:pStyle w:val="naisc"/>
              <w:spacing w:before="0" w:after="0"/>
              <w:ind w:firstLine="21"/>
            </w:pPr>
            <w:r w:rsidRPr="0044384F">
              <w:t>Atbildīgās ministrijas norāde</w:t>
            </w:r>
            <w:r w:rsidR="006C1C48" w:rsidRPr="0044384F">
              <w:t xml:space="preserve"> par to, ka </w:t>
            </w:r>
            <w:r w:rsidRPr="0044384F">
              <w:t>iebildums ir ņemts vērā</w:t>
            </w:r>
            <w:r w:rsidR="006455E7" w:rsidRPr="0044384F">
              <w:t>,</w:t>
            </w:r>
            <w:r w:rsidRPr="0044384F">
              <w:t xml:space="preserve"> vai </w:t>
            </w:r>
            <w:r w:rsidR="006C1C48" w:rsidRPr="0044384F">
              <w:t xml:space="preserve">informācija par saskaņošanā </w:t>
            </w:r>
            <w:r w:rsidR="00022B0F" w:rsidRPr="0044384F">
              <w:t>panākto alternatīvo risinājumu</w:t>
            </w:r>
          </w:p>
        </w:tc>
        <w:tc>
          <w:tcPr>
            <w:tcW w:w="2992" w:type="dxa"/>
            <w:tcBorders>
              <w:top w:val="single" w:sz="4" w:space="0" w:color="auto"/>
              <w:left w:val="single" w:sz="4" w:space="0" w:color="auto"/>
              <w:bottom w:val="single" w:sz="4" w:space="0" w:color="auto"/>
            </w:tcBorders>
            <w:vAlign w:val="center"/>
          </w:tcPr>
          <w:p w14:paraId="3BC53624" w14:textId="77777777" w:rsidR="00134188" w:rsidRPr="0044384F" w:rsidRDefault="00134188" w:rsidP="000D2876">
            <w:pPr>
              <w:jc w:val="center"/>
            </w:pPr>
            <w:r w:rsidRPr="0044384F">
              <w:t>Projekta attiecīgā punkta (panta) galīgā redakcija</w:t>
            </w:r>
          </w:p>
        </w:tc>
      </w:tr>
      <w:tr w:rsidR="0044384F" w:rsidRPr="0044384F" w14:paraId="35DA4086" w14:textId="77777777" w:rsidTr="00CF0C27">
        <w:trPr>
          <w:gridBefore w:val="1"/>
          <w:wBefore w:w="7" w:type="dxa"/>
        </w:trPr>
        <w:tc>
          <w:tcPr>
            <w:tcW w:w="684" w:type="dxa"/>
            <w:tcBorders>
              <w:top w:val="single" w:sz="6" w:space="0" w:color="000000"/>
              <w:left w:val="single" w:sz="6" w:space="0" w:color="000000"/>
              <w:bottom w:val="single" w:sz="6" w:space="0" w:color="000000"/>
              <w:right w:val="single" w:sz="6" w:space="0" w:color="000000"/>
            </w:tcBorders>
          </w:tcPr>
          <w:p w14:paraId="74C5CB8B" w14:textId="77777777" w:rsidR="00134188" w:rsidRPr="0044384F" w:rsidRDefault="003B71E0" w:rsidP="000D2876">
            <w:pPr>
              <w:pStyle w:val="naisc"/>
              <w:spacing w:before="0" w:after="0"/>
            </w:pPr>
            <w:r w:rsidRPr="0044384F">
              <w:t>1</w:t>
            </w:r>
          </w:p>
        </w:tc>
        <w:tc>
          <w:tcPr>
            <w:tcW w:w="2898" w:type="dxa"/>
            <w:tcBorders>
              <w:top w:val="single" w:sz="6" w:space="0" w:color="000000"/>
              <w:left w:val="single" w:sz="6" w:space="0" w:color="000000"/>
              <w:bottom w:val="single" w:sz="6" w:space="0" w:color="000000"/>
              <w:right w:val="single" w:sz="6" w:space="0" w:color="000000"/>
            </w:tcBorders>
          </w:tcPr>
          <w:p w14:paraId="631E8769" w14:textId="77777777" w:rsidR="00134188" w:rsidRPr="0044384F" w:rsidRDefault="00F34AAB" w:rsidP="000D2876">
            <w:pPr>
              <w:pStyle w:val="naisc"/>
              <w:spacing w:before="0" w:after="0"/>
              <w:ind w:firstLine="720"/>
            </w:pPr>
            <w:r w:rsidRPr="0044384F">
              <w:t>2</w:t>
            </w:r>
          </w:p>
        </w:tc>
        <w:tc>
          <w:tcPr>
            <w:tcW w:w="4337" w:type="dxa"/>
            <w:tcBorders>
              <w:top w:val="single" w:sz="6" w:space="0" w:color="000000"/>
              <w:left w:val="single" w:sz="6" w:space="0" w:color="000000"/>
              <w:bottom w:val="single" w:sz="6" w:space="0" w:color="000000"/>
              <w:right w:val="single" w:sz="6" w:space="0" w:color="000000"/>
            </w:tcBorders>
          </w:tcPr>
          <w:p w14:paraId="253DA0FC" w14:textId="77777777" w:rsidR="00134188" w:rsidRPr="0044384F" w:rsidRDefault="003B71E0" w:rsidP="000D2876">
            <w:pPr>
              <w:pStyle w:val="naisc"/>
              <w:spacing w:before="0" w:after="0"/>
              <w:ind w:firstLine="720"/>
            </w:pPr>
            <w:r w:rsidRPr="0044384F">
              <w:t>3</w:t>
            </w:r>
          </w:p>
        </w:tc>
        <w:tc>
          <w:tcPr>
            <w:tcW w:w="3257"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44384F" w:rsidRDefault="003B71E0" w:rsidP="000D2876">
            <w:pPr>
              <w:pStyle w:val="naisc"/>
              <w:spacing w:before="0" w:after="0"/>
              <w:ind w:firstLine="720"/>
            </w:pPr>
            <w:r w:rsidRPr="0044384F">
              <w:t>4</w:t>
            </w:r>
          </w:p>
        </w:tc>
        <w:tc>
          <w:tcPr>
            <w:tcW w:w="2992" w:type="dxa"/>
            <w:tcBorders>
              <w:top w:val="single" w:sz="4" w:space="0" w:color="auto"/>
              <w:left w:val="single" w:sz="4" w:space="0" w:color="auto"/>
              <w:bottom w:val="single" w:sz="4" w:space="0" w:color="auto"/>
            </w:tcBorders>
          </w:tcPr>
          <w:p w14:paraId="1B15FEBC" w14:textId="77777777" w:rsidR="00134188" w:rsidRPr="0044384F" w:rsidRDefault="003B71E0" w:rsidP="000D2876">
            <w:pPr>
              <w:jc w:val="center"/>
            </w:pPr>
            <w:r w:rsidRPr="0044384F">
              <w:t>5</w:t>
            </w:r>
          </w:p>
        </w:tc>
      </w:tr>
      <w:tr w:rsidR="0044384F" w:rsidRPr="0044384F" w14:paraId="31449F62"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22697A71" w14:textId="77777777" w:rsidR="00706FFD" w:rsidRPr="0044384F" w:rsidRDefault="00706FFD"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0EEABA72" w14:textId="77777777" w:rsidR="00706FFD" w:rsidRPr="0044384F" w:rsidRDefault="00706FFD" w:rsidP="000D2876">
            <w:pPr>
              <w:pStyle w:val="naisc"/>
              <w:spacing w:before="0" w:after="0"/>
              <w:jc w:val="both"/>
              <w:rPr>
                <w:b/>
                <w:bCs/>
              </w:rPr>
            </w:pPr>
            <w:r w:rsidRPr="0044384F">
              <w:rPr>
                <w:b/>
                <w:bCs/>
              </w:rPr>
              <w:t>MK noteikumu Nr. 395 1.2. apakšpunkts:</w:t>
            </w:r>
          </w:p>
          <w:p w14:paraId="44692E72" w14:textId="77777777" w:rsidR="00706FFD" w:rsidRPr="0044384F" w:rsidRDefault="00706FFD" w:rsidP="000D2876">
            <w:pPr>
              <w:jc w:val="both"/>
            </w:pPr>
            <w:r w:rsidRPr="0044384F">
              <w:t>“1.2. Izteikt 5.3. apakšpunktu šādā redakcijā:</w:t>
            </w:r>
          </w:p>
          <w:p w14:paraId="438B0DDA" w14:textId="7D8600CE" w:rsidR="00706FFD" w:rsidRPr="0044384F" w:rsidRDefault="00706FFD" w:rsidP="000D2876">
            <w:pPr>
              <w:pStyle w:val="naisc"/>
              <w:spacing w:before="0" w:after="0"/>
              <w:jc w:val="both"/>
              <w:rPr>
                <w:b/>
                <w:bCs/>
              </w:rPr>
            </w:pPr>
            <w:r w:rsidRPr="0044384F">
              <w:t xml:space="preserve">“5.3. komersants apliecina, ka ir ieviesis </w:t>
            </w:r>
            <w:proofErr w:type="spellStart"/>
            <w:r w:rsidRPr="0044384F">
              <w:t>energopārvaldības</w:t>
            </w:r>
            <w:proofErr w:type="spellEnd"/>
            <w:r w:rsidRPr="0044384F">
              <w:t xml:space="preserve"> sistēmu, kas atbilst standartam LVS EN ISO 50001:2012 “</w:t>
            </w:r>
            <w:proofErr w:type="spellStart"/>
            <w:r w:rsidRPr="0044384F">
              <w:t>Energopārvaldības</w:t>
            </w:r>
            <w:proofErr w:type="spellEnd"/>
            <w:r w:rsidRPr="0044384F">
              <w:t xml:space="preserve"> sistēmas. Prasības un lietošanas norādījumi (ISO 50001:2011)” vai Energoefektivitātes likuma 12. panta prasībām;”;”</w:t>
            </w:r>
          </w:p>
        </w:tc>
        <w:tc>
          <w:tcPr>
            <w:tcW w:w="4337" w:type="dxa"/>
            <w:tcBorders>
              <w:top w:val="single" w:sz="4" w:space="0" w:color="auto"/>
              <w:left w:val="single" w:sz="4" w:space="0" w:color="auto"/>
              <w:bottom w:val="single" w:sz="4" w:space="0" w:color="auto"/>
              <w:right w:val="single" w:sz="4" w:space="0" w:color="auto"/>
            </w:tcBorders>
          </w:tcPr>
          <w:p w14:paraId="489F4501" w14:textId="77777777" w:rsidR="00706FFD" w:rsidRPr="0044384F" w:rsidRDefault="00706FFD" w:rsidP="000D2876">
            <w:pPr>
              <w:pStyle w:val="naisc"/>
              <w:spacing w:before="0" w:after="0"/>
              <w:jc w:val="both"/>
              <w:rPr>
                <w:b/>
                <w:bCs/>
              </w:rPr>
            </w:pPr>
            <w:r w:rsidRPr="0044384F">
              <w:rPr>
                <w:b/>
                <w:bCs/>
              </w:rPr>
              <w:t>Tieslietu ministrijas 11.12.2020. iebildums:</w:t>
            </w:r>
          </w:p>
          <w:p w14:paraId="212704EB" w14:textId="003D6BCE" w:rsidR="00706FFD" w:rsidRPr="0044384F" w:rsidRDefault="00706FFD" w:rsidP="000D2876">
            <w:pPr>
              <w:jc w:val="both"/>
              <w:rPr>
                <w:sz w:val="22"/>
                <w:szCs w:val="22"/>
              </w:rPr>
            </w:pPr>
            <w:r w:rsidRPr="0044384F">
              <w:t xml:space="preserve">“1. </w:t>
            </w:r>
            <w:r w:rsidRPr="0044384F">
              <w:rPr>
                <w:shd w:val="clear" w:color="auto" w:fill="FFFFFF"/>
              </w:rPr>
              <w:t>Projekta 1.2. apakšpunktā paredzēts 5.3. apakšpunktu izteikt šādā redakcijā: "</w:t>
            </w:r>
            <w:r w:rsidRPr="0044384F">
              <w:t xml:space="preserve">komersants apliecina, ka ir ieviesis </w:t>
            </w:r>
            <w:proofErr w:type="spellStart"/>
            <w:r w:rsidRPr="0044384F">
              <w:t>energopārvaldības</w:t>
            </w:r>
            <w:proofErr w:type="spellEnd"/>
            <w:r w:rsidRPr="0044384F">
              <w:t xml:space="preserve"> sistēmu, kas atbilst standartam LVS EN ISO 50001:2012 “</w:t>
            </w:r>
            <w:proofErr w:type="spellStart"/>
            <w:r w:rsidRPr="0044384F">
              <w:t>Energopārvaldības</w:t>
            </w:r>
            <w:proofErr w:type="spellEnd"/>
            <w:r w:rsidRPr="0044384F">
              <w:t xml:space="preserve"> sistēmas. Prasības un lietošanas norādījumi (ISO 50001:2011)” vai </w:t>
            </w:r>
            <w:r w:rsidRPr="0044384F">
              <w:rPr>
                <w:u w:val="single"/>
              </w:rPr>
              <w:t>Energoefektivitātes likuma 12. panta prasībām</w:t>
            </w:r>
            <w:r w:rsidRPr="0044384F">
              <w:t xml:space="preserve">.” Lūdzam atkārtoti izvērtēt 5.3. apakšpunktā ietvertā pienākuma komersantam (energoietilpīgam apstrādes rūpniecības uzņēmumam spēkā esošo noteikumu un Elektroenerģijas tirgus likuma izpratnē) ievērot Energoefektivitātes likuma 12. panta prasības, ņemot vērā Energoefektivitātes likuma 2. pantā noteikto mērķi un 3. pantā noteikto likuma darbības jomu kopsakarā ar Elektroenerģijas tirgus likuma mērķi un darbības jomu. Lūdzam ņemt vērā, ka Energoefektivitātes likuma 12. panta prasības attiecinātas uz lielo elektroenerģijas patērētāju </w:t>
            </w:r>
            <w:r w:rsidRPr="0044384F">
              <w:lastRenderedPageBreak/>
              <w:t xml:space="preserve">Energoefektivitātes likuma 12.panta pirmās daļas izpratnē. Tāpat lūdzam ņemt vērā, ka minētais 12. pants satur vairākas daļas, kurās ir paredzēti dažāda veida pienākumi, savukārt minētais projekta 5.3. apakšpunkts ir attiecināts uz </w:t>
            </w:r>
            <w:proofErr w:type="spellStart"/>
            <w:r w:rsidRPr="0044384F">
              <w:t>energopārvaldības</w:t>
            </w:r>
            <w:proofErr w:type="spellEnd"/>
            <w:r w:rsidRPr="0044384F">
              <w:t xml:space="preserve"> sistēmas ieviešanu.”</w:t>
            </w:r>
          </w:p>
        </w:tc>
        <w:tc>
          <w:tcPr>
            <w:tcW w:w="3257" w:type="dxa"/>
            <w:gridSpan w:val="2"/>
            <w:tcBorders>
              <w:top w:val="single" w:sz="4" w:space="0" w:color="auto"/>
              <w:left w:val="single" w:sz="4" w:space="0" w:color="auto"/>
              <w:bottom w:val="single" w:sz="4" w:space="0" w:color="auto"/>
              <w:right w:val="single" w:sz="4" w:space="0" w:color="auto"/>
            </w:tcBorders>
          </w:tcPr>
          <w:p w14:paraId="50865487" w14:textId="77777777" w:rsidR="00706FFD" w:rsidRPr="0044384F" w:rsidRDefault="00706FFD" w:rsidP="000D2876">
            <w:pPr>
              <w:pStyle w:val="naisc"/>
              <w:spacing w:before="0" w:after="0"/>
              <w:rPr>
                <w:b/>
                <w:bCs/>
              </w:rPr>
            </w:pPr>
            <w:r w:rsidRPr="0044384F">
              <w:rPr>
                <w:b/>
                <w:bCs/>
              </w:rPr>
              <w:lastRenderedPageBreak/>
              <w:t>Ņemts vērā</w:t>
            </w:r>
          </w:p>
          <w:p w14:paraId="69E49CA2" w14:textId="5CA78D58" w:rsidR="00706FFD" w:rsidRPr="0044384F" w:rsidRDefault="00706FFD" w:rsidP="000D2876">
            <w:pPr>
              <w:pStyle w:val="naisc"/>
              <w:spacing w:before="0" w:after="0"/>
            </w:pPr>
            <w:r w:rsidRPr="0044384F">
              <w:t xml:space="preserve">Noteikumu projekta 1.2. apakšpunkts ir </w:t>
            </w:r>
            <w:r w:rsidR="00A01E46" w:rsidRPr="0044384F">
              <w:t>papildināts</w:t>
            </w:r>
            <w:r w:rsidRPr="0044384F">
              <w:t xml:space="preserve">. Skaidrojam, ka </w:t>
            </w:r>
            <w:r w:rsidR="00AD5067" w:rsidRPr="0044384F">
              <w:t>atbilstoši Elektroenerģijas tirgus likuma 30.</w:t>
            </w:r>
            <w:r w:rsidR="00AD5067" w:rsidRPr="0044384F">
              <w:rPr>
                <w:vertAlign w:val="superscript"/>
              </w:rPr>
              <w:t>2</w:t>
            </w:r>
            <w:r w:rsidR="003B678A" w:rsidRPr="0044384F">
              <w:t xml:space="preserve"> </w:t>
            </w:r>
            <w:r w:rsidR="00AD5067" w:rsidRPr="0044384F">
              <w:t>panta otrajai daļai energoietilpīgo apstrādes rūpniecības uzņēmumu kvalifikācijas kritērijus un kārtību, kādā uzņēmumi var iegūt šā panta pirmajā daļā noteiktās tiesības vai atteikties no tām, nosaka Ministru kabinets. Jau esošajā MK noteikumu Nr. 395 redakcijā kā viens no kvalifikācijas kritērijiem atbalsta saņemšanai ir noteikta energoefektivitātes pasākumu īstenošana uzņēmumā</w:t>
            </w:r>
            <w:r w:rsidR="003B678A" w:rsidRPr="0044384F">
              <w:t xml:space="preserve"> atbilstoši standartam LVS EN ISO 50001:2012 “</w:t>
            </w:r>
            <w:proofErr w:type="spellStart"/>
            <w:r w:rsidR="003B678A" w:rsidRPr="0044384F">
              <w:t>Energopārvaldības</w:t>
            </w:r>
            <w:proofErr w:type="spellEnd"/>
            <w:r w:rsidR="003B678A" w:rsidRPr="0044384F">
              <w:t xml:space="preserve"> sistēmas. Prasības un lietošanas norādījumi (ISO 50001:2011)”</w:t>
            </w:r>
            <w:r w:rsidR="00AD5067" w:rsidRPr="0044384F">
              <w:t xml:space="preserve">. Tomēr pēc būtības šādas </w:t>
            </w:r>
            <w:r w:rsidR="00AD5067" w:rsidRPr="0044384F">
              <w:lastRenderedPageBreak/>
              <w:t xml:space="preserve">prasības lielie elektroenerģijas patērētāji īsteno, izpildot arī Energoefektivitātes likuma 12. panta otrās </w:t>
            </w:r>
            <w:r w:rsidR="00C30DBB">
              <w:t xml:space="preserve">un piektās </w:t>
            </w:r>
            <w:r w:rsidR="00AD5067" w:rsidRPr="0044384F">
              <w:t xml:space="preserve">daļas nosacījumus, tāpēc tiek piedāvāts, ka komersants var izpildīt attiecīgo kritēriju, arī iesniedzot apliecinājumu atbilstībai Energoefektivitātes likuma 12. panta otrajai </w:t>
            </w:r>
            <w:r w:rsidR="00C30DBB">
              <w:t xml:space="preserve">un piektajai </w:t>
            </w:r>
            <w:r w:rsidR="00AD5067" w:rsidRPr="0044384F">
              <w:t xml:space="preserve">daļai. </w:t>
            </w:r>
            <w:r w:rsidR="00F7691D" w:rsidRPr="0044384F">
              <w:t xml:space="preserve">Papildus skaidrojam, ka atbilstoši MK noteikumu Nr. 395 5.2. apakšpunktam, kvalificēties atbalstam šo noteikumu ietvaros var komersants, kura kopējais elektroenerģijas patēriņš komersanta vajadzībām vienā </w:t>
            </w:r>
            <w:proofErr w:type="spellStart"/>
            <w:r w:rsidR="00F7691D" w:rsidRPr="0044384F">
              <w:t>pieslēguma</w:t>
            </w:r>
            <w:proofErr w:type="spellEnd"/>
            <w:r w:rsidR="00F7691D" w:rsidRPr="0044384F">
              <w:t xml:space="preserve"> vietā iepriekšējā kalendāra gadā bija lielāks par</w:t>
            </w:r>
            <w:r w:rsidR="003B678A" w:rsidRPr="0044384F">
              <w:t xml:space="preserve"> </w:t>
            </w:r>
            <w:r w:rsidR="00F7691D" w:rsidRPr="0044384F">
              <w:t>0,5 gigavatstundām (</w:t>
            </w:r>
            <w:proofErr w:type="spellStart"/>
            <w:r w:rsidR="00F7691D" w:rsidRPr="0044384F">
              <w:t>GWh</w:t>
            </w:r>
            <w:proofErr w:type="spellEnd"/>
            <w:r w:rsidR="00F7691D" w:rsidRPr="0044384F">
              <w:t>) (attiecas uz lielajiem elektroenerģijas patērētājiem).</w:t>
            </w:r>
          </w:p>
        </w:tc>
        <w:tc>
          <w:tcPr>
            <w:tcW w:w="2992" w:type="dxa"/>
            <w:tcBorders>
              <w:top w:val="single" w:sz="4" w:space="0" w:color="auto"/>
              <w:left w:val="single" w:sz="4" w:space="0" w:color="auto"/>
              <w:bottom w:val="single" w:sz="4" w:space="0" w:color="auto"/>
            </w:tcBorders>
          </w:tcPr>
          <w:p w14:paraId="6F78182A" w14:textId="77777777" w:rsidR="00706FFD" w:rsidRPr="0044384F" w:rsidRDefault="00706FFD" w:rsidP="000D2876">
            <w:pPr>
              <w:pStyle w:val="naisc"/>
              <w:spacing w:before="0" w:after="0"/>
              <w:jc w:val="both"/>
              <w:rPr>
                <w:b/>
                <w:bCs/>
              </w:rPr>
            </w:pPr>
            <w:r w:rsidRPr="0044384F">
              <w:rPr>
                <w:b/>
                <w:bCs/>
              </w:rPr>
              <w:lastRenderedPageBreak/>
              <w:t>MK noteikumu Nr. 395 1.2. apakšpunkts:</w:t>
            </w:r>
          </w:p>
          <w:p w14:paraId="6D43F12D" w14:textId="77777777" w:rsidR="00706FFD" w:rsidRPr="0044384F" w:rsidRDefault="00706FFD" w:rsidP="000D2876">
            <w:pPr>
              <w:jc w:val="both"/>
            </w:pPr>
            <w:r w:rsidRPr="0044384F">
              <w:t>“1.2. Izteikt 5.3. apakšpunktu šādā redakcijā:</w:t>
            </w:r>
          </w:p>
          <w:p w14:paraId="4A9E2D82" w14:textId="743D1CD0" w:rsidR="00706FFD" w:rsidRPr="0044384F" w:rsidRDefault="00706FFD" w:rsidP="000D2876">
            <w:pPr>
              <w:pStyle w:val="Default"/>
              <w:jc w:val="both"/>
              <w:rPr>
                <w:iCs/>
                <w:color w:val="auto"/>
              </w:rPr>
            </w:pPr>
            <w:r w:rsidRPr="0044384F">
              <w:rPr>
                <w:color w:val="auto"/>
              </w:rPr>
              <w:t xml:space="preserve">“5.3. komersants apliecina, ka ir ieviesis </w:t>
            </w:r>
            <w:proofErr w:type="spellStart"/>
            <w:r w:rsidRPr="0044384F">
              <w:rPr>
                <w:color w:val="auto"/>
              </w:rPr>
              <w:t>energopārvaldības</w:t>
            </w:r>
            <w:proofErr w:type="spellEnd"/>
            <w:r w:rsidRPr="0044384F">
              <w:rPr>
                <w:color w:val="auto"/>
              </w:rPr>
              <w:t xml:space="preserve"> sistēmu, kas atbilst standartam LVS EN ISO 50001:2012 “</w:t>
            </w:r>
            <w:proofErr w:type="spellStart"/>
            <w:r w:rsidRPr="0044384F">
              <w:rPr>
                <w:color w:val="auto"/>
              </w:rPr>
              <w:t>Energopārvaldības</w:t>
            </w:r>
            <w:proofErr w:type="spellEnd"/>
            <w:r w:rsidRPr="0044384F">
              <w:rPr>
                <w:color w:val="auto"/>
              </w:rPr>
              <w:t xml:space="preserve"> sistēmas. Prasības un lietošanas norādījumi (ISO 50001:2011)” vai Energoefektivitātes likuma 12. panta </w:t>
            </w:r>
            <w:r w:rsidR="00F93F6C" w:rsidRPr="0044384F">
              <w:rPr>
                <w:color w:val="auto"/>
              </w:rPr>
              <w:t xml:space="preserve">otrās un piektās daļas </w:t>
            </w:r>
            <w:r w:rsidRPr="0044384F">
              <w:rPr>
                <w:color w:val="auto"/>
              </w:rPr>
              <w:t>prasībām;”;”</w:t>
            </w:r>
          </w:p>
        </w:tc>
      </w:tr>
      <w:tr w:rsidR="0044384F" w:rsidRPr="0044384F" w14:paraId="504690D2"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1CEB442A" w14:textId="77777777" w:rsidR="00EF4A40" w:rsidRPr="0044384F" w:rsidRDefault="00EF4A40"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08A2C7B8" w14:textId="77777777" w:rsidR="00EF4A40" w:rsidRPr="0044384F" w:rsidRDefault="00EF4A40" w:rsidP="000D2876">
            <w:pPr>
              <w:pStyle w:val="naisc"/>
              <w:spacing w:before="0" w:after="0"/>
              <w:jc w:val="both"/>
              <w:rPr>
                <w:b/>
                <w:bCs/>
              </w:rPr>
            </w:pPr>
            <w:r w:rsidRPr="0044384F">
              <w:rPr>
                <w:b/>
                <w:bCs/>
              </w:rPr>
              <w:t>MK noteikumu Nr. 395 1.2. apakšpunkts:</w:t>
            </w:r>
          </w:p>
          <w:p w14:paraId="67D483C1" w14:textId="77777777" w:rsidR="00EF4A40" w:rsidRPr="0044384F" w:rsidRDefault="00EF4A40" w:rsidP="000D2876">
            <w:pPr>
              <w:jc w:val="both"/>
            </w:pPr>
            <w:r w:rsidRPr="0044384F">
              <w:t>“1.2. Papildināt noteikumus ar 5.5.apakšpunktu šādā redakcijā:</w:t>
            </w:r>
          </w:p>
          <w:p w14:paraId="5ECF7FDE" w14:textId="77777777" w:rsidR="00EF4A40" w:rsidRPr="0044384F" w:rsidRDefault="00EF4A40" w:rsidP="000D2876">
            <w:pPr>
              <w:pStyle w:val="naisc"/>
              <w:spacing w:before="0" w:after="0"/>
              <w:jc w:val="both"/>
              <w:rPr>
                <w:b/>
                <w:bCs/>
              </w:rPr>
            </w:pPr>
            <w:r w:rsidRPr="0044384F">
              <w:t xml:space="preserve">“5.5. komersanta darbinieku vidējais skaits saimnieciskās darbības nozarē, kas atbilst šo </w:t>
            </w:r>
            <w:r w:rsidRPr="0044384F">
              <w:lastRenderedPageBreak/>
              <w:t>noteikumu 1. pielikumā minētajām nozarēm, iepriekšējos trijos kalendāros gados ir vismaz 200.”;”</w:t>
            </w:r>
          </w:p>
        </w:tc>
        <w:tc>
          <w:tcPr>
            <w:tcW w:w="4337" w:type="dxa"/>
            <w:tcBorders>
              <w:top w:val="single" w:sz="4" w:space="0" w:color="auto"/>
              <w:left w:val="single" w:sz="4" w:space="0" w:color="auto"/>
              <w:bottom w:val="single" w:sz="4" w:space="0" w:color="auto"/>
              <w:right w:val="single" w:sz="4" w:space="0" w:color="auto"/>
            </w:tcBorders>
          </w:tcPr>
          <w:p w14:paraId="5969520C" w14:textId="61401FA1" w:rsidR="00EF4A40" w:rsidRPr="0044384F" w:rsidRDefault="00682E8C"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lastRenderedPageBreak/>
              <w:t>Tieslietu ministrijas</w:t>
            </w:r>
            <w:r w:rsidR="00EF4A40"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 xml:space="preserve"> </w:t>
            </w: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25</w:t>
            </w:r>
            <w:r w:rsidR="00EF4A40"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.11.2020. iebildums:</w:t>
            </w:r>
          </w:p>
          <w:p w14:paraId="49996A3D" w14:textId="0FBA6BFB" w:rsidR="00682E8C" w:rsidRPr="0044384F" w:rsidRDefault="00682E8C" w:rsidP="000D2876">
            <w:pPr>
              <w:pStyle w:val="NormalWeb"/>
              <w:tabs>
                <w:tab w:val="left" w:pos="993"/>
              </w:tabs>
              <w:spacing w:before="0" w:beforeAutospacing="0" w:after="0" w:afterAutospacing="0"/>
              <w:ind w:right="11"/>
              <w:jc w:val="both"/>
              <w:rPr>
                <w:bCs/>
                <w:iCs/>
              </w:rPr>
            </w:pPr>
            <w:r w:rsidRPr="0044384F">
              <w:t xml:space="preserve">“1. </w:t>
            </w:r>
            <w:r w:rsidRPr="0044384F">
              <w:rPr>
                <w:bCs/>
                <w:iCs/>
              </w:rPr>
              <w:t xml:space="preserve">Lūdzam projekta anotācijas I sadaļas 2. punktā izvērsti pamatot nepieciešamību projekta 1.2. apakšpunktā izteiktajā 5.5. apakšpunktā ietvert nosacījumu, ka komersanta darbinieku vidējais skaits nozarē ir </w:t>
            </w:r>
            <w:r w:rsidRPr="0044384F">
              <w:rPr>
                <w:bCs/>
                <w:iCs/>
                <w:u w:val="single"/>
              </w:rPr>
              <w:t>vismaz 200</w:t>
            </w:r>
            <w:r w:rsidRPr="0044384F">
              <w:rPr>
                <w:bCs/>
                <w:iCs/>
              </w:rPr>
              <w:t>.</w:t>
            </w:r>
          </w:p>
          <w:p w14:paraId="3023240D" w14:textId="41CFED68" w:rsidR="00EF4A40" w:rsidRPr="0044384F" w:rsidRDefault="00682E8C" w:rsidP="000D2876">
            <w:pPr>
              <w:pStyle w:val="NormalWeb"/>
              <w:tabs>
                <w:tab w:val="left" w:pos="993"/>
              </w:tabs>
              <w:spacing w:before="0" w:beforeAutospacing="0" w:after="0" w:afterAutospacing="0"/>
              <w:ind w:right="11" w:firstLine="709"/>
              <w:jc w:val="both"/>
            </w:pPr>
            <w:r w:rsidRPr="0044384F">
              <w:rPr>
                <w:bCs/>
                <w:iCs/>
              </w:rPr>
              <w:lastRenderedPageBreak/>
              <w:t xml:space="preserve">Vienlaikus lūdzam izvērtēt nepieciešamību precizēt projekta 1.2. apakšpunktā izteiktā 5.5. apakšpunkta redakciju, svītrojot norādi “saimnieciskās darbības nozarē, kas atbilst šo noteikumu 1. pielikumā minētajām nozarēm”. Minētā norāde ir šķietami lieka un dublē spēkā esošo noteikumu 5. punkta ievaddaļā noteikto: “Komersanti, </w:t>
            </w:r>
            <w:r w:rsidRPr="0044384F">
              <w:rPr>
                <w:bCs/>
                <w:iCs/>
                <w:u w:val="single"/>
              </w:rPr>
              <w:t>kas veic saimniecisko darbību kādā no šo noteikumu 1. pielikumā minētajām nozarēm</w:t>
            </w:r>
            <w:r w:rsidRPr="0044384F">
              <w:rPr>
                <w:bCs/>
                <w:iCs/>
              </w:rPr>
              <w:t>, var iegūt tiesības uz obligātā iepirkuma komponentes samazinājumu vienam kalendāra gadam, ja tie vienlaikus atbilst šādiem kritērijiem: [..].”</w:t>
            </w:r>
            <w:r w:rsidR="00EF4A40" w:rsidRPr="0044384F">
              <w:t>”</w:t>
            </w:r>
          </w:p>
          <w:p w14:paraId="610A44E9"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18024E9D"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17730174"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7F01C8FE"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54199B0C"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30DC6AF8"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16866ED8"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2C8AD892"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3D06DFE6"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5F043C3E"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3B53637E"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29766B51"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771400FF"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56608BCE"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44F59752"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4DB5CD6D"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7932FD92"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350D9D71"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35FCA403"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2CCC3B7D"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0DDA47E0" w14:textId="77777777" w:rsidR="003D37A2" w:rsidRPr="0044384F" w:rsidRDefault="003D37A2" w:rsidP="000D2876">
            <w:pPr>
              <w:pStyle w:val="Body0"/>
              <w:spacing w:line="240" w:lineRule="auto"/>
              <w:jc w:val="both"/>
              <w:rPr>
                <w:rFonts w:ascii="Times New Roman" w:hAnsi="Times New Roman" w:cs="Times New Roman"/>
                <w:b/>
                <w:bCs/>
                <w:color w:val="auto"/>
                <w:sz w:val="24"/>
                <w:szCs w:val="24"/>
              </w:rPr>
            </w:pPr>
          </w:p>
          <w:p w14:paraId="4F2ADF96" w14:textId="115BE7DA" w:rsidR="00EF4A40" w:rsidRPr="0044384F" w:rsidRDefault="00EF4A40"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hAnsi="Times New Roman" w:cs="Times New Roman"/>
                <w:b/>
                <w:bCs/>
                <w:color w:val="auto"/>
                <w:sz w:val="24"/>
                <w:szCs w:val="24"/>
              </w:rPr>
              <w:t>Vides aizsardzības un reģionālās attīstības ministrijas</w:t>
            </w: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 xml:space="preserve"> 25.11.2020. iebildums:</w:t>
            </w:r>
          </w:p>
          <w:p w14:paraId="544974AD" w14:textId="77777777" w:rsidR="00EF4A40" w:rsidRPr="0044384F" w:rsidRDefault="00EF4A40" w:rsidP="000D2876">
            <w:pPr>
              <w:contextualSpacing/>
              <w:jc w:val="both"/>
            </w:pPr>
            <w:r w:rsidRPr="0044384F">
              <w:t xml:space="preserve">“Noteikumu projekta 1.2.apakšpunkts paredz papildināt Ministru kabineta 2015.gada 14.jūlija noteikumus Nr.395 “Kārtība, kādā energoietilpīgi apstrādes rūpniecības uzņēmumi iegūst tiesības uz samazinātu līdzdalību obligātā iepirkuma komponentes maksājumam” (turpmāk – MK noteikumi Nr.395) ar 5.5. apakšpunktu, kas ietver </w:t>
            </w:r>
            <w:proofErr w:type="spellStart"/>
            <w:r w:rsidRPr="0044384F">
              <w:t>iesības</w:t>
            </w:r>
            <w:proofErr w:type="spellEnd"/>
            <w:r w:rsidRPr="0044384F">
              <w:t xml:space="preserve"> uz obligātā iepirkuma komponentes samazinājumu vienam kalendārajam gadam, ja komersanta darbinieku vidējais skaits saimnieciskās darbības nozarē, kas atbilst noteikumu 1. pielikumā minētajām nozarēm, iepriekšējos trijos kalendāros gados ir vismaz 200.</w:t>
            </w:r>
          </w:p>
          <w:p w14:paraId="6DA43013" w14:textId="77777777" w:rsidR="00EF4A40" w:rsidRPr="0044384F" w:rsidRDefault="00EF4A40" w:rsidP="000D2876">
            <w:pPr>
              <w:pStyle w:val="naisc"/>
              <w:spacing w:before="0" w:after="0"/>
              <w:jc w:val="both"/>
            </w:pPr>
            <w:r w:rsidRPr="0044384F">
              <w:t>Ministrijas ieskatā  šāda kritērija noteikšana neatbilst MK noteikumu Nr.395 mērķim, kā arī nav sniegts pamatojums šāda kritērija ietveršanai MK noteikumos Nr.395.”</w:t>
            </w:r>
          </w:p>
          <w:p w14:paraId="679BDFF7" w14:textId="77777777" w:rsidR="00682E8C" w:rsidRPr="0044384F" w:rsidRDefault="00682E8C" w:rsidP="000D2876">
            <w:pPr>
              <w:pStyle w:val="naisc"/>
              <w:spacing w:before="0" w:after="0"/>
              <w:jc w:val="both"/>
            </w:pPr>
          </w:p>
          <w:p w14:paraId="321C1670"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5681AC24"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225A94D6"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68C183EC"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7FC52012"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7BF77410"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4BABE222"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0781AEEB"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0B9EE1C2"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79632632"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55F6FD0A"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2AE4F1C5"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4301C937"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7A169E6C"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36DDE0AE"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4293D648"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0A84FFE1" w14:textId="77777777"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1540861A" w14:textId="232BB7D8" w:rsidR="003D37A2" w:rsidRPr="0044384F" w:rsidRDefault="003D37A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5F38AA8A" w14:textId="77777777" w:rsidR="00A23E72" w:rsidRPr="0044384F" w:rsidRDefault="00A23E72"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p>
          <w:p w14:paraId="61EC07C1" w14:textId="67653E61" w:rsidR="00682E8C" w:rsidRPr="0044384F" w:rsidRDefault="00682E8C"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Latvijas Tirdzniecības un rūpniecības kameras 19.11.2020. iebildums:</w:t>
            </w:r>
          </w:p>
          <w:p w14:paraId="36F26F13" w14:textId="77777777" w:rsidR="00682E8C" w:rsidRPr="0044384F" w:rsidRDefault="00682E8C" w:rsidP="000D2876">
            <w:pPr>
              <w:pStyle w:val="Body0"/>
              <w:spacing w:line="240" w:lineRule="auto"/>
              <w:jc w:val="both"/>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t>“Latvijas lielākā uzņēmēju biedrība Latvijas Tirdzniecības un rūpniecības kamera (turpmāk – LTRK) ir iepazinusies ar Ekonomikas ministrijas (turpmāk – Ministrija) sagatavoto un 12. novembra Valsts sekretāru sanāksmē izsludināto noteikumu projektu "Grozījumi Ministru kabineta 2015. gada 14. jūlija noteikumos Nr.395 "Kārtība, kādā energoietilpīgi apstrādes rūpniecības uzņēmumi iegūst tiesības uz samazinātu līdzdalību obligātā iepirkuma komponentes maksājumam" (VSS-973) (turpmāk arī – Noteikumu projekts) un sniedz zemāk norādītos iebildumus par Noteikumu projektu.</w:t>
            </w:r>
          </w:p>
          <w:p w14:paraId="0D9BFE54" w14:textId="77777777" w:rsidR="00682E8C" w:rsidRPr="0044384F" w:rsidRDefault="00682E8C" w:rsidP="000D2876">
            <w:pPr>
              <w:pStyle w:val="Body0"/>
              <w:spacing w:line="240" w:lineRule="auto"/>
              <w:ind w:firstLine="720"/>
              <w:jc w:val="both"/>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t xml:space="preserve">LTRK aicina turpināt diskusiju par Noteikumu papildināšanu ar 5.5. punktu </w:t>
            </w:r>
            <w:r w:rsidRPr="0044384F">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lastRenderedPageBreak/>
              <w:t xml:space="preserve">Ministrijas piedāvātajā redakcijā, kas paredzētu, ka tiesības uz obligātā iepirkuma komponentes samazinājumu vienam kalendārajam gadam, ja komersanta darbinieku vidējais skaits saimnieciskās darbības nozarē, kas atbilst noteikumu 1. pielikumā minētajām nozarēm, iepriekšējos trijos kalendāros gados ir vismaz 200. </w:t>
            </w:r>
          </w:p>
          <w:p w14:paraId="34788880" w14:textId="77777777" w:rsidR="00682E8C" w:rsidRPr="0044384F" w:rsidRDefault="00682E8C" w:rsidP="000D2876">
            <w:pPr>
              <w:pStyle w:val="Body0"/>
              <w:spacing w:line="240" w:lineRule="auto"/>
              <w:ind w:firstLine="720"/>
              <w:jc w:val="both"/>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color w:val="auto"/>
                <w:sz w:val="24"/>
                <w:szCs w:val="24"/>
                <w:bdr w:val="none" w:sz="0" w:space="0" w:color="auto"/>
                <w:lang w:eastAsia="lv-LV"/>
                <w14:textOutline w14:w="0" w14:cap="rnd" w14:cmpd="sng" w14:algn="ctr">
                  <w14:noFill/>
                  <w14:prstDash w14:val="solid"/>
                  <w14:bevel/>
                </w14:textOutline>
              </w:rPr>
              <w:t xml:space="preserve">Lai arī var piekrist Ministrijas sagatavotā Noteikumu projekta anotācijā norādītajam par nepieciešamību Covid-19 krīzes pārvarēšanā nodrošināt esošo darba vietu saglabāšanu, nevar viennozīmīgi piekrist Ministrijas secinājumam, ka šāda skaitliskā kritērija noteikšana Noteikumos būtu tiešā veidā saistīta ar iecerētā mērķa sasniegšanu. LTRK norāda, ka Noteikumu mērķis ir sniegt atbalstu energoietilpīgiem apstrādes nozares uzņēmumiem. Vēršam uzmanību, ka darbinieku skaita noteikšana, jo īpaši Noteikumu projektā piedāvātajā apmērā, raisījusi virknes LTRK biedru bažas. Nereti tieši tie energoietilpīgie uzņēmumi, kuri nodarbina salīdzinoši nelielu darbinieku skaitu, ir sasnieguši augstus produktivitātes rādītājus, turklāt savos ražošanas procesos ieviesuši dažādus automatizācijas mehānismus. </w:t>
            </w:r>
          </w:p>
          <w:p w14:paraId="2533218E" w14:textId="77777777" w:rsidR="00682E8C" w:rsidRPr="0044384F" w:rsidRDefault="00682E8C" w:rsidP="000D2876">
            <w:pPr>
              <w:pStyle w:val="naisc"/>
              <w:spacing w:before="0" w:after="0"/>
              <w:jc w:val="both"/>
            </w:pPr>
            <w:r w:rsidRPr="0044384F">
              <w:t xml:space="preserve">Ievērojot minēto, aicinām turpināt diskusiju par komersantu skaita noteikšanas kritēriju Noteikumu projektā. Lai vienotos par pēc iespējas savlaicīgu </w:t>
            </w:r>
            <w:r w:rsidRPr="0044384F">
              <w:lastRenderedPageBreak/>
              <w:t xml:space="preserve">tikšanās organizēšanu, aicinām sazināties ar LTKR Valdes locekli Jāni </w:t>
            </w:r>
            <w:proofErr w:type="spellStart"/>
            <w:r w:rsidRPr="0044384F">
              <w:t>Lielpēteri</w:t>
            </w:r>
            <w:proofErr w:type="spellEnd"/>
            <w:r w:rsidRPr="0044384F">
              <w:t xml:space="preserve"> (E: </w:t>
            </w:r>
            <w:hyperlink r:id="rId9" w:history="1">
              <w:r w:rsidRPr="0044384F">
                <w:t>janis.lielpeteris@chamber.lv</w:t>
              </w:r>
            </w:hyperlink>
            <w:r w:rsidRPr="0044384F">
              <w:t>; T: 25427655).”</w:t>
            </w:r>
          </w:p>
          <w:p w14:paraId="19CB9A34" w14:textId="77777777" w:rsidR="00314535" w:rsidRPr="0044384F" w:rsidRDefault="00314535" w:rsidP="000D2876">
            <w:pPr>
              <w:pStyle w:val="naisc"/>
              <w:spacing w:before="0" w:after="0"/>
              <w:jc w:val="both"/>
            </w:pPr>
          </w:p>
          <w:p w14:paraId="32E78C64" w14:textId="4856CDC6" w:rsidR="00314535" w:rsidRPr="0044384F" w:rsidRDefault="00314535"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 xml:space="preserve">Latvijas Darba devēju konfederācijas </w:t>
            </w:r>
            <w:r w:rsidR="00C07898"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27</w:t>
            </w: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.11.2020. iebildums:</w:t>
            </w:r>
          </w:p>
          <w:p w14:paraId="1D9AC3F6" w14:textId="77777777" w:rsidR="00314535" w:rsidRPr="0044384F" w:rsidRDefault="00314535" w:rsidP="000D2876">
            <w:pPr>
              <w:jc w:val="both"/>
            </w:pPr>
            <w:r w:rsidRPr="0044384F">
              <w:t xml:space="preserve">“Pozitīvi vērtējam to, ka šajā noteikumu projektā ir būtiski paplašināts atbalstāmo apstrādes rūpniecības </w:t>
            </w:r>
            <w:proofErr w:type="spellStart"/>
            <w:r w:rsidRPr="0044384F">
              <w:t>apakšnozaru</w:t>
            </w:r>
            <w:proofErr w:type="spellEnd"/>
            <w:r w:rsidRPr="0044384F">
              <w:t xml:space="preserve"> saraksts.</w:t>
            </w:r>
          </w:p>
          <w:p w14:paraId="555C6AEA" w14:textId="77777777" w:rsidR="00314535" w:rsidRPr="0044384F" w:rsidRDefault="00314535" w:rsidP="000D2876">
            <w:pPr>
              <w:pStyle w:val="ListParagraph"/>
              <w:spacing w:after="0" w:line="240" w:lineRule="auto"/>
              <w:jc w:val="both"/>
              <w:rPr>
                <w:rFonts w:ascii="Times New Roman" w:hAnsi="Times New Roman"/>
                <w:sz w:val="24"/>
                <w:szCs w:val="24"/>
              </w:rPr>
            </w:pPr>
          </w:p>
          <w:p w14:paraId="557E75D6" w14:textId="77777777" w:rsidR="00314535" w:rsidRPr="0044384F" w:rsidRDefault="00314535" w:rsidP="000D2876">
            <w:pPr>
              <w:pStyle w:val="xmsonormal"/>
              <w:rPr>
                <w:rFonts w:ascii="Times New Roman" w:hAnsi="Times New Roman" w:cs="Times New Roman"/>
                <w:sz w:val="24"/>
                <w:szCs w:val="24"/>
              </w:rPr>
            </w:pPr>
            <w:r w:rsidRPr="0044384F">
              <w:rPr>
                <w:rFonts w:ascii="Times New Roman" w:hAnsi="Times New Roman" w:cs="Times New Roman"/>
                <w:sz w:val="24"/>
                <w:szCs w:val="24"/>
              </w:rPr>
              <w:t xml:space="preserve">Vienlaikus </w:t>
            </w:r>
            <w:r w:rsidRPr="0044384F">
              <w:rPr>
                <w:rFonts w:ascii="Times New Roman" w:hAnsi="Times New Roman" w:cs="Times New Roman"/>
                <w:sz w:val="24"/>
                <w:szCs w:val="24"/>
                <w:u w:val="single"/>
              </w:rPr>
              <w:t>LDDK izsaka šādu iebildumu</w:t>
            </w:r>
            <w:r w:rsidRPr="0044384F">
              <w:rPr>
                <w:rFonts w:ascii="Times New Roman" w:hAnsi="Times New Roman" w:cs="Times New Roman"/>
                <w:sz w:val="24"/>
                <w:szCs w:val="24"/>
              </w:rPr>
              <w:t>:</w:t>
            </w:r>
          </w:p>
          <w:p w14:paraId="6F7B82FB" w14:textId="77777777" w:rsidR="00314535" w:rsidRPr="0044384F" w:rsidRDefault="00314535" w:rsidP="000D2876">
            <w:pPr>
              <w:pStyle w:val="xmsonormal"/>
              <w:numPr>
                <w:ilvl w:val="0"/>
                <w:numId w:val="13"/>
              </w:numPr>
              <w:rPr>
                <w:rFonts w:ascii="Times New Roman" w:hAnsi="Times New Roman" w:cs="Times New Roman"/>
                <w:sz w:val="24"/>
                <w:szCs w:val="24"/>
              </w:rPr>
            </w:pPr>
            <w:r w:rsidRPr="0044384F">
              <w:rPr>
                <w:rFonts w:ascii="Times New Roman" w:hAnsi="Times New Roman" w:cs="Times New Roman"/>
                <w:sz w:val="24"/>
                <w:szCs w:val="24"/>
              </w:rPr>
              <w:t>LDDK iebilst pret Noteikumu projekta 1.2.punktu.</w:t>
            </w:r>
          </w:p>
          <w:p w14:paraId="705CDB21" w14:textId="77777777" w:rsidR="00314535" w:rsidRPr="0044384F" w:rsidRDefault="00314535" w:rsidP="000D2876">
            <w:pPr>
              <w:pStyle w:val="xmsonormal"/>
              <w:rPr>
                <w:rFonts w:ascii="Times New Roman" w:hAnsi="Times New Roman" w:cs="Times New Roman"/>
                <w:b/>
                <w:bCs/>
                <w:sz w:val="24"/>
                <w:szCs w:val="24"/>
              </w:rPr>
            </w:pPr>
          </w:p>
          <w:p w14:paraId="354F7C3F" w14:textId="77777777" w:rsidR="00314535" w:rsidRPr="0044384F" w:rsidRDefault="00314535" w:rsidP="000D2876">
            <w:pPr>
              <w:pStyle w:val="xmsonormal"/>
              <w:rPr>
                <w:rFonts w:ascii="Times New Roman" w:hAnsi="Times New Roman" w:cs="Times New Roman"/>
                <w:b/>
                <w:bCs/>
                <w:sz w:val="24"/>
                <w:szCs w:val="24"/>
              </w:rPr>
            </w:pPr>
            <w:r w:rsidRPr="0044384F">
              <w:rPr>
                <w:rFonts w:ascii="Times New Roman" w:hAnsi="Times New Roman" w:cs="Times New Roman"/>
                <w:b/>
                <w:bCs/>
                <w:sz w:val="24"/>
                <w:szCs w:val="24"/>
              </w:rPr>
              <w:t>Pamatojums</w:t>
            </w:r>
          </w:p>
          <w:p w14:paraId="455E4F15" w14:textId="77777777" w:rsidR="00314535" w:rsidRPr="0044384F" w:rsidRDefault="00314535" w:rsidP="000D2876">
            <w:pPr>
              <w:pStyle w:val="xmsonormal"/>
              <w:jc w:val="both"/>
              <w:rPr>
                <w:rFonts w:ascii="Times New Roman" w:hAnsi="Times New Roman" w:cs="Times New Roman"/>
                <w:sz w:val="24"/>
                <w:szCs w:val="24"/>
              </w:rPr>
            </w:pPr>
            <w:r w:rsidRPr="0044384F">
              <w:rPr>
                <w:rFonts w:ascii="Times New Roman" w:hAnsi="Times New Roman" w:cs="Times New Roman"/>
                <w:sz w:val="24"/>
                <w:szCs w:val="24"/>
              </w:rPr>
              <w:t>Noteikumu projekta 1.2.punkts paredz to, ka tiesību saņemšanai uz samazinātu līdzdalību obligātā iepirkuma komponentes maksājumam tiek ieviests kritērijs, saskaņā ar kuru tikai uzņēmumi ar vismaz 200 darbiniekiem var pretendēt uz paredzētā atbalsta saņemšanu.</w:t>
            </w:r>
          </w:p>
          <w:p w14:paraId="4E0CBC6F" w14:textId="77777777" w:rsidR="00314535" w:rsidRPr="0044384F" w:rsidRDefault="00314535" w:rsidP="000D2876">
            <w:pPr>
              <w:pStyle w:val="xmsonormal"/>
              <w:jc w:val="both"/>
              <w:rPr>
                <w:rFonts w:ascii="Times New Roman" w:hAnsi="Times New Roman" w:cs="Times New Roman"/>
                <w:sz w:val="24"/>
                <w:szCs w:val="24"/>
              </w:rPr>
            </w:pPr>
            <w:r w:rsidRPr="0044384F">
              <w:rPr>
                <w:rFonts w:ascii="Times New Roman" w:hAnsi="Times New Roman" w:cs="Times New Roman"/>
                <w:sz w:val="24"/>
                <w:szCs w:val="24"/>
              </w:rPr>
              <w:t xml:space="preserve">LDDK ieskatā šāds kritērijs nav pamatots, jo tas būtiski ierobežo potenciālo atbalsta saņēmēju loku apstrādes rūpniecības </w:t>
            </w:r>
            <w:proofErr w:type="spellStart"/>
            <w:r w:rsidRPr="0044384F">
              <w:rPr>
                <w:rFonts w:ascii="Times New Roman" w:hAnsi="Times New Roman" w:cs="Times New Roman"/>
                <w:sz w:val="24"/>
                <w:szCs w:val="24"/>
              </w:rPr>
              <w:t>apakšnozarēs</w:t>
            </w:r>
            <w:proofErr w:type="spellEnd"/>
            <w:r w:rsidRPr="0044384F">
              <w:rPr>
                <w:rFonts w:ascii="Times New Roman" w:hAnsi="Times New Roman" w:cs="Times New Roman"/>
                <w:sz w:val="24"/>
                <w:szCs w:val="24"/>
              </w:rPr>
              <w:t>. Tas ir diskriminējošs pret mazākiem uzņēmumiem, kuru tehnoloģiskie procesi ir līdzīgi kā lielākos uzņēmumos.</w:t>
            </w:r>
          </w:p>
          <w:p w14:paraId="59A5C610" w14:textId="77777777" w:rsidR="00314535" w:rsidRPr="0044384F" w:rsidRDefault="00314535" w:rsidP="000D2876">
            <w:pPr>
              <w:pStyle w:val="xmsonormal"/>
              <w:rPr>
                <w:rFonts w:ascii="Times New Roman" w:hAnsi="Times New Roman" w:cs="Times New Roman"/>
                <w:sz w:val="24"/>
                <w:szCs w:val="24"/>
              </w:rPr>
            </w:pPr>
          </w:p>
          <w:p w14:paraId="47AC488D" w14:textId="77777777" w:rsidR="00314535" w:rsidRPr="0044384F" w:rsidRDefault="00314535" w:rsidP="000D2876">
            <w:pPr>
              <w:pStyle w:val="xmsonormal"/>
              <w:rPr>
                <w:rFonts w:ascii="Times New Roman" w:hAnsi="Times New Roman" w:cs="Times New Roman"/>
                <w:b/>
                <w:bCs/>
                <w:sz w:val="24"/>
                <w:szCs w:val="24"/>
              </w:rPr>
            </w:pPr>
            <w:r w:rsidRPr="0044384F">
              <w:rPr>
                <w:rFonts w:ascii="Times New Roman" w:hAnsi="Times New Roman" w:cs="Times New Roman"/>
                <w:b/>
                <w:bCs/>
                <w:sz w:val="24"/>
                <w:szCs w:val="24"/>
              </w:rPr>
              <w:t>Priekšlikums</w:t>
            </w:r>
          </w:p>
          <w:p w14:paraId="05C8C3C3" w14:textId="77777777" w:rsidR="00314535" w:rsidRPr="0044384F" w:rsidRDefault="00314535" w:rsidP="000D2876">
            <w:pPr>
              <w:pStyle w:val="naisc"/>
              <w:spacing w:before="0" w:after="0"/>
              <w:jc w:val="both"/>
            </w:pPr>
            <w:r w:rsidRPr="0044384F">
              <w:lastRenderedPageBreak/>
              <w:t>Dzēst Noteikumu projekta 1.2.punktu.”</w:t>
            </w:r>
          </w:p>
          <w:p w14:paraId="73B1580D" w14:textId="77777777" w:rsidR="000214A4" w:rsidRPr="0044384F" w:rsidRDefault="000214A4" w:rsidP="000D2876">
            <w:pPr>
              <w:pStyle w:val="naisc"/>
              <w:spacing w:before="0" w:after="0"/>
              <w:jc w:val="both"/>
            </w:pPr>
          </w:p>
          <w:p w14:paraId="0FF1FAB1" w14:textId="77777777" w:rsidR="000214A4" w:rsidRPr="0044384F" w:rsidRDefault="000214A4" w:rsidP="000D2876">
            <w:pPr>
              <w:pStyle w:val="naisc"/>
              <w:spacing w:before="0" w:after="0"/>
              <w:jc w:val="both"/>
            </w:pPr>
          </w:p>
          <w:p w14:paraId="7D750BAF" w14:textId="77777777" w:rsidR="000214A4" w:rsidRPr="0044384F" w:rsidRDefault="000214A4" w:rsidP="000D2876">
            <w:pPr>
              <w:pStyle w:val="naisc"/>
              <w:spacing w:before="0" w:after="0"/>
              <w:jc w:val="both"/>
            </w:pPr>
          </w:p>
          <w:p w14:paraId="67E5530F" w14:textId="77777777" w:rsidR="000214A4" w:rsidRPr="0044384F" w:rsidRDefault="000214A4" w:rsidP="000D2876">
            <w:pPr>
              <w:pStyle w:val="naisc"/>
              <w:spacing w:before="0" w:after="0"/>
              <w:jc w:val="both"/>
            </w:pPr>
          </w:p>
          <w:p w14:paraId="7D4B7548" w14:textId="77777777" w:rsidR="000214A4" w:rsidRPr="0044384F" w:rsidRDefault="000214A4" w:rsidP="000D2876">
            <w:pPr>
              <w:pStyle w:val="naisc"/>
              <w:spacing w:before="0" w:after="0"/>
              <w:jc w:val="both"/>
            </w:pPr>
          </w:p>
          <w:p w14:paraId="5B40FB68" w14:textId="77777777" w:rsidR="000214A4" w:rsidRPr="0044384F" w:rsidRDefault="000214A4" w:rsidP="000D2876">
            <w:pPr>
              <w:pStyle w:val="naisc"/>
              <w:spacing w:before="0" w:after="0"/>
              <w:jc w:val="both"/>
            </w:pPr>
          </w:p>
          <w:p w14:paraId="131B965B" w14:textId="77777777" w:rsidR="000214A4" w:rsidRPr="0044384F" w:rsidRDefault="000214A4" w:rsidP="000D2876">
            <w:pPr>
              <w:pStyle w:val="naisc"/>
              <w:spacing w:before="0" w:after="0"/>
              <w:jc w:val="both"/>
            </w:pPr>
          </w:p>
          <w:p w14:paraId="279D9DC2" w14:textId="77777777" w:rsidR="000214A4" w:rsidRPr="0044384F" w:rsidRDefault="000214A4" w:rsidP="000D2876">
            <w:pPr>
              <w:pStyle w:val="naisc"/>
              <w:spacing w:before="0" w:after="0"/>
              <w:jc w:val="both"/>
            </w:pPr>
          </w:p>
          <w:p w14:paraId="4B1F2BF4" w14:textId="77777777" w:rsidR="000214A4" w:rsidRPr="0044384F" w:rsidRDefault="000214A4" w:rsidP="000D2876">
            <w:pPr>
              <w:pStyle w:val="naisc"/>
              <w:spacing w:before="0" w:after="0"/>
              <w:jc w:val="both"/>
            </w:pPr>
          </w:p>
          <w:p w14:paraId="65D85BEA" w14:textId="77777777" w:rsidR="000214A4" w:rsidRPr="0044384F" w:rsidRDefault="000214A4" w:rsidP="000D2876">
            <w:pPr>
              <w:pStyle w:val="naisc"/>
              <w:spacing w:before="0" w:after="0"/>
              <w:jc w:val="both"/>
            </w:pPr>
          </w:p>
          <w:p w14:paraId="303761CE" w14:textId="77777777" w:rsidR="000214A4" w:rsidRPr="0044384F" w:rsidRDefault="000214A4" w:rsidP="000D2876">
            <w:pPr>
              <w:pStyle w:val="naisc"/>
              <w:spacing w:before="0" w:after="0"/>
              <w:jc w:val="both"/>
            </w:pPr>
          </w:p>
          <w:p w14:paraId="140C240D" w14:textId="77777777" w:rsidR="000214A4" w:rsidRPr="0044384F" w:rsidRDefault="000214A4" w:rsidP="000D2876">
            <w:pPr>
              <w:pStyle w:val="naisc"/>
              <w:spacing w:before="0" w:after="0"/>
              <w:jc w:val="both"/>
            </w:pPr>
          </w:p>
          <w:p w14:paraId="2AB438E2" w14:textId="77777777" w:rsidR="000214A4" w:rsidRPr="0044384F" w:rsidRDefault="000214A4" w:rsidP="000D2876">
            <w:pPr>
              <w:pStyle w:val="naisc"/>
              <w:spacing w:before="0" w:after="0"/>
              <w:jc w:val="both"/>
            </w:pPr>
          </w:p>
          <w:p w14:paraId="46484C70" w14:textId="5053126A" w:rsidR="000214A4" w:rsidRPr="0044384F" w:rsidRDefault="000214A4" w:rsidP="000D2876">
            <w:pPr>
              <w:pStyle w:val="naisc"/>
              <w:spacing w:before="0" w:after="0"/>
              <w:jc w:val="both"/>
            </w:pPr>
          </w:p>
          <w:p w14:paraId="1DF64394" w14:textId="77777777" w:rsidR="0043344D" w:rsidRPr="0044384F" w:rsidRDefault="0043344D" w:rsidP="000D2876">
            <w:pPr>
              <w:pStyle w:val="naisc"/>
              <w:spacing w:before="0" w:after="0"/>
              <w:jc w:val="both"/>
            </w:pPr>
          </w:p>
          <w:p w14:paraId="208B134A" w14:textId="1B57720F" w:rsidR="000214A4" w:rsidRPr="0044384F" w:rsidRDefault="000214A4" w:rsidP="000D2876">
            <w:pPr>
              <w:pStyle w:val="naisc"/>
              <w:spacing w:before="0" w:after="0"/>
              <w:jc w:val="both"/>
            </w:pPr>
          </w:p>
          <w:p w14:paraId="715F869D" w14:textId="77777777" w:rsidR="00B36F2D" w:rsidRPr="0044384F" w:rsidRDefault="00B36F2D"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hAnsi="Times New Roman" w:cs="Times New Roman"/>
                <w:b/>
                <w:bCs/>
                <w:color w:val="auto"/>
                <w:sz w:val="24"/>
                <w:szCs w:val="24"/>
              </w:rPr>
              <w:t>Vides aizsardzības un reģionālās attīstības ministrijas</w:t>
            </w: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 xml:space="preserve"> 09.12.2020. iebildums:</w:t>
            </w:r>
          </w:p>
          <w:p w14:paraId="78BC39BB" w14:textId="77777777" w:rsidR="00B36F2D" w:rsidRPr="0044384F" w:rsidRDefault="00B36F2D" w:rsidP="000D2876">
            <w:pPr>
              <w:contextualSpacing/>
              <w:jc w:val="both"/>
            </w:pPr>
            <w:r w:rsidRPr="0044384F">
              <w:t>“Noteikumu projekta 1.3.apakšpunkts paredz papildināt Ministru kabineta 2015.gada 14.jūlija noteikumus Nr.395 “Kārtība, kādā energoietilpīgi apstrādes rūpniecības uzņēmumi iegūst tiesības uz samazinātu līdzdalību obligātā iepirkuma komponentes maksājumam” (turpmāk – MK noteikumi Nr. 395) ar 5.5. apakšpunktu šādā redakcijā:</w:t>
            </w:r>
          </w:p>
          <w:p w14:paraId="67FFAF25" w14:textId="77777777" w:rsidR="00B36F2D" w:rsidRPr="0044384F" w:rsidRDefault="00B36F2D" w:rsidP="000D2876">
            <w:pPr>
              <w:ind w:firstLine="720"/>
              <w:contextualSpacing/>
              <w:jc w:val="both"/>
            </w:pPr>
            <w:r w:rsidRPr="0044384F">
              <w:t xml:space="preserve">“5.5. komersanta darbinieku vidējais skaits saimnieciskās darbības nozarē, kas atbilst šo noteikumu 1. pielikumā minētajām nozarēm, </w:t>
            </w:r>
            <w:r w:rsidRPr="0044384F">
              <w:rPr>
                <w:u w:val="single"/>
              </w:rPr>
              <w:lastRenderedPageBreak/>
              <w:t>iepriekšējos trijos kalendāros gados ir vismaz 100.”</w:t>
            </w:r>
          </w:p>
          <w:p w14:paraId="56EF1427" w14:textId="77777777" w:rsidR="00B36F2D" w:rsidRPr="0044384F" w:rsidRDefault="00B36F2D" w:rsidP="000D2876">
            <w:pPr>
              <w:ind w:firstLine="720"/>
              <w:contextualSpacing/>
              <w:jc w:val="both"/>
            </w:pPr>
            <w:r w:rsidRPr="0044384F">
              <w:t xml:space="preserve">Papildus precizētajā anotācijā sniegts skaidrojums, ka Covid-19 krīzes pārvarēšanā primāri jāveicina esošo darba vietu saglabāšanu, kā arī ievērojot ierobežoto finansējuma apjomu atbalsta sniegšanai – 7 milj. </w:t>
            </w:r>
            <w:proofErr w:type="spellStart"/>
            <w:r w:rsidRPr="0044384F">
              <w:rPr>
                <w:i/>
                <w:iCs/>
              </w:rPr>
              <w:t>euro</w:t>
            </w:r>
            <w:proofErr w:type="spellEnd"/>
            <w:r w:rsidRPr="0044384F">
              <w:rPr>
                <w:i/>
                <w:iCs/>
              </w:rPr>
              <w:t xml:space="preserve"> </w:t>
            </w:r>
            <w:r w:rsidRPr="0044384F">
              <w:t xml:space="preserve">– tiek piedāvāts kā kritēriju atbalsta saņemšanai noteikt minimālo darbinieku skaitu uzņēmumā vidēji pēdējos 3 gados – 100 darbinieki. Ekonomikas ministrija anotācijā norādījusi, ka papildus kritērija noteikšana ir pamatota kontekstā ar noteikumu projektā iekļauto grozījumu, kas paredz paplašināt nozaru tvērumu un daļai uzņēmumu samazināt </w:t>
            </w:r>
            <w:proofErr w:type="spellStart"/>
            <w:r w:rsidRPr="0044384F">
              <w:t>energointensitātes</w:t>
            </w:r>
            <w:proofErr w:type="spellEnd"/>
            <w:r w:rsidRPr="0044384F">
              <w:t xml:space="preserve"> slieksni.</w:t>
            </w:r>
          </w:p>
          <w:p w14:paraId="2CE503B8" w14:textId="77777777" w:rsidR="00B36F2D" w:rsidRPr="0044384F" w:rsidRDefault="00B36F2D" w:rsidP="000D2876">
            <w:pPr>
              <w:ind w:firstLine="720"/>
              <w:contextualSpacing/>
              <w:jc w:val="both"/>
            </w:pPr>
            <w:r w:rsidRPr="0044384F">
              <w:t xml:space="preserve">Tomēr izvērtējot anotāciju kopsakarā ar izziņu, secināms, ka nav sniegta informācija par Ekonomikas ministrijas veiktajiem aprēķiniem, cik komersantu varētu izpildīt noteiktos kritērijus un iegūt tiesības uz obligātā iepirkuma komponentes samazinājumu vienam kalendāra gadam. Papildus noteikumu projekta 1.3.apakšpunktā minētā prasība, Ministrijas ieskatā, neatbalsta reģionos esošos komersantus, jo ārpus lielajām pilsētām (pilsētās ar lauku novadiem), komersantiem nodarbināto skaits, vidēji, ir līdz 100 cilvēkiem. Turklāt secināms, ka netiek sasniegts MK </w:t>
            </w:r>
            <w:r w:rsidRPr="0044384F">
              <w:lastRenderedPageBreak/>
              <w:t>noteikumu Nr. 395 sākotnējais mērķis –  stimulēt lielāku darba ražību energoietilpīgos uzņēmumos. Noteikumu projekts izslēdz iespēju pretendēt uz MK noteikumu Nr.395 5.punktā noteikto obligātā iepirkuma komponentes samazinājumu komersantiem ar mazāku darbinieku skaitu, bet vienlaikus ar augstāku automatizācijas un robotizācijas pakāpi.</w:t>
            </w:r>
          </w:p>
          <w:p w14:paraId="68CC84BB" w14:textId="77777777" w:rsidR="00B36F2D" w:rsidRPr="0044384F" w:rsidRDefault="00B36F2D" w:rsidP="000D2876">
            <w:pPr>
              <w:pStyle w:val="naisc"/>
              <w:spacing w:before="0" w:after="0"/>
              <w:jc w:val="both"/>
            </w:pPr>
            <w:r w:rsidRPr="0044384F">
              <w:rPr>
                <w:u w:val="single"/>
              </w:rPr>
              <w:t>Ņemot vērā iepriekš minēto, lūdzam izvērtēt noteikumu projekta 1.3.apakšpunktā minētā kritērija pamatotību, kā arī nepieciešamību papildināt anotāciju ar informāciju par komersantu skaitu, kas izpildīs noteiktos kritērijus un iegūs tiesības uz obligātā iepirkuma komponentes samazinājumu vienam kalendāra gadam.</w:t>
            </w:r>
            <w:r w:rsidRPr="0044384F">
              <w:t>”</w:t>
            </w:r>
          </w:p>
          <w:p w14:paraId="090CE070" w14:textId="77777777" w:rsidR="00B36F2D" w:rsidRPr="0044384F" w:rsidRDefault="00B36F2D" w:rsidP="000D2876">
            <w:pPr>
              <w:pStyle w:val="naisc"/>
              <w:spacing w:before="0" w:after="0"/>
              <w:jc w:val="both"/>
            </w:pPr>
          </w:p>
          <w:p w14:paraId="4E0AEEBF" w14:textId="77777777" w:rsidR="00B36F2D" w:rsidRPr="0044384F" w:rsidRDefault="00B36F2D"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Tieslietu ministrijas 11.12.2020. iebildums:</w:t>
            </w:r>
          </w:p>
          <w:p w14:paraId="3AD067AB" w14:textId="2BD79680" w:rsidR="000214A4" w:rsidRPr="0044384F" w:rsidRDefault="00B36F2D" w:rsidP="000D2876">
            <w:pPr>
              <w:pStyle w:val="naisc"/>
              <w:spacing w:before="0" w:after="0"/>
              <w:jc w:val="both"/>
            </w:pPr>
            <w:r w:rsidRPr="0044384F">
              <w:t xml:space="preserve">“2. </w:t>
            </w:r>
            <w:r w:rsidRPr="0044384F">
              <w:rPr>
                <w:shd w:val="clear" w:color="auto" w:fill="FFFFFF"/>
              </w:rPr>
              <w:t>Projekta 1.3. apakšpunkts paredz</w:t>
            </w:r>
            <w:r w:rsidRPr="0044384F">
              <w:t> papildināt noteikumus ar 5.5. apakšpunktu šādā redakcijā: "komersanta darbinieku vidējais skaits saimnieciskās darbības nozarē, kas atbilst šo noteikumu 1. pielikumā minētajām nozarēm, iepriekšējos trijos kalendāros gados ir </w:t>
            </w:r>
            <w:r w:rsidRPr="0044384F">
              <w:rPr>
                <w:u w:val="single"/>
              </w:rPr>
              <w:t>vismaz 100.</w:t>
            </w:r>
            <w:r w:rsidRPr="0044384F">
              <w:t xml:space="preserve">” Lūdzam projekta anotācijā sniegt izvērstāku pamatojuma kritērija, kas paredz, ka vidējais darbinieku skaits iepriekšējos trijos kalendāros gados ir </w:t>
            </w:r>
            <w:r w:rsidRPr="0044384F">
              <w:lastRenderedPageBreak/>
              <w:t xml:space="preserve">vismaz 100, izsvērti skaidrojot, kādēļ izvēlēts tieši 100 darbinieku skaits. Lūdzam izsvērt minētā kritērija vajadzību un pamatotību, ņemot vērā samērīguma principu un tiesiskās paļāvības principu. Tiesiskās paļāvības princips nosaka, ka privātpersona var paļauties, ka iestādes rīcība ir tiesiska un konsekventa. Iestādes kļūda, kuras pieļaušanā privātpersona nav vainojama, nedrīkst radīt privātpersonai nelabvēlīgas sekas. Vērtējot kritērija samērīgumu, jāvērtē, vai izraudzītie līdzekļi ir samērīgi ar ierobežojuma leģitīmo mērķi. (vairāk </w:t>
            </w:r>
            <w:r w:rsidRPr="0044384F">
              <w:rPr>
                <w:shd w:val="clear" w:color="auto" w:fill="FFFFFF"/>
              </w:rPr>
              <w:t>par samērīgumu skatīt </w:t>
            </w:r>
            <w:hyperlink r:id="rId10" w:history="1">
              <w:r w:rsidRPr="0044384F">
                <w:rPr>
                  <w:rStyle w:val="Hyperlink"/>
                  <w:color w:val="auto"/>
                  <w:shd w:val="clear" w:color="auto" w:fill="FFFFFF"/>
                </w:rPr>
                <w:t>https://www.satv.tiesa.gov.lv/runas-un-raksti/pamattiesibu-ierobezojuma-konstitucionalitates-izvertesana-satversmes-tiesas-prakse/</w:t>
              </w:r>
            </w:hyperlink>
            <w:r w:rsidRPr="0044384F">
              <w:rPr>
                <w:shd w:val="clear" w:color="auto" w:fill="FFFFFF"/>
              </w:rPr>
              <w:t>).</w:t>
            </w:r>
            <w:r w:rsidRPr="0044384F">
              <w:br/>
              <w:t xml:space="preserve">Projekta anotācijā cita starpā norādīts, ka  "esošās Covid-19 krīzes pārvarēšanai svarīgi ir atbalstīt uzņēmumus ar izaugsmes potenciālu eksporta tirgos". Lūdzam izvērtēt, vai projekta 1.3. apakšpunkta kritērijs neierobežos Latvijas uzņēmumus ar izaugsmes potenciālu eksporta tirgos. Ņemot vērā samērīguma principu, labumam, </w:t>
            </w:r>
            <w:r w:rsidRPr="0044384F">
              <w:rPr>
                <w:shd w:val="clear" w:color="auto" w:fill="FFFFFF"/>
              </w:rPr>
              <w:t>ko sabiedrība iegūst ar ierobežojumiem, kas noteikti tiesību normā, ir jābūt lielākam nekā konkrētas personas tiesību vai tiesisko interešu ierobežojumam.”</w:t>
            </w:r>
          </w:p>
        </w:tc>
        <w:tc>
          <w:tcPr>
            <w:tcW w:w="3257" w:type="dxa"/>
            <w:gridSpan w:val="2"/>
            <w:tcBorders>
              <w:top w:val="single" w:sz="4" w:space="0" w:color="auto"/>
              <w:left w:val="single" w:sz="4" w:space="0" w:color="auto"/>
              <w:bottom w:val="single" w:sz="4" w:space="0" w:color="auto"/>
              <w:right w:val="single" w:sz="4" w:space="0" w:color="auto"/>
            </w:tcBorders>
          </w:tcPr>
          <w:p w14:paraId="6825CD5B" w14:textId="77777777" w:rsidR="00EF4A40" w:rsidRPr="0044384F" w:rsidRDefault="00EF4A40" w:rsidP="000D2876">
            <w:pPr>
              <w:pStyle w:val="naisc"/>
              <w:spacing w:before="0" w:after="0"/>
              <w:rPr>
                <w:b/>
                <w:bCs/>
              </w:rPr>
            </w:pPr>
            <w:r w:rsidRPr="0044384F">
              <w:rPr>
                <w:b/>
                <w:bCs/>
              </w:rPr>
              <w:lastRenderedPageBreak/>
              <w:t>Ņemts vērā</w:t>
            </w:r>
          </w:p>
          <w:p w14:paraId="5B56738B" w14:textId="273A2CDB" w:rsidR="00EF4A40" w:rsidRPr="0044384F" w:rsidRDefault="005F0347" w:rsidP="000D2876">
            <w:pPr>
              <w:jc w:val="center"/>
            </w:pPr>
            <w:r w:rsidRPr="0044384F">
              <w:t>Noteikumu projekta 1.3.</w:t>
            </w:r>
            <w:r w:rsidR="003A1D9F" w:rsidRPr="0044384F">
              <w:t xml:space="preserve"> </w:t>
            </w:r>
            <w:r w:rsidRPr="0044384F">
              <w:t>apakšpunkts ir precizēts. Konkrētā grozījuma pamatojums iekļauts anotācijā. Anotācijas I. sadaļas 2. punkts ir papildināts.</w:t>
            </w:r>
            <w:r w:rsidR="00DD7EBB" w:rsidRPr="0044384F">
              <w:t xml:space="preserve"> </w:t>
            </w:r>
            <w:r w:rsidR="00A23E72" w:rsidRPr="0044384F">
              <w:t>N</w:t>
            </w:r>
            <w:r w:rsidR="00DD7EBB" w:rsidRPr="0044384F">
              <w:t>oteikumu projektam pievienots M</w:t>
            </w:r>
            <w:r w:rsidR="00A23E72" w:rsidRPr="0044384F">
              <w:t>inistru kabineta</w:t>
            </w:r>
            <w:r w:rsidR="00DD7EBB" w:rsidRPr="0044384F">
              <w:t xml:space="preserve"> sēdes </w:t>
            </w:r>
            <w:proofErr w:type="spellStart"/>
            <w:r w:rsidR="00DD7EBB" w:rsidRPr="0044384F">
              <w:t>protokollēmuma</w:t>
            </w:r>
            <w:proofErr w:type="spellEnd"/>
            <w:r w:rsidR="00DD7EBB" w:rsidRPr="0044384F">
              <w:t xml:space="preserve"> </w:t>
            </w:r>
            <w:r w:rsidR="00DD7EBB" w:rsidRPr="0044384F">
              <w:lastRenderedPageBreak/>
              <w:t xml:space="preserve">projekts, kurā noteikts, ka Ekonomikas ministrijai sadarbībā ar Finanšu ministriju atbilstoši aktualizētajām prognozēm jāizvērtē finansējuma pietiekamību atbalstam </w:t>
            </w:r>
            <w:proofErr w:type="spellStart"/>
            <w:r w:rsidR="00DD7EBB" w:rsidRPr="0044384F">
              <w:t>energointensīvajiem</w:t>
            </w:r>
            <w:proofErr w:type="spellEnd"/>
            <w:r w:rsidR="00DD7EBB" w:rsidRPr="0044384F">
              <w:t xml:space="preserve"> uzņēmumiem 2022.gada budžeta izstrādes procesā salīdzinājumā ar vidēja termiņa budžetā 2021.-2023.gadam noteikto finansējuma apjomu un nepieciešamības gadījumā novirzīt šim mērķim papildu finanšu resursus, primāri izvērtējot pārdales iespējas Ekonomikas ministrijas valsts budžeta apakšprogrammas 29.02.00 “Elektroenerģijas lietotāju atbalsts” ietvaros vai papildu akciju sabiedrības “Latvenergo” ikgadējo dividenžu novirzīšanu Ekonomikas ministrijas valsts budžeta apakšprogrammai 29.02.00 “Elektroenerģijas lietotāju atbalsts” nepieciešamajā apjomā. Tādējādi rasta iespēja samazināt kritēriju par minimālo darbinieku skaitu, vienlaikus nodrošinot </w:t>
            </w:r>
            <w:r w:rsidR="00DD7EBB" w:rsidRPr="0044384F">
              <w:lastRenderedPageBreak/>
              <w:t>finansējuma pietiekamību atbalsta izmaksu segšanai.</w:t>
            </w:r>
          </w:p>
          <w:p w14:paraId="4F9A7743" w14:textId="77777777" w:rsidR="003D37A2" w:rsidRPr="0044384F" w:rsidRDefault="003D37A2" w:rsidP="000D2876">
            <w:pPr>
              <w:jc w:val="center"/>
            </w:pPr>
          </w:p>
          <w:p w14:paraId="661145DD" w14:textId="255DDDC7" w:rsidR="00A23E72" w:rsidRPr="0044384F" w:rsidRDefault="00A23E72" w:rsidP="000D2876">
            <w:pPr>
              <w:pStyle w:val="naisc"/>
              <w:spacing w:before="0" w:after="0"/>
              <w:rPr>
                <w:b/>
                <w:bCs/>
              </w:rPr>
            </w:pPr>
            <w:r w:rsidRPr="0044384F">
              <w:rPr>
                <w:b/>
                <w:bCs/>
              </w:rPr>
              <w:t>Ņemts vērā</w:t>
            </w:r>
          </w:p>
          <w:p w14:paraId="59122227" w14:textId="7DD7A7B2" w:rsidR="003D37A2" w:rsidRPr="0044384F" w:rsidRDefault="00A23E72" w:rsidP="000D2876">
            <w:pPr>
              <w:jc w:val="center"/>
            </w:pPr>
            <w:r w:rsidRPr="0044384F">
              <w:t xml:space="preserve">Noteikumu projekta 1.3. apakšpunkts ir precizēts. Konkrētā grozījuma pamatojums iekļauts anotācijā. Anotācijas I. sadaļas 2. punkts ir papildināts. Noteikumu projektam pievienots Ministru kabineta sēdes </w:t>
            </w:r>
            <w:proofErr w:type="spellStart"/>
            <w:r w:rsidRPr="0044384F">
              <w:t>protokollēmuma</w:t>
            </w:r>
            <w:proofErr w:type="spellEnd"/>
            <w:r w:rsidRPr="0044384F">
              <w:t xml:space="preserve"> projekts, kurā noteikts, ka Ekonomikas ministrijai sadarbībā ar Finanšu ministriju atbilstoši aktualizētajām prognozēm jāizvērtē finansējuma pietiekamību atbalstam </w:t>
            </w:r>
            <w:proofErr w:type="spellStart"/>
            <w:r w:rsidRPr="0044384F">
              <w:t>energointensīvajiem</w:t>
            </w:r>
            <w:proofErr w:type="spellEnd"/>
            <w:r w:rsidRPr="0044384F">
              <w:t xml:space="preserve"> uzņēmumiem 2022.gada budžeta izstrādes procesā salīdzinājumā ar vidēja termiņa budžetā 2021.-2023.gadam noteikto finansējuma apjomu un nepieciešamības gadījumā novirzīt šim mērķim papildu finanšu resursus, primāri izvērtējot pārdales iespējas Ekonomikas ministrijas valsts budžeta apakšprogrammas 29.02.00 “Elektroenerģijas lietotāju atbalsts” ietvaros vai papildu akciju sabiedrības </w:t>
            </w:r>
            <w:r w:rsidRPr="0044384F">
              <w:lastRenderedPageBreak/>
              <w:t>“Latvenergo” ikgadējo dividenžu novirzīšanu Ekonomikas ministrijas valsts budžeta apakšprogrammai 29.02.00 “Elektroenerģijas lietotāju atbalsts” nepieciešamajā apjomā. Tādējādi rasta iespēja samazināt kritēriju par minimālo darbinieku skaitu, vienlaikus nodrošinot finansējuma pietiekamību atbalsta izmaksu segšanai.</w:t>
            </w:r>
          </w:p>
          <w:p w14:paraId="43C2CC7D" w14:textId="77777777" w:rsidR="00A23E72" w:rsidRPr="0044384F" w:rsidRDefault="00A23E72" w:rsidP="000D2876">
            <w:pPr>
              <w:jc w:val="center"/>
            </w:pPr>
          </w:p>
          <w:p w14:paraId="1BF35E81" w14:textId="0218D1E6" w:rsidR="00A23E72" w:rsidRPr="0044384F" w:rsidRDefault="00A23E72" w:rsidP="000D2876">
            <w:pPr>
              <w:pStyle w:val="naisc"/>
              <w:spacing w:before="0" w:after="0"/>
              <w:rPr>
                <w:b/>
                <w:bCs/>
              </w:rPr>
            </w:pPr>
            <w:r w:rsidRPr="0044384F">
              <w:rPr>
                <w:b/>
                <w:bCs/>
              </w:rPr>
              <w:t>Ņemts vērā</w:t>
            </w:r>
          </w:p>
          <w:p w14:paraId="42C4A2CE" w14:textId="627D43B1" w:rsidR="003D37A2" w:rsidRPr="0044384F" w:rsidRDefault="00A23E72" w:rsidP="000D2876">
            <w:pPr>
              <w:jc w:val="center"/>
            </w:pPr>
            <w:r w:rsidRPr="0044384F">
              <w:t xml:space="preserve">Vienošanās panākta saskaņošanas laikā. Noteikumu projekta 1.3. apakšpunkts ir precizēts. Konkrētā grozījuma pamatojums iekļauts anotācijā. Anotācijas I. sadaļas 2. punkts ir papildināts. Noteikumu projektam pievienots Ministru kabineta sēdes </w:t>
            </w:r>
            <w:proofErr w:type="spellStart"/>
            <w:r w:rsidRPr="0044384F">
              <w:t>protokollēmuma</w:t>
            </w:r>
            <w:proofErr w:type="spellEnd"/>
            <w:r w:rsidRPr="0044384F">
              <w:t xml:space="preserve"> projekts, kurā noteikts, ka Ekonomikas ministrijai sadarbībā ar Finanšu ministriju atbilstoši aktualizētajām prognozēm jāizvērtē finansējuma pietiekamību atbalstam </w:t>
            </w:r>
            <w:proofErr w:type="spellStart"/>
            <w:r w:rsidRPr="0044384F">
              <w:t>energointensīvajiem</w:t>
            </w:r>
            <w:proofErr w:type="spellEnd"/>
            <w:r w:rsidRPr="0044384F">
              <w:t xml:space="preserve"> uzņēmumiem 2022.gada budžeta izstrādes procesā </w:t>
            </w:r>
            <w:r w:rsidRPr="0044384F">
              <w:lastRenderedPageBreak/>
              <w:t>salīdzinājumā ar vidēja termiņa budžetā 2021.-2023.gadam noteikto finansējuma apjomu un nepieciešamības gadījumā novirzīt šim mērķim papildu finanšu resursus, primāri izvērtējot pārdales iespējas Ekonomikas ministrijas valsts budžeta apakšprogrammas 29.02.00 “Elektroenerģijas lietotāju atbalsts” ietvaros vai papildu akciju sabiedrības “Latvenergo” ikgadējo dividenžu novirzīšanu Ekonomikas ministrijas valsts budžeta apakšprogrammai 29.02.00 “Elektroenerģijas lietotāju atbalsts” nepieciešamajā apjomā. Tādējādi rasta iespēja samazināt kritēriju par minimālo darbinieku skaitu, vienlaikus nodrošinot finansējuma pietiekamību atbalsta izmaksu segšanai.</w:t>
            </w:r>
          </w:p>
          <w:p w14:paraId="6C365573" w14:textId="77777777" w:rsidR="003D37A2" w:rsidRPr="0044384F" w:rsidRDefault="003D37A2" w:rsidP="000D2876">
            <w:pPr>
              <w:jc w:val="center"/>
            </w:pPr>
          </w:p>
          <w:p w14:paraId="6ECCECC6" w14:textId="77777777" w:rsidR="003D37A2" w:rsidRPr="0044384F" w:rsidRDefault="003D37A2" w:rsidP="000D2876">
            <w:pPr>
              <w:jc w:val="center"/>
            </w:pPr>
          </w:p>
          <w:p w14:paraId="2C35F25C" w14:textId="77777777" w:rsidR="003D37A2" w:rsidRPr="0044384F" w:rsidRDefault="003D37A2" w:rsidP="000D2876">
            <w:pPr>
              <w:jc w:val="center"/>
            </w:pPr>
          </w:p>
          <w:p w14:paraId="7C719DBF" w14:textId="77777777" w:rsidR="003D37A2" w:rsidRPr="0044384F" w:rsidRDefault="003D37A2" w:rsidP="000D2876">
            <w:pPr>
              <w:jc w:val="center"/>
            </w:pPr>
          </w:p>
          <w:p w14:paraId="5EF9A630" w14:textId="77777777" w:rsidR="003D37A2" w:rsidRPr="0044384F" w:rsidRDefault="003D37A2" w:rsidP="000D2876">
            <w:pPr>
              <w:jc w:val="center"/>
            </w:pPr>
          </w:p>
          <w:p w14:paraId="26117049" w14:textId="77777777" w:rsidR="003D37A2" w:rsidRPr="0044384F" w:rsidRDefault="003D37A2" w:rsidP="000D2876">
            <w:pPr>
              <w:jc w:val="center"/>
            </w:pPr>
          </w:p>
          <w:p w14:paraId="4D1658DD" w14:textId="77777777" w:rsidR="003D37A2" w:rsidRPr="0044384F" w:rsidRDefault="003D37A2" w:rsidP="000D2876">
            <w:pPr>
              <w:jc w:val="center"/>
            </w:pPr>
          </w:p>
          <w:p w14:paraId="79BBFCF1" w14:textId="77777777" w:rsidR="003D37A2" w:rsidRPr="0044384F" w:rsidRDefault="003D37A2" w:rsidP="000D2876">
            <w:pPr>
              <w:jc w:val="center"/>
            </w:pPr>
          </w:p>
          <w:p w14:paraId="27E2E3A3" w14:textId="77777777" w:rsidR="003D37A2" w:rsidRPr="0044384F" w:rsidRDefault="003D37A2" w:rsidP="000D2876">
            <w:pPr>
              <w:jc w:val="center"/>
            </w:pPr>
          </w:p>
          <w:p w14:paraId="2ECDDD0C" w14:textId="77777777" w:rsidR="003D37A2" w:rsidRPr="0044384F" w:rsidRDefault="003D37A2" w:rsidP="000D2876">
            <w:pPr>
              <w:jc w:val="center"/>
            </w:pPr>
          </w:p>
          <w:p w14:paraId="36331E9D" w14:textId="77777777" w:rsidR="003D37A2" w:rsidRPr="0044384F" w:rsidRDefault="003D37A2" w:rsidP="000D2876">
            <w:pPr>
              <w:jc w:val="center"/>
            </w:pPr>
          </w:p>
          <w:p w14:paraId="07365BDC" w14:textId="77777777" w:rsidR="003D37A2" w:rsidRPr="0044384F" w:rsidRDefault="003D37A2" w:rsidP="000D2876">
            <w:pPr>
              <w:jc w:val="center"/>
            </w:pPr>
          </w:p>
          <w:p w14:paraId="1B2F7EE3" w14:textId="77777777" w:rsidR="00CF0C27" w:rsidRPr="0044384F" w:rsidRDefault="00CF0C27" w:rsidP="000D2876">
            <w:pPr>
              <w:pStyle w:val="naisc"/>
              <w:spacing w:before="0" w:after="0"/>
              <w:rPr>
                <w:b/>
                <w:bCs/>
              </w:rPr>
            </w:pPr>
          </w:p>
          <w:p w14:paraId="1FA10D06" w14:textId="43A38FC3" w:rsidR="00A23E72" w:rsidRPr="0044384F" w:rsidRDefault="00A23E72" w:rsidP="000D2876">
            <w:pPr>
              <w:pStyle w:val="naisc"/>
              <w:spacing w:before="0" w:after="0"/>
              <w:rPr>
                <w:b/>
                <w:bCs/>
              </w:rPr>
            </w:pPr>
            <w:r w:rsidRPr="0044384F">
              <w:rPr>
                <w:b/>
                <w:bCs/>
              </w:rPr>
              <w:t>Ņemts vērā</w:t>
            </w:r>
          </w:p>
          <w:p w14:paraId="3DF4FA21" w14:textId="77777777" w:rsidR="003D37A2" w:rsidRPr="0044384F" w:rsidRDefault="00A23E72" w:rsidP="000D2876">
            <w:pPr>
              <w:jc w:val="center"/>
            </w:pPr>
            <w:r w:rsidRPr="0044384F">
              <w:t xml:space="preserve">Vienošanās panākta saskaņošanas laikā. Noteikumu projekta 1.3. apakšpunkts ir precizēts. Konkrētā grozījuma pamatojums iekļauts anotācijā. Anotācijas I. sadaļas 2. punkts ir papildināts. Noteikumu projektam pievienots Ministru kabineta sēdes </w:t>
            </w:r>
            <w:proofErr w:type="spellStart"/>
            <w:r w:rsidRPr="0044384F">
              <w:t>protokollēmuma</w:t>
            </w:r>
            <w:proofErr w:type="spellEnd"/>
            <w:r w:rsidRPr="0044384F">
              <w:t xml:space="preserve"> projekts, kurā noteikts, ka Ekonomikas ministrijai sadarbībā ar Finanšu ministriju atbilstoši aktualizētajām prognozēm jāizvērtē finansējuma pietiekamību atbalstam </w:t>
            </w:r>
            <w:proofErr w:type="spellStart"/>
            <w:r w:rsidRPr="0044384F">
              <w:t>energointensīvajiem</w:t>
            </w:r>
            <w:proofErr w:type="spellEnd"/>
            <w:r w:rsidRPr="0044384F">
              <w:t xml:space="preserve"> uzņēmumiem 2022.gada budžeta izstrādes procesā salīdzinājumā ar vidēja termiņa budžetā 2021.-2023.gadam noteikto finansējuma apjomu un nepieciešamības gadījumā novirzīt šim mērķim papildu finanšu resursus, primāri izvērtējot pārdales iespējas Ekonomikas ministrijas valsts budžeta apakšprogrammas </w:t>
            </w:r>
            <w:r w:rsidRPr="0044384F">
              <w:lastRenderedPageBreak/>
              <w:t>29.02.00 “Elektroenerģijas lietotāju atbalsts” ietvaros vai papildu akciju sabiedrības “Latvenergo” ikgadējo dividenžu novirzīšanu Ekonomikas ministrijas valsts budžeta apakšprogrammai 29.02.00 “Elektroenerģijas lietotāju atbalsts” nepieciešamajā apjomā. Tādējādi rasta iespēja samazināt kritēriju par minimālo darbinieku skaitu, vienlaikus nodrošinot finansējuma pietiekamību atbalsta izmaksu segšanai.</w:t>
            </w:r>
          </w:p>
          <w:p w14:paraId="193A4786" w14:textId="77777777" w:rsidR="000214A4" w:rsidRPr="0044384F" w:rsidRDefault="000214A4" w:rsidP="000D2876">
            <w:pPr>
              <w:jc w:val="center"/>
            </w:pPr>
          </w:p>
          <w:p w14:paraId="09EA0F1C" w14:textId="77777777" w:rsidR="00B36F2D" w:rsidRPr="0044384F" w:rsidRDefault="00B36F2D" w:rsidP="000D2876">
            <w:pPr>
              <w:pStyle w:val="naisc"/>
              <w:spacing w:before="0" w:after="0"/>
              <w:rPr>
                <w:b/>
                <w:bCs/>
              </w:rPr>
            </w:pPr>
            <w:r w:rsidRPr="0044384F">
              <w:rPr>
                <w:b/>
                <w:bCs/>
              </w:rPr>
              <w:t>Ņemts vērā</w:t>
            </w:r>
          </w:p>
          <w:p w14:paraId="73525C2B" w14:textId="77777777" w:rsidR="00B36F2D" w:rsidRPr="0044384F" w:rsidRDefault="00B36F2D" w:rsidP="000D2876">
            <w:pPr>
              <w:jc w:val="center"/>
            </w:pPr>
            <w:r w:rsidRPr="0044384F">
              <w:t>Konkrētā grozījuma pamatojums iekļauts anotācijā. Anotācijas I. sadaļas 2. punkts ir papildināts.</w:t>
            </w:r>
          </w:p>
          <w:p w14:paraId="39A6C3E6" w14:textId="77777777" w:rsidR="00B36F2D" w:rsidRPr="0044384F" w:rsidRDefault="00B36F2D" w:rsidP="000D2876">
            <w:pPr>
              <w:jc w:val="center"/>
            </w:pPr>
          </w:p>
          <w:p w14:paraId="4DB62625" w14:textId="77777777" w:rsidR="00B36F2D" w:rsidRPr="0044384F" w:rsidRDefault="00B36F2D" w:rsidP="000D2876">
            <w:pPr>
              <w:jc w:val="center"/>
            </w:pPr>
          </w:p>
          <w:p w14:paraId="5FE2403E" w14:textId="77777777" w:rsidR="00B36F2D" w:rsidRPr="0044384F" w:rsidRDefault="00B36F2D" w:rsidP="000D2876">
            <w:pPr>
              <w:jc w:val="center"/>
            </w:pPr>
          </w:p>
          <w:p w14:paraId="05C76C75" w14:textId="77777777" w:rsidR="00B36F2D" w:rsidRPr="0044384F" w:rsidRDefault="00B36F2D" w:rsidP="000D2876">
            <w:pPr>
              <w:jc w:val="center"/>
            </w:pPr>
          </w:p>
          <w:p w14:paraId="4E98877D" w14:textId="77777777" w:rsidR="00B36F2D" w:rsidRPr="0044384F" w:rsidRDefault="00B36F2D" w:rsidP="000D2876">
            <w:pPr>
              <w:jc w:val="center"/>
            </w:pPr>
          </w:p>
          <w:p w14:paraId="4C92AF16" w14:textId="77777777" w:rsidR="00B36F2D" w:rsidRPr="0044384F" w:rsidRDefault="00B36F2D" w:rsidP="000D2876">
            <w:pPr>
              <w:jc w:val="center"/>
            </w:pPr>
          </w:p>
          <w:p w14:paraId="3253AF51" w14:textId="77777777" w:rsidR="00B36F2D" w:rsidRPr="0044384F" w:rsidRDefault="00B36F2D" w:rsidP="000D2876">
            <w:pPr>
              <w:jc w:val="center"/>
            </w:pPr>
          </w:p>
          <w:p w14:paraId="4F798579" w14:textId="77777777" w:rsidR="00B36F2D" w:rsidRPr="0044384F" w:rsidRDefault="00B36F2D" w:rsidP="000D2876">
            <w:pPr>
              <w:jc w:val="center"/>
            </w:pPr>
          </w:p>
          <w:p w14:paraId="04026500" w14:textId="77777777" w:rsidR="00B36F2D" w:rsidRPr="0044384F" w:rsidRDefault="00B36F2D" w:rsidP="000D2876">
            <w:pPr>
              <w:jc w:val="center"/>
            </w:pPr>
          </w:p>
          <w:p w14:paraId="6AE97602" w14:textId="77777777" w:rsidR="00B36F2D" w:rsidRPr="0044384F" w:rsidRDefault="00B36F2D" w:rsidP="000D2876">
            <w:pPr>
              <w:jc w:val="center"/>
            </w:pPr>
          </w:p>
          <w:p w14:paraId="19610FBC" w14:textId="77777777" w:rsidR="00B36F2D" w:rsidRPr="0044384F" w:rsidRDefault="00B36F2D" w:rsidP="000D2876">
            <w:pPr>
              <w:jc w:val="center"/>
            </w:pPr>
          </w:p>
          <w:p w14:paraId="3BA54D14" w14:textId="77777777" w:rsidR="00B36F2D" w:rsidRPr="0044384F" w:rsidRDefault="00B36F2D" w:rsidP="000D2876">
            <w:pPr>
              <w:jc w:val="center"/>
            </w:pPr>
          </w:p>
          <w:p w14:paraId="4F8AD16E" w14:textId="77777777" w:rsidR="00B36F2D" w:rsidRPr="0044384F" w:rsidRDefault="00B36F2D" w:rsidP="000D2876">
            <w:pPr>
              <w:jc w:val="center"/>
            </w:pPr>
          </w:p>
          <w:p w14:paraId="1B9148A6" w14:textId="77777777" w:rsidR="00B36F2D" w:rsidRPr="0044384F" w:rsidRDefault="00B36F2D" w:rsidP="000D2876">
            <w:pPr>
              <w:jc w:val="center"/>
            </w:pPr>
          </w:p>
          <w:p w14:paraId="2F9CBA0F" w14:textId="77777777" w:rsidR="00B36F2D" w:rsidRPr="0044384F" w:rsidRDefault="00B36F2D" w:rsidP="000D2876">
            <w:pPr>
              <w:jc w:val="center"/>
            </w:pPr>
          </w:p>
          <w:p w14:paraId="2A9A9C4E" w14:textId="77777777" w:rsidR="00B36F2D" w:rsidRPr="0044384F" w:rsidRDefault="00B36F2D" w:rsidP="000D2876">
            <w:pPr>
              <w:jc w:val="center"/>
            </w:pPr>
          </w:p>
          <w:p w14:paraId="086B216C" w14:textId="77777777" w:rsidR="00B36F2D" w:rsidRPr="0044384F" w:rsidRDefault="00B36F2D" w:rsidP="000D2876">
            <w:pPr>
              <w:jc w:val="center"/>
            </w:pPr>
          </w:p>
          <w:p w14:paraId="10EDF1D9" w14:textId="77777777" w:rsidR="00B36F2D" w:rsidRPr="0044384F" w:rsidRDefault="00B36F2D" w:rsidP="000D2876">
            <w:pPr>
              <w:jc w:val="center"/>
            </w:pPr>
          </w:p>
          <w:p w14:paraId="1363BB7F" w14:textId="77777777" w:rsidR="00B36F2D" w:rsidRPr="0044384F" w:rsidRDefault="00B36F2D" w:rsidP="000D2876">
            <w:pPr>
              <w:jc w:val="center"/>
            </w:pPr>
          </w:p>
          <w:p w14:paraId="741CAA4F" w14:textId="77777777" w:rsidR="00B36F2D" w:rsidRPr="0044384F" w:rsidRDefault="00B36F2D" w:rsidP="000D2876">
            <w:pPr>
              <w:jc w:val="center"/>
            </w:pPr>
          </w:p>
          <w:p w14:paraId="0ABE9B3A" w14:textId="77777777" w:rsidR="00B36F2D" w:rsidRPr="0044384F" w:rsidRDefault="00B36F2D" w:rsidP="000D2876">
            <w:pPr>
              <w:jc w:val="center"/>
            </w:pPr>
          </w:p>
          <w:p w14:paraId="4D55C3BB" w14:textId="77777777" w:rsidR="00B36F2D" w:rsidRPr="0044384F" w:rsidRDefault="00B36F2D" w:rsidP="000D2876">
            <w:pPr>
              <w:jc w:val="center"/>
            </w:pPr>
          </w:p>
          <w:p w14:paraId="6E42B798" w14:textId="77777777" w:rsidR="00B36F2D" w:rsidRPr="0044384F" w:rsidRDefault="00B36F2D" w:rsidP="000D2876">
            <w:pPr>
              <w:jc w:val="center"/>
            </w:pPr>
          </w:p>
          <w:p w14:paraId="108A3A2F" w14:textId="77777777" w:rsidR="00B36F2D" w:rsidRPr="0044384F" w:rsidRDefault="00B36F2D" w:rsidP="000D2876">
            <w:pPr>
              <w:jc w:val="center"/>
            </w:pPr>
          </w:p>
          <w:p w14:paraId="21E6C936" w14:textId="77777777" w:rsidR="00B36F2D" w:rsidRPr="0044384F" w:rsidRDefault="00B36F2D" w:rsidP="000D2876">
            <w:pPr>
              <w:jc w:val="center"/>
            </w:pPr>
          </w:p>
          <w:p w14:paraId="2DC1CF92" w14:textId="77777777" w:rsidR="00B36F2D" w:rsidRPr="0044384F" w:rsidRDefault="00B36F2D" w:rsidP="000D2876">
            <w:pPr>
              <w:jc w:val="center"/>
            </w:pPr>
          </w:p>
          <w:p w14:paraId="7F44DB4B" w14:textId="77777777" w:rsidR="00B36F2D" w:rsidRPr="0044384F" w:rsidRDefault="00B36F2D" w:rsidP="000D2876">
            <w:pPr>
              <w:jc w:val="center"/>
            </w:pPr>
          </w:p>
          <w:p w14:paraId="0F9DC27C" w14:textId="77777777" w:rsidR="00B36F2D" w:rsidRPr="0044384F" w:rsidRDefault="00B36F2D" w:rsidP="000D2876">
            <w:pPr>
              <w:jc w:val="center"/>
            </w:pPr>
          </w:p>
          <w:p w14:paraId="323ADACD" w14:textId="77777777" w:rsidR="00B36F2D" w:rsidRPr="0044384F" w:rsidRDefault="00B36F2D" w:rsidP="000D2876">
            <w:pPr>
              <w:jc w:val="center"/>
            </w:pPr>
          </w:p>
          <w:p w14:paraId="16E8B674" w14:textId="77777777" w:rsidR="00B36F2D" w:rsidRPr="0044384F" w:rsidRDefault="00B36F2D" w:rsidP="000D2876">
            <w:pPr>
              <w:jc w:val="center"/>
            </w:pPr>
          </w:p>
          <w:p w14:paraId="78AC3AA8" w14:textId="77777777" w:rsidR="00B36F2D" w:rsidRPr="0044384F" w:rsidRDefault="00B36F2D" w:rsidP="000D2876">
            <w:pPr>
              <w:jc w:val="center"/>
            </w:pPr>
          </w:p>
          <w:p w14:paraId="025339EB" w14:textId="77777777" w:rsidR="00B36F2D" w:rsidRPr="0044384F" w:rsidRDefault="00B36F2D" w:rsidP="000D2876">
            <w:pPr>
              <w:jc w:val="center"/>
            </w:pPr>
          </w:p>
          <w:p w14:paraId="4DE19BA6" w14:textId="77777777" w:rsidR="00B36F2D" w:rsidRPr="0044384F" w:rsidRDefault="00B36F2D" w:rsidP="000D2876">
            <w:pPr>
              <w:jc w:val="center"/>
            </w:pPr>
          </w:p>
          <w:p w14:paraId="631D20BF" w14:textId="77777777" w:rsidR="00B36F2D" w:rsidRPr="0044384F" w:rsidRDefault="00B36F2D" w:rsidP="000D2876">
            <w:pPr>
              <w:jc w:val="center"/>
            </w:pPr>
          </w:p>
          <w:p w14:paraId="6F7E3060" w14:textId="77777777" w:rsidR="00B36F2D" w:rsidRPr="0044384F" w:rsidRDefault="00B36F2D" w:rsidP="000D2876">
            <w:pPr>
              <w:jc w:val="center"/>
            </w:pPr>
          </w:p>
          <w:p w14:paraId="5712CFC8" w14:textId="77777777" w:rsidR="00B36F2D" w:rsidRPr="0044384F" w:rsidRDefault="00B36F2D" w:rsidP="000D2876">
            <w:pPr>
              <w:jc w:val="center"/>
            </w:pPr>
          </w:p>
          <w:p w14:paraId="07B9FDB5" w14:textId="77777777" w:rsidR="00B36F2D" w:rsidRPr="0044384F" w:rsidRDefault="00B36F2D" w:rsidP="000D2876">
            <w:pPr>
              <w:jc w:val="center"/>
            </w:pPr>
          </w:p>
          <w:p w14:paraId="0546B843" w14:textId="77777777" w:rsidR="00B36F2D" w:rsidRPr="0044384F" w:rsidRDefault="00B36F2D" w:rsidP="000D2876">
            <w:pPr>
              <w:jc w:val="center"/>
            </w:pPr>
          </w:p>
          <w:p w14:paraId="05179BF7" w14:textId="77777777" w:rsidR="00B36F2D" w:rsidRPr="0044384F" w:rsidRDefault="00B36F2D" w:rsidP="000D2876">
            <w:pPr>
              <w:jc w:val="center"/>
            </w:pPr>
          </w:p>
          <w:p w14:paraId="75C6F9FD" w14:textId="77777777" w:rsidR="00B36F2D" w:rsidRPr="0044384F" w:rsidRDefault="00B36F2D" w:rsidP="000D2876">
            <w:pPr>
              <w:jc w:val="center"/>
            </w:pPr>
          </w:p>
          <w:p w14:paraId="6D716601" w14:textId="77777777" w:rsidR="00B36F2D" w:rsidRPr="0044384F" w:rsidRDefault="00B36F2D" w:rsidP="000D2876">
            <w:pPr>
              <w:jc w:val="center"/>
            </w:pPr>
          </w:p>
          <w:p w14:paraId="32632163" w14:textId="77777777" w:rsidR="00B36F2D" w:rsidRPr="0044384F" w:rsidRDefault="00B36F2D" w:rsidP="000D2876">
            <w:pPr>
              <w:jc w:val="center"/>
            </w:pPr>
          </w:p>
          <w:p w14:paraId="20049188" w14:textId="77777777" w:rsidR="00B36F2D" w:rsidRPr="0044384F" w:rsidRDefault="00B36F2D" w:rsidP="000D2876">
            <w:pPr>
              <w:jc w:val="center"/>
            </w:pPr>
          </w:p>
          <w:p w14:paraId="6A4FDB95" w14:textId="77777777" w:rsidR="00B36F2D" w:rsidRPr="0044384F" w:rsidRDefault="00B36F2D" w:rsidP="000D2876">
            <w:pPr>
              <w:jc w:val="center"/>
            </w:pPr>
          </w:p>
          <w:p w14:paraId="14A7C06B" w14:textId="77777777" w:rsidR="00B36F2D" w:rsidRPr="0044384F" w:rsidRDefault="00B36F2D" w:rsidP="000D2876">
            <w:pPr>
              <w:jc w:val="center"/>
            </w:pPr>
          </w:p>
          <w:p w14:paraId="028D81D2" w14:textId="77777777" w:rsidR="00B36F2D" w:rsidRPr="0044384F" w:rsidRDefault="00B36F2D" w:rsidP="000D2876">
            <w:pPr>
              <w:jc w:val="center"/>
            </w:pPr>
          </w:p>
          <w:p w14:paraId="09BA0A91" w14:textId="77777777" w:rsidR="00B36F2D" w:rsidRPr="0044384F" w:rsidRDefault="00B36F2D" w:rsidP="000D2876">
            <w:pPr>
              <w:jc w:val="center"/>
            </w:pPr>
          </w:p>
          <w:p w14:paraId="413415C6" w14:textId="77777777" w:rsidR="00B36F2D" w:rsidRPr="0044384F" w:rsidRDefault="00B36F2D" w:rsidP="000D2876">
            <w:pPr>
              <w:jc w:val="center"/>
            </w:pPr>
          </w:p>
          <w:p w14:paraId="06342723" w14:textId="77777777" w:rsidR="00B36F2D" w:rsidRPr="0044384F" w:rsidRDefault="00B36F2D" w:rsidP="000D2876">
            <w:pPr>
              <w:jc w:val="center"/>
            </w:pPr>
          </w:p>
          <w:p w14:paraId="19CE2895" w14:textId="77777777" w:rsidR="00B36F2D" w:rsidRPr="0044384F" w:rsidRDefault="00B36F2D" w:rsidP="000D2876">
            <w:pPr>
              <w:jc w:val="center"/>
            </w:pPr>
          </w:p>
          <w:p w14:paraId="14F79ED1" w14:textId="77777777" w:rsidR="00B36F2D" w:rsidRPr="0044384F" w:rsidRDefault="00B36F2D" w:rsidP="000D2876">
            <w:pPr>
              <w:jc w:val="center"/>
            </w:pPr>
          </w:p>
          <w:p w14:paraId="7A9484B9" w14:textId="77777777" w:rsidR="00B36F2D" w:rsidRPr="0044384F" w:rsidRDefault="00B36F2D" w:rsidP="000D2876">
            <w:pPr>
              <w:jc w:val="center"/>
            </w:pPr>
          </w:p>
          <w:p w14:paraId="2EB4B461" w14:textId="77777777" w:rsidR="00B36F2D" w:rsidRPr="0044384F" w:rsidRDefault="00B36F2D" w:rsidP="000D2876">
            <w:pPr>
              <w:jc w:val="center"/>
            </w:pPr>
          </w:p>
          <w:p w14:paraId="6578BAC9" w14:textId="77777777" w:rsidR="00B36F2D" w:rsidRPr="0044384F" w:rsidRDefault="00B36F2D" w:rsidP="000D2876">
            <w:pPr>
              <w:jc w:val="center"/>
            </w:pPr>
          </w:p>
          <w:p w14:paraId="63A2B125" w14:textId="77777777" w:rsidR="00B36F2D" w:rsidRPr="0044384F" w:rsidRDefault="00B36F2D" w:rsidP="000D2876">
            <w:pPr>
              <w:jc w:val="center"/>
            </w:pPr>
          </w:p>
          <w:p w14:paraId="7372C981" w14:textId="77777777" w:rsidR="00B36F2D" w:rsidRPr="0044384F" w:rsidRDefault="00B36F2D" w:rsidP="000D2876">
            <w:pPr>
              <w:jc w:val="center"/>
            </w:pPr>
          </w:p>
          <w:p w14:paraId="15A95DBD" w14:textId="77777777" w:rsidR="00B36F2D" w:rsidRPr="0044384F" w:rsidRDefault="00B36F2D" w:rsidP="000D2876">
            <w:pPr>
              <w:jc w:val="center"/>
            </w:pPr>
          </w:p>
          <w:p w14:paraId="1D7DE983" w14:textId="77777777" w:rsidR="00B36F2D" w:rsidRPr="0044384F" w:rsidRDefault="00B36F2D" w:rsidP="000D2876">
            <w:pPr>
              <w:jc w:val="center"/>
            </w:pPr>
          </w:p>
          <w:p w14:paraId="027415DE" w14:textId="77777777" w:rsidR="00B36F2D" w:rsidRPr="0044384F" w:rsidRDefault="00B36F2D" w:rsidP="000D2876">
            <w:pPr>
              <w:jc w:val="center"/>
            </w:pPr>
          </w:p>
          <w:p w14:paraId="3A779FDE" w14:textId="77777777" w:rsidR="00B36F2D" w:rsidRPr="0044384F" w:rsidRDefault="00B36F2D" w:rsidP="000D2876">
            <w:pPr>
              <w:jc w:val="center"/>
            </w:pPr>
          </w:p>
          <w:p w14:paraId="1A3CE6AA" w14:textId="77777777" w:rsidR="00B36F2D" w:rsidRPr="0044384F" w:rsidRDefault="00B36F2D" w:rsidP="000D2876">
            <w:pPr>
              <w:jc w:val="center"/>
            </w:pPr>
          </w:p>
          <w:p w14:paraId="2D69B82A" w14:textId="77777777" w:rsidR="00B36F2D" w:rsidRPr="0044384F" w:rsidRDefault="00B36F2D" w:rsidP="000D2876">
            <w:pPr>
              <w:jc w:val="center"/>
            </w:pPr>
          </w:p>
          <w:p w14:paraId="4BCAE3C5" w14:textId="77777777" w:rsidR="00B36F2D" w:rsidRPr="0044384F" w:rsidRDefault="00B36F2D" w:rsidP="000D2876">
            <w:pPr>
              <w:pStyle w:val="naisc"/>
              <w:spacing w:before="0" w:after="0"/>
              <w:rPr>
                <w:b/>
                <w:bCs/>
              </w:rPr>
            </w:pPr>
          </w:p>
          <w:p w14:paraId="4190E577" w14:textId="77777777" w:rsidR="00B36F2D" w:rsidRPr="0044384F" w:rsidRDefault="00B36F2D" w:rsidP="000D2876">
            <w:pPr>
              <w:pStyle w:val="naisc"/>
              <w:spacing w:before="0" w:after="0"/>
              <w:rPr>
                <w:b/>
                <w:bCs/>
              </w:rPr>
            </w:pPr>
          </w:p>
          <w:p w14:paraId="53B8D08D" w14:textId="77777777" w:rsidR="00B36F2D" w:rsidRPr="0044384F" w:rsidRDefault="00B36F2D" w:rsidP="000D2876">
            <w:pPr>
              <w:pStyle w:val="naisc"/>
              <w:spacing w:before="0" w:after="0"/>
              <w:rPr>
                <w:b/>
                <w:bCs/>
              </w:rPr>
            </w:pPr>
            <w:r w:rsidRPr="0044384F">
              <w:rPr>
                <w:b/>
                <w:bCs/>
              </w:rPr>
              <w:t>Ņemts vērā</w:t>
            </w:r>
          </w:p>
          <w:p w14:paraId="0D440BC8" w14:textId="34E0D933" w:rsidR="00BE4B27" w:rsidRPr="0044384F" w:rsidRDefault="00B36F2D" w:rsidP="000D2876">
            <w:pPr>
              <w:jc w:val="center"/>
            </w:pPr>
            <w:r w:rsidRPr="0044384F">
              <w:t>Konkrētā grozījuma pamatojums iekļauts anotācijā. Anotācijas I. sadaļas 2. punkts ir papildināts</w:t>
            </w:r>
            <w:r w:rsidR="00414033" w:rsidRPr="0044384F">
              <w:t xml:space="preserve"> ar </w:t>
            </w:r>
            <w:r w:rsidRPr="0044384F">
              <w:t xml:space="preserve">pamatojumu kritērijam, kas paredz, ka vidējais darbinieku skaits iepriekšējos trijos kalendāros gados ir vismaz </w:t>
            </w:r>
            <w:r w:rsidR="007E08A2">
              <w:t>5</w:t>
            </w:r>
            <w:r w:rsidRPr="0044384F">
              <w:t>0</w:t>
            </w:r>
            <w:r w:rsidR="00414033" w:rsidRPr="0044384F">
              <w:t xml:space="preserve">. </w:t>
            </w:r>
            <w:r w:rsidRPr="0044384F">
              <w:t xml:space="preserve">Kā arī anotācijas I. sadaļas 2. punkts ir papildināts kontekstā ar tiesiskās paļāvības un samērīguma principa </w:t>
            </w:r>
            <w:proofErr w:type="spellStart"/>
            <w:r w:rsidRPr="0044384F">
              <w:lastRenderedPageBreak/>
              <w:t>izvērtējumu</w:t>
            </w:r>
            <w:proofErr w:type="spellEnd"/>
            <w:r w:rsidRPr="0044384F">
              <w:t>, vienlaikus norādot, ka kritērijs neierobežos Latvijas uzņēmumus ar izaugsmes potenciālu eksporta tirgos.</w:t>
            </w:r>
          </w:p>
        </w:tc>
        <w:tc>
          <w:tcPr>
            <w:tcW w:w="2992" w:type="dxa"/>
            <w:tcBorders>
              <w:top w:val="single" w:sz="4" w:space="0" w:color="auto"/>
              <w:left w:val="single" w:sz="4" w:space="0" w:color="auto"/>
              <w:bottom w:val="single" w:sz="4" w:space="0" w:color="auto"/>
            </w:tcBorders>
          </w:tcPr>
          <w:p w14:paraId="0684A478" w14:textId="77777777" w:rsidR="00EF4A40" w:rsidRPr="0044384F" w:rsidRDefault="00EF4A40" w:rsidP="000D2876">
            <w:pPr>
              <w:pStyle w:val="naisc"/>
              <w:spacing w:before="0" w:after="0"/>
              <w:jc w:val="both"/>
              <w:rPr>
                <w:b/>
                <w:bCs/>
              </w:rPr>
            </w:pPr>
            <w:r w:rsidRPr="0044384F">
              <w:rPr>
                <w:b/>
                <w:bCs/>
              </w:rPr>
              <w:lastRenderedPageBreak/>
              <w:t>MK noteikumu Nr. 395 1.3. apakšpunkts:</w:t>
            </w:r>
          </w:p>
          <w:p w14:paraId="29A63489" w14:textId="23568C21" w:rsidR="00EF4A40" w:rsidRPr="0044384F" w:rsidRDefault="00EF4A40" w:rsidP="000D2876">
            <w:pPr>
              <w:jc w:val="both"/>
            </w:pPr>
            <w:r w:rsidRPr="0044384F">
              <w:t>“1.3. Papildināt noteikumus ar 5.5.</w:t>
            </w:r>
            <w:r w:rsidR="00F00AFF" w:rsidRPr="0044384F">
              <w:t xml:space="preserve"> </w:t>
            </w:r>
            <w:r w:rsidRPr="0044384F">
              <w:t>apakšpunktu šādā redakcijā:</w:t>
            </w:r>
          </w:p>
          <w:p w14:paraId="683A344C" w14:textId="06238D43" w:rsidR="003365CB" w:rsidRPr="0044384F" w:rsidRDefault="00EF4A40" w:rsidP="000D2876">
            <w:pPr>
              <w:jc w:val="both"/>
            </w:pPr>
            <w:r w:rsidRPr="0044384F">
              <w:t xml:space="preserve">“5.5. </w:t>
            </w:r>
            <w:r w:rsidR="003365CB" w:rsidRPr="0044384F">
              <w:t xml:space="preserve">komersanta darbinieku vidējais skaits saimnieciskās darbības nozarē, kas atbilst šo noteikumu 1. pielikumā </w:t>
            </w:r>
            <w:r w:rsidR="003365CB" w:rsidRPr="0044384F">
              <w:lastRenderedPageBreak/>
              <w:t xml:space="preserve">minētajām nozarēm, iepriekšējos trijos kalendāros gados ir vismaz </w:t>
            </w:r>
            <w:r w:rsidR="00CF0D88">
              <w:t>5</w:t>
            </w:r>
            <w:r w:rsidR="005F0347" w:rsidRPr="0044384F">
              <w:t>0</w:t>
            </w:r>
            <w:r w:rsidR="003365CB" w:rsidRPr="0044384F">
              <w:t>.”;</w:t>
            </w:r>
            <w:r w:rsidRPr="0044384F">
              <w:t>”</w:t>
            </w:r>
          </w:p>
          <w:p w14:paraId="2379539F" w14:textId="0089B882" w:rsidR="005F0347" w:rsidRPr="0044384F" w:rsidRDefault="005F0347" w:rsidP="000D2876">
            <w:pPr>
              <w:jc w:val="both"/>
            </w:pPr>
          </w:p>
          <w:p w14:paraId="34AEC7C7" w14:textId="77777777" w:rsidR="005F0347" w:rsidRPr="0044384F" w:rsidRDefault="005F0347" w:rsidP="000D2876">
            <w:pPr>
              <w:jc w:val="both"/>
              <w:rPr>
                <w:b/>
                <w:bCs/>
              </w:rPr>
            </w:pPr>
            <w:r w:rsidRPr="0044384F">
              <w:rPr>
                <w:b/>
                <w:bCs/>
              </w:rPr>
              <w:t>Anotācijas I. sadaļas 2. punkts ir papildināts šādā redakcijā:</w:t>
            </w:r>
          </w:p>
          <w:p w14:paraId="3E77FA1D" w14:textId="19A9D54C" w:rsidR="005F0347" w:rsidRPr="0044384F" w:rsidRDefault="005F0347" w:rsidP="000D2876">
            <w:pPr>
              <w:jc w:val="both"/>
            </w:pPr>
            <w:r w:rsidRPr="0044384F">
              <w:t xml:space="preserve">“Ņemot vērā, ka primāri Covid-19 krīzes pārvarēšanā jāveicina esošo darba vietu saglabāšanu, kā arī ierobežoto finansējuma apjomu atbalsta sniegšanai, tiek piedāvāts kā kritēriju atbalsta saņemšanai noteikt minimālo darbinieku skaitu uzņēmumā vidēji pēdējos 3 gados – </w:t>
            </w:r>
            <w:r w:rsidR="00CF0D88">
              <w:t>5</w:t>
            </w:r>
            <w:r w:rsidRPr="0044384F">
              <w:t>0 darbinieki.</w:t>
            </w:r>
            <w:r w:rsidR="00A01C10" w:rsidRPr="0044384F">
              <w:t xml:space="preserve"> </w:t>
            </w:r>
            <w:r w:rsidR="00CF0D88" w:rsidRPr="00025797">
              <w:t xml:space="preserve">Nodarbināto skaita kritērijs </w:t>
            </w:r>
            <w:r w:rsidR="00CF0D88">
              <w:t xml:space="preserve">– </w:t>
            </w:r>
            <w:r w:rsidR="00CF0D88" w:rsidRPr="00025797">
              <w:t>50 darbinieki</w:t>
            </w:r>
            <w:r w:rsidR="00CF0D88">
              <w:t xml:space="preserve"> –</w:t>
            </w:r>
            <w:r w:rsidR="00CF0D88" w:rsidRPr="00025797">
              <w:t xml:space="preserve"> atbilst kopumā 264 lielākajiem apstrādes rūpniecības uzņēmumiem, kuru kopējais eksporta apjoms 2019. gadā sasniedza 3,18 miljardus </w:t>
            </w:r>
            <w:proofErr w:type="spellStart"/>
            <w:r w:rsidR="00CF0D88" w:rsidRPr="00025797">
              <w:rPr>
                <w:i/>
                <w:iCs/>
              </w:rPr>
              <w:t>euro</w:t>
            </w:r>
            <w:proofErr w:type="spellEnd"/>
            <w:r w:rsidR="00CF0D88" w:rsidRPr="00025797">
              <w:t xml:space="preserve">. Saskaņā ar Centrālās statistikas pārvaldes datiem par eksportu sadalījumā pa preču sadaļām un pēc uzņēmuma darbības veida, tad 264 lielākie apstrādes rūpniecības uzņēmumi (ar nodarbināto skaitu virs 50 un </w:t>
            </w:r>
            <w:r w:rsidR="00CF0D88" w:rsidRPr="00025797">
              <w:lastRenderedPageBreak/>
              <w:t xml:space="preserve">elektroenerģijas patēriņu virs 500 </w:t>
            </w:r>
            <w:proofErr w:type="spellStart"/>
            <w:r w:rsidR="00CF0D88" w:rsidRPr="00025797">
              <w:t>MWh</w:t>
            </w:r>
            <w:proofErr w:type="spellEnd"/>
            <w:r w:rsidR="00CF0D88" w:rsidRPr="00025797">
              <w:t>) nodrošināja 62</w:t>
            </w:r>
            <w:r w:rsidR="00CF0D88">
              <w:t xml:space="preserve"> </w:t>
            </w:r>
            <w:r w:rsidR="00CF0D88" w:rsidRPr="00025797">
              <w:t xml:space="preserve">% no visa apstrādes rūpniecības preču eksporta apjoma. Kritērijs neierobežos Latvijas uzņēmumus ar izaugsmes potenciālu </w:t>
            </w:r>
            <w:r w:rsidR="00CF0D88" w:rsidRPr="00DA1B9E">
              <w:t>eksporta tirgos</w:t>
            </w:r>
            <w:r w:rsidR="00A01C10" w:rsidRPr="0044384F">
              <w:t xml:space="preserve">. Noteikumu projektam pievienots Ministru kabineta sēdes </w:t>
            </w:r>
            <w:proofErr w:type="spellStart"/>
            <w:r w:rsidR="00A01C10" w:rsidRPr="0044384F">
              <w:t>protokollēmuma</w:t>
            </w:r>
            <w:proofErr w:type="spellEnd"/>
            <w:r w:rsidR="00A01C10" w:rsidRPr="0044384F">
              <w:t xml:space="preserve"> projekts, kurā noteikts, ka Ekonomikas ministrijai sadarbībā ar Finanšu ministriju atbilstoši aktualizētajām prognozēm jāizvērtē finansējuma pietiekamību atbalstam </w:t>
            </w:r>
            <w:proofErr w:type="spellStart"/>
            <w:r w:rsidR="00A01C10" w:rsidRPr="0044384F">
              <w:t>energointensīvajiem</w:t>
            </w:r>
            <w:proofErr w:type="spellEnd"/>
            <w:r w:rsidR="00A01C10" w:rsidRPr="0044384F">
              <w:t xml:space="preserve"> uzņēmumiem 2022. gada budžeta izstrādes procesā salīdzinājumā ar vidēja termiņa budžetā 2021.-2023. gadam noteikto finansējuma apjomu un nepieciešamības gadījumā novirzīt šim mērķim papildu finanšu resursus, primāri izvērtējot pārdales iespējas Ekonomikas ministrijas valsts budžeta apakšprogrammas 29.02.00 “Elektroenerģijas lietotāju </w:t>
            </w:r>
            <w:r w:rsidR="00A01C10" w:rsidRPr="0044384F">
              <w:lastRenderedPageBreak/>
              <w:t xml:space="preserve">atbalsts” ietvaros vai papildu akciju sabiedrības “Latvenergo” ikgadējo dividenžu novirzīšanu Ekonomikas ministrijas valsts budžeta apakšprogrammai 29.02.00 “Elektroenerģijas lietotāju atbalsts” nepieciešamajā apjomā. Tādējādi rasta iespēja samazināt kritēriju par minimālo darbinieku skaitu (sākotnēji tika piedāvāts to noteikt – 200, pieņemot, ka finansējuma apjoms ir – 7 milj. </w:t>
            </w:r>
            <w:proofErr w:type="spellStart"/>
            <w:r w:rsidR="00A01C10" w:rsidRPr="0044384F">
              <w:rPr>
                <w:i/>
                <w:iCs/>
              </w:rPr>
              <w:t>euro</w:t>
            </w:r>
            <w:proofErr w:type="spellEnd"/>
            <w:r w:rsidR="00A01C10" w:rsidRPr="0044384F">
              <w:t>), vienlaikus nodrošinot finansējuma pietiekamību atbalsta izmaksu segšanai.</w:t>
            </w:r>
            <w:r w:rsidRPr="0044384F">
              <w:t xml:space="preserve"> Papildus kritērija noteikšana ir pamatota kontekstā ar noteikumu projektā iekļauto grozījumu, kas paredz paplašināt nozaru tvērumu</w:t>
            </w:r>
            <w:r w:rsidR="001C6997" w:rsidRPr="0044384F">
              <w:t xml:space="preserve"> un daļai uzņēmumu samazināt </w:t>
            </w:r>
            <w:proofErr w:type="spellStart"/>
            <w:r w:rsidR="001C6997" w:rsidRPr="0044384F">
              <w:t>energointensitātes</w:t>
            </w:r>
            <w:proofErr w:type="spellEnd"/>
            <w:r w:rsidR="001C6997" w:rsidRPr="0044384F">
              <w:t xml:space="preserve"> slieksni</w:t>
            </w:r>
            <w:r w:rsidRPr="0044384F">
              <w:t xml:space="preserve">, apzinoties, ka, paplašinot atbalstāmo nozaru loku, kas ir viens no noteikumu projekta mērķiem, lai dotu iespēju pieteikties atbalstam nozaru uzņēmumiem, kuriem </w:t>
            </w:r>
            <w:r w:rsidRPr="0044384F">
              <w:lastRenderedPageBreak/>
              <w:t>saskaņā ar līdzšinējiem spēkā esošajiem MK noteikumu Nr. 395 nosacījumiem šāda iespēja bija liegta, ir jāņem vērā pieejamā finansējuma apmērs atbalsta pasākuma ietvaros. Tādējādi, lai rastu balansu starp potenciālo atbalsta saņēmēju skaita pieaugumu un ierobežoto pieejamā finansējuma apjomu, ir nepieciešams noteikt papildu kritēriju.”</w:t>
            </w:r>
          </w:p>
          <w:p w14:paraId="6CBA7955" w14:textId="103010C7" w:rsidR="00A01C10" w:rsidRPr="0044384F" w:rsidRDefault="00A01C10" w:rsidP="000D2876">
            <w:pPr>
              <w:jc w:val="both"/>
            </w:pPr>
          </w:p>
          <w:p w14:paraId="6971890C" w14:textId="77777777" w:rsidR="00A01C10" w:rsidRPr="0044384F" w:rsidRDefault="00A01C10" w:rsidP="000D2876">
            <w:pPr>
              <w:jc w:val="both"/>
              <w:rPr>
                <w:b/>
                <w:bCs/>
              </w:rPr>
            </w:pPr>
            <w:r w:rsidRPr="0044384F">
              <w:rPr>
                <w:b/>
                <w:bCs/>
              </w:rPr>
              <w:t>Anotācijas I. sadaļas 2. punkts ir papildināts šādā redakcijā:</w:t>
            </w:r>
          </w:p>
          <w:p w14:paraId="126FCCD5" w14:textId="14743126" w:rsidR="00A01C10" w:rsidRPr="0044384F" w:rsidRDefault="00A01C10" w:rsidP="000D2876">
            <w:pPr>
              <w:jc w:val="both"/>
              <w:rPr>
                <w:shd w:val="clear" w:color="auto" w:fill="FFFFFF"/>
              </w:rPr>
            </w:pPr>
            <w:r w:rsidRPr="0044384F">
              <w:t xml:space="preserve">“Tiesiskās paļāvības </w:t>
            </w:r>
            <w:r w:rsidRPr="0044384F">
              <w:rPr>
                <w:shd w:val="clear" w:color="auto" w:fill="FFFFFF"/>
              </w:rPr>
              <w:t xml:space="preserve">princips nosaka, ka privātpersona var paļauties, ka iestādes rīcība ir tiesiska un konsekventa. Iestādes kļūda, kuras pieļaušanā privātpersona nav vainojama, nedrīkst radīt privātpersonai nelabvēlīgas sekas. Šobrīd MK noteikumi Nr. 395 paredz, ka obligātā iepirkuma komponentes izmaksas tiek kompensētas par periodu līdz 2020. gadam, izmaksas sedzot 2021.gadā, kas atbilst spēkā </w:t>
            </w:r>
            <w:r w:rsidRPr="0044384F">
              <w:rPr>
                <w:shd w:val="clear" w:color="auto" w:fill="FFFFFF"/>
              </w:rPr>
              <w:lastRenderedPageBreak/>
              <w:t>esošos valsts atbalsta vadlīniju termiņam. Ņemot vērā, ka līdzšinējā MK noteikumu Nr. 395 redakcijā ir noteikts konkrēts termiņš, par kuru piešķir atbalstu, kā arī to, ka Eiropas Komisijas Konkurences ģenerāldirektorāts Komisijas paziņojumu pieņēma 2020. gada 2. jūlijā, un tas dod dalībvalstīm tikai iespēju</w:t>
            </w:r>
            <w:r w:rsidR="0043344D" w:rsidRPr="0044384F">
              <w:rPr>
                <w:shd w:val="clear" w:color="auto" w:fill="FFFFFF"/>
              </w:rPr>
              <w:t>,</w:t>
            </w:r>
            <w:r w:rsidRPr="0044384F">
              <w:rPr>
                <w:shd w:val="clear" w:color="auto" w:fill="FFFFFF"/>
              </w:rPr>
              <w:t xml:space="preserve"> nevis pienākumu šo atbalstu pagarināt, komersantiem netika dots pamats izveidoties tiesiskajai paļāvībai par atbalsta turpināšanu pēc 2021. gada.</w:t>
            </w:r>
            <w:r w:rsidR="0043344D" w:rsidRPr="0044384F">
              <w:rPr>
                <w:shd w:val="clear" w:color="auto" w:fill="FFFFFF"/>
              </w:rPr>
              <w:t>”</w:t>
            </w:r>
          </w:p>
          <w:p w14:paraId="6ABCE139" w14:textId="66DB68EA" w:rsidR="0043344D" w:rsidRPr="0044384F" w:rsidRDefault="0043344D" w:rsidP="000D2876">
            <w:pPr>
              <w:jc w:val="both"/>
              <w:rPr>
                <w:shd w:val="clear" w:color="auto" w:fill="FFFFFF"/>
              </w:rPr>
            </w:pPr>
          </w:p>
          <w:p w14:paraId="740F5EEF" w14:textId="77777777" w:rsidR="0043344D" w:rsidRPr="0044384F" w:rsidRDefault="0043344D" w:rsidP="000D2876">
            <w:pPr>
              <w:jc w:val="both"/>
              <w:rPr>
                <w:b/>
                <w:bCs/>
              </w:rPr>
            </w:pPr>
            <w:r w:rsidRPr="0044384F">
              <w:rPr>
                <w:b/>
                <w:bCs/>
              </w:rPr>
              <w:t>Anotācijas I. sadaļas 2. punkts ir papildināts šādā redakcijā:</w:t>
            </w:r>
          </w:p>
          <w:p w14:paraId="1B6A18CF" w14:textId="72E8A4B0" w:rsidR="000214A4" w:rsidRPr="0044384F" w:rsidRDefault="0043344D" w:rsidP="000D2876">
            <w:pPr>
              <w:jc w:val="both"/>
              <w:rPr>
                <w:b/>
                <w:bCs/>
              </w:rPr>
            </w:pPr>
            <w:r w:rsidRPr="0044384F">
              <w:rPr>
                <w:shd w:val="clear" w:color="auto" w:fill="FFFFFF"/>
              </w:rPr>
              <w:t>“</w:t>
            </w:r>
            <w:r w:rsidR="007A3A5D" w:rsidRPr="0044384F">
              <w:rPr>
                <w:iCs/>
              </w:rPr>
              <w:t xml:space="preserve">Atbalstu saskaņā ar MK noteikumu Nr. 395 spēkā esošo redakciju ir paredzēts sniegt par periodu līdz 2020. gada 31. decembrim. Noteikumu projekta 1.3. apakšpunktā paredzētais ierobežojums un noteikumu projekta 1.1., 1.8. un 1.9. apakšpunktā ietvertie nosacījumi attieksies uz </w:t>
            </w:r>
            <w:r w:rsidR="007A3A5D" w:rsidRPr="0044384F">
              <w:rPr>
                <w:iCs/>
              </w:rPr>
              <w:lastRenderedPageBreak/>
              <w:t>komersantiem, kuriem atbalsts tiks sniegts par 2021. gadu. Ņemot vērā minēto, komersantiem nevarēja izveidoties tiesiskā paļāvība, ka atbalsta sniegšana saskaņā ar spēkā esošo normatīvo aktu turpināsies arī 2021. gadā vai, ka tā sniegšanai tiks piemēroti tādi paši kritēriji kā atbalsta sniegšanai par 2020. gadu. Proti, izskatāmajā gadījumā spēkā esošais normatīvais akts vispār neparedzēja atbalsta sniegšanu par 2021. gadu</w:t>
            </w:r>
            <w:r w:rsidRPr="0044384F">
              <w:rPr>
                <w:iCs/>
              </w:rPr>
              <w:t>.”</w:t>
            </w:r>
          </w:p>
        </w:tc>
      </w:tr>
      <w:tr w:rsidR="0044384F" w:rsidRPr="0044384F" w14:paraId="37ACDFA3"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37C9DF4F" w14:textId="1B8866EC" w:rsidR="003C1735" w:rsidRPr="0044384F" w:rsidRDefault="003C1735"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4E4E675F" w14:textId="29B4689C" w:rsidR="003C1735" w:rsidRPr="0044384F" w:rsidRDefault="003C1735" w:rsidP="000D2876">
            <w:pPr>
              <w:pStyle w:val="naisc"/>
              <w:spacing w:before="0" w:after="0"/>
              <w:jc w:val="both"/>
              <w:rPr>
                <w:b/>
                <w:bCs/>
              </w:rPr>
            </w:pPr>
            <w:r w:rsidRPr="0044384F">
              <w:rPr>
                <w:b/>
                <w:bCs/>
              </w:rPr>
              <w:t>MK noteikumu Nr. 395 1.3. apakšpunkts:</w:t>
            </w:r>
          </w:p>
          <w:p w14:paraId="3986533F" w14:textId="77777777" w:rsidR="003C1735" w:rsidRPr="0044384F" w:rsidRDefault="003C1735" w:rsidP="000D2876">
            <w:pPr>
              <w:jc w:val="both"/>
            </w:pPr>
            <w:r w:rsidRPr="0044384F">
              <w:lastRenderedPageBreak/>
              <w:t>“1.3. Papildināt noteikumus ar 36.punktu šādā redakcijā:</w:t>
            </w:r>
          </w:p>
          <w:p w14:paraId="713458C6" w14:textId="77777777" w:rsidR="003C1735" w:rsidRPr="0044384F" w:rsidRDefault="003C1735" w:rsidP="000D2876">
            <w:pPr>
              <w:jc w:val="both"/>
              <w:rPr>
                <w:i/>
                <w:iCs/>
              </w:rPr>
            </w:pPr>
            <w:r w:rsidRPr="0044384F">
              <w:t>“36. Uz obligātā iepirkuma komponentes samazinājumu 2022.gadā var pretendēt šādi komersanti:</w:t>
            </w:r>
          </w:p>
          <w:p w14:paraId="003E8950" w14:textId="77777777" w:rsidR="003C1735" w:rsidRPr="0044384F" w:rsidRDefault="003C1735" w:rsidP="000D2876">
            <w:pPr>
              <w:jc w:val="both"/>
            </w:pPr>
            <w:r w:rsidRPr="0044384F">
              <w:t>36.1. šo noteikumu 10.1.apakšpunktā minētie komersanti, kuriem periodā no 2020. gada 1. janvāra līdz 2021. gada 30. jūnijam ierosināta tiesiskās aizsardzības procesa lieta vai uzsākts un tiek īstenots tiesiskās aizsardzības process, bet šie procesi nebija uzsākti līdz 2019.gada 31.decembrim;</w:t>
            </w:r>
          </w:p>
          <w:p w14:paraId="7A266C65" w14:textId="77777777" w:rsidR="003C1735" w:rsidRPr="0044384F" w:rsidRDefault="003C1735" w:rsidP="000D2876">
            <w:pPr>
              <w:jc w:val="both"/>
            </w:pPr>
            <w:r w:rsidRPr="0044384F">
              <w:t xml:space="preserve">36.2. šo noteikumu 10.2. un 10.3.apakšpunktā minētie komersanti, ja komersants šajā situācijā nonācis periodā no 2020. gada 1. janvāra līdz 2021. gada 30. jūnijam; </w:t>
            </w:r>
          </w:p>
          <w:p w14:paraId="19C0485A" w14:textId="77777777" w:rsidR="003C1735" w:rsidRPr="0044384F" w:rsidRDefault="003C1735" w:rsidP="000D2876">
            <w:pPr>
              <w:shd w:val="clear" w:color="auto" w:fill="FFFFFF"/>
              <w:jc w:val="both"/>
            </w:pPr>
            <w:r w:rsidRPr="0044384F">
              <w:t xml:space="preserve">36.2. šo noteikumu 10.5.apakšpunktā minētie komersanti, ja komersanta Valsts ieņēmumu dienesta administrēto nodokļu (nodevu), tai skaitā valsts sociālās apdrošināšanas </w:t>
            </w:r>
            <w:r w:rsidRPr="0044384F">
              <w:lastRenderedPageBreak/>
              <w:t>obligāto iemaksu parādu kopsumma nepārsniedz attiecīgā komersanta parādu kopsummu periodā no 2020. gada 1. janvāra līdz 2021. gada 30. jūnijam.””</w:t>
            </w:r>
          </w:p>
          <w:p w14:paraId="3B7E45AA" w14:textId="77777777" w:rsidR="003C1735" w:rsidRPr="0044384F" w:rsidRDefault="003C1735" w:rsidP="000D2876">
            <w:pPr>
              <w:shd w:val="clear" w:color="auto" w:fill="FFFFFF"/>
              <w:jc w:val="both"/>
            </w:pPr>
          </w:p>
          <w:p w14:paraId="405027E3" w14:textId="77777777" w:rsidR="003C1735" w:rsidRPr="0044384F" w:rsidRDefault="003C1735" w:rsidP="000D2876">
            <w:pPr>
              <w:shd w:val="clear" w:color="auto" w:fill="FFFFFF"/>
              <w:jc w:val="both"/>
              <w:rPr>
                <w:b/>
                <w:bCs/>
              </w:rPr>
            </w:pPr>
          </w:p>
          <w:p w14:paraId="34934998" w14:textId="77777777" w:rsidR="003C1735" w:rsidRPr="0044384F" w:rsidRDefault="003C1735" w:rsidP="000D2876">
            <w:pPr>
              <w:shd w:val="clear" w:color="auto" w:fill="FFFFFF"/>
              <w:jc w:val="both"/>
              <w:rPr>
                <w:b/>
                <w:bCs/>
              </w:rPr>
            </w:pPr>
          </w:p>
          <w:p w14:paraId="3D391612" w14:textId="77777777" w:rsidR="003C1735" w:rsidRPr="0044384F" w:rsidRDefault="003C1735" w:rsidP="000D2876">
            <w:pPr>
              <w:shd w:val="clear" w:color="auto" w:fill="FFFFFF"/>
              <w:jc w:val="both"/>
              <w:rPr>
                <w:b/>
                <w:bCs/>
              </w:rPr>
            </w:pPr>
          </w:p>
          <w:p w14:paraId="5C8BA016" w14:textId="77777777" w:rsidR="003C1735" w:rsidRPr="0044384F" w:rsidRDefault="003C1735" w:rsidP="000D2876">
            <w:pPr>
              <w:shd w:val="clear" w:color="auto" w:fill="FFFFFF"/>
              <w:jc w:val="both"/>
              <w:rPr>
                <w:b/>
                <w:bCs/>
              </w:rPr>
            </w:pPr>
          </w:p>
          <w:p w14:paraId="75798057" w14:textId="77777777" w:rsidR="003C1735" w:rsidRPr="0044384F" w:rsidRDefault="003C1735" w:rsidP="000D2876">
            <w:pPr>
              <w:shd w:val="clear" w:color="auto" w:fill="FFFFFF"/>
              <w:jc w:val="both"/>
              <w:rPr>
                <w:b/>
                <w:bCs/>
              </w:rPr>
            </w:pPr>
          </w:p>
          <w:p w14:paraId="3E923654" w14:textId="77777777" w:rsidR="003C1735" w:rsidRPr="0044384F" w:rsidRDefault="003C1735" w:rsidP="000D2876">
            <w:pPr>
              <w:shd w:val="clear" w:color="auto" w:fill="FFFFFF"/>
              <w:jc w:val="both"/>
              <w:rPr>
                <w:b/>
                <w:bCs/>
              </w:rPr>
            </w:pPr>
          </w:p>
          <w:p w14:paraId="171E252C" w14:textId="77777777" w:rsidR="003C1735" w:rsidRPr="0044384F" w:rsidRDefault="003C1735" w:rsidP="000D2876">
            <w:pPr>
              <w:shd w:val="clear" w:color="auto" w:fill="FFFFFF"/>
              <w:jc w:val="both"/>
              <w:rPr>
                <w:b/>
                <w:bCs/>
              </w:rPr>
            </w:pPr>
          </w:p>
          <w:p w14:paraId="535E1418" w14:textId="77777777" w:rsidR="003C1735" w:rsidRPr="0044384F" w:rsidRDefault="003C1735" w:rsidP="000D2876">
            <w:pPr>
              <w:shd w:val="clear" w:color="auto" w:fill="FFFFFF"/>
              <w:jc w:val="both"/>
              <w:rPr>
                <w:b/>
                <w:bCs/>
              </w:rPr>
            </w:pPr>
          </w:p>
          <w:p w14:paraId="3A9D3019" w14:textId="77777777" w:rsidR="003C1735" w:rsidRPr="0044384F" w:rsidRDefault="003C1735" w:rsidP="000D2876">
            <w:pPr>
              <w:shd w:val="clear" w:color="auto" w:fill="FFFFFF"/>
              <w:jc w:val="both"/>
              <w:rPr>
                <w:b/>
                <w:bCs/>
              </w:rPr>
            </w:pPr>
          </w:p>
          <w:p w14:paraId="49A4CBC4" w14:textId="77777777" w:rsidR="003C1735" w:rsidRPr="0044384F" w:rsidRDefault="003C1735" w:rsidP="000D2876">
            <w:pPr>
              <w:shd w:val="clear" w:color="auto" w:fill="FFFFFF"/>
              <w:jc w:val="both"/>
              <w:rPr>
                <w:b/>
                <w:bCs/>
              </w:rPr>
            </w:pPr>
          </w:p>
          <w:p w14:paraId="30F4FA76" w14:textId="77777777" w:rsidR="003C1735" w:rsidRPr="0044384F" w:rsidRDefault="003C1735" w:rsidP="000D2876">
            <w:pPr>
              <w:shd w:val="clear" w:color="auto" w:fill="FFFFFF"/>
              <w:jc w:val="both"/>
              <w:rPr>
                <w:b/>
                <w:bCs/>
              </w:rPr>
            </w:pPr>
          </w:p>
          <w:p w14:paraId="4CBC0D11" w14:textId="77777777" w:rsidR="003C1735" w:rsidRPr="0044384F" w:rsidRDefault="003C1735" w:rsidP="000D2876">
            <w:pPr>
              <w:shd w:val="clear" w:color="auto" w:fill="FFFFFF"/>
              <w:jc w:val="both"/>
              <w:rPr>
                <w:b/>
                <w:bCs/>
              </w:rPr>
            </w:pPr>
          </w:p>
          <w:p w14:paraId="5688B4BC" w14:textId="2AD3D1A5" w:rsidR="003C1735" w:rsidRPr="0044384F" w:rsidRDefault="003C1735" w:rsidP="000D2876">
            <w:pPr>
              <w:shd w:val="clear" w:color="auto" w:fill="FFFFFF"/>
              <w:jc w:val="both"/>
              <w:rPr>
                <w:b/>
                <w:bCs/>
              </w:rPr>
            </w:pPr>
          </w:p>
        </w:tc>
        <w:tc>
          <w:tcPr>
            <w:tcW w:w="4337" w:type="dxa"/>
            <w:tcBorders>
              <w:top w:val="single" w:sz="4" w:space="0" w:color="auto"/>
              <w:left w:val="single" w:sz="4" w:space="0" w:color="auto"/>
              <w:bottom w:val="single" w:sz="4" w:space="0" w:color="auto"/>
              <w:right w:val="single" w:sz="4" w:space="0" w:color="auto"/>
            </w:tcBorders>
          </w:tcPr>
          <w:p w14:paraId="558A84BC" w14:textId="46D5A89F" w:rsidR="003C1735" w:rsidRPr="0044384F" w:rsidRDefault="003C1735" w:rsidP="000D2876">
            <w:pPr>
              <w:pStyle w:val="naisc"/>
              <w:spacing w:before="0" w:after="0"/>
              <w:jc w:val="both"/>
              <w:rPr>
                <w:b/>
                <w:bCs/>
              </w:rPr>
            </w:pPr>
            <w:r w:rsidRPr="0044384F">
              <w:rPr>
                <w:b/>
                <w:bCs/>
              </w:rPr>
              <w:lastRenderedPageBreak/>
              <w:t>Finanšu ministrijas 25.11.2020. iebildums:</w:t>
            </w:r>
          </w:p>
          <w:p w14:paraId="3C94E242" w14:textId="77777777" w:rsidR="003C1735" w:rsidRPr="0044384F" w:rsidRDefault="003C1735" w:rsidP="000D2876">
            <w:pPr>
              <w:jc w:val="both"/>
            </w:pPr>
            <w:r w:rsidRPr="0044384F">
              <w:lastRenderedPageBreak/>
              <w:t>“1. Ņemot vērā, ka Pamatnostādņu par valsts atbalstu vides aizsardzībai un enerģētikai 2014.-2020.gadam</w:t>
            </w:r>
            <w:r w:rsidRPr="0044384F">
              <w:rPr>
                <w:shd w:val="clear" w:color="auto" w:fill="FFFFFF"/>
              </w:rPr>
              <w:t xml:space="preserve"> piemērošanas </w:t>
            </w:r>
            <w:r w:rsidRPr="0044384F">
              <w:t>termiņš ir pagarināts līdz 2021.gada 31.decembrim, tad attiecīgi lēmumu par atbalsta piešķiršanu var pieņemt tikai līdz 2021.gada 31.decembrim. Līdz ar to lūdzam precizēt noteikumu projekta 1.3.punktā iekļauto 36.punkta ievaddaļu, nosakot, ka lēmumu par atbalsta piešķiršanu šādiem uzņēmumiem var pieņemt tikai līdz minētajam termiņam līdz 2021.gada 31.decembrim. Attiecīgi lūdzam precizēt arī anotācijā iekļauto informāciju.”</w:t>
            </w:r>
          </w:p>
          <w:p w14:paraId="6A14576D" w14:textId="77777777" w:rsidR="003C1735" w:rsidRPr="0044384F" w:rsidRDefault="003C1735" w:rsidP="000D2876">
            <w:pPr>
              <w:jc w:val="both"/>
            </w:pPr>
          </w:p>
          <w:p w14:paraId="296AE1F7" w14:textId="77777777" w:rsidR="003C1735" w:rsidRPr="0044384F" w:rsidRDefault="003C1735" w:rsidP="000D2876">
            <w:pPr>
              <w:pStyle w:val="naisc"/>
              <w:spacing w:before="0" w:after="0"/>
              <w:jc w:val="both"/>
              <w:rPr>
                <w:b/>
                <w:bCs/>
              </w:rPr>
            </w:pPr>
            <w:r w:rsidRPr="0044384F">
              <w:rPr>
                <w:b/>
                <w:bCs/>
              </w:rPr>
              <w:t>Finanšu ministrijas 25.11.2020. iebildums:</w:t>
            </w:r>
          </w:p>
          <w:p w14:paraId="73F1E225" w14:textId="77777777" w:rsidR="003C1735" w:rsidRPr="0044384F" w:rsidRDefault="003C1735" w:rsidP="000D2876">
            <w:pPr>
              <w:jc w:val="both"/>
            </w:pPr>
            <w:r w:rsidRPr="0044384F">
              <w:t xml:space="preserve">“2. </w:t>
            </w:r>
            <w:r w:rsidRPr="0044384F">
              <w:rPr>
                <w:shd w:val="clear" w:color="auto" w:fill="FFFFFF"/>
              </w:rPr>
              <w:t>Pamatnostādnes par valsts atbalstu vides aizsardzībai un enerģētikai 2014.–2020. gadam, ar</w:t>
            </w:r>
            <w:r w:rsidRPr="0044384F">
              <w:t xml:space="preserve"> </w:t>
            </w:r>
            <w:r w:rsidRPr="0044384F">
              <w:rPr>
                <w:i/>
                <w:iCs/>
                <w:shd w:val="clear" w:color="auto" w:fill="FFFFFF"/>
              </w:rPr>
              <w:t xml:space="preserve">Komisijas paziņojumā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44384F">
              <w:rPr>
                <w:i/>
                <w:iCs/>
                <w:shd w:val="clear" w:color="auto" w:fill="FFFFFF"/>
              </w:rPr>
              <w:t>nefinanšu</w:t>
            </w:r>
            <w:proofErr w:type="spellEnd"/>
            <w:r w:rsidRPr="0044384F">
              <w:rPr>
                <w:i/>
                <w:iCs/>
                <w:shd w:val="clear" w:color="auto" w:fill="FFFFFF"/>
              </w:rPr>
              <w:t xml:space="preserve"> uzņēmumu glābšanai un pārstrukturēšanai un Paziņojumā par kritērijiem, pēc kuriem analizē saderīgumu ar iekšējo tirgu valsts </w:t>
            </w:r>
            <w:r w:rsidRPr="0044384F">
              <w:rPr>
                <w:i/>
                <w:iCs/>
                <w:shd w:val="clear" w:color="auto" w:fill="FFFFFF"/>
              </w:rPr>
              <w:lastRenderedPageBreak/>
              <w:t>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(2020/C 224/02)</w:t>
            </w:r>
            <w:r w:rsidRPr="0044384F">
              <w:rPr>
                <w:shd w:val="clear" w:color="auto" w:fill="FFFFFF"/>
              </w:rPr>
              <w:t xml:space="preserve"> pieņemtajiem grozījumiem, </w:t>
            </w:r>
            <w:r w:rsidRPr="0044384F">
              <w:t>šīs pamatnostādnes var piemērot uzņēmumiem, kas nebija nonākuši grūtībās 2019.gada 31.decembrī, bet kļuva par grūtībās nonākušiem uzņēmumiem laikposmā no 2020.gada 1.janvāra līdz 2021.gada 30.jūnijam. Līdz ar to secināms, ka lēmumu par atbalsta piešķiršanu šādiem uzņēmumiem var pieņemt tikai līdz minētajam termiņam – 30.06.2021., neskatoties uz to, ka uzņēmums var turpināt saskarties ar grūtībām arī pēc minētā termiņa. Attiecīgi lūdzam precizēt gan noteikumu projektu, piemēram, noteikumu projekta 1.3.punktā iekļautā 36.punkta apakšpunktus, gan anotāciju.”</w:t>
            </w:r>
          </w:p>
          <w:p w14:paraId="6C8A99C9" w14:textId="77777777" w:rsidR="008F6E26" w:rsidRPr="0044384F" w:rsidRDefault="008F6E26" w:rsidP="000D2876">
            <w:pPr>
              <w:jc w:val="both"/>
            </w:pPr>
          </w:p>
          <w:p w14:paraId="356A33E6" w14:textId="77777777" w:rsidR="008F6E26" w:rsidRPr="0044384F" w:rsidRDefault="008F6E26" w:rsidP="000D2876">
            <w:pPr>
              <w:pStyle w:val="Body0"/>
              <w:spacing w:line="240" w:lineRule="auto"/>
              <w:jc w:val="both"/>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pPr>
            <w:r w:rsidRPr="0044384F">
              <w:rPr>
                <w:rFonts w:ascii="Times New Roman" w:eastAsia="Times New Roman" w:hAnsi="Times New Roman" w:cs="Times New Roman"/>
                <w:b/>
                <w:bCs/>
                <w:color w:val="auto"/>
                <w:sz w:val="24"/>
                <w:szCs w:val="24"/>
                <w:bdr w:val="none" w:sz="0" w:space="0" w:color="auto"/>
                <w:lang w:eastAsia="lv-LV"/>
                <w14:textOutline w14:w="0" w14:cap="rnd" w14:cmpd="sng" w14:algn="ctr">
                  <w14:noFill/>
                  <w14:prstDash w14:val="solid"/>
                  <w14:bevel/>
                </w14:textOutline>
              </w:rPr>
              <w:t>Tieslietu ministrijas 25.11.2020. iebildums:</w:t>
            </w:r>
          </w:p>
          <w:p w14:paraId="1C3AAFA7" w14:textId="67A45457" w:rsidR="008F6E26" w:rsidRPr="0044384F" w:rsidRDefault="008F6E26" w:rsidP="000D2876">
            <w:pPr>
              <w:pStyle w:val="NormalWeb"/>
              <w:tabs>
                <w:tab w:val="left" w:pos="993"/>
              </w:tabs>
              <w:spacing w:before="0" w:beforeAutospacing="0" w:after="0" w:afterAutospacing="0"/>
              <w:ind w:right="11"/>
              <w:jc w:val="both"/>
              <w:rPr>
                <w:bCs/>
                <w:iCs/>
              </w:rPr>
            </w:pPr>
            <w:r w:rsidRPr="0044384F">
              <w:t xml:space="preserve">“2. </w:t>
            </w:r>
            <w:r w:rsidRPr="0044384F">
              <w:rPr>
                <w:bCs/>
                <w:iCs/>
              </w:rPr>
              <w:t xml:space="preserve">Lūdzam izvērtēt projekta 1.3. apakšpunktā izteiktajā 36. punktā ietvertos nosacījumus un to atbilstību spēkā esošajiem noteikumiem un Maksātnespējas likumam. Lūdzam skaidrot, vai piemērojot </w:t>
            </w:r>
            <w:r w:rsidRPr="0044384F">
              <w:rPr>
                <w:bCs/>
                <w:iCs/>
              </w:rPr>
              <w:lastRenderedPageBreak/>
              <w:t xml:space="preserve">minēto 36. punktu, netiks piemēroti tie spēkā esošo noteikumu 10. punkta apakšpunkti, kas nav minēti 36. punktā. </w:t>
            </w:r>
          </w:p>
          <w:p w14:paraId="1271686C" w14:textId="77777777" w:rsidR="008F6E26" w:rsidRPr="0044384F" w:rsidRDefault="008F6E26" w:rsidP="000D2876">
            <w:pPr>
              <w:pStyle w:val="NormalWeb"/>
              <w:tabs>
                <w:tab w:val="left" w:pos="993"/>
              </w:tabs>
              <w:spacing w:before="0" w:beforeAutospacing="0" w:after="0" w:afterAutospacing="0"/>
              <w:ind w:right="11" w:firstLine="709"/>
              <w:jc w:val="both"/>
              <w:rPr>
                <w:bCs/>
                <w:iCs/>
              </w:rPr>
            </w:pPr>
            <w:r w:rsidRPr="0044384F">
              <w:rPr>
                <w:bCs/>
                <w:iCs/>
              </w:rPr>
              <w:t>Norādām arī, ka 36. punktā ietvertās norādes uz spēkā esošo noteikumu 10.1., 10.2., 10.3. un 10.5. apakšpunktu neveido loģisku saikni, jo 10. punktā ir noteikti tie gadījumi, kad komersants nevar pretendēt uz obligātā iepirkuma komponentes samazinājumu. Nav arī skaidra 36.1. apakšpunkta saistība ar noteikumu 10.1. apakšpunktu, kas nosaka nosacījumus ne tikai attiecībā uz tiesiskās aizsardzības procesu, bet arī maksātnespējas procesu un citiem procesiem.</w:t>
            </w:r>
          </w:p>
          <w:p w14:paraId="23BFA70A" w14:textId="77777777" w:rsidR="008F6E26" w:rsidRPr="0044384F" w:rsidRDefault="008F6E26" w:rsidP="000D2876">
            <w:pPr>
              <w:pStyle w:val="NormalWeb"/>
              <w:tabs>
                <w:tab w:val="left" w:pos="993"/>
              </w:tabs>
              <w:spacing w:before="0" w:beforeAutospacing="0" w:after="0" w:afterAutospacing="0"/>
              <w:ind w:right="11" w:firstLine="709"/>
              <w:jc w:val="both"/>
              <w:rPr>
                <w:bCs/>
                <w:iCs/>
              </w:rPr>
            </w:pPr>
            <w:r w:rsidRPr="0044384F">
              <w:rPr>
                <w:bCs/>
                <w:iCs/>
              </w:rPr>
              <w:t xml:space="preserve">Vienlaikus lūdzam izvērtēt projektā izteiktā 36.1. apakšpunkta atbilstību Maksātnespējas likuma 3. panta otrajai daļai. </w:t>
            </w:r>
          </w:p>
          <w:p w14:paraId="210D9311" w14:textId="6A87082F" w:rsidR="008F6E26" w:rsidRPr="0044384F" w:rsidRDefault="008F6E26" w:rsidP="000D2876">
            <w:pPr>
              <w:jc w:val="both"/>
            </w:pPr>
            <w:r w:rsidRPr="0044384F">
              <w:rPr>
                <w:bCs/>
                <w:iCs/>
              </w:rPr>
              <w:t>Lūdzam arī izvērtēt projektā izteiktā 36.2. apakšpunkta redakciju, ņemot vērā, ka 36.2. apakšpunktā norāde “šajā situācijā” nav viennozīmīgi skaidra.”</w:t>
            </w:r>
          </w:p>
        </w:tc>
        <w:tc>
          <w:tcPr>
            <w:tcW w:w="3257" w:type="dxa"/>
            <w:gridSpan w:val="2"/>
            <w:tcBorders>
              <w:top w:val="single" w:sz="4" w:space="0" w:color="auto"/>
              <w:left w:val="single" w:sz="4" w:space="0" w:color="auto"/>
              <w:bottom w:val="single" w:sz="4" w:space="0" w:color="auto"/>
              <w:right w:val="single" w:sz="4" w:space="0" w:color="auto"/>
            </w:tcBorders>
          </w:tcPr>
          <w:p w14:paraId="5E5358C5" w14:textId="77777777" w:rsidR="003C1735" w:rsidRPr="0044384F" w:rsidRDefault="003C1735" w:rsidP="000D2876">
            <w:pPr>
              <w:pStyle w:val="naisc"/>
              <w:spacing w:before="0" w:after="0"/>
              <w:rPr>
                <w:b/>
                <w:bCs/>
              </w:rPr>
            </w:pPr>
            <w:r w:rsidRPr="0044384F">
              <w:rPr>
                <w:b/>
                <w:bCs/>
              </w:rPr>
              <w:lastRenderedPageBreak/>
              <w:t>Ņemts vērā</w:t>
            </w:r>
          </w:p>
          <w:p w14:paraId="30AD2415" w14:textId="53CAA332" w:rsidR="003C1735" w:rsidRPr="0044384F" w:rsidRDefault="003C1735" w:rsidP="000D2876">
            <w:pPr>
              <w:pStyle w:val="naisc"/>
              <w:spacing w:before="0" w:after="0"/>
            </w:pPr>
            <w:r w:rsidRPr="0044384F">
              <w:lastRenderedPageBreak/>
              <w:t>Vienošanās panākta saskaņošanas laikā. Anotācijas I. sadaļas 2. punkts ir papildināts.</w:t>
            </w:r>
          </w:p>
          <w:p w14:paraId="3562FB07" w14:textId="77777777" w:rsidR="003C1735" w:rsidRPr="0044384F" w:rsidRDefault="003C1735" w:rsidP="000D2876">
            <w:pPr>
              <w:pStyle w:val="naisc"/>
              <w:spacing w:before="0" w:after="0"/>
            </w:pPr>
          </w:p>
          <w:p w14:paraId="41FEC606" w14:textId="77777777" w:rsidR="003C1735" w:rsidRPr="0044384F" w:rsidRDefault="003C1735" w:rsidP="000D2876">
            <w:pPr>
              <w:pStyle w:val="naisc"/>
              <w:spacing w:before="0" w:after="0"/>
            </w:pPr>
          </w:p>
          <w:p w14:paraId="1D5C20A3" w14:textId="77777777" w:rsidR="003C1735" w:rsidRPr="0044384F" w:rsidRDefault="003C1735" w:rsidP="000D2876">
            <w:pPr>
              <w:pStyle w:val="naisc"/>
              <w:spacing w:before="0" w:after="0"/>
            </w:pPr>
          </w:p>
          <w:p w14:paraId="6D0B2471" w14:textId="77777777" w:rsidR="003C1735" w:rsidRPr="0044384F" w:rsidRDefault="003C1735" w:rsidP="000D2876">
            <w:pPr>
              <w:pStyle w:val="naisc"/>
              <w:spacing w:before="0" w:after="0"/>
            </w:pPr>
          </w:p>
          <w:p w14:paraId="187075A0" w14:textId="77777777" w:rsidR="003C1735" w:rsidRPr="0044384F" w:rsidRDefault="003C1735" w:rsidP="000D2876">
            <w:pPr>
              <w:pStyle w:val="naisc"/>
              <w:spacing w:before="0" w:after="0"/>
            </w:pPr>
          </w:p>
          <w:p w14:paraId="69EE85D5" w14:textId="77777777" w:rsidR="003C1735" w:rsidRPr="0044384F" w:rsidRDefault="003C1735" w:rsidP="000D2876">
            <w:pPr>
              <w:pStyle w:val="naisc"/>
              <w:spacing w:before="0" w:after="0"/>
            </w:pPr>
          </w:p>
          <w:p w14:paraId="21C8B497" w14:textId="77777777" w:rsidR="003C1735" w:rsidRPr="0044384F" w:rsidRDefault="003C1735" w:rsidP="000D2876">
            <w:pPr>
              <w:pStyle w:val="naisc"/>
              <w:spacing w:before="0" w:after="0"/>
            </w:pPr>
          </w:p>
          <w:p w14:paraId="39F96BD6" w14:textId="77777777" w:rsidR="003C1735" w:rsidRPr="0044384F" w:rsidRDefault="003C1735" w:rsidP="000D2876">
            <w:pPr>
              <w:pStyle w:val="naisc"/>
              <w:spacing w:before="0" w:after="0"/>
            </w:pPr>
          </w:p>
          <w:p w14:paraId="246C7951" w14:textId="77777777" w:rsidR="003C1735" w:rsidRPr="0044384F" w:rsidRDefault="003C1735" w:rsidP="000D2876">
            <w:pPr>
              <w:pStyle w:val="naisc"/>
              <w:spacing w:before="0" w:after="0"/>
            </w:pPr>
          </w:p>
          <w:p w14:paraId="1DF9AF39" w14:textId="77777777" w:rsidR="003C1735" w:rsidRPr="0044384F" w:rsidRDefault="003C1735" w:rsidP="000D2876">
            <w:pPr>
              <w:pStyle w:val="naisc"/>
              <w:spacing w:before="0" w:after="0"/>
            </w:pPr>
          </w:p>
          <w:p w14:paraId="0B423279" w14:textId="77777777" w:rsidR="003C1735" w:rsidRPr="0044384F" w:rsidRDefault="003C1735" w:rsidP="000D2876">
            <w:pPr>
              <w:pStyle w:val="naisc"/>
              <w:spacing w:before="0" w:after="0"/>
            </w:pPr>
          </w:p>
          <w:p w14:paraId="42F740EB" w14:textId="77777777" w:rsidR="003C1735" w:rsidRPr="0044384F" w:rsidRDefault="003C1735" w:rsidP="000D2876">
            <w:pPr>
              <w:pStyle w:val="naisc"/>
              <w:spacing w:before="0" w:after="0"/>
              <w:rPr>
                <w:b/>
                <w:bCs/>
              </w:rPr>
            </w:pPr>
          </w:p>
          <w:p w14:paraId="5B5B1879" w14:textId="77777777" w:rsidR="003C1735" w:rsidRPr="0044384F" w:rsidRDefault="003C1735" w:rsidP="000D2876">
            <w:pPr>
              <w:pStyle w:val="naisc"/>
              <w:spacing w:before="0" w:after="0"/>
              <w:rPr>
                <w:b/>
                <w:bCs/>
              </w:rPr>
            </w:pPr>
            <w:r w:rsidRPr="0044384F">
              <w:rPr>
                <w:b/>
                <w:bCs/>
              </w:rPr>
              <w:t>Ņemts vērā</w:t>
            </w:r>
          </w:p>
          <w:p w14:paraId="50C6B991" w14:textId="4423E138" w:rsidR="003C1735" w:rsidRPr="0044384F" w:rsidRDefault="003C1735" w:rsidP="000D2876">
            <w:pPr>
              <w:pStyle w:val="naisc"/>
              <w:spacing w:before="0" w:after="0"/>
            </w:pPr>
            <w:r w:rsidRPr="0044384F">
              <w:t xml:space="preserve">Vienošanās panākta saskaņošanas laikā. </w:t>
            </w:r>
            <w:r w:rsidR="00980FFE" w:rsidRPr="0044384F">
              <w:t xml:space="preserve">Noteikumu projekts, kā arī anotācijas I. sadaļas 2. punkts </w:t>
            </w:r>
            <w:r w:rsidR="00980FFE" w:rsidRPr="0044384F">
              <w:rPr>
                <w:shd w:val="clear" w:color="auto" w:fill="FFFFFF"/>
              </w:rPr>
              <w:t>paredz, ka atkāpe noteikumu projekta 1.</w:t>
            </w:r>
            <w:r w:rsidR="003A1D9F" w:rsidRPr="0044384F">
              <w:rPr>
                <w:shd w:val="clear" w:color="auto" w:fill="FFFFFF"/>
              </w:rPr>
              <w:t>6</w:t>
            </w:r>
            <w:r w:rsidR="00980FFE" w:rsidRPr="0044384F">
              <w:rPr>
                <w:shd w:val="clear" w:color="auto" w:fill="FFFFFF"/>
              </w:rPr>
              <w:t>. apakšpunktā minētajā gadījumā tiktu piemērota tad, kad kopumā uzņēmums var būt dzīvotspējīgs, bet finansiālās grūtībās nonācis periodā no 2020. gada 1. janvāra līdz 2021. gada 30. jūnijam.</w:t>
            </w:r>
            <w:r w:rsidR="00980FFE" w:rsidRPr="0044384F">
              <w:t xml:space="preserve"> Tādējādi tiks nodrošināts, ka atbalsts netiks sniegts komersantiem, </w:t>
            </w:r>
            <w:r w:rsidR="00031899" w:rsidRPr="0044384F">
              <w:rPr>
                <w:shd w:val="clear" w:color="auto" w:fill="FFFFFF"/>
              </w:rPr>
              <w:t>kuri finansiālā</w:t>
            </w:r>
            <w:r w:rsidR="008E72AD" w:rsidRPr="0044384F">
              <w:rPr>
                <w:shd w:val="clear" w:color="auto" w:fill="FFFFFF"/>
              </w:rPr>
              <w:t>s</w:t>
            </w:r>
            <w:r w:rsidR="00031899" w:rsidRPr="0044384F">
              <w:rPr>
                <w:shd w:val="clear" w:color="auto" w:fill="FFFFFF"/>
              </w:rPr>
              <w:t xml:space="preserve"> grūtībās nonākuši pēc </w:t>
            </w:r>
            <w:r w:rsidR="00980FFE" w:rsidRPr="0044384F">
              <w:lastRenderedPageBreak/>
              <w:t xml:space="preserve">30.06.2021. Vienlaikus, ņemot vērā, ka lēmumi par atbalsta piešķiršanu atbalsta </w:t>
            </w:r>
            <w:r w:rsidR="00CB41AA" w:rsidRPr="0044384F">
              <w:t>shēmu</w:t>
            </w:r>
            <w:r w:rsidR="00980FFE" w:rsidRPr="0044384F">
              <w:t xml:space="preserve"> ietvaros tiek pieņemti, izvērtējot iepriekšējā gada izmaksas (atbilstoši šā brīža praksei saskaņā ar </w:t>
            </w:r>
            <w:r w:rsidR="00980FFE" w:rsidRPr="0044384F">
              <w:rPr>
                <w:shd w:val="clear" w:color="auto" w:fill="FFFFFF"/>
              </w:rPr>
              <w:t xml:space="preserve">Eiropas Komisijas 23.05.2017. lēmumu par </w:t>
            </w:r>
            <w:proofErr w:type="spellStart"/>
            <w:r w:rsidR="00980FFE" w:rsidRPr="0044384F">
              <w:rPr>
                <w:shd w:val="clear" w:color="auto" w:fill="FFFFFF"/>
              </w:rPr>
              <w:t>notificēto</w:t>
            </w:r>
            <w:proofErr w:type="spellEnd"/>
            <w:r w:rsidR="00980FFE" w:rsidRPr="0044384F">
              <w:rPr>
                <w:shd w:val="clear" w:color="auto" w:fill="FFFFFF"/>
              </w:rPr>
              <w:t xml:space="preserve"> atbalsta </w:t>
            </w:r>
            <w:r w:rsidR="00CB41AA" w:rsidRPr="0044384F">
              <w:rPr>
                <w:shd w:val="clear" w:color="auto" w:fill="FFFFFF"/>
              </w:rPr>
              <w:t>shēmu</w:t>
            </w:r>
            <w:r w:rsidR="00980FFE" w:rsidRPr="0044384F">
              <w:rPr>
                <w:shd w:val="clear" w:color="auto" w:fill="FFFFFF"/>
              </w:rPr>
              <w:t xml:space="preserve"> </w:t>
            </w:r>
            <w:proofErr w:type="spellStart"/>
            <w:r w:rsidR="00980FFE" w:rsidRPr="0044384F">
              <w:rPr>
                <w:shd w:val="clear" w:color="auto" w:fill="FFFFFF"/>
              </w:rPr>
              <w:t>State</w:t>
            </w:r>
            <w:proofErr w:type="spellEnd"/>
            <w:r w:rsidR="00980FFE" w:rsidRPr="0044384F">
              <w:rPr>
                <w:shd w:val="clear" w:color="auto" w:fill="FFFFFF"/>
              </w:rPr>
              <w:t xml:space="preserve"> Aid SA. 42854 (2015/N) “</w:t>
            </w:r>
            <w:proofErr w:type="spellStart"/>
            <w:r w:rsidR="00980FFE" w:rsidRPr="0044384F">
              <w:rPr>
                <w:shd w:val="clear" w:color="auto" w:fill="FFFFFF"/>
              </w:rPr>
              <w:t>Support</w:t>
            </w:r>
            <w:proofErr w:type="spellEnd"/>
            <w:r w:rsidR="00980FFE" w:rsidRPr="0044384F">
              <w:rPr>
                <w:shd w:val="clear" w:color="auto" w:fill="FFFFFF"/>
              </w:rPr>
              <w:t xml:space="preserve"> </w:t>
            </w:r>
            <w:proofErr w:type="spellStart"/>
            <w:r w:rsidR="00980FFE" w:rsidRPr="0044384F">
              <w:rPr>
                <w:shd w:val="clear" w:color="auto" w:fill="FFFFFF"/>
              </w:rPr>
              <w:t>for</w:t>
            </w:r>
            <w:proofErr w:type="spellEnd"/>
            <w:r w:rsidR="00980FFE" w:rsidRPr="0044384F">
              <w:rPr>
                <w:shd w:val="clear" w:color="auto" w:fill="FFFFFF"/>
              </w:rPr>
              <w:t xml:space="preserve"> </w:t>
            </w:r>
            <w:proofErr w:type="spellStart"/>
            <w:r w:rsidR="00980FFE" w:rsidRPr="0044384F">
              <w:rPr>
                <w:shd w:val="clear" w:color="auto" w:fill="FFFFFF"/>
              </w:rPr>
              <w:t>energy</w:t>
            </w:r>
            <w:proofErr w:type="spellEnd"/>
            <w:r w:rsidR="00980FFE" w:rsidRPr="0044384F">
              <w:rPr>
                <w:shd w:val="clear" w:color="auto" w:fill="FFFFFF"/>
              </w:rPr>
              <w:t xml:space="preserve"> </w:t>
            </w:r>
            <w:proofErr w:type="spellStart"/>
            <w:r w:rsidR="00980FFE" w:rsidRPr="0044384F">
              <w:rPr>
                <w:shd w:val="clear" w:color="auto" w:fill="FFFFFF"/>
              </w:rPr>
              <w:t>intensive</w:t>
            </w:r>
            <w:proofErr w:type="spellEnd"/>
            <w:r w:rsidR="00980FFE" w:rsidRPr="0044384F">
              <w:rPr>
                <w:shd w:val="clear" w:color="auto" w:fill="FFFFFF"/>
              </w:rPr>
              <w:t xml:space="preserve"> </w:t>
            </w:r>
            <w:proofErr w:type="spellStart"/>
            <w:r w:rsidR="00980FFE" w:rsidRPr="0044384F">
              <w:rPr>
                <w:shd w:val="clear" w:color="auto" w:fill="FFFFFF"/>
              </w:rPr>
              <w:t>industry</w:t>
            </w:r>
            <w:proofErr w:type="spellEnd"/>
            <w:r w:rsidR="00980FFE" w:rsidRPr="0044384F">
              <w:rPr>
                <w:shd w:val="clear" w:color="auto" w:fill="FFFFFF"/>
              </w:rPr>
              <w:t>” ( C(2017) 3677)</w:t>
            </w:r>
            <w:r w:rsidR="00980FFE" w:rsidRPr="0044384F">
              <w:t xml:space="preserve">)), tad pēc Eiropas Komisijas lēmuma par </w:t>
            </w:r>
            <w:r w:rsidR="007746DB" w:rsidRPr="0044384F">
              <w:t xml:space="preserve">noteikumu projektā ietverto </w:t>
            </w:r>
            <w:r w:rsidR="00980FFE" w:rsidRPr="0044384F">
              <w:t xml:space="preserve">grozījumu saskaņošanu saņemšanas 2022. gadā plānots pieņemt lēmumus par atbalsta piešķiršanu par 2021. gada izmaksām atbilstoši šajā noteikumu projektā iekļautajiem nosacījumiem. </w:t>
            </w:r>
            <w:r w:rsidRPr="0044384F">
              <w:t>Anotācijas I. sadaļas 2. punkts ir papildināts.</w:t>
            </w:r>
          </w:p>
          <w:p w14:paraId="48428942" w14:textId="77777777" w:rsidR="003C1735" w:rsidRPr="0044384F" w:rsidRDefault="003C1735" w:rsidP="000D2876">
            <w:pPr>
              <w:pStyle w:val="naisc"/>
              <w:spacing w:before="0" w:after="0"/>
            </w:pPr>
          </w:p>
          <w:p w14:paraId="465415C5" w14:textId="77777777" w:rsidR="00031899" w:rsidRPr="0044384F" w:rsidRDefault="00031899" w:rsidP="000D2876">
            <w:pPr>
              <w:pStyle w:val="naisc"/>
              <w:spacing w:before="0" w:after="0"/>
              <w:rPr>
                <w:b/>
                <w:bCs/>
              </w:rPr>
            </w:pPr>
          </w:p>
          <w:p w14:paraId="6E0807C4" w14:textId="77777777" w:rsidR="00B71BBD" w:rsidRPr="0044384F" w:rsidRDefault="00B71BBD" w:rsidP="000D2876">
            <w:pPr>
              <w:pStyle w:val="naisc"/>
              <w:spacing w:before="0" w:after="0"/>
              <w:rPr>
                <w:b/>
                <w:bCs/>
              </w:rPr>
            </w:pPr>
          </w:p>
          <w:p w14:paraId="69BF39D2" w14:textId="62BEB035" w:rsidR="008F6E26" w:rsidRPr="0044384F" w:rsidRDefault="008F6E26" w:rsidP="000D2876">
            <w:pPr>
              <w:pStyle w:val="naisc"/>
              <w:spacing w:before="0" w:after="0"/>
              <w:rPr>
                <w:b/>
                <w:bCs/>
              </w:rPr>
            </w:pPr>
            <w:r w:rsidRPr="0044384F">
              <w:rPr>
                <w:b/>
                <w:bCs/>
              </w:rPr>
              <w:t>Ņemts vērā</w:t>
            </w:r>
          </w:p>
          <w:p w14:paraId="1B3CC898" w14:textId="4F1EA957" w:rsidR="008F6E26" w:rsidRPr="0044384F" w:rsidRDefault="006C703B" w:rsidP="000D2876">
            <w:pPr>
              <w:pStyle w:val="naisc"/>
              <w:spacing w:before="0" w:after="0"/>
            </w:pPr>
            <w:r w:rsidRPr="0044384F">
              <w:t>Lūdzu skatīt noteikumu projekta 1.</w:t>
            </w:r>
            <w:r w:rsidR="003A1D9F" w:rsidRPr="0044384F">
              <w:t>6</w:t>
            </w:r>
            <w:r w:rsidRPr="0044384F">
              <w:t>. apakšpunktu.</w:t>
            </w:r>
          </w:p>
        </w:tc>
        <w:tc>
          <w:tcPr>
            <w:tcW w:w="2992" w:type="dxa"/>
            <w:tcBorders>
              <w:top w:val="single" w:sz="4" w:space="0" w:color="auto"/>
              <w:left w:val="single" w:sz="4" w:space="0" w:color="auto"/>
              <w:bottom w:val="single" w:sz="4" w:space="0" w:color="auto"/>
            </w:tcBorders>
          </w:tcPr>
          <w:p w14:paraId="12AC2AB8" w14:textId="17D8B77D" w:rsidR="003C1735" w:rsidRPr="0044384F" w:rsidRDefault="003C1735" w:rsidP="000D2876">
            <w:pPr>
              <w:pStyle w:val="naisc"/>
              <w:spacing w:before="0" w:after="0"/>
              <w:jc w:val="both"/>
              <w:rPr>
                <w:b/>
                <w:bCs/>
              </w:rPr>
            </w:pPr>
            <w:r w:rsidRPr="0044384F">
              <w:rPr>
                <w:b/>
                <w:bCs/>
              </w:rPr>
              <w:lastRenderedPageBreak/>
              <w:t>MK noteikumu Nr. 395 1.</w:t>
            </w:r>
            <w:r w:rsidR="003A1D9F" w:rsidRPr="0044384F">
              <w:rPr>
                <w:b/>
                <w:bCs/>
              </w:rPr>
              <w:t>6</w:t>
            </w:r>
            <w:r w:rsidRPr="0044384F">
              <w:rPr>
                <w:b/>
                <w:bCs/>
              </w:rPr>
              <w:t>. apakšpunkts:</w:t>
            </w:r>
          </w:p>
          <w:p w14:paraId="356BBD91" w14:textId="25EC399F" w:rsidR="003365CB" w:rsidRPr="0044384F" w:rsidRDefault="003C1735" w:rsidP="000D2876">
            <w:pPr>
              <w:jc w:val="both"/>
            </w:pPr>
            <w:r w:rsidRPr="0044384F">
              <w:lastRenderedPageBreak/>
              <w:t>“</w:t>
            </w:r>
            <w:r w:rsidR="003365CB" w:rsidRPr="0044384F">
              <w:t>1.</w:t>
            </w:r>
            <w:r w:rsidR="003A1D9F" w:rsidRPr="0044384F">
              <w:t>6</w:t>
            </w:r>
            <w:r w:rsidR="003365CB" w:rsidRPr="0044384F">
              <w:t>. Papildināt noteikumus ar 10.</w:t>
            </w:r>
            <w:r w:rsidR="003365CB" w:rsidRPr="0044384F">
              <w:rPr>
                <w:vertAlign w:val="superscript"/>
              </w:rPr>
              <w:t>1</w:t>
            </w:r>
            <w:r w:rsidR="003365CB" w:rsidRPr="0044384F">
              <w:t xml:space="preserve"> punktu šādā redakcijā:</w:t>
            </w:r>
          </w:p>
          <w:p w14:paraId="015439D9" w14:textId="4FAC4489" w:rsidR="003365CB" w:rsidRPr="0044384F" w:rsidRDefault="003365CB" w:rsidP="000D2876">
            <w:pPr>
              <w:jc w:val="both"/>
            </w:pPr>
            <w:r w:rsidRPr="0044384F">
              <w:t>“10.</w:t>
            </w:r>
            <w:r w:rsidRPr="0044384F">
              <w:rPr>
                <w:vertAlign w:val="superscript"/>
              </w:rPr>
              <w:t>1</w:t>
            </w:r>
            <w:r w:rsidRPr="0044384F">
              <w:t xml:space="preserve"> Uz obligātā iepirkuma komponentes samazinājumu</w:t>
            </w:r>
            <w:r w:rsidR="001C6997" w:rsidRPr="0044384F">
              <w:t xml:space="preserve"> 2021. un</w:t>
            </w:r>
            <w:r w:rsidRPr="0044384F">
              <w:t xml:space="preserve"> 2022. gadā var pretendēt:</w:t>
            </w:r>
          </w:p>
          <w:p w14:paraId="173BE8F7" w14:textId="2D84BF13" w:rsidR="003365CB" w:rsidRPr="0044384F" w:rsidRDefault="003365CB" w:rsidP="000D2876">
            <w:pPr>
              <w:jc w:val="both"/>
            </w:pPr>
            <w:r w:rsidRPr="0044384F">
              <w:t>10.</w:t>
            </w:r>
            <w:r w:rsidRPr="0044384F">
              <w:rPr>
                <w:vertAlign w:val="superscript"/>
              </w:rPr>
              <w:t>1</w:t>
            </w:r>
            <w:r w:rsidRPr="0044384F">
              <w:t xml:space="preserve"> 1. komersants, uz kuru attiecināmi šo noteikumu 10.1.</w:t>
            </w:r>
            <w:r w:rsidR="00F00AFF" w:rsidRPr="0044384F">
              <w:t xml:space="preserve"> </w:t>
            </w:r>
            <w:r w:rsidRPr="0044384F">
              <w:t>apakšpunktā minētie nosacījumi periodā no 2020. gada 1. janvāra līdz 2021. gada 30. jūnijam, bet šie nosacījumi nebija attiecināmi līdz 2019.</w:t>
            </w:r>
            <w:r w:rsidR="00F00AFF" w:rsidRPr="0044384F">
              <w:t xml:space="preserve"> </w:t>
            </w:r>
            <w:r w:rsidRPr="0044384F">
              <w:t>gada 31.</w:t>
            </w:r>
            <w:r w:rsidR="00F00AFF" w:rsidRPr="0044384F">
              <w:t xml:space="preserve"> </w:t>
            </w:r>
            <w:r w:rsidRPr="0044384F">
              <w:t>decembrim;</w:t>
            </w:r>
          </w:p>
          <w:p w14:paraId="706508DF" w14:textId="3DDC1BC1" w:rsidR="003365CB" w:rsidRPr="0044384F" w:rsidRDefault="003365CB" w:rsidP="000D2876">
            <w:pPr>
              <w:jc w:val="both"/>
            </w:pPr>
            <w:r w:rsidRPr="0044384F">
              <w:t>10.</w:t>
            </w:r>
            <w:r w:rsidRPr="0044384F">
              <w:rPr>
                <w:vertAlign w:val="superscript"/>
              </w:rPr>
              <w:t xml:space="preserve">1 </w:t>
            </w:r>
            <w:r w:rsidRPr="0044384F">
              <w:t>2. komersants, uz kuru attiecināmi šo noteikumu 10.2., 10.3. un 10.4.</w:t>
            </w:r>
            <w:r w:rsidR="00F00AFF" w:rsidRPr="0044384F">
              <w:t xml:space="preserve"> </w:t>
            </w:r>
            <w:r w:rsidRPr="0044384F">
              <w:t>apakšpunktā minētie nosacījumi periodā no 2020. gada 1. janvāra līdz 2021. gada 30. jūnijam, bet šie nosacījumi nebija attiecināmi līdz 2019.</w:t>
            </w:r>
            <w:r w:rsidR="00F00AFF" w:rsidRPr="0044384F">
              <w:t xml:space="preserve"> </w:t>
            </w:r>
            <w:r w:rsidRPr="0044384F">
              <w:t>gada 31</w:t>
            </w:r>
            <w:r w:rsidR="00F00AFF" w:rsidRPr="0044384F">
              <w:t xml:space="preserve"> </w:t>
            </w:r>
            <w:r w:rsidRPr="0044384F">
              <w:t xml:space="preserve">.decembrim; </w:t>
            </w:r>
          </w:p>
          <w:p w14:paraId="799A2F62" w14:textId="62011DBC" w:rsidR="003C1735" w:rsidRPr="0044384F" w:rsidRDefault="003365CB" w:rsidP="000D2876">
            <w:pPr>
              <w:jc w:val="both"/>
            </w:pPr>
            <w:r w:rsidRPr="0044384F">
              <w:t>10.</w:t>
            </w:r>
            <w:r w:rsidRPr="0044384F">
              <w:rPr>
                <w:vertAlign w:val="superscript"/>
              </w:rPr>
              <w:t xml:space="preserve">1 </w:t>
            </w:r>
            <w:r w:rsidRPr="0044384F">
              <w:t xml:space="preserve">3. komersants, uz kuru attiecas šo noteikumu 10.5. apakšpunktā minētais nosacījums un kura Valsts ieņēmumu dienesta administrēto nodokļu (nodevu), tai skaitā valsts </w:t>
            </w:r>
            <w:r w:rsidRPr="0044384F">
              <w:lastRenderedPageBreak/>
              <w:t>sociālās apdrošināšanas obligāto iemaksu, parādu kopsumma nepārsniedz attiecīgā komersanta parādu kopsummu periodā no 2020.</w:t>
            </w:r>
            <w:r w:rsidR="00F00AFF" w:rsidRPr="0044384F">
              <w:t xml:space="preserve"> </w:t>
            </w:r>
            <w:r w:rsidRPr="0044384F">
              <w:t>gada 1.</w:t>
            </w:r>
            <w:r w:rsidR="00F00AFF" w:rsidRPr="0044384F">
              <w:t xml:space="preserve"> </w:t>
            </w:r>
            <w:r w:rsidRPr="0044384F">
              <w:t>janvāra līdz 2021.</w:t>
            </w:r>
            <w:r w:rsidR="00F00AFF" w:rsidRPr="0044384F">
              <w:t xml:space="preserve"> </w:t>
            </w:r>
            <w:r w:rsidRPr="0044384F">
              <w:t>gada 30.</w:t>
            </w:r>
            <w:r w:rsidR="00F00AFF" w:rsidRPr="0044384F">
              <w:t xml:space="preserve"> </w:t>
            </w:r>
            <w:r w:rsidRPr="0044384F">
              <w:t>jūnijam.”;”</w:t>
            </w:r>
          </w:p>
          <w:p w14:paraId="2B18CA86" w14:textId="74D37B8A" w:rsidR="003C1735" w:rsidRPr="0044384F" w:rsidRDefault="003C1735" w:rsidP="000D2876">
            <w:pPr>
              <w:shd w:val="clear" w:color="auto" w:fill="FFFFFF"/>
              <w:jc w:val="both"/>
            </w:pPr>
          </w:p>
          <w:p w14:paraId="0605356D" w14:textId="10DF5C5C" w:rsidR="00980FFE" w:rsidRPr="0044384F" w:rsidRDefault="00980FFE" w:rsidP="000D2876">
            <w:pPr>
              <w:shd w:val="clear" w:color="auto" w:fill="FFFFFF"/>
              <w:jc w:val="both"/>
              <w:rPr>
                <w:b/>
                <w:bCs/>
              </w:rPr>
            </w:pPr>
            <w:r w:rsidRPr="0044384F">
              <w:rPr>
                <w:b/>
                <w:bCs/>
              </w:rPr>
              <w:t>Anotācijas I. sadaļas 2. punkts ir papildināts šādā redakcijā:</w:t>
            </w:r>
          </w:p>
          <w:p w14:paraId="63E6ED04" w14:textId="58738E89" w:rsidR="00980FFE" w:rsidRPr="0044384F" w:rsidRDefault="00980FFE" w:rsidP="000D2876">
            <w:pPr>
              <w:shd w:val="clear" w:color="auto" w:fill="FFFFFF"/>
              <w:jc w:val="both"/>
            </w:pPr>
            <w:r w:rsidRPr="0044384F">
              <w:t>“</w:t>
            </w:r>
            <w:r w:rsidR="00ED587A" w:rsidRPr="0044384F">
              <w:rPr>
                <w:shd w:val="clear" w:color="auto" w:fill="FFFFFF"/>
              </w:rPr>
              <w:t>Noteikumu projektā paredzēts, ka šāda atkāpe tiktu piemērota gadījumos, kad kopumā uzņēmums var būt dzīvotspējīgs un nebija nonācis grūtībās līdz 2019. gada 31.</w:t>
            </w:r>
            <w:r w:rsidR="00F00AFF" w:rsidRPr="0044384F">
              <w:rPr>
                <w:shd w:val="clear" w:color="auto" w:fill="FFFFFF"/>
              </w:rPr>
              <w:t xml:space="preserve"> </w:t>
            </w:r>
            <w:r w:rsidR="00ED587A" w:rsidRPr="0044384F">
              <w:rPr>
                <w:shd w:val="clear" w:color="auto" w:fill="FFFFFF"/>
              </w:rPr>
              <w:t>decembrim, bet finansiālās grūtībās nonācis periodā no 2020. gada 1. janvāra līdz 2021. gada 30. jūnijam. Atbalsts netiks sniegts komersantiem, kuri finansiālā</w:t>
            </w:r>
            <w:r w:rsidR="008E72AD" w:rsidRPr="0044384F">
              <w:rPr>
                <w:shd w:val="clear" w:color="auto" w:fill="FFFFFF"/>
              </w:rPr>
              <w:t>s</w:t>
            </w:r>
            <w:r w:rsidR="00ED587A" w:rsidRPr="0044384F">
              <w:rPr>
                <w:shd w:val="clear" w:color="auto" w:fill="FFFFFF"/>
              </w:rPr>
              <w:t xml:space="preserve"> grūtībā</w:t>
            </w:r>
            <w:r w:rsidR="008A101D" w:rsidRPr="0044384F">
              <w:rPr>
                <w:shd w:val="clear" w:color="auto" w:fill="FFFFFF"/>
              </w:rPr>
              <w:t>s nonākuši</w:t>
            </w:r>
            <w:r w:rsidR="00ED587A" w:rsidRPr="0044384F">
              <w:rPr>
                <w:shd w:val="clear" w:color="auto" w:fill="FFFFFF"/>
              </w:rPr>
              <w:t xml:space="preserve"> pēc 2021</w:t>
            </w:r>
            <w:r w:rsidR="00F00AFF" w:rsidRPr="0044384F">
              <w:rPr>
                <w:shd w:val="clear" w:color="auto" w:fill="FFFFFF"/>
              </w:rPr>
              <w:t>. gada 30. jūnija</w:t>
            </w:r>
            <w:r w:rsidR="00ED587A" w:rsidRPr="0044384F">
              <w:rPr>
                <w:shd w:val="clear" w:color="auto" w:fill="FFFFFF"/>
              </w:rPr>
              <w:t>.</w:t>
            </w:r>
            <w:r w:rsidRPr="0044384F">
              <w:t>”</w:t>
            </w:r>
          </w:p>
          <w:p w14:paraId="10898021" w14:textId="77777777" w:rsidR="00980FFE" w:rsidRPr="0044384F" w:rsidRDefault="00980FFE" w:rsidP="000D2876">
            <w:pPr>
              <w:shd w:val="clear" w:color="auto" w:fill="FFFFFF"/>
              <w:jc w:val="both"/>
            </w:pPr>
          </w:p>
          <w:p w14:paraId="5AC78136" w14:textId="77777777" w:rsidR="003C1735" w:rsidRPr="0044384F" w:rsidRDefault="003C1735" w:rsidP="000D2876">
            <w:pPr>
              <w:shd w:val="clear" w:color="auto" w:fill="FFFFFF"/>
              <w:jc w:val="both"/>
              <w:rPr>
                <w:b/>
                <w:bCs/>
              </w:rPr>
            </w:pPr>
            <w:r w:rsidRPr="0044384F">
              <w:rPr>
                <w:b/>
                <w:bCs/>
              </w:rPr>
              <w:t>Anotācijas I. sadaļas 2. punkts ir papildināts šādā redakcijā:</w:t>
            </w:r>
          </w:p>
          <w:p w14:paraId="50048F0F" w14:textId="77777777" w:rsidR="00DD7EBB" w:rsidRPr="0044384F" w:rsidRDefault="003C1735" w:rsidP="000D2876">
            <w:pPr>
              <w:pStyle w:val="Default"/>
              <w:jc w:val="both"/>
              <w:rPr>
                <w:color w:val="auto"/>
                <w:shd w:val="clear" w:color="auto" w:fill="FFFFFF"/>
              </w:rPr>
            </w:pPr>
            <w:r w:rsidRPr="0044384F">
              <w:rPr>
                <w:color w:val="auto"/>
              </w:rPr>
              <w:t>“</w:t>
            </w:r>
            <w:r w:rsidR="00DD7EBB" w:rsidRPr="0044384F">
              <w:rPr>
                <w:color w:val="auto"/>
                <w:shd w:val="clear" w:color="auto" w:fill="FFFFFF"/>
              </w:rPr>
              <w:t>Noteikumu projekta 1</w:t>
            </w:r>
            <w:r w:rsidR="00DD7EBB" w:rsidRPr="0044384F">
              <w:rPr>
                <w:rFonts w:eastAsia="Times New Roman"/>
                <w:color w:val="auto"/>
                <w:lang w:eastAsia="lv-LV"/>
              </w:rPr>
              <w:t>.2., 1.4., 1.5., 1.6., 1.7., 1.10. un 1.11. apakšpunktā</w:t>
            </w:r>
            <w:r w:rsidR="00DD7EBB" w:rsidRPr="0044384F">
              <w:rPr>
                <w:color w:val="auto"/>
                <w:shd w:val="clear" w:color="auto" w:fill="FFFFFF"/>
              </w:rPr>
              <w:t xml:space="preserve"> ietvertie grozījumi piemērojami, </w:t>
            </w:r>
            <w:r w:rsidR="00DD7EBB" w:rsidRPr="0044384F">
              <w:rPr>
                <w:color w:val="auto"/>
                <w:shd w:val="clear" w:color="auto" w:fill="FFFFFF"/>
              </w:rPr>
              <w:lastRenderedPageBreak/>
              <w:t xml:space="preserve">sākot ar 2021. gada 1. janvāri (noteikumu projekta 2. punkts). Ar minētajiem grozījumiem precizēta pieteikšanās kārtība atbalstam un tiem nav ietekmes uz Eiropas Komisijas 2017. gada 23. maija lēmumu par </w:t>
            </w:r>
            <w:proofErr w:type="spellStart"/>
            <w:r w:rsidR="00DD7EBB" w:rsidRPr="0044384F">
              <w:rPr>
                <w:color w:val="auto"/>
                <w:shd w:val="clear" w:color="auto" w:fill="FFFFFF"/>
              </w:rPr>
              <w:t>notificēto</w:t>
            </w:r>
            <w:proofErr w:type="spellEnd"/>
            <w:r w:rsidR="00DD7EBB" w:rsidRPr="0044384F">
              <w:rPr>
                <w:color w:val="auto"/>
                <w:shd w:val="clear" w:color="auto" w:fill="FFFFFF"/>
              </w:rPr>
              <w:t xml:space="preserve"> atbalsta shēmu </w:t>
            </w:r>
            <w:proofErr w:type="spellStart"/>
            <w:r w:rsidR="00DD7EBB" w:rsidRPr="0044384F">
              <w:rPr>
                <w:color w:val="auto"/>
                <w:shd w:val="clear" w:color="auto" w:fill="FFFFFF"/>
              </w:rPr>
              <w:t>State</w:t>
            </w:r>
            <w:proofErr w:type="spellEnd"/>
            <w:r w:rsidR="00DD7EBB" w:rsidRPr="0044384F">
              <w:rPr>
                <w:color w:val="auto"/>
                <w:shd w:val="clear" w:color="auto" w:fill="FFFFFF"/>
              </w:rPr>
              <w:t xml:space="preserve"> Aid SA. 42854 (2015/N) “</w:t>
            </w:r>
            <w:proofErr w:type="spellStart"/>
            <w:r w:rsidR="00DD7EBB" w:rsidRPr="0044384F">
              <w:rPr>
                <w:color w:val="auto"/>
                <w:shd w:val="clear" w:color="auto" w:fill="FFFFFF"/>
              </w:rPr>
              <w:t>Support</w:t>
            </w:r>
            <w:proofErr w:type="spellEnd"/>
            <w:r w:rsidR="00DD7EBB" w:rsidRPr="0044384F">
              <w:rPr>
                <w:color w:val="auto"/>
                <w:shd w:val="clear" w:color="auto" w:fill="FFFFFF"/>
              </w:rPr>
              <w:t xml:space="preserve"> </w:t>
            </w:r>
            <w:proofErr w:type="spellStart"/>
            <w:r w:rsidR="00DD7EBB" w:rsidRPr="0044384F">
              <w:rPr>
                <w:color w:val="auto"/>
                <w:shd w:val="clear" w:color="auto" w:fill="FFFFFF"/>
              </w:rPr>
              <w:t>for</w:t>
            </w:r>
            <w:proofErr w:type="spellEnd"/>
            <w:r w:rsidR="00DD7EBB" w:rsidRPr="0044384F">
              <w:rPr>
                <w:color w:val="auto"/>
                <w:shd w:val="clear" w:color="auto" w:fill="FFFFFF"/>
              </w:rPr>
              <w:t xml:space="preserve"> </w:t>
            </w:r>
            <w:proofErr w:type="spellStart"/>
            <w:r w:rsidR="00DD7EBB" w:rsidRPr="0044384F">
              <w:rPr>
                <w:color w:val="auto"/>
                <w:shd w:val="clear" w:color="auto" w:fill="FFFFFF"/>
              </w:rPr>
              <w:t>energy</w:t>
            </w:r>
            <w:proofErr w:type="spellEnd"/>
            <w:r w:rsidR="00DD7EBB" w:rsidRPr="0044384F">
              <w:rPr>
                <w:color w:val="auto"/>
                <w:shd w:val="clear" w:color="auto" w:fill="FFFFFF"/>
              </w:rPr>
              <w:t xml:space="preserve"> </w:t>
            </w:r>
            <w:proofErr w:type="spellStart"/>
            <w:r w:rsidR="00DD7EBB" w:rsidRPr="0044384F">
              <w:rPr>
                <w:color w:val="auto"/>
                <w:shd w:val="clear" w:color="auto" w:fill="FFFFFF"/>
              </w:rPr>
              <w:t>intensive</w:t>
            </w:r>
            <w:proofErr w:type="spellEnd"/>
            <w:r w:rsidR="00DD7EBB" w:rsidRPr="0044384F">
              <w:rPr>
                <w:color w:val="auto"/>
                <w:shd w:val="clear" w:color="auto" w:fill="FFFFFF"/>
              </w:rPr>
              <w:t xml:space="preserve"> </w:t>
            </w:r>
            <w:proofErr w:type="spellStart"/>
            <w:r w:rsidR="00DD7EBB" w:rsidRPr="0044384F">
              <w:rPr>
                <w:color w:val="auto"/>
                <w:shd w:val="clear" w:color="auto" w:fill="FFFFFF"/>
              </w:rPr>
              <w:t>industry</w:t>
            </w:r>
            <w:proofErr w:type="spellEnd"/>
            <w:r w:rsidR="00DD7EBB" w:rsidRPr="0044384F">
              <w:rPr>
                <w:color w:val="auto"/>
                <w:shd w:val="clear" w:color="auto" w:fill="FFFFFF"/>
              </w:rPr>
              <w:t>” ( C(2017) 3677), tāpēc tie piemērojami, komersantiem piesakoties uz atbalstu 2021.gadā.</w:t>
            </w:r>
          </w:p>
          <w:p w14:paraId="05E83102" w14:textId="59F119D9" w:rsidR="003C1735" w:rsidRPr="0044384F" w:rsidRDefault="00DD7EBB" w:rsidP="000D2876">
            <w:pPr>
              <w:shd w:val="clear" w:color="auto" w:fill="FFFFFF"/>
              <w:jc w:val="both"/>
            </w:pPr>
            <w:r w:rsidRPr="0044384F">
              <w:rPr>
                <w:shd w:val="clear" w:color="auto" w:fill="FFFFFF"/>
              </w:rPr>
              <w:t>Noteikumu projekta 1.1., 1.3., 1.8. un 1.9.</w:t>
            </w:r>
            <w:r w:rsidRPr="0044384F">
              <w:t xml:space="preserve"> apakšpunktā</w:t>
            </w:r>
            <w:r w:rsidRPr="0044384F">
              <w:rPr>
                <w:shd w:val="clear" w:color="auto" w:fill="FFFFFF"/>
              </w:rPr>
              <w:t xml:space="preserve"> ietvertie grozījumi piemērojami, sākot ar 2022. gada 1. janvāri (noteikumu projekta 3. punkts). Lēmumus par atbalsta piešķiršanu MK noteikumu Nr. 395 ietvaros pieņem, atbilstoši spēkā esošajai praksei atbalsta shēmas ietvaros, proti, lēmumus par atbalsta piešķiršanu pieņemt par izmaksām, kas radušās iepriekšējā gadā, kas ir saskaņā ar Eiropas Komisijas 2017. gada 23. maija </w:t>
            </w:r>
            <w:r w:rsidRPr="0044384F">
              <w:rPr>
                <w:shd w:val="clear" w:color="auto" w:fill="FFFFFF"/>
              </w:rPr>
              <w:lastRenderedPageBreak/>
              <w:t xml:space="preserve">lēmumu par </w:t>
            </w:r>
            <w:proofErr w:type="spellStart"/>
            <w:r w:rsidRPr="0044384F">
              <w:rPr>
                <w:shd w:val="clear" w:color="auto" w:fill="FFFFFF"/>
              </w:rPr>
              <w:t>notificēto</w:t>
            </w:r>
            <w:proofErr w:type="spellEnd"/>
            <w:r w:rsidRPr="0044384F">
              <w:rPr>
                <w:shd w:val="clear" w:color="auto" w:fill="FFFFFF"/>
              </w:rPr>
              <w:t xml:space="preserve"> atbalsta shēmu </w:t>
            </w:r>
            <w:proofErr w:type="spellStart"/>
            <w:r w:rsidRPr="0044384F">
              <w:rPr>
                <w:shd w:val="clear" w:color="auto" w:fill="FFFFFF"/>
              </w:rPr>
              <w:t>State</w:t>
            </w:r>
            <w:proofErr w:type="spellEnd"/>
            <w:r w:rsidRPr="0044384F">
              <w:rPr>
                <w:shd w:val="clear" w:color="auto" w:fill="FFFFFF"/>
              </w:rPr>
              <w:t xml:space="preserve"> Aid SA. 42854 (2015/N) “</w:t>
            </w:r>
            <w:proofErr w:type="spellStart"/>
            <w:r w:rsidRPr="0044384F">
              <w:rPr>
                <w:shd w:val="clear" w:color="auto" w:fill="FFFFFF"/>
              </w:rPr>
              <w:t>Support</w:t>
            </w:r>
            <w:proofErr w:type="spellEnd"/>
            <w:r w:rsidRPr="0044384F">
              <w:rPr>
                <w:shd w:val="clear" w:color="auto" w:fill="FFFFFF"/>
              </w:rPr>
              <w:t xml:space="preserve"> </w:t>
            </w:r>
            <w:proofErr w:type="spellStart"/>
            <w:r w:rsidRPr="0044384F">
              <w:rPr>
                <w:shd w:val="clear" w:color="auto" w:fill="FFFFFF"/>
              </w:rPr>
              <w:t>for</w:t>
            </w:r>
            <w:proofErr w:type="spellEnd"/>
            <w:r w:rsidRPr="0044384F">
              <w:rPr>
                <w:shd w:val="clear" w:color="auto" w:fill="FFFFFF"/>
              </w:rPr>
              <w:t xml:space="preserve"> </w:t>
            </w:r>
            <w:proofErr w:type="spellStart"/>
            <w:r w:rsidRPr="0044384F">
              <w:rPr>
                <w:shd w:val="clear" w:color="auto" w:fill="FFFFFF"/>
              </w:rPr>
              <w:t>energy</w:t>
            </w:r>
            <w:proofErr w:type="spellEnd"/>
            <w:r w:rsidRPr="0044384F">
              <w:rPr>
                <w:shd w:val="clear" w:color="auto" w:fill="FFFFFF"/>
              </w:rPr>
              <w:t xml:space="preserve"> </w:t>
            </w:r>
            <w:proofErr w:type="spellStart"/>
            <w:r w:rsidRPr="0044384F">
              <w:rPr>
                <w:shd w:val="clear" w:color="auto" w:fill="FFFFFF"/>
              </w:rPr>
              <w:t>intensive</w:t>
            </w:r>
            <w:proofErr w:type="spellEnd"/>
            <w:r w:rsidRPr="0044384F">
              <w:rPr>
                <w:shd w:val="clear" w:color="auto" w:fill="FFFFFF"/>
              </w:rPr>
              <w:t xml:space="preserve"> </w:t>
            </w:r>
            <w:proofErr w:type="spellStart"/>
            <w:r w:rsidRPr="0044384F">
              <w:rPr>
                <w:shd w:val="clear" w:color="auto" w:fill="FFFFFF"/>
              </w:rPr>
              <w:t>industry</w:t>
            </w:r>
            <w:proofErr w:type="spellEnd"/>
            <w:r w:rsidRPr="0044384F">
              <w:rPr>
                <w:shd w:val="clear" w:color="auto" w:fill="FFFFFF"/>
              </w:rPr>
              <w:t>” ( C(2017) 3677). Tādējādi netiks ietekmēta komersantu tiesiskā paļāvība attiecībā uz spēkā esošo atbalsta shēmu</w:t>
            </w:r>
            <w:r w:rsidR="003C1735" w:rsidRPr="0044384F">
              <w:rPr>
                <w:shd w:val="clear" w:color="auto" w:fill="FFFFFF"/>
              </w:rPr>
              <w:t>.</w:t>
            </w:r>
            <w:r w:rsidR="003C1735" w:rsidRPr="0044384F">
              <w:t>”</w:t>
            </w:r>
          </w:p>
        </w:tc>
      </w:tr>
      <w:tr w:rsidR="0044384F" w:rsidRPr="0044384F" w14:paraId="20D9DBB5"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6F50D2AD" w14:textId="77777777" w:rsidR="001B62E9" w:rsidRPr="0044384F" w:rsidRDefault="001B62E9"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0AAF3BC6" w14:textId="0FABCA8E" w:rsidR="001B62E9" w:rsidRPr="0044384F" w:rsidRDefault="001B62E9" w:rsidP="000D2876">
            <w:pPr>
              <w:pStyle w:val="naisc"/>
              <w:spacing w:before="0" w:after="0"/>
              <w:jc w:val="both"/>
              <w:rPr>
                <w:b/>
                <w:bCs/>
              </w:rPr>
            </w:pPr>
            <w:r w:rsidRPr="0044384F">
              <w:rPr>
                <w:b/>
                <w:bCs/>
              </w:rPr>
              <w:t>Anotācija</w:t>
            </w:r>
          </w:p>
        </w:tc>
        <w:tc>
          <w:tcPr>
            <w:tcW w:w="4337" w:type="dxa"/>
            <w:tcBorders>
              <w:top w:val="single" w:sz="4" w:space="0" w:color="auto"/>
              <w:left w:val="single" w:sz="4" w:space="0" w:color="auto"/>
              <w:bottom w:val="single" w:sz="4" w:space="0" w:color="auto"/>
              <w:right w:val="single" w:sz="4" w:space="0" w:color="auto"/>
            </w:tcBorders>
          </w:tcPr>
          <w:p w14:paraId="684E0754" w14:textId="77777777" w:rsidR="001B62E9" w:rsidRPr="0044384F" w:rsidRDefault="001B62E9" w:rsidP="000D2876">
            <w:pPr>
              <w:pStyle w:val="naisc"/>
              <w:spacing w:before="0" w:after="0"/>
              <w:jc w:val="both"/>
              <w:rPr>
                <w:b/>
                <w:bCs/>
              </w:rPr>
            </w:pPr>
            <w:r w:rsidRPr="0044384F">
              <w:rPr>
                <w:b/>
                <w:bCs/>
              </w:rPr>
              <w:t>Finanšu ministrijas 25.11.2020. iebildums:</w:t>
            </w:r>
          </w:p>
          <w:p w14:paraId="7F94D765" w14:textId="4BB31B0C" w:rsidR="001B62E9" w:rsidRPr="0044384F" w:rsidRDefault="001B62E9" w:rsidP="000D2876">
            <w:pPr>
              <w:tabs>
                <w:tab w:val="left" w:pos="709"/>
                <w:tab w:val="left" w:pos="851"/>
              </w:tabs>
              <w:jc w:val="both"/>
              <w:rPr>
                <w:b/>
                <w:bCs/>
              </w:rPr>
            </w:pPr>
            <w:r w:rsidRPr="0044384F">
              <w:t>“</w:t>
            </w:r>
            <w:r w:rsidR="00D96AB3" w:rsidRPr="0044384F">
              <w:t>3</w:t>
            </w:r>
            <w:r w:rsidRPr="0044384F">
              <w:t xml:space="preserve">. </w:t>
            </w:r>
            <w:r w:rsidR="00D96AB3" w:rsidRPr="0044384F">
              <w:t>Anotācijas V sadaļas 3.ailē minēts, ka noteikumu projektā ietvertie grozījumi tiks paziņoti Eiropas Komisijai, izmantojot vienkāršotās paziņošanas procedūru. Ņemot vērā, ka noteikumu projekts paredz arī citus grozījumus, t.sk., paplašināt atbalstāmos sektorus, kā arī mainīt nosacījumus atbalsta saņemšanai, bet vienkāršotās paziņošanas procedūru var piemērot tikai tādiem pasākumiem, kas tiek pagarināti bez jebkādām citām izmaiņām, vai kuru budžets ir palielināts virs 20%, vai kuriem tiek paredzēti stingrāki atbalsta izmaksas kritēriji, lūdzam precizēt anotāciju, ka grozījumi Eiropas Komisijai tiks paziņoti izmantojot standarta paziņošanas procedūru.”</w:t>
            </w:r>
          </w:p>
        </w:tc>
        <w:tc>
          <w:tcPr>
            <w:tcW w:w="3257" w:type="dxa"/>
            <w:gridSpan w:val="2"/>
            <w:tcBorders>
              <w:top w:val="single" w:sz="4" w:space="0" w:color="auto"/>
              <w:left w:val="single" w:sz="4" w:space="0" w:color="auto"/>
              <w:bottom w:val="single" w:sz="4" w:space="0" w:color="auto"/>
              <w:right w:val="single" w:sz="4" w:space="0" w:color="auto"/>
            </w:tcBorders>
          </w:tcPr>
          <w:p w14:paraId="0C182DF0" w14:textId="74F74C69" w:rsidR="001B62E9" w:rsidRPr="0044384F" w:rsidRDefault="001B62E9" w:rsidP="000D2876">
            <w:pPr>
              <w:pStyle w:val="naisc"/>
              <w:spacing w:before="0" w:after="0"/>
              <w:rPr>
                <w:b/>
                <w:bCs/>
              </w:rPr>
            </w:pPr>
            <w:r w:rsidRPr="0044384F">
              <w:rPr>
                <w:b/>
                <w:bCs/>
              </w:rPr>
              <w:t>Ņemts vērā</w:t>
            </w:r>
          </w:p>
        </w:tc>
        <w:tc>
          <w:tcPr>
            <w:tcW w:w="2992" w:type="dxa"/>
            <w:tcBorders>
              <w:top w:val="single" w:sz="4" w:space="0" w:color="auto"/>
              <w:left w:val="single" w:sz="4" w:space="0" w:color="auto"/>
              <w:bottom w:val="single" w:sz="4" w:space="0" w:color="auto"/>
            </w:tcBorders>
          </w:tcPr>
          <w:p w14:paraId="5039674C" w14:textId="38963E6E" w:rsidR="001B62E9" w:rsidRPr="0044384F" w:rsidRDefault="001B62E9" w:rsidP="000D2876">
            <w:pPr>
              <w:pStyle w:val="naisc"/>
              <w:spacing w:before="0" w:after="0"/>
              <w:jc w:val="both"/>
              <w:rPr>
                <w:b/>
                <w:bCs/>
              </w:rPr>
            </w:pPr>
            <w:r w:rsidRPr="0044384F">
              <w:rPr>
                <w:b/>
                <w:bCs/>
              </w:rPr>
              <w:t>Anotācija</w:t>
            </w:r>
            <w:r w:rsidR="00D96AB3" w:rsidRPr="0044384F">
              <w:rPr>
                <w:b/>
                <w:bCs/>
              </w:rPr>
              <w:t>s V.</w:t>
            </w:r>
            <w:r w:rsidR="00CB41AA" w:rsidRPr="0044384F">
              <w:rPr>
                <w:b/>
                <w:bCs/>
              </w:rPr>
              <w:t xml:space="preserve"> </w:t>
            </w:r>
            <w:r w:rsidR="00D96AB3" w:rsidRPr="0044384F">
              <w:rPr>
                <w:b/>
                <w:bCs/>
              </w:rPr>
              <w:t>sadaļas 3.</w:t>
            </w:r>
            <w:r w:rsidR="00CB41AA" w:rsidRPr="0044384F">
              <w:rPr>
                <w:b/>
                <w:bCs/>
              </w:rPr>
              <w:t xml:space="preserve"> </w:t>
            </w:r>
            <w:r w:rsidR="00D96AB3" w:rsidRPr="0044384F">
              <w:rPr>
                <w:b/>
                <w:bCs/>
              </w:rPr>
              <w:t>aile</w:t>
            </w:r>
            <w:r w:rsidR="00CB41AA" w:rsidRPr="0044384F">
              <w:rPr>
                <w:b/>
                <w:bCs/>
              </w:rPr>
              <w:t xml:space="preserve"> </w:t>
            </w:r>
            <w:r w:rsidR="00CF42F3" w:rsidRPr="0044384F">
              <w:rPr>
                <w:b/>
                <w:bCs/>
              </w:rPr>
              <w:t xml:space="preserve">ir </w:t>
            </w:r>
            <w:r w:rsidR="00CB41AA" w:rsidRPr="0044384F">
              <w:rPr>
                <w:b/>
                <w:bCs/>
              </w:rPr>
              <w:t>precizēta šādā redakcijā</w:t>
            </w:r>
            <w:r w:rsidR="00D96AB3" w:rsidRPr="0044384F">
              <w:rPr>
                <w:b/>
                <w:bCs/>
              </w:rPr>
              <w:t>:</w:t>
            </w:r>
          </w:p>
          <w:p w14:paraId="16A70790" w14:textId="50084F20" w:rsidR="00D96AB3" w:rsidRPr="0044384F" w:rsidRDefault="00D96AB3" w:rsidP="000D2876">
            <w:pPr>
              <w:pStyle w:val="naisc"/>
              <w:spacing w:before="0" w:after="0"/>
              <w:jc w:val="both"/>
            </w:pPr>
            <w:r w:rsidRPr="0044384F">
              <w:t>“</w:t>
            </w:r>
            <w:r w:rsidR="00686527" w:rsidRPr="0044384F">
              <w:t>Grozījumi tiks paziņoti Eiropas Komisijai, izmantojot standarta paziņošanas procedūru.</w:t>
            </w:r>
            <w:r w:rsidRPr="0044384F">
              <w:t>”</w:t>
            </w:r>
          </w:p>
        </w:tc>
      </w:tr>
      <w:tr w:rsidR="0044384F" w:rsidRPr="0044384F" w14:paraId="45652DC1"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1D9D5809" w14:textId="77777777" w:rsidR="00D96AB3" w:rsidRPr="0044384F" w:rsidRDefault="00D96AB3"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3847226B" w14:textId="27F49045" w:rsidR="00D96AB3" w:rsidRPr="0044384F" w:rsidRDefault="00D96AB3" w:rsidP="000D2876">
            <w:pPr>
              <w:pStyle w:val="naisc"/>
              <w:spacing w:before="0" w:after="0"/>
              <w:jc w:val="both"/>
              <w:rPr>
                <w:b/>
                <w:bCs/>
              </w:rPr>
            </w:pPr>
            <w:r w:rsidRPr="0044384F">
              <w:rPr>
                <w:b/>
                <w:bCs/>
              </w:rPr>
              <w:t>Anotācija</w:t>
            </w:r>
          </w:p>
        </w:tc>
        <w:tc>
          <w:tcPr>
            <w:tcW w:w="4337" w:type="dxa"/>
            <w:tcBorders>
              <w:top w:val="single" w:sz="4" w:space="0" w:color="auto"/>
              <w:left w:val="single" w:sz="4" w:space="0" w:color="auto"/>
              <w:bottom w:val="single" w:sz="4" w:space="0" w:color="auto"/>
              <w:right w:val="single" w:sz="4" w:space="0" w:color="auto"/>
            </w:tcBorders>
          </w:tcPr>
          <w:p w14:paraId="0E4A9749" w14:textId="77777777" w:rsidR="00D96AB3" w:rsidRPr="0044384F" w:rsidRDefault="00D96AB3" w:rsidP="000D2876">
            <w:pPr>
              <w:pStyle w:val="naisc"/>
              <w:spacing w:before="0" w:after="0"/>
              <w:jc w:val="both"/>
              <w:rPr>
                <w:b/>
                <w:bCs/>
              </w:rPr>
            </w:pPr>
            <w:r w:rsidRPr="0044384F">
              <w:rPr>
                <w:b/>
                <w:bCs/>
              </w:rPr>
              <w:t>Finanšu ministrijas 25.11.2020. iebildums:</w:t>
            </w:r>
          </w:p>
          <w:p w14:paraId="1C0031D9" w14:textId="032C0B1D" w:rsidR="00D96AB3" w:rsidRPr="0044384F" w:rsidRDefault="00D96AB3" w:rsidP="000D2876">
            <w:pPr>
              <w:tabs>
                <w:tab w:val="left" w:pos="709"/>
                <w:tab w:val="left" w:pos="851"/>
              </w:tabs>
              <w:jc w:val="both"/>
              <w:rPr>
                <w:b/>
                <w:bCs/>
              </w:rPr>
            </w:pPr>
            <w:r w:rsidRPr="0044384F">
              <w:t xml:space="preserve">“4. Lūdzam papildināt anotāciju ar informāciju, kāds ir Eiropas Komisijā sākotnēji paziņotās shēmas budžets, par cik tas tiks palielināts, ņemot vērā shēmas </w:t>
            </w:r>
            <w:r w:rsidRPr="0044384F">
              <w:lastRenderedPageBreak/>
              <w:t>pagarinājuma termiņu. Vienlaikus norādām, ka šī informācija ir jānorāda arī paziņojumā Eiropas Komisijai par shēmas grozījumiem.”</w:t>
            </w:r>
          </w:p>
        </w:tc>
        <w:tc>
          <w:tcPr>
            <w:tcW w:w="3257" w:type="dxa"/>
            <w:gridSpan w:val="2"/>
            <w:tcBorders>
              <w:top w:val="single" w:sz="4" w:space="0" w:color="auto"/>
              <w:left w:val="single" w:sz="4" w:space="0" w:color="auto"/>
              <w:bottom w:val="single" w:sz="4" w:space="0" w:color="auto"/>
              <w:right w:val="single" w:sz="4" w:space="0" w:color="auto"/>
            </w:tcBorders>
          </w:tcPr>
          <w:p w14:paraId="418AF6B3" w14:textId="77777777" w:rsidR="00D96AB3" w:rsidRPr="0044384F" w:rsidRDefault="00D96AB3" w:rsidP="000D2876">
            <w:pPr>
              <w:pStyle w:val="naisc"/>
              <w:spacing w:before="0" w:after="0"/>
              <w:rPr>
                <w:b/>
                <w:bCs/>
              </w:rPr>
            </w:pPr>
            <w:r w:rsidRPr="0044384F">
              <w:rPr>
                <w:b/>
                <w:bCs/>
              </w:rPr>
              <w:lastRenderedPageBreak/>
              <w:t>Ņemts vērā</w:t>
            </w:r>
          </w:p>
          <w:p w14:paraId="4E85168A" w14:textId="23268750" w:rsidR="00BC4901" w:rsidRPr="0044384F" w:rsidRDefault="00BC4901" w:rsidP="000D2876">
            <w:pPr>
              <w:pStyle w:val="naisc"/>
              <w:spacing w:before="0" w:after="0"/>
            </w:pPr>
            <w:r w:rsidRPr="0044384F">
              <w:t>Anotācija ir papildināta un attiecīgā informācija tiks norādīta arī paziņojumā Eiropas Komisijai par shēmas grozījumiem.</w:t>
            </w:r>
          </w:p>
        </w:tc>
        <w:tc>
          <w:tcPr>
            <w:tcW w:w="2992" w:type="dxa"/>
            <w:tcBorders>
              <w:top w:val="single" w:sz="4" w:space="0" w:color="auto"/>
              <w:left w:val="single" w:sz="4" w:space="0" w:color="auto"/>
              <w:bottom w:val="single" w:sz="4" w:space="0" w:color="auto"/>
            </w:tcBorders>
          </w:tcPr>
          <w:p w14:paraId="6E0DED24" w14:textId="4D7C9019" w:rsidR="00D96AB3" w:rsidRPr="0044384F" w:rsidRDefault="00D96AB3" w:rsidP="000D2876">
            <w:pPr>
              <w:pStyle w:val="naisc"/>
              <w:spacing w:before="0" w:after="0"/>
              <w:jc w:val="both"/>
              <w:rPr>
                <w:b/>
                <w:bCs/>
              </w:rPr>
            </w:pPr>
            <w:r w:rsidRPr="0044384F">
              <w:rPr>
                <w:b/>
                <w:bCs/>
              </w:rPr>
              <w:t xml:space="preserve">Anotācijas </w:t>
            </w:r>
            <w:r w:rsidR="00CB41AA" w:rsidRPr="0044384F">
              <w:rPr>
                <w:b/>
                <w:bCs/>
              </w:rPr>
              <w:t>III</w:t>
            </w:r>
            <w:r w:rsidRPr="0044384F">
              <w:rPr>
                <w:b/>
                <w:bCs/>
              </w:rPr>
              <w:t>.</w:t>
            </w:r>
            <w:r w:rsidR="00CB41AA" w:rsidRPr="0044384F">
              <w:rPr>
                <w:b/>
                <w:bCs/>
              </w:rPr>
              <w:t xml:space="preserve"> </w:t>
            </w:r>
            <w:r w:rsidRPr="0044384F">
              <w:rPr>
                <w:b/>
                <w:bCs/>
              </w:rPr>
              <w:t xml:space="preserve">sadaļas </w:t>
            </w:r>
            <w:r w:rsidR="00CB41AA" w:rsidRPr="0044384F">
              <w:rPr>
                <w:b/>
                <w:bCs/>
              </w:rPr>
              <w:t xml:space="preserve">8. punkts </w:t>
            </w:r>
            <w:r w:rsidR="00CF42F3" w:rsidRPr="0044384F">
              <w:rPr>
                <w:b/>
                <w:bCs/>
              </w:rPr>
              <w:t xml:space="preserve">ir </w:t>
            </w:r>
            <w:r w:rsidR="00CB41AA" w:rsidRPr="0044384F">
              <w:rPr>
                <w:b/>
                <w:bCs/>
              </w:rPr>
              <w:t>papildināts šādā redakcijā</w:t>
            </w:r>
            <w:r w:rsidRPr="0044384F">
              <w:rPr>
                <w:b/>
                <w:bCs/>
              </w:rPr>
              <w:t>:</w:t>
            </w:r>
          </w:p>
          <w:p w14:paraId="62BE9BA0" w14:textId="660E5779" w:rsidR="00D96AB3" w:rsidRPr="0044384F" w:rsidRDefault="00D96AB3" w:rsidP="000D2876">
            <w:pPr>
              <w:jc w:val="both"/>
              <w:rPr>
                <w:iCs/>
              </w:rPr>
            </w:pPr>
            <w:r w:rsidRPr="0044384F">
              <w:t>“</w:t>
            </w:r>
            <w:r w:rsidR="00CB41AA" w:rsidRPr="0044384F">
              <w:rPr>
                <w:shd w:val="clear" w:color="auto" w:fill="FFFFFF"/>
              </w:rPr>
              <w:t>Saskaņā ar Eiropas Komisijas 2017.</w:t>
            </w:r>
            <w:r w:rsidR="00F00AFF" w:rsidRPr="0044384F">
              <w:rPr>
                <w:shd w:val="clear" w:color="auto" w:fill="FFFFFF"/>
              </w:rPr>
              <w:t xml:space="preserve"> gada 23. maija</w:t>
            </w:r>
            <w:r w:rsidR="00CB41AA" w:rsidRPr="0044384F">
              <w:rPr>
                <w:shd w:val="clear" w:color="auto" w:fill="FFFFFF"/>
              </w:rPr>
              <w:t xml:space="preserve"> lēmumu par </w:t>
            </w:r>
            <w:proofErr w:type="spellStart"/>
            <w:r w:rsidR="00CB41AA" w:rsidRPr="0044384F">
              <w:rPr>
                <w:shd w:val="clear" w:color="auto" w:fill="FFFFFF"/>
              </w:rPr>
              <w:t>notificēto</w:t>
            </w:r>
            <w:proofErr w:type="spellEnd"/>
            <w:r w:rsidR="00CB41AA" w:rsidRPr="0044384F">
              <w:rPr>
                <w:shd w:val="clear" w:color="auto" w:fill="FFFFFF"/>
              </w:rPr>
              <w:t xml:space="preserve"> </w:t>
            </w:r>
            <w:r w:rsidR="00CB41AA" w:rsidRPr="0044384F">
              <w:rPr>
                <w:shd w:val="clear" w:color="auto" w:fill="FFFFFF"/>
              </w:rPr>
              <w:lastRenderedPageBreak/>
              <w:t xml:space="preserve">atbalsta shēmu </w:t>
            </w:r>
            <w:proofErr w:type="spellStart"/>
            <w:r w:rsidR="00CB41AA" w:rsidRPr="0044384F">
              <w:rPr>
                <w:shd w:val="clear" w:color="auto" w:fill="FFFFFF"/>
              </w:rPr>
              <w:t>State</w:t>
            </w:r>
            <w:proofErr w:type="spellEnd"/>
            <w:r w:rsidR="00CB41AA" w:rsidRPr="0044384F">
              <w:rPr>
                <w:shd w:val="clear" w:color="auto" w:fill="FFFFFF"/>
              </w:rPr>
              <w:t xml:space="preserve"> Aid SA. 42854 (2015/N) “</w:t>
            </w:r>
            <w:proofErr w:type="spellStart"/>
            <w:r w:rsidR="00CB41AA" w:rsidRPr="0044384F">
              <w:rPr>
                <w:shd w:val="clear" w:color="auto" w:fill="FFFFFF"/>
              </w:rPr>
              <w:t>Support</w:t>
            </w:r>
            <w:proofErr w:type="spellEnd"/>
            <w:r w:rsidR="00CB41AA" w:rsidRPr="0044384F">
              <w:rPr>
                <w:shd w:val="clear" w:color="auto" w:fill="FFFFFF"/>
              </w:rPr>
              <w:t xml:space="preserve"> </w:t>
            </w:r>
            <w:proofErr w:type="spellStart"/>
            <w:r w:rsidR="00CB41AA" w:rsidRPr="0044384F">
              <w:rPr>
                <w:shd w:val="clear" w:color="auto" w:fill="FFFFFF"/>
              </w:rPr>
              <w:t>for</w:t>
            </w:r>
            <w:proofErr w:type="spellEnd"/>
            <w:r w:rsidR="00CB41AA" w:rsidRPr="0044384F">
              <w:rPr>
                <w:shd w:val="clear" w:color="auto" w:fill="FFFFFF"/>
              </w:rPr>
              <w:t xml:space="preserve"> </w:t>
            </w:r>
            <w:proofErr w:type="spellStart"/>
            <w:r w:rsidR="00CB41AA" w:rsidRPr="0044384F">
              <w:rPr>
                <w:shd w:val="clear" w:color="auto" w:fill="FFFFFF"/>
              </w:rPr>
              <w:t>energy</w:t>
            </w:r>
            <w:proofErr w:type="spellEnd"/>
            <w:r w:rsidR="00CB41AA" w:rsidRPr="0044384F">
              <w:rPr>
                <w:shd w:val="clear" w:color="auto" w:fill="FFFFFF"/>
              </w:rPr>
              <w:t xml:space="preserve"> </w:t>
            </w:r>
            <w:proofErr w:type="spellStart"/>
            <w:r w:rsidR="00CB41AA" w:rsidRPr="0044384F">
              <w:rPr>
                <w:shd w:val="clear" w:color="auto" w:fill="FFFFFF"/>
              </w:rPr>
              <w:t>intensive</w:t>
            </w:r>
            <w:proofErr w:type="spellEnd"/>
            <w:r w:rsidR="00CB41AA" w:rsidRPr="0044384F">
              <w:rPr>
                <w:shd w:val="clear" w:color="auto" w:fill="FFFFFF"/>
              </w:rPr>
              <w:t xml:space="preserve"> </w:t>
            </w:r>
            <w:proofErr w:type="spellStart"/>
            <w:r w:rsidR="00CB41AA" w:rsidRPr="0044384F">
              <w:rPr>
                <w:shd w:val="clear" w:color="auto" w:fill="FFFFFF"/>
              </w:rPr>
              <w:t>industry</w:t>
            </w:r>
            <w:proofErr w:type="spellEnd"/>
            <w:r w:rsidR="00CB41AA" w:rsidRPr="0044384F">
              <w:rPr>
                <w:shd w:val="clear" w:color="auto" w:fill="FFFFFF"/>
              </w:rPr>
              <w:t xml:space="preserve">” ( C(2017) 3677) atbalsta shēmas kopējais budžets 2016.-2021. gada periodā ir apmēram 95 milj. </w:t>
            </w:r>
            <w:proofErr w:type="spellStart"/>
            <w:r w:rsidR="00CB41AA" w:rsidRPr="0044384F">
              <w:rPr>
                <w:i/>
                <w:iCs/>
                <w:shd w:val="clear" w:color="auto" w:fill="FFFFFF"/>
              </w:rPr>
              <w:t>euro</w:t>
            </w:r>
            <w:proofErr w:type="spellEnd"/>
            <w:r w:rsidR="00CB41AA" w:rsidRPr="0044384F">
              <w:rPr>
                <w:shd w:val="clear" w:color="auto" w:fill="FFFFFF"/>
              </w:rPr>
              <w:t xml:space="preserve">. Noteikumu projektā ietverto grozījumu rezultātā, pagarinot atbalsta shēmas termiņu par vienu gadu, plānots, ka atbalsta shēmas kopējais budžets palielināsies par apmēram 7 milj. </w:t>
            </w:r>
            <w:proofErr w:type="spellStart"/>
            <w:r w:rsidR="00CB41AA" w:rsidRPr="0044384F">
              <w:rPr>
                <w:i/>
                <w:iCs/>
                <w:shd w:val="clear" w:color="auto" w:fill="FFFFFF"/>
              </w:rPr>
              <w:t>euro</w:t>
            </w:r>
            <w:proofErr w:type="spellEnd"/>
            <w:r w:rsidR="00CB41AA" w:rsidRPr="0044384F">
              <w:rPr>
                <w:shd w:val="clear" w:color="auto" w:fill="FFFFFF"/>
              </w:rPr>
              <w:t xml:space="preserve"> atbilstoši 2016.-2022. gada periodam.</w:t>
            </w:r>
            <w:r w:rsidRPr="0044384F">
              <w:t>”</w:t>
            </w:r>
          </w:p>
        </w:tc>
      </w:tr>
      <w:tr w:rsidR="0044384F" w:rsidRPr="0044384F" w14:paraId="3C96D097"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7C7FF042" w14:textId="77777777" w:rsidR="003968BE" w:rsidRPr="0044384F" w:rsidRDefault="003968BE"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53311201" w14:textId="77777777" w:rsidR="003968BE" w:rsidRPr="0044384F" w:rsidRDefault="003968BE" w:rsidP="000D2876">
            <w:pPr>
              <w:pStyle w:val="naisc"/>
              <w:spacing w:before="0" w:after="0"/>
              <w:jc w:val="both"/>
              <w:rPr>
                <w:b/>
                <w:bCs/>
              </w:rPr>
            </w:pPr>
            <w:r w:rsidRPr="0044384F">
              <w:rPr>
                <w:b/>
                <w:bCs/>
              </w:rPr>
              <w:t>Anotācija</w:t>
            </w:r>
          </w:p>
        </w:tc>
        <w:tc>
          <w:tcPr>
            <w:tcW w:w="4337" w:type="dxa"/>
            <w:tcBorders>
              <w:top w:val="single" w:sz="4" w:space="0" w:color="auto"/>
              <w:left w:val="single" w:sz="4" w:space="0" w:color="auto"/>
              <w:bottom w:val="single" w:sz="4" w:space="0" w:color="auto"/>
              <w:right w:val="single" w:sz="4" w:space="0" w:color="auto"/>
            </w:tcBorders>
          </w:tcPr>
          <w:p w14:paraId="1C8C9E49" w14:textId="21C1BC39" w:rsidR="003968BE" w:rsidRPr="0044384F" w:rsidRDefault="003968BE" w:rsidP="000D2876">
            <w:pPr>
              <w:pStyle w:val="naisc"/>
              <w:spacing w:before="0" w:after="0"/>
              <w:jc w:val="both"/>
              <w:rPr>
                <w:b/>
                <w:bCs/>
              </w:rPr>
            </w:pPr>
            <w:r w:rsidRPr="0044384F">
              <w:rPr>
                <w:b/>
                <w:bCs/>
              </w:rPr>
              <w:t>Tieslietu ministrijas 11.12.2020. iebildums:</w:t>
            </w:r>
          </w:p>
          <w:p w14:paraId="59A11BE7" w14:textId="1EC92F1B" w:rsidR="003968BE" w:rsidRPr="0044384F" w:rsidRDefault="003968BE" w:rsidP="000D2876">
            <w:pPr>
              <w:tabs>
                <w:tab w:val="left" w:pos="709"/>
                <w:tab w:val="left" w:pos="851"/>
              </w:tabs>
              <w:jc w:val="both"/>
              <w:rPr>
                <w:b/>
                <w:bCs/>
              </w:rPr>
            </w:pPr>
            <w:r w:rsidRPr="0044384F">
              <w:t>“</w:t>
            </w:r>
            <w:r w:rsidR="00134375" w:rsidRPr="0044384F">
              <w:t>3</w:t>
            </w:r>
            <w:r w:rsidRPr="0044384F">
              <w:t xml:space="preserve">. </w:t>
            </w:r>
            <w:r w:rsidR="00134375" w:rsidRPr="0044384F">
              <w:rPr>
                <w:shd w:val="clear" w:color="auto" w:fill="FFFFFF"/>
              </w:rPr>
              <w:t>Lūdzam projekta anotācijā izsvērti pamatot nepieciešamību projekta 1.5. apakšpunktā papildināt spēkā esošo noteikumu 10.punkta ievaddaļu ar vārdiem "l</w:t>
            </w:r>
            <w:r w:rsidR="00134375" w:rsidRPr="0044384F">
              <w:t>ēmuma pieņemšanas brīdī"</w:t>
            </w:r>
            <w:r w:rsidRPr="0044384F">
              <w:t>.”</w:t>
            </w:r>
          </w:p>
        </w:tc>
        <w:tc>
          <w:tcPr>
            <w:tcW w:w="3257" w:type="dxa"/>
            <w:gridSpan w:val="2"/>
            <w:tcBorders>
              <w:top w:val="single" w:sz="4" w:space="0" w:color="auto"/>
              <w:left w:val="single" w:sz="4" w:space="0" w:color="auto"/>
              <w:bottom w:val="single" w:sz="4" w:space="0" w:color="auto"/>
              <w:right w:val="single" w:sz="4" w:space="0" w:color="auto"/>
            </w:tcBorders>
          </w:tcPr>
          <w:p w14:paraId="14B84E67" w14:textId="77777777" w:rsidR="003968BE" w:rsidRPr="0044384F" w:rsidRDefault="003968BE" w:rsidP="000D2876">
            <w:pPr>
              <w:pStyle w:val="naisc"/>
              <w:spacing w:before="0" w:after="0"/>
              <w:rPr>
                <w:b/>
                <w:bCs/>
              </w:rPr>
            </w:pPr>
            <w:r w:rsidRPr="0044384F">
              <w:rPr>
                <w:b/>
                <w:bCs/>
              </w:rPr>
              <w:t>Ņemts vērā</w:t>
            </w:r>
          </w:p>
          <w:p w14:paraId="7DA484F4" w14:textId="41649BDF" w:rsidR="003968BE" w:rsidRPr="0044384F" w:rsidRDefault="003968BE" w:rsidP="000D2876">
            <w:pPr>
              <w:pStyle w:val="naisc"/>
              <w:spacing w:before="0" w:after="0"/>
            </w:pPr>
            <w:r w:rsidRPr="0044384F">
              <w:t>Anotācija ir papildināta.</w:t>
            </w:r>
          </w:p>
        </w:tc>
        <w:tc>
          <w:tcPr>
            <w:tcW w:w="2992" w:type="dxa"/>
            <w:tcBorders>
              <w:top w:val="single" w:sz="4" w:space="0" w:color="auto"/>
              <w:left w:val="single" w:sz="4" w:space="0" w:color="auto"/>
              <w:bottom w:val="single" w:sz="4" w:space="0" w:color="auto"/>
            </w:tcBorders>
          </w:tcPr>
          <w:p w14:paraId="2B8D860B" w14:textId="35F5B4ED" w:rsidR="003968BE" w:rsidRPr="0044384F" w:rsidRDefault="003968BE" w:rsidP="000D2876">
            <w:pPr>
              <w:pStyle w:val="naisc"/>
              <w:spacing w:before="0" w:after="0"/>
              <w:jc w:val="both"/>
              <w:rPr>
                <w:b/>
                <w:bCs/>
              </w:rPr>
            </w:pPr>
            <w:r w:rsidRPr="0044384F">
              <w:rPr>
                <w:b/>
                <w:bCs/>
              </w:rPr>
              <w:t xml:space="preserve">Anotācijas I. sadaļas </w:t>
            </w:r>
            <w:r w:rsidR="0075510E" w:rsidRPr="0044384F">
              <w:rPr>
                <w:b/>
                <w:bCs/>
              </w:rPr>
              <w:t>2</w:t>
            </w:r>
            <w:r w:rsidRPr="0044384F">
              <w:rPr>
                <w:b/>
                <w:bCs/>
              </w:rPr>
              <w:t>. punkts ir papildināts šādā redakcijā:</w:t>
            </w:r>
          </w:p>
          <w:p w14:paraId="6F5C2225" w14:textId="1A7A4E1A" w:rsidR="003968BE" w:rsidRPr="0044384F" w:rsidRDefault="003968BE" w:rsidP="000D2876">
            <w:pPr>
              <w:pStyle w:val="Default"/>
              <w:jc w:val="both"/>
              <w:rPr>
                <w:iCs/>
                <w:color w:val="auto"/>
              </w:rPr>
            </w:pPr>
            <w:r w:rsidRPr="0044384F">
              <w:rPr>
                <w:color w:val="auto"/>
              </w:rPr>
              <w:t>“</w:t>
            </w:r>
            <w:r w:rsidR="00010A39" w:rsidRPr="0044384F">
              <w:rPr>
                <w:color w:val="auto"/>
                <w:shd w:val="clear" w:color="auto" w:fill="FFFFFF"/>
              </w:rPr>
              <w:t xml:space="preserve">Jāņem vērā, ka uzņēmumu tiesiskā situācija, īpaši Covid-19 izraisītās krīzes iespaidā, var būt strauji mainīga. </w:t>
            </w:r>
            <w:r w:rsidR="0075510E" w:rsidRPr="0044384F">
              <w:rPr>
                <w:color w:val="auto"/>
                <w:shd w:val="clear" w:color="auto" w:fill="FFFFFF"/>
              </w:rPr>
              <w:t xml:space="preserve">Ņemot vērā, ka pastāv gadījumi, kad uzņēmums faktiski izpilda MK noteikumu Nr. 395 prasības, bet uz projekta iesnieguma iesniegšanas brīdi aktuālie dati liecina, ka saskaņā ar MK noteikumu Nr. 395 10. punktu komersants nevar pretendēt </w:t>
            </w:r>
            <w:r w:rsidR="0075510E" w:rsidRPr="0044384F">
              <w:rPr>
                <w:color w:val="auto"/>
                <w:shd w:val="clear" w:color="auto" w:fill="FFFFFF"/>
              </w:rPr>
              <w:lastRenderedPageBreak/>
              <w:t>uz atbalstu šo noteikumu ietvaros, nepieciešams noteikt, ka aktuālie dati tiek vērtēti uz lēmuma pieņemšanas brīdi.</w:t>
            </w:r>
            <w:r w:rsidRPr="0044384F">
              <w:rPr>
                <w:color w:val="auto"/>
              </w:rPr>
              <w:t>”</w:t>
            </w:r>
          </w:p>
        </w:tc>
      </w:tr>
      <w:tr w:rsidR="0044384F" w:rsidRPr="0044384F" w14:paraId="2B90D3D2" w14:textId="77777777" w:rsidTr="00CF0C27">
        <w:trPr>
          <w:gridBefore w:val="1"/>
          <w:wBefore w:w="7" w:type="dxa"/>
        </w:trPr>
        <w:tc>
          <w:tcPr>
            <w:tcW w:w="684" w:type="dxa"/>
            <w:tcBorders>
              <w:top w:val="single" w:sz="4" w:space="0" w:color="auto"/>
              <w:left w:val="single" w:sz="4" w:space="0" w:color="auto"/>
              <w:bottom w:val="single" w:sz="4" w:space="0" w:color="auto"/>
              <w:right w:val="single" w:sz="4" w:space="0" w:color="auto"/>
            </w:tcBorders>
          </w:tcPr>
          <w:p w14:paraId="3938697A" w14:textId="77777777" w:rsidR="00134375" w:rsidRPr="0044384F" w:rsidRDefault="00134375" w:rsidP="000D2876">
            <w:pPr>
              <w:pStyle w:val="ListParagraph"/>
              <w:numPr>
                <w:ilvl w:val="0"/>
                <w:numId w:val="8"/>
              </w:numPr>
              <w:spacing w:after="0" w:line="240" w:lineRule="auto"/>
              <w:ind w:hanging="720"/>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14:paraId="44333806" w14:textId="77777777" w:rsidR="00134375" w:rsidRPr="0044384F" w:rsidRDefault="00134375" w:rsidP="000D2876">
            <w:pPr>
              <w:pStyle w:val="naisc"/>
              <w:spacing w:before="0" w:after="0"/>
              <w:jc w:val="both"/>
              <w:rPr>
                <w:b/>
                <w:bCs/>
              </w:rPr>
            </w:pPr>
            <w:r w:rsidRPr="0044384F">
              <w:rPr>
                <w:b/>
                <w:bCs/>
              </w:rPr>
              <w:t>Anotācija</w:t>
            </w:r>
          </w:p>
        </w:tc>
        <w:tc>
          <w:tcPr>
            <w:tcW w:w="4337" w:type="dxa"/>
            <w:tcBorders>
              <w:top w:val="single" w:sz="4" w:space="0" w:color="auto"/>
              <w:left w:val="single" w:sz="4" w:space="0" w:color="auto"/>
              <w:bottom w:val="single" w:sz="4" w:space="0" w:color="auto"/>
              <w:right w:val="single" w:sz="4" w:space="0" w:color="auto"/>
            </w:tcBorders>
          </w:tcPr>
          <w:p w14:paraId="7BF91BB0" w14:textId="77777777" w:rsidR="00134375" w:rsidRPr="0044384F" w:rsidRDefault="00134375" w:rsidP="000D2876">
            <w:pPr>
              <w:pStyle w:val="naisc"/>
              <w:spacing w:before="0" w:after="0"/>
              <w:jc w:val="both"/>
              <w:rPr>
                <w:b/>
                <w:bCs/>
              </w:rPr>
            </w:pPr>
            <w:r w:rsidRPr="0044384F">
              <w:rPr>
                <w:b/>
                <w:bCs/>
              </w:rPr>
              <w:t>Tieslietu ministrijas 11.12.2020. iebildums:</w:t>
            </w:r>
          </w:p>
          <w:p w14:paraId="1EA82327" w14:textId="77777777" w:rsidR="00134375" w:rsidRPr="0044384F" w:rsidRDefault="00134375" w:rsidP="000D2876">
            <w:pPr>
              <w:tabs>
                <w:tab w:val="left" w:pos="709"/>
                <w:tab w:val="left" w:pos="851"/>
              </w:tabs>
              <w:jc w:val="both"/>
              <w:rPr>
                <w:b/>
                <w:bCs/>
              </w:rPr>
            </w:pPr>
            <w:r w:rsidRPr="0044384F">
              <w:t xml:space="preserve">“4. </w:t>
            </w:r>
            <w:r w:rsidRPr="0044384F">
              <w:rPr>
                <w:shd w:val="clear" w:color="auto" w:fill="FFFFFF"/>
              </w:rPr>
              <w:t>Lūdzam projekta anotācijas VI sadaļas 3. punktā sniegt pamatojumu,</w:t>
            </w:r>
            <w:r w:rsidRPr="0044384F">
              <w:rPr>
                <w:u w:val="single"/>
                <w:shd w:val="clear" w:color="auto" w:fill="FFFFFF"/>
              </w:rPr>
              <w:t xml:space="preserve"> kādēļ</w:t>
            </w:r>
            <w:r w:rsidRPr="0044384F">
              <w:rPr>
                <w:shd w:val="clear" w:color="auto" w:fill="FFFFFF"/>
              </w:rPr>
              <w:t xml:space="preserve"> konkrēti iesaistīto personu iebildumi un priekšlikumi ir vai nav ņemti vērā projekta izstrādē</w:t>
            </w:r>
            <w:r w:rsidRPr="0044384F">
              <w:t>.”</w:t>
            </w:r>
          </w:p>
        </w:tc>
        <w:tc>
          <w:tcPr>
            <w:tcW w:w="3257" w:type="dxa"/>
            <w:gridSpan w:val="2"/>
            <w:tcBorders>
              <w:top w:val="single" w:sz="4" w:space="0" w:color="auto"/>
              <w:left w:val="single" w:sz="4" w:space="0" w:color="auto"/>
              <w:bottom w:val="single" w:sz="4" w:space="0" w:color="auto"/>
              <w:right w:val="single" w:sz="4" w:space="0" w:color="auto"/>
            </w:tcBorders>
          </w:tcPr>
          <w:p w14:paraId="33595E85" w14:textId="77777777" w:rsidR="00134375" w:rsidRPr="0044384F" w:rsidRDefault="00134375" w:rsidP="000D2876">
            <w:pPr>
              <w:pStyle w:val="naisc"/>
              <w:spacing w:before="0" w:after="0"/>
              <w:rPr>
                <w:b/>
                <w:bCs/>
              </w:rPr>
            </w:pPr>
            <w:r w:rsidRPr="0044384F">
              <w:rPr>
                <w:b/>
                <w:bCs/>
              </w:rPr>
              <w:t>Ņemts vērā</w:t>
            </w:r>
          </w:p>
          <w:p w14:paraId="068BD582" w14:textId="77777777" w:rsidR="00134375" w:rsidRPr="0044384F" w:rsidRDefault="00134375" w:rsidP="000D2876">
            <w:pPr>
              <w:pStyle w:val="naisc"/>
              <w:spacing w:before="0" w:after="0"/>
            </w:pPr>
            <w:r w:rsidRPr="0044384F">
              <w:t>Anotācija ir papildināta.</w:t>
            </w:r>
          </w:p>
        </w:tc>
        <w:tc>
          <w:tcPr>
            <w:tcW w:w="2992" w:type="dxa"/>
            <w:tcBorders>
              <w:top w:val="single" w:sz="4" w:space="0" w:color="auto"/>
              <w:left w:val="single" w:sz="4" w:space="0" w:color="auto"/>
              <w:bottom w:val="single" w:sz="4" w:space="0" w:color="auto"/>
            </w:tcBorders>
          </w:tcPr>
          <w:p w14:paraId="3D8A90C0" w14:textId="77777777" w:rsidR="00134375" w:rsidRPr="0044384F" w:rsidRDefault="00134375" w:rsidP="000D2876">
            <w:pPr>
              <w:pStyle w:val="naisc"/>
              <w:spacing w:before="0" w:after="0"/>
              <w:jc w:val="both"/>
              <w:rPr>
                <w:b/>
                <w:bCs/>
              </w:rPr>
            </w:pPr>
            <w:r w:rsidRPr="0044384F">
              <w:rPr>
                <w:b/>
                <w:bCs/>
              </w:rPr>
              <w:t>Anotācijas VI. sadaļas 3. punkts ir papildināts šādā redakcijā:</w:t>
            </w:r>
          </w:p>
          <w:p w14:paraId="07DFFC41" w14:textId="77777777" w:rsidR="00134375" w:rsidRPr="0044384F" w:rsidRDefault="00134375" w:rsidP="000D2876">
            <w:pPr>
              <w:pStyle w:val="Default"/>
              <w:jc w:val="both"/>
              <w:rPr>
                <w:color w:val="auto"/>
              </w:rPr>
            </w:pPr>
            <w:r w:rsidRPr="0044384F">
              <w:rPr>
                <w:color w:val="auto"/>
              </w:rPr>
              <w:t>“Sabiedrības līdzdalības rezultāti tika apkopoti pēc saņemto viedokļu apkopošanas. Iebildumi saņemti no Latvijas Tirdzniecības un rūpniecības kameras un Latvijas Darba devēju konfederācijas. Iebildumi izteikti, aicinot plašāk izvērtēt kritēriju par komersanta darbinieku vidējo skaitu iepriekšējos trijos kalendāros gados. Priekšlikumi saņemti no Būvmateriālu Ražotāju asociācijas, Latvijas Pārtikas uzņēmumu federācijas, SIA “</w:t>
            </w:r>
            <w:proofErr w:type="spellStart"/>
            <w:r w:rsidRPr="0044384F">
              <w:rPr>
                <w:color w:val="auto"/>
              </w:rPr>
              <w:t>Varpa</w:t>
            </w:r>
            <w:proofErr w:type="spellEnd"/>
            <w:r w:rsidRPr="0044384F">
              <w:rPr>
                <w:color w:val="auto"/>
              </w:rPr>
              <w:t>”, SIA “</w:t>
            </w:r>
            <w:proofErr w:type="spellStart"/>
            <w:r w:rsidRPr="0044384F">
              <w:rPr>
                <w:color w:val="auto"/>
              </w:rPr>
              <w:t>NewFuels</w:t>
            </w:r>
            <w:proofErr w:type="spellEnd"/>
            <w:r w:rsidRPr="0044384F">
              <w:rPr>
                <w:color w:val="auto"/>
              </w:rPr>
              <w:t xml:space="preserve"> RSEZ”, SIA “VAIVES”, SIA “</w:t>
            </w:r>
            <w:proofErr w:type="spellStart"/>
            <w:r w:rsidRPr="0044384F">
              <w:rPr>
                <w:color w:val="auto"/>
              </w:rPr>
              <w:t>Graanul</w:t>
            </w:r>
            <w:proofErr w:type="spellEnd"/>
            <w:r w:rsidRPr="0044384F">
              <w:rPr>
                <w:color w:val="auto"/>
              </w:rPr>
              <w:t xml:space="preserve"> </w:t>
            </w:r>
            <w:proofErr w:type="spellStart"/>
            <w:r w:rsidRPr="0044384F">
              <w:rPr>
                <w:color w:val="auto"/>
              </w:rPr>
              <w:t>Invest</w:t>
            </w:r>
            <w:proofErr w:type="spellEnd"/>
            <w:r w:rsidRPr="0044384F">
              <w:rPr>
                <w:color w:val="auto"/>
              </w:rPr>
              <w:t>”, Madonas novada pašvaldības, SIA “</w:t>
            </w:r>
            <w:proofErr w:type="spellStart"/>
            <w:r w:rsidRPr="0044384F">
              <w:rPr>
                <w:color w:val="auto"/>
              </w:rPr>
              <w:t>Vudlande</w:t>
            </w:r>
            <w:proofErr w:type="spellEnd"/>
            <w:r w:rsidRPr="0044384F">
              <w:rPr>
                <w:color w:val="auto"/>
              </w:rPr>
              <w:t>”, SIA “</w:t>
            </w:r>
            <w:proofErr w:type="spellStart"/>
            <w:r w:rsidRPr="0044384F">
              <w:rPr>
                <w:color w:val="auto"/>
              </w:rPr>
              <w:t>Latvāņi</w:t>
            </w:r>
            <w:proofErr w:type="spellEnd"/>
            <w:r w:rsidRPr="0044384F">
              <w:rPr>
                <w:color w:val="auto"/>
              </w:rPr>
              <w:t>”, SIA “</w:t>
            </w:r>
            <w:proofErr w:type="spellStart"/>
            <w:r w:rsidRPr="0044384F">
              <w:rPr>
                <w:color w:val="auto"/>
              </w:rPr>
              <w:t>Baltic</w:t>
            </w:r>
            <w:proofErr w:type="spellEnd"/>
            <w:r w:rsidRPr="0044384F">
              <w:rPr>
                <w:color w:val="auto"/>
              </w:rPr>
              <w:t xml:space="preserve"> </w:t>
            </w:r>
            <w:proofErr w:type="spellStart"/>
            <w:r w:rsidRPr="0044384F">
              <w:rPr>
                <w:color w:val="auto"/>
              </w:rPr>
              <w:t>Block</w:t>
            </w:r>
            <w:proofErr w:type="spellEnd"/>
            <w:r w:rsidRPr="0044384F">
              <w:rPr>
                <w:color w:val="auto"/>
              </w:rPr>
              <w:t xml:space="preserve">”, SIA “SMILTENE IMPEX” un </w:t>
            </w:r>
            <w:r w:rsidRPr="0044384F">
              <w:rPr>
                <w:color w:val="auto"/>
              </w:rPr>
              <w:lastRenderedPageBreak/>
              <w:t xml:space="preserve">SIA “Eco </w:t>
            </w:r>
            <w:proofErr w:type="spellStart"/>
            <w:r w:rsidRPr="0044384F">
              <w:rPr>
                <w:color w:val="auto"/>
              </w:rPr>
              <w:t>Baltia</w:t>
            </w:r>
            <w:proofErr w:type="spellEnd"/>
            <w:r w:rsidRPr="0044384F">
              <w:rPr>
                <w:color w:val="auto"/>
              </w:rPr>
              <w:t xml:space="preserve"> grupa”. Priekšlikumi izteikti, aicinot plašāk izvērtēt kritēriju par komersanta darbinieku vidējo skaitu iepriekšējos trijos kalendāros gados, izvērtēt nozaru tvērumu, kā arī nosacījumus attiecībā finansiālās grūtībās nonākušiem komersantiem. Ekonomikas ministrija 03.12.2020. organizēja tikšanos ar institūcijām un uzņēmumus pārstāvošajām organizācijām, kuras sniegušas atzinumus par noteikumu projektu, kā arī uzņēmējiem, kuri snieguši viedokli sabiedriskās apspriedes laikā, lai pārrunātu izteiktos komentārus Savukārt 04.12.2020. Ekonomikas ministrija organizēja tikšanos ar institūcijām, uzņēmumus pārstāvošajām organizācijām, kā arī uzņēmējiem, lai prezentētu pamatojumu noteikumu projektā ietvertajiem grozījumiem. Ekonomikas ministrija precizēja noteikumu projektu, ņemot </w:t>
            </w:r>
            <w:r w:rsidRPr="0044384F">
              <w:rPr>
                <w:color w:val="auto"/>
              </w:rPr>
              <w:lastRenderedPageBreak/>
              <w:t>vērā izteiktos iebildumus un priekšlikumus, salāgojot visu iesaistīto pušu viedokļus.</w:t>
            </w:r>
          </w:p>
          <w:p w14:paraId="36DD0FAC" w14:textId="77777777" w:rsidR="00134375" w:rsidRPr="0044384F" w:rsidRDefault="00134375" w:rsidP="000D2876">
            <w:pPr>
              <w:pStyle w:val="Default"/>
              <w:jc w:val="both"/>
              <w:rPr>
                <w:color w:val="auto"/>
              </w:rPr>
            </w:pPr>
            <w:r w:rsidRPr="0044384F">
              <w:rPr>
                <w:color w:val="auto"/>
              </w:rPr>
              <w:t xml:space="preserve">Precizētais noteikumu projekts tika nosūtīts elektroniskajai saskaņošanai 08.12.2020., nosakot saskaņošanas termiņu 10.12.2020., kā rezultātā tika saņemti priekšlikumi. Kooperatīvā sabiedrība “Latvijas Piensaimnieku Centrālā Savienība” (AS “Preiļu siers” un AS “Cesvaines Piens” iesūtītie viedokļi) izteica priekšlikumu noteikumu projekta 1.9. apakšpunkta spēkā stāšanos noteikt ar 01.01.2021., savukārt, noteikumu projekta 1.6. punkta spēkā stāšanos noteikt ar 01.01.2022. Šie priekšlikumi netiek ņemti vērā, jo noteikumu projekta 1.9. apakšpunktā noteiktais nosacījums vēl ir jāsaskaņo ar Eiropas Komisiju, savukārt noteikumu projekta 1.6. apakšpunktā ietvertā grozījuma spēkā termiņš ir atbilstošs Komisijas </w:t>
            </w:r>
            <w:r w:rsidRPr="0044384F">
              <w:rPr>
                <w:color w:val="auto"/>
              </w:rPr>
              <w:lastRenderedPageBreak/>
              <w:t>paziņojuma 13. punkta a) apakšpunktam.</w:t>
            </w:r>
          </w:p>
          <w:p w14:paraId="32D3321B" w14:textId="77777777" w:rsidR="000D2876" w:rsidRDefault="00134375" w:rsidP="000D2876">
            <w:pPr>
              <w:jc w:val="both"/>
            </w:pPr>
            <w:r w:rsidRPr="0044384F">
              <w:t>No Madonas novada pašvaldības saņemts aicinājums izslēgt prasību par minimālo nodarbināto skaitu. SIA “</w:t>
            </w:r>
            <w:proofErr w:type="spellStart"/>
            <w:r w:rsidRPr="0044384F">
              <w:t>NewFuels</w:t>
            </w:r>
            <w:proofErr w:type="spellEnd"/>
            <w:r w:rsidRPr="0044384F">
              <w:t>”, RSEZ informēja, ka atsaka saskaņot noteikumu projektu un lūdz izslēgt no noteikumu projekta 1.3. apakšpunktu, kā arī neiekļaut noteikumu projektā nekādus tādus citus kvalifikācijas kritērijus vai liedz iespēju arī šī spēkā esošā instrumenta par vienu gadu pagarinātajā termiņā kvalificēties tā saņemšanai. Rēzeknes pilsētas dome un pašvaldību kopīgā iestāde “Rēzeknes speciālās ekonomiskās zonas pārvalde” aicina nesaskaņot noteikumu projektu, galvenokārt saistībā ar noteikumu projektā iekļauto kvalifikācijas kritēriju par komersanta darbinieku vidējo skaitu saimnieciskās darbības nozarē.</w:t>
            </w:r>
          </w:p>
          <w:p w14:paraId="59AF0CF4" w14:textId="6AF77869" w:rsidR="00134375" w:rsidRPr="0044384F" w:rsidRDefault="00134375" w:rsidP="000D2876">
            <w:pPr>
              <w:jc w:val="both"/>
              <w:rPr>
                <w:iCs/>
              </w:rPr>
            </w:pPr>
            <w:r w:rsidRPr="0044384F">
              <w:t xml:space="preserve">Pamatojums kritērijam par komersanta darbinieku vidējo skaitu saimnieciskās </w:t>
            </w:r>
            <w:r w:rsidRPr="0044384F">
              <w:lastRenderedPageBreak/>
              <w:t>darbības nozarē ir sniegts anotācijas I. daļas 2. punktā. Attiecībā uz noteikumu projekta 1.3. apakšpunktu Ekonomikas ministrija ir papildinājusi anotācijas I. daļas 2. punktu</w:t>
            </w:r>
            <w:r w:rsidRPr="0044384F">
              <w:rPr>
                <w:shd w:val="clear" w:color="auto" w:fill="FFFFFF"/>
              </w:rPr>
              <w:t>.</w:t>
            </w:r>
            <w:r w:rsidR="000D2876" w:rsidRPr="00F5506A">
              <w:t xml:space="preserve"> </w:t>
            </w:r>
            <w:r w:rsidR="000D2876" w:rsidRPr="00F5506A">
              <w:t>Kā arī noteikumu projekta 1.3. apakšpunkts ir precizēts, nosakot, ka</w:t>
            </w:r>
            <w:r w:rsidR="000D2876" w:rsidRPr="00F5506A">
              <w:rPr>
                <w:rFonts w:eastAsiaTheme="minorHAnsi"/>
                <w:lang w:eastAsia="en-US"/>
              </w:rPr>
              <w:t xml:space="preserve"> komersanta darbinieku vidējais skaits saimnieciskās darbības nozarē, kas atbilst šo noteikumu 1. pielikumā minētajām nozarēm, iepriekšējos trijos ka</w:t>
            </w:r>
            <w:bookmarkStart w:id="0" w:name="_GoBack"/>
            <w:bookmarkEnd w:id="0"/>
            <w:r w:rsidR="000D2876" w:rsidRPr="00F5506A">
              <w:rPr>
                <w:rFonts w:eastAsiaTheme="minorHAnsi"/>
                <w:lang w:eastAsia="en-US"/>
              </w:rPr>
              <w:t>lendāros gados ir vismaz 50</w:t>
            </w:r>
            <w:r w:rsidR="000D2876" w:rsidRPr="00F5506A">
              <w:t>.</w:t>
            </w:r>
            <w:r w:rsidRPr="0044384F">
              <w:t>”</w:t>
            </w:r>
          </w:p>
        </w:tc>
      </w:tr>
      <w:tr w:rsidR="0044384F" w:rsidRPr="0044384F" w14:paraId="43B6CF7C"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bottom w:val="single" w:sz="4" w:space="0" w:color="000000"/>
            </w:tcBorders>
          </w:tcPr>
          <w:p w14:paraId="40B03A3B" w14:textId="4F420B53" w:rsidR="001D3B74" w:rsidRPr="0044384F" w:rsidRDefault="001D3B74" w:rsidP="000D2876">
            <w:r w:rsidRPr="0044384F">
              <w:lastRenderedPageBreak/>
              <w:br w:type="page"/>
              <w:t>Līga Mičule</w:t>
            </w:r>
          </w:p>
        </w:tc>
      </w:tr>
      <w:tr w:rsidR="0044384F" w:rsidRPr="0044384F" w14:paraId="11C8094E"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top w:val="single" w:sz="4" w:space="0" w:color="000000"/>
            </w:tcBorders>
          </w:tcPr>
          <w:p w14:paraId="30499439" w14:textId="77777777" w:rsidR="001D3B74" w:rsidRPr="0044384F" w:rsidRDefault="001D3B74" w:rsidP="000D2876">
            <w:pPr>
              <w:jc w:val="center"/>
            </w:pPr>
            <w:r w:rsidRPr="0044384F">
              <w:t>(par projektu atbildīgās amatpersonas vārds un uzvārds)</w:t>
            </w:r>
          </w:p>
        </w:tc>
      </w:tr>
      <w:tr w:rsidR="0044384F" w:rsidRPr="0044384F" w14:paraId="6DAD4263"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bottom w:val="single" w:sz="4" w:space="0" w:color="000000"/>
            </w:tcBorders>
          </w:tcPr>
          <w:p w14:paraId="4219AA76" w14:textId="6EB07493" w:rsidR="001D3B74" w:rsidRPr="0044384F" w:rsidRDefault="001D3B74" w:rsidP="000D2876">
            <w:r w:rsidRPr="0044384F">
              <w:t>Vecākā eksperte</w:t>
            </w:r>
          </w:p>
        </w:tc>
      </w:tr>
      <w:tr w:rsidR="0044384F" w:rsidRPr="0044384F" w14:paraId="588EEC32"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top w:val="single" w:sz="4" w:space="0" w:color="000000"/>
            </w:tcBorders>
          </w:tcPr>
          <w:p w14:paraId="2AD8C1C8" w14:textId="77777777" w:rsidR="001D3B74" w:rsidRPr="0044384F" w:rsidRDefault="001D3B74" w:rsidP="000D2876">
            <w:pPr>
              <w:jc w:val="center"/>
            </w:pPr>
            <w:r w:rsidRPr="0044384F">
              <w:t>(amats)</w:t>
            </w:r>
          </w:p>
        </w:tc>
      </w:tr>
      <w:tr w:rsidR="0044384F" w:rsidRPr="0044384F" w14:paraId="1B862767"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bottom w:val="single" w:sz="4" w:space="0" w:color="000000"/>
            </w:tcBorders>
          </w:tcPr>
          <w:p w14:paraId="7E08327F" w14:textId="540CE8E7" w:rsidR="001D3B74" w:rsidRPr="0044384F" w:rsidRDefault="001D3B74" w:rsidP="000D2876">
            <w:r w:rsidRPr="0044384F">
              <w:t>67013030</w:t>
            </w:r>
          </w:p>
        </w:tc>
      </w:tr>
      <w:tr w:rsidR="0044384F" w:rsidRPr="0044384F" w14:paraId="631FCA04"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top w:val="single" w:sz="4" w:space="0" w:color="000000"/>
            </w:tcBorders>
          </w:tcPr>
          <w:p w14:paraId="04A2583D" w14:textId="77777777" w:rsidR="001D3B74" w:rsidRPr="0044384F" w:rsidRDefault="001D3B74" w:rsidP="000D2876">
            <w:pPr>
              <w:jc w:val="center"/>
            </w:pPr>
            <w:r w:rsidRPr="0044384F">
              <w:t>(tālruņa un faksa numurs)</w:t>
            </w:r>
          </w:p>
        </w:tc>
      </w:tr>
      <w:tr w:rsidR="0044384F" w:rsidRPr="0044384F" w14:paraId="7115E50D"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bottom w:val="single" w:sz="4" w:space="0" w:color="000000"/>
            </w:tcBorders>
          </w:tcPr>
          <w:p w14:paraId="5595DB96" w14:textId="446111AD" w:rsidR="001D3B74" w:rsidRPr="0044384F" w:rsidRDefault="001D3B74" w:rsidP="000D2876">
            <w:r w:rsidRPr="0044384F">
              <w:t>Liga.Micule@em.gov.lv</w:t>
            </w:r>
          </w:p>
        </w:tc>
      </w:tr>
      <w:tr w:rsidR="0044384F" w:rsidRPr="0044384F" w14:paraId="76984F2B" w14:textId="77777777" w:rsidTr="00CF0C27">
        <w:tblPrEx>
          <w:tblBorders>
            <w:top w:val="none" w:sz="0" w:space="0" w:color="auto"/>
            <w:left w:val="none" w:sz="0" w:space="0" w:color="auto"/>
            <w:bottom w:val="none" w:sz="0" w:space="0" w:color="auto"/>
            <w:right w:val="none" w:sz="0" w:space="0" w:color="auto"/>
          </w:tblBorders>
        </w:tblPrEx>
        <w:trPr>
          <w:gridAfter w:val="2"/>
          <w:wAfter w:w="5919" w:type="dxa"/>
        </w:trPr>
        <w:tc>
          <w:tcPr>
            <w:tcW w:w="8256" w:type="dxa"/>
            <w:gridSpan w:val="5"/>
            <w:tcBorders>
              <w:top w:val="single" w:sz="4" w:space="0" w:color="000000"/>
            </w:tcBorders>
          </w:tcPr>
          <w:p w14:paraId="70012293" w14:textId="77777777" w:rsidR="001D3B74" w:rsidRPr="0044384F" w:rsidRDefault="001D3B74" w:rsidP="000D2876">
            <w:pPr>
              <w:jc w:val="center"/>
            </w:pPr>
            <w:r w:rsidRPr="0044384F">
              <w:t>(e-pasta adrese)</w:t>
            </w:r>
          </w:p>
        </w:tc>
      </w:tr>
    </w:tbl>
    <w:p w14:paraId="2D1D7382" w14:textId="77777777" w:rsidR="003B71E0" w:rsidRPr="0044384F" w:rsidRDefault="003B71E0" w:rsidP="000D2876">
      <w:pPr>
        <w:pStyle w:val="naisf"/>
        <w:spacing w:before="0" w:after="0"/>
        <w:ind w:firstLine="0"/>
        <w:jc w:val="left"/>
      </w:pPr>
    </w:p>
    <w:sectPr w:rsidR="003B71E0" w:rsidRPr="0044384F" w:rsidSect="00364B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CDA5" w16cex:dateUtc="2020-03-18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6C8C" w14:textId="77777777" w:rsidR="0080412F" w:rsidRDefault="0080412F">
      <w:r>
        <w:separator/>
      </w:r>
    </w:p>
  </w:endnote>
  <w:endnote w:type="continuationSeparator" w:id="0">
    <w:p w14:paraId="44FD9F3B" w14:textId="77777777" w:rsidR="0080412F" w:rsidRDefault="0080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8599" w14:textId="77777777" w:rsidR="00E379B8" w:rsidRDefault="00E37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153FB62E" w:rsidR="000E0DB9" w:rsidRPr="003E0C78" w:rsidRDefault="000E0DB9"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CB4E5F" w:rsidRPr="00CB4E5F">
      <w:rPr>
        <w:noProof/>
      </w:rPr>
      <w:t>EMIzz_141220_groz395</w:t>
    </w:r>
    <w:r w:rsidR="00CB4E5F">
      <w:rPr>
        <w:noProof/>
        <w:sz w:val="20"/>
        <w:szCs w:val="20"/>
      </w:rPr>
      <w:t xml:space="preserve"> .docx</w:t>
    </w:r>
    <w:r w:rsidRPr="003E0C7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7AF443A4" w:rsidR="000E0DB9" w:rsidRPr="00330839" w:rsidRDefault="007E08A2" w:rsidP="003E0C78">
    <w:pPr>
      <w:pStyle w:val="Footer"/>
    </w:pPr>
    <w:r>
      <w:fldChar w:fldCharType="begin"/>
    </w:r>
    <w:r>
      <w:instrText xml:space="preserve"> FILENAME   \* MERGEFORMAT </w:instrText>
    </w:r>
    <w:r>
      <w:fldChar w:fldCharType="separate"/>
    </w:r>
    <w:r w:rsidR="00CB4E5F">
      <w:rPr>
        <w:noProof/>
      </w:rPr>
      <w:t>EMIzz_141220_groz395 .docx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25B1" w14:textId="77777777" w:rsidR="0080412F" w:rsidRDefault="0080412F">
      <w:r>
        <w:separator/>
      </w:r>
    </w:p>
  </w:footnote>
  <w:footnote w:type="continuationSeparator" w:id="0">
    <w:p w14:paraId="6181A98D" w14:textId="77777777" w:rsidR="0080412F" w:rsidRDefault="0080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0E0DB9" w:rsidRDefault="000E0D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0E0DB9" w:rsidRDefault="000E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0E0DB9" w:rsidRDefault="000E0D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E7FB5F" w14:textId="77777777" w:rsidR="000E0DB9" w:rsidRDefault="000E0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5BBD" w14:textId="77777777" w:rsidR="00E379B8" w:rsidRDefault="00E3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FA0B64"/>
    <w:multiLevelType w:val="hybridMultilevel"/>
    <w:tmpl w:val="0FE633CA"/>
    <w:lvl w:ilvl="0" w:tplc="0809000F">
      <w:start w:val="1"/>
      <w:numFmt w:val="decimal"/>
      <w:lvlText w:val="%1."/>
      <w:lvlJc w:val="left"/>
      <w:pPr>
        <w:ind w:left="5181" w:hanging="360"/>
      </w:pPr>
    </w:lvl>
    <w:lvl w:ilvl="1" w:tplc="08090019" w:tentative="1">
      <w:start w:val="1"/>
      <w:numFmt w:val="lowerLetter"/>
      <w:lvlText w:val="%2."/>
      <w:lvlJc w:val="left"/>
      <w:pPr>
        <w:ind w:left="5901" w:hanging="360"/>
      </w:pPr>
    </w:lvl>
    <w:lvl w:ilvl="2" w:tplc="0809001B" w:tentative="1">
      <w:start w:val="1"/>
      <w:numFmt w:val="lowerRoman"/>
      <w:lvlText w:val="%3."/>
      <w:lvlJc w:val="right"/>
      <w:pPr>
        <w:ind w:left="6621" w:hanging="180"/>
      </w:pPr>
    </w:lvl>
    <w:lvl w:ilvl="3" w:tplc="0809000F" w:tentative="1">
      <w:start w:val="1"/>
      <w:numFmt w:val="decimal"/>
      <w:lvlText w:val="%4."/>
      <w:lvlJc w:val="left"/>
      <w:pPr>
        <w:ind w:left="7341" w:hanging="360"/>
      </w:pPr>
    </w:lvl>
    <w:lvl w:ilvl="4" w:tplc="08090019" w:tentative="1">
      <w:start w:val="1"/>
      <w:numFmt w:val="lowerLetter"/>
      <w:lvlText w:val="%5."/>
      <w:lvlJc w:val="left"/>
      <w:pPr>
        <w:ind w:left="8061" w:hanging="360"/>
      </w:pPr>
    </w:lvl>
    <w:lvl w:ilvl="5" w:tplc="0809001B" w:tentative="1">
      <w:start w:val="1"/>
      <w:numFmt w:val="lowerRoman"/>
      <w:lvlText w:val="%6."/>
      <w:lvlJc w:val="right"/>
      <w:pPr>
        <w:ind w:left="8781" w:hanging="180"/>
      </w:pPr>
    </w:lvl>
    <w:lvl w:ilvl="6" w:tplc="0809000F" w:tentative="1">
      <w:start w:val="1"/>
      <w:numFmt w:val="decimal"/>
      <w:lvlText w:val="%7."/>
      <w:lvlJc w:val="left"/>
      <w:pPr>
        <w:ind w:left="9501" w:hanging="360"/>
      </w:pPr>
    </w:lvl>
    <w:lvl w:ilvl="7" w:tplc="08090019" w:tentative="1">
      <w:start w:val="1"/>
      <w:numFmt w:val="lowerLetter"/>
      <w:lvlText w:val="%8."/>
      <w:lvlJc w:val="left"/>
      <w:pPr>
        <w:ind w:left="10221" w:hanging="360"/>
      </w:pPr>
    </w:lvl>
    <w:lvl w:ilvl="8" w:tplc="0809001B" w:tentative="1">
      <w:start w:val="1"/>
      <w:numFmt w:val="lowerRoman"/>
      <w:lvlText w:val="%9."/>
      <w:lvlJc w:val="right"/>
      <w:pPr>
        <w:ind w:left="10941" w:hanging="180"/>
      </w:pPr>
    </w:lvl>
  </w:abstractNum>
  <w:abstractNum w:abstractNumId="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96A40"/>
    <w:multiLevelType w:val="hybridMultilevel"/>
    <w:tmpl w:val="59B8492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E00D1A"/>
    <w:multiLevelType w:val="hybridMultilevel"/>
    <w:tmpl w:val="9A10D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496A4F"/>
    <w:multiLevelType w:val="multilevel"/>
    <w:tmpl w:val="70A24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982B94"/>
    <w:multiLevelType w:val="hybridMultilevel"/>
    <w:tmpl w:val="F18AF3F0"/>
    <w:lvl w:ilvl="0" w:tplc="DD103014">
      <w:start w:val="1"/>
      <w:numFmt w:val="decimal"/>
      <w:lvlText w:val="%1."/>
      <w:lvlJc w:val="left"/>
      <w:pPr>
        <w:ind w:left="1069" w:hanging="360"/>
      </w:pPr>
      <w:rPr>
        <w:rFonts w:ascii="Times New Roman" w:eastAsia="Calibri" w:hAnsi="Times New Roman" w:cs="Times New Roman"/>
        <w:i w:val="0"/>
        <w:sz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1" w15:restartNumberingAfterBreak="0">
    <w:nsid w:val="6B7B1B34"/>
    <w:multiLevelType w:val="hybridMultilevel"/>
    <w:tmpl w:val="9028E846"/>
    <w:lvl w:ilvl="0" w:tplc="DDF249FA">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5"/>
  </w:num>
  <w:num w:numId="5">
    <w:abstractNumId w:val="4"/>
  </w:num>
  <w:num w:numId="6">
    <w:abstractNumId w:val="6"/>
  </w:num>
  <w:num w:numId="7">
    <w:abstractNumId w:val="0"/>
  </w:num>
  <w:num w:numId="8">
    <w:abstractNumId w:val="7"/>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60B"/>
    <w:rsid w:val="00003C53"/>
    <w:rsid w:val="0000456E"/>
    <w:rsid w:val="000055EA"/>
    <w:rsid w:val="00006773"/>
    <w:rsid w:val="00006BF1"/>
    <w:rsid w:val="00010A39"/>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14A4"/>
    <w:rsid w:val="00021BE8"/>
    <w:rsid w:val="00022338"/>
    <w:rsid w:val="0002296A"/>
    <w:rsid w:val="00022B0F"/>
    <w:rsid w:val="00022B9A"/>
    <w:rsid w:val="00023FD6"/>
    <w:rsid w:val="0002416A"/>
    <w:rsid w:val="00024CCD"/>
    <w:rsid w:val="00024D20"/>
    <w:rsid w:val="000253DB"/>
    <w:rsid w:val="000258AF"/>
    <w:rsid w:val="00025E4F"/>
    <w:rsid w:val="0002762D"/>
    <w:rsid w:val="000278E7"/>
    <w:rsid w:val="00027A63"/>
    <w:rsid w:val="00027F9D"/>
    <w:rsid w:val="000307B5"/>
    <w:rsid w:val="00031899"/>
    <w:rsid w:val="00032457"/>
    <w:rsid w:val="00033180"/>
    <w:rsid w:val="0003413A"/>
    <w:rsid w:val="000349CA"/>
    <w:rsid w:val="0003557A"/>
    <w:rsid w:val="00035C06"/>
    <w:rsid w:val="000366DF"/>
    <w:rsid w:val="000376CD"/>
    <w:rsid w:val="00040A5C"/>
    <w:rsid w:val="00043005"/>
    <w:rsid w:val="0004345F"/>
    <w:rsid w:val="00044026"/>
    <w:rsid w:val="00044576"/>
    <w:rsid w:val="00046075"/>
    <w:rsid w:val="00046CAD"/>
    <w:rsid w:val="00046F5C"/>
    <w:rsid w:val="0004725C"/>
    <w:rsid w:val="00047385"/>
    <w:rsid w:val="00050554"/>
    <w:rsid w:val="00053706"/>
    <w:rsid w:val="00053A4D"/>
    <w:rsid w:val="00053E04"/>
    <w:rsid w:val="00056128"/>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6A1"/>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9D6"/>
    <w:rsid w:val="000A1A02"/>
    <w:rsid w:val="000A4035"/>
    <w:rsid w:val="000A483A"/>
    <w:rsid w:val="000A55D2"/>
    <w:rsid w:val="000A64D3"/>
    <w:rsid w:val="000A6EB8"/>
    <w:rsid w:val="000A77B9"/>
    <w:rsid w:val="000A7EA7"/>
    <w:rsid w:val="000B0403"/>
    <w:rsid w:val="000B057B"/>
    <w:rsid w:val="000B06E7"/>
    <w:rsid w:val="000B0C94"/>
    <w:rsid w:val="000B15E5"/>
    <w:rsid w:val="000B2382"/>
    <w:rsid w:val="000B2430"/>
    <w:rsid w:val="000B3171"/>
    <w:rsid w:val="000B34A5"/>
    <w:rsid w:val="000B368F"/>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2876"/>
    <w:rsid w:val="000D3602"/>
    <w:rsid w:val="000D4D89"/>
    <w:rsid w:val="000D6BBD"/>
    <w:rsid w:val="000D7751"/>
    <w:rsid w:val="000D7C23"/>
    <w:rsid w:val="000E0A16"/>
    <w:rsid w:val="000E0DB9"/>
    <w:rsid w:val="000E1BFA"/>
    <w:rsid w:val="000E2142"/>
    <w:rsid w:val="000E21D0"/>
    <w:rsid w:val="000E2A38"/>
    <w:rsid w:val="000E2ACC"/>
    <w:rsid w:val="000E5509"/>
    <w:rsid w:val="000E585F"/>
    <w:rsid w:val="000E66F8"/>
    <w:rsid w:val="000F054F"/>
    <w:rsid w:val="000F079D"/>
    <w:rsid w:val="000F0D9D"/>
    <w:rsid w:val="000F17F2"/>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550A"/>
    <w:rsid w:val="00106F4F"/>
    <w:rsid w:val="001071D3"/>
    <w:rsid w:val="001075A8"/>
    <w:rsid w:val="00110259"/>
    <w:rsid w:val="00110AA9"/>
    <w:rsid w:val="0011254D"/>
    <w:rsid w:val="001126DC"/>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375"/>
    <w:rsid w:val="00137403"/>
    <w:rsid w:val="00140706"/>
    <w:rsid w:val="0014122A"/>
    <w:rsid w:val="00141E85"/>
    <w:rsid w:val="0014319C"/>
    <w:rsid w:val="001436B3"/>
    <w:rsid w:val="00143976"/>
    <w:rsid w:val="00143DAC"/>
    <w:rsid w:val="00144622"/>
    <w:rsid w:val="00144781"/>
    <w:rsid w:val="00144917"/>
    <w:rsid w:val="0014603A"/>
    <w:rsid w:val="0014702D"/>
    <w:rsid w:val="00147596"/>
    <w:rsid w:val="00152718"/>
    <w:rsid w:val="001530CF"/>
    <w:rsid w:val="00153F12"/>
    <w:rsid w:val="001543DB"/>
    <w:rsid w:val="00155473"/>
    <w:rsid w:val="001554CC"/>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4B3F"/>
    <w:rsid w:val="001761FD"/>
    <w:rsid w:val="00177D61"/>
    <w:rsid w:val="00180125"/>
    <w:rsid w:val="00180812"/>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2512"/>
    <w:rsid w:val="001A4B8F"/>
    <w:rsid w:val="001A7BA3"/>
    <w:rsid w:val="001A7C72"/>
    <w:rsid w:val="001B084B"/>
    <w:rsid w:val="001B0CEC"/>
    <w:rsid w:val="001B0FFC"/>
    <w:rsid w:val="001B1CF2"/>
    <w:rsid w:val="001B4388"/>
    <w:rsid w:val="001B463E"/>
    <w:rsid w:val="001B49E0"/>
    <w:rsid w:val="001B5377"/>
    <w:rsid w:val="001B6260"/>
    <w:rsid w:val="001B62E9"/>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997"/>
    <w:rsid w:val="001C6C7D"/>
    <w:rsid w:val="001D1CB1"/>
    <w:rsid w:val="001D2AC0"/>
    <w:rsid w:val="001D2DBA"/>
    <w:rsid w:val="001D2DCB"/>
    <w:rsid w:val="001D2FD0"/>
    <w:rsid w:val="001D3830"/>
    <w:rsid w:val="001D3B74"/>
    <w:rsid w:val="001D3BA6"/>
    <w:rsid w:val="001D5564"/>
    <w:rsid w:val="001D6FAA"/>
    <w:rsid w:val="001D70FA"/>
    <w:rsid w:val="001D7BA9"/>
    <w:rsid w:val="001E039D"/>
    <w:rsid w:val="001E04CA"/>
    <w:rsid w:val="001E0BB1"/>
    <w:rsid w:val="001E22E7"/>
    <w:rsid w:val="001E2714"/>
    <w:rsid w:val="001E398C"/>
    <w:rsid w:val="001E4456"/>
    <w:rsid w:val="001E4DDC"/>
    <w:rsid w:val="001E64E7"/>
    <w:rsid w:val="001E774F"/>
    <w:rsid w:val="001E7C1D"/>
    <w:rsid w:val="001F073F"/>
    <w:rsid w:val="001F1BE1"/>
    <w:rsid w:val="001F3009"/>
    <w:rsid w:val="001F3358"/>
    <w:rsid w:val="001F35CB"/>
    <w:rsid w:val="001F390F"/>
    <w:rsid w:val="001F5CD1"/>
    <w:rsid w:val="001F7257"/>
    <w:rsid w:val="001F76BB"/>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23C6"/>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4BA"/>
    <w:rsid w:val="0023764D"/>
    <w:rsid w:val="00240C04"/>
    <w:rsid w:val="002415BC"/>
    <w:rsid w:val="002419C1"/>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0509"/>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725"/>
    <w:rsid w:val="002A4C3E"/>
    <w:rsid w:val="002A56BC"/>
    <w:rsid w:val="002A5C53"/>
    <w:rsid w:val="002A6AD6"/>
    <w:rsid w:val="002A72CC"/>
    <w:rsid w:val="002A76AB"/>
    <w:rsid w:val="002A7A4F"/>
    <w:rsid w:val="002A7AFE"/>
    <w:rsid w:val="002B01DB"/>
    <w:rsid w:val="002B09C0"/>
    <w:rsid w:val="002B1349"/>
    <w:rsid w:val="002B13B3"/>
    <w:rsid w:val="002B183D"/>
    <w:rsid w:val="002B1DBF"/>
    <w:rsid w:val="002B207F"/>
    <w:rsid w:val="002B2A48"/>
    <w:rsid w:val="002B2BEE"/>
    <w:rsid w:val="002B31AD"/>
    <w:rsid w:val="002B3EA7"/>
    <w:rsid w:val="002B4BAE"/>
    <w:rsid w:val="002B538B"/>
    <w:rsid w:val="002B581B"/>
    <w:rsid w:val="002B7430"/>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54C"/>
    <w:rsid w:val="002E2A24"/>
    <w:rsid w:val="002E3D66"/>
    <w:rsid w:val="002E3F11"/>
    <w:rsid w:val="002E4B11"/>
    <w:rsid w:val="002E4F70"/>
    <w:rsid w:val="002E5886"/>
    <w:rsid w:val="002E5AD3"/>
    <w:rsid w:val="002E635D"/>
    <w:rsid w:val="002E7562"/>
    <w:rsid w:val="002F071F"/>
    <w:rsid w:val="002F077C"/>
    <w:rsid w:val="002F16D5"/>
    <w:rsid w:val="002F1A90"/>
    <w:rsid w:val="002F1C2F"/>
    <w:rsid w:val="002F2ECA"/>
    <w:rsid w:val="002F3D1C"/>
    <w:rsid w:val="002F4EA1"/>
    <w:rsid w:val="002F52DE"/>
    <w:rsid w:val="002F55C1"/>
    <w:rsid w:val="002F6948"/>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3EE"/>
    <w:rsid w:val="0031449F"/>
    <w:rsid w:val="00314535"/>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4EC2"/>
    <w:rsid w:val="00325045"/>
    <w:rsid w:val="00325D91"/>
    <w:rsid w:val="0032617D"/>
    <w:rsid w:val="003267B4"/>
    <w:rsid w:val="0032754A"/>
    <w:rsid w:val="00330186"/>
    <w:rsid w:val="00330839"/>
    <w:rsid w:val="00331193"/>
    <w:rsid w:val="003333D4"/>
    <w:rsid w:val="00334951"/>
    <w:rsid w:val="00336411"/>
    <w:rsid w:val="003365CB"/>
    <w:rsid w:val="0033678D"/>
    <w:rsid w:val="00336EFE"/>
    <w:rsid w:val="0033720D"/>
    <w:rsid w:val="003373E8"/>
    <w:rsid w:val="003408B0"/>
    <w:rsid w:val="003443DD"/>
    <w:rsid w:val="00344D5A"/>
    <w:rsid w:val="00346EB6"/>
    <w:rsid w:val="00347296"/>
    <w:rsid w:val="00347D36"/>
    <w:rsid w:val="00347EDB"/>
    <w:rsid w:val="00350797"/>
    <w:rsid w:val="00351A85"/>
    <w:rsid w:val="003522E8"/>
    <w:rsid w:val="00353355"/>
    <w:rsid w:val="00353989"/>
    <w:rsid w:val="00355B7A"/>
    <w:rsid w:val="0035617C"/>
    <w:rsid w:val="00356E7E"/>
    <w:rsid w:val="00356EB8"/>
    <w:rsid w:val="00357B83"/>
    <w:rsid w:val="003614A8"/>
    <w:rsid w:val="0036160E"/>
    <w:rsid w:val="00362610"/>
    <w:rsid w:val="00363830"/>
    <w:rsid w:val="00363C7E"/>
    <w:rsid w:val="00363D2D"/>
    <w:rsid w:val="00364952"/>
    <w:rsid w:val="00364BB6"/>
    <w:rsid w:val="00364D6B"/>
    <w:rsid w:val="00365408"/>
    <w:rsid w:val="00365BA2"/>
    <w:rsid w:val="00365CC0"/>
    <w:rsid w:val="003668DF"/>
    <w:rsid w:val="00367688"/>
    <w:rsid w:val="00372221"/>
    <w:rsid w:val="00372CF2"/>
    <w:rsid w:val="00374C7E"/>
    <w:rsid w:val="00377353"/>
    <w:rsid w:val="0037736B"/>
    <w:rsid w:val="00381F57"/>
    <w:rsid w:val="0038216E"/>
    <w:rsid w:val="003822E5"/>
    <w:rsid w:val="003830B8"/>
    <w:rsid w:val="00383262"/>
    <w:rsid w:val="00384FFE"/>
    <w:rsid w:val="0039185B"/>
    <w:rsid w:val="003968BE"/>
    <w:rsid w:val="003A157A"/>
    <w:rsid w:val="003A1D9F"/>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78A"/>
    <w:rsid w:val="003B71E0"/>
    <w:rsid w:val="003B78A4"/>
    <w:rsid w:val="003B7962"/>
    <w:rsid w:val="003C1201"/>
    <w:rsid w:val="003C144E"/>
    <w:rsid w:val="003C1735"/>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7A2"/>
    <w:rsid w:val="003D46A7"/>
    <w:rsid w:val="003D6376"/>
    <w:rsid w:val="003E0C78"/>
    <w:rsid w:val="003E1235"/>
    <w:rsid w:val="003E2A35"/>
    <w:rsid w:val="003E2B56"/>
    <w:rsid w:val="003E2CE1"/>
    <w:rsid w:val="003E2DCB"/>
    <w:rsid w:val="003E4C3F"/>
    <w:rsid w:val="003E4D7C"/>
    <w:rsid w:val="003E5164"/>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16B"/>
    <w:rsid w:val="0040405B"/>
    <w:rsid w:val="00404195"/>
    <w:rsid w:val="00404211"/>
    <w:rsid w:val="004042A4"/>
    <w:rsid w:val="00404346"/>
    <w:rsid w:val="004043F3"/>
    <w:rsid w:val="0040464A"/>
    <w:rsid w:val="00404DAA"/>
    <w:rsid w:val="00404DDD"/>
    <w:rsid w:val="0040578B"/>
    <w:rsid w:val="00405A7D"/>
    <w:rsid w:val="004065D6"/>
    <w:rsid w:val="0040687D"/>
    <w:rsid w:val="0040709D"/>
    <w:rsid w:val="0040713F"/>
    <w:rsid w:val="004075A3"/>
    <w:rsid w:val="00410C48"/>
    <w:rsid w:val="00414033"/>
    <w:rsid w:val="00415A66"/>
    <w:rsid w:val="00416277"/>
    <w:rsid w:val="0041650A"/>
    <w:rsid w:val="00416E24"/>
    <w:rsid w:val="0042063D"/>
    <w:rsid w:val="00422B23"/>
    <w:rsid w:val="00423A60"/>
    <w:rsid w:val="0042651C"/>
    <w:rsid w:val="00426E9B"/>
    <w:rsid w:val="00427D55"/>
    <w:rsid w:val="0043233C"/>
    <w:rsid w:val="0043344D"/>
    <w:rsid w:val="004345A6"/>
    <w:rsid w:val="00435B2F"/>
    <w:rsid w:val="00435E03"/>
    <w:rsid w:val="004373E1"/>
    <w:rsid w:val="004374A3"/>
    <w:rsid w:val="00437A7E"/>
    <w:rsid w:val="00437B6C"/>
    <w:rsid w:val="00440144"/>
    <w:rsid w:val="0044064E"/>
    <w:rsid w:val="00440805"/>
    <w:rsid w:val="004412E1"/>
    <w:rsid w:val="00441554"/>
    <w:rsid w:val="00442B40"/>
    <w:rsid w:val="00442E48"/>
    <w:rsid w:val="0044384F"/>
    <w:rsid w:val="00443DCD"/>
    <w:rsid w:val="00443E7E"/>
    <w:rsid w:val="00444C06"/>
    <w:rsid w:val="004454DF"/>
    <w:rsid w:val="00446804"/>
    <w:rsid w:val="004478D4"/>
    <w:rsid w:val="00450380"/>
    <w:rsid w:val="004505C6"/>
    <w:rsid w:val="004519B0"/>
    <w:rsid w:val="004520CD"/>
    <w:rsid w:val="00452DF3"/>
    <w:rsid w:val="004534F5"/>
    <w:rsid w:val="00453765"/>
    <w:rsid w:val="00453B1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3BC"/>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0E61"/>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B5CEE"/>
    <w:rsid w:val="004C2107"/>
    <w:rsid w:val="004C5FC6"/>
    <w:rsid w:val="004C6435"/>
    <w:rsid w:val="004C649B"/>
    <w:rsid w:val="004C7B9C"/>
    <w:rsid w:val="004C7D55"/>
    <w:rsid w:val="004D089A"/>
    <w:rsid w:val="004D3184"/>
    <w:rsid w:val="004D4F94"/>
    <w:rsid w:val="004D5030"/>
    <w:rsid w:val="004D6045"/>
    <w:rsid w:val="004D7546"/>
    <w:rsid w:val="004D7EC5"/>
    <w:rsid w:val="004E02B0"/>
    <w:rsid w:val="004E0B29"/>
    <w:rsid w:val="004E0E11"/>
    <w:rsid w:val="004E0F08"/>
    <w:rsid w:val="004E1546"/>
    <w:rsid w:val="004E19DC"/>
    <w:rsid w:val="004E35E8"/>
    <w:rsid w:val="004E50F0"/>
    <w:rsid w:val="004E67D1"/>
    <w:rsid w:val="004E6A03"/>
    <w:rsid w:val="004E7CD2"/>
    <w:rsid w:val="004E7F4A"/>
    <w:rsid w:val="004F0070"/>
    <w:rsid w:val="004F0468"/>
    <w:rsid w:val="004F0C51"/>
    <w:rsid w:val="004F263C"/>
    <w:rsid w:val="004F2BB1"/>
    <w:rsid w:val="004F2EC7"/>
    <w:rsid w:val="004F3CE8"/>
    <w:rsid w:val="004F6BFB"/>
    <w:rsid w:val="004F7E4A"/>
    <w:rsid w:val="005011DC"/>
    <w:rsid w:val="0050147C"/>
    <w:rsid w:val="0050182B"/>
    <w:rsid w:val="00502579"/>
    <w:rsid w:val="005029F7"/>
    <w:rsid w:val="00502BDD"/>
    <w:rsid w:val="00503D4C"/>
    <w:rsid w:val="00504C0C"/>
    <w:rsid w:val="00504E48"/>
    <w:rsid w:val="005070FF"/>
    <w:rsid w:val="00512BBC"/>
    <w:rsid w:val="0051326B"/>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4FEE"/>
    <w:rsid w:val="00565598"/>
    <w:rsid w:val="00565B5A"/>
    <w:rsid w:val="00566AEA"/>
    <w:rsid w:val="00567E8F"/>
    <w:rsid w:val="00567FBF"/>
    <w:rsid w:val="005702D6"/>
    <w:rsid w:val="00572588"/>
    <w:rsid w:val="00573A50"/>
    <w:rsid w:val="005746D2"/>
    <w:rsid w:val="00574E8A"/>
    <w:rsid w:val="00576996"/>
    <w:rsid w:val="00577775"/>
    <w:rsid w:val="00580EBA"/>
    <w:rsid w:val="0058121A"/>
    <w:rsid w:val="00581505"/>
    <w:rsid w:val="00581863"/>
    <w:rsid w:val="00581EA3"/>
    <w:rsid w:val="0058205A"/>
    <w:rsid w:val="0058260B"/>
    <w:rsid w:val="00584D1E"/>
    <w:rsid w:val="00586795"/>
    <w:rsid w:val="00586B82"/>
    <w:rsid w:val="00587DD0"/>
    <w:rsid w:val="00587E13"/>
    <w:rsid w:val="005933AA"/>
    <w:rsid w:val="005940AA"/>
    <w:rsid w:val="00594614"/>
    <w:rsid w:val="00594E10"/>
    <w:rsid w:val="00596306"/>
    <w:rsid w:val="00596487"/>
    <w:rsid w:val="005A0809"/>
    <w:rsid w:val="005A0B91"/>
    <w:rsid w:val="005A1494"/>
    <w:rsid w:val="005A3590"/>
    <w:rsid w:val="005A4A1C"/>
    <w:rsid w:val="005A52FF"/>
    <w:rsid w:val="005A5817"/>
    <w:rsid w:val="005A5BD8"/>
    <w:rsid w:val="005A690D"/>
    <w:rsid w:val="005A692A"/>
    <w:rsid w:val="005A6AB8"/>
    <w:rsid w:val="005B11C2"/>
    <w:rsid w:val="005B180A"/>
    <w:rsid w:val="005B382C"/>
    <w:rsid w:val="005B3C11"/>
    <w:rsid w:val="005B40DA"/>
    <w:rsid w:val="005B4226"/>
    <w:rsid w:val="005B5AA4"/>
    <w:rsid w:val="005B656B"/>
    <w:rsid w:val="005B71B3"/>
    <w:rsid w:val="005B76A4"/>
    <w:rsid w:val="005C04A7"/>
    <w:rsid w:val="005C0E56"/>
    <w:rsid w:val="005C17A4"/>
    <w:rsid w:val="005C27CC"/>
    <w:rsid w:val="005C2C22"/>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0F1"/>
    <w:rsid w:val="005E0B59"/>
    <w:rsid w:val="005E1105"/>
    <w:rsid w:val="005E11C6"/>
    <w:rsid w:val="005E162F"/>
    <w:rsid w:val="005E2C60"/>
    <w:rsid w:val="005E31F6"/>
    <w:rsid w:val="005E3622"/>
    <w:rsid w:val="005E60B3"/>
    <w:rsid w:val="005E676C"/>
    <w:rsid w:val="005E6CB9"/>
    <w:rsid w:val="005E7F14"/>
    <w:rsid w:val="005F0154"/>
    <w:rsid w:val="005F0176"/>
    <w:rsid w:val="005F021D"/>
    <w:rsid w:val="005F0347"/>
    <w:rsid w:val="005F1EAC"/>
    <w:rsid w:val="005F308F"/>
    <w:rsid w:val="005F4869"/>
    <w:rsid w:val="005F4BFD"/>
    <w:rsid w:val="005F5748"/>
    <w:rsid w:val="005F5834"/>
    <w:rsid w:val="005F5E11"/>
    <w:rsid w:val="006003E5"/>
    <w:rsid w:val="00600E63"/>
    <w:rsid w:val="00601561"/>
    <w:rsid w:val="00601A64"/>
    <w:rsid w:val="00601B3B"/>
    <w:rsid w:val="00601E55"/>
    <w:rsid w:val="00602037"/>
    <w:rsid w:val="006029DD"/>
    <w:rsid w:val="00602C6A"/>
    <w:rsid w:val="00603AF5"/>
    <w:rsid w:val="00606C66"/>
    <w:rsid w:val="00610145"/>
    <w:rsid w:val="00610D1F"/>
    <w:rsid w:val="006123C6"/>
    <w:rsid w:val="00612C02"/>
    <w:rsid w:val="00612CDD"/>
    <w:rsid w:val="0061562E"/>
    <w:rsid w:val="00616203"/>
    <w:rsid w:val="00616637"/>
    <w:rsid w:val="00616994"/>
    <w:rsid w:val="00616D41"/>
    <w:rsid w:val="00617292"/>
    <w:rsid w:val="006200A9"/>
    <w:rsid w:val="00622225"/>
    <w:rsid w:val="00622D03"/>
    <w:rsid w:val="00622DCD"/>
    <w:rsid w:val="00622F57"/>
    <w:rsid w:val="00623DD5"/>
    <w:rsid w:val="00624269"/>
    <w:rsid w:val="00624A34"/>
    <w:rsid w:val="0062568D"/>
    <w:rsid w:val="006256D3"/>
    <w:rsid w:val="00626267"/>
    <w:rsid w:val="006267F5"/>
    <w:rsid w:val="00627337"/>
    <w:rsid w:val="00630069"/>
    <w:rsid w:val="00630583"/>
    <w:rsid w:val="00630D2E"/>
    <w:rsid w:val="00630D39"/>
    <w:rsid w:val="00631E19"/>
    <w:rsid w:val="00633C4F"/>
    <w:rsid w:val="00633E76"/>
    <w:rsid w:val="00633EC9"/>
    <w:rsid w:val="006340F5"/>
    <w:rsid w:val="00634542"/>
    <w:rsid w:val="00635E4D"/>
    <w:rsid w:val="0063620C"/>
    <w:rsid w:val="00637906"/>
    <w:rsid w:val="00637E18"/>
    <w:rsid w:val="0064032E"/>
    <w:rsid w:val="0064038D"/>
    <w:rsid w:val="00641A0B"/>
    <w:rsid w:val="00641D5A"/>
    <w:rsid w:val="00641E06"/>
    <w:rsid w:val="00642198"/>
    <w:rsid w:val="0064281F"/>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4A6"/>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1BDD"/>
    <w:rsid w:val="00672023"/>
    <w:rsid w:val="00672914"/>
    <w:rsid w:val="006744C3"/>
    <w:rsid w:val="0067537F"/>
    <w:rsid w:val="00676410"/>
    <w:rsid w:val="00676B71"/>
    <w:rsid w:val="00680509"/>
    <w:rsid w:val="006805CB"/>
    <w:rsid w:val="00681CC1"/>
    <w:rsid w:val="0068233B"/>
    <w:rsid w:val="00682E11"/>
    <w:rsid w:val="00682E8C"/>
    <w:rsid w:val="00683081"/>
    <w:rsid w:val="00684C95"/>
    <w:rsid w:val="006850D3"/>
    <w:rsid w:val="00685249"/>
    <w:rsid w:val="006856B9"/>
    <w:rsid w:val="00685BDE"/>
    <w:rsid w:val="00686085"/>
    <w:rsid w:val="00686527"/>
    <w:rsid w:val="00687C0D"/>
    <w:rsid w:val="00691237"/>
    <w:rsid w:val="00691ED5"/>
    <w:rsid w:val="006920E6"/>
    <w:rsid w:val="00692555"/>
    <w:rsid w:val="00694029"/>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82C"/>
    <w:rsid w:val="006B6DDA"/>
    <w:rsid w:val="006B73D9"/>
    <w:rsid w:val="006B7DF0"/>
    <w:rsid w:val="006B7E74"/>
    <w:rsid w:val="006C0D75"/>
    <w:rsid w:val="006C1322"/>
    <w:rsid w:val="006C1C48"/>
    <w:rsid w:val="006C3C1D"/>
    <w:rsid w:val="006C41FF"/>
    <w:rsid w:val="006C4905"/>
    <w:rsid w:val="006C5145"/>
    <w:rsid w:val="006C65A8"/>
    <w:rsid w:val="006C703B"/>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31D"/>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FD"/>
    <w:rsid w:val="007071FC"/>
    <w:rsid w:val="00707C84"/>
    <w:rsid w:val="00710A59"/>
    <w:rsid w:val="00710FDE"/>
    <w:rsid w:val="007112C9"/>
    <w:rsid w:val="007116C7"/>
    <w:rsid w:val="00711C5A"/>
    <w:rsid w:val="00712B66"/>
    <w:rsid w:val="007132C5"/>
    <w:rsid w:val="00713C31"/>
    <w:rsid w:val="0071428D"/>
    <w:rsid w:val="007144C9"/>
    <w:rsid w:val="007162F3"/>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49A4"/>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10E"/>
    <w:rsid w:val="00756551"/>
    <w:rsid w:val="00757769"/>
    <w:rsid w:val="0076067E"/>
    <w:rsid w:val="00761BFD"/>
    <w:rsid w:val="00761D5C"/>
    <w:rsid w:val="00761FE5"/>
    <w:rsid w:val="007622EA"/>
    <w:rsid w:val="00762476"/>
    <w:rsid w:val="00762A18"/>
    <w:rsid w:val="00763AE2"/>
    <w:rsid w:val="0076467D"/>
    <w:rsid w:val="00766D90"/>
    <w:rsid w:val="00767C19"/>
    <w:rsid w:val="00767D4E"/>
    <w:rsid w:val="00770C3F"/>
    <w:rsid w:val="00771067"/>
    <w:rsid w:val="007722ED"/>
    <w:rsid w:val="0077408B"/>
    <w:rsid w:val="007746DB"/>
    <w:rsid w:val="00774AF6"/>
    <w:rsid w:val="00774EC8"/>
    <w:rsid w:val="00776781"/>
    <w:rsid w:val="00776ACF"/>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579"/>
    <w:rsid w:val="00795AB7"/>
    <w:rsid w:val="00795E37"/>
    <w:rsid w:val="0079694C"/>
    <w:rsid w:val="00796D89"/>
    <w:rsid w:val="00796DA2"/>
    <w:rsid w:val="007A0415"/>
    <w:rsid w:val="007A06BA"/>
    <w:rsid w:val="007A27BD"/>
    <w:rsid w:val="007A294A"/>
    <w:rsid w:val="007A2F5E"/>
    <w:rsid w:val="007A3A5D"/>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87A"/>
    <w:rsid w:val="007B5A80"/>
    <w:rsid w:val="007B5E25"/>
    <w:rsid w:val="007B6E0E"/>
    <w:rsid w:val="007C27FB"/>
    <w:rsid w:val="007C2CBB"/>
    <w:rsid w:val="007C309C"/>
    <w:rsid w:val="007C322B"/>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08A2"/>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0BD1"/>
    <w:rsid w:val="008011CC"/>
    <w:rsid w:val="00801404"/>
    <w:rsid w:val="008017AA"/>
    <w:rsid w:val="00801CBA"/>
    <w:rsid w:val="00801D92"/>
    <w:rsid w:val="00803845"/>
    <w:rsid w:val="0080412F"/>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BEB"/>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0C0"/>
    <w:rsid w:val="0085540B"/>
    <w:rsid w:val="00855511"/>
    <w:rsid w:val="0085582C"/>
    <w:rsid w:val="00855FD3"/>
    <w:rsid w:val="00857086"/>
    <w:rsid w:val="00857090"/>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5411"/>
    <w:rsid w:val="0087621E"/>
    <w:rsid w:val="008767B2"/>
    <w:rsid w:val="00877328"/>
    <w:rsid w:val="0087787A"/>
    <w:rsid w:val="008802F0"/>
    <w:rsid w:val="00880992"/>
    <w:rsid w:val="00881692"/>
    <w:rsid w:val="008819DF"/>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01D"/>
    <w:rsid w:val="008A1218"/>
    <w:rsid w:val="008A15B6"/>
    <w:rsid w:val="008A1A6E"/>
    <w:rsid w:val="008A202A"/>
    <w:rsid w:val="008A36C9"/>
    <w:rsid w:val="008A4767"/>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666A"/>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D3D"/>
    <w:rsid w:val="008E2355"/>
    <w:rsid w:val="008E3151"/>
    <w:rsid w:val="008E3386"/>
    <w:rsid w:val="008E4936"/>
    <w:rsid w:val="008E5410"/>
    <w:rsid w:val="008E5A3F"/>
    <w:rsid w:val="008E7209"/>
    <w:rsid w:val="008E72AD"/>
    <w:rsid w:val="008E7448"/>
    <w:rsid w:val="008F11BB"/>
    <w:rsid w:val="008F16FF"/>
    <w:rsid w:val="008F182F"/>
    <w:rsid w:val="008F1E95"/>
    <w:rsid w:val="008F2304"/>
    <w:rsid w:val="008F57DD"/>
    <w:rsid w:val="008F5AEE"/>
    <w:rsid w:val="008F6E26"/>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5C9"/>
    <w:rsid w:val="009139B5"/>
    <w:rsid w:val="00914514"/>
    <w:rsid w:val="00914549"/>
    <w:rsid w:val="00914C08"/>
    <w:rsid w:val="00914F2F"/>
    <w:rsid w:val="00916057"/>
    <w:rsid w:val="00916AD1"/>
    <w:rsid w:val="00917637"/>
    <w:rsid w:val="00917FEE"/>
    <w:rsid w:val="0092023D"/>
    <w:rsid w:val="00920472"/>
    <w:rsid w:val="00920789"/>
    <w:rsid w:val="00921251"/>
    <w:rsid w:val="00921861"/>
    <w:rsid w:val="0092189E"/>
    <w:rsid w:val="009219FD"/>
    <w:rsid w:val="00921DF7"/>
    <w:rsid w:val="009257B0"/>
    <w:rsid w:val="009258BD"/>
    <w:rsid w:val="0092597D"/>
    <w:rsid w:val="00925DEB"/>
    <w:rsid w:val="009263C0"/>
    <w:rsid w:val="009302D4"/>
    <w:rsid w:val="009307F2"/>
    <w:rsid w:val="00930CEC"/>
    <w:rsid w:val="00930F4A"/>
    <w:rsid w:val="0093375E"/>
    <w:rsid w:val="00933BEF"/>
    <w:rsid w:val="0093498F"/>
    <w:rsid w:val="0093787E"/>
    <w:rsid w:val="009412A8"/>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9E8"/>
    <w:rsid w:val="00975EC7"/>
    <w:rsid w:val="00976D65"/>
    <w:rsid w:val="00977CE6"/>
    <w:rsid w:val="009807AC"/>
    <w:rsid w:val="00980C18"/>
    <w:rsid w:val="00980FFE"/>
    <w:rsid w:val="009810E9"/>
    <w:rsid w:val="00981193"/>
    <w:rsid w:val="0098141C"/>
    <w:rsid w:val="00981AA9"/>
    <w:rsid w:val="00981C91"/>
    <w:rsid w:val="00983132"/>
    <w:rsid w:val="00983314"/>
    <w:rsid w:val="00983365"/>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64D"/>
    <w:rsid w:val="009B01DF"/>
    <w:rsid w:val="009B020D"/>
    <w:rsid w:val="009B072F"/>
    <w:rsid w:val="009B07A1"/>
    <w:rsid w:val="009B09CC"/>
    <w:rsid w:val="009B173B"/>
    <w:rsid w:val="009B1A1A"/>
    <w:rsid w:val="009B2608"/>
    <w:rsid w:val="009B289B"/>
    <w:rsid w:val="009B2A71"/>
    <w:rsid w:val="009B4027"/>
    <w:rsid w:val="009B4975"/>
    <w:rsid w:val="009B561F"/>
    <w:rsid w:val="009B5773"/>
    <w:rsid w:val="009B5D2D"/>
    <w:rsid w:val="009B77C6"/>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3F6D"/>
    <w:rsid w:val="009D417F"/>
    <w:rsid w:val="009D45E5"/>
    <w:rsid w:val="009D4705"/>
    <w:rsid w:val="009D4B85"/>
    <w:rsid w:val="009D535B"/>
    <w:rsid w:val="009D630B"/>
    <w:rsid w:val="009D6CAA"/>
    <w:rsid w:val="009D6CF6"/>
    <w:rsid w:val="009D6E69"/>
    <w:rsid w:val="009E02DC"/>
    <w:rsid w:val="009E2040"/>
    <w:rsid w:val="009E29EC"/>
    <w:rsid w:val="009E49AE"/>
    <w:rsid w:val="009E4DC7"/>
    <w:rsid w:val="009E660A"/>
    <w:rsid w:val="009E6B64"/>
    <w:rsid w:val="009E72E5"/>
    <w:rsid w:val="009F46C8"/>
    <w:rsid w:val="009F4F2A"/>
    <w:rsid w:val="009F660B"/>
    <w:rsid w:val="009F671E"/>
    <w:rsid w:val="009F7BC8"/>
    <w:rsid w:val="009F7ED1"/>
    <w:rsid w:val="00A0149B"/>
    <w:rsid w:val="00A01607"/>
    <w:rsid w:val="00A018D4"/>
    <w:rsid w:val="00A01C10"/>
    <w:rsid w:val="00A01E46"/>
    <w:rsid w:val="00A02F9D"/>
    <w:rsid w:val="00A03767"/>
    <w:rsid w:val="00A03E6D"/>
    <w:rsid w:val="00A04834"/>
    <w:rsid w:val="00A05628"/>
    <w:rsid w:val="00A07DCF"/>
    <w:rsid w:val="00A12979"/>
    <w:rsid w:val="00A131A9"/>
    <w:rsid w:val="00A1325B"/>
    <w:rsid w:val="00A1496E"/>
    <w:rsid w:val="00A14F84"/>
    <w:rsid w:val="00A16D6D"/>
    <w:rsid w:val="00A17C75"/>
    <w:rsid w:val="00A211C8"/>
    <w:rsid w:val="00A2121E"/>
    <w:rsid w:val="00A21EAC"/>
    <w:rsid w:val="00A221DE"/>
    <w:rsid w:val="00A22B0B"/>
    <w:rsid w:val="00A22CB2"/>
    <w:rsid w:val="00A23138"/>
    <w:rsid w:val="00A23940"/>
    <w:rsid w:val="00A23E72"/>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877"/>
    <w:rsid w:val="00A56D0B"/>
    <w:rsid w:val="00A5775C"/>
    <w:rsid w:val="00A60E72"/>
    <w:rsid w:val="00A61495"/>
    <w:rsid w:val="00A61F0C"/>
    <w:rsid w:val="00A61FF0"/>
    <w:rsid w:val="00A62580"/>
    <w:rsid w:val="00A62C66"/>
    <w:rsid w:val="00A63AC9"/>
    <w:rsid w:val="00A64502"/>
    <w:rsid w:val="00A6469E"/>
    <w:rsid w:val="00A64B5F"/>
    <w:rsid w:val="00A65EA0"/>
    <w:rsid w:val="00A66517"/>
    <w:rsid w:val="00A67B0E"/>
    <w:rsid w:val="00A718EF"/>
    <w:rsid w:val="00A719ED"/>
    <w:rsid w:val="00A72134"/>
    <w:rsid w:val="00A726A8"/>
    <w:rsid w:val="00A72951"/>
    <w:rsid w:val="00A73505"/>
    <w:rsid w:val="00A75E02"/>
    <w:rsid w:val="00A76E79"/>
    <w:rsid w:val="00A7771B"/>
    <w:rsid w:val="00A77B53"/>
    <w:rsid w:val="00A811F1"/>
    <w:rsid w:val="00A82887"/>
    <w:rsid w:val="00A83010"/>
    <w:rsid w:val="00A83BF5"/>
    <w:rsid w:val="00A83C7B"/>
    <w:rsid w:val="00A84CD1"/>
    <w:rsid w:val="00A85E2E"/>
    <w:rsid w:val="00A861F3"/>
    <w:rsid w:val="00A8728F"/>
    <w:rsid w:val="00A8756A"/>
    <w:rsid w:val="00A87684"/>
    <w:rsid w:val="00A87B27"/>
    <w:rsid w:val="00A87F7D"/>
    <w:rsid w:val="00A906B7"/>
    <w:rsid w:val="00A9070E"/>
    <w:rsid w:val="00A92DD4"/>
    <w:rsid w:val="00A939D6"/>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C9B"/>
    <w:rsid w:val="00AA6E05"/>
    <w:rsid w:val="00AB0262"/>
    <w:rsid w:val="00AB14A1"/>
    <w:rsid w:val="00AB202A"/>
    <w:rsid w:val="00AB3DDE"/>
    <w:rsid w:val="00AB4CCD"/>
    <w:rsid w:val="00AB5555"/>
    <w:rsid w:val="00AB55AD"/>
    <w:rsid w:val="00AB5D1B"/>
    <w:rsid w:val="00AB6918"/>
    <w:rsid w:val="00AB6B40"/>
    <w:rsid w:val="00AB740A"/>
    <w:rsid w:val="00AC02A5"/>
    <w:rsid w:val="00AC1DA5"/>
    <w:rsid w:val="00AC216B"/>
    <w:rsid w:val="00AC26B1"/>
    <w:rsid w:val="00AC2943"/>
    <w:rsid w:val="00AC3C7C"/>
    <w:rsid w:val="00AC42B8"/>
    <w:rsid w:val="00AC45C5"/>
    <w:rsid w:val="00AC4791"/>
    <w:rsid w:val="00AC4FB6"/>
    <w:rsid w:val="00AC4FD1"/>
    <w:rsid w:val="00AC5FEF"/>
    <w:rsid w:val="00AC6036"/>
    <w:rsid w:val="00AC7092"/>
    <w:rsid w:val="00AD0328"/>
    <w:rsid w:val="00AD11DC"/>
    <w:rsid w:val="00AD1966"/>
    <w:rsid w:val="00AD19E8"/>
    <w:rsid w:val="00AD2B03"/>
    <w:rsid w:val="00AD2E07"/>
    <w:rsid w:val="00AD38A9"/>
    <w:rsid w:val="00AD4071"/>
    <w:rsid w:val="00AD44EA"/>
    <w:rsid w:val="00AD4782"/>
    <w:rsid w:val="00AD5067"/>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1210"/>
    <w:rsid w:val="00AF2EC7"/>
    <w:rsid w:val="00AF3AC0"/>
    <w:rsid w:val="00AF4F4A"/>
    <w:rsid w:val="00B00C24"/>
    <w:rsid w:val="00B00F93"/>
    <w:rsid w:val="00B01BBE"/>
    <w:rsid w:val="00B02B8F"/>
    <w:rsid w:val="00B02E51"/>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D9B"/>
    <w:rsid w:val="00B31E8D"/>
    <w:rsid w:val="00B3206A"/>
    <w:rsid w:val="00B3313B"/>
    <w:rsid w:val="00B331E8"/>
    <w:rsid w:val="00B331EA"/>
    <w:rsid w:val="00B34732"/>
    <w:rsid w:val="00B353B8"/>
    <w:rsid w:val="00B35C56"/>
    <w:rsid w:val="00B36F17"/>
    <w:rsid w:val="00B36F2D"/>
    <w:rsid w:val="00B372ED"/>
    <w:rsid w:val="00B40603"/>
    <w:rsid w:val="00B40AF6"/>
    <w:rsid w:val="00B41071"/>
    <w:rsid w:val="00B425C0"/>
    <w:rsid w:val="00B42DB6"/>
    <w:rsid w:val="00B46957"/>
    <w:rsid w:val="00B47B54"/>
    <w:rsid w:val="00B50AA7"/>
    <w:rsid w:val="00B50E99"/>
    <w:rsid w:val="00B51926"/>
    <w:rsid w:val="00B51F9A"/>
    <w:rsid w:val="00B51FC2"/>
    <w:rsid w:val="00B54DA7"/>
    <w:rsid w:val="00B600C6"/>
    <w:rsid w:val="00B60167"/>
    <w:rsid w:val="00B60FC0"/>
    <w:rsid w:val="00B61665"/>
    <w:rsid w:val="00B63528"/>
    <w:rsid w:val="00B63A0F"/>
    <w:rsid w:val="00B63DAF"/>
    <w:rsid w:val="00B63E98"/>
    <w:rsid w:val="00B65754"/>
    <w:rsid w:val="00B661AA"/>
    <w:rsid w:val="00B66242"/>
    <w:rsid w:val="00B670D3"/>
    <w:rsid w:val="00B67958"/>
    <w:rsid w:val="00B701D1"/>
    <w:rsid w:val="00B707D4"/>
    <w:rsid w:val="00B7096F"/>
    <w:rsid w:val="00B70F31"/>
    <w:rsid w:val="00B712AD"/>
    <w:rsid w:val="00B716BB"/>
    <w:rsid w:val="00B716FD"/>
    <w:rsid w:val="00B71BBD"/>
    <w:rsid w:val="00B734C2"/>
    <w:rsid w:val="00B73BDA"/>
    <w:rsid w:val="00B74053"/>
    <w:rsid w:val="00B765A0"/>
    <w:rsid w:val="00B76C02"/>
    <w:rsid w:val="00B77BD2"/>
    <w:rsid w:val="00B814CB"/>
    <w:rsid w:val="00B81B6A"/>
    <w:rsid w:val="00B820F4"/>
    <w:rsid w:val="00B835E0"/>
    <w:rsid w:val="00B8396D"/>
    <w:rsid w:val="00B86ED2"/>
    <w:rsid w:val="00B90331"/>
    <w:rsid w:val="00B903ED"/>
    <w:rsid w:val="00B90639"/>
    <w:rsid w:val="00B90B2D"/>
    <w:rsid w:val="00B935A1"/>
    <w:rsid w:val="00B95DAD"/>
    <w:rsid w:val="00B96C0C"/>
    <w:rsid w:val="00B96DD4"/>
    <w:rsid w:val="00B9734D"/>
    <w:rsid w:val="00B97732"/>
    <w:rsid w:val="00BA27F4"/>
    <w:rsid w:val="00BA2E40"/>
    <w:rsid w:val="00BA3227"/>
    <w:rsid w:val="00BA3CB7"/>
    <w:rsid w:val="00BA41DE"/>
    <w:rsid w:val="00BA556C"/>
    <w:rsid w:val="00BA734D"/>
    <w:rsid w:val="00BB0F31"/>
    <w:rsid w:val="00BB15AB"/>
    <w:rsid w:val="00BB189B"/>
    <w:rsid w:val="00BB1D21"/>
    <w:rsid w:val="00BB2E51"/>
    <w:rsid w:val="00BB4BEA"/>
    <w:rsid w:val="00BB4C1A"/>
    <w:rsid w:val="00BB50AB"/>
    <w:rsid w:val="00BB6664"/>
    <w:rsid w:val="00BB74DA"/>
    <w:rsid w:val="00BC01FC"/>
    <w:rsid w:val="00BC1F79"/>
    <w:rsid w:val="00BC2201"/>
    <w:rsid w:val="00BC289B"/>
    <w:rsid w:val="00BC31F6"/>
    <w:rsid w:val="00BC3C7A"/>
    <w:rsid w:val="00BC4901"/>
    <w:rsid w:val="00BC7DC6"/>
    <w:rsid w:val="00BD1039"/>
    <w:rsid w:val="00BD13B5"/>
    <w:rsid w:val="00BD2EFC"/>
    <w:rsid w:val="00BD2F29"/>
    <w:rsid w:val="00BD340E"/>
    <w:rsid w:val="00BD5A91"/>
    <w:rsid w:val="00BD60AD"/>
    <w:rsid w:val="00BD62D4"/>
    <w:rsid w:val="00BD6C02"/>
    <w:rsid w:val="00BE1244"/>
    <w:rsid w:val="00BE165D"/>
    <w:rsid w:val="00BE2394"/>
    <w:rsid w:val="00BE2702"/>
    <w:rsid w:val="00BE4326"/>
    <w:rsid w:val="00BE4B27"/>
    <w:rsid w:val="00BE5F4F"/>
    <w:rsid w:val="00BE60DB"/>
    <w:rsid w:val="00BF0191"/>
    <w:rsid w:val="00BF13EC"/>
    <w:rsid w:val="00BF1C07"/>
    <w:rsid w:val="00BF3DEE"/>
    <w:rsid w:val="00BF54AC"/>
    <w:rsid w:val="00BF54BD"/>
    <w:rsid w:val="00BF6B8E"/>
    <w:rsid w:val="00C025A5"/>
    <w:rsid w:val="00C03C78"/>
    <w:rsid w:val="00C04FD3"/>
    <w:rsid w:val="00C065A2"/>
    <w:rsid w:val="00C07898"/>
    <w:rsid w:val="00C07919"/>
    <w:rsid w:val="00C103F9"/>
    <w:rsid w:val="00C104AC"/>
    <w:rsid w:val="00C110E1"/>
    <w:rsid w:val="00C1198F"/>
    <w:rsid w:val="00C11FA1"/>
    <w:rsid w:val="00C12E21"/>
    <w:rsid w:val="00C12E65"/>
    <w:rsid w:val="00C13C20"/>
    <w:rsid w:val="00C13F74"/>
    <w:rsid w:val="00C146D3"/>
    <w:rsid w:val="00C150F9"/>
    <w:rsid w:val="00C16BE0"/>
    <w:rsid w:val="00C20CC8"/>
    <w:rsid w:val="00C21C39"/>
    <w:rsid w:val="00C2325C"/>
    <w:rsid w:val="00C23270"/>
    <w:rsid w:val="00C239ED"/>
    <w:rsid w:val="00C24627"/>
    <w:rsid w:val="00C24D9D"/>
    <w:rsid w:val="00C25CF3"/>
    <w:rsid w:val="00C263E9"/>
    <w:rsid w:val="00C2775A"/>
    <w:rsid w:val="00C3063A"/>
    <w:rsid w:val="00C30BAD"/>
    <w:rsid w:val="00C30DBB"/>
    <w:rsid w:val="00C31E8F"/>
    <w:rsid w:val="00C335DA"/>
    <w:rsid w:val="00C33D3E"/>
    <w:rsid w:val="00C362E0"/>
    <w:rsid w:val="00C36ED4"/>
    <w:rsid w:val="00C375CC"/>
    <w:rsid w:val="00C376CC"/>
    <w:rsid w:val="00C400F7"/>
    <w:rsid w:val="00C40EC6"/>
    <w:rsid w:val="00C419AD"/>
    <w:rsid w:val="00C41B5F"/>
    <w:rsid w:val="00C437BA"/>
    <w:rsid w:val="00C44395"/>
    <w:rsid w:val="00C443B3"/>
    <w:rsid w:val="00C44B29"/>
    <w:rsid w:val="00C455FB"/>
    <w:rsid w:val="00C45CE8"/>
    <w:rsid w:val="00C464A6"/>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78E"/>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19F"/>
    <w:rsid w:val="00C7726E"/>
    <w:rsid w:val="00C7776C"/>
    <w:rsid w:val="00C80FF9"/>
    <w:rsid w:val="00C8398D"/>
    <w:rsid w:val="00C84B05"/>
    <w:rsid w:val="00C84BC2"/>
    <w:rsid w:val="00C85139"/>
    <w:rsid w:val="00C85657"/>
    <w:rsid w:val="00C9001B"/>
    <w:rsid w:val="00C91C88"/>
    <w:rsid w:val="00C939C3"/>
    <w:rsid w:val="00C94228"/>
    <w:rsid w:val="00C96D56"/>
    <w:rsid w:val="00C977E6"/>
    <w:rsid w:val="00CA0020"/>
    <w:rsid w:val="00CA0B2E"/>
    <w:rsid w:val="00CA18CA"/>
    <w:rsid w:val="00CA2557"/>
    <w:rsid w:val="00CA2D8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1AA"/>
    <w:rsid w:val="00CB43AE"/>
    <w:rsid w:val="00CB4441"/>
    <w:rsid w:val="00CB4B1A"/>
    <w:rsid w:val="00CB4E1F"/>
    <w:rsid w:val="00CB4E5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0688"/>
    <w:rsid w:val="00CE2184"/>
    <w:rsid w:val="00CE3B7F"/>
    <w:rsid w:val="00CE3FA2"/>
    <w:rsid w:val="00CE41A0"/>
    <w:rsid w:val="00CE4958"/>
    <w:rsid w:val="00CE604B"/>
    <w:rsid w:val="00CE68E2"/>
    <w:rsid w:val="00CE706E"/>
    <w:rsid w:val="00CE70B1"/>
    <w:rsid w:val="00CE7AE4"/>
    <w:rsid w:val="00CF0A4C"/>
    <w:rsid w:val="00CF0C27"/>
    <w:rsid w:val="00CF0D88"/>
    <w:rsid w:val="00CF150A"/>
    <w:rsid w:val="00CF2225"/>
    <w:rsid w:val="00CF25E7"/>
    <w:rsid w:val="00CF3C77"/>
    <w:rsid w:val="00CF42F3"/>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CB2"/>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6D39"/>
    <w:rsid w:val="00D47226"/>
    <w:rsid w:val="00D50B21"/>
    <w:rsid w:val="00D51349"/>
    <w:rsid w:val="00D527AF"/>
    <w:rsid w:val="00D529E1"/>
    <w:rsid w:val="00D534C2"/>
    <w:rsid w:val="00D537B8"/>
    <w:rsid w:val="00D5410F"/>
    <w:rsid w:val="00D564DF"/>
    <w:rsid w:val="00D576DD"/>
    <w:rsid w:val="00D57CB4"/>
    <w:rsid w:val="00D61477"/>
    <w:rsid w:val="00D619E2"/>
    <w:rsid w:val="00D62036"/>
    <w:rsid w:val="00D620CC"/>
    <w:rsid w:val="00D634B8"/>
    <w:rsid w:val="00D63EF3"/>
    <w:rsid w:val="00D63F55"/>
    <w:rsid w:val="00D64441"/>
    <w:rsid w:val="00D65497"/>
    <w:rsid w:val="00D654DA"/>
    <w:rsid w:val="00D6609E"/>
    <w:rsid w:val="00D668AC"/>
    <w:rsid w:val="00D67783"/>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6AB3"/>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121"/>
    <w:rsid w:val="00DB4411"/>
    <w:rsid w:val="00DB466D"/>
    <w:rsid w:val="00DB4EEF"/>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0AC"/>
    <w:rsid w:val="00DC7BFE"/>
    <w:rsid w:val="00DD08C7"/>
    <w:rsid w:val="00DD1A10"/>
    <w:rsid w:val="00DD200D"/>
    <w:rsid w:val="00DD2990"/>
    <w:rsid w:val="00DD2FE9"/>
    <w:rsid w:val="00DD3A7E"/>
    <w:rsid w:val="00DD434E"/>
    <w:rsid w:val="00DD4402"/>
    <w:rsid w:val="00DD60D0"/>
    <w:rsid w:val="00DD6200"/>
    <w:rsid w:val="00DD686C"/>
    <w:rsid w:val="00DD6E86"/>
    <w:rsid w:val="00DD7EBB"/>
    <w:rsid w:val="00DE0E5D"/>
    <w:rsid w:val="00DE447F"/>
    <w:rsid w:val="00DE48F0"/>
    <w:rsid w:val="00DE4A77"/>
    <w:rsid w:val="00DE513C"/>
    <w:rsid w:val="00DE68EE"/>
    <w:rsid w:val="00DE6D24"/>
    <w:rsid w:val="00DE7285"/>
    <w:rsid w:val="00DE7C40"/>
    <w:rsid w:val="00DE7E82"/>
    <w:rsid w:val="00DF03EC"/>
    <w:rsid w:val="00DF0EA5"/>
    <w:rsid w:val="00DF1F1D"/>
    <w:rsid w:val="00DF23A5"/>
    <w:rsid w:val="00DF4C6E"/>
    <w:rsid w:val="00DF6666"/>
    <w:rsid w:val="00DF66E9"/>
    <w:rsid w:val="00DF745E"/>
    <w:rsid w:val="00DF762E"/>
    <w:rsid w:val="00E0044E"/>
    <w:rsid w:val="00E00816"/>
    <w:rsid w:val="00E0239F"/>
    <w:rsid w:val="00E0267B"/>
    <w:rsid w:val="00E02E98"/>
    <w:rsid w:val="00E04441"/>
    <w:rsid w:val="00E05403"/>
    <w:rsid w:val="00E05F03"/>
    <w:rsid w:val="00E06066"/>
    <w:rsid w:val="00E06370"/>
    <w:rsid w:val="00E06B7B"/>
    <w:rsid w:val="00E06E20"/>
    <w:rsid w:val="00E07DD9"/>
    <w:rsid w:val="00E102F8"/>
    <w:rsid w:val="00E1082F"/>
    <w:rsid w:val="00E12928"/>
    <w:rsid w:val="00E129E5"/>
    <w:rsid w:val="00E12FCF"/>
    <w:rsid w:val="00E13273"/>
    <w:rsid w:val="00E13379"/>
    <w:rsid w:val="00E139EE"/>
    <w:rsid w:val="00E14406"/>
    <w:rsid w:val="00E14D83"/>
    <w:rsid w:val="00E14FA6"/>
    <w:rsid w:val="00E15A0D"/>
    <w:rsid w:val="00E16640"/>
    <w:rsid w:val="00E1740F"/>
    <w:rsid w:val="00E17670"/>
    <w:rsid w:val="00E200CF"/>
    <w:rsid w:val="00E24287"/>
    <w:rsid w:val="00E31367"/>
    <w:rsid w:val="00E3181C"/>
    <w:rsid w:val="00E32EF3"/>
    <w:rsid w:val="00E33E21"/>
    <w:rsid w:val="00E34BC4"/>
    <w:rsid w:val="00E3540C"/>
    <w:rsid w:val="00E36187"/>
    <w:rsid w:val="00E36332"/>
    <w:rsid w:val="00E36C9B"/>
    <w:rsid w:val="00E37638"/>
    <w:rsid w:val="00E379B8"/>
    <w:rsid w:val="00E37E9D"/>
    <w:rsid w:val="00E41B71"/>
    <w:rsid w:val="00E42569"/>
    <w:rsid w:val="00E434A0"/>
    <w:rsid w:val="00E44D30"/>
    <w:rsid w:val="00E4597F"/>
    <w:rsid w:val="00E46CB7"/>
    <w:rsid w:val="00E46FF6"/>
    <w:rsid w:val="00E4723D"/>
    <w:rsid w:val="00E47D74"/>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2D53"/>
    <w:rsid w:val="00E73FC2"/>
    <w:rsid w:val="00E74481"/>
    <w:rsid w:val="00E74517"/>
    <w:rsid w:val="00E755D7"/>
    <w:rsid w:val="00E7566D"/>
    <w:rsid w:val="00E76E91"/>
    <w:rsid w:val="00E774B4"/>
    <w:rsid w:val="00E778F5"/>
    <w:rsid w:val="00E80E7C"/>
    <w:rsid w:val="00E81779"/>
    <w:rsid w:val="00E8205B"/>
    <w:rsid w:val="00E82444"/>
    <w:rsid w:val="00E82D6E"/>
    <w:rsid w:val="00E8341C"/>
    <w:rsid w:val="00E8602B"/>
    <w:rsid w:val="00E86B5F"/>
    <w:rsid w:val="00E874B6"/>
    <w:rsid w:val="00E87D05"/>
    <w:rsid w:val="00E906F0"/>
    <w:rsid w:val="00E91F96"/>
    <w:rsid w:val="00E92E99"/>
    <w:rsid w:val="00E968FD"/>
    <w:rsid w:val="00E96D55"/>
    <w:rsid w:val="00E97993"/>
    <w:rsid w:val="00EA0D5D"/>
    <w:rsid w:val="00EA1192"/>
    <w:rsid w:val="00EA153F"/>
    <w:rsid w:val="00EA2788"/>
    <w:rsid w:val="00EA2C6E"/>
    <w:rsid w:val="00EA4964"/>
    <w:rsid w:val="00EA4F1A"/>
    <w:rsid w:val="00EA6740"/>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69A"/>
    <w:rsid w:val="00ED2FEC"/>
    <w:rsid w:val="00ED3F67"/>
    <w:rsid w:val="00ED440A"/>
    <w:rsid w:val="00ED587A"/>
    <w:rsid w:val="00ED7971"/>
    <w:rsid w:val="00EE0748"/>
    <w:rsid w:val="00EE21AA"/>
    <w:rsid w:val="00EE29A0"/>
    <w:rsid w:val="00EE2CEA"/>
    <w:rsid w:val="00EE3365"/>
    <w:rsid w:val="00EE48DF"/>
    <w:rsid w:val="00EE4AB3"/>
    <w:rsid w:val="00EE7405"/>
    <w:rsid w:val="00EF033E"/>
    <w:rsid w:val="00EF06EC"/>
    <w:rsid w:val="00EF14FF"/>
    <w:rsid w:val="00EF216C"/>
    <w:rsid w:val="00EF2BFE"/>
    <w:rsid w:val="00EF2D85"/>
    <w:rsid w:val="00EF402C"/>
    <w:rsid w:val="00EF45E0"/>
    <w:rsid w:val="00EF4A40"/>
    <w:rsid w:val="00EF4E6F"/>
    <w:rsid w:val="00EF5C82"/>
    <w:rsid w:val="00EF7A15"/>
    <w:rsid w:val="00F00AFF"/>
    <w:rsid w:val="00F01F8C"/>
    <w:rsid w:val="00F02EB3"/>
    <w:rsid w:val="00F035A6"/>
    <w:rsid w:val="00F04AD0"/>
    <w:rsid w:val="00F10033"/>
    <w:rsid w:val="00F10848"/>
    <w:rsid w:val="00F10B68"/>
    <w:rsid w:val="00F11F55"/>
    <w:rsid w:val="00F12DEC"/>
    <w:rsid w:val="00F13151"/>
    <w:rsid w:val="00F13CE0"/>
    <w:rsid w:val="00F15523"/>
    <w:rsid w:val="00F16391"/>
    <w:rsid w:val="00F2062B"/>
    <w:rsid w:val="00F211C9"/>
    <w:rsid w:val="00F21A18"/>
    <w:rsid w:val="00F21E61"/>
    <w:rsid w:val="00F220EA"/>
    <w:rsid w:val="00F222CD"/>
    <w:rsid w:val="00F22F6B"/>
    <w:rsid w:val="00F24EA4"/>
    <w:rsid w:val="00F2625A"/>
    <w:rsid w:val="00F27602"/>
    <w:rsid w:val="00F305FF"/>
    <w:rsid w:val="00F31A03"/>
    <w:rsid w:val="00F3283C"/>
    <w:rsid w:val="00F32D0F"/>
    <w:rsid w:val="00F343F0"/>
    <w:rsid w:val="00F34620"/>
    <w:rsid w:val="00F34AAB"/>
    <w:rsid w:val="00F34C4D"/>
    <w:rsid w:val="00F350CF"/>
    <w:rsid w:val="00F35582"/>
    <w:rsid w:val="00F367A2"/>
    <w:rsid w:val="00F37004"/>
    <w:rsid w:val="00F376A1"/>
    <w:rsid w:val="00F37B8E"/>
    <w:rsid w:val="00F41746"/>
    <w:rsid w:val="00F41E79"/>
    <w:rsid w:val="00F4315F"/>
    <w:rsid w:val="00F43BFD"/>
    <w:rsid w:val="00F445F6"/>
    <w:rsid w:val="00F4512F"/>
    <w:rsid w:val="00F45763"/>
    <w:rsid w:val="00F45BCF"/>
    <w:rsid w:val="00F45BEA"/>
    <w:rsid w:val="00F45CFE"/>
    <w:rsid w:val="00F46877"/>
    <w:rsid w:val="00F46F4C"/>
    <w:rsid w:val="00F47F3E"/>
    <w:rsid w:val="00F530E6"/>
    <w:rsid w:val="00F532C7"/>
    <w:rsid w:val="00F54EE5"/>
    <w:rsid w:val="00F55358"/>
    <w:rsid w:val="00F5603C"/>
    <w:rsid w:val="00F5605C"/>
    <w:rsid w:val="00F564B9"/>
    <w:rsid w:val="00F57909"/>
    <w:rsid w:val="00F600D1"/>
    <w:rsid w:val="00F612D6"/>
    <w:rsid w:val="00F62BE4"/>
    <w:rsid w:val="00F63400"/>
    <w:rsid w:val="00F636C6"/>
    <w:rsid w:val="00F6433D"/>
    <w:rsid w:val="00F6573E"/>
    <w:rsid w:val="00F66124"/>
    <w:rsid w:val="00F662EB"/>
    <w:rsid w:val="00F67606"/>
    <w:rsid w:val="00F70327"/>
    <w:rsid w:val="00F70FEF"/>
    <w:rsid w:val="00F72FA8"/>
    <w:rsid w:val="00F75415"/>
    <w:rsid w:val="00F7691D"/>
    <w:rsid w:val="00F773F9"/>
    <w:rsid w:val="00F8101C"/>
    <w:rsid w:val="00F817B9"/>
    <w:rsid w:val="00F81CB7"/>
    <w:rsid w:val="00F82280"/>
    <w:rsid w:val="00F8235F"/>
    <w:rsid w:val="00F83A22"/>
    <w:rsid w:val="00F83A97"/>
    <w:rsid w:val="00F844F0"/>
    <w:rsid w:val="00F84895"/>
    <w:rsid w:val="00F84940"/>
    <w:rsid w:val="00F84E9D"/>
    <w:rsid w:val="00F86420"/>
    <w:rsid w:val="00F8659E"/>
    <w:rsid w:val="00F86CE4"/>
    <w:rsid w:val="00F86F42"/>
    <w:rsid w:val="00F91941"/>
    <w:rsid w:val="00F923E7"/>
    <w:rsid w:val="00F92E3F"/>
    <w:rsid w:val="00F938D2"/>
    <w:rsid w:val="00F93F6C"/>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93D"/>
    <w:rsid w:val="00FC5252"/>
    <w:rsid w:val="00FC6356"/>
    <w:rsid w:val="00FC7D01"/>
    <w:rsid w:val="00FD0130"/>
    <w:rsid w:val="00FD0373"/>
    <w:rsid w:val="00FD0582"/>
    <w:rsid w:val="00FD0C93"/>
    <w:rsid w:val="00FD1062"/>
    <w:rsid w:val="00FD1E91"/>
    <w:rsid w:val="00FD2589"/>
    <w:rsid w:val="00FD4876"/>
    <w:rsid w:val="00FD52A3"/>
    <w:rsid w:val="00FD68D4"/>
    <w:rsid w:val="00FD7496"/>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Normal bullet 2,Bullet list,List Paragraph1,Numbered Para 1,Dot pt,No Spacing1,List Paragraph Char Char Char,Indicator Text,Bullet 1,Bullet Points,MAIN CONTENT,IFCL - List Paragraph,List Paragraph12,OBC Bullet,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Normal bullet 2 Char,Bullet list Char,List Paragraph1 Char,Numbered Para 1 Char,Dot pt Char,No Spacing1 Char,List Paragraph Char Char Char Char,Indicator Text Char,Bullet 1 Char,Bullet Points Char"/>
    <w:link w:val="ListParagraph"/>
    <w:uiPriority w:val="34"/>
    <w:qFormat/>
    <w:locked/>
    <w:rsid w:val="00580EBA"/>
    <w:rPr>
      <w:rFonts w:ascii="Calibri" w:hAnsi="Calibri"/>
      <w:sz w:val="22"/>
      <w:szCs w:val="22"/>
      <w:lang w:eastAsia="en-US"/>
    </w:rPr>
  </w:style>
  <w:style w:type="paragraph" w:styleId="FootnoteText">
    <w:name w:val="footnote text"/>
    <w:basedOn w:val="Normal"/>
    <w:link w:val="FootnoteTextChar"/>
    <w:uiPriority w:val="99"/>
    <w:semiHidden/>
    <w:unhideWhenUsed/>
    <w:rsid w:val="00B02E51"/>
    <w:rPr>
      <w:sz w:val="20"/>
      <w:szCs w:val="20"/>
    </w:rPr>
  </w:style>
  <w:style w:type="character" w:customStyle="1" w:styleId="FootnoteTextChar">
    <w:name w:val="Footnote Text Char"/>
    <w:basedOn w:val="DefaultParagraphFont"/>
    <w:link w:val="FootnoteText"/>
    <w:uiPriority w:val="99"/>
    <w:semiHidden/>
    <w:rsid w:val="00B02E51"/>
  </w:style>
  <w:style w:type="character" w:styleId="FootnoteReference">
    <w:name w:val="footnote reference"/>
    <w:basedOn w:val="DefaultParagraphFont"/>
    <w:uiPriority w:val="99"/>
    <w:semiHidden/>
    <w:unhideWhenUsed/>
    <w:rsid w:val="00B02E51"/>
    <w:rPr>
      <w:vertAlign w:val="superscript"/>
    </w:rPr>
  </w:style>
  <w:style w:type="character" w:styleId="UnresolvedMention">
    <w:name w:val="Unresolved Mention"/>
    <w:basedOn w:val="DefaultParagraphFont"/>
    <w:uiPriority w:val="99"/>
    <w:semiHidden/>
    <w:unhideWhenUsed/>
    <w:rsid w:val="00B02E51"/>
    <w:rPr>
      <w:color w:val="605E5C"/>
      <w:shd w:val="clear" w:color="auto" w:fill="E1DFDD"/>
    </w:rPr>
  </w:style>
  <w:style w:type="paragraph" w:customStyle="1" w:styleId="Body0">
    <w:name w:val="Body"/>
    <w:rsid w:val="00336EF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ja-JP"/>
      <w14:textOutline w14:w="0" w14:cap="flat" w14:cmpd="sng" w14:algn="ctr">
        <w14:noFill/>
        <w14:prstDash w14:val="solid"/>
        <w14:bevel/>
      </w14:textOutline>
    </w:rPr>
  </w:style>
  <w:style w:type="paragraph" w:customStyle="1" w:styleId="xmsonormal">
    <w:name w:val="x_msonormal"/>
    <w:basedOn w:val="Normal"/>
    <w:rsid w:val="00314535"/>
    <w:rPr>
      <w:rFonts w:ascii="Calibri" w:eastAsiaTheme="minorHAnsi" w:hAnsi="Calibri" w:cs="Calibri"/>
      <w:sz w:val="22"/>
      <w:szCs w:val="22"/>
    </w:rPr>
  </w:style>
  <w:style w:type="paragraph" w:customStyle="1" w:styleId="Default">
    <w:name w:val="Default"/>
    <w:rsid w:val="00DD7EB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577">
      <w:bodyDiv w:val="1"/>
      <w:marLeft w:val="0"/>
      <w:marRight w:val="0"/>
      <w:marTop w:val="0"/>
      <w:marBottom w:val="0"/>
      <w:divBdr>
        <w:top w:val="none" w:sz="0" w:space="0" w:color="auto"/>
        <w:left w:val="none" w:sz="0" w:space="0" w:color="auto"/>
        <w:bottom w:val="none" w:sz="0" w:space="0" w:color="auto"/>
        <w:right w:val="none" w:sz="0" w:space="0" w:color="auto"/>
      </w:divBdr>
    </w:div>
    <w:div w:id="125008010">
      <w:bodyDiv w:val="1"/>
      <w:marLeft w:val="0"/>
      <w:marRight w:val="0"/>
      <w:marTop w:val="0"/>
      <w:marBottom w:val="0"/>
      <w:divBdr>
        <w:top w:val="none" w:sz="0" w:space="0" w:color="auto"/>
        <w:left w:val="none" w:sz="0" w:space="0" w:color="auto"/>
        <w:bottom w:val="none" w:sz="0" w:space="0" w:color="auto"/>
        <w:right w:val="none" w:sz="0" w:space="0" w:color="auto"/>
      </w:divBdr>
    </w:div>
    <w:div w:id="233247648">
      <w:bodyDiv w:val="1"/>
      <w:marLeft w:val="0"/>
      <w:marRight w:val="0"/>
      <w:marTop w:val="0"/>
      <w:marBottom w:val="0"/>
      <w:divBdr>
        <w:top w:val="none" w:sz="0" w:space="0" w:color="auto"/>
        <w:left w:val="none" w:sz="0" w:space="0" w:color="auto"/>
        <w:bottom w:val="none" w:sz="0" w:space="0" w:color="auto"/>
        <w:right w:val="none" w:sz="0" w:space="0" w:color="auto"/>
      </w:divBdr>
    </w:div>
    <w:div w:id="35338407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5021">
      <w:bodyDiv w:val="1"/>
      <w:marLeft w:val="0"/>
      <w:marRight w:val="0"/>
      <w:marTop w:val="0"/>
      <w:marBottom w:val="0"/>
      <w:divBdr>
        <w:top w:val="none" w:sz="0" w:space="0" w:color="auto"/>
        <w:left w:val="none" w:sz="0" w:space="0" w:color="auto"/>
        <w:bottom w:val="none" w:sz="0" w:space="0" w:color="auto"/>
        <w:right w:val="none" w:sz="0" w:space="0" w:color="auto"/>
      </w:divBdr>
      <w:divsChild>
        <w:div w:id="197416880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6233613">
      <w:bodyDiv w:val="1"/>
      <w:marLeft w:val="0"/>
      <w:marRight w:val="0"/>
      <w:marTop w:val="0"/>
      <w:marBottom w:val="0"/>
      <w:divBdr>
        <w:top w:val="none" w:sz="0" w:space="0" w:color="auto"/>
        <w:left w:val="none" w:sz="0" w:space="0" w:color="auto"/>
        <w:bottom w:val="none" w:sz="0" w:space="0" w:color="auto"/>
        <w:right w:val="none" w:sz="0" w:space="0" w:color="auto"/>
      </w:divBdr>
    </w:div>
    <w:div w:id="60026254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0450788">
      <w:bodyDiv w:val="1"/>
      <w:marLeft w:val="0"/>
      <w:marRight w:val="0"/>
      <w:marTop w:val="0"/>
      <w:marBottom w:val="0"/>
      <w:divBdr>
        <w:top w:val="none" w:sz="0" w:space="0" w:color="auto"/>
        <w:left w:val="none" w:sz="0" w:space="0" w:color="auto"/>
        <w:bottom w:val="none" w:sz="0" w:space="0" w:color="auto"/>
        <w:right w:val="none" w:sz="0" w:space="0" w:color="auto"/>
      </w:divBdr>
    </w:div>
    <w:div w:id="836918542">
      <w:bodyDiv w:val="1"/>
      <w:marLeft w:val="0"/>
      <w:marRight w:val="0"/>
      <w:marTop w:val="0"/>
      <w:marBottom w:val="0"/>
      <w:divBdr>
        <w:top w:val="none" w:sz="0" w:space="0" w:color="auto"/>
        <w:left w:val="none" w:sz="0" w:space="0" w:color="auto"/>
        <w:bottom w:val="none" w:sz="0" w:space="0" w:color="auto"/>
        <w:right w:val="none" w:sz="0" w:space="0" w:color="auto"/>
      </w:divBdr>
      <w:divsChild>
        <w:div w:id="2066029758">
          <w:marLeft w:val="0"/>
          <w:marRight w:val="0"/>
          <w:marTop w:val="0"/>
          <w:marBottom w:val="0"/>
          <w:divBdr>
            <w:top w:val="none" w:sz="0" w:space="0" w:color="auto"/>
            <w:left w:val="none" w:sz="0" w:space="0" w:color="auto"/>
            <w:bottom w:val="none" w:sz="0" w:space="0" w:color="auto"/>
            <w:right w:val="none" w:sz="0" w:space="0" w:color="auto"/>
          </w:divBdr>
        </w:div>
      </w:divsChild>
    </w:div>
    <w:div w:id="874121298">
      <w:bodyDiv w:val="1"/>
      <w:marLeft w:val="0"/>
      <w:marRight w:val="0"/>
      <w:marTop w:val="0"/>
      <w:marBottom w:val="0"/>
      <w:divBdr>
        <w:top w:val="none" w:sz="0" w:space="0" w:color="auto"/>
        <w:left w:val="none" w:sz="0" w:space="0" w:color="auto"/>
        <w:bottom w:val="none" w:sz="0" w:space="0" w:color="auto"/>
        <w:right w:val="none" w:sz="0" w:space="0" w:color="auto"/>
      </w:divBdr>
    </w:div>
    <w:div w:id="987590097">
      <w:bodyDiv w:val="1"/>
      <w:marLeft w:val="0"/>
      <w:marRight w:val="0"/>
      <w:marTop w:val="0"/>
      <w:marBottom w:val="0"/>
      <w:divBdr>
        <w:top w:val="none" w:sz="0" w:space="0" w:color="auto"/>
        <w:left w:val="none" w:sz="0" w:space="0" w:color="auto"/>
        <w:bottom w:val="none" w:sz="0" w:space="0" w:color="auto"/>
        <w:right w:val="none" w:sz="0" w:space="0" w:color="auto"/>
      </w:divBdr>
    </w:div>
    <w:div w:id="103909150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152867237">
      <w:bodyDiv w:val="1"/>
      <w:marLeft w:val="0"/>
      <w:marRight w:val="0"/>
      <w:marTop w:val="0"/>
      <w:marBottom w:val="0"/>
      <w:divBdr>
        <w:top w:val="none" w:sz="0" w:space="0" w:color="auto"/>
        <w:left w:val="none" w:sz="0" w:space="0" w:color="auto"/>
        <w:bottom w:val="none" w:sz="0" w:space="0" w:color="auto"/>
        <w:right w:val="none" w:sz="0" w:space="0" w:color="auto"/>
      </w:divBdr>
    </w:div>
    <w:div w:id="1205484222">
      <w:bodyDiv w:val="1"/>
      <w:marLeft w:val="0"/>
      <w:marRight w:val="0"/>
      <w:marTop w:val="0"/>
      <w:marBottom w:val="0"/>
      <w:divBdr>
        <w:top w:val="none" w:sz="0" w:space="0" w:color="auto"/>
        <w:left w:val="none" w:sz="0" w:space="0" w:color="auto"/>
        <w:bottom w:val="none" w:sz="0" w:space="0" w:color="auto"/>
        <w:right w:val="none" w:sz="0" w:space="0" w:color="auto"/>
      </w:divBdr>
    </w:div>
    <w:div w:id="128981663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4713104">
      <w:bodyDiv w:val="1"/>
      <w:marLeft w:val="0"/>
      <w:marRight w:val="0"/>
      <w:marTop w:val="0"/>
      <w:marBottom w:val="0"/>
      <w:divBdr>
        <w:top w:val="none" w:sz="0" w:space="0" w:color="auto"/>
        <w:left w:val="none" w:sz="0" w:space="0" w:color="auto"/>
        <w:bottom w:val="none" w:sz="0" w:space="0" w:color="auto"/>
        <w:right w:val="none" w:sz="0" w:space="0" w:color="auto"/>
      </w:divBdr>
    </w:div>
    <w:div w:id="1439176772">
      <w:bodyDiv w:val="1"/>
      <w:marLeft w:val="0"/>
      <w:marRight w:val="0"/>
      <w:marTop w:val="0"/>
      <w:marBottom w:val="0"/>
      <w:divBdr>
        <w:top w:val="none" w:sz="0" w:space="0" w:color="auto"/>
        <w:left w:val="none" w:sz="0" w:space="0" w:color="auto"/>
        <w:bottom w:val="none" w:sz="0" w:space="0" w:color="auto"/>
        <w:right w:val="none" w:sz="0" w:space="0" w:color="auto"/>
      </w:divBdr>
    </w:div>
    <w:div w:id="1501702276">
      <w:bodyDiv w:val="1"/>
      <w:marLeft w:val="0"/>
      <w:marRight w:val="0"/>
      <w:marTop w:val="0"/>
      <w:marBottom w:val="0"/>
      <w:divBdr>
        <w:top w:val="none" w:sz="0" w:space="0" w:color="auto"/>
        <w:left w:val="none" w:sz="0" w:space="0" w:color="auto"/>
        <w:bottom w:val="none" w:sz="0" w:space="0" w:color="auto"/>
        <w:right w:val="none" w:sz="0" w:space="0" w:color="auto"/>
      </w:divBdr>
    </w:div>
    <w:div w:id="15303331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7984075">
      <w:bodyDiv w:val="1"/>
      <w:marLeft w:val="0"/>
      <w:marRight w:val="0"/>
      <w:marTop w:val="0"/>
      <w:marBottom w:val="0"/>
      <w:divBdr>
        <w:top w:val="none" w:sz="0" w:space="0" w:color="auto"/>
        <w:left w:val="none" w:sz="0" w:space="0" w:color="auto"/>
        <w:bottom w:val="none" w:sz="0" w:space="0" w:color="auto"/>
        <w:right w:val="none" w:sz="0" w:space="0" w:color="auto"/>
      </w:divBdr>
      <w:divsChild>
        <w:div w:id="617876577">
          <w:marLeft w:val="0"/>
          <w:marRight w:val="0"/>
          <w:marTop w:val="480"/>
          <w:marBottom w:val="240"/>
          <w:divBdr>
            <w:top w:val="none" w:sz="0" w:space="0" w:color="auto"/>
            <w:left w:val="none" w:sz="0" w:space="0" w:color="auto"/>
            <w:bottom w:val="none" w:sz="0" w:space="0" w:color="auto"/>
            <w:right w:val="none" w:sz="0" w:space="0" w:color="auto"/>
          </w:divBdr>
        </w:div>
        <w:div w:id="1899631967">
          <w:marLeft w:val="0"/>
          <w:marRight w:val="0"/>
          <w:marTop w:val="0"/>
          <w:marBottom w:val="567"/>
          <w:divBdr>
            <w:top w:val="none" w:sz="0" w:space="0" w:color="auto"/>
            <w:left w:val="none" w:sz="0" w:space="0" w:color="auto"/>
            <w:bottom w:val="none" w:sz="0" w:space="0" w:color="auto"/>
            <w:right w:val="none" w:sz="0" w:space="0" w:color="auto"/>
          </w:divBdr>
        </w:div>
      </w:divsChild>
    </w:div>
    <w:div w:id="1622495455">
      <w:bodyDiv w:val="1"/>
      <w:marLeft w:val="0"/>
      <w:marRight w:val="0"/>
      <w:marTop w:val="0"/>
      <w:marBottom w:val="0"/>
      <w:divBdr>
        <w:top w:val="none" w:sz="0" w:space="0" w:color="auto"/>
        <w:left w:val="none" w:sz="0" w:space="0" w:color="auto"/>
        <w:bottom w:val="none" w:sz="0" w:space="0" w:color="auto"/>
        <w:right w:val="none" w:sz="0" w:space="0" w:color="auto"/>
      </w:divBdr>
    </w:div>
    <w:div w:id="162256488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48767961">
      <w:bodyDiv w:val="1"/>
      <w:marLeft w:val="0"/>
      <w:marRight w:val="0"/>
      <w:marTop w:val="0"/>
      <w:marBottom w:val="0"/>
      <w:divBdr>
        <w:top w:val="none" w:sz="0" w:space="0" w:color="auto"/>
        <w:left w:val="none" w:sz="0" w:space="0" w:color="auto"/>
        <w:bottom w:val="none" w:sz="0" w:space="0" w:color="auto"/>
        <w:right w:val="none" w:sz="0" w:space="0" w:color="auto"/>
      </w:divBdr>
    </w:div>
    <w:div w:id="1792046904">
      <w:bodyDiv w:val="1"/>
      <w:marLeft w:val="0"/>
      <w:marRight w:val="0"/>
      <w:marTop w:val="0"/>
      <w:marBottom w:val="0"/>
      <w:divBdr>
        <w:top w:val="none" w:sz="0" w:space="0" w:color="auto"/>
        <w:left w:val="none" w:sz="0" w:space="0" w:color="auto"/>
        <w:bottom w:val="none" w:sz="0" w:space="0" w:color="auto"/>
        <w:right w:val="none" w:sz="0" w:space="0" w:color="auto"/>
      </w:divBdr>
    </w:div>
    <w:div w:id="1957521130">
      <w:bodyDiv w:val="1"/>
      <w:marLeft w:val="0"/>
      <w:marRight w:val="0"/>
      <w:marTop w:val="0"/>
      <w:marBottom w:val="0"/>
      <w:divBdr>
        <w:top w:val="none" w:sz="0" w:space="0" w:color="auto"/>
        <w:left w:val="none" w:sz="0" w:space="0" w:color="auto"/>
        <w:bottom w:val="none" w:sz="0" w:space="0" w:color="auto"/>
        <w:right w:val="none" w:sz="0" w:space="0" w:color="auto"/>
      </w:divBdr>
      <w:divsChild>
        <w:div w:id="195847542">
          <w:marLeft w:val="0"/>
          <w:marRight w:val="0"/>
          <w:marTop w:val="0"/>
          <w:marBottom w:val="0"/>
          <w:divBdr>
            <w:top w:val="none" w:sz="0" w:space="0" w:color="auto"/>
            <w:left w:val="none" w:sz="0" w:space="0" w:color="auto"/>
            <w:bottom w:val="none" w:sz="0" w:space="0" w:color="auto"/>
            <w:right w:val="none" w:sz="0" w:space="0" w:color="auto"/>
          </w:divBdr>
          <w:divsChild>
            <w:div w:id="332270341">
              <w:marLeft w:val="0"/>
              <w:marRight w:val="0"/>
              <w:marTop w:val="0"/>
              <w:marBottom w:val="0"/>
              <w:divBdr>
                <w:top w:val="none" w:sz="0" w:space="0" w:color="auto"/>
                <w:left w:val="none" w:sz="0" w:space="0" w:color="auto"/>
                <w:bottom w:val="none" w:sz="0" w:space="0" w:color="auto"/>
                <w:right w:val="none" w:sz="0" w:space="0" w:color="auto"/>
              </w:divBdr>
            </w:div>
            <w:div w:id="1366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10">
      <w:bodyDiv w:val="1"/>
      <w:marLeft w:val="0"/>
      <w:marRight w:val="0"/>
      <w:marTop w:val="0"/>
      <w:marBottom w:val="0"/>
      <w:divBdr>
        <w:top w:val="none" w:sz="0" w:space="0" w:color="auto"/>
        <w:left w:val="none" w:sz="0" w:space="0" w:color="auto"/>
        <w:bottom w:val="none" w:sz="0" w:space="0" w:color="auto"/>
        <w:right w:val="none" w:sz="0" w:space="0" w:color="auto"/>
      </w:divBdr>
    </w:div>
    <w:div w:id="21119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s.em.gov.lv/Portal/Contacts/Organization/Organization?OrganizationId=301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tv.tiesa.gov.lv/runas-un-raksti/pamattiesibu-ierobezojuma-konstitucionalitates-izvertesana-satversmes-tiesas-prakse/" TargetMode="External"/><Relationship Id="rId4" Type="http://schemas.openxmlformats.org/officeDocument/2006/relationships/settings" Target="settings.xml"/><Relationship Id="rId9" Type="http://schemas.openxmlformats.org/officeDocument/2006/relationships/hyperlink" Target="mailto:janis.lielpeteris@chamber.lv"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468B-6FC5-426C-9A39-67E16157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22</Pages>
  <Words>4698</Words>
  <Characters>34564</Characters>
  <Application>Microsoft Office Word</Application>
  <DocSecurity>0</DocSecurity>
  <Lines>288</Lines>
  <Paragraphs>78</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395 “Kārtība, kādā energoietilpīgi apstrādes rūpniecības uzņēmumi iegūst tiesības uz samazinātu līdzdalību obligātā iepirkuma komponentes maksājumam”</vt:lpstr>
    </vt:vector>
  </TitlesOfParts>
  <Company>Ekonomikas ministrija</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395 “Kārtība, kādā energoietilpīgi apstrādes rūpniecības uzņēmumi iegūst tiesības uz samazinātu līdzdalību obligātā iepirkuma komponentes maksājumam”</dc:title>
  <dc:subject>Izziņa par atzinumos sniegtajiem iebildumiem</dc:subject>
  <dc:creator>Līga Mičule</dc:creator>
  <cp:keywords/>
  <dc:description>67013030, Liga.Micule@em.gov.lv</dc:description>
  <cp:lastModifiedBy>Līga Mičule</cp:lastModifiedBy>
  <cp:revision>63</cp:revision>
  <cp:lastPrinted>2009-04-08T08:39:00Z</cp:lastPrinted>
  <dcterms:created xsi:type="dcterms:W3CDTF">2020-12-03T21:52:00Z</dcterms:created>
  <dcterms:modified xsi:type="dcterms:W3CDTF">2020-12-16T10:45:00Z</dcterms:modified>
</cp:coreProperties>
</file>