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9D7E" w14:textId="453C2961" w:rsidR="00894C55" w:rsidRPr="00185337" w:rsidRDefault="00270B83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</w:pPr>
      <w:r w:rsidRPr="0018533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 xml:space="preserve">Ministru kabineta noteikumu projekta </w:t>
      </w:r>
      <w:r w:rsidR="0076145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"</w:t>
      </w:r>
      <w:r w:rsidR="0028175F" w:rsidRPr="0018533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Grozījumi Ministru kabineta 2010.g</w:t>
      </w:r>
      <w:r w:rsidR="0076145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ada 30.marta noteikumos Nr.300 "</w:t>
      </w:r>
      <w:r w:rsidR="0028175F" w:rsidRPr="0018533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Noteikumi par akcīzes nodokļa deklarācijas veidlap</w:t>
      </w:r>
      <w:r w:rsidR="0076145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ām un to aizpildīšanas kārtību""</w:t>
      </w:r>
      <w:r w:rsidR="0028175F" w:rsidRPr="0018533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 xml:space="preserve"> </w:t>
      </w:r>
      <w:r w:rsidR="00894C55" w:rsidRPr="0018533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lv-LV"/>
        </w:rPr>
        <w:t>sākotnējās ietekmes novērtējuma ziņojums (anotācija)</w:t>
      </w:r>
    </w:p>
    <w:p w14:paraId="14CDAD9D" w14:textId="77777777" w:rsidR="00E5323B" w:rsidRPr="00185337" w:rsidRDefault="00E5323B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</w:pPr>
    </w:p>
    <w:tbl>
      <w:tblPr>
        <w:tblW w:w="4996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8"/>
        <w:gridCol w:w="5590"/>
      </w:tblGrid>
      <w:tr w:rsidR="00185337" w:rsidRPr="00185337" w14:paraId="193DD8B6" w14:textId="77777777" w:rsidTr="00F02728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1469" w14:textId="77777777" w:rsidR="00655F2C" w:rsidRPr="00185337" w:rsidRDefault="00E5323B" w:rsidP="007D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18533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61451" w:rsidRPr="00761451" w14:paraId="69520A13" w14:textId="77777777" w:rsidTr="00F02728">
        <w:trPr>
          <w:tblCellSpacing w:w="15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8C6A" w14:textId="77777777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B798" w14:textId="392B17B5" w:rsidR="00742160" w:rsidRPr="00761451" w:rsidRDefault="008F7B4E" w:rsidP="00BF2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Minist</w:t>
            </w:r>
            <w:r w:rsid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ru kabineta noteikumu projekts "</w:t>
            </w:r>
            <w:r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Grozījumi Ministru kabineta 2010.g</w:t>
            </w:r>
            <w:r w:rsid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ada 30.marta noteikumos Nr.300 "</w:t>
            </w:r>
            <w:r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Noteikumi par akcīzes nodokļa deklarācijas veidlap</w:t>
            </w:r>
            <w:r w:rsid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ām un to aizpildīšanas kārtību""</w:t>
            </w:r>
            <w:r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742160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(turpmāk – </w:t>
            </w:r>
            <w:r w:rsidR="00270B83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Ministru kabineta noteikumu projekts</w:t>
            </w:r>
            <w:r w:rsidR="00742160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) izstrādāts, lai</w:t>
            </w:r>
            <w:r w:rsidR="002C722D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257851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nodrošinātu</w:t>
            </w:r>
            <w:r w:rsidR="00E51D7D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likuma "Grozījumi likumā "Par akcīzes nodokli</w:t>
            </w:r>
            <w:r w:rsidR="00E51D7D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"" (Nr.</w:t>
            </w:r>
            <w:hyperlink r:id="rId11" w:history="1">
              <w:r w:rsidR="00E51D7D" w:rsidRPr="0046739F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-2"/>
                  <w:sz w:val="24"/>
                  <w:szCs w:val="24"/>
                  <w:u w:val="none"/>
                  <w:shd w:val="clear" w:color="auto" w:fill="FFFFFF"/>
                </w:rPr>
                <w:t>828/Lp13</w:t>
              </w:r>
            </w:hyperlink>
            <w:r w:rsidR="00E51D7D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) un </w:t>
            </w:r>
            <w:r w:rsidR="00761451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likum</w:t>
            </w:r>
            <w:r w:rsidR="00DC13B5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a</w:t>
            </w:r>
            <w:r w:rsidR="00E51D7D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"Grozījumi likumā "Par akcīzes nodokli"" (Nr.</w:t>
            </w:r>
            <w:hyperlink r:id="rId12" w:history="1">
              <w:r w:rsidR="00E51D7D" w:rsidRPr="0046739F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-2"/>
                  <w:sz w:val="24"/>
                  <w:szCs w:val="24"/>
                  <w:u w:val="none"/>
                  <w:shd w:val="clear" w:color="auto" w:fill="FFFFFF"/>
                </w:rPr>
                <w:t>383/Lp13</w:t>
              </w:r>
            </w:hyperlink>
            <w:r w:rsidR="00E51D7D" w:rsidRPr="0046739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) noteikto izmaiņu piemērošanu</w:t>
            </w:r>
            <w:r w:rsidR="00E51D7D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attiecīb</w:t>
            </w:r>
            <w:r w:rsidR="00EF2A6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ā uz akcīzes preču deklarēšanu.</w:t>
            </w:r>
          </w:p>
        </w:tc>
      </w:tr>
    </w:tbl>
    <w:p w14:paraId="0B595C2A" w14:textId="77777777" w:rsidR="00E5323B" w:rsidRPr="00761451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-2"/>
          <w:sz w:val="24"/>
          <w:szCs w:val="24"/>
          <w:lang w:eastAsia="lv-LV"/>
        </w:rPr>
      </w:pPr>
      <w:r w:rsidRPr="00761451">
        <w:rPr>
          <w:rFonts w:ascii="Times New Roman" w:eastAsia="Times New Roman" w:hAnsi="Times New Roman" w:cs="Times New Roman"/>
          <w:iCs/>
          <w:color w:val="000000" w:themeColor="text1"/>
          <w:spacing w:val="-2"/>
          <w:sz w:val="24"/>
          <w:szCs w:val="24"/>
          <w:lang w:eastAsia="lv-LV"/>
        </w:rPr>
        <w:t xml:space="preserve">  </w:t>
      </w:r>
    </w:p>
    <w:tbl>
      <w:tblPr>
        <w:tblW w:w="4996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021"/>
        <w:gridCol w:w="5613"/>
      </w:tblGrid>
      <w:tr w:rsidR="00761451" w:rsidRPr="00761451" w14:paraId="47854F3B" w14:textId="77777777" w:rsidTr="00F02728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61E3" w14:textId="77777777" w:rsidR="00655F2C" w:rsidRPr="00761451" w:rsidRDefault="00E5323B" w:rsidP="007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61451" w:rsidRPr="00761451" w14:paraId="2D7AA261" w14:textId="77777777" w:rsidTr="00F0272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5762" w14:textId="4339CC86" w:rsidR="00F02728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1.</w:t>
            </w:r>
          </w:p>
          <w:p w14:paraId="1B67FF0F" w14:textId="77777777" w:rsidR="00655F2C" w:rsidRPr="00F02728" w:rsidRDefault="00655F2C" w:rsidP="00F02728">
            <w:pPr>
              <w:ind w:left="7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3959" w14:textId="36D147E4" w:rsidR="00F02728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Pamatojums</w:t>
            </w:r>
          </w:p>
          <w:p w14:paraId="74F324CD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D17D41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44D688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C499B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F91383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02A751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DC5613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BBD4C2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5DB446" w14:textId="77777777" w:rsidR="00F02728" w:rsidRPr="00F02728" w:rsidRDefault="00F02728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BFC64E" w14:textId="7BDE1F24" w:rsidR="00E5323B" w:rsidRPr="00F02728" w:rsidRDefault="00E5323B" w:rsidP="00F0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ECB83" w14:textId="5A414FEE" w:rsidR="00E3379D" w:rsidRPr="001C6814" w:rsidRDefault="004A0063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Saeima </w:t>
            </w:r>
            <w:r w:rsidR="00E3379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2020.gada 24.novembrī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pieņēma likumu</w:t>
            </w:r>
            <w:r w:rsidR="00E3379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"Grozījumi likumā "Par akcīzes nodokli"" (Nr.828/Lp13), kas paredz:</w:t>
            </w:r>
          </w:p>
          <w:p w14:paraId="5FF24E35" w14:textId="3CBD5E66" w:rsidR="00E3379D" w:rsidRPr="00761451" w:rsidRDefault="00E3379D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C13B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2021.gada 1.janvāra</w:t>
            </w:r>
            <w:r w:rsidR="000B6A53" w:rsidRPr="000B6A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piemērot</w:t>
            </w:r>
            <w:r w:rsidR="006C3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akcīzes nodokli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elektroniskajās cigaretēs izmantojamo šķidrumu sagatavošanas sastāvdaļām</w:t>
            </w:r>
            <w:r w:rsidR="00D51B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r w:rsidR="00D51BE1" w:rsidRPr="00D51B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tabakas aizstājējproduktiem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DAF3D7D" w14:textId="4E0B8B6F" w:rsidR="00E3379D" w:rsidRPr="00761451" w:rsidRDefault="00E3379D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51BE1" w:rsidRPr="00D51B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 2021.gada 1.janvāra</w:t>
            </w:r>
            <w:r w:rsidR="00DC1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noteikt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elektroniskajās cigaretēs izmantojamiem šķidrumiem, to sagatavošanas sastāvdaļām vienotu akcīzes nodokļa likmi par vienu mililitru e-šķidruma neatkarīgi no nikotīna daudzuma;</w:t>
            </w:r>
          </w:p>
          <w:p w14:paraId="2AEB055B" w14:textId="7055C50A" w:rsidR="00E3379D" w:rsidRDefault="00E3379D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B6A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noteikt, 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DC1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0B6A53" w:rsidRPr="000B6A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 2021.gada 1.jūlija</w:t>
            </w:r>
            <w:r w:rsidR="000B6A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karsējamā tabaka, elektroniskajās cigaretēs izmantojamie šķidrumi, elektroniskajās cigaretēs izmantojamo šķidrumu sagatavošanas sastāvdaļas un tabakas aizstājējprodukti tiek ma</w:t>
            </w:r>
            <w:r w:rsidR="00467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rķēti ar akcīzes nodokļa markām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F1B1ED" w14:textId="77777777" w:rsidR="00DC13B5" w:rsidRPr="00761451" w:rsidRDefault="00DC13B5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393DDE" w14:textId="532BC4A7" w:rsidR="00E3379D" w:rsidRPr="00761451" w:rsidRDefault="004A0063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Saeima</w:t>
            </w:r>
            <w:r w:rsidR="00EF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2020.gada 17.decembrī</w:t>
            </w:r>
            <w:r w:rsidR="001B6F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pieņēma likum</w:t>
            </w:r>
            <w:r w:rsidR="00EF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DC13B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79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„Grozījumi likumā „Par </w:t>
            </w:r>
            <w:r w:rsidR="00EF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akcīzes nodokli”” (Nr.383/Lp13), kas</w:t>
            </w:r>
            <w:r w:rsidR="001B6F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79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paredz:</w:t>
            </w:r>
          </w:p>
          <w:p w14:paraId="50071DE7" w14:textId="61B4F33D" w:rsidR="00E3379D" w:rsidRPr="00761451" w:rsidRDefault="00E3379D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3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atcelt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samazinātās akcīzes nodokļa likmes bioproduktus saturošam kurināmajam un nosakot biodīzeļdegvielai, kas pilnībā iegūta no biomasas, un </w:t>
            </w:r>
            <w:proofErr w:type="spellStart"/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parafinizētai</w:t>
            </w:r>
            <w:proofErr w:type="spellEnd"/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dīzeļdegvielai, kas iegūta no biomasas, kuru izmanto kā kurināmo</w:t>
            </w:r>
            <w:r w:rsidR="002974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minimālo akcīzes nodokļa likmi;</w:t>
            </w:r>
          </w:p>
          <w:p w14:paraId="3C12FFDC" w14:textId="07F6A03E" w:rsidR="00E3379D" w:rsidRPr="00761451" w:rsidRDefault="00E3379D" w:rsidP="00E3379D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3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noteikt</w:t>
            </w:r>
            <w:r w:rsidR="002974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ka</w:t>
            </w:r>
            <w:r w:rsidR="006C3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7431" w:rsidRPr="002974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biodegvielu saturošiem produktiem (biodīzeļdegvielai, kas pilnībā iegūta no biomasas, un </w:t>
            </w:r>
            <w:proofErr w:type="spellStart"/>
            <w:r w:rsidR="00297431" w:rsidRPr="002974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parafinizētai</w:t>
            </w:r>
            <w:proofErr w:type="spellEnd"/>
            <w:r w:rsidR="00297431" w:rsidRPr="002974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dīzeļdegvielai, kas iegūta no biomasas), kurus izmanto kā degvielu tiek piemērota vienāda akcīzes nodokļa likme</w:t>
            </w:r>
            <w:r w:rsidR="001B6F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422FE17" w14:textId="3DEE901A" w:rsidR="00EF6ED5" w:rsidRPr="00761451" w:rsidRDefault="00EF6ED5" w:rsidP="007D6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61451" w:rsidRPr="00761451" w14:paraId="7ADFEDC6" w14:textId="77777777" w:rsidTr="00F0272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3DE7" w14:textId="77777777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B129" w14:textId="3E5CAB80" w:rsidR="00E5323B" w:rsidRPr="00761451" w:rsidRDefault="00E5323B" w:rsidP="008A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63B3" w14:textId="390FDC35" w:rsidR="002C45A5" w:rsidRPr="001C6814" w:rsidRDefault="00302780" w:rsidP="0045511E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Šobrīd Ministru kabineta 2010.gada 30.marta noteikumu Nr.300 </w:t>
            </w:r>
            <w:r w:rsidRPr="001C6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Noteikumi par akcīzes nodokļa deklarācijas veidlapām un to aizpildīšanas kārtību</w:t>
            </w:r>
            <w:r w:rsidRPr="001C6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(turpmāk – 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MK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noteikumi Nr.300) 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="00E8571A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daļa "Elektroniskajās cigaretēs izmantojamā šķidruma akcīzes</w:t>
            </w:r>
            <w:r w:rsidR="002C45A5"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nodokļa deklarācijas aizpildīšana" un 6.pielikums "Elektroniskajās cigaretēs izmantojamā 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šķidrum</w:t>
            </w:r>
            <w:r w:rsidR="00E8571A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akcīzes nodokļa deklarācija" 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paredz, ka akcīzes nodokli elektroniskajās cigaretēs izmantoj</w:t>
            </w:r>
            <w:r w:rsidR="00E8571A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amam šķidrumam aprēķina 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ņemot vērā elektroniskajās cigaretēs izmantojamā šķidruma saturošo nikotīna daudzumu. </w:t>
            </w:r>
          </w:p>
          <w:p w14:paraId="526E34E4" w14:textId="3A67598B" w:rsidR="002C45A5" w:rsidRPr="001C6814" w:rsidRDefault="003B4D3C" w:rsidP="0045511E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MK</w:t>
            </w:r>
            <w:r w:rsidR="002C45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noteikumi Nr.300 neparedz akcīzes nodokļa deklarēšanas iespēju elektroniskajās cigaretēs izmantojamā šķidruma sagatavošanas sastāvdaļām un tabakas aizstājējproduktiem</w:t>
            </w:r>
            <w:r w:rsidR="0045511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93ACA8" w14:textId="612C958D" w:rsidR="00447D96" w:rsidRPr="001C6814" w:rsidRDefault="0045511E" w:rsidP="0045511E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Ievērojot minēto, </w:t>
            </w:r>
            <w:r w:rsidR="003B4D3C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Ministru kabineta noteikumu projekts  </w:t>
            </w:r>
            <w:r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paredz izteikt jaunā redakcijā 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MK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noteikumu Nr.300 6.pielikumu, mainot 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tā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nosaukumu uz "Elektroniskajās cigaretēs izmantojam</w:t>
            </w:r>
            <w:r w:rsidR="00C330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ā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šķidrum</w:t>
            </w:r>
            <w:r w:rsidR="00C330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t</w:t>
            </w:r>
            <w:r w:rsidR="00C330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ā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sagatavošanas sastāvdaļu un tabakas aizstājējproduktu akcīzes nodokļa deklarācija", paredzot elektroniskajās cigaretēs izmantojamo šķidrumu, to sagatavošanas sastāv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daļu deklarēšanu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 vienu mililitru e-šķidruma neatkarīgi no nikotīna daudzuma</w:t>
            </w:r>
            <w:r w:rsidR="00447D9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(deklarācijas 1.aile), papildus paredzot tabakas aizstājējproduktu deklarēšanas iespēju atbilstoši likumā noteiktajai akcīzes nodokļa likmei (deklarācijas – 2.aile). </w:t>
            </w:r>
          </w:p>
          <w:p w14:paraId="4135FDAD" w14:textId="073BB3D1" w:rsidR="00447D96" w:rsidRPr="00C800A0" w:rsidRDefault="00447D96" w:rsidP="0045511E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Vienlaik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us n</w:t>
            </w:r>
            <w:r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oteikumu projekts paredz redakcionālas </w:t>
            </w:r>
            <w:r w:rsidR="003B4D3C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grozījumus</w:t>
            </w:r>
            <w:r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MK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noteikumu Nr.300 V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="003B4D3C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daļā, precizējot deklarējamā produkta nosaukumu, mērvienības un nepieciešamo</w:t>
            </w:r>
            <w:r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deklarācijas aizpildīšanas aiļu numerāciju atbilstoši 6.pielikuma jaunajai redakcijai.</w:t>
            </w:r>
          </w:p>
          <w:p w14:paraId="67B47377" w14:textId="0D90E48A" w:rsidR="004B6995" w:rsidRPr="001C6814" w:rsidRDefault="003B4D3C" w:rsidP="003B4D3C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Šobrīd MK</w:t>
            </w:r>
            <w:r w:rsidR="00447D9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noteikumu Nr.300 3.pielikums neparedz iespēju deklarēt </w:t>
            </w:r>
            <w:r w:rsidR="00771F3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informāciju sadaļā "</w:t>
            </w:r>
            <w:r w:rsidR="00925DC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Nodokļa aprēķins atbilstoši akcīzes nodokļa markām, par kurām akcīzes nodoklis samaksāts pirms akcīzes nodokļa marku saņemšanas vai maksājams 180 dienu laikā no akcīzes nodokļa marku saņemšanas dienas</w:t>
            </w:r>
            <w:r w:rsidR="00771F3D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25DC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produktam </w:t>
            </w:r>
            <w:r w:rsidR="006C3BC8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25DC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BC8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karsējamā tabaka</w:t>
            </w:r>
            <w:r w:rsidR="00FC40A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5DC6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 Ņemot vērā, ka ar </w:t>
            </w:r>
            <w:r w:rsidR="00473A2B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2021.gada 1.jūliju</w:t>
            </w:r>
            <w:r w:rsidR="003F1A3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paredzēts </w:t>
            </w:r>
            <w:r w:rsidR="00473A2B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marķē</w:t>
            </w:r>
            <w:r w:rsidR="003F1A3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73A2B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karsējamo tabaku</w:t>
            </w:r>
            <w:r w:rsidR="003F1A3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73A2B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nepieciešams papildināt </w:t>
            </w:r>
            <w:r w:rsidR="00FC40A5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MK </w:t>
            </w:r>
            <w:r w:rsidR="00EC4F9B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2010.gada 30.marta noteikumu Nr.300 3.pielikuma "Tabakas izstrādājumu akcīzes nodo</w:t>
            </w:r>
            <w:r w:rsidR="00FC40A5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kļa deklarācija" 38., 39. un 40.</w:t>
            </w:r>
            <w:r w:rsidR="00EC4F9B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rind</w:t>
            </w:r>
            <w:r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u</w:t>
            </w:r>
            <w:r w:rsidR="00EC4F9B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ar 6.</w:t>
            </w:r>
            <w:r w:rsidR="004B6995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ail</w:t>
            </w:r>
            <w:r w:rsidR="00DC13B5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i</w:t>
            </w:r>
            <w:r w:rsidR="00EC4F9B" w:rsidRPr="001C68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33ECA33" w14:textId="3DF51198" w:rsidR="00E00E94" w:rsidRPr="00761451" w:rsidRDefault="00FC40A5" w:rsidP="00EF2A60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Saeimā 2020.gada 22.oktobrī 2.lasījmā pieņemts likumprojekts “G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rozījumi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likumā „Par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akcīzes nodokli”” (Nr.383/Lp13), kas paredzēs 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atcelt samazināt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akcīzes nodokļa likm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bioproduktus saturošam kurināmajam un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paredzēs</w:t>
            </w:r>
            <w:r w:rsidR="00473A2B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noteikt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minimāl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akcīzes nodokļa likm</w:t>
            </w:r>
            <w:r w:rsidR="00DC13B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biodīzeļdegvielai, kas pilnībā iegūta no biomasas, un </w:t>
            </w:r>
            <w:proofErr w:type="spellStart"/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parafinizētai</w:t>
            </w:r>
            <w:proofErr w:type="spellEnd"/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dīzeļdegvielai, kas iegūta no biomasas, kuru izmanto kā kurināmo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tādējādi 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noteikumu </w:t>
            </w:r>
            <w:r w:rsidR="004B6995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projekts paredz</w:t>
            </w:r>
            <w:r w:rsidR="001169B2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precizēt</w:t>
            </w:r>
            <w:r w:rsidR="00651F21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MK</w:t>
            </w:r>
            <w:r w:rsidR="001169B2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2010.gada 30.marta noteikumu Nr.300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6.punktu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un izteikt to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jaunā redakcijā</w:t>
            </w:r>
            <w:r w:rsidR="00651F21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51F21" w:rsidRPr="001C6814">
              <w:t xml:space="preserve"> </w:t>
            </w:r>
            <w:r w:rsidR="003F1A3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precizēt</w:t>
            </w:r>
            <w:r w:rsidR="00651F21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1.pielikuma "Naftas produktu akcīzes </w:t>
            </w:r>
            <w:r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nodokļa deklarācija" 1., 4., 9. un</w:t>
            </w:r>
            <w:r w:rsidR="00651F21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12.ailē</w:t>
            </w:r>
            <w:r w:rsidR="000B6A53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1A3E" w:rsidRPr="001C6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deklarējamās</w:t>
            </w:r>
            <w:r w:rsidR="003F1A3E"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informācijas saturu </w:t>
            </w:r>
            <w:r w:rsidR="000B6A53"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 attiecīgi precizēt 1.pielikumu</w:t>
            </w:r>
            <w:r w:rsidR="000B6A53" w:rsidRPr="00C800A0">
              <w:t xml:space="preserve"> </w:t>
            </w:r>
            <w:r w:rsidR="000B6A53"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 atbilstošiem naftas produktu veidiem</w:t>
            </w:r>
            <w:r w:rsidR="004F3F14" w:rsidRPr="00C800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451" w:rsidRPr="00761451" w14:paraId="1FE02E54" w14:textId="77777777" w:rsidTr="00F0272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D0AB" w14:textId="77777777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272E" w14:textId="77777777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01AD" w14:textId="3A692874" w:rsidR="00066888" w:rsidRPr="00761451" w:rsidRDefault="00066888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Finanšu ministrija, </w:t>
            </w:r>
            <w:r w:rsidR="00614977" w:rsidRPr="0076145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Valsts ieņēmumu dienests</w:t>
            </w:r>
          </w:p>
        </w:tc>
      </w:tr>
      <w:tr w:rsidR="00761451" w:rsidRPr="00761451" w14:paraId="4FE797A7" w14:textId="77777777" w:rsidTr="00F0272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163E" w14:textId="77777777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3E8A" w14:textId="77777777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EAE9" w14:textId="77777777" w:rsidR="00066888" w:rsidRPr="00761451" w:rsidRDefault="00066888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Nav</w:t>
            </w:r>
          </w:p>
        </w:tc>
      </w:tr>
    </w:tbl>
    <w:p w14:paraId="02B1C58D" w14:textId="77777777" w:rsidR="00E5323B" w:rsidRPr="00761451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-2"/>
          <w:sz w:val="24"/>
          <w:szCs w:val="24"/>
          <w:lang w:eastAsia="lv-LV"/>
        </w:rPr>
      </w:pPr>
      <w:r w:rsidRPr="00761451">
        <w:rPr>
          <w:rFonts w:ascii="Times New Roman" w:eastAsia="Times New Roman" w:hAnsi="Times New Roman" w:cs="Times New Roman"/>
          <w:iCs/>
          <w:color w:val="000000" w:themeColor="text1"/>
          <w:spacing w:val="-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970"/>
        <w:gridCol w:w="4668"/>
      </w:tblGrid>
      <w:tr w:rsidR="00761451" w:rsidRPr="00761451" w14:paraId="53A92D4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6A91" w14:textId="77777777" w:rsidR="00655F2C" w:rsidRPr="00761451" w:rsidRDefault="00E5323B" w:rsidP="0008357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61451" w:rsidRPr="00761451" w14:paraId="63CE5E0E" w14:textId="77777777" w:rsidTr="00F02728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8751" w14:textId="77777777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2E593" w14:textId="6890EE9E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mēr</w:t>
            </w:r>
            <w:r w:rsidR="00614977"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ķ</w:t>
            </w: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grupas</w:t>
            </w:r>
            <w:proofErr w:type="spellEnd"/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D34B" w14:textId="0FA1D065" w:rsidR="00B46012" w:rsidRDefault="004353D3" w:rsidP="00FD62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Ministru kabineta noteikumu projekta</w:t>
            </w:r>
            <w:r w:rsidR="00643E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pieņemšana attiecas uz komersantiem:</w:t>
            </w:r>
            <w:r w:rsidR="00B460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2F5A37AD" w14:textId="181579AF" w:rsidR="001A056A" w:rsidRPr="00E4272F" w:rsidRDefault="001A056A" w:rsidP="00FD62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2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 kas atbilstoši speciālajai atļaujai (licencei) apstiprināta noliktavas turētāja darbībai, veic darbības ar elektroniskajās cigaretēs izmantojamiem šķidrumiem (šobrīd 19 komersanti).</w:t>
            </w:r>
          </w:p>
          <w:p w14:paraId="76D46719" w14:textId="0AE9E80C" w:rsidR="001A056A" w:rsidRPr="00BF3501" w:rsidRDefault="001A056A" w:rsidP="001A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42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2)kas iesaistīti tabakas aizstājējproduktu un elektroniskajās cigaretēs izmantojamo šķidrumu sagatavošanas sastāvdaļu apritē;</w:t>
            </w:r>
            <w:r w:rsidRPr="00BF3501" w:rsidDel="001A056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60519B8B" w14:textId="4A77D40C" w:rsidR="001A056A" w:rsidRPr="00BF3501" w:rsidRDefault="001A056A" w:rsidP="001A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F350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3)kas veic darbības ar naftas produktiem </w:t>
            </w:r>
            <w:r w:rsidR="00BB01A5" w:rsidRPr="00E42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(šobrīd 148 komersanti).</w:t>
            </w:r>
          </w:p>
          <w:p w14:paraId="1781A61D" w14:textId="0DBCCB92" w:rsidR="0040126E" w:rsidRPr="00761451" w:rsidRDefault="0040126E" w:rsidP="004012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61451" w:rsidRPr="00761451" w14:paraId="11D34DF2" w14:textId="77777777" w:rsidTr="00F02728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2FC6" w14:textId="35C910BE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C654" w14:textId="77777777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40B0" w14:textId="69E92E8D" w:rsidR="0040126E" w:rsidRPr="00761451" w:rsidRDefault="003F1A3E" w:rsidP="00761451">
            <w:pPr>
              <w:pStyle w:val="naisnod"/>
              <w:spacing w:before="0" w:after="0"/>
              <w:jc w:val="both"/>
              <w:rPr>
                <w:b w:val="0"/>
                <w:iCs/>
                <w:color w:val="000000" w:themeColor="text1"/>
                <w:spacing w:val="-2"/>
              </w:rPr>
            </w:pPr>
            <w:r>
              <w:rPr>
                <w:b w:val="0"/>
                <w:iCs/>
                <w:color w:val="000000" w:themeColor="text1"/>
                <w:spacing w:val="-2"/>
              </w:rPr>
              <w:t>Nav</w:t>
            </w:r>
          </w:p>
        </w:tc>
      </w:tr>
      <w:tr w:rsidR="00761451" w:rsidRPr="00761451" w14:paraId="62CDA44C" w14:textId="77777777" w:rsidTr="00F02728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049E" w14:textId="77777777" w:rsidR="00655F2C" w:rsidRPr="00761451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1B15" w14:textId="77777777" w:rsidR="00E5323B" w:rsidRPr="00761451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76145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CDDF" w14:textId="5238C7DC" w:rsidR="00EF3434" w:rsidRPr="00761451" w:rsidRDefault="00F476A5" w:rsidP="004C686A">
            <w:pPr>
              <w:pStyle w:val="naisnod"/>
              <w:spacing w:before="0" w:after="0"/>
              <w:jc w:val="both"/>
              <w:rPr>
                <w:iCs/>
                <w:color w:val="000000" w:themeColor="text1"/>
                <w:spacing w:val="-2"/>
              </w:rPr>
            </w:pPr>
            <w:r w:rsidRPr="00761451">
              <w:rPr>
                <w:b w:val="0"/>
                <w:color w:val="000000" w:themeColor="text1"/>
                <w:spacing w:val="-2"/>
              </w:rPr>
              <w:t>Nav</w:t>
            </w:r>
            <w:r w:rsidR="004C686A">
              <w:t xml:space="preserve"> </w:t>
            </w:r>
          </w:p>
        </w:tc>
      </w:tr>
      <w:tr w:rsidR="00185337" w:rsidRPr="005C226B" w14:paraId="55B022D9" w14:textId="77777777" w:rsidTr="00F02728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F1F9" w14:textId="77777777" w:rsidR="00655F2C" w:rsidRPr="005C226B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8252" w14:textId="77777777" w:rsidR="00E5323B" w:rsidRPr="005C226B" w:rsidRDefault="00E5323B" w:rsidP="008D68D4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6BB7" w14:textId="3E3B5142" w:rsidR="00EF3434" w:rsidRPr="005C226B" w:rsidRDefault="007E75B9" w:rsidP="00F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85337" w:rsidRPr="005C226B" w14:paraId="1CAB0178" w14:textId="77777777" w:rsidTr="00F02728">
        <w:trPr>
          <w:tblCellSpacing w:w="15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B0BA" w14:textId="77777777" w:rsidR="00655F2C" w:rsidRPr="005C226B" w:rsidRDefault="00E5323B" w:rsidP="00F0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BDDD" w14:textId="77777777" w:rsidR="00E5323B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AF83" w14:textId="77777777" w:rsidR="00E5323B" w:rsidRPr="005C226B" w:rsidRDefault="00B00E49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</w:p>
        </w:tc>
      </w:tr>
    </w:tbl>
    <w:p w14:paraId="67641A01" w14:textId="744C9326" w:rsidR="00E5323B" w:rsidRPr="005C226B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5C226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85337" w:rsidRPr="005C226B" w14:paraId="5AE240A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8829" w14:textId="77777777" w:rsidR="00655F2C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85337" w:rsidRPr="005C226B" w14:paraId="55F9E206" w14:textId="77777777" w:rsidTr="00FA3025">
        <w:trPr>
          <w:trHeight w:val="61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4D7CDAB" w14:textId="11C9155E" w:rsidR="00B00E49" w:rsidRPr="005C226B" w:rsidRDefault="004C686A" w:rsidP="00D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4C68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Līdzekļi noteikumu projektam ir pieprasīti likuma “Grozījumi likumā.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“Par akcīzes nodokli”” ietvaros</w:t>
            </w:r>
          </w:p>
        </w:tc>
      </w:tr>
    </w:tbl>
    <w:p w14:paraId="6E60F644" w14:textId="53388012" w:rsidR="00E5323B" w:rsidRPr="005C226B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5C226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p w14:paraId="39962388" w14:textId="77777777" w:rsidR="00B61FBD" w:rsidRPr="005C226B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85337" w:rsidRPr="005C226B" w14:paraId="29425CA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72BC" w14:textId="77777777" w:rsidR="00655F2C" w:rsidRPr="005C226B" w:rsidRDefault="00E5323B" w:rsidP="00083570">
            <w:p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85337" w:rsidRPr="001C6814" w14:paraId="2D381435" w14:textId="77777777" w:rsidTr="002B0C8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C4FA4" w14:textId="54450F6A" w:rsidR="002B0C82" w:rsidRPr="001C6814" w:rsidRDefault="00FC40A5" w:rsidP="007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6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Noteikumu p</w:t>
            </w:r>
            <w:r w:rsidR="002B0C82" w:rsidRPr="001C6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rojekts šo jomu neskar.</w:t>
            </w:r>
          </w:p>
        </w:tc>
      </w:tr>
    </w:tbl>
    <w:p w14:paraId="48AE5F60" w14:textId="380C1EFE" w:rsidR="00E5323B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p w14:paraId="440DC7B8" w14:textId="77777777" w:rsidR="0046739F" w:rsidRPr="001C6814" w:rsidRDefault="0046739F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p w14:paraId="73D4B2BB" w14:textId="77777777" w:rsidR="00B61FBD" w:rsidRPr="001C6814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85337" w:rsidRPr="001C6814" w14:paraId="2DE0D711" w14:textId="77777777" w:rsidTr="00B61FB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C58E" w14:textId="77777777" w:rsidR="00655F2C" w:rsidRPr="001C6814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85337" w:rsidRPr="001C6814" w14:paraId="6A58450C" w14:textId="77777777" w:rsidTr="00B61FB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759A" w14:textId="75DFA278" w:rsidR="009C6516" w:rsidRPr="001C6814" w:rsidRDefault="00FC40A5" w:rsidP="007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Noteikumu p</w:t>
            </w:r>
            <w:r w:rsidR="009C6516" w:rsidRPr="001C681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rojekts šo jomu neskar</w:t>
            </w:r>
            <w:r w:rsidR="008D1BF9" w:rsidRPr="001C681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</w:tbl>
    <w:p w14:paraId="575DCEBA" w14:textId="0A4A9A46" w:rsidR="00E5323B" w:rsidRPr="001C6814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  <w:r w:rsidRPr="001C681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  <w:t xml:space="preserve">  </w:t>
      </w:r>
    </w:p>
    <w:p w14:paraId="6B0D253A" w14:textId="77777777" w:rsidR="00B61FBD" w:rsidRPr="001C6814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5519"/>
      </w:tblGrid>
      <w:tr w:rsidR="00185337" w:rsidRPr="001C6814" w14:paraId="393B9913" w14:textId="77777777" w:rsidTr="00685FE7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768B" w14:textId="77777777" w:rsidR="009142BA" w:rsidRPr="001C6814" w:rsidRDefault="009142BA" w:rsidP="00083570">
            <w:pPr>
              <w:spacing w:after="0" w:line="240" w:lineRule="auto"/>
              <w:ind w:firstLine="194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85337" w:rsidRPr="005C226B" w14:paraId="7BF77FA2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3AEE" w14:textId="77777777" w:rsidR="009142BA" w:rsidRPr="001C6814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8BCF" w14:textId="77777777" w:rsidR="009142BA" w:rsidRPr="001C6814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6EBE" w14:textId="49F3C84C" w:rsidR="00FC40A5" w:rsidRPr="001C6814" w:rsidRDefault="004353D3" w:rsidP="00FC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="00FC40A5" w:rsidRPr="001C6814">
              <w:rPr>
                <w:rFonts w:ascii="Times New Roman" w:hAnsi="Times New Roman" w:cs="Times New Roman"/>
                <w:sz w:val="24"/>
                <w:szCs w:val="24"/>
              </w:rPr>
              <w:t>oteikumu p</w:t>
            </w:r>
            <w:r w:rsidR="004C686A"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rojekts izstrādāts un </w:t>
            </w:r>
            <w:r w:rsidR="00FC40A5"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tiks virzīts pieņemšanai Ministru kabinetā </w:t>
            </w:r>
            <w:r w:rsidR="004C686A" w:rsidRPr="001C6814">
              <w:rPr>
                <w:rFonts w:ascii="Times New Roman" w:hAnsi="Times New Roman" w:cs="Times New Roman"/>
                <w:sz w:val="24"/>
                <w:szCs w:val="24"/>
              </w:rPr>
              <w:t>steidzamības kārtībā, līdz ar to sabiedrības līdzdalības aktivitātes nav notikušas.</w:t>
            </w:r>
          </w:p>
          <w:p w14:paraId="5D896BC0" w14:textId="073A0917" w:rsidR="005154A1" w:rsidRPr="00BF3501" w:rsidRDefault="004C686A" w:rsidP="00F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C800A0" w:rsidRPr="001C6814">
              <w:rPr>
                <w:rFonts w:ascii="Times New Roman" w:hAnsi="Times New Roman" w:cs="Times New Roman"/>
                <w:sz w:val="24"/>
                <w:szCs w:val="24"/>
              </w:rPr>
              <w:t>pieņemtajiem M</w:t>
            </w:r>
            <w:r w:rsidR="00FC40A5"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inistru kabineta </w:t>
            </w:r>
            <w:r w:rsidRPr="001C6814">
              <w:rPr>
                <w:rFonts w:ascii="Times New Roman" w:hAnsi="Times New Roman" w:cs="Times New Roman"/>
                <w:sz w:val="24"/>
                <w:szCs w:val="24"/>
              </w:rPr>
              <w:t>noteikumiem</w:t>
            </w:r>
            <w:r w:rsidR="00FC40A5"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 sabiedrība</w:t>
            </w:r>
            <w:r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 varēs iepazīties pēc to p</w:t>
            </w:r>
            <w:r w:rsidR="009A6692" w:rsidRPr="001C6814">
              <w:rPr>
                <w:rFonts w:ascii="Times New Roman" w:hAnsi="Times New Roman" w:cs="Times New Roman"/>
                <w:sz w:val="24"/>
                <w:szCs w:val="24"/>
              </w:rPr>
              <w:t>ublikācijas oficiālajā izdevējā</w:t>
            </w:r>
            <w:r w:rsidRPr="001C6814">
              <w:rPr>
                <w:rFonts w:ascii="Times New Roman" w:hAnsi="Times New Roman" w:cs="Times New Roman"/>
                <w:sz w:val="24"/>
                <w:szCs w:val="24"/>
              </w:rPr>
              <w:t xml:space="preserve"> “Latvijas Vēstnesis”</w:t>
            </w:r>
            <w:r w:rsidR="009A6692" w:rsidRPr="001C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501" w:rsidDel="004C686A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</w:p>
        </w:tc>
      </w:tr>
      <w:tr w:rsidR="00185337" w:rsidRPr="005C226B" w14:paraId="39ACB37D" w14:textId="77777777" w:rsidTr="00114E92">
        <w:trPr>
          <w:trHeight w:val="872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76B7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36E7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3025" w14:textId="486F3FFF" w:rsidR="009142BA" w:rsidRPr="00BF3501" w:rsidRDefault="003F1A3E" w:rsidP="00F70D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Nav</w:t>
            </w:r>
          </w:p>
        </w:tc>
      </w:tr>
      <w:tr w:rsidR="00185337" w:rsidRPr="005C226B" w14:paraId="021E4083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9728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9DB6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49BA" w14:textId="45DBA3E6" w:rsidR="009142BA" w:rsidRPr="00BF3501" w:rsidRDefault="003F1A3E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</w:p>
        </w:tc>
      </w:tr>
      <w:tr w:rsidR="00185337" w:rsidRPr="005C226B" w14:paraId="1CCB880E" w14:textId="77777777" w:rsidTr="00C704AF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9032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A743" w14:textId="77777777" w:rsidR="009142BA" w:rsidRPr="005C226B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5855" w14:textId="28C86C63" w:rsidR="009142BA" w:rsidRPr="00BF3501" w:rsidRDefault="003F1A3E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Nav</w:t>
            </w:r>
          </w:p>
        </w:tc>
      </w:tr>
    </w:tbl>
    <w:p w14:paraId="096582FE" w14:textId="35BD0E94" w:rsidR="009142BA" w:rsidRPr="005C226B" w:rsidRDefault="009142BA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p w14:paraId="30E5222D" w14:textId="77777777" w:rsidR="00B61FBD" w:rsidRPr="005C226B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232"/>
        <w:gridCol w:w="5406"/>
      </w:tblGrid>
      <w:tr w:rsidR="00185337" w:rsidRPr="005C226B" w14:paraId="4A0CF67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6113" w14:textId="77777777" w:rsidR="00655F2C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85337" w:rsidRPr="005C226B" w14:paraId="0A375124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621E" w14:textId="77777777" w:rsidR="00655F2C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C143B" w14:textId="77777777" w:rsidR="00E5323B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F4AC" w14:textId="74FB63AF" w:rsidR="00925E9A" w:rsidRPr="005C226B" w:rsidRDefault="00D441E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Valsts ieņēmumu dienests</w:t>
            </w:r>
          </w:p>
        </w:tc>
      </w:tr>
      <w:tr w:rsidR="00185337" w:rsidRPr="005C226B" w14:paraId="486BDAD8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7FB7" w14:textId="77777777" w:rsidR="00655F2C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3458" w14:textId="77777777" w:rsidR="00E5323B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1537" w14:textId="77777777" w:rsidR="004C686A" w:rsidRPr="00E4272F" w:rsidRDefault="004C686A" w:rsidP="004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7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Normatīvā akta izpilde tiks nodrošināta esošo institūciju līdzšinējo funkciju un cilvēkresursu ietvaros. </w:t>
            </w:r>
          </w:p>
          <w:p w14:paraId="1D40578F" w14:textId="1FB46B42" w:rsidR="00E5323B" w:rsidRPr="005C226B" w:rsidRDefault="004C686A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E427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valsts institūciju izveidošana, esošu institūciju likvidācija vai reorganizācija nav nepieciešama un papildu finansējums nav nepieciešams.</w:t>
            </w:r>
          </w:p>
        </w:tc>
      </w:tr>
      <w:tr w:rsidR="00185337" w:rsidRPr="005C226B" w14:paraId="18516E5F" w14:textId="77777777" w:rsidTr="008A3A6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7EC3" w14:textId="77777777" w:rsidR="00655F2C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E710" w14:textId="77777777" w:rsidR="00E5323B" w:rsidRPr="005C226B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4421" w14:textId="77777777" w:rsidR="00E5323B" w:rsidRPr="005C226B" w:rsidRDefault="00705B3C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</w:pPr>
            <w:r w:rsidRPr="005C226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lv-LV"/>
              </w:rPr>
              <w:t>Nav</w:t>
            </w:r>
          </w:p>
        </w:tc>
      </w:tr>
    </w:tbl>
    <w:p w14:paraId="3D2DA8B9" w14:textId="0B52B6B6" w:rsidR="002517E6" w:rsidRPr="005C226B" w:rsidRDefault="002517E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382B5F" w14:textId="77777777" w:rsidR="00FD3156" w:rsidRPr="005C226B" w:rsidRDefault="00FD315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AE93C8" w14:textId="412C4D57" w:rsidR="002517E6" w:rsidRPr="00F02728" w:rsidRDefault="004C6576" w:rsidP="00F02728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2728">
        <w:rPr>
          <w:rFonts w:ascii="Times New Roman" w:hAnsi="Times New Roman"/>
          <w:sz w:val="26"/>
          <w:szCs w:val="26"/>
        </w:rPr>
        <w:t>Finanšu ministrs</w:t>
      </w:r>
      <w:r w:rsidR="002517E6" w:rsidRPr="00F02728">
        <w:rPr>
          <w:rFonts w:ascii="Times New Roman" w:hAnsi="Times New Roman"/>
          <w:sz w:val="26"/>
          <w:szCs w:val="26"/>
        </w:rPr>
        <w:tab/>
      </w:r>
      <w:r w:rsidRPr="00F02728">
        <w:rPr>
          <w:rFonts w:ascii="Times New Roman" w:hAnsi="Times New Roman"/>
          <w:sz w:val="26"/>
          <w:szCs w:val="26"/>
        </w:rPr>
        <w:t>Jānis Reirs</w:t>
      </w:r>
    </w:p>
    <w:p w14:paraId="6F071E01" w14:textId="4E821A98" w:rsidR="00894C55" w:rsidRDefault="00894C55" w:rsidP="00C126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14:paraId="704325DD" w14:textId="77777777" w:rsidR="009A6692" w:rsidRPr="005C226B" w:rsidRDefault="009A6692" w:rsidP="00C126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14:paraId="083832CE" w14:textId="77777777" w:rsidR="00FD3156" w:rsidRPr="005C226B" w:rsidRDefault="00FD3156" w:rsidP="00C126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14:paraId="3B06D73A" w14:textId="06364FFC" w:rsidR="000F3A62" w:rsidRPr="00F02728" w:rsidRDefault="00761451" w:rsidP="00C1268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pacing w:val="-2"/>
          <w:szCs w:val="20"/>
        </w:rPr>
      </w:pPr>
      <w:r w:rsidRPr="00F02728">
        <w:rPr>
          <w:rFonts w:ascii="Times New Roman" w:hAnsi="Times New Roman" w:cs="Times New Roman"/>
          <w:spacing w:val="-2"/>
          <w:szCs w:val="20"/>
        </w:rPr>
        <w:t>Sirija, 6712016</w:t>
      </w:r>
      <w:r w:rsidR="005D41AB" w:rsidRPr="00F02728">
        <w:rPr>
          <w:rFonts w:ascii="Times New Roman" w:hAnsi="Times New Roman" w:cs="Times New Roman"/>
          <w:spacing w:val="-2"/>
          <w:szCs w:val="20"/>
        </w:rPr>
        <w:t>7</w:t>
      </w:r>
    </w:p>
    <w:p w14:paraId="5F8DA726" w14:textId="1A00C831" w:rsidR="00894C55" w:rsidRPr="006F344E" w:rsidRDefault="00761451" w:rsidP="00BF3501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6F344E">
        <w:rPr>
          <w:rStyle w:val="Hyperlink"/>
          <w:rFonts w:ascii="Times New Roman" w:hAnsi="Times New Roman" w:cs="Times New Roman"/>
          <w:color w:val="auto"/>
          <w:spacing w:val="-2"/>
          <w:szCs w:val="20"/>
          <w:u w:val="none"/>
        </w:rPr>
        <w:t>Inga.Sirija</w:t>
      </w:r>
      <w:r w:rsidR="005D41AB" w:rsidRPr="006F344E">
        <w:rPr>
          <w:rStyle w:val="Hyperlink"/>
          <w:rFonts w:ascii="Times New Roman" w:hAnsi="Times New Roman" w:cs="Times New Roman"/>
          <w:color w:val="auto"/>
          <w:spacing w:val="-2"/>
          <w:szCs w:val="20"/>
          <w:u w:val="none"/>
        </w:rPr>
        <w:t>@vid.gov.lv</w:t>
      </w:r>
      <w:r w:rsidR="003648DD" w:rsidRPr="006F344E">
        <w:rPr>
          <w:rFonts w:ascii="Times New Roman" w:hAnsi="Times New Roman" w:cs="Times New Roman"/>
          <w:spacing w:val="-2"/>
          <w:szCs w:val="20"/>
        </w:rPr>
        <w:tab/>
      </w:r>
      <w:bookmarkStart w:id="0" w:name="_GoBack"/>
      <w:bookmarkEnd w:id="0"/>
    </w:p>
    <w:sectPr w:rsidR="00894C55" w:rsidRPr="006F344E" w:rsidSect="009A2654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DB463" w14:textId="77777777" w:rsidR="006C38EB" w:rsidRDefault="006C38EB" w:rsidP="00894C55">
      <w:pPr>
        <w:spacing w:after="0" w:line="240" w:lineRule="auto"/>
      </w:pPr>
      <w:r>
        <w:separator/>
      </w:r>
    </w:p>
  </w:endnote>
  <w:endnote w:type="continuationSeparator" w:id="0">
    <w:p w14:paraId="5C49AF4D" w14:textId="77777777" w:rsidR="006C38EB" w:rsidRDefault="006C38E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9F63" w14:textId="68445047" w:rsidR="00B87AB1" w:rsidRPr="00F02728" w:rsidRDefault="003B24EF" w:rsidP="00F02728">
    <w:pPr>
      <w:pStyle w:val="Footer"/>
    </w:pPr>
    <w:r>
      <w:rPr>
        <w:rFonts w:ascii="Times New Roman" w:hAnsi="Times New Roman" w:cs="Times New Roman"/>
        <w:sz w:val="20"/>
        <w:szCs w:val="20"/>
      </w:rPr>
      <w:t>FMA</w:t>
    </w:r>
    <w:r w:rsidR="00BE6404">
      <w:rPr>
        <w:rFonts w:ascii="Times New Roman" w:hAnsi="Times New Roman" w:cs="Times New Roman"/>
        <w:sz w:val="20"/>
        <w:szCs w:val="20"/>
      </w:rPr>
      <w:t>not_060121</w:t>
    </w:r>
    <w:r w:rsidR="00F02728" w:rsidRPr="00F02728">
      <w:rPr>
        <w:rFonts w:ascii="Times New Roman" w:hAnsi="Times New Roman" w:cs="Times New Roman"/>
        <w:sz w:val="20"/>
        <w:szCs w:val="20"/>
      </w:rPr>
      <w:t>_groz_MK_300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7C31" w14:textId="7FC38CE2" w:rsidR="00B87AB1" w:rsidRPr="00D07835" w:rsidRDefault="00B87AB1" w:rsidP="00D0783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B24EF">
      <w:rPr>
        <w:rFonts w:ascii="Times New Roman" w:hAnsi="Times New Roman" w:cs="Times New Roman"/>
        <w:noProof/>
        <w:sz w:val="20"/>
        <w:szCs w:val="20"/>
      </w:rPr>
      <w:t>FMA</w:t>
    </w:r>
    <w:r w:rsidR="005D41AB">
      <w:rPr>
        <w:rFonts w:ascii="Times New Roman" w:hAnsi="Times New Roman" w:cs="Times New Roman"/>
        <w:noProof/>
        <w:sz w:val="20"/>
        <w:szCs w:val="20"/>
      </w:rPr>
      <w:t>not_</w:t>
    </w:r>
    <w:r w:rsidR="00BE6404">
      <w:rPr>
        <w:rFonts w:ascii="Times New Roman" w:hAnsi="Times New Roman" w:cs="Times New Roman"/>
        <w:noProof/>
        <w:sz w:val="20"/>
        <w:szCs w:val="20"/>
      </w:rPr>
      <w:t>060121</w:t>
    </w:r>
    <w:r w:rsidR="002E183F">
      <w:rPr>
        <w:rFonts w:ascii="Times New Roman" w:hAnsi="Times New Roman" w:cs="Times New Roman"/>
        <w:noProof/>
        <w:sz w:val="20"/>
        <w:szCs w:val="20"/>
      </w:rPr>
      <w:t>_</w:t>
    </w:r>
    <w:r w:rsidR="00F02728">
      <w:rPr>
        <w:rFonts w:ascii="Times New Roman" w:hAnsi="Times New Roman" w:cs="Times New Roman"/>
        <w:noProof/>
        <w:sz w:val="20"/>
        <w:szCs w:val="20"/>
      </w:rPr>
      <w:t>groz_</w:t>
    </w:r>
    <w:r w:rsidR="002E183F">
      <w:rPr>
        <w:rFonts w:ascii="Times New Roman" w:hAnsi="Times New Roman" w:cs="Times New Roman"/>
        <w:noProof/>
        <w:sz w:val="20"/>
        <w:szCs w:val="20"/>
      </w:rPr>
      <w:t>MK</w:t>
    </w:r>
    <w:r w:rsidR="00F02728">
      <w:rPr>
        <w:rFonts w:ascii="Times New Roman" w:hAnsi="Times New Roman" w:cs="Times New Roman"/>
        <w:noProof/>
        <w:sz w:val="20"/>
        <w:szCs w:val="20"/>
      </w:rPr>
      <w:t>_</w:t>
    </w:r>
    <w:r w:rsidR="002E183F">
      <w:rPr>
        <w:rFonts w:ascii="Times New Roman" w:hAnsi="Times New Roman" w:cs="Times New Roman"/>
        <w:noProof/>
        <w:sz w:val="20"/>
        <w:szCs w:val="20"/>
      </w:rPr>
      <w:t>300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41A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A507" w14:textId="77777777" w:rsidR="006C38EB" w:rsidRDefault="006C38EB" w:rsidP="00894C55">
      <w:pPr>
        <w:spacing w:after="0" w:line="240" w:lineRule="auto"/>
      </w:pPr>
      <w:r>
        <w:separator/>
      </w:r>
    </w:p>
  </w:footnote>
  <w:footnote w:type="continuationSeparator" w:id="0">
    <w:p w14:paraId="2B304F9A" w14:textId="77777777" w:rsidR="006C38EB" w:rsidRDefault="006C38E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751095" w14:textId="75061723" w:rsidR="00B87AB1" w:rsidRPr="00C25B49" w:rsidRDefault="00B87AB1" w:rsidP="007D344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B24EF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FE0"/>
    <w:multiLevelType w:val="hybridMultilevel"/>
    <w:tmpl w:val="588C5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63"/>
    <w:multiLevelType w:val="hybridMultilevel"/>
    <w:tmpl w:val="8D660B7E"/>
    <w:lvl w:ilvl="0" w:tplc="F2DEB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C5B"/>
    <w:multiLevelType w:val="hybridMultilevel"/>
    <w:tmpl w:val="45B49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0528"/>
    <w:multiLevelType w:val="hybridMultilevel"/>
    <w:tmpl w:val="1032A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A0E8C"/>
    <w:multiLevelType w:val="hybridMultilevel"/>
    <w:tmpl w:val="781E75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387A"/>
    <w:multiLevelType w:val="hybridMultilevel"/>
    <w:tmpl w:val="A5CE3C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49A1"/>
    <w:multiLevelType w:val="hybridMultilevel"/>
    <w:tmpl w:val="D1FE9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84A59"/>
    <w:multiLevelType w:val="hybridMultilevel"/>
    <w:tmpl w:val="EDAA3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058"/>
    <w:rsid w:val="0002462B"/>
    <w:rsid w:val="000454F6"/>
    <w:rsid w:val="0004720A"/>
    <w:rsid w:val="00056A21"/>
    <w:rsid w:val="000665CF"/>
    <w:rsid w:val="00066888"/>
    <w:rsid w:val="00067CEB"/>
    <w:rsid w:val="00070B97"/>
    <w:rsid w:val="00083570"/>
    <w:rsid w:val="00090A20"/>
    <w:rsid w:val="00090F63"/>
    <w:rsid w:val="0009132F"/>
    <w:rsid w:val="00092F7F"/>
    <w:rsid w:val="00096CDA"/>
    <w:rsid w:val="000A0EC4"/>
    <w:rsid w:val="000A61F9"/>
    <w:rsid w:val="000B60F4"/>
    <w:rsid w:val="000B6A53"/>
    <w:rsid w:val="000C462C"/>
    <w:rsid w:val="000D0752"/>
    <w:rsid w:val="000D7054"/>
    <w:rsid w:val="000E0CF9"/>
    <w:rsid w:val="000F2C9E"/>
    <w:rsid w:val="000F3A62"/>
    <w:rsid w:val="000F3B7D"/>
    <w:rsid w:val="00100965"/>
    <w:rsid w:val="00101D98"/>
    <w:rsid w:val="00105ACD"/>
    <w:rsid w:val="001134FF"/>
    <w:rsid w:val="00114E92"/>
    <w:rsid w:val="001157F5"/>
    <w:rsid w:val="0011667E"/>
    <w:rsid w:val="001169B2"/>
    <w:rsid w:val="001234E6"/>
    <w:rsid w:val="00131FF5"/>
    <w:rsid w:val="001459F7"/>
    <w:rsid w:val="001470E7"/>
    <w:rsid w:val="00154686"/>
    <w:rsid w:val="0017242F"/>
    <w:rsid w:val="00173C1B"/>
    <w:rsid w:val="0017780E"/>
    <w:rsid w:val="0018033D"/>
    <w:rsid w:val="00185337"/>
    <w:rsid w:val="0018687F"/>
    <w:rsid w:val="0019490B"/>
    <w:rsid w:val="00195E14"/>
    <w:rsid w:val="001A056A"/>
    <w:rsid w:val="001A19AF"/>
    <w:rsid w:val="001A2B68"/>
    <w:rsid w:val="001B11B7"/>
    <w:rsid w:val="001B49BE"/>
    <w:rsid w:val="001B6F90"/>
    <w:rsid w:val="001B7EDB"/>
    <w:rsid w:val="001C0B92"/>
    <w:rsid w:val="001C4E9B"/>
    <w:rsid w:val="001C6814"/>
    <w:rsid w:val="001D0319"/>
    <w:rsid w:val="001D5364"/>
    <w:rsid w:val="001D5504"/>
    <w:rsid w:val="001D6B75"/>
    <w:rsid w:val="001D6C4F"/>
    <w:rsid w:val="001E2B4A"/>
    <w:rsid w:val="001E3888"/>
    <w:rsid w:val="001E756E"/>
    <w:rsid w:val="00207289"/>
    <w:rsid w:val="00213F54"/>
    <w:rsid w:val="0022203A"/>
    <w:rsid w:val="00222773"/>
    <w:rsid w:val="00230F37"/>
    <w:rsid w:val="00236574"/>
    <w:rsid w:val="002400D4"/>
    <w:rsid w:val="00240629"/>
    <w:rsid w:val="00243426"/>
    <w:rsid w:val="0024757E"/>
    <w:rsid w:val="00251219"/>
    <w:rsid w:val="002517E6"/>
    <w:rsid w:val="00251E68"/>
    <w:rsid w:val="00254B10"/>
    <w:rsid w:val="00257851"/>
    <w:rsid w:val="00260B72"/>
    <w:rsid w:val="002622E4"/>
    <w:rsid w:val="00267AAF"/>
    <w:rsid w:val="0027078C"/>
    <w:rsid w:val="00270B83"/>
    <w:rsid w:val="0027182A"/>
    <w:rsid w:val="002806F8"/>
    <w:rsid w:val="0028175F"/>
    <w:rsid w:val="0028300C"/>
    <w:rsid w:val="00285904"/>
    <w:rsid w:val="00286EF1"/>
    <w:rsid w:val="00287BA0"/>
    <w:rsid w:val="00295592"/>
    <w:rsid w:val="00297431"/>
    <w:rsid w:val="00297F08"/>
    <w:rsid w:val="002B0C82"/>
    <w:rsid w:val="002B6E45"/>
    <w:rsid w:val="002C1645"/>
    <w:rsid w:val="002C2124"/>
    <w:rsid w:val="002C3145"/>
    <w:rsid w:val="002C45A5"/>
    <w:rsid w:val="002C544D"/>
    <w:rsid w:val="002C722D"/>
    <w:rsid w:val="002E183F"/>
    <w:rsid w:val="002E1C05"/>
    <w:rsid w:val="002E51B4"/>
    <w:rsid w:val="002F4479"/>
    <w:rsid w:val="002F5CF0"/>
    <w:rsid w:val="0030167E"/>
    <w:rsid w:val="00302780"/>
    <w:rsid w:val="003065BE"/>
    <w:rsid w:val="00306800"/>
    <w:rsid w:val="00306CBB"/>
    <w:rsid w:val="003147EE"/>
    <w:rsid w:val="003158D9"/>
    <w:rsid w:val="00316E0C"/>
    <w:rsid w:val="0031775E"/>
    <w:rsid w:val="003272D1"/>
    <w:rsid w:val="00330794"/>
    <w:rsid w:val="00331A76"/>
    <w:rsid w:val="003340A1"/>
    <w:rsid w:val="00340A27"/>
    <w:rsid w:val="00340D96"/>
    <w:rsid w:val="00344D97"/>
    <w:rsid w:val="003503D7"/>
    <w:rsid w:val="00351617"/>
    <w:rsid w:val="00355E47"/>
    <w:rsid w:val="003610BD"/>
    <w:rsid w:val="00363001"/>
    <w:rsid w:val="00364828"/>
    <w:rsid w:val="003648DD"/>
    <w:rsid w:val="00366195"/>
    <w:rsid w:val="00366749"/>
    <w:rsid w:val="00370991"/>
    <w:rsid w:val="00374F0B"/>
    <w:rsid w:val="00384346"/>
    <w:rsid w:val="00385D04"/>
    <w:rsid w:val="003974DF"/>
    <w:rsid w:val="003B096D"/>
    <w:rsid w:val="003B0BF9"/>
    <w:rsid w:val="003B24EF"/>
    <w:rsid w:val="003B4D3C"/>
    <w:rsid w:val="003B69F3"/>
    <w:rsid w:val="003B7B57"/>
    <w:rsid w:val="003D1946"/>
    <w:rsid w:val="003D2D0C"/>
    <w:rsid w:val="003D36FF"/>
    <w:rsid w:val="003D7C30"/>
    <w:rsid w:val="003E0791"/>
    <w:rsid w:val="003E1069"/>
    <w:rsid w:val="003E1ADD"/>
    <w:rsid w:val="003F1A3E"/>
    <w:rsid w:val="003F28AC"/>
    <w:rsid w:val="003F6BE3"/>
    <w:rsid w:val="0040126E"/>
    <w:rsid w:val="00401FEC"/>
    <w:rsid w:val="00411592"/>
    <w:rsid w:val="004135D6"/>
    <w:rsid w:val="0041754F"/>
    <w:rsid w:val="004307A3"/>
    <w:rsid w:val="00430A89"/>
    <w:rsid w:val="00433E60"/>
    <w:rsid w:val="004353D3"/>
    <w:rsid w:val="00442989"/>
    <w:rsid w:val="004454FE"/>
    <w:rsid w:val="00447D96"/>
    <w:rsid w:val="00451557"/>
    <w:rsid w:val="0045511E"/>
    <w:rsid w:val="00456E40"/>
    <w:rsid w:val="00464DEB"/>
    <w:rsid w:val="00466901"/>
    <w:rsid w:val="0046712B"/>
    <w:rsid w:val="0046739F"/>
    <w:rsid w:val="00471F27"/>
    <w:rsid w:val="00473A2B"/>
    <w:rsid w:val="00476AD5"/>
    <w:rsid w:val="004842A6"/>
    <w:rsid w:val="004950DD"/>
    <w:rsid w:val="004A0063"/>
    <w:rsid w:val="004A4DF3"/>
    <w:rsid w:val="004A7A41"/>
    <w:rsid w:val="004B6995"/>
    <w:rsid w:val="004C081C"/>
    <w:rsid w:val="004C3FC4"/>
    <w:rsid w:val="004C6576"/>
    <w:rsid w:val="004C686A"/>
    <w:rsid w:val="004D1426"/>
    <w:rsid w:val="004D35D6"/>
    <w:rsid w:val="004D7FD2"/>
    <w:rsid w:val="004E40EB"/>
    <w:rsid w:val="004F3F14"/>
    <w:rsid w:val="0050178F"/>
    <w:rsid w:val="00503DB9"/>
    <w:rsid w:val="00504DF6"/>
    <w:rsid w:val="005154A1"/>
    <w:rsid w:val="00515B1A"/>
    <w:rsid w:val="00516A81"/>
    <w:rsid w:val="005240DF"/>
    <w:rsid w:val="00541E4B"/>
    <w:rsid w:val="00544C35"/>
    <w:rsid w:val="00546F10"/>
    <w:rsid w:val="00551B3E"/>
    <w:rsid w:val="00556292"/>
    <w:rsid w:val="0056437C"/>
    <w:rsid w:val="005658B6"/>
    <w:rsid w:val="00565E56"/>
    <w:rsid w:val="00580EB8"/>
    <w:rsid w:val="00583631"/>
    <w:rsid w:val="00583C27"/>
    <w:rsid w:val="00590A25"/>
    <w:rsid w:val="005920DA"/>
    <w:rsid w:val="00593811"/>
    <w:rsid w:val="005973FF"/>
    <w:rsid w:val="005A04B4"/>
    <w:rsid w:val="005A27F2"/>
    <w:rsid w:val="005B2476"/>
    <w:rsid w:val="005B49AB"/>
    <w:rsid w:val="005B516E"/>
    <w:rsid w:val="005B742A"/>
    <w:rsid w:val="005C226B"/>
    <w:rsid w:val="005C73FF"/>
    <w:rsid w:val="005D0790"/>
    <w:rsid w:val="005D41AB"/>
    <w:rsid w:val="005E0292"/>
    <w:rsid w:val="005F2317"/>
    <w:rsid w:val="005F38D0"/>
    <w:rsid w:val="005F46AE"/>
    <w:rsid w:val="005F7F8E"/>
    <w:rsid w:val="0060087E"/>
    <w:rsid w:val="006121CC"/>
    <w:rsid w:val="00614977"/>
    <w:rsid w:val="006157AF"/>
    <w:rsid w:val="00643E64"/>
    <w:rsid w:val="0064468B"/>
    <w:rsid w:val="00647298"/>
    <w:rsid w:val="00650C3A"/>
    <w:rsid w:val="00651F21"/>
    <w:rsid w:val="00655F2C"/>
    <w:rsid w:val="00656A23"/>
    <w:rsid w:val="00664239"/>
    <w:rsid w:val="006750E4"/>
    <w:rsid w:val="0067548D"/>
    <w:rsid w:val="00683387"/>
    <w:rsid w:val="0068411E"/>
    <w:rsid w:val="00686C4A"/>
    <w:rsid w:val="00687CD9"/>
    <w:rsid w:val="00694984"/>
    <w:rsid w:val="006A3D4E"/>
    <w:rsid w:val="006A5275"/>
    <w:rsid w:val="006A6764"/>
    <w:rsid w:val="006A744F"/>
    <w:rsid w:val="006B32BB"/>
    <w:rsid w:val="006C1650"/>
    <w:rsid w:val="006C3617"/>
    <w:rsid w:val="006C38EB"/>
    <w:rsid w:val="006C3BC8"/>
    <w:rsid w:val="006C7074"/>
    <w:rsid w:val="006D2708"/>
    <w:rsid w:val="006D7FDB"/>
    <w:rsid w:val="006E1081"/>
    <w:rsid w:val="006E302B"/>
    <w:rsid w:val="006F344E"/>
    <w:rsid w:val="00705B3C"/>
    <w:rsid w:val="00707EC0"/>
    <w:rsid w:val="00720585"/>
    <w:rsid w:val="00721A10"/>
    <w:rsid w:val="0072231D"/>
    <w:rsid w:val="0072482E"/>
    <w:rsid w:val="00726DD2"/>
    <w:rsid w:val="007401ED"/>
    <w:rsid w:val="00742160"/>
    <w:rsid w:val="00743524"/>
    <w:rsid w:val="00743B2E"/>
    <w:rsid w:val="00750654"/>
    <w:rsid w:val="00761451"/>
    <w:rsid w:val="00771F3D"/>
    <w:rsid w:val="00773AF6"/>
    <w:rsid w:val="007758F5"/>
    <w:rsid w:val="00780165"/>
    <w:rsid w:val="00781CEF"/>
    <w:rsid w:val="00785B1B"/>
    <w:rsid w:val="0079076B"/>
    <w:rsid w:val="007916DE"/>
    <w:rsid w:val="0079285E"/>
    <w:rsid w:val="00795F71"/>
    <w:rsid w:val="007A4829"/>
    <w:rsid w:val="007C0C6A"/>
    <w:rsid w:val="007C264C"/>
    <w:rsid w:val="007C6929"/>
    <w:rsid w:val="007D0D1F"/>
    <w:rsid w:val="007D3444"/>
    <w:rsid w:val="007D45B6"/>
    <w:rsid w:val="007D686A"/>
    <w:rsid w:val="007E314F"/>
    <w:rsid w:val="007E4DF6"/>
    <w:rsid w:val="007E5F7A"/>
    <w:rsid w:val="007E73AB"/>
    <w:rsid w:val="007E75B9"/>
    <w:rsid w:val="007E771A"/>
    <w:rsid w:val="007F5F8C"/>
    <w:rsid w:val="0081128D"/>
    <w:rsid w:val="00811920"/>
    <w:rsid w:val="00816C11"/>
    <w:rsid w:val="00827C8F"/>
    <w:rsid w:val="008303D2"/>
    <w:rsid w:val="00833FB1"/>
    <w:rsid w:val="0083413B"/>
    <w:rsid w:val="008352A5"/>
    <w:rsid w:val="00835515"/>
    <w:rsid w:val="00835F7E"/>
    <w:rsid w:val="00850EAA"/>
    <w:rsid w:val="008524B2"/>
    <w:rsid w:val="00856A1B"/>
    <w:rsid w:val="00857ACD"/>
    <w:rsid w:val="00860520"/>
    <w:rsid w:val="0086293F"/>
    <w:rsid w:val="00865592"/>
    <w:rsid w:val="00875149"/>
    <w:rsid w:val="008764F3"/>
    <w:rsid w:val="00877048"/>
    <w:rsid w:val="00877CE4"/>
    <w:rsid w:val="0088249E"/>
    <w:rsid w:val="008826BF"/>
    <w:rsid w:val="008832E5"/>
    <w:rsid w:val="00883827"/>
    <w:rsid w:val="00894C55"/>
    <w:rsid w:val="00897CB8"/>
    <w:rsid w:val="008A3249"/>
    <w:rsid w:val="008A3A66"/>
    <w:rsid w:val="008A7B2D"/>
    <w:rsid w:val="008B35A5"/>
    <w:rsid w:val="008B5CF8"/>
    <w:rsid w:val="008C0AC6"/>
    <w:rsid w:val="008C4DBF"/>
    <w:rsid w:val="008D1BF9"/>
    <w:rsid w:val="008D23F4"/>
    <w:rsid w:val="008D68D4"/>
    <w:rsid w:val="008E0FF3"/>
    <w:rsid w:val="008E5058"/>
    <w:rsid w:val="008F6236"/>
    <w:rsid w:val="008F6478"/>
    <w:rsid w:val="008F7B4E"/>
    <w:rsid w:val="00907444"/>
    <w:rsid w:val="00907B89"/>
    <w:rsid w:val="009135F1"/>
    <w:rsid w:val="009142BA"/>
    <w:rsid w:val="00925DC6"/>
    <w:rsid w:val="00925E9A"/>
    <w:rsid w:val="00930DC6"/>
    <w:rsid w:val="0093264B"/>
    <w:rsid w:val="009422EF"/>
    <w:rsid w:val="009432AC"/>
    <w:rsid w:val="00944D4D"/>
    <w:rsid w:val="00944DA7"/>
    <w:rsid w:val="00944F07"/>
    <w:rsid w:val="009563A0"/>
    <w:rsid w:val="00964225"/>
    <w:rsid w:val="00964B76"/>
    <w:rsid w:val="00975E8D"/>
    <w:rsid w:val="0099244C"/>
    <w:rsid w:val="00994CC6"/>
    <w:rsid w:val="009A2654"/>
    <w:rsid w:val="009A2913"/>
    <w:rsid w:val="009A3FBE"/>
    <w:rsid w:val="009A6627"/>
    <w:rsid w:val="009A6692"/>
    <w:rsid w:val="009A66C8"/>
    <w:rsid w:val="009B2BC3"/>
    <w:rsid w:val="009C59A7"/>
    <w:rsid w:val="009C6516"/>
    <w:rsid w:val="009E4E1C"/>
    <w:rsid w:val="009E7678"/>
    <w:rsid w:val="009F3464"/>
    <w:rsid w:val="009F77FB"/>
    <w:rsid w:val="00A01294"/>
    <w:rsid w:val="00A032BD"/>
    <w:rsid w:val="00A06F05"/>
    <w:rsid w:val="00A07768"/>
    <w:rsid w:val="00A10FC3"/>
    <w:rsid w:val="00A11BBD"/>
    <w:rsid w:val="00A201EF"/>
    <w:rsid w:val="00A209DD"/>
    <w:rsid w:val="00A20FA4"/>
    <w:rsid w:val="00A214AF"/>
    <w:rsid w:val="00A22F05"/>
    <w:rsid w:val="00A23F3B"/>
    <w:rsid w:val="00A3000A"/>
    <w:rsid w:val="00A33F06"/>
    <w:rsid w:val="00A35A40"/>
    <w:rsid w:val="00A405F6"/>
    <w:rsid w:val="00A419E0"/>
    <w:rsid w:val="00A46921"/>
    <w:rsid w:val="00A553CB"/>
    <w:rsid w:val="00A6073E"/>
    <w:rsid w:val="00A654DA"/>
    <w:rsid w:val="00A82442"/>
    <w:rsid w:val="00A830A6"/>
    <w:rsid w:val="00A835D1"/>
    <w:rsid w:val="00AA1577"/>
    <w:rsid w:val="00AA5B4A"/>
    <w:rsid w:val="00AB0C9A"/>
    <w:rsid w:val="00AC12E3"/>
    <w:rsid w:val="00AC7703"/>
    <w:rsid w:val="00AD5D1A"/>
    <w:rsid w:val="00AE097A"/>
    <w:rsid w:val="00AE5567"/>
    <w:rsid w:val="00AE72CC"/>
    <w:rsid w:val="00AF1169"/>
    <w:rsid w:val="00AF1239"/>
    <w:rsid w:val="00AF51FB"/>
    <w:rsid w:val="00AF6565"/>
    <w:rsid w:val="00AF6A44"/>
    <w:rsid w:val="00B00E49"/>
    <w:rsid w:val="00B055CF"/>
    <w:rsid w:val="00B0663A"/>
    <w:rsid w:val="00B07F29"/>
    <w:rsid w:val="00B14C57"/>
    <w:rsid w:val="00B15F00"/>
    <w:rsid w:val="00B16480"/>
    <w:rsid w:val="00B17AE7"/>
    <w:rsid w:val="00B200D7"/>
    <w:rsid w:val="00B2165C"/>
    <w:rsid w:val="00B218F9"/>
    <w:rsid w:val="00B24CF3"/>
    <w:rsid w:val="00B34486"/>
    <w:rsid w:val="00B42DE5"/>
    <w:rsid w:val="00B46012"/>
    <w:rsid w:val="00B52F1B"/>
    <w:rsid w:val="00B53630"/>
    <w:rsid w:val="00B536FF"/>
    <w:rsid w:val="00B61FBD"/>
    <w:rsid w:val="00B674AB"/>
    <w:rsid w:val="00B81D24"/>
    <w:rsid w:val="00B87AB1"/>
    <w:rsid w:val="00B90762"/>
    <w:rsid w:val="00B96013"/>
    <w:rsid w:val="00BA20AA"/>
    <w:rsid w:val="00BA2D7D"/>
    <w:rsid w:val="00BB01A5"/>
    <w:rsid w:val="00BB0971"/>
    <w:rsid w:val="00BB38C0"/>
    <w:rsid w:val="00BC0063"/>
    <w:rsid w:val="00BD0B2D"/>
    <w:rsid w:val="00BD4425"/>
    <w:rsid w:val="00BD73BC"/>
    <w:rsid w:val="00BE6404"/>
    <w:rsid w:val="00BF19DE"/>
    <w:rsid w:val="00BF1D8F"/>
    <w:rsid w:val="00BF2819"/>
    <w:rsid w:val="00BF3501"/>
    <w:rsid w:val="00BF3656"/>
    <w:rsid w:val="00BF786F"/>
    <w:rsid w:val="00C12687"/>
    <w:rsid w:val="00C14C7F"/>
    <w:rsid w:val="00C15B6E"/>
    <w:rsid w:val="00C17FAA"/>
    <w:rsid w:val="00C21644"/>
    <w:rsid w:val="00C25B49"/>
    <w:rsid w:val="00C25DCA"/>
    <w:rsid w:val="00C25E2B"/>
    <w:rsid w:val="00C330F8"/>
    <w:rsid w:val="00C35777"/>
    <w:rsid w:val="00C40050"/>
    <w:rsid w:val="00C52258"/>
    <w:rsid w:val="00C60D71"/>
    <w:rsid w:val="00C704AF"/>
    <w:rsid w:val="00C73B99"/>
    <w:rsid w:val="00C800A0"/>
    <w:rsid w:val="00C8721E"/>
    <w:rsid w:val="00C924DA"/>
    <w:rsid w:val="00C96AB2"/>
    <w:rsid w:val="00CB2766"/>
    <w:rsid w:val="00CC0D2D"/>
    <w:rsid w:val="00CD2E18"/>
    <w:rsid w:val="00CD4BD2"/>
    <w:rsid w:val="00CE0066"/>
    <w:rsid w:val="00CE176A"/>
    <w:rsid w:val="00CE5657"/>
    <w:rsid w:val="00CE6AA6"/>
    <w:rsid w:val="00CF4E47"/>
    <w:rsid w:val="00CF6050"/>
    <w:rsid w:val="00CF7C4B"/>
    <w:rsid w:val="00D01834"/>
    <w:rsid w:val="00D07835"/>
    <w:rsid w:val="00D07BDA"/>
    <w:rsid w:val="00D11393"/>
    <w:rsid w:val="00D133F8"/>
    <w:rsid w:val="00D13D07"/>
    <w:rsid w:val="00D14173"/>
    <w:rsid w:val="00D14A3E"/>
    <w:rsid w:val="00D24235"/>
    <w:rsid w:val="00D26529"/>
    <w:rsid w:val="00D41FE3"/>
    <w:rsid w:val="00D441EA"/>
    <w:rsid w:val="00D518E3"/>
    <w:rsid w:val="00D51BE1"/>
    <w:rsid w:val="00D55BC5"/>
    <w:rsid w:val="00D57652"/>
    <w:rsid w:val="00D63EC9"/>
    <w:rsid w:val="00D7167C"/>
    <w:rsid w:val="00D71BB6"/>
    <w:rsid w:val="00D72212"/>
    <w:rsid w:val="00D748B8"/>
    <w:rsid w:val="00D763EA"/>
    <w:rsid w:val="00D8533A"/>
    <w:rsid w:val="00D91ED5"/>
    <w:rsid w:val="00D92704"/>
    <w:rsid w:val="00D92A44"/>
    <w:rsid w:val="00D951C2"/>
    <w:rsid w:val="00D9659B"/>
    <w:rsid w:val="00D97C2A"/>
    <w:rsid w:val="00DA45E3"/>
    <w:rsid w:val="00DB5B0F"/>
    <w:rsid w:val="00DC13B5"/>
    <w:rsid w:val="00DC38D3"/>
    <w:rsid w:val="00DF13C7"/>
    <w:rsid w:val="00DF5BF6"/>
    <w:rsid w:val="00DF5CE1"/>
    <w:rsid w:val="00E00E16"/>
    <w:rsid w:val="00E00E94"/>
    <w:rsid w:val="00E13D8B"/>
    <w:rsid w:val="00E15056"/>
    <w:rsid w:val="00E151BD"/>
    <w:rsid w:val="00E151DD"/>
    <w:rsid w:val="00E3379D"/>
    <w:rsid w:val="00E3716B"/>
    <w:rsid w:val="00E40D0A"/>
    <w:rsid w:val="00E4272F"/>
    <w:rsid w:val="00E47E99"/>
    <w:rsid w:val="00E51D7D"/>
    <w:rsid w:val="00E5323B"/>
    <w:rsid w:val="00E56767"/>
    <w:rsid w:val="00E63F19"/>
    <w:rsid w:val="00E64221"/>
    <w:rsid w:val="00E80CD3"/>
    <w:rsid w:val="00E8571A"/>
    <w:rsid w:val="00E8749E"/>
    <w:rsid w:val="00E90C01"/>
    <w:rsid w:val="00EA1169"/>
    <w:rsid w:val="00EA486E"/>
    <w:rsid w:val="00EB16F5"/>
    <w:rsid w:val="00EB208F"/>
    <w:rsid w:val="00EB66A2"/>
    <w:rsid w:val="00EC0EAC"/>
    <w:rsid w:val="00EC4831"/>
    <w:rsid w:val="00EC4F9B"/>
    <w:rsid w:val="00EC665A"/>
    <w:rsid w:val="00ED0D84"/>
    <w:rsid w:val="00ED3E0D"/>
    <w:rsid w:val="00ED77E5"/>
    <w:rsid w:val="00EE32A5"/>
    <w:rsid w:val="00EF0F85"/>
    <w:rsid w:val="00EF2A60"/>
    <w:rsid w:val="00EF2B79"/>
    <w:rsid w:val="00EF2DC6"/>
    <w:rsid w:val="00EF3434"/>
    <w:rsid w:val="00EF6ED5"/>
    <w:rsid w:val="00EF71DC"/>
    <w:rsid w:val="00F02728"/>
    <w:rsid w:val="00F1346A"/>
    <w:rsid w:val="00F16641"/>
    <w:rsid w:val="00F23E19"/>
    <w:rsid w:val="00F26E2E"/>
    <w:rsid w:val="00F33FE1"/>
    <w:rsid w:val="00F363CF"/>
    <w:rsid w:val="00F43F69"/>
    <w:rsid w:val="00F476A5"/>
    <w:rsid w:val="00F50E12"/>
    <w:rsid w:val="00F57B0C"/>
    <w:rsid w:val="00F57EC9"/>
    <w:rsid w:val="00F6639F"/>
    <w:rsid w:val="00F70D79"/>
    <w:rsid w:val="00F7114B"/>
    <w:rsid w:val="00F74DA8"/>
    <w:rsid w:val="00F761DF"/>
    <w:rsid w:val="00F83DAC"/>
    <w:rsid w:val="00F849F7"/>
    <w:rsid w:val="00F84C16"/>
    <w:rsid w:val="00F87155"/>
    <w:rsid w:val="00F920B6"/>
    <w:rsid w:val="00F9404B"/>
    <w:rsid w:val="00FA2319"/>
    <w:rsid w:val="00FA3025"/>
    <w:rsid w:val="00FA3F9B"/>
    <w:rsid w:val="00FA5FC0"/>
    <w:rsid w:val="00FB2174"/>
    <w:rsid w:val="00FB32B1"/>
    <w:rsid w:val="00FC37B3"/>
    <w:rsid w:val="00FC40A5"/>
    <w:rsid w:val="00FC415C"/>
    <w:rsid w:val="00FC56B7"/>
    <w:rsid w:val="00FC7B5D"/>
    <w:rsid w:val="00FD3156"/>
    <w:rsid w:val="00FD41CB"/>
    <w:rsid w:val="00FD6232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1C077"/>
  <w15:docId w15:val="{10E43AE4-276A-4CC3-BEE2-845E7828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B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D7F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nod">
    <w:name w:val="naisnod"/>
    <w:basedOn w:val="Normal"/>
    <w:rsid w:val="00EF343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56"/>
    <w:pPr>
      <w:ind w:left="720"/>
      <w:contextualSpacing/>
    </w:pPr>
  </w:style>
  <w:style w:type="paragraph" w:customStyle="1" w:styleId="naisf">
    <w:name w:val="naisf"/>
    <w:basedOn w:val="Normal"/>
    <w:rsid w:val="002517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0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1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tania.saeima.lv/LIVS13/saeimalivs13.nsf/webSasaiste?OpenView&amp;restricttocategory=383/Lp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tania.saeima.lv/LIVS13/saeimalivs13.nsf/webSasaiste?OpenView&amp;restricttocategory=828/Lp1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Baiba Šmite-Roķe</Vad_x012b_t_x0101_js>
    <TAP xmlns="49b0bb89-35b3-4114-9b1c-a376ef2ba045" xsi:nil="true"/>
    <Kategorija xmlns="2e5bb04e-596e-45bd-9003-43ca78b1ba16">Anotācija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FD7D-98AE-4AF1-A115-4369EBD3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C286B-D4F2-4DDD-9C46-1146BF237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674E-1387-4039-9922-8D9856D01A5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49b0bb89-35b3-4114-9b1c-a376ef2ba045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3162284F-F226-4AD5-9916-27FEBAAB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2010.gada 30.marta noteikumos Nr.300 "Noteikumi par akcīzes nodokļa deklarācijas veidlapām un to aizpildīšanas kārtību""</vt:lpstr>
    </vt:vector>
  </TitlesOfParts>
  <Company>Finanšu ministrija (Valsts ieņēmumu dienests)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2010.gada 30.marta noteikumos Nr.300 "Noteikumi par akcīzes nodokļa deklarācijas veidlapām un to aizpildīšanas kārtību""</dc:title>
  <dc:subject>Anotācija</dc:subject>
  <dc:creator>Inga Sirija</dc:creator>
  <dc:description>t.67120167 Inga.Sirija@vid.gov.lv</dc:description>
  <cp:lastModifiedBy>Inga Sirija</cp:lastModifiedBy>
  <cp:revision>7</cp:revision>
  <cp:lastPrinted>2018-10-10T07:03:00Z</cp:lastPrinted>
  <dcterms:created xsi:type="dcterms:W3CDTF">2020-12-15T14:43:00Z</dcterms:created>
  <dcterms:modified xsi:type="dcterms:W3CDTF">2021-01-06T08:43:00Z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