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88" w:rsidRDefault="0042517A" w:rsidP="0042517A">
      <w:pPr>
        <w:shd w:val="clear" w:color="auto" w:fill="FFFFFF"/>
        <w:spacing w:before="130" w:line="260" w:lineRule="exact"/>
        <w:jc w:val="center"/>
        <w:rPr>
          <w:b/>
          <w:bCs/>
        </w:rPr>
      </w:pPr>
      <w:r w:rsidRPr="0042517A">
        <w:rPr>
          <w:b/>
          <w:lang w:eastAsia="en-US"/>
        </w:rPr>
        <w:t>Ministru kabineta noteikumu</w:t>
      </w:r>
      <w:r w:rsidR="004720A3">
        <w:rPr>
          <w:b/>
          <w:lang w:eastAsia="en-US"/>
        </w:rPr>
        <w:t xml:space="preserve"> </w:t>
      </w:r>
      <w:r w:rsidR="00AD0929">
        <w:rPr>
          <w:b/>
          <w:lang w:eastAsia="en-US"/>
        </w:rPr>
        <w:t>,,Grozījum</w:t>
      </w:r>
      <w:r w:rsidR="0050772A">
        <w:rPr>
          <w:b/>
          <w:lang w:eastAsia="en-US"/>
        </w:rPr>
        <w:t>i</w:t>
      </w:r>
      <w:r w:rsidRPr="0042517A">
        <w:rPr>
          <w:b/>
          <w:lang w:eastAsia="en-US"/>
        </w:rPr>
        <w:t xml:space="preserve"> </w:t>
      </w:r>
      <w:r w:rsidRPr="0042517A">
        <w:rPr>
          <w:b/>
        </w:rPr>
        <w:t xml:space="preserve">Ministru kabineta 2012.gada 21.februāra </w:t>
      </w:r>
      <w:r>
        <w:rPr>
          <w:b/>
        </w:rPr>
        <w:t>noteikumos</w:t>
      </w:r>
      <w:r w:rsidRPr="0042517A">
        <w:rPr>
          <w:b/>
        </w:rPr>
        <w:t xml:space="preserve"> Nr.134 „Personu apliecinošu dokumentu noteikumi”</w:t>
      </w:r>
      <w:r w:rsidR="004720A3" w:rsidRPr="004720A3">
        <w:rPr>
          <w:b/>
          <w:bCs/>
        </w:rPr>
        <w:t xml:space="preserve"> </w:t>
      </w:r>
      <w:r w:rsidR="004720A3" w:rsidRPr="0042517A">
        <w:rPr>
          <w:b/>
          <w:bCs/>
        </w:rPr>
        <w:t>projekta</w:t>
      </w:r>
      <w:r w:rsidR="004720A3">
        <w:rPr>
          <w:b/>
          <w:bCs/>
        </w:rPr>
        <w:t xml:space="preserve"> s</w:t>
      </w:r>
      <w:r w:rsidR="00BD5588" w:rsidRPr="0042517A">
        <w:rPr>
          <w:b/>
          <w:bCs/>
        </w:rPr>
        <w:t>ākotnējās ietekmes novērtējuma ziņojums</w:t>
      </w:r>
      <w:r w:rsidR="00BD5588" w:rsidRPr="000F1F99">
        <w:rPr>
          <w:b/>
          <w:bCs/>
        </w:rPr>
        <w:t xml:space="preserve"> (anotācija)</w:t>
      </w:r>
    </w:p>
    <w:p w:rsidR="00F07EE3" w:rsidRDefault="00F07EE3" w:rsidP="0042517A">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16"/>
        <w:gridCol w:w="1793"/>
        <w:gridCol w:w="1839"/>
        <w:gridCol w:w="4148"/>
      </w:tblGrid>
      <w:tr w:rsidR="00AA58C1" w:rsidRPr="000F1F99" w:rsidTr="00994E86">
        <w:trPr>
          <w:cantSplit/>
        </w:trPr>
        <w:tc>
          <w:tcPr>
            <w:tcW w:w="829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A58C1" w:rsidRPr="000F1F99" w:rsidRDefault="00AA58C1" w:rsidP="00DD7A43">
            <w:pPr>
              <w:jc w:val="center"/>
              <w:rPr>
                <w:b/>
                <w:iCs/>
                <w:lang w:eastAsia="en-US"/>
              </w:rPr>
            </w:pPr>
            <w:r w:rsidRPr="000F1F99">
              <w:rPr>
                <w:b/>
                <w:iCs/>
                <w:lang w:eastAsia="en-US"/>
              </w:rPr>
              <w:t>Tiesību akta projekta anotācijas kopsavilkums</w:t>
            </w:r>
          </w:p>
        </w:tc>
      </w:tr>
      <w:tr w:rsidR="00AA58C1" w:rsidRPr="00C16191" w:rsidTr="00994E86">
        <w:trPr>
          <w:cantSplit/>
        </w:trPr>
        <w:tc>
          <w:tcPr>
            <w:tcW w:w="4148" w:type="dxa"/>
            <w:gridSpan w:val="3"/>
            <w:tcBorders>
              <w:bottom w:val="single" w:sz="4" w:space="0" w:color="auto"/>
            </w:tcBorders>
            <w:shd w:val="clear" w:color="auto" w:fill="FFFFFF"/>
            <w:hideMark/>
          </w:tcPr>
          <w:p w:rsidR="00AA58C1" w:rsidRPr="00C16191" w:rsidRDefault="00AA58C1" w:rsidP="00DD7A43">
            <w:pPr>
              <w:autoSpaceDE w:val="0"/>
              <w:ind w:right="160"/>
              <w:jc w:val="both"/>
            </w:pPr>
            <w:r w:rsidRPr="00DB7CF5">
              <w:rPr>
                <w:iCs/>
                <w:lang w:eastAsia="en-US"/>
              </w:rPr>
              <w:t>Mērķis, risinājums un projekta spēkā stāšanās laiks (500 zīmes bez atstarpēm)</w:t>
            </w:r>
          </w:p>
        </w:tc>
        <w:tc>
          <w:tcPr>
            <w:tcW w:w="4148" w:type="dxa"/>
            <w:tcBorders>
              <w:bottom w:val="single" w:sz="4" w:space="0" w:color="auto"/>
            </w:tcBorders>
            <w:shd w:val="clear" w:color="auto" w:fill="FFFFFF"/>
          </w:tcPr>
          <w:p w:rsidR="00AA58C1" w:rsidRPr="00C16191" w:rsidRDefault="00AA58C1" w:rsidP="00DD7A43">
            <w:pPr>
              <w:autoSpaceDE w:val="0"/>
              <w:ind w:right="160"/>
              <w:jc w:val="both"/>
            </w:pPr>
            <w:r w:rsidRPr="00DB7CF5">
              <w:t>Kopsavilkums nav aizpildāms saskaņā ar Ministru kabineta 2009.gada 15.decembra instrukcijas Nr.19 “Tiesību akta projekta sākotnējās ietekmes izvērtēšanas kārtība” 5.</w:t>
            </w:r>
            <w:r w:rsidR="004A117B">
              <w:rPr>
                <w:vertAlign w:val="superscript"/>
              </w:rPr>
              <w:t>1</w:t>
            </w:r>
            <w:r w:rsidRPr="00DB7CF5">
              <w:t xml:space="preserve">  punktu.</w:t>
            </w:r>
          </w:p>
        </w:tc>
        <w:bookmarkStart w:id="0" w:name="_GoBack"/>
        <w:bookmarkEnd w:id="0"/>
      </w:tr>
      <w:tr w:rsidR="00994E86" w:rsidRPr="000F1F99" w:rsidTr="00994E86">
        <w:tblPrEx>
          <w:shd w:val="clear" w:color="auto" w:fill="auto"/>
          <w:tblCellMar>
            <w:top w:w="30" w:type="dxa"/>
            <w:left w:w="30" w:type="dxa"/>
            <w:bottom w:w="30" w:type="dxa"/>
            <w:right w:w="30" w:type="dxa"/>
          </w:tblCellMar>
        </w:tblPrEx>
        <w:trPr>
          <w:cantSplit/>
        </w:trPr>
        <w:tc>
          <w:tcPr>
            <w:tcW w:w="8296" w:type="dxa"/>
            <w:gridSpan w:val="4"/>
            <w:tcBorders>
              <w:top w:val="single" w:sz="4" w:space="0" w:color="auto"/>
              <w:left w:val="nil"/>
              <w:bottom w:val="single" w:sz="4" w:space="0" w:color="auto"/>
              <w:right w:val="nil"/>
            </w:tcBorders>
            <w:vAlign w:val="center"/>
          </w:tcPr>
          <w:p w:rsidR="00994E86" w:rsidRPr="000F1F99" w:rsidRDefault="00994E86" w:rsidP="009E0502">
            <w:pPr>
              <w:jc w:val="center"/>
              <w:rPr>
                <w:b/>
                <w:bCs/>
              </w:rPr>
            </w:pPr>
          </w:p>
        </w:tc>
      </w:tr>
      <w:tr w:rsidR="00BD5588" w:rsidRPr="000F1F99" w:rsidTr="00994E86">
        <w:tblPrEx>
          <w:shd w:val="clear" w:color="auto" w:fill="auto"/>
          <w:tblCellMar>
            <w:top w:w="30" w:type="dxa"/>
            <w:left w:w="30" w:type="dxa"/>
            <w:bottom w:w="30" w:type="dxa"/>
            <w:right w:w="30" w:type="dxa"/>
          </w:tblCellMar>
        </w:tblPrEx>
        <w:trPr>
          <w:cantSplit/>
        </w:trPr>
        <w:tc>
          <w:tcPr>
            <w:tcW w:w="8296" w:type="dxa"/>
            <w:gridSpan w:val="4"/>
            <w:tcBorders>
              <w:top w:val="single" w:sz="4" w:space="0" w:color="auto"/>
            </w:tcBorders>
            <w:vAlign w:val="center"/>
            <w:hideMark/>
          </w:tcPr>
          <w:p w:rsidR="00BD5588" w:rsidRPr="000F1F99" w:rsidRDefault="00BD5588" w:rsidP="009E0502">
            <w:pPr>
              <w:jc w:val="center"/>
              <w:rPr>
                <w:b/>
                <w:bCs/>
              </w:rPr>
            </w:pPr>
            <w:r w:rsidRPr="000F1F99">
              <w:rPr>
                <w:b/>
                <w:bCs/>
              </w:rPr>
              <w:t>I. Tiesību akta projekta izstrādes nepieciešamība</w:t>
            </w:r>
          </w:p>
        </w:tc>
      </w:tr>
      <w:tr w:rsidR="00BD5588" w:rsidRPr="000F1F99" w:rsidTr="00F07EE3">
        <w:tblPrEx>
          <w:shd w:val="clear" w:color="auto" w:fill="auto"/>
          <w:tblCellMar>
            <w:top w:w="30" w:type="dxa"/>
            <w:left w:w="30" w:type="dxa"/>
            <w:bottom w:w="30" w:type="dxa"/>
            <w:right w:w="30" w:type="dxa"/>
          </w:tblCellMar>
        </w:tblPrEx>
        <w:trPr>
          <w:cantSplit/>
        </w:trPr>
        <w:tc>
          <w:tcPr>
            <w:tcW w:w="516" w:type="dxa"/>
            <w:hideMark/>
          </w:tcPr>
          <w:p w:rsidR="00BD5588" w:rsidRPr="000F1F99" w:rsidRDefault="00BD5588" w:rsidP="009E0502">
            <w:pPr>
              <w:jc w:val="center"/>
            </w:pPr>
            <w:r w:rsidRPr="000F1F99">
              <w:t>1.</w:t>
            </w:r>
          </w:p>
        </w:tc>
        <w:tc>
          <w:tcPr>
            <w:tcW w:w="1793" w:type="dxa"/>
            <w:hideMark/>
          </w:tcPr>
          <w:p w:rsidR="00BD5588" w:rsidRPr="000F1F99" w:rsidRDefault="00BD5588" w:rsidP="009E0502">
            <w:r w:rsidRPr="000F1F99">
              <w:t>Pamatojums</w:t>
            </w:r>
          </w:p>
        </w:tc>
        <w:tc>
          <w:tcPr>
            <w:tcW w:w="5987" w:type="dxa"/>
            <w:gridSpan w:val="2"/>
            <w:hideMark/>
          </w:tcPr>
          <w:p w:rsidR="00BD5588" w:rsidRPr="000F1F99" w:rsidRDefault="00B37FA9" w:rsidP="00F72B53">
            <w:pPr>
              <w:jc w:val="both"/>
            </w:pPr>
            <w:r>
              <w:t>Eirop</w:t>
            </w:r>
            <w:r w:rsidR="0010438D">
              <w:t>as Parlamenta un Padomes regula</w:t>
            </w:r>
            <w:r>
              <w:t xml:space="preserve"> (ES) 20</w:t>
            </w:r>
            <w:r w:rsidR="003A268E">
              <w:t>17</w:t>
            </w:r>
            <w:r>
              <w:t>/</w:t>
            </w:r>
            <w:r w:rsidR="003A268E">
              <w:t>1954</w:t>
            </w:r>
            <w:r>
              <w:t xml:space="preserve"> (201</w:t>
            </w:r>
            <w:r w:rsidR="003A268E">
              <w:t>7</w:t>
            </w:r>
            <w:r>
              <w:t xml:space="preserve">.gada </w:t>
            </w:r>
            <w:r w:rsidR="003A268E">
              <w:t>25.oktobris</w:t>
            </w:r>
            <w:r>
              <w:t>)</w:t>
            </w:r>
            <w:r w:rsidR="0010438D">
              <w:t>,</w:t>
            </w:r>
            <w:r>
              <w:t xml:space="preserve"> </w:t>
            </w:r>
            <w:r w:rsidR="003A268E" w:rsidRPr="003A268E">
              <w:t>ar kuru groza Padomes Regulu (EK) Nr.</w:t>
            </w:r>
            <w:r w:rsidR="0010438D">
              <w:t xml:space="preserve"> </w:t>
            </w:r>
            <w:r w:rsidR="003A268E" w:rsidRPr="003A268E">
              <w:t>1030/2002</w:t>
            </w:r>
            <w:r w:rsidR="0010438D">
              <w:t xml:space="preserve"> (turpmāk – Regula 1030/2002)</w:t>
            </w:r>
            <w:r w:rsidR="003A268E" w:rsidRPr="003A268E">
              <w:t xml:space="preserve">, ar ko nosaka vienotu uzturēšanās atļauju formu trešo valstu pilsoņiem </w:t>
            </w:r>
            <w:r>
              <w:t xml:space="preserve">(turpmāk </w:t>
            </w:r>
            <w:r w:rsidR="0017760E">
              <w:t>- Regula 201</w:t>
            </w:r>
            <w:r w:rsidR="003A268E">
              <w:t>7</w:t>
            </w:r>
            <w:r w:rsidR="0017760E">
              <w:t>/</w:t>
            </w:r>
            <w:r w:rsidR="003A268E">
              <w:t>1954</w:t>
            </w:r>
            <w:r w:rsidR="0017760E">
              <w:t xml:space="preserve">) </w:t>
            </w:r>
          </w:p>
        </w:tc>
      </w:tr>
      <w:tr w:rsidR="00756BF4" w:rsidRPr="000F1F99" w:rsidTr="00F07EE3">
        <w:tblPrEx>
          <w:shd w:val="clear" w:color="auto" w:fill="auto"/>
          <w:tblCellMar>
            <w:top w:w="30" w:type="dxa"/>
            <w:left w:w="30" w:type="dxa"/>
            <w:bottom w:w="30" w:type="dxa"/>
            <w:right w:w="30" w:type="dxa"/>
          </w:tblCellMar>
        </w:tblPrEx>
        <w:trPr>
          <w:cantSplit/>
        </w:trPr>
        <w:tc>
          <w:tcPr>
            <w:tcW w:w="516" w:type="dxa"/>
          </w:tcPr>
          <w:p w:rsidR="00756BF4" w:rsidRPr="000F1F99" w:rsidRDefault="00756BF4" w:rsidP="00756BF4">
            <w:pPr>
              <w:jc w:val="center"/>
            </w:pPr>
            <w:r w:rsidRPr="000F1F99">
              <w:t>2.</w:t>
            </w:r>
          </w:p>
        </w:tc>
        <w:tc>
          <w:tcPr>
            <w:tcW w:w="1793" w:type="dxa"/>
          </w:tcPr>
          <w:p w:rsidR="00756BF4" w:rsidRPr="000F1F99" w:rsidRDefault="00756BF4" w:rsidP="00756BF4">
            <w:r w:rsidRPr="000F1F99">
              <w:t>Pašreizējā situācija un problēmas, kuru risināšanai tiesību akta projekts izstrādāts, tiesiskā regulējuma mērķis un būtība</w:t>
            </w:r>
          </w:p>
        </w:tc>
        <w:tc>
          <w:tcPr>
            <w:tcW w:w="5987" w:type="dxa"/>
            <w:gridSpan w:val="2"/>
          </w:tcPr>
          <w:p w:rsidR="003C3EF6" w:rsidRDefault="003C3EF6" w:rsidP="00243BE5">
            <w:pPr>
              <w:autoSpaceDE w:val="0"/>
              <w:ind w:right="160"/>
              <w:jc w:val="both"/>
            </w:pPr>
            <w:r w:rsidRPr="003C3EF6">
              <w:t>Atbilstoši Personu apliecinošu dokumentu likuma 5.panta otrajā daļā noteiktajam, uzturēšanās atļauja ir  trešās valsts pilsoņa personas apliecība, ko izsniedz saskaņā ar migrāc</w:t>
            </w:r>
            <w:r>
              <w:t xml:space="preserve">iju regulējošiem tiesību aktiem, bet </w:t>
            </w:r>
            <w:r w:rsidR="00AA58C1">
              <w:t xml:space="preserve">Personu apliecinošu dokumentu likuma </w:t>
            </w:r>
            <w:r>
              <w:t>5.panta astotajā daļā noteikts, ka personas apliecību paraugus</w:t>
            </w:r>
            <w:r w:rsidRPr="003C3EF6">
              <w:t xml:space="preserve"> nosaka Ministru kabinets.</w:t>
            </w:r>
          </w:p>
          <w:p w:rsidR="003A268E" w:rsidRDefault="003C3EF6" w:rsidP="00243BE5">
            <w:pPr>
              <w:autoSpaceDE w:val="0"/>
              <w:ind w:right="160"/>
              <w:jc w:val="both"/>
            </w:pPr>
            <w:r>
              <w:t xml:space="preserve">Pašreiz </w:t>
            </w:r>
            <w:r w:rsidR="00243BE5" w:rsidRPr="009C777A">
              <w:t>Ministru kabineta 2012.gada 21.februāra noteikum</w:t>
            </w:r>
            <w:r w:rsidR="00243BE5">
              <w:t>os</w:t>
            </w:r>
            <w:r w:rsidR="00243BE5" w:rsidRPr="009C777A">
              <w:t xml:space="preserve"> Nr.134 „Personu apliecinošu dokumentu noteikumi”</w:t>
            </w:r>
            <w:r w:rsidR="003A268E">
              <w:t xml:space="preserve"> </w:t>
            </w:r>
            <w:r w:rsidR="00F61005">
              <w:t>(turpmāk -</w:t>
            </w:r>
            <w:r w:rsidR="00BD6DE3">
              <w:t xml:space="preserve"> </w:t>
            </w:r>
            <w:r w:rsidR="00F61005">
              <w:t xml:space="preserve">Noteikumi) </w:t>
            </w:r>
            <w:r w:rsidR="003A268E">
              <w:t>ir apstiprināts</w:t>
            </w:r>
            <w:r w:rsidR="00243BE5">
              <w:t xml:space="preserve"> uzturēšanās atļaujas </w:t>
            </w:r>
            <w:r w:rsidR="003A268E">
              <w:t>paraugs</w:t>
            </w:r>
            <w:r w:rsidR="00243BE5">
              <w:t xml:space="preserve"> un </w:t>
            </w:r>
            <w:r w:rsidR="00F61005">
              <w:t>N</w:t>
            </w:r>
            <w:r w:rsidR="00243BE5">
              <w:t>ote</w:t>
            </w:r>
            <w:r w:rsidR="00BC4663">
              <w:t>ikumu 10.pielikumā</w:t>
            </w:r>
            <w:r w:rsidR="003A268E">
              <w:t xml:space="preserve"> ietverti šī</w:t>
            </w:r>
            <w:r w:rsidR="0010438D">
              <w:t xml:space="preserve"> parauga</w:t>
            </w:r>
            <w:r w:rsidR="00243BE5">
              <w:t xml:space="preserve"> attēli</w:t>
            </w:r>
            <w:r w:rsidR="003A268E">
              <w:t xml:space="preserve"> (</w:t>
            </w:r>
            <w:r w:rsidR="00A97F20">
              <w:t xml:space="preserve">personas apliecības </w:t>
            </w:r>
            <w:r w:rsidR="003A268E">
              <w:t>aversa un reversa attēls)</w:t>
            </w:r>
            <w:r w:rsidR="0010438D">
              <w:t xml:space="preserve">, kuri ir atbilstoši Regulas </w:t>
            </w:r>
            <w:r w:rsidR="0010438D" w:rsidRPr="0010438D">
              <w:t>1030/2002</w:t>
            </w:r>
            <w:r w:rsidR="0010438D">
              <w:t xml:space="preserve"> </w:t>
            </w:r>
            <w:r w:rsidR="0010438D" w:rsidRPr="0010438D">
              <w:t xml:space="preserve">pielikumā </w:t>
            </w:r>
            <w:r w:rsidR="00BD6DE3">
              <w:t xml:space="preserve">līdz šim spēkā esošajiem </w:t>
            </w:r>
            <w:r w:rsidR="0010438D">
              <w:t>nosacījumiem.</w:t>
            </w:r>
          </w:p>
          <w:p w:rsidR="00786E14" w:rsidRDefault="00685A26" w:rsidP="00685A26">
            <w:pPr>
              <w:autoSpaceDE w:val="0"/>
              <w:ind w:right="160"/>
              <w:jc w:val="both"/>
            </w:pPr>
            <w:r w:rsidRPr="00685A26">
              <w:t>Tā kā ar Regulu 1030/2002 ir</w:t>
            </w:r>
            <w:r>
              <w:t xml:space="preserve"> </w:t>
            </w:r>
            <w:r w:rsidRPr="00685A26">
              <w:t>noteikta vienota uzturēšanās atļauju forma trešo valstu pilsoņiem un vienotā uzturēšanās atļauju forma trešo valstu pilso</w:t>
            </w:r>
            <w:r>
              <w:t>ņiem ir ieviesta ar Noteikumiem</w:t>
            </w:r>
            <w:r w:rsidRPr="00685A26">
              <w:t>,</w:t>
            </w:r>
            <w:r>
              <w:t xml:space="preserve"> projektā paredzēts Noteikumus papildināt ar punktu, kurā ietverta atsauce</w:t>
            </w:r>
            <w:r w:rsidR="00F72B53">
              <w:t xml:space="preserve"> uz Regulas </w:t>
            </w:r>
            <w:r w:rsidRPr="00685A26">
              <w:t>1030/2002</w:t>
            </w:r>
            <w:r w:rsidR="00F72B53">
              <w:t xml:space="preserve"> pielikumu</w:t>
            </w:r>
            <w:r>
              <w:t>.</w:t>
            </w:r>
            <w:r w:rsidR="00786E14">
              <w:t xml:space="preserve"> </w:t>
            </w:r>
          </w:p>
          <w:p w:rsidR="00685A26" w:rsidRDefault="00786E14" w:rsidP="00786E14">
            <w:pPr>
              <w:autoSpaceDE w:val="0"/>
              <w:ind w:right="160"/>
              <w:jc w:val="both"/>
            </w:pPr>
            <w:r w:rsidRPr="00786E14">
              <w:t>Regulas 2017/1954 1.pantā noteikts, ka Regulas 1030/2002 pielikumā ietvertie priekšraksti tiek aizstāti ar jauniem nosacījumiem, kas ietverti Regulas 2017/1954 pielikumā. Savukārt, Regulas 2017/1954 2. un 3.pant</w:t>
            </w:r>
            <w:r w:rsidR="009B2148">
              <w:t>ā</w:t>
            </w:r>
            <w:r w:rsidRPr="00786E14">
              <w:t xml:space="preserve"> ir noteikts termiņš, kad dalībvalstīm jāsāk piemērot Regulas prasības, un norādīts, kādu laika periodu </w:t>
            </w:r>
            <w:r w:rsidRPr="00A84774">
              <w:t>dalībvalstis vēl var izlietot iepriekšēja parauga uzturēšanās atļaujas.</w:t>
            </w:r>
          </w:p>
        </w:tc>
      </w:tr>
    </w:tbl>
    <w:p w:rsidR="000C1484" w:rsidRDefault="000C148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1793"/>
        <w:gridCol w:w="5987"/>
      </w:tblGrid>
      <w:tr w:rsidR="00BD5588" w:rsidRPr="000F1F99" w:rsidTr="00756BF4">
        <w:trPr>
          <w:cantSplit/>
        </w:trPr>
        <w:tc>
          <w:tcPr>
            <w:tcW w:w="516" w:type="dxa"/>
          </w:tcPr>
          <w:p w:rsidR="00BD5588" w:rsidRPr="000F1F99" w:rsidRDefault="00BD5588" w:rsidP="009E0502">
            <w:pPr>
              <w:jc w:val="center"/>
            </w:pPr>
          </w:p>
        </w:tc>
        <w:tc>
          <w:tcPr>
            <w:tcW w:w="1793" w:type="dxa"/>
          </w:tcPr>
          <w:p w:rsidR="00BD5588" w:rsidRPr="000F1F99" w:rsidRDefault="00BD5588" w:rsidP="009E0502"/>
        </w:tc>
        <w:tc>
          <w:tcPr>
            <w:tcW w:w="5987" w:type="dxa"/>
            <w:hideMark/>
          </w:tcPr>
          <w:p w:rsidR="00685A26" w:rsidRDefault="00685A26" w:rsidP="00685A26">
            <w:pPr>
              <w:autoSpaceDE w:val="0"/>
              <w:ind w:right="160"/>
              <w:jc w:val="both"/>
            </w:pPr>
            <w:r w:rsidRPr="00685A26">
              <w:t xml:space="preserve">Saskaņā ar Regulas 2017/1954 3.panta otrajā daļā noteikto, jaunie nosacījumi vienota parauga uzturēšanās atļaujām </w:t>
            </w:r>
            <w:r w:rsidRPr="00A84774">
              <w:t>jāsāk piemērot vēlākais 15 mēnešus pēc tam, kad ir pieņemti papildu tehniskie priekšraksti,</w:t>
            </w:r>
            <w:r w:rsidRPr="00685A26">
              <w:t xml:space="preserve"> kas minēti Regulas 1030/2002 2.pantā</w:t>
            </w:r>
            <w:r w:rsidR="00786E14">
              <w:t>.</w:t>
            </w:r>
            <w:r w:rsidR="00F72B53">
              <w:t xml:space="preserve"> </w:t>
            </w:r>
            <w:r w:rsidR="00E6493F">
              <w:t>Ievērojot, ka Komisijas Īstenošanas lēmums</w:t>
            </w:r>
            <w:r w:rsidR="00E6493F" w:rsidRPr="00E6493F">
              <w:t xml:space="preserve"> C(2018) 7767 (2018. gada 30. novembris), ar ko nosaka tehniskās specifikācijas trešo valstu </w:t>
            </w:r>
            <w:proofErr w:type="spellStart"/>
            <w:r w:rsidR="00E6493F" w:rsidRPr="00E6493F">
              <w:t>valstspiederīgo</w:t>
            </w:r>
            <w:proofErr w:type="spellEnd"/>
            <w:r w:rsidR="00E6493F" w:rsidRPr="00E6493F">
              <w:t xml:space="preserve"> uzturēšanās atļauju vienotai form</w:t>
            </w:r>
            <w:r w:rsidR="00E6493F">
              <w:t xml:space="preserve">ai un atceļ Lēmumu C(2002) 3069, tika pieņemts 2018.gada 30.novembrī, </w:t>
            </w:r>
            <w:r w:rsidR="00786E14">
              <w:t xml:space="preserve">secināms, ka </w:t>
            </w:r>
            <w:r w:rsidR="00E6493F">
              <w:t>15 mēnešu termiņš pagāja 2020.gada 28.februārī.</w:t>
            </w:r>
            <w:r w:rsidR="00652227">
              <w:t xml:space="preserve"> </w:t>
            </w:r>
            <w:r w:rsidR="00E6493F">
              <w:t>S</w:t>
            </w:r>
            <w:r w:rsidR="00E6493F" w:rsidRPr="00E6493F">
              <w:t xml:space="preserve">avukārt, </w:t>
            </w:r>
            <w:r w:rsidR="00E6493F">
              <w:t xml:space="preserve">tā kā </w:t>
            </w:r>
            <w:r w:rsidR="00E6493F" w:rsidRPr="00E6493F">
              <w:t xml:space="preserve">Regulas 1030/2002 3.pantā noteikts, ka Regulas 1030/2002 2.pantā minētie priekšraksti ir </w:t>
            </w:r>
            <w:r w:rsidR="00126991" w:rsidRPr="00126991">
              <w:t xml:space="preserve">klasificēta informācija </w:t>
            </w:r>
            <w:r w:rsidR="00E6493F" w:rsidRPr="00E6493F">
              <w:t>un netiek publicēti, un</w:t>
            </w:r>
            <w:r w:rsidR="00EE2E05">
              <w:t>,</w:t>
            </w:r>
            <w:r w:rsidR="00E6493F" w:rsidRPr="00E6493F">
              <w:t xml:space="preserve"> </w:t>
            </w:r>
            <w:r w:rsidR="00E6493F">
              <w:t xml:space="preserve">ievērojot </w:t>
            </w:r>
            <w:r w:rsidR="00E6493F" w:rsidRPr="00E6493F">
              <w:t>Regulas 1030/2002 3.pantā</w:t>
            </w:r>
            <w:r w:rsidR="00E6493F">
              <w:t xml:space="preserve"> noteikto </w:t>
            </w:r>
            <w:r w:rsidR="00786E14">
              <w:t xml:space="preserve">šo priekšrakstu </w:t>
            </w:r>
            <w:r w:rsidR="00E6493F">
              <w:t xml:space="preserve">paziņošanas kārtību, </w:t>
            </w:r>
            <w:r w:rsidRPr="00685A26">
              <w:t>Regulas 2017/195</w:t>
            </w:r>
            <w:r w:rsidR="00E6493F">
              <w:t>4 3.panta otrajā</w:t>
            </w:r>
            <w:r w:rsidR="002715E6">
              <w:t xml:space="preserve"> daļā noteikto 15 mēnešu periods</w:t>
            </w:r>
            <w:r w:rsidR="00E6493F">
              <w:t xml:space="preserve"> </w:t>
            </w:r>
            <w:r w:rsidR="002715E6">
              <w:t>rēķināms</w:t>
            </w:r>
            <w:r w:rsidRPr="00685A26">
              <w:t xml:space="preserve"> no brīža, kad</w:t>
            </w:r>
            <w:r w:rsidR="00E313A2">
              <w:t xml:space="preserve"> </w:t>
            </w:r>
            <w:r w:rsidR="002715E6">
              <w:t xml:space="preserve">no </w:t>
            </w:r>
            <w:r w:rsidRPr="00685A26">
              <w:t>Eiropas Komisija</w:t>
            </w:r>
            <w:r w:rsidR="002715E6">
              <w:t>s</w:t>
            </w:r>
            <w:r w:rsidRPr="00685A26">
              <w:t xml:space="preserve"> </w:t>
            </w:r>
            <w:r w:rsidR="002715E6">
              <w:t xml:space="preserve">atbilstošās </w:t>
            </w:r>
            <w:r w:rsidR="002715E6" w:rsidRPr="00685A26">
              <w:t xml:space="preserve"> </w:t>
            </w:r>
            <w:r w:rsidRPr="00685A26">
              <w:t>tehniskās specifikācijas</w:t>
            </w:r>
            <w:r w:rsidR="00E313A2">
              <w:t xml:space="preserve"> tika nosūtītas</w:t>
            </w:r>
            <w:r w:rsidR="00EE2E05">
              <w:t>, pēc tam precizētas,</w:t>
            </w:r>
            <w:r w:rsidR="00E313A2">
              <w:t xml:space="preserve"> </w:t>
            </w:r>
            <w:r w:rsidR="00EE2E05">
              <w:t xml:space="preserve">nosūtītas </w:t>
            </w:r>
            <w:r w:rsidR="008E7747">
              <w:t xml:space="preserve">atkārtoti </w:t>
            </w:r>
            <w:r w:rsidR="00E313A2">
              <w:t>un</w:t>
            </w:r>
            <w:r w:rsidR="00EE2E05">
              <w:t xml:space="preserve"> saņemtas Latvijas institūcijās,</w:t>
            </w:r>
            <w:r w:rsidR="00E313A2">
              <w:t xml:space="preserve"> </w:t>
            </w:r>
            <w:r w:rsidR="00786E14">
              <w:t xml:space="preserve">un </w:t>
            </w:r>
            <w:r w:rsidR="00652227">
              <w:t xml:space="preserve">līdz ar to </w:t>
            </w:r>
            <w:r w:rsidR="00786E14" w:rsidRPr="00685A26">
              <w:t>Regulas 2017/1954 3.panta otrajā daļā</w:t>
            </w:r>
            <w:r w:rsidR="00786E14">
              <w:t xml:space="preserve"> </w:t>
            </w:r>
            <w:r w:rsidR="00E6493F">
              <w:t xml:space="preserve">minētais termiņš </w:t>
            </w:r>
            <w:r w:rsidR="00786E14">
              <w:t xml:space="preserve">pagāja </w:t>
            </w:r>
            <w:r w:rsidRPr="00685A26">
              <w:t xml:space="preserve">2020.gada </w:t>
            </w:r>
            <w:r w:rsidR="00EE2E05">
              <w:t>30.</w:t>
            </w:r>
            <w:r w:rsidRPr="00685A26">
              <w:t>jūnijā.</w:t>
            </w:r>
          </w:p>
          <w:p w:rsidR="00F40EDB" w:rsidRDefault="00F40EDB" w:rsidP="00B37FA9">
            <w:pPr>
              <w:autoSpaceDE w:val="0"/>
              <w:ind w:right="160"/>
              <w:jc w:val="both"/>
            </w:pPr>
            <w:r>
              <w:t xml:space="preserve">Tā kā atbilstoši Regulas 2017/1954 2.pantā noteiktajam  </w:t>
            </w:r>
            <w:r w:rsidRPr="00685A26">
              <w:rPr>
                <w:u w:val="single"/>
              </w:rPr>
              <w:t xml:space="preserve">iepriekšējā parauga uzturēšanās atļaujas varēja izdot </w:t>
            </w:r>
            <w:r w:rsidR="00CC21F5" w:rsidRPr="00685A26">
              <w:rPr>
                <w:u w:val="single"/>
              </w:rPr>
              <w:t>ne ilgāk kā</w:t>
            </w:r>
            <w:r w:rsidRPr="00685A26">
              <w:rPr>
                <w:u w:val="single"/>
              </w:rPr>
              <w:t xml:space="preserve"> sešus mēnešus pēc </w:t>
            </w:r>
            <w:r w:rsidR="00CC21F5" w:rsidRPr="00685A26">
              <w:rPr>
                <w:u w:val="single"/>
              </w:rPr>
              <w:t>2020.gada</w:t>
            </w:r>
            <w:r w:rsidR="00A84774">
              <w:rPr>
                <w:u w:val="single"/>
              </w:rPr>
              <w:t xml:space="preserve"> 30.</w:t>
            </w:r>
            <w:r w:rsidR="00CC21F5" w:rsidRPr="00685A26">
              <w:rPr>
                <w:u w:val="single"/>
              </w:rPr>
              <w:t xml:space="preserve"> jūnija</w:t>
            </w:r>
            <w:r w:rsidR="00CC21F5">
              <w:t xml:space="preserve">, </w:t>
            </w:r>
            <w:r>
              <w:t>līdz ar to Eiropas Savienības vienotā parauga uzturēšanās atļaujas, kas atbilst Regulā 2017/1954 noteiktajam, jāuzsāk izsniegt 2020.gada decembrī.</w:t>
            </w:r>
          </w:p>
          <w:p w:rsidR="00EE4BDC" w:rsidRDefault="00EE4BDC" w:rsidP="00B37FA9">
            <w:pPr>
              <w:autoSpaceDE w:val="0"/>
              <w:ind w:right="160"/>
              <w:jc w:val="both"/>
            </w:pPr>
            <w:r w:rsidRPr="00EE4BDC">
              <w:t>Atbilstoši</w:t>
            </w:r>
            <w:r w:rsidR="00652227">
              <w:t xml:space="preserve"> </w:t>
            </w:r>
            <w:r w:rsidR="00652227" w:rsidRPr="00652227">
              <w:t>Eiropas Parlamenta un Padomes 2019.gada 20.jūnija Regulas Nr. 2019/1157/ES par Savienības pilsoņu personas apliecību un Savienības pilsoņiem un viņu ģimenes locekļiem, kuri izmanto tiesības brīvi pārvietoties, izsniegto uzturēšanās dokumentu drošības uzlabošanu</w:t>
            </w:r>
            <w:r w:rsidR="00311530">
              <w:t xml:space="preserve"> (turpmāk -</w:t>
            </w:r>
            <w:r w:rsidR="00311530" w:rsidRPr="00EE4BDC">
              <w:t xml:space="preserve"> </w:t>
            </w:r>
            <w:r w:rsidR="00311530">
              <w:t>Regula</w:t>
            </w:r>
            <w:r w:rsidR="00311530" w:rsidRPr="00EE4BDC">
              <w:t xml:space="preserve"> </w:t>
            </w:r>
            <w:r w:rsidR="00311530">
              <w:t>2019/1157)</w:t>
            </w:r>
            <w:r w:rsidR="00652227" w:rsidRPr="00652227">
              <w:t xml:space="preserve"> 7.pantam, </w:t>
            </w:r>
            <w:r w:rsidRPr="00EE4BDC">
              <w:t xml:space="preserve">izsniedzot uzturēšanās atļaujas Savienības pilsoņu ģimenes locekļiem, kas nav nevienas dalībvalsts </w:t>
            </w:r>
            <w:proofErr w:type="spellStart"/>
            <w:r w:rsidRPr="00EE4BDC">
              <w:t>valstspiederīgie</w:t>
            </w:r>
            <w:proofErr w:type="spellEnd"/>
            <w:r w:rsidRPr="00EE4BDC">
              <w:t xml:space="preserve">, dalībvalstis izmanto to pašu formu, kas noteikta Regulā 1030/2002, kas grozīta ar Regulu (ES) 2017/1954 un īstenota ar Īstenošanas lēmumu C(2018) 7767. </w:t>
            </w:r>
            <w:r w:rsidR="00652227" w:rsidRPr="00EE4BDC">
              <w:t xml:space="preserve">Regulas </w:t>
            </w:r>
            <w:r w:rsidR="00652227">
              <w:t xml:space="preserve">2019/1157 7.panta </w:t>
            </w:r>
            <w:r w:rsidRPr="00EE4BDC">
              <w:t>otrajā daļā noteikts, ka atļaujas nosaukums ir attiecīgi “Uzturēšanās atļauja” vai “</w:t>
            </w:r>
            <w:r w:rsidR="00311530">
              <w:t>Pastāvīgās uzturēšanās atļauja”, līdz ar to projektā paredzēts ietvert attēlus, kas atspoguļo abus šos nosaukumus.</w:t>
            </w:r>
          </w:p>
          <w:p w:rsidR="005E1116" w:rsidRPr="000F1F99" w:rsidRDefault="000C1484" w:rsidP="00652227">
            <w:pPr>
              <w:autoSpaceDE w:val="0"/>
              <w:ind w:right="160"/>
              <w:jc w:val="both"/>
            </w:pPr>
            <w:r>
              <w:t xml:space="preserve">Tā kā personas apliecību </w:t>
            </w:r>
            <w:r w:rsidRPr="0001276F">
              <w:t>paraugu attēli</w:t>
            </w:r>
            <w:r>
              <w:t xml:space="preserve"> ir ietverti šo noteikumu 10.pielikumā un lai nacionālajā tiesību aktā ietvertie attēli būtu atbilstoši Regulas </w:t>
            </w:r>
            <w:r w:rsidR="00EE4BDC">
              <w:t xml:space="preserve">2019/1157 </w:t>
            </w:r>
            <w:r w:rsidR="0050772A">
              <w:t>prasībām, ar grozījumiem</w:t>
            </w:r>
            <w:r>
              <w:t xml:space="preserve"> </w:t>
            </w:r>
            <w:r w:rsidRPr="009C777A">
              <w:t>Ministru kabineta 2012.gada 21.februāra noteikum</w:t>
            </w:r>
            <w:r>
              <w:t>os</w:t>
            </w:r>
            <w:r w:rsidRPr="009C777A">
              <w:t xml:space="preserve"> Nr.134 „Personu apliecinošu dokumentu noteikumi”</w:t>
            </w:r>
            <w:r>
              <w:t xml:space="preserve"> paredzēts  aktualizēt Latvijā izdoto </w:t>
            </w:r>
            <w:r w:rsidR="00F61005">
              <w:t>uzturēšanās atļauju</w:t>
            </w:r>
            <w:r>
              <w:t xml:space="preserve"> paraugus. </w:t>
            </w:r>
          </w:p>
        </w:tc>
      </w:tr>
      <w:tr w:rsidR="00BD5588" w:rsidRPr="000F1F99" w:rsidTr="00F07EE3">
        <w:trPr>
          <w:cantSplit/>
        </w:trPr>
        <w:tc>
          <w:tcPr>
            <w:tcW w:w="516" w:type="dxa"/>
            <w:hideMark/>
          </w:tcPr>
          <w:p w:rsidR="00BD5588" w:rsidRPr="000F1F99" w:rsidRDefault="00BD5588" w:rsidP="009E0502">
            <w:pPr>
              <w:jc w:val="center"/>
            </w:pPr>
            <w:r w:rsidRPr="000F1F99">
              <w:lastRenderedPageBreak/>
              <w:t>3.</w:t>
            </w:r>
          </w:p>
        </w:tc>
        <w:tc>
          <w:tcPr>
            <w:tcW w:w="1793" w:type="dxa"/>
            <w:hideMark/>
          </w:tcPr>
          <w:p w:rsidR="00BD5588" w:rsidRPr="000F1F99" w:rsidRDefault="00BD5588" w:rsidP="009E0502">
            <w:r w:rsidRPr="000F1F99">
              <w:t>Projekta izstrādē iesaistītās institūcijas un publiskas personas kapitālsabiedrības</w:t>
            </w:r>
          </w:p>
        </w:tc>
        <w:tc>
          <w:tcPr>
            <w:tcW w:w="5987" w:type="dxa"/>
            <w:hideMark/>
          </w:tcPr>
          <w:p w:rsidR="00BD5588" w:rsidRPr="000F1F99" w:rsidRDefault="0017760E" w:rsidP="009E0502">
            <w:r>
              <w:t xml:space="preserve"> </w:t>
            </w:r>
            <w:r w:rsidR="00410E19">
              <w:t>Pilsonības un migrācijas lietu pārvalde.</w:t>
            </w:r>
          </w:p>
        </w:tc>
      </w:tr>
      <w:tr w:rsidR="00BD5588" w:rsidRPr="000F1F99" w:rsidTr="00F07EE3">
        <w:trPr>
          <w:cantSplit/>
        </w:trPr>
        <w:tc>
          <w:tcPr>
            <w:tcW w:w="516" w:type="dxa"/>
            <w:hideMark/>
          </w:tcPr>
          <w:p w:rsidR="00BD5588" w:rsidRPr="000F1F99" w:rsidRDefault="00BD5588" w:rsidP="009E0502">
            <w:pPr>
              <w:jc w:val="center"/>
            </w:pPr>
            <w:r w:rsidRPr="000F1F99">
              <w:t>4.</w:t>
            </w:r>
          </w:p>
        </w:tc>
        <w:tc>
          <w:tcPr>
            <w:tcW w:w="1793" w:type="dxa"/>
            <w:hideMark/>
          </w:tcPr>
          <w:p w:rsidR="00BD5588" w:rsidRPr="000F1F99" w:rsidRDefault="00BD5588" w:rsidP="009E0502">
            <w:r w:rsidRPr="000F1F99">
              <w:t>Cita informācija</w:t>
            </w:r>
          </w:p>
        </w:tc>
        <w:tc>
          <w:tcPr>
            <w:tcW w:w="5987" w:type="dxa"/>
            <w:hideMark/>
          </w:tcPr>
          <w:p w:rsidR="00BD5588" w:rsidRPr="000F1F99" w:rsidRDefault="00903C95" w:rsidP="009E0502">
            <w:r>
              <w:t xml:space="preserve"> Nav</w:t>
            </w:r>
          </w:p>
        </w:tc>
      </w:tr>
    </w:tbl>
    <w:p w:rsidR="00BD5588" w:rsidRPr="000F1F99"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3"/>
        <w:gridCol w:w="5330"/>
      </w:tblGrid>
      <w:tr w:rsidR="00BD5588" w:rsidRPr="000F1F99" w:rsidTr="00994E86">
        <w:trPr>
          <w:cantSplit/>
        </w:trPr>
        <w:tc>
          <w:tcPr>
            <w:tcW w:w="5000" w:type="pct"/>
            <w:gridSpan w:val="3"/>
            <w:vAlign w:val="center"/>
            <w:hideMark/>
          </w:tcPr>
          <w:p w:rsidR="001A5E25" w:rsidRDefault="00BD5588" w:rsidP="009E0502">
            <w:pPr>
              <w:jc w:val="center"/>
              <w:rPr>
                <w:b/>
                <w:bCs/>
              </w:rPr>
            </w:pPr>
            <w:r w:rsidRPr="000F1F99">
              <w:rPr>
                <w:b/>
                <w:bCs/>
              </w:rPr>
              <w:t>II. Tiesību akta projekta ietekme uz sabiedrību, tautsaimniecības attīstību un administratīvo slogu</w:t>
            </w:r>
          </w:p>
          <w:p w:rsidR="001A5E25" w:rsidRPr="001A5E25" w:rsidRDefault="001A5E25" w:rsidP="001A5E25"/>
          <w:p w:rsidR="00BD5588" w:rsidRPr="001A5E25" w:rsidRDefault="00BD5588" w:rsidP="001A5E25"/>
        </w:tc>
      </w:tr>
      <w:tr w:rsidR="00BD5588" w:rsidRPr="000F1F99" w:rsidTr="00994E86">
        <w:trPr>
          <w:cantSplit/>
          <w:trHeight w:val="1236"/>
        </w:trPr>
        <w:tc>
          <w:tcPr>
            <w:tcW w:w="311" w:type="pct"/>
            <w:hideMark/>
          </w:tcPr>
          <w:p w:rsidR="00BD5588" w:rsidRPr="000F1F99" w:rsidRDefault="00BD5588" w:rsidP="009E0502">
            <w:pPr>
              <w:jc w:val="center"/>
            </w:pPr>
            <w:r w:rsidRPr="000F1F99">
              <w:t>1.</w:t>
            </w:r>
          </w:p>
        </w:tc>
        <w:tc>
          <w:tcPr>
            <w:tcW w:w="1478" w:type="pct"/>
            <w:hideMark/>
          </w:tcPr>
          <w:p w:rsidR="001A5E25" w:rsidRDefault="00BD5588" w:rsidP="009E0502">
            <w:r w:rsidRPr="000F1F99">
              <w:t xml:space="preserve">Sabiedrības </w:t>
            </w:r>
            <w:proofErr w:type="spellStart"/>
            <w:r w:rsidRPr="000F1F99">
              <w:t>mērķgrupas</w:t>
            </w:r>
            <w:proofErr w:type="spellEnd"/>
            <w:r w:rsidRPr="000F1F99">
              <w:t>, kuras tiesiskais regulējums ietekmē vai varētu ietekmēt</w:t>
            </w:r>
          </w:p>
          <w:p w:rsidR="001A5E25" w:rsidRPr="001A5E25" w:rsidRDefault="001A5E25" w:rsidP="001A5E25"/>
          <w:p w:rsidR="00BD5588" w:rsidRPr="001A5E25" w:rsidRDefault="00BD5588" w:rsidP="001A5E25"/>
        </w:tc>
        <w:tc>
          <w:tcPr>
            <w:tcW w:w="3211" w:type="pct"/>
            <w:hideMark/>
          </w:tcPr>
          <w:p w:rsidR="00BD5588" w:rsidRPr="000F1F99" w:rsidRDefault="00903C95" w:rsidP="00000B54">
            <w:pPr>
              <w:jc w:val="both"/>
            </w:pPr>
            <w:r>
              <w:t>Personas, kuras</w:t>
            </w:r>
            <w:r w:rsidR="00F61005" w:rsidRPr="00F61005">
              <w:t xml:space="preserve"> </w:t>
            </w:r>
            <w:r w:rsidR="00F61005">
              <w:t xml:space="preserve">saņem uzturēšanās atļauju, kas </w:t>
            </w:r>
            <w:r w:rsidR="00F61005" w:rsidRPr="00F61005">
              <w:t>ir</w:t>
            </w:r>
            <w:r w:rsidR="00F61005">
              <w:t xml:space="preserve"> </w:t>
            </w:r>
            <w:r w:rsidRPr="002F2A4A">
              <w:t xml:space="preserve"> </w:t>
            </w:r>
            <w:r w:rsidR="00F61005">
              <w:t>t</w:t>
            </w:r>
            <w:r w:rsidR="00F61005" w:rsidRPr="00F61005">
              <w:t>rešās valsts pilsoņa p</w:t>
            </w:r>
            <w:r w:rsidR="00F61005">
              <w:t xml:space="preserve">ersonas apliecība, </w:t>
            </w:r>
            <w:r w:rsidR="00F61005" w:rsidRPr="00F61005">
              <w:t>ko izsniedz saskaņā ar migrāciju regulējošiem tiesību aktiem.</w:t>
            </w:r>
          </w:p>
        </w:tc>
      </w:tr>
      <w:tr w:rsidR="00BD5588" w:rsidRPr="000F1F99" w:rsidTr="00994E86">
        <w:trPr>
          <w:cantSplit/>
        </w:trPr>
        <w:tc>
          <w:tcPr>
            <w:tcW w:w="311" w:type="pct"/>
            <w:hideMark/>
          </w:tcPr>
          <w:p w:rsidR="00BD5588" w:rsidRPr="000F1F99" w:rsidRDefault="00BD5588" w:rsidP="009E0502">
            <w:pPr>
              <w:jc w:val="center"/>
            </w:pPr>
            <w:r w:rsidRPr="000F1F99">
              <w:t>2.</w:t>
            </w:r>
          </w:p>
        </w:tc>
        <w:tc>
          <w:tcPr>
            <w:tcW w:w="1478" w:type="pct"/>
            <w:hideMark/>
          </w:tcPr>
          <w:p w:rsidR="00BD5588" w:rsidRPr="000F1F99" w:rsidRDefault="00BD5588" w:rsidP="009E0502">
            <w:r w:rsidRPr="000F1F99">
              <w:t>Tiesiskā regulējuma ietekme uz tautsaimniecību un administratīvo slogu</w:t>
            </w:r>
          </w:p>
        </w:tc>
        <w:tc>
          <w:tcPr>
            <w:tcW w:w="3211" w:type="pct"/>
            <w:hideMark/>
          </w:tcPr>
          <w:p w:rsidR="00F57AB9" w:rsidRDefault="00F57AB9" w:rsidP="00F57AB9">
            <w:pPr>
              <w:jc w:val="both"/>
            </w:pPr>
            <w:r>
              <w:t>Administratīvās</w:t>
            </w:r>
            <w:r w:rsidRPr="007B7BCD">
              <w:t xml:space="preserve"> procedūr</w:t>
            </w:r>
            <w:r>
              <w:t>as</w:t>
            </w:r>
            <w:r w:rsidRPr="007B7BCD">
              <w:t xml:space="preserve"> attiecībā uz </w:t>
            </w:r>
            <w:r w:rsidR="000D4925">
              <w:t xml:space="preserve">uzturēšanās atļaujas </w:t>
            </w:r>
            <w:r>
              <w:t>izsniegšanu nemainās.</w:t>
            </w:r>
          </w:p>
          <w:p w:rsidR="00BD5588" w:rsidRPr="000F1F99" w:rsidRDefault="00F57AB9" w:rsidP="00F57AB9">
            <w:pPr>
              <w:jc w:val="both"/>
            </w:pPr>
            <w:r>
              <w:t>Administratīvais</w:t>
            </w:r>
            <w:r w:rsidRPr="00386020">
              <w:t xml:space="preserve"> slogs </w:t>
            </w:r>
            <w:r>
              <w:t xml:space="preserve">nepalielinās. </w:t>
            </w:r>
          </w:p>
        </w:tc>
      </w:tr>
      <w:tr w:rsidR="00BD5588" w:rsidRPr="000F1F99" w:rsidTr="00994E86">
        <w:trPr>
          <w:cantSplit/>
        </w:trPr>
        <w:tc>
          <w:tcPr>
            <w:tcW w:w="311" w:type="pct"/>
            <w:hideMark/>
          </w:tcPr>
          <w:p w:rsidR="00BD5588" w:rsidRPr="000F1F99" w:rsidRDefault="00BD5588" w:rsidP="009E0502">
            <w:pPr>
              <w:jc w:val="center"/>
            </w:pPr>
            <w:r w:rsidRPr="000F1F99">
              <w:t>3.</w:t>
            </w:r>
          </w:p>
        </w:tc>
        <w:tc>
          <w:tcPr>
            <w:tcW w:w="1478" w:type="pct"/>
            <w:hideMark/>
          </w:tcPr>
          <w:p w:rsidR="00BD5588" w:rsidRPr="000F1F99" w:rsidRDefault="00BD5588" w:rsidP="009E0502">
            <w:r w:rsidRPr="000F1F99">
              <w:t>Administratīvo izmaksu monetārs novērtējums</w:t>
            </w:r>
          </w:p>
        </w:tc>
        <w:tc>
          <w:tcPr>
            <w:tcW w:w="3211" w:type="pct"/>
            <w:hideMark/>
          </w:tcPr>
          <w:p w:rsidR="00BD5588" w:rsidRPr="000F1F99" w:rsidRDefault="009145CE" w:rsidP="009E0502">
            <w:r>
              <w:t>Projekts šo jomu neskar.</w:t>
            </w:r>
          </w:p>
        </w:tc>
      </w:tr>
      <w:tr w:rsidR="00BD5588" w:rsidRPr="000F1F99" w:rsidTr="00994E86">
        <w:trPr>
          <w:cantSplit/>
        </w:trPr>
        <w:tc>
          <w:tcPr>
            <w:tcW w:w="311" w:type="pct"/>
            <w:tcBorders>
              <w:bottom w:val="single" w:sz="4" w:space="0" w:color="auto"/>
            </w:tcBorders>
            <w:hideMark/>
          </w:tcPr>
          <w:p w:rsidR="00BD5588" w:rsidRPr="000F1F99" w:rsidRDefault="00BD5588" w:rsidP="009E0502">
            <w:pPr>
              <w:jc w:val="center"/>
            </w:pPr>
            <w:r w:rsidRPr="000F1F99">
              <w:t>4.</w:t>
            </w:r>
          </w:p>
        </w:tc>
        <w:tc>
          <w:tcPr>
            <w:tcW w:w="1478" w:type="pct"/>
            <w:tcBorders>
              <w:bottom w:val="single" w:sz="4" w:space="0" w:color="auto"/>
            </w:tcBorders>
            <w:hideMark/>
          </w:tcPr>
          <w:p w:rsidR="00BD5588" w:rsidRPr="000F1F99" w:rsidRDefault="00BD5588" w:rsidP="009E0502">
            <w:r w:rsidRPr="000F1F99">
              <w:t>Atbilstības izmaksu monetārs novērtējums</w:t>
            </w:r>
          </w:p>
        </w:tc>
        <w:tc>
          <w:tcPr>
            <w:tcW w:w="3211" w:type="pct"/>
            <w:tcBorders>
              <w:bottom w:val="single" w:sz="4" w:space="0" w:color="auto"/>
            </w:tcBorders>
            <w:hideMark/>
          </w:tcPr>
          <w:p w:rsidR="00BD5588" w:rsidRPr="000F1F99" w:rsidRDefault="00EF5498" w:rsidP="009E0502">
            <w:r>
              <w:t>Projekts šo jomu neskar.</w:t>
            </w:r>
          </w:p>
        </w:tc>
      </w:tr>
      <w:tr w:rsidR="00BD5588" w:rsidRPr="000F1F99" w:rsidTr="00994E86">
        <w:trPr>
          <w:cantSplit/>
        </w:trPr>
        <w:tc>
          <w:tcPr>
            <w:tcW w:w="311" w:type="pct"/>
            <w:tcBorders>
              <w:bottom w:val="single" w:sz="4" w:space="0" w:color="auto"/>
            </w:tcBorders>
            <w:hideMark/>
          </w:tcPr>
          <w:p w:rsidR="00BD5588" w:rsidRPr="000F1F99" w:rsidRDefault="00BD5588" w:rsidP="009E0502">
            <w:pPr>
              <w:jc w:val="center"/>
            </w:pPr>
            <w:r w:rsidRPr="000F1F99">
              <w:t>5.</w:t>
            </w:r>
          </w:p>
        </w:tc>
        <w:tc>
          <w:tcPr>
            <w:tcW w:w="1478" w:type="pct"/>
            <w:tcBorders>
              <w:bottom w:val="single" w:sz="4" w:space="0" w:color="auto"/>
            </w:tcBorders>
            <w:hideMark/>
          </w:tcPr>
          <w:p w:rsidR="00BD5588" w:rsidRPr="000F1F99" w:rsidRDefault="00BD5588" w:rsidP="009E0502">
            <w:r w:rsidRPr="000F1F99">
              <w:t>Cita informācija</w:t>
            </w:r>
          </w:p>
        </w:tc>
        <w:tc>
          <w:tcPr>
            <w:tcW w:w="3211" w:type="pct"/>
            <w:tcBorders>
              <w:bottom w:val="single" w:sz="4" w:space="0" w:color="auto"/>
            </w:tcBorders>
            <w:hideMark/>
          </w:tcPr>
          <w:p w:rsidR="00BD5588" w:rsidRPr="000F1F99" w:rsidRDefault="00640A62" w:rsidP="009E0502">
            <w:r>
              <w:t>Nav.</w:t>
            </w:r>
          </w:p>
        </w:tc>
      </w:tr>
      <w:tr w:rsidR="00E40B27" w:rsidRPr="000F1F99" w:rsidTr="00E40B27">
        <w:tblPrEx>
          <w:tblCellMar>
            <w:top w:w="28" w:type="dxa"/>
            <w:left w:w="28" w:type="dxa"/>
            <w:bottom w:w="28" w:type="dxa"/>
            <w:right w:w="28" w:type="dxa"/>
          </w:tblCellMar>
        </w:tblPrEx>
        <w:trPr>
          <w:cantSplit/>
        </w:trPr>
        <w:tc>
          <w:tcPr>
            <w:tcW w:w="5000" w:type="pct"/>
            <w:gridSpan w:val="3"/>
            <w:tcBorders>
              <w:top w:val="single" w:sz="4" w:space="0" w:color="auto"/>
              <w:left w:val="nil"/>
              <w:bottom w:val="single" w:sz="4" w:space="0" w:color="auto"/>
              <w:right w:val="nil"/>
            </w:tcBorders>
            <w:shd w:val="clear" w:color="auto" w:fill="auto"/>
            <w:vAlign w:val="center"/>
          </w:tcPr>
          <w:p w:rsidR="00994E86" w:rsidRPr="000F1F99" w:rsidRDefault="00994E86" w:rsidP="00994E86"/>
        </w:tc>
      </w:tr>
      <w:tr w:rsidR="00BD5588" w:rsidRPr="000F1F99" w:rsidTr="00994E86">
        <w:tblPrEx>
          <w:tblCellMar>
            <w:top w:w="28" w:type="dxa"/>
            <w:left w:w="28" w:type="dxa"/>
            <w:bottom w:w="28" w:type="dxa"/>
            <w:right w:w="28" w:type="dxa"/>
          </w:tblCellMar>
        </w:tblPrEx>
        <w:trPr>
          <w:cantSplit/>
        </w:trPr>
        <w:tc>
          <w:tcPr>
            <w:tcW w:w="5000" w:type="pct"/>
            <w:gridSpan w:val="3"/>
            <w:tcBorders>
              <w:top w:val="single" w:sz="4" w:space="0" w:color="auto"/>
              <w:bottom w:val="single" w:sz="4" w:space="0" w:color="auto"/>
            </w:tcBorders>
            <w:shd w:val="clear" w:color="auto" w:fill="auto"/>
            <w:vAlign w:val="center"/>
            <w:hideMark/>
          </w:tcPr>
          <w:p w:rsidR="00BD5588" w:rsidRPr="000F1F99" w:rsidRDefault="00BD5588" w:rsidP="009E0502">
            <w:pPr>
              <w:jc w:val="center"/>
              <w:rPr>
                <w:b/>
                <w:bCs/>
                <w:lang w:eastAsia="en-US"/>
              </w:rPr>
            </w:pPr>
            <w:r w:rsidRPr="000F1F99">
              <w:br w:type="page"/>
            </w:r>
            <w:r w:rsidRPr="000F1F99">
              <w:rPr>
                <w:b/>
                <w:bCs/>
                <w:lang w:eastAsia="en-US"/>
              </w:rPr>
              <w:t>III. Tiesību akta projekta ietekme uz valsts budžetu un pašvaldību budžetiem</w:t>
            </w:r>
          </w:p>
        </w:tc>
      </w:tr>
      <w:tr w:rsidR="001C7D18" w:rsidRPr="000F1F99" w:rsidTr="00994E86">
        <w:tblPrEx>
          <w:tblCellMar>
            <w:top w:w="28" w:type="dxa"/>
            <w:left w:w="28" w:type="dxa"/>
            <w:bottom w:w="28" w:type="dxa"/>
            <w:right w:w="28" w:type="dxa"/>
          </w:tblCellMar>
        </w:tblPrEx>
        <w:trPr>
          <w:cantSplit/>
        </w:trPr>
        <w:tc>
          <w:tcPr>
            <w:tcW w:w="5000" w:type="pct"/>
            <w:gridSpan w:val="3"/>
            <w:tcBorders>
              <w:bottom w:val="single" w:sz="4" w:space="0" w:color="auto"/>
            </w:tcBorders>
            <w:shd w:val="clear" w:color="auto" w:fill="auto"/>
            <w:vAlign w:val="center"/>
            <w:hideMark/>
          </w:tcPr>
          <w:p w:rsidR="001C7D18" w:rsidRPr="000F1F99" w:rsidRDefault="001C7D18" w:rsidP="009E0502">
            <w:pPr>
              <w:jc w:val="center"/>
              <w:rPr>
                <w:lang w:eastAsia="en-US"/>
              </w:rPr>
            </w:pPr>
            <w:r>
              <w:rPr>
                <w:lang w:eastAsia="en-US"/>
              </w:rPr>
              <w:t>Projekts šo jomu neskar.</w:t>
            </w:r>
          </w:p>
        </w:tc>
      </w:tr>
      <w:tr w:rsidR="00994E86" w:rsidRPr="000F1F99" w:rsidTr="00994E86">
        <w:tblPrEx>
          <w:tblCellMar>
            <w:top w:w="28" w:type="dxa"/>
            <w:left w:w="28" w:type="dxa"/>
            <w:bottom w:w="28" w:type="dxa"/>
            <w:right w:w="28" w:type="dxa"/>
          </w:tblCellMar>
        </w:tblPrEx>
        <w:trPr>
          <w:cantSplit/>
        </w:trPr>
        <w:tc>
          <w:tcPr>
            <w:tcW w:w="5000" w:type="pct"/>
            <w:gridSpan w:val="3"/>
            <w:tcBorders>
              <w:top w:val="single" w:sz="4" w:space="0" w:color="auto"/>
              <w:left w:val="nil"/>
              <w:bottom w:val="single" w:sz="4" w:space="0" w:color="auto"/>
              <w:right w:val="nil"/>
            </w:tcBorders>
            <w:shd w:val="clear" w:color="auto" w:fill="auto"/>
            <w:vAlign w:val="center"/>
          </w:tcPr>
          <w:p w:rsidR="00994E86" w:rsidRDefault="00994E86" w:rsidP="009E0502">
            <w:pPr>
              <w:jc w:val="center"/>
              <w:rPr>
                <w:lang w:eastAsia="en-US"/>
              </w:rPr>
            </w:pPr>
          </w:p>
        </w:tc>
      </w:tr>
      <w:tr w:rsidR="00BD5588" w:rsidRPr="000F1F99" w:rsidTr="00994E86">
        <w:trPr>
          <w:cantSplit/>
        </w:trPr>
        <w:tc>
          <w:tcPr>
            <w:tcW w:w="5000" w:type="pct"/>
            <w:gridSpan w:val="3"/>
            <w:tcBorders>
              <w:top w:val="single" w:sz="4" w:space="0" w:color="auto"/>
            </w:tcBorders>
            <w:vAlign w:val="center"/>
            <w:hideMark/>
          </w:tcPr>
          <w:p w:rsidR="00BD5588" w:rsidRPr="000F1F99" w:rsidRDefault="00BD5588" w:rsidP="009E0502">
            <w:pPr>
              <w:jc w:val="center"/>
              <w:rPr>
                <w:b/>
                <w:bCs/>
              </w:rPr>
            </w:pPr>
            <w:r w:rsidRPr="000F1F99">
              <w:rPr>
                <w:b/>
                <w:bCs/>
              </w:rPr>
              <w:t>IV. Tiesību akta projekta ietekme uz spēkā esošo tiesību normu sistēmu</w:t>
            </w:r>
          </w:p>
        </w:tc>
      </w:tr>
      <w:tr w:rsidR="001C7D18" w:rsidRPr="000F1F99" w:rsidTr="0027726A">
        <w:trPr>
          <w:cantSplit/>
        </w:trPr>
        <w:tc>
          <w:tcPr>
            <w:tcW w:w="5000" w:type="pct"/>
            <w:gridSpan w:val="3"/>
          </w:tcPr>
          <w:p w:rsidR="001C7D18" w:rsidRPr="000F1F99" w:rsidRDefault="001C7D18" w:rsidP="001C7D18">
            <w:pPr>
              <w:jc w:val="center"/>
            </w:pPr>
            <w:r>
              <w:rPr>
                <w:lang w:eastAsia="en-US"/>
              </w:rPr>
              <w:t>Projekts šo jomu neskar.</w:t>
            </w:r>
          </w:p>
        </w:tc>
      </w:tr>
    </w:tbl>
    <w:p w:rsidR="00BD5588" w:rsidRPr="000F1F99"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0F1F99" w:rsidTr="009E0502">
        <w:trPr>
          <w:cantSplit/>
        </w:trPr>
        <w:tc>
          <w:tcPr>
            <w:tcW w:w="5000" w:type="pct"/>
            <w:gridSpan w:val="3"/>
            <w:vAlign w:val="center"/>
            <w:hideMark/>
          </w:tcPr>
          <w:p w:rsidR="00BD5588" w:rsidRPr="00FB54C9" w:rsidRDefault="00BD5588" w:rsidP="00A24D09">
            <w:pPr>
              <w:jc w:val="center"/>
            </w:pPr>
            <w:r w:rsidRPr="000F1F99">
              <w:rPr>
                <w:b/>
                <w:bCs/>
              </w:rPr>
              <w:t>V. Tiesību akta projekta atbilstība Latvijas Republikas starptautiskajām saistībām</w:t>
            </w:r>
          </w:p>
        </w:tc>
      </w:tr>
      <w:tr w:rsidR="00BD5588" w:rsidRPr="000F1F99" w:rsidTr="009E0502">
        <w:trPr>
          <w:cantSplit/>
        </w:trPr>
        <w:tc>
          <w:tcPr>
            <w:tcW w:w="311" w:type="pct"/>
            <w:hideMark/>
          </w:tcPr>
          <w:p w:rsidR="00BD5588" w:rsidRPr="000F1F99" w:rsidRDefault="00BD5588" w:rsidP="009E0502">
            <w:pPr>
              <w:jc w:val="center"/>
            </w:pPr>
            <w:r w:rsidRPr="000F1F99">
              <w:lastRenderedPageBreak/>
              <w:t>1.</w:t>
            </w:r>
          </w:p>
        </w:tc>
        <w:tc>
          <w:tcPr>
            <w:tcW w:w="1479" w:type="pct"/>
            <w:hideMark/>
          </w:tcPr>
          <w:p w:rsidR="00BD5588" w:rsidRPr="000F1F99" w:rsidRDefault="00BD5588" w:rsidP="009E0502">
            <w:r w:rsidRPr="000F1F99">
              <w:t>Saistības pret Eiropas Savienību</w:t>
            </w:r>
          </w:p>
        </w:tc>
        <w:tc>
          <w:tcPr>
            <w:tcW w:w="3210" w:type="pct"/>
            <w:hideMark/>
          </w:tcPr>
          <w:p w:rsidR="00FE3130" w:rsidRDefault="008A3EDF" w:rsidP="00F61005">
            <w:r>
              <w:t xml:space="preserve">Tiek </w:t>
            </w:r>
            <w:r w:rsidR="00FE3130">
              <w:t>īstenotas šādas Eiropas Savienības regulas prasības:</w:t>
            </w:r>
          </w:p>
          <w:p w:rsidR="00EE2E05" w:rsidRDefault="00EE2E05" w:rsidP="00000B54">
            <w:pPr>
              <w:pStyle w:val="ListParagraph"/>
              <w:numPr>
                <w:ilvl w:val="0"/>
                <w:numId w:val="2"/>
              </w:numPr>
              <w:jc w:val="both"/>
            </w:pPr>
            <w:r w:rsidRPr="00EE2E05">
              <w:t>Eiropas Parlamenta un Padomes regula (ES) 2017/1954 (2017.gada 25.oktobris), ar kuru groza Padomes Regulu (EK) Nr. 1030/2002, ar ko nosaka vienotu uzturēšanās atļauju formu trešo valstu pilsoņiem (</w:t>
            </w:r>
            <w:r w:rsidR="008A4064">
              <w:t xml:space="preserve">turpmāk - </w:t>
            </w:r>
            <w:r w:rsidRPr="00EE2E05">
              <w:t>Regula 2017/1954)</w:t>
            </w:r>
            <w:r>
              <w:t>;</w:t>
            </w:r>
          </w:p>
          <w:p w:rsidR="00F61005" w:rsidRDefault="00F61005" w:rsidP="00000B54">
            <w:pPr>
              <w:pStyle w:val="ListParagraph"/>
              <w:numPr>
                <w:ilvl w:val="0"/>
                <w:numId w:val="2"/>
              </w:numPr>
              <w:jc w:val="both"/>
            </w:pPr>
            <w:r w:rsidRPr="00F61005">
              <w:t>Eiropa</w:t>
            </w:r>
            <w:r w:rsidR="00EE2E05">
              <w:t>s Parlamenta un Padomes regula</w:t>
            </w:r>
            <w:r w:rsidRPr="00F61005">
              <w:t xml:space="preserve"> (EK) Nr. 1030/2002, ar ko nosaka vienotu uzturēšanās atļauju formu trešo valstu pilsoņiem</w:t>
            </w:r>
            <w:r w:rsidR="00EE2E05">
              <w:t xml:space="preserve"> </w:t>
            </w:r>
            <w:r w:rsidR="008A4064">
              <w:t>(turpmāk - Regula 1030/2020)</w:t>
            </w:r>
            <w:r w:rsidR="00EE2E05">
              <w:t>;</w:t>
            </w:r>
          </w:p>
          <w:p w:rsidR="00EE2E05" w:rsidRDefault="00EE2E05" w:rsidP="00000B54">
            <w:pPr>
              <w:pStyle w:val="ListParagraph"/>
              <w:numPr>
                <w:ilvl w:val="0"/>
                <w:numId w:val="2"/>
              </w:numPr>
              <w:jc w:val="both"/>
            </w:pPr>
            <w:r w:rsidRPr="00EE2E05">
              <w:t>Eiropas Parlamenta un Padomes 2019.gada 20.jūnija Regulas Nr. 2019/1157/ES par Savienības pilsoņu personas apliecību un Savienības pilsoņiem un viņu ģimenes locekļiem, kuri izmanto tiesības brīvi pārvietoties, izsniegto uzturēšanās dokumentu drošības uzlabošanu</w:t>
            </w:r>
            <w:r>
              <w:t xml:space="preserve"> </w:t>
            </w:r>
            <w:r w:rsidR="0063377A">
              <w:t xml:space="preserve"> (turpmāk – Regula 2019/1157) </w:t>
            </w:r>
            <w:r>
              <w:t xml:space="preserve">7.panta </w:t>
            </w:r>
            <w:r w:rsidR="00662312">
              <w:t xml:space="preserve">pirmā </w:t>
            </w:r>
            <w:r>
              <w:t xml:space="preserve">un </w:t>
            </w:r>
            <w:r w:rsidR="00662312">
              <w:t xml:space="preserve">otrā </w:t>
            </w:r>
            <w:r>
              <w:t>daļa.</w:t>
            </w:r>
          </w:p>
          <w:p w:rsidR="006732F2" w:rsidRDefault="006732F2" w:rsidP="00F61005"/>
          <w:p w:rsidR="00A24D09" w:rsidRPr="000F1F99" w:rsidRDefault="00EE2E05" w:rsidP="00000B54">
            <w:pPr>
              <w:jc w:val="both"/>
            </w:pPr>
            <w:r>
              <w:t>R</w:t>
            </w:r>
            <w:r w:rsidR="00B13478">
              <w:t>egulas</w:t>
            </w:r>
            <w:r w:rsidR="00B13478" w:rsidRPr="00B13478">
              <w:t xml:space="preserve"> </w:t>
            </w:r>
            <w:r>
              <w:t xml:space="preserve">2017/1954 </w:t>
            </w:r>
            <w:r w:rsidR="00B13478" w:rsidRPr="00B13478">
              <w:t xml:space="preserve">prasības </w:t>
            </w:r>
            <w:r w:rsidR="00662312">
              <w:t>Latvijai</w:t>
            </w:r>
            <w:r w:rsidR="00662312" w:rsidRPr="00B13478">
              <w:t xml:space="preserve"> </w:t>
            </w:r>
            <w:r w:rsidR="00CA3441">
              <w:t xml:space="preserve">jāsāk </w:t>
            </w:r>
            <w:r w:rsidR="00662312">
              <w:t>īstenot</w:t>
            </w:r>
            <w:r w:rsidR="00662312" w:rsidRPr="00B13478">
              <w:t xml:space="preserve"> </w:t>
            </w:r>
            <w:r>
              <w:t xml:space="preserve">2020.gada </w:t>
            </w:r>
            <w:r w:rsidR="004B0790">
              <w:t>decembrī</w:t>
            </w:r>
            <w:r w:rsidR="00CA3441">
              <w:t>.</w:t>
            </w:r>
          </w:p>
        </w:tc>
      </w:tr>
      <w:tr w:rsidR="00BD5588" w:rsidRPr="000F1F99" w:rsidTr="009E0502">
        <w:trPr>
          <w:cantSplit/>
        </w:trPr>
        <w:tc>
          <w:tcPr>
            <w:tcW w:w="311" w:type="pct"/>
            <w:hideMark/>
          </w:tcPr>
          <w:p w:rsidR="00BD5588" w:rsidRPr="000F1F99" w:rsidRDefault="00BD5588" w:rsidP="009E0502">
            <w:pPr>
              <w:jc w:val="center"/>
            </w:pPr>
            <w:r w:rsidRPr="000F1F99">
              <w:t>2.</w:t>
            </w:r>
          </w:p>
        </w:tc>
        <w:tc>
          <w:tcPr>
            <w:tcW w:w="1479" w:type="pct"/>
            <w:hideMark/>
          </w:tcPr>
          <w:p w:rsidR="00BD5588" w:rsidRPr="000F1F99" w:rsidRDefault="00BD5588" w:rsidP="009E0502">
            <w:r w:rsidRPr="000F1F99">
              <w:t>Citas starptautiskās saistības</w:t>
            </w:r>
          </w:p>
        </w:tc>
        <w:tc>
          <w:tcPr>
            <w:tcW w:w="3210" w:type="pct"/>
            <w:hideMark/>
          </w:tcPr>
          <w:p w:rsidR="00BD5588" w:rsidRPr="000F1F99" w:rsidRDefault="00053263" w:rsidP="009E0502">
            <w:r>
              <w:rPr>
                <w:lang w:eastAsia="en-US"/>
              </w:rPr>
              <w:t>Projekts šo jomu neskar.</w:t>
            </w:r>
          </w:p>
        </w:tc>
      </w:tr>
      <w:tr w:rsidR="00BD5588" w:rsidRPr="000F1F99" w:rsidTr="009E0502">
        <w:trPr>
          <w:cantSplit/>
        </w:trPr>
        <w:tc>
          <w:tcPr>
            <w:tcW w:w="311" w:type="pct"/>
            <w:hideMark/>
          </w:tcPr>
          <w:p w:rsidR="00BD5588" w:rsidRPr="000F1F99" w:rsidRDefault="00BD5588" w:rsidP="009E0502">
            <w:pPr>
              <w:jc w:val="center"/>
            </w:pPr>
            <w:r w:rsidRPr="000F1F99">
              <w:t>3.</w:t>
            </w:r>
          </w:p>
        </w:tc>
        <w:tc>
          <w:tcPr>
            <w:tcW w:w="1479" w:type="pct"/>
            <w:hideMark/>
          </w:tcPr>
          <w:p w:rsidR="00BD5588" w:rsidRPr="000F1F99" w:rsidRDefault="00BD5588" w:rsidP="009E0502">
            <w:r w:rsidRPr="000F1F99">
              <w:t>Cita informācija</w:t>
            </w:r>
          </w:p>
        </w:tc>
        <w:tc>
          <w:tcPr>
            <w:tcW w:w="3210" w:type="pct"/>
            <w:hideMark/>
          </w:tcPr>
          <w:p w:rsidR="00BD5588" w:rsidRPr="000F1F99" w:rsidRDefault="00053263" w:rsidP="009E0502">
            <w:r>
              <w:t xml:space="preserve">Nav. </w:t>
            </w:r>
          </w:p>
        </w:tc>
      </w:tr>
    </w:tbl>
    <w:p w:rsidR="00B82A20" w:rsidRPr="00064717" w:rsidRDefault="00B82A20" w:rsidP="00B82A20">
      <w:pPr>
        <w:spacing w:before="100" w:beforeAutospacing="1" w:after="100" w:afterAutospacing="1"/>
        <w:jc w:val="both"/>
      </w:pPr>
      <w:r w:rsidRPr="00064717">
        <w:t> </w:t>
      </w:r>
    </w:p>
    <w:tbl>
      <w:tblPr>
        <w:tblW w:w="508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62"/>
        <w:gridCol w:w="2049"/>
        <w:gridCol w:w="1969"/>
        <w:gridCol w:w="2143"/>
      </w:tblGrid>
      <w:tr w:rsidR="00B82A20" w:rsidRPr="00064717" w:rsidTr="002A68C4">
        <w:tc>
          <w:tcPr>
            <w:tcW w:w="0" w:type="auto"/>
            <w:gridSpan w:val="4"/>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before="100" w:beforeAutospacing="1" w:after="100" w:afterAutospacing="1"/>
              <w:jc w:val="both"/>
              <w:rPr>
                <w:b/>
                <w:bCs/>
              </w:rPr>
            </w:pPr>
            <w:r w:rsidRPr="00064717">
              <w:rPr>
                <w:b/>
                <w:bCs/>
              </w:rPr>
              <w:t>1.tabula</w:t>
            </w:r>
            <w:r w:rsidRPr="00064717">
              <w:rPr>
                <w:b/>
                <w:bCs/>
              </w:rPr>
              <w:br/>
              <w:t>Tiesību akta projekta atbilstība ES tiesību aktiem</w:t>
            </w:r>
          </w:p>
        </w:tc>
      </w:tr>
      <w:tr w:rsidR="0011260A" w:rsidRPr="00064717" w:rsidTr="0011260A">
        <w:tc>
          <w:tcPr>
            <w:tcW w:w="1342" w:type="pct"/>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before="100" w:beforeAutospacing="1" w:after="100" w:afterAutospacing="1"/>
              <w:jc w:val="both"/>
            </w:pPr>
            <w:r w:rsidRPr="00064717">
              <w:t>Attiecīgā ES tiesību akta datums, numurs un nosaukums</w:t>
            </w:r>
          </w:p>
        </w:tc>
        <w:tc>
          <w:tcPr>
            <w:tcW w:w="3658" w:type="pct"/>
            <w:gridSpan w:val="3"/>
            <w:tcBorders>
              <w:top w:val="outset" w:sz="6" w:space="0" w:color="000000"/>
              <w:left w:val="outset" w:sz="6" w:space="0" w:color="000000"/>
              <w:bottom w:val="outset" w:sz="6" w:space="0" w:color="000000"/>
              <w:right w:val="outset" w:sz="6" w:space="0" w:color="000000"/>
            </w:tcBorders>
            <w:vAlign w:val="center"/>
          </w:tcPr>
          <w:p w:rsidR="00BB140F" w:rsidRPr="00EF7D16" w:rsidRDefault="00BB140F" w:rsidP="00BB140F">
            <w:pPr>
              <w:numPr>
                <w:ilvl w:val="0"/>
                <w:numId w:val="1"/>
              </w:numPr>
              <w:jc w:val="both"/>
            </w:pPr>
            <w:r w:rsidRPr="00EF7D16">
              <w:t>Eiropas Parlamenta un Padomes regula (ES) 2017/1954 (2017.gada 25.oktobris), ar kuru groza Padomes Regulu (EK) Nr. 1030/2002, ar ko nosaka vienotu uzturēšanās atļauju formu trešo valstu pilsoņiem (turpmāk - Regula 2017/1954);</w:t>
            </w:r>
          </w:p>
          <w:p w:rsidR="00BB140F" w:rsidRPr="00EF7D16" w:rsidRDefault="00BB140F" w:rsidP="00BB140F">
            <w:pPr>
              <w:numPr>
                <w:ilvl w:val="0"/>
                <w:numId w:val="1"/>
              </w:numPr>
              <w:jc w:val="both"/>
            </w:pPr>
            <w:r w:rsidRPr="00EF7D16">
              <w:t xml:space="preserve">Eiropas Parlamenta un Padomes regula (EK) Nr. 1030/2002, ar ko nosaka vienotu uzturēšanās atļauju formu trešo valstu pilsoņiem </w:t>
            </w:r>
            <w:r w:rsidR="008A4064">
              <w:t>(turpmāk - Regula 1030/2020);</w:t>
            </w:r>
          </w:p>
          <w:p w:rsidR="00BB140F" w:rsidRPr="00EF7D16" w:rsidRDefault="00BB140F" w:rsidP="009D3908">
            <w:pPr>
              <w:numPr>
                <w:ilvl w:val="0"/>
                <w:numId w:val="1"/>
              </w:numPr>
              <w:jc w:val="both"/>
            </w:pPr>
            <w:r w:rsidRPr="00EF7D16">
              <w:t>Eiropas Parlamenta un Padomes 2019.gada 20.jūnija Regula Nr. 2019/1157/ES par Savienības pilsoņu personas apliecību un Savienības pilsoņiem un viņu ģimenes locekļiem, kuri izmanto tiesības brīvi pārvietoties, izsniegto uzturēšanās dokumentu drošības uzlabošanu</w:t>
            </w:r>
            <w:r w:rsidR="0063377A">
              <w:t>.</w:t>
            </w:r>
          </w:p>
          <w:p w:rsidR="00B82A20" w:rsidRPr="00064717" w:rsidRDefault="00B82A20" w:rsidP="002A68C4">
            <w:pPr>
              <w:ind w:left="43"/>
              <w:jc w:val="both"/>
            </w:pPr>
          </w:p>
        </w:tc>
      </w:tr>
      <w:tr w:rsidR="00B82A20" w:rsidRPr="00064717" w:rsidTr="002A68C4">
        <w:tc>
          <w:tcPr>
            <w:tcW w:w="0" w:type="auto"/>
            <w:gridSpan w:val="4"/>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line="360" w:lineRule="auto"/>
              <w:jc w:val="both"/>
            </w:pPr>
            <w:r w:rsidRPr="00064717">
              <w:t> </w:t>
            </w:r>
          </w:p>
        </w:tc>
      </w:tr>
      <w:tr w:rsidR="0011260A" w:rsidRPr="00064717" w:rsidTr="0011260A">
        <w:tc>
          <w:tcPr>
            <w:tcW w:w="1342" w:type="pct"/>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before="100" w:beforeAutospacing="1" w:after="100" w:afterAutospacing="1"/>
              <w:jc w:val="both"/>
            </w:pPr>
            <w:r w:rsidRPr="00064717">
              <w:lastRenderedPageBreak/>
              <w:t>A</w:t>
            </w:r>
          </w:p>
        </w:tc>
        <w:tc>
          <w:tcPr>
            <w:tcW w:w="1216" w:type="pct"/>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before="100" w:beforeAutospacing="1" w:after="100" w:afterAutospacing="1"/>
              <w:jc w:val="both"/>
            </w:pPr>
            <w:r w:rsidRPr="00064717">
              <w:t>B</w:t>
            </w:r>
          </w:p>
        </w:tc>
        <w:tc>
          <w:tcPr>
            <w:tcW w:w="0" w:type="auto"/>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before="100" w:beforeAutospacing="1" w:after="100" w:afterAutospacing="1"/>
              <w:jc w:val="both"/>
            </w:pPr>
            <w:r w:rsidRPr="00064717">
              <w:t>C</w:t>
            </w:r>
          </w:p>
        </w:tc>
        <w:tc>
          <w:tcPr>
            <w:tcW w:w="0" w:type="auto"/>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before="100" w:beforeAutospacing="1" w:after="100" w:afterAutospacing="1"/>
              <w:jc w:val="both"/>
            </w:pPr>
            <w:r w:rsidRPr="00064717">
              <w:t>D</w:t>
            </w:r>
          </w:p>
        </w:tc>
      </w:tr>
      <w:tr w:rsidR="0011260A" w:rsidRPr="00064717" w:rsidTr="0011260A">
        <w:tc>
          <w:tcPr>
            <w:tcW w:w="1342" w:type="pct"/>
            <w:tcBorders>
              <w:top w:val="outset" w:sz="6" w:space="0" w:color="000000"/>
              <w:left w:val="outset" w:sz="6" w:space="0" w:color="000000"/>
              <w:bottom w:val="outset" w:sz="6" w:space="0" w:color="000000"/>
              <w:right w:val="outset" w:sz="6" w:space="0" w:color="000000"/>
            </w:tcBorders>
          </w:tcPr>
          <w:p w:rsidR="00B82A20" w:rsidRPr="00064717" w:rsidRDefault="00B82A20" w:rsidP="002A68C4">
            <w:pPr>
              <w:spacing w:before="100" w:beforeAutospacing="1" w:after="100" w:afterAutospacing="1"/>
              <w:jc w:val="both"/>
            </w:pPr>
            <w:r w:rsidRPr="00064717">
              <w:t>Attiecīgā ES tiesību akta panta numurs (uzskaitot katru tiesību akta</w:t>
            </w:r>
            <w:r w:rsidRPr="00064717">
              <w:br/>
              <w:t>vienību - pantu, daļu, punktu, apakšpunktu)</w:t>
            </w:r>
          </w:p>
        </w:tc>
        <w:tc>
          <w:tcPr>
            <w:tcW w:w="1216" w:type="pct"/>
            <w:tcBorders>
              <w:top w:val="outset" w:sz="6" w:space="0" w:color="000000"/>
              <w:left w:val="outset" w:sz="6" w:space="0" w:color="000000"/>
              <w:bottom w:val="outset" w:sz="6" w:space="0" w:color="000000"/>
              <w:right w:val="outset" w:sz="6" w:space="0" w:color="000000"/>
            </w:tcBorders>
          </w:tcPr>
          <w:p w:rsidR="00B82A20" w:rsidRPr="00064717" w:rsidRDefault="00B82A20" w:rsidP="002A68C4">
            <w:pPr>
              <w:spacing w:before="100" w:beforeAutospacing="1" w:after="100" w:afterAutospacing="1"/>
              <w:jc w:val="both"/>
            </w:pPr>
            <w:r w:rsidRPr="00064717">
              <w:t>Projekta vienība, kas pārņem vai ievieš katru šīs tabulas A ailē minēto ES tiesību akta vienību</w:t>
            </w:r>
          </w:p>
        </w:tc>
        <w:tc>
          <w:tcPr>
            <w:tcW w:w="0" w:type="auto"/>
            <w:tcBorders>
              <w:top w:val="outset" w:sz="6" w:space="0" w:color="000000"/>
              <w:left w:val="outset" w:sz="6" w:space="0" w:color="000000"/>
              <w:bottom w:val="outset" w:sz="6" w:space="0" w:color="000000"/>
              <w:right w:val="outset" w:sz="6" w:space="0" w:color="000000"/>
            </w:tcBorders>
          </w:tcPr>
          <w:p w:rsidR="00B82A20" w:rsidRPr="00064717" w:rsidRDefault="00B82A20" w:rsidP="002A68C4">
            <w:pPr>
              <w:spacing w:before="100" w:beforeAutospacing="1" w:after="100" w:afterAutospacing="1"/>
              <w:jc w:val="both"/>
            </w:pPr>
            <w:r w:rsidRPr="00064717">
              <w:t>Informācija par to, vai šīs tabulas A ailē minētās ES tiesību akta vienības tiek pārņemtas vai ieviestas pilnībā vai daļēji.</w:t>
            </w:r>
          </w:p>
          <w:p w:rsidR="00B82A20" w:rsidRPr="00064717" w:rsidRDefault="00B82A20" w:rsidP="002A68C4">
            <w:pPr>
              <w:spacing w:before="100" w:beforeAutospacing="1" w:after="100" w:afterAutospacing="1"/>
              <w:jc w:val="both"/>
            </w:pPr>
            <w:r w:rsidRPr="00064717">
              <w:t>Ja attiecīgā ES tiesību akta vienība tiek pārņemta vai ieviesta daļēji, - sniedz attiecīgu skaidrojumu, kā arī precīzi norāda, kad un kādā veidā ES tiesību akta vienība tiks pārņemta vai ieviesta pilnībā.</w:t>
            </w:r>
          </w:p>
          <w:p w:rsidR="00B82A20" w:rsidRPr="00064717" w:rsidRDefault="00B82A20" w:rsidP="002A68C4">
            <w:pPr>
              <w:spacing w:before="100" w:beforeAutospacing="1" w:after="100" w:afterAutospacing="1"/>
              <w:jc w:val="both"/>
            </w:pPr>
            <w:r w:rsidRPr="00064717">
              <w:t>Norāda institūciju, kas ir atbildīga par šo saistību izpildi pilnībā</w:t>
            </w:r>
          </w:p>
        </w:tc>
        <w:tc>
          <w:tcPr>
            <w:tcW w:w="0" w:type="auto"/>
            <w:tcBorders>
              <w:top w:val="outset" w:sz="6" w:space="0" w:color="000000"/>
              <w:left w:val="outset" w:sz="6" w:space="0" w:color="000000"/>
              <w:bottom w:val="outset" w:sz="6" w:space="0" w:color="000000"/>
              <w:right w:val="outset" w:sz="6" w:space="0" w:color="000000"/>
            </w:tcBorders>
          </w:tcPr>
          <w:p w:rsidR="00B82A20" w:rsidRPr="00064717" w:rsidRDefault="00B82A20" w:rsidP="002A68C4">
            <w:pPr>
              <w:spacing w:before="100" w:beforeAutospacing="1" w:after="100" w:afterAutospacing="1"/>
              <w:jc w:val="both"/>
            </w:pPr>
            <w:r w:rsidRPr="00064717">
              <w:t>Informācija par to, vai šīs tabulas B ailē minētās projekta vienības paredz stingrākas prasības nekā šīs tabulas A ailē minētās ES tiesību akta vienības.</w:t>
            </w:r>
          </w:p>
          <w:p w:rsidR="00B82A20" w:rsidRPr="00064717" w:rsidRDefault="00B82A20" w:rsidP="002A68C4">
            <w:pPr>
              <w:spacing w:before="100" w:beforeAutospacing="1" w:after="100" w:afterAutospacing="1"/>
              <w:jc w:val="both"/>
            </w:pPr>
            <w:r w:rsidRPr="00064717">
              <w:t xml:space="preserve">Ja projekts satur stingrākas prasības nekā attiecīgais ES tiesību </w:t>
            </w:r>
            <w:smartTag w:uri="schemas-tilde-lv/tildestengine" w:element="veidnes">
              <w:smartTagPr>
                <w:attr w:name="text" w:val="akts"/>
                <w:attr w:name="baseform" w:val="akts"/>
                <w:attr w:name="id" w:val="-1"/>
              </w:smartTagPr>
              <w:r w:rsidRPr="00064717">
                <w:t>akts</w:t>
              </w:r>
            </w:smartTag>
            <w:r w:rsidRPr="00064717">
              <w:t>, - norāda pamatojumu un samērīgumu.</w:t>
            </w:r>
          </w:p>
          <w:p w:rsidR="00B82A20" w:rsidRPr="00064717" w:rsidRDefault="00B82A20" w:rsidP="002A68C4">
            <w:pPr>
              <w:spacing w:before="100" w:beforeAutospacing="1" w:after="100" w:afterAutospacing="1"/>
              <w:jc w:val="both"/>
            </w:pPr>
            <w:r w:rsidRPr="00064717">
              <w:t>Norāda iespējamās alternatīvas (t.sk. alternatīvas, kas neparedz tiesiskā regulējuma izstrādi) - kādos gadījumos būtu iespējams izvairīties no stingrāku prasību noteikšanas, nekā paredzēts attiecīgajos ES tiesību aktos</w:t>
            </w:r>
          </w:p>
        </w:tc>
      </w:tr>
      <w:tr w:rsidR="0011260A" w:rsidRPr="00064717" w:rsidTr="0011260A">
        <w:tc>
          <w:tcPr>
            <w:tcW w:w="1342" w:type="pct"/>
            <w:tcBorders>
              <w:top w:val="outset" w:sz="6" w:space="0" w:color="000000"/>
              <w:left w:val="outset" w:sz="6" w:space="0" w:color="000000"/>
              <w:bottom w:val="outset" w:sz="6" w:space="0" w:color="000000"/>
              <w:right w:val="outset" w:sz="6" w:space="0" w:color="000000"/>
            </w:tcBorders>
          </w:tcPr>
          <w:p w:rsidR="004C2F18" w:rsidRPr="00BB140F" w:rsidRDefault="004C2F18" w:rsidP="002A68C4">
            <w:pPr>
              <w:tabs>
                <w:tab w:val="num" w:pos="1440"/>
              </w:tabs>
              <w:ind w:left="43"/>
              <w:jc w:val="both"/>
            </w:pPr>
            <w:r w:rsidRPr="00EE2E05">
              <w:t>Regula</w:t>
            </w:r>
            <w:r>
              <w:t>s</w:t>
            </w:r>
            <w:r w:rsidRPr="00EE2E05">
              <w:t xml:space="preserve"> 2017/1954</w:t>
            </w:r>
            <w:r>
              <w:t xml:space="preserve"> v</w:t>
            </w:r>
            <w:r w:rsidR="00B82A20" w:rsidRPr="00BB140F">
              <w:t>isi panti</w:t>
            </w:r>
            <w:r w:rsidR="003111F7">
              <w:t xml:space="preserve"> un</w:t>
            </w:r>
            <w:r w:rsidR="00D16479">
              <w:t xml:space="preserve"> pielikums, ar ko </w:t>
            </w:r>
            <w:r>
              <w:t>aizstāj Regul</w:t>
            </w:r>
            <w:r w:rsidR="0011260A">
              <w:t>as</w:t>
            </w:r>
            <w:r>
              <w:t xml:space="preserve"> 1030/2002 </w:t>
            </w:r>
            <w:r w:rsidR="00D16479">
              <w:t>pielikumā ietverto uzturēšanās atļaujas aprakstu.</w:t>
            </w:r>
          </w:p>
          <w:p w:rsidR="00B82A20" w:rsidRDefault="00B82A20" w:rsidP="002A68C4"/>
          <w:p w:rsidR="004C2F18" w:rsidRPr="00BB140F" w:rsidRDefault="004C2F18" w:rsidP="00000B54">
            <w:pPr>
              <w:jc w:val="both"/>
            </w:pPr>
            <w:r>
              <w:t xml:space="preserve">Regulas 2019/1157 </w:t>
            </w:r>
            <w:r w:rsidRPr="004C2F18">
              <w:t xml:space="preserve">7.panta </w:t>
            </w:r>
            <w:r w:rsidR="00900649">
              <w:t xml:space="preserve">pirmā </w:t>
            </w:r>
            <w:r w:rsidRPr="004C2F18">
              <w:t xml:space="preserve">un </w:t>
            </w:r>
            <w:r w:rsidR="00900649">
              <w:t xml:space="preserve">otrā </w:t>
            </w:r>
            <w:r w:rsidRPr="004C2F18">
              <w:t>daļa.</w:t>
            </w:r>
          </w:p>
        </w:tc>
        <w:tc>
          <w:tcPr>
            <w:tcW w:w="1216" w:type="pct"/>
            <w:tcBorders>
              <w:top w:val="outset" w:sz="6" w:space="0" w:color="000000"/>
              <w:left w:val="outset" w:sz="6" w:space="0" w:color="000000"/>
              <w:bottom w:val="outset" w:sz="6" w:space="0" w:color="000000"/>
              <w:right w:val="outset" w:sz="6" w:space="0" w:color="000000"/>
            </w:tcBorders>
          </w:tcPr>
          <w:p w:rsidR="00EF7D16" w:rsidRDefault="00EF7D16" w:rsidP="002A68C4">
            <w:pPr>
              <w:tabs>
                <w:tab w:val="num" w:pos="1440"/>
              </w:tabs>
              <w:ind w:left="43"/>
              <w:jc w:val="both"/>
            </w:pPr>
            <w:r>
              <w:t>Projekta 1.punktā</w:t>
            </w:r>
            <w:r w:rsidR="00BB140F" w:rsidRPr="00BB140F">
              <w:t xml:space="preserve"> paredz</w:t>
            </w:r>
            <w:r>
              <w:t>ēts</w:t>
            </w:r>
            <w:r w:rsidR="00BB140F" w:rsidRPr="00BB140F">
              <w:t xml:space="preserve">, ka </w:t>
            </w:r>
            <w:r w:rsidR="00BB140F">
              <w:t xml:space="preserve">Noteikumi tiek papildināti ar </w:t>
            </w:r>
            <w:r>
              <w:t xml:space="preserve">atsauci uz regulu </w:t>
            </w:r>
            <w:r w:rsidRPr="00EF7D16">
              <w:t>1030/2002</w:t>
            </w:r>
            <w:r>
              <w:t>;</w:t>
            </w:r>
          </w:p>
          <w:p w:rsidR="00B82A20" w:rsidRDefault="00EF7D16" w:rsidP="002A68C4">
            <w:pPr>
              <w:tabs>
                <w:tab w:val="num" w:pos="1440"/>
              </w:tabs>
              <w:ind w:left="43"/>
              <w:jc w:val="both"/>
            </w:pPr>
            <w:r>
              <w:t>Projekta 2.punktā paredzēts, ka</w:t>
            </w:r>
            <w:r w:rsidR="00BB140F" w:rsidRPr="00BB140F">
              <w:t xml:space="preserve"> </w:t>
            </w:r>
            <w:r w:rsidR="00B82A20" w:rsidRPr="00BB140F">
              <w:t xml:space="preserve">10.pielikumā </w:t>
            </w:r>
            <w:r>
              <w:t>ietvertais</w:t>
            </w:r>
            <w:r w:rsidR="00B82A20" w:rsidRPr="00BB140F">
              <w:t xml:space="preserve"> uzturēšanās atļaujas paraugs</w:t>
            </w:r>
            <w:r>
              <w:t xml:space="preserve"> ir atbilstošs Regulas </w:t>
            </w:r>
            <w:r w:rsidR="00516478">
              <w:t>2017/1954 pielikumā noteiktajam.</w:t>
            </w:r>
          </w:p>
          <w:p w:rsidR="00B82A20" w:rsidRPr="00BB140F" w:rsidRDefault="0011260A" w:rsidP="00516478">
            <w:pPr>
              <w:tabs>
                <w:tab w:val="num" w:pos="1440"/>
              </w:tabs>
              <w:ind w:left="43"/>
              <w:jc w:val="both"/>
            </w:pPr>
            <w:r>
              <w:t xml:space="preserve">Atbilstoši </w:t>
            </w:r>
            <w:r w:rsidRPr="0011260A">
              <w:t xml:space="preserve">Regulas 2019/1157 </w:t>
            </w:r>
            <w:r>
              <w:t xml:space="preserve"> 7.panta </w:t>
            </w:r>
            <w:r w:rsidR="00DE7B7D">
              <w:t xml:space="preserve">pirmajā </w:t>
            </w:r>
            <w:r>
              <w:t xml:space="preserve">un </w:t>
            </w:r>
            <w:r w:rsidR="00DE7B7D">
              <w:t xml:space="preserve">otrajā </w:t>
            </w:r>
            <w:r>
              <w:t xml:space="preserve">daļā noteiktajam projektā ietverti uzturēšanās atļaujas </w:t>
            </w:r>
            <w:r>
              <w:lastRenderedPageBreak/>
              <w:t>paraugi, kas satur nosaukumus “Uzturēšanās atļauja” un “Pastāvīgās uzturēšanās atļauja”</w:t>
            </w:r>
          </w:p>
        </w:tc>
        <w:tc>
          <w:tcPr>
            <w:tcW w:w="0" w:type="auto"/>
            <w:tcBorders>
              <w:top w:val="outset" w:sz="6" w:space="0" w:color="000000"/>
              <w:left w:val="outset" w:sz="6" w:space="0" w:color="000000"/>
              <w:bottom w:val="outset" w:sz="6" w:space="0" w:color="000000"/>
              <w:right w:val="outset" w:sz="6" w:space="0" w:color="000000"/>
            </w:tcBorders>
          </w:tcPr>
          <w:p w:rsidR="00B82A20" w:rsidRDefault="00B82A20" w:rsidP="002A68C4">
            <w:pPr>
              <w:tabs>
                <w:tab w:val="num" w:pos="1440"/>
              </w:tabs>
              <w:ind w:left="43"/>
              <w:jc w:val="both"/>
            </w:pPr>
            <w:r w:rsidRPr="00BB140F">
              <w:lastRenderedPageBreak/>
              <w:t>Regulas</w:t>
            </w:r>
            <w:r w:rsidR="00BB140F" w:rsidRPr="00BB140F">
              <w:t xml:space="preserve"> normas</w:t>
            </w:r>
            <w:r w:rsidRPr="00BB140F">
              <w:t xml:space="preserve"> tiek ieviestas pilnībā</w:t>
            </w:r>
            <w:r w:rsidR="009D3908">
              <w:t>.</w:t>
            </w:r>
          </w:p>
          <w:p w:rsidR="009D3908" w:rsidRDefault="009D3908" w:rsidP="009D3908">
            <w:pPr>
              <w:tabs>
                <w:tab w:val="num" w:pos="1440"/>
              </w:tabs>
              <w:ind w:left="43"/>
              <w:jc w:val="both"/>
            </w:pPr>
            <w:r>
              <w:t xml:space="preserve">Institūcija, kas atbildīga par saistību izpildi, atbilstoši Personu apliecinošu dokumentu likuma </w:t>
            </w:r>
          </w:p>
          <w:p w:rsidR="00B82A20" w:rsidRPr="00BB140F" w:rsidRDefault="009D3908" w:rsidP="009D3908">
            <w:pPr>
              <w:tabs>
                <w:tab w:val="num" w:pos="1440"/>
              </w:tabs>
              <w:ind w:left="43"/>
              <w:jc w:val="both"/>
            </w:pPr>
            <w:r>
              <w:t>5.panta sestajā daļā noteiktajam, ka p</w:t>
            </w:r>
            <w:r w:rsidRPr="009D3908">
              <w:t>ersonas</w:t>
            </w:r>
            <w:r w:rsidR="00DE7B7D">
              <w:t xml:space="preserve"> </w:t>
            </w:r>
            <w:r w:rsidRPr="009D3908">
              <w:t xml:space="preserve">apliecības, </w:t>
            </w:r>
            <w:r>
              <w:t>[..]</w:t>
            </w:r>
            <w:r w:rsidRPr="009D3908">
              <w:t>,</w:t>
            </w:r>
            <w:r>
              <w:t xml:space="preserve"> </w:t>
            </w:r>
            <w:r w:rsidRPr="009D3908">
              <w:t>izsniedz Pilsonīb</w:t>
            </w:r>
            <w:r>
              <w:t>as un migrācijas lietu pārvalde, ir Pilsonības un migrācijas lietu pārvalde</w:t>
            </w:r>
            <w:r w:rsidR="00DD2EC8">
              <w:t>.</w:t>
            </w:r>
          </w:p>
        </w:tc>
        <w:tc>
          <w:tcPr>
            <w:tcW w:w="0" w:type="auto"/>
            <w:tcBorders>
              <w:top w:val="outset" w:sz="6" w:space="0" w:color="000000"/>
              <w:left w:val="outset" w:sz="6" w:space="0" w:color="000000"/>
              <w:bottom w:val="outset" w:sz="6" w:space="0" w:color="000000"/>
              <w:right w:val="outset" w:sz="6" w:space="0" w:color="000000"/>
            </w:tcBorders>
          </w:tcPr>
          <w:p w:rsidR="00B82A20" w:rsidRPr="00BB140F" w:rsidRDefault="00B82A20" w:rsidP="002A68C4">
            <w:pPr>
              <w:tabs>
                <w:tab w:val="num" w:pos="1440"/>
              </w:tabs>
              <w:ind w:left="43"/>
              <w:jc w:val="both"/>
            </w:pPr>
            <w:r w:rsidRPr="00BB140F">
              <w:t xml:space="preserve">Projekts neparedz </w:t>
            </w:r>
            <w:r w:rsidR="009D3908">
              <w:t>stingrākas prasības</w:t>
            </w:r>
            <w:r w:rsidR="00EF7D16">
              <w:t xml:space="preserve"> </w:t>
            </w:r>
            <w:r w:rsidR="009D3908">
              <w:t xml:space="preserve">nekā noteikts </w:t>
            </w:r>
            <w:r w:rsidR="00DD2EC8">
              <w:t xml:space="preserve">Regulā 1030/2002 un </w:t>
            </w:r>
            <w:r w:rsidR="009D3908">
              <w:t>Regulā 2017/1954</w:t>
            </w:r>
          </w:p>
          <w:p w:rsidR="00B82A20" w:rsidRPr="00BB140F" w:rsidRDefault="00B82A20" w:rsidP="002A68C4"/>
        </w:tc>
      </w:tr>
      <w:tr w:rsidR="0011260A" w:rsidRPr="00064717" w:rsidTr="0011260A">
        <w:tc>
          <w:tcPr>
            <w:tcW w:w="1342" w:type="pct"/>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line="360" w:lineRule="auto"/>
              <w:jc w:val="both"/>
            </w:pPr>
            <w:r w:rsidRPr="00064717">
              <w:t> </w:t>
            </w:r>
          </w:p>
        </w:tc>
        <w:tc>
          <w:tcPr>
            <w:tcW w:w="1216" w:type="pct"/>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tabs>
                <w:tab w:val="num" w:pos="1440"/>
              </w:tabs>
              <w:ind w:left="43"/>
              <w:jc w:val="both"/>
            </w:pPr>
            <w:r w:rsidRPr="00064717">
              <w:t> </w:t>
            </w:r>
          </w:p>
          <w:p w:rsidR="00B82A20" w:rsidRPr="00064717" w:rsidRDefault="00B82A20" w:rsidP="002A68C4">
            <w:pPr>
              <w:spacing w:line="360" w:lineRule="auto"/>
              <w:jc w:val="both"/>
            </w:pPr>
          </w:p>
        </w:tc>
        <w:tc>
          <w:tcPr>
            <w:tcW w:w="0" w:type="auto"/>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line="360" w:lineRule="auto"/>
              <w:jc w:val="both"/>
            </w:pPr>
            <w:r w:rsidRPr="00064717">
              <w:t> </w:t>
            </w:r>
          </w:p>
        </w:tc>
        <w:tc>
          <w:tcPr>
            <w:tcW w:w="0" w:type="auto"/>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line="360" w:lineRule="auto"/>
              <w:jc w:val="both"/>
            </w:pPr>
            <w:r w:rsidRPr="00064717">
              <w:t> </w:t>
            </w:r>
          </w:p>
        </w:tc>
      </w:tr>
      <w:tr w:rsidR="0011260A" w:rsidRPr="00064717" w:rsidTr="0011260A">
        <w:tc>
          <w:tcPr>
            <w:tcW w:w="1342" w:type="pct"/>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before="100" w:beforeAutospacing="1" w:after="100" w:afterAutospacing="1"/>
              <w:jc w:val="both"/>
            </w:pPr>
            <w:r w:rsidRPr="00064717">
              <w:t>Kā ir izmantota ES tiesību aktā paredzētā rīcības brīvība dalībvalstij pārņemt vai ieviest noteiktas ES tiesību akta normas.</w:t>
            </w:r>
          </w:p>
          <w:p w:rsidR="00B82A20" w:rsidRPr="00064717" w:rsidRDefault="00B82A20" w:rsidP="002A68C4">
            <w:pPr>
              <w:spacing w:before="100" w:beforeAutospacing="1" w:after="100" w:afterAutospacing="1"/>
              <w:jc w:val="both"/>
            </w:pPr>
            <w:r w:rsidRPr="00064717">
              <w:t>Kādēļ?</w:t>
            </w:r>
          </w:p>
        </w:tc>
        <w:tc>
          <w:tcPr>
            <w:tcW w:w="3658" w:type="pct"/>
            <w:gridSpan w:val="3"/>
            <w:tcBorders>
              <w:top w:val="outset" w:sz="6" w:space="0" w:color="000000"/>
              <w:left w:val="outset" w:sz="6" w:space="0" w:color="000000"/>
              <w:bottom w:val="outset" w:sz="6" w:space="0" w:color="000000"/>
              <w:right w:val="outset" w:sz="6" w:space="0" w:color="000000"/>
            </w:tcBorders>
          </w:tcPr>
          <w:p w:rsidR="00903564" w:rsidRPr="00064717" w:rsidRDefault="00903564" w:rsidP="002A68C4">
            <w:pPr>
              <w:tabs>
                <w:tab w:val="num" w:pos="1440"/>
              </w:tabs>
              <w:ind w:left="43"/>
              <w:jc w:val="both"/>
            </w:pPr>
            <w:r>
              <w:t>Regulas 2017/1954 pielikuma 12.punktā paredzēts, ka dalībvalstis uzturēšanās atļaujās var ierakstīt ziņas un piezīmes lietošanai savā valstī, tostarp piezīmes, kas attiecas uz atļauju strādāt vai neierobežotu uzturēšanās atļaujas derīguma termiņu.  Noteikumu 10.pielikumā ietvertajā uzturēšanās atļaujas paraugā netiek detalizēti atspoguļots piezīmju lauku saturs, kas tiek regulēts migrācijas jomu regulējošos tiesību aktos.</w:t>
            </w:r>
          </w:p>
          <w:p w:rsidR="00903564" w:rsidRPr="00064717" w:rsidRDefault="00903564" w:rsidP="00000B54">
            <w:pPr>
              <w:jc w:val="both"/>
            </w:pPr>
            <w:r w:rsidRPr="00903564">
              <w:t>Regulas 2017/1954 pielikuma 1</w:t>
            </w:r>
            <w:r>
              <w:t xml:space="preserve">6.3.punktā paredzēts fakultatīvs lauks informācijai saistībā ar kartes izgatavošanu. Projektā paredzēts, ka Latvijā izdotajās uzturēšanās atļaujās fakultatīvajā laukā tiek ietverts </w:t>
            </w:r>
            <w:proofErr w:type="spellStart"/>
            <w:r>
              <w:t>divdimensiju</w:t>
            </w:r>
            <w:proofErr w:type="spellEnd"/>
            <w:r>
              <w:t xml:space="preserve"> kods, kas satur informāciju par kartes sagatavi, kas nepieciešama sagatavju </w:t>
            </w:r>
            <w:proofErr w:type="spellStart"/>
            <w:r>
              <w:t>personalizācijas</w:t>
            </w:r>
            <w:proofErr w:type="spellEnd"/>
            <w:r>
              <w:t xml:space="preserve"> procesa un</w:t>
            </w:r>
            <w:r w:rsidR="003F4421">
              <w:t xml:space="preserve"> uzturēšanās atļaujas</w:t>
            </w:r>
            <w:r>
              <w:t xml:space="preserve"> izsniegšanas procesa nodrošināšanai</w:t>
            </w:r>
            <w:r w:rsidR="00D450DE">
              <w:t>.</w:t>
            </w:r>
          </w:p>
        </w:tc>
      </w:tr>
      <w:tr w:rsidR="0011260A" w:rsidRPr="00064717" w:rsidTr="0011260A">
        <w:trPr>
          <w:trHeight w:val="3181"/>
        </w:trPr>
        <w:tc>
          <w:tcPr>
            <w:tcW w:w="1342" w:type="pct"/>
            <w:tcBorders>
              <w:top w:val="outset" w:sz="6" w:space="0" w:color="000000"/>
              <w:left w:val="outset" w:sz="6" w:space="0" w:color="000000"/>
              <w:bottom w:val="outset" w:sz="6" w:space="0" w:color="000000"/>
              <w:right w:val="outset" w:sz="6" w:space="0" w:color="000000"/>
            </w:tcBorders>
            <w:vAlign w:val="center"/>
          </w:tcPr>
          <w:p w:rsidR="00B82A20" w:rsidRPr="00064717" w:rsidRDefault="00B82A20" w:rsidP="002A68C4">
            <w:pPr>
              <w:spacing w:before="100" w:beforeAutospacing="1" w:after="100" w:afterAutospacing="1"/>
              <w:jc w:val="both"/>
            </w:pPr>
            <w:r w:rsidRPr="0006471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8" w:type="pct"/>
            <w:gridSpan w:val="3"/>
            <w:tcBorders>
              <w:top w:val="outset" w:sz="6" w:space="0" w:color="000000"/>
              <w:left w:val="outset" w:sz="6" w:space="0" w:color="000000"/>
              <w:bottom w:val="outset" w:sz="6" w:space="0" w:color="000000"/>
              <w:right w:val="outset" w:sz="6" w:space="0" w:color="000000"/>
            </w:tcBorders>
          </w:tcPr>
          <w:p w:rsidR="00B82A20" w:rsidRPr="00064717" w:rsidRDefault="00B82A20" w:rsidP="002A68C4">
            <w:pPr>
              <w:tabs>
                <w:tab w:val="num" w:pos="1440"/>
              </w:tabs>
              <w:ind w:left="43"/>
              <w:jc w:val="both"/>
            </w:pPr>
            <w:r>
              <w:t>Projekts šo jomu neskar</w:t>
            </w:r>
          </w:p>
          <w:p w:rsidR="00B82A20" w:rsidRPr="00064717" w:rsidRDefault="00B82A20" w:rsidP="002A68C4"/>
        </w:tc>
      </w:tr>
      <w:tr w:rsidR="0011260A" w:rsidRPr="00064717" w:rsidTr="0011260A">
        <w:tc>
          <w:tcPr>
            <w:tcW w:w="1342" w:type="pct"/>
            <w:tcBorders>
              <w:top w:val="outset" w:sz="6" w:space="0" w:color="000000"/>
              <w:left w:val="outset" w:sz="6" w:space="0" w:color="000000"/>
              <w:bottom w:val="outset" w:sz="6" w:space="0" w:color="000000"/>
              <w:right w:val="outset" w:sz="6" w:space="0" w:color="000000"/>
            </w:tcBorders>
          </w:tcPr>
          <w:p w:rsidR="00B82A20" w:rsidRPr="00064717" w:rsidRDefault="00B82A20" w:rsidP="002A68C4">
            <w:pPr>
              <w:spacing w:before="100" w:beforeAutospacing="1" w:after="100" w:afterAutospacing="1"/>
              <w:jc w:val="both"/>
            </w:pPr>
            <w:r w:rsidRPr="00064717">
              <w:t>Cita informācija</w:t>
            </w:r>
          </w:p>
        </w:tc>
        <w:tc>
          <w:tcPr>
            <w:tcW w:w="3658" w:type="pct"/>
            <w:gridSpan w:val="3"/>
            <w:tcBorders>
              <w:top w:val="outset" w:sz="6" w:space="0" w:color="000000"/>
              <w:left w:val="outset" w:sz="6" w:space="0" w:color="000000"/>
              <w:bottom w:val="outset" w:sz="6" w:space="0" w:color="000000"/>
              <w:right w:val="outset" w:sz="6" w:space="0" w:color="000000"/>
            </w:tcBorders>
          </w:tcPr>
          <w:p w:rsidR="00EF7D16" w:rsidRDefault="00B82A20" w:rsidP="002A68C4">
            <w:pPr>
              <w:jc w:val="both"/>
            </w:pPr>
            <w:r w:rsidRPr="00BB140F">
              <w:t xml:space="preserve">Ar Projektu šīs sadaļas 1.punktā minētās </w:t>
            </w:r>
            <w:r w:rsidR="00EF7D16" w:rsidRPr="00EF7D16">
              <w:t>Regula</w:t>
            </w:r>
            <w:r w:rsidR="009D3908">
              <w:t>s</w:t>
            </w:r>
            <w:r w:rsidR="00EF7D16" w:rsidRPr="00EF7D16">
              <w:t xml:space="preserve"> 2017/1954</w:t>
            </w:r>
            <w:r w:rsidR="009D3908">
              <w:t xml:space="preserve"> pielikumā esošās prasības </w:t>
            </w:r>
            <w:r w:rsidR="00BB140F" w:rsidRPr="00BB140F">
              <w:t xml:space="preserve">tiek ieviestas </w:t>
            </w:r>
            <w:r w:rsidR="00EF7D16">
              <w:t xml:space="preserve"> </w:t>
            </w:r>
            <w:r w:rsidRPr="00BB140F">
              <w:t xml:space="preserve">pilnībā. </w:t>
            </w:r>
          </w:p>
          <w:p w:rsidR="00B82A20" w:rsidRPr="00064717" w:rsidRDefault="00B82A20" w:rsidP="00017BF6">
            <w:pPr>
              <w:jc w:val="both"/>
            </w:pPr>
            <w:r w:rsidRPr="00BB140F">
              <w:t>Regulās iekļautās normas attiecas uz vienotu personu apliecinošu dokumentu – uzturēšanās atļauju formu un tajās iekļaujamās informācijas apjomu, kas, savukārt, tiek noteikts projektā.</w:t>
            </w:r>
          </w:p>
        </w:tc>
      </w:tr>
    </w:tbl>
    <w:p w:rsidR="00BD5588" w:rsidRPr="000F1F99" w:rsidRDefault="00BD5588" w:rsidP="00B82A20">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0F1F99" w:rsidTr="009E0502">
        <w:trPr>
          <w:cantSplit/>
        </w:trPr>
        <w:tc>
          <w:tcPr>
            <w:tcW w:w="5000" w:type="pct"/>
            <w:vAlign w:val="center"/>
            <w:hideMark/>
          </w:tcPr>
          <w:p w:rsidR="00BD5588" w:rsidRPr="000F1F99" w:rsidRDefault="00BD5588" w:rsidP="009E0502">
            <w:pPr>
              <w:jc w:val="center"/>
              <w:rPr>
                <w:b/>
                <w:bCs/>
              </w:rPr>
            </w:pPr>
            <w:r w:rsidRPr="000F1F99">
              <w:rPr>
                <w:b/>
                <w:bCs/>
              </w:rPr>
              <w:t>VI. Sabiedrības līdzdalība un komunikācijas aktivitātes</w:t>
            </w:r>
          </w:p>
        </w:tc>
      </w:tr>
      <w:tr w:rsidR="00E40B27" w:rsidRPr="000F1F99" w:rsidTr="009E0502">
        <w:trPr>
          <w:cantSplit/>
        </w:trPr>
        <w:tc>
          <w:tcPr>
            <w:tcW w:w="5000" w:type="pct"/>
            <w:vAlign w:val="center"/>
          </w:tcPr>
          <w:p w:rsidR="00E40B27" w:rsidRPr="000F1F99" w:rsidRDefault="00E40B27" w:rsidP="009E0502">
            <w:pPr>
              <w:jc w:val="center"/>
              <w:rPr>
                <w:b/>
                <w:bCs/>
              </w:rPr>
            </w:pPr>
            <w:r>
              <w:rPr>
                <w:lang w:eastAsia="en-US"/>
              </w:rPr>
              <w:t>Projekts šo jomu neskar.</w:t>
            </w:r>
          </w:p>
        </w:tc>
      </w:tr>
    </w:tbl>
    <w:p w:rsidR="00BD5588" w:rsidRPr="000F1F99"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0F1F99" w:rsidTr="009E0502">
        <w:trPr>
          <w:cantSplit/>
        </w:trPr>
        <w:tc>
          <w:tcPr>
            <w:tcW w:w="5000" w:type="pct"/>
            <w:gridSpan w:val="3"/>
            <w:vAlign w:val="center"/>
            <w:hideMark/>
          </w:tcPr>
          <w:p w:rsidR="00BD5588" w:rsidRPr="000F1F99" w:rsidRDefault="00BD5588" w:rsidP="009E0502">
            <w:pPr>
              <w:jc w:val="center"/>
              <w:rPr>
                <w:b/>
                <w:bCs/>
              </w:rPr>
            </w:pPr>
            <w:r w:rsidRPr="000F1F99">
              <w:rPr>
                <w:b/>
                <w:bCs/>
              </w:rPr>
              <w:t>VII. Tiesību akta projekta izpildes nodrošināšana un tās ietekme uz institūcijām</w:t>
            </w:r>
          </w:p>
        </w:tc>
      </w:tr>
      <w:tr w:rsidR="00BD5588" w:rsidRPr="000F1F99" w:rsidTr="009E0502">
        <w:trPr>
          <w:cantSplit/>
        </w:trPr>
        <w:tc>
          <w:tcPr>
            <w:tcW w:w="311" w:type="pct"/>
            <w:hideMark/>
          </w:tcPr>
          <w:p w:rsidR="00BD5588" w:rsidRPr="000F1F99" w:rsidRDefault="00BD5588" w:rsidP="009E0502">
            <w:pPr>
              <w:jc w:val="center"/>
            </w:pPr>
            <w:r w:rsidRPr="000F1F99">
              <w:lastRenderedPageBreak/>
              <w:t>1.</w:t>
            </w:r>
          </w:p>
        </w:tc>
        <w:tc>
          <w:tcPr>
            <w:tcW w:w="1479" w:type="pct"/>
            <w:hideMark/>
          </w:tcPr>
          <w:p w:rsidR="00BD5588" w:rsidRPr="000F1F99" w:rsidRDefault="00BD5588" w:rsidP="009E0502">
            <w:r w:rsidRPr="000F1F99">
              <w:t>Projekta izpildē iesaistītās institūcijas</w:t>
            </w:r>
          </w:p>
        </w:tc>
        <w:tc>
          <w:tcPr>
            <w:tcW w:w="3210" w:type="pct"/>
            <w:hideMark/>
          </w:tcPr>
          <w:p w:rsidR="00BD5588" w:rsidRPr="000F1F99" w:rsidRDefault="00406250" w:rsidP="009E0502">
            <w:r>
              <w:t xml:space="preserve">Pilsonības un migrācijas lietu pārvalde. </w:t>
            </w:r>
          </w:p>
        </w:tc>
      </w:tr>
      <w:tr w:rsidR="00BD5588" w:rsidRPr="000F1F99" w:rsidTr="009E0502">
        <w:trPr>
          <w:cantSplit/>
        </w:trPr>
        <w:tc>
          <w:tcPr>
            <w:tcW w:w="311" w:type="pct"/>
            <w:hideMark/>
          </w:tcPr>
          <w:p w:rsidR="00BD5588" w:rsidRPr="000F1F99" w:rsidRDefault="00BD5588" w:rsidP="009E0502">
            <w:pPr>
              <w:jc w:val="center"/>
            </w:pPr>
            <w:r w:rsidRPr="000F1F99">
              <w:t>2.</w:t>
            </w:r>
          </w:p>
        </w:tc>
        <w:tc>
          <w:tcPr>
            <w:tcW w:w="1479" w:type="pct"/>
            <w:hideMark/>
          </w:tcPr>
          <w:p w:rsidR="00BD5588" w:rsidRPr="000F1F99" w:rsidRDefault="00BD5588" w:rsidP="009E0502">
            <w:r w:rsidRPr="000F1F99">
              <w:t>Projekta izpildes ietekme uz pārvaldes funkcijām un institucionālo struktūru.</w:t>
            </w:r>
            <w:r w:rsidRPr="000F1F99">
              <w:br/>
              <w:t>Jaunu institūciju izveide, esošu institūciju likvidācija vai reorganizācija, to ietekme uz institūcijas cilvēkresursiem</w:t>
            </w:r>
          </w:p>
        </w:tc>
        <w:tc>
          <w:tcPr>
            <w:tcW w:w="3210" w:type="pct"/>
            <w:hideMark/>
          </w:tcPr>
          <w:p w:rsidR="00BD5588" w:rsidRPr="000F1F99" w:rsidRDefault="00C42A44" w:rsidP="00C42A44">
            <w:pPr>
              <w:jc w:val="both"/>
            </w:pPr>
            <w:r>
              <w:t xml:space="preserve">Noteikumu projekta izpildes rezultātā nav paredzēta esošu institūciju likvidācija vai reorganizācija. Iestāžu institucionālā struktūra netiek ietekmēta, papildus cilvēkresursi nav nepieciešami. </w:t>
            </w:r>
          </w:p>
        </w:tc>
      </w:tr>
      <w:tr w:rsidR="00BD5588" w:rsidRPr="000F1F99" w:rsidTr="009E0502">
        <w:trPr>
          <w:cantSplit/>
        </w:trPr>
        <w:tc>
          <w:tcPr>
            <w:tcW w:w="311" w:type="pct"/>
            <w:hideMark/>
          </w:tcPr>
          <w:p w:rsidR="00BD5588" w:rsidRPr="000F1F99" w:rsidRDefault="00BD5588" w:rsidP="009E0502">
            <w:pPr>
              <w:jc w:val="center"/>
            </w:pPr>
            <w:r w:rsidRPr="000F1F99">
              <w:t>3.</w:t>
            </w:r>
          </w:p>
        </w:tc>
        <w:tc>
          <w:tcPr>
            <w:tcW w:w="1479" w:type="pct"/>
            <w:hideMark/>
          </w:tcPr>
          <w:p w:rsidR="00BD5588" w:rsidRPr="000F1F99" w:rsidRDefault="00BD5588" w:rsidP="009E0502">
            <w:r w:rsidRPr="000F1F99">
              <w:t>Cita informācija</w:t>
            </w:r>
          </w:p>
        </w:tc>
        <w:tc>
          <w:tcPr>
            <w:tcW w:w="3210" w:type="pct"/>
            <w:hideMark/>
          </w:tcPr>
          <w:p w:rsidR="00BD5588" w:rsidRPr="000F1F99" w:rsidRDefault="00C42A44" w:rsidP="009E0502">
            <w:r>
              <w:t xml:space="preserve">Nav. </w:t>
            </w:r>
          </w:p>
        </w:tc>
      </w:tr>
    </w:tbl>
    <w:p w:rsidR="00E44472" w:rsidRDefault="00E44472"/>
    <w:p w:rsidR="004D2E8B" w:rsidRDefault="004D2E8B"/>
    <w:p w:rsidR="00F401FA" w:rsidRDefault="00F401FA"/>
    <w:p w:rsidR="00EB7F3C" w:rsidRDefault="00EB7F3C">
      <w:proofErr w:type="spellStart"/>
      <w:r>
        <w:t>Iekšlietu</w:t>
      </w:r>
      <w:proofErr w:type="spellEnd"/>
      <w:r>
        <w:t xml:space="preserve"> ministrs </w:t>
      </w:r>
      <w:r>
        <w:tab/>
      </w:r>
      <w:r>
        <w:tab/>
      </w:r>
      <w:r>
        <w:tab/>
      </w:r>
      <w:r>
        <w:tab/>
      </w:r>
      <w:r>
        <w:tab/>
      </w:r>
      <w:r>
        <w:tab/>
      </w:r>
      <w:r w:rsidR="00FB08F9">
        <w:t>S.</w:t>
      </w:r>
      <w:r>
        <w:t xml:space="preserve"> </w:t>
      </w:r>
      <w:proofErr w:type="spellStart"/>
      <w:r>
        <w:t>Ģirģens</w:t>
      </w:r>
      <w:proofErr w:type="spellEnd"/>
    </w:p>
    <w:p w:rsidR="00EB7F3C" w:rsidRDefault="00EB7F3C"/>
    <w:p w:rsidR="00EB7F3C" w:rsidRDefault="00EB7F3C"/>
    <w:p w:rsidR="00EB7F3C" w:rsidRDefault="00EB7F3C">
      <w:r>
        <w:t>Vīza:</w:t>
      </w:r>
    </w:p>
    <w:p w:rsidR="00EB7F3C" w:rsidRDefault="00EB7F3C">
      <w:r>
        <w:t xml:space="preserve">valsts sekretārs </w:t>
      </w:r>
      <w:r>
        <w:tab/>
      </w:r>
      <w:r>
        <w:tab/>
      </w:r>
      <w:r>
        <w:tab/>
      </w:r>
      <w:r>
        <w:tab/>
      </w:r>
      <w:r>
        <w:tab/>
      </w:r>
      <w:r>
        <w:tab/>
      </w:r>
      <w:r w:rsidR="00FB08F9">
        <w:t>D.</w:t>
      </w:r>
      <w:r>
        <w:t xml:space="preserve"> Trofimovs</w:t>
      </w:r>
    </w:p>
    <w:p w:rsidR="001D1F32" w:rsidRDefault="001D1F32"/>
    <w:p w:rsidR="001D1F32" w:rsidRDefault="001D1F32"/>
    <w:p w:rsidR="00EB7F3C" w:rsidRDefault="00EB7F3C"/>
    <w:p w:rsidR="00EB7F3C" w:rsidRDefault="00EA01D5">
      <w:pPr>
        <w:rPr>
          <w:i/>
          <w:sz w:val="20"/>
          <w:szCs w:val="20"/>
        </w:rPr>
      </w:pPr>
      <w:proofErr w:type="spellStart"/>
      <w:r w:rsidRPr="00EA01D5">
        <w:rPr>
          <w:i/>
          <w:sz w:val="20"/>
          <w:szCs w:val="20"/>
        </w:rPr>
        <w:t>D.Kupče</w:t>
      </w:r>
      <w:proofErr w:type="spellEnd"/>
      <w:r>
        <w:rPr>
          <w:i/>
          <w:sz w:val="20"/>
          <w:szCs w:val="20"/>
        </w:rPr>
        <w:t>, 67219543</w:t>
      </w:r>
    </w:p>
    <w:p w:rsidR="00EA01D5" w:rsidRPr="00EA01D5" w:rsidRDefault="00EA01D5">
      <w:pPr>
        <w:rPr>
          <w:i/>
          <w:sz w:val="20"/>
          <w:szCs w:val="20"/>
        </w:rPr>
      </w:pPr>
      <w:r>
        <w:rPr>
          <w:i/>
          <w:sz w:val="20"/>
          <w:szCs w:val="20"/>
        </w:rPr>
        <w:t>dace.kupce@pmlp.gov.lv</w:t>
      </w:r>
    </w:p>
    <w:sectPr w:rsidR="00EA01D5" w:rsidRPr="00EA01D5" w:rsidSect="00EA2F05">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FC" w:rsidRDefault="00975AFC" w:rsidP="00741B2B">
      <w:r>
        <w:separator/>
      </w:r>
    </w:p>
  </w:endnote>
  <w:endnote w:type="continuationSeparator" w:id="0">
    <w:p w:rsidR="00975AFC" w:rsidRDefault="00975AFC" w:rsidP="0074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5B" w:rsidRPr="00272A5B" w:rsidRDefault="003A268E" w:rsidP="00407FFA">
    <w:pPr>
      <w:pStyle w:val="Footer"/>
      <w:jc w:val="both"/>
      <w:rPr>
        <w:sz w:val="20"/>
        <w:szCs w:val="20"/>
      </w:rPr>
    </w:pPr>
    <w:r>
      <w:rPr>
        <w:sz w:val="20"/>
        <w:szCs w:val="20"/>
      </w:rPr>
      <w:t>IEMAnot_</w:t>
    </w:r>
    <w:r w:rsidR="00FB08F9">
      <w:rPr>
        <w:sz w:val="20"/>
        <w:szCs w:val="20"/>
      </w:rPr>
      <w:t>1</w:t>
    </w:r>
    <w:r w:rsidR="007B3A00">
      <w:rPr>
        <w:sz w:val="20"/>
        <w:szCs w:val="20"/>
      </w:rPr>
      <w:t>5</w:t>
    </w:r>
    <w:r w:rsidR="00F53F5E">
      <w:rPr>
        <w:sz w:val="20"/>
        <w:szCs w:val="20"/>
      </w:rPr>
      <w:t>1220</w:t>
    </w:r>
    <w:r w:rsidR="00FB08F9">
      <w:rPr>
        <w:sz w:val="20"/>
        <w:szCs w:val="20"/>
      </w:rPr>
      <w:t>_</w:t>
    </w:r>
    <w:r>
      <w:rPr>
        <w:sz w:val="20"/>
        <w:szCs w:val="20"/>
      </w:rPr>
      <w:t>paraug</w:t>
    </w:r>
    <w:r w:rsidR="00F53F5E">
      <w:rPr>
        <w:sz w:val="20"/>
        <w:szCs w:val="20"/>
      </w:rPr>
      <w:t>s</w:t>
    </w:r>
    <w:r w:rsidR="00FB08F9">
      <w:rPr>
        <w:sz w:val="20"/>
        <w:szCs w:val="20"/>
      </w:rPr>
      <w:t>_UA</w:t>
    </w:r>
  </w:p>
  <w:p w:rsidR="00741B2B" w:rsidRPr="00272A5B" w:rsidRDefault="00741B2B" w:rsidP="00272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5B" w:rsidRPr="00741B2B" w:rsidRDefault="003A268E" w:rsidP="00272A5B">
    <w:pPr>
      <w:pStyle w:val="Footer"/>
      <w:jc w:val="both"/>
      <w:rPr>
        <w:sz w:val="20"/>
        <w:szCs w:val="20"/>
      </w:rPr>
    </w:pPr>
    <w:r>
      <w:rPr>
        <w:sz w:val="20"/>
        <w:szCs w:val="20"/>
      </w:rPr>
      <w:t>IEMAnot_</w:t>
    </w:r>
    <w:r w:rsidR="00FB08F9">
      <w:rPr>
        <w:sz w:val="20"/>
        <w:szCs w:val="20"/>
      </w:rPr>
      <w:t>1</w:t>
    </w:r>
    <w:r w:rsidR="007B3A00">
      <w:rPr>
        <w:sz w:val="20"/>
        <w:szCs w:val="20"/>
      </w:rPr>
      <w:t>5</w:t>
    </w:r>
    <w:r w:rsidR="00F53F5E">
      <w:rPr>
        <w:sz w:val="20"/>
        <w:szCs w:val="20"/>
      </w:rPr>
      <w:t>1220</w:t>
    </w:r>
    <w:r w:rsidR="00FB08F9">
      <w:rPr>
        <w:sz w:val="20"/>
        <w:szCs w:val="20"/>
      </w:rPr>
      <w:t>_</w:t>
    </w:r>
    <w:r w:rsidR="000D4925">
      <w:rPr>
        <w:sz w:val="20"/>
        <w:szCs w:val="20"/>
      </w:rPr>
      <w:t>paraug</w:t>
    </w:r>
    <w:r w:rsidR="00520F4F">
      <w:rPr>
        <w:sz w:val="20"/>
        <w:szCs w:val="20"/>
      </w:rPr>
      <w:t>s</w:t>
    </w:r>
    <w:r w:rsidR="00FB08F9">
      <w:rPr>
        <w:sz w:val="20"/>
        <w:szCs w:val="20"/>
      </w:rPr>
      <w:t>_UA</w:t>
    </w:r>
  </w:p>
  <w:p w:rsidR="0017767F" w:rsidRDefault="00177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FC" w:rsidRDefault="00975AFC" w:rsidP="00741B2B">
      <w:r>
        <w:separator/>
      </w:r>
    </w:p>
  </w:footnote>
  <w:footnote w:type="continuationSeparator" w:id="0">
    <w:p w:rsidR="00975AFC" w:rsidRDefault="00975AFC" w:rsidP="00741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59152"/>
      <w:docPartObj>
        <w:docPartGallery w:val="Page Numbers (Top of Page)"/>
        <w:docPartUnique/>
      </w:docPartObj>
    </w:sdtPr>
    <w:sdtEndPr>
      <w:rPr>
        <w:noProof/>
        <w:sz w:val="20"/>
        <w:szCs w:val="20"/>
      </w:rPr>
    </w:sdtEndPr>
    <w:sdtContent>
      <w:p w:rsidR="00EA01D5" w:rsidRDefault="00EA01D5">
        <w:pPr>
          <w:pStyle w:val="Header"/>
          <w:jc w:val="center"/>
        </w:pPr>
        <w:r w:rsidRPr="00EA01D5">
          <w:rPr>
            <w:sz w:val="20"/>
            <w:szCs w:val="20"/>
          </w:rPr>
          <w:fldChar w:fldCharType="begin"/>
        </w:r>
        <w:r w:rsidRPr="00EA01D5">
          <w:rPr>
            <w:sz w:val="20"/>
            <w:szCs w:val="20"/>
          </w:rPr>
          <w:instrText xml:space="preserve"> PAGE   \* MERGEFORMAT </w:instrText>
        </w:r>
        <w:r w:rsidRPr="00EA01D5">
          <w:rPr>
            <w:sz w:val="20"/>
            <w:szCs w:val="20"/>
          </w:rPr>
          <w:fldChar w:fldCharType="separate"/>
        </w:r>
        <w:r w:rsidR="00000B54">
          <w:rPr>
            <w:noProof/>
            <w:sz w:val="20"/>
            <w:szCs w:val="20"/>
          </w:rPr>
          <w:t>7</w:t>
        </w:r>
        <w:r w:rsidRPr="00EA01D5">
          <w:rPr>
            <w:noProof/>
            <w:sz w:val="20"/>
            <w:szCs w:val="20"/>
          </w:rPr>
          <w:fldChar w:fldCharType="end"/>
        </w:r>
      </w:p>
    </w:sdtContent>
  </w:sdt>
  <w:p w:rsidR="00EA01D5" w:rsidRDefault="00EA0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7A73"/>
    <w:multiLevelType w:val="hybridMultilevel"/>
    <w:tmpl w:val="E1D8C6F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C053449"/>
    <w:multiLevelType w:val="hybridMultilevel"/>
    <w:tmpl w:val="07FE1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B54"/>
    <w:rsid w:val="000017F9"/>
    <w:rsid w:val="0001276F"/>
    <w:rsid w:val="00017BF6"/>
    <w:rsid w:val="00043072"/>
    <w:rsid w:val="00053263"/>
    <w:rsid w:val="00075510"/>
    <w:rsid w:val="000B218E"/>
    <w:rsid w:val="000C1484"/>
    <w:rsid w:val="000C4CE2"/>
    <w:rsid w:val="000D47F7"/>
    <w:rsid w:val="000D4925"/>
    <w:rsid w:val="000E7E61"/>
    <w:rsid w:val="000F1F99"/>
    <w:rsid w:val="00102DA6"/>
    <w:rsid w:val="0010438D"/>
    <w:rsid w:val="001069C7"/>
    <w:rsid w:val="00112251"/>
    <w:rsid w:val="0011260A"/>
    <w:rsid w:val="00116647"/>
    <w:rsid w:val="00126991"/>
    <w:rsid w:val="00145997"/>
    <w:rsid w:val="00176DF6"/>
    <w:rsid w:val="0017760E"/>
    <w:rsid w:val="0017767F"/>
    <w:rsid w:val="00177E7C"/>
    <w:rsid w:val="0018003D"/>
    <w:rsid w:val="00196404"/>
    <w:rsid w:val="001A5E25"/>
    <w:rsid w:val="001B6F0C"/>
    <w:rsid w:val="001C7D18"/>
    <w:rsid w:val="001D1F32"/>
    <w:rsid w:val="00225011"/>
    <w:rsid w:val="002322A1"/>
    <w:rsid w:val="00243BE5"/>
    <w:rsid w:val="00252FD0"/>
    <w:rsid w:val="002715E6"/>
    <w:rsid w:val="00272A5B"/>
    <w:rsid w:val="0027726A"/>
    <w:rsid w:val="00280671"/>
    <w:rsid w:val="0028228A"/>
    <w:rsid w:val="002E00CF"/>
    <w:rsid w:val="002E1AB3"/>
    <w:rsid w:val="002E4410"/>
    <w:rsid w:val="00301ABF"/>
    <w:rsid w:val="003111F7"/>
    <w:rsid w:val="00311530"/>
    <w:rsid w:val="00317AE7"/>
    <w:rsid w:val="00350AF0"/>
    <w:rsid w:val="0035125B"/>
    <w:rsid w:val="003868B3"/>
    <w:rsid w:val="003A268E"/>
    <w:rsid w:val="003C0544"/>
    <w:rsid w:val="003C3EF6"/>
    <w:rsid w:val="003C480E"/>
    <w:rsid w:val="003F2E7F"/>
    <w:rsid w:val="003F4421"/>
    <w:rsid w:val="00406250"/>
    <w:rsid w:val="00407FFA"/>
    <w:rsid w:val="00410E19"/>
    <w:rsid w:val="00412052"/>
    <w:rsid w:val="004133C8"/>
    <w:rsid w:val="00424F20"/>
    <w:rsid w:val="0042517A"/>
    <w:rsid w:val="004720A3"/>
    <w:rsid w:val="004730AC"/>
    <w:rsid w:val="004A117B"/>
    <w:rsid w:val="004B0790"/>
    <w:rsid w:val="004C2F18"/>
    <w:rsid w:val="004D2E8B"/>
    <w:rsid w:val="004F0631"/>
    <w:rsid w:val="0050772A"/>
    <w:rsid w:val="00516478"/>
    <w:rsid w:val="00520F4F"/>
    <w:rsid w:val="005539FB"/>
    <w:rsid w:val="00571698"/>
    <w:rsid w:val="005A21CF"/>
    <w:rsid w:val="005C51C3"/>
    <w:rsid w:val="005E1116"/>
    <w:rsid w:val="005E1AD7"/>
    <w:rsid w:val="00600345"/>
    <w:rsid w:val="0063377A"/>
    <w:rsid w:val="006345CE"/>
    <w:rsid w:val="00640A62"/>
    <w:rsid w:val="00652227"/>
    <w:rsid w:val="0066112E"/>
    <w:rsid w:val="00662312"/>
    <w:rsid w:val="006732F2"/>
    <w:rsid w:val="00685A26"/>
    <w:rsid w:val="006D2BF4"/>
    <w:rsid w:val="006E5878"/>
    <w:rsid w:val="00741B2B"/>
    <w:rsid w:val="007529D8"/>
    <w:rsid w:val="00756BF4"/>
    <w:rsid w:val="00766B4E"/>
    <w:rsid w:val="007729BC"/>
    <w:rsid w:val="00786E14"/>
    <w:rsid w:val="00791883"/>
    <w:rsid w:val="007A6CEB"/>
    <w:rsid w:val="007B3A00"/>
    <w:rsid w:val="007B6E9E"/>
    <w:rsid w:val="00801A2F"/>
    <w:rsid w:val="00847073"/>
    <w:rsid w:val="008537A3"/>
    <w:rsid w:val="00885F08"/>
    <w:rsid w:val="00886F92"/>
    <w:rsid w:val="00895E75"/>
    <w:rsid w:val="008A3EDF"/>
    <w:rsid w:val="008A4064"/>
    <w:rsid w:val="008B11AA"/>
    <w:rsid w:val="008D17EB"/>
    <w:rsid w:val="008D5DD6"/>
    <w:rsid w:val="008E7747"/>
    <w:rsid w:val="00900649"/>
    <w:rsid w:val="00903564"/>
    <w:rsid w:val="00903C95"/>
    <w:rsid w:val="009145CE"/>
    <w:rsid w:val="00947570"/>
    <w:rsid w:val="009533AE"/>
    <w:rsid w:val="00960F35"/>
    <w:rsid w:val="00970A62"/>
    <w:rsid w:val="00975AFC"/>
    <w:rsid w:val="00994E86"/>
    <w:rsid w:val="009A16DD"/>
    <w:rsid w:val="009A738B"/>
    <w:rsid w:val="009A7FEA"/>
    <w:rsid w:val="009B2148"/>
    <w:rsid w:val="009B2822"/>
    <w:rsid w:val="009C49B5"/>
    <w:rsid w:val="009C777A"/>
    <w:rsid w:val="009D0FE5"/>
    <w:rsid w:val="009D3908"/>
    <w:rsid w:val="009F1F2F"/>
    <w:rsid w:val="00A24D09"/>
    <w:rsid w:val="00A27D99"/>
    <w:rsid w:val="00A504A4"/>
    <w:rsid w:val="00A662F0"/>
    <w:rsid w:val="00A81752"/>
    <w:rsid w:val="00A84774"/>
    <w:rsid w:val="00A84C47"/>
    <w:rsid w:val="00A948BB"/>
    <w:rsid w:val="00A97F20"/>
    <w:rsid w:val="00AA58C1"/>
    <w:rsid w:val="00AB30B7"/>
    <w:rsid w:val="00AD0929"/>
    <w:rsid w:val="00AD0BBC"/>
    <w:rsid w:val="00B04CA3"/>
    <w:rsid w:val="00B13478"/>
    <w:rsid w:val="00B37FA9"/>
    <w:rsid w:val="00B539DA"/>
    <w:rsid w:val="00B82A20"/>
    <w:rsid w:val="00B94112"/>
    <w:rsid w:val="00B950E6"/>
    <w:rsid w:val="00BB02F0"/>
    <w:rsid w:val="00BB140F"/>
    <w:rsid w:val="00BC4663"/>
    <w:rsid w:val="00BD5588"/>
    <w:rsid w:val="00BD6DE3"/>
    <w:rsid w:val="00C16191"/>
    <w:rsid w:val="00C42A44"/>
    <w:rsid w:val="00C50FC9"/>
    <w:rsid w:val="00C51F8D"/>
    <w:rsid w:val="00C9234A"/>
    <w:rsid w:val="00CA3441"/>
    <w:rsid w:val="00CB6855"/>
    <w:rsid w:val="00CC21F5"/>
    <w:rsid w:val="00D15B83"/>
    <w:rsid w:val="00D16479"/>
    <w:rsid w:val="00D35A04"/>
    <w:rsid w:val="00D4455B"/>
    <w:rsid w:val="00D450DE"/>
    <w:rsid w:val="00D46038"/>
    <w:rsid w:val="00D74FA7"/>
    <w:rsid w:val="00D96F20"/>
    <w:rsid w:val="00DB5D71"/>
    <w:rsid w:val="00DD2EC8"/>
    <w:rsid w:val="00DE7B7D"/>
    <w:rsid w:val="00E0704F"/>
    <w:rsid w:val="00E22F9C"/>
    <w:rsid w:val="00E277BE"/>
    <w:rsid w:val="00E313A2"/>
    <w:rsid w:val="00E31ABE"/>
    <w:rsid w:val="00E40B27"/>
    <w:rsid w:val="00E44472"/>
    <w:rsid w:val="00E6493F"/>
    <w:rsid w:val="00E83819"/>
    <w:rsid w:val="00E971B7"/>
    <w:rsid w:val="00EA01D5"/>
    <w:rsid w:val="00EA2F05"/>
    <w:rsid w:val="00EA317A"/>
    <w:rsid w:val="00EB6FB3"/>
    <w:rsid w:val="00EB7F3C"/>
    <w:rsid w:val="00EC02AA"/>
    <w:rsid w:val="00EC178F"/>
    <w:rsid w:val="00EE2E05"/>
    <w:rsid w:val="00EE4BDC"/>
    <w:rsid w:val="00EF5498"/>
    <w:rsid w:val="00EF7D16"/>
    <w:rsid w:val="00F05E1D"/>
    <w:rsid w:val="00F07EE3"/>
    <w:rsid w:val="00F36865"/>
    <w:rsid w:val="00F401FA"/>
    <w:rsid w:val="00F40EDB"/>
    <w:rsid w:val="00F53F5E"/>
    <w:rsid w:val="00F57AB9"/>
    <w:rsid w:val="00F60337"/>
    <w:rsid w:val="00F61005"/>
    <w:rsid w:val="00F62DDD"/>
    <w:rsid w:val="00F72B53"/>
    <w:rsid w:val="00F90A05"/>
    <w:rsid w:val="00FB08F9"/>
    <w:rsid w:val="00FB54C9"/>
    <w:rsid w:val="00FC74C9"/>
    <w:rsid w:val="00FE31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E18CB36-81BF-4589-BAC5-C87D0DC7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741B2B"/>
    <w:pPr>
      <w:tabs>
        <w:tab w:val="center" w:pos="4153"/>
        <w:tab w:val="right" w:pos="8306"/>
      </w:tabs>
    </w:pPr>
  </w:style>
  <w:style w:type="character" w:customStyle="1" w:styleId="HeaderChar">
    <w:name w:val="Header Char"/>
    <w:basedOn w:val="DefaultParagraphFont"/>
    <w:link w:val="Header"/>
    <w:uiPriority w:val="99"/>
    <w:rsid w:val="00741B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41B2B"/>
    <w:pPr>
      <w:tabs>
        <w:tab w:val="center" w:pos="4153"/>
        <w:tab w:val="right" w:pos="8306"/>
      </w:tabs>
    </w:pPr>
  </w:style>
  <w:style w:type="character" w:customStyle="1" w:styleId="FooterChar">
    <w:name w:val="Footer Char"/>
    <w:basedOn w:val="DefaultParagraphFont"/>
    <w:link w:val="Footer"/>
    <w:uiPriority w:val="99"/>
    <w:rsid w:val="00741B2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A2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05"/>
    <w:rPr>
      <w:rFonts w:ascii="Segoe UI" w:eastAsia="Times New Roman" w:hAnsi="Segoe UI" w:cs="Segoe UI"/>
      <w:sz w:val="18"/>
      <w:szCs w:val="18"/>
      <w:lang w:eastAsia="lv-LV"/>
    </w:rPr>
  </w:style>
  <w:style w:type="paragraph" w:styleId="ListParagraph">
    <w:name w:val="List Paragraph"/>
    <w:basedOn w:val="Normal"/>
    <w:uiPriority w:val="34"/>
    <w:qFormat/>
    <w:rsid w:val="00EE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1FCF-3372-4244-B98F-35DA4C98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7804</Words>
  <Characters>4449</Characters>
  <Application>Microsoft Office Word</Application>
  <DocSecurity>4</DocSecurity>
  <Lines>37</Lines>
  <Paragraphs>24</Paragraphs>
  <ScaleCrop>false</ScaleCrop>
  <HeadingPairs>
    <vt:vector size="2" baseType="variant">
      <vt:variant>
        <vt:lpstr>Title</vt:lpstr>
      </vt:variant>
      <vt:variant>
        <vt:i4>1</vt:i4>
      </vt:variant>
    </vt:vector>
  </HeadingPairs>
  <TitlesOfParts>
    <vt:vector size="1" baseType="lpstr">
      <vt:lpstr>Grozījums Ministru kabineta noteikumos Nr.134 "Personu apliecinošu dokumentu noteikumi"</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noteikumos Nr.134 "Personu apliecinošu dokumentu noteikumi"</dc:title>
  <dc:subject>Anotācija</dc:subject>
  <dc:creator>Dace Kupče</dc:creator>
  <dc:description>dace.kupce@pmlp.gov.lv; 67219543</dc:description>
  <cp:lastModifiedBy>Dace Kupce</cp:lastModifiedBy>
  <cp:revision>2</cp:revision>
  <cp:lastPrinted>2020-12-15T09:37:00Z</cp:lastPrinted>
  <dcterms:created xsi:type="dcterms:W3CDTF">2020-12-16T06:32:00Z</dcterms:created>
  <dcterms:modified xsi:type="dcterms:W3CDTF">2020-12-16T06:32:00Z</dcterms:modified>
</cp:coreProperties>
</file>