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6965E" w14:textId="77777777" w:rsidR="004D15A9" w:rsidRPr="00B9444C" w:rsidRDefault="00A33B4B" w:rsidP="000A1BFB">
      <w:pPr>
        <w:spacing w:after="0" w:line="240" w:lineRule="auto"/>
        <w:jc w:val="center"/>
        <w:rPr>
          <w:rFonts w:ascii="Times New Roman" w:eastAsia="Times New Roman" w:hAnsi="Times New Roman"/>
          <w:b/>
          <w:bCs/>
          <w:color w:val="000000"/>
          <w:sz w:val="26"/>
          <w:szCs w:val="26"/>
          <w:lang w:eastAsia="lv-LV"/>
        </w:rPr>
      </w:pPr>
      <w:bookmarkStart w:id="0" w:name="OLE_LINK8"/>
      <w:bookmarkStart w:id="1" w:name="OLE_LINK9"/>
      <w:r w:rsidRPr="00B9444C">
        <w:rPr>
          <w:rFonts w:ascii="Times New Roman" w:eastAsia="Times New Roman" w:hAnsi="Times New Roman"/>
          <w:b/>
          <w:bCs/>
          <w:color w:val="000000"/>
          <w:sz w:val="26"/>
          <w:szCs w:val="26"/>
          <w:lang w:eastAsia="lv-LV"/>
        </w:rPr>
        <w:t xml:space="preserve">Ministru kabineta noteikumu </w:t>
      </w:r>
      <w:bookmarkStart w:id="2" w:name="OLE_LINK1"/>
      <w:bookmarkStart w:id="3" w:name="OLE_LINK2"/>
      <w:bookmarkStart w:id="4" w:name="OLE_LINK5"/>
      <w:bookmarkStart w:id="5" w:name="OLE_LINK6"/>
      <w:r w:rsidR="000A1BFB" w:rsidRPr="00B9444C">
        <w:rPr>
          <w:rFonts w:ascii="Times New Roman" w:eastAsia="Times New Roman" w:hAnsi="Times New Roman"/>
          <w:b/>
          <w:bCs/>
          <w:color w:val="000000"/>
          <w:sz w:val="26"/>
          <w:szCs w:val="26"/>
          <w:lang w:eastAsia="lv-LV"/>
        </w:rPr>
        <w:t>"</w:t>
      </w:r>
      <w:r w:rsidR="00BA5F32" w:rsidRPr="00B9444C">
        <w:rPr>
          <w:rFonts w:ascii="Times New Roman" w:eastAsia="Times New Roman" w:hAnsi="Times New Roman"/>
          <w:b/>
          <w:bCs/>
          <w:color w:val="000000"/>
          <w:sz w:val="26"/>
          <w:szCs w:val="26"/>
          <w:lang w:eastAsia="lv-LV"/>
        </w:rPr>
        <w:t>Grozījumi Ministru kabineta 2016. gada 16. augusta noteikumos Nr. 561 "Darbības programmas "Izaugsme un nodarbinātība" 8.1.1. specifiskā atbalsta mērķa "Palielināt modernizēto STEM, tajā skaitā medicīnas un radošās industrijas, studiju programmu skaitu" īstenošanas noteikumi</w:t>
      </w:r>
      <w:r w:rsidR="000A1BFB" w:rsidRPr="00B9444C">
        <w:rPr>
          <w:rFonts w:ascii="Times New Roman" w:eastAsia="Times New Roman" w:hAnsi="Times New Roman"/>
          <w:b/>
          <w:bCs/>
          <w:color w:val="000000"/>
          <w:sz w:val="26"/>
          <w:szCs w:val="26"/>
          <w:lang w:eastAsia="lv-LV"/>
        </w:rPr>
        <w:t>"</w:t>
      </w:r>
      <w:r w:rsidR="0091269C" w:rsidRPr="00B9444C">
        <w:rPr>
          <w:rFonts w:ascii="Times New Roman" w:hAnsi="Times New Roman"/>
          <w:b/>
          <w:color w:val="000000"/>
          <w:sz w:val="26"/>
          <w:szCs w:val="26"/>
        </w:rPr>
        <w:t xml:space="preserve"> </w:t>
      </w:r>
      <w:bookmarkEnd w:id="2"/>
      <w:bookmarkEnd w:id="3"/>
      <w:bookmarkEnd w:id="4"/>
      <w:bookmarkEnd w:id="5"/>
      <w:r w:rsidRPr="00B9444C">
        <w:rPr>
          <w:rFonts w:ascii="Times New Roman" w:eastAsia="Times New Roman" w:hAnsi="Times New Roman"/>
          <w:b/>
          <w:bCs/>
          <w:color w:val="000000"/>
          <w:sz w:val="26"/>
          <w:szCs w:val="26"/>
          <w:lang w:eastAsia="lv-LV"/>
        </w:rPr>
        <w:t xml:space="preserve">projekta </w:t>
      </w:r>
      <w:r w:rsidR="004D15A9" w:rsidRPr="00B9444C">
        <w:rPr>
          <w:rFonts w:ascii="Times New Roman" w:eastAsia="Times New Roman" w:hAnsi="Times New Roman"/>
          <w:b/>
          <w:bCs/>
          <w:color w:val="000000"/>
          <w:sz w:val="26"/>
          <w:szCs w:val="26"/>
          <w:lang w:eastAsia="lv-LV"/>
        </w:rPr>
        <w:t>sākotnējās ietekmes novērtējuma ziņojums (anotācija)</w:t>
      </w:r>
    </w:p>
    <w:bookmarkEnd w:id="0"/>
    <w:bookmarkEnd w:id="1"/>
    <w:p w14:paraId="20B37555" w14:textId="77777777" w:rsidR="00DA596D" w:rsidRPr="00B9444C" w:rsidRDefault="00DA596D" w:rsidP="0015365E">
      <w:pPr>
        <w:spacing w:after="0" w:line="240" w:lineRule="auto"/>
        <w:ind w:firstLine="300"/>
        <w:jc w:val="center"/>
        <w:rPr>
          <w:rFonts w:ascii="Times New Roman" w:eastAsia="Times New Roman" w:hAnsi="Times New Roman"/>
          <w:b/>
          <w:bCs/>
          <w:color w:val="000000"/>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5944"/>
      </w:tblGrid>
      <w:tr w:rsidR="002A5D03" w:rsidRPr="00B9444C" w14:paraId="32A13ACE" w14:textId="77777777" w:rsidTr="00670E4D">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FA907E9" w14:textId="77777777" w:rsidR="002A5D03" w:rsidRPr="00B9444C" w:rsidRDefault="002A5D03" w:rsidP="00DF2054">
            <w:pPr>
              <w:spacing w:after="100" w:afterAutospacing="1" w:line="254" w:lineRule="atLeast"/>
              <w:jc w:val="center"/>
              <w:rPr>
                <w:rFonts w:ascii="Times New Roman" w:eastAsia="Times New Roman" w:hAnsi="Times New Roman"/>
                <w:b/>
                <w:bCs/>
                <w:color w:val="000000"/>
                <w:sz w:val="26"/>
                <w:szCs w:val="26"/>
                <w:lang w:eastAsia="lv-LV"/>
              </w:rPr>
            </w:pPr>
            <w:r w:rsidRPr="00B9444C">
              <w:rPr>
                <w:rFonts w:ascii="Times New Roman" w:eastAsia="Times New Roman" w:hAnsi="Times New Roman"/>
                <w:b/>
                <w:bCs/>
                <w:color w:val="000000"/>
                <w:sz w:val="26"/>
                <w:szCs w:val="26"/>
                <w:lang w:eastAsia="lv-LV"/>
              </w:rPr>
              <w:t>Tiesību akta projekta anotācijas kopsavilkums</w:t>
            </w:r>
          </w:p>
        </w:tc>
      </w:tr>
      <w:tr w:rsidR="002A5D03" w:rsidRPr="00B9444C" w14:paraId="051BC4F7" w14:textId="77777777" w:rsidTr="00670E4D">
        <w:tc>
          <w:tcPr>
            <w:tcW w:w="1718" w:type="pct"/>
            <w:tcBorders>
              <w:top w:val="outset" w:sz="6" w:space="0" w:color="414142"/>
              <w:left w:val="outset" w:sz="6" w:space="0" w:color="414142"/>
              <w:bottom w:val="outset" w:sz="6" w:space="0" w:color="414142"/>
              <w:right w:val="outset" w:sz="6" w:space="0" w:color="414142"/>
            </w:tcBorders>
            <w:hideMark/>
          </w:tcPr>
          <w:p w14:paraId="6E59BD69" w14:textId="77777777" w:rsidR="002A5D03" w:rsidRPr="00B9444C" w:rsidRDefault="002A5D03"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hideMark/>
          </w:tcPr>
          <w:p w14:paraId="03C4576A" w14:textId="2A75C4AF" w:rsidR="005461F1" w:rsidRPr="00B9444C" w:rsidRDefault="005461F1" w:rsidP="005461F1">
            <w:pPr>
              <w:spacing w:before="10" w:after="0" w:line="240" w:lineRule="auto"/>
              <w:ind w:left="113" w:right="113"/>
              <w:jc w:val="both"/>
              <w:rPr>
                <w:rFonts w:ascii="Times New Roman" w:hAnsi="Times New Roman"/>
                <w:color w:val="000000"/>
                <w:sz w:val="26"/>
                <w:szCs w:val="26"/>
              </w:rPr>
            </w:pPr>
            <w:r w:rsidRPr="00B9444C">
              <w:rPr>
                <w:rFonts w:ascii="Times New Roman" w:hAnsi="Times New Roman"/>
                <w:color w:val="000000"/>
                <w:sz w:val="26"/>
                <w:szCs w:val="26"/>
              </w:rPr>
              <w:t>Noteikumu projekts</w:t>
            </w:r>
            <w:r w:rsidRPr="00B9444C">
              <w:rPr>
                <w:rFonts w:ascii="Times New Roman" w:hAnsi="Times New Roman"/>
                <w:color w:val="000000"/>
                <w:sz w:val="26"/>
                <w:szCs w:val="26"/>
                <w:vertAlign w:val="superscript"/>
              </w:rPr>
              <w:footnoteReference w:id="2"/>
            </w:r>
            <w:r w:rsidRPr="00B9444C">
              <w:rPr>
                <w:rFonts w:ascii="Times New Roman" w:hAnsi="Times New Roman"/>
                <w:color w:val="000000"/>
                <w:sz w:val="26"/>
                <w:szCs w:val="26"/>
              </w:rPr>
              <w:t xml:space="preserve"> izstrādāts ar mērķi aktualizēt </w:t>
            </w:r>
            <w:r w:rsidR="00BA5F32" w:rsidRPr="00B9444C">
              <w:rPr>
                <w:rFonts w:ascii="Times New Roman" w:hAnsi="Times New Roman"/>
                <w:color w:val="000000"/>
                <w:sz w:val="26"/>
                <w:szCs w:val="26"/>
              </w:rPr>
              <w:t xml:space="preserve">8.1.1. specifiskā atbalsta mērķa "Palielināt modernizēto STEM, tajā skaitā medicīnas un radošās industrijas, studiju programmu skaitu" </w:t>
            </w:r>
            <w:r w:rsidRPr="00B9444C">
              <w:rPr>
                <w:rFonts w:ascii="Times New Roman" w:hAnsi="Times New Roman"/>
                <w:color w:val="000000"/>
                <w:sz w:val="26"/>
                <w:szCs w:val="26"/>
              </w:rPr>
              <w:t xml:space="preserve">īstenošanas nosacījumus atbilstoši Eiropas Savienības (ES) tiesību sistēmai, tai skaitā nosakot kārtību, kādā izmanto ar saimniecisku darbību nesaistīta projekta ietvaros modernizētu </w:t>
            </w:r>
            <w:r w:rsidR="006F4693">
              <w:rPr>
                <w:rFonts w:ascii="Times New Roman" w:hAnsi="Times New Roman"/>
                <w:color w:val="000000"/>
                <w:sz w:val="26"/>
                <w:szCs w:val="26"/>
              </w:rPr>
              <w:t xml:space="preserve">augstākās izglītības </w:t>
            </w:r>
            <w:r w:rsidRPr="00B9444C">
              <w:rPr>
                <w:rFonts w:ascii="Times New Roman" w:hAnsi="Times New Roman"/>
                <w:color w:val="000000"/>
                <w:sz w:val="26"/>
                <w:szCs w:val="26"/>
              </w:rPr>
              <w:t>infrastruktūru tās amortizācijas periodā.</w:t>
            </w:r>
          </w:p>
          <w:p w14:paraId="1E5A3123" w14:textId="77777777" w:rsidR="00084D70" w:rsidRPr="00B9444C" w:rsidRDefault="005461F1" w:rsidP="007A5E00">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hAnsi="Times New Roman"/>
                <w:color w:val="000000"/>
                <w:sz w:val="26"/>
                <w:szCs w:val="26"/>
              </w:rPr>
              <w:t>Noteikumu projekts stāsies spēkā Oficiālo publikāciju un tiesiskās informācijas likumā noteiktajā kārtībā.</w:t>
            </w:r>
          </w:p>
        </w:tc>
      </w:tr>
    </w:tbl>
    <w:p w14:paraId="155FE284" w14:textId="77777777" w:rsidR="002A5D03" w:rsidRPr="00B9444C" w:rsidRDefault="002A5D03" w:rsidP="0015365E">
      <w:pPr>
        <w:spacing w:after="0" w:line="240" w:lineRule="auto"/>
        <w:ind w:firstLine="300"/>
        <w:jc w:val="center"/>
        <w:rPr>
          <w:rFonts w:ascii="Times New Roman" w:eastAsia="Times New Roman" w:hAnsi="Times New Roman"/>
          <w:b/>
          <w:bCs/>
          <w:color w:val="000000"/>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2"/>
        <w:gridCol w:w="141"/>
        <w:gridCol w:w="2658"/>
        <w:gridCol w:w="5944"/>
      </w:tblGrid>
      <w:tr w:rsidR="006A328C" w:rsidRPr="00B9444C" w14:paraId="7C6D5F2B" w14:textId="77777777" w:rsidTr="00670E4D">
        <w:trPr>
          <w:trHeight w:val="405"/>
        </w:trPr>
        <w:tc>
          <w:tcPr>
            <w:tcW w:w="9055" w:type="dxa"/>
            <w:gridSpan w:val="4"/>
            <w:tcBorders>
              <w:top w:val="outset" w:sz="6" w:space="0" w:color="414142"/>
              <w:left w:val="outset" w:sz="6" w:space="0" w:color="414142"/>
              <w:bottom w:val="outset" w:sz="6" w:space="0" w:color="414142"/>
              <w:right w:val="outset" w:sz="6" w:space="0" w:color="414142"/>
            </w:tcBorders>
            <w:vAlign w:val="center"/>
            <w:hideMark/>
          </w:tcPr>
          <w:p w14:paraId="1A81B0EE" w14:textId="77777777" w:rsidR="004D15A9" w:rsidRPr="00B9444C" w:rsidRDefault="004D15A9" w:rsidP="00DA596D">
            <w:pPr>
              <w:spacing w:after="0" w:line="240" w:lineRule="auto"/>
              <w:ind w:firstLine="300"/>
              <w:jc w:val="center"/>
              <w:rPr>
                <w:rFonts w:ascii="Times New Roman" w:eastAsia="Times New Roman" w:hAnsi="Times New Roman"/>
                <w:b/>
                <w:bCs/>
                <w:color w:val="000000"/>
                <w:sz w:val="26"/>
                <w:szCs w:val="26"/>
                <w:lang w:eastAsia="lv-LV"/>
              </w:rPr>
            </w:pPr>
            <w:r w:rsidRPr="00B9444C">
              <w:rPr>
                <w:rFonts w:ascii="Times New Roman" w:eastAsia="Times New Roman" w:hAnsi="Times New Roman"/>
                <w:b/>
                <w:bCs/>
                <w:color w:val="000000"/>
                <w:sz w:val="26"/>
                <w:szCs w:val="26"/>
                <w:lang w:eastAsia="lv-LV"/>
              </w:rPr>
              <w:t>I. Tiesību akta projekta izstrādes nepieciešamība</w:t>
            </w:r>
          </w:p>
        </w:tc>
      </w:tr>
      <w:tr w:rsidR="006A328C" w:rsidRPr="00B9444C" w14:paraId="5A6DFE81" w14:textId="77777777" w:rsidTr="00670E4D">
        <w:trPr>
          <w:trHeight w:val="405"/>
        </w:trPr>
        <w:tc>
          <w:tcPr>
            <w:tcW w:w="312" w:type="dxa"/>
            <w:tcBorders>
              <w:top w:val="outset" w:sz="6" w:space="0" w:color="414142"/>
              <w:left w:val="outset" w:sz="6" w:space="0" w:color="414142"/>
              <w:bottom w:val="outset" w:sz="6" w:space="0" w:color="414142"/>
              <w:right w:val="outset" w:sz="6" w:space="0" w:color="414142"/>
            </w:tcBorders>
            <w:hideMark/>
          </w:tcPr>
          <w:p w14:paraId="0AE8E41E"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2384112A"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Pamatojums</w:t>
            </w:r>
          </w:p>
        </w:tc>
        <w:tc>
          <w:tcPr>
            <w:tcW w:w="5944" w:type="dxa"/>
            <w:tcBorders>
              <w:top w:val="outset" w:sz="6" w:space="0" w:color="414142"/>
              <w:left w:val="outset" w:sz="6" w:space="0" w:color="414142"/>
              <w:bottom w:val="outset" w:sz="6" w:space="0" w:color="414142"/>
              <w:right w:val="outset" w:sz="6" w:space="0" w:color="414142"/>
            </w:tcBorders>
            <w:hideMark/>
          </w:tcPr>
          <w:p w14:paraId="1C934FED" w14:textId="29170FE2" w:rsidR="004D15A9" w:rsidRPr="00B9444C" w:rsidRDefault="002A5D03" w:rsidP="0078408D">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w:t>
            </w:r>
            <w:r w:rsidR="0060326C" w:rsidRPr="00B9444C">
              <w:rPr>
                <w:rFonts w:ascii="Times New Roman" w:eastAsia="Times New Roman" w:hAnsi="Times New Roman"/>
                <w:color w:val="000000"/>
                <w:sz w:val="26"/>
                <w:szCs w:val="26"/>
                <w:lang w:eastAsia="lv-LV"/>
              </w:rPr>
              <w:t>oteikumu projekts sagatavots</w:t>
            </w:r>
            <w:r w:rsidR="009A2504" w:rsidRPr="00B9444C">
              <w:rPr>
                <w:rFonts w:ascii="Times New Roman" w:eastAsia="Times New Roman" w:hAnsi="Times New Roman"/>
                <w:color w:val="000000"/>
                <w:sz w:val="26"/>
                <w:szCs w:val="26"/>
                <w:lang w:eastAsia="lv-LV"/>
              </w:rPr>
              <w:t xml:space="preserve"> pēc Izglītības un zinātnes ministrijas </w:t>
            </w:r>
            <w:r w:rsidR="007F32ED" w:rsidRPr="00B9444C">
              <w:rPr>
                <w:rFonts w:ascii="Times New Roman" w:eastAsia="Times New Roman" w:hAnsi="Times New Roman"/>
                <w:color w:val="000000"/>
                <w:sz w:val="26"/>
                <w:szCs w:val="26"/>
                <w:lang w:eastAsia="lv-LV"/>
              </w:rPr>
              <w:t xml:space="preserve">(turpmāk – Ministrija) </w:t>
            </w:r>
            <w:r w:rsidR="009A2504" w:rsidRPr="00B9444C">
              <w:rPr>
                <w:rFonts w:ascii="Times New Roman" w:eastAsia="Times New Roman" w:hAnsi="Times New Roman"/>
                <w:color w:val="000000"/>
                <w:sz w:val="26"/>
                <w:szCs w:val="26"/>
                <w:lang w:eastAsia="lv-LV"/>
              </w:rPr>
              <w:t>iniciatīvas un</w:t>
            </w:r>
            <w:r w:rsidR="0060326C" w:rsidRPr="00B9444C">
              <w:rPr>
                <w:rFonts w:ascii="Times New Roman" w:eastAsia="Times New Roman" w:hAnsi="Times New Roman"/>
                <w:color w:val="000000"/>
                <w:sz w:val="26"/>
                <w:szCs w:val="26"/>
                <w:lang w:eastAsia="lv-LV"/>
              </w:rPr>
              <w:t xml:space="preserve"> saskaņā ar</w:t>
            </w:r>
            <w:r w:rsidR="00E51C7E" w:rsidRPr="00B9444C">
              <w:rPr>
                <w:rFonts w:ascii="Times New Roman" w:eastAsia="Times New Roman" w:hAnsi="Times New Roman"/>
                <w:color w:val="000000"/>
                <w:sz w:val="26"/>
                <w:szCs w:val="26"/>
                <w:lang w:eastAsia="lv-LV"/>
              </w:rPr>
              <w:t xml:space="preserve"> </w:t>
            </w:r>
            <w:r w:rsidR="007A5E00" w:rsidRPr="00B9444C">
              <w:rPr>
                <w:rFonts w:ascii="Times New Roman" w:eastAsia="Times New Roman" w:hAnsi="Times New Roman"/>
                <w:color w:val="000000"/>
                <w:sz w:val="26"/>
                <w:szCs w:val="26"/>
                <w:lang w:eastAsia="lv-LV"/>
              </w:rPr>
              <w:t>Eiropas Savienības struktūrfondu un Kohēzijas fonda 2014.–2020. gada plānošanas perioda vadības likuma 20. panta 6. un 13. punktu</w:t>
            </w:r>
          </w:p>
        </w:tc>
      </w:tr>
      <w:tr w:rsidR="006C7ABC" w:rsidRPr="00B9444C" w14:paraId="6D660D11" w14:textId="77777777" w:rsidTr="00670E4D">
        <w:trPr>
          <w:trHeight w:val="465"/>
        </w:trPr>
        <w:tc>
          <w:tcPr>
            <w:tcW w:w="312" w:type="dxa"/>
            <w:tcBorders>
              <w:top w:val="outset" w:sz="6" w:space="0" w:color="414142"/>
              <w:left w:val="outset" w:sz="6" w:space="0" w:color="414142"/>
              <w:bottom w:val="outset" w:sz="6" w:space="0" w:color="414142"/>
              <w:right w:val="outset" w:sz="6" w:space="0" w:color="414142"/>
            </w:tcBorders>
            <w:hideMark/>
          </w:tcPr>
          <w:p w14:paraId="48C978AC"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74274835" w14:textId="77777777" w:rsidR="00747499" w:rsidRPr="00B9444C" w:rsidRDefault="004D15A9" w:rsidP="007E730B">
            <w:pPr>
              <w:spacing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Pašreizējā situācija un problēmas, kuru risināšanai tiesību akta projekts izstrādāts, tiesiskā regulējuma mērķis un būtība</w:t>
            </w:r>
          </w:p>
          <w:p w14:paraId="2209FE69" w14:textId="77777777" w:rsidR="004D15A9" w:rsidRPr="00B9444C" w:rsidRDefault="004D15A9" w:rsidP="007E730B">
            <w:pPr>
              <w:ind w:left="101" w:right="102"/>
              <w:jc w:val="both"/>
              <w:rPr>
                <w:rFonts w:ascii="Times New Roman" w:eastAsia="Times New Roman" w:hAnsi="Times New Roman"/>
                <w:color w:val="000000"/>
                <w:sz w:val="26"/>
                <w:szCs w:val="26"/>
                <w:lang w:eastAsia="lv-LV"/>
              </w:rPr>
            </w:pPr>
          </w:p>
        </w:tc>
        <w:tc>
          <w:tcPr>
            <w:tcW w:w="5944" w:type="dxa"/>
            <w:tcBorders>
              <w:top w:val="outset" w:sz="6" w:space="0" w:color="414142"/>
              <w:left w:val="outset" w:sz="6" w:space="0" w:color="414142"/>
              <w:bottom w:val="outset" w:sz="6" w:space="0" w:color="414142"/>
              <w:right w:val="outset" w:sz="6" w:space="0" w:color="414142"/>
            </w:tcBorders>
            <w:hideMark/>
          </w:tcPr>
          <w:p w14:paraId="7471BE02" w14:textId="5F796B29" w:rsidR="00B92EB5" w:rsidRPr="00B9444C" w:rsidRDefault="001E28AE" w:rsidP="007E730B">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Ministru kabineta 2016. gada 16. augusta noteikumi Nr. 56</w:t>
            </w:r>
            <w:r w:rsidR="00480D15" w:rsidRPr="00B9444C">
              <w:rPr>
                <w:rFonts w:ascii="Times New Roman" w:eastAsia="Times New Roman" w:hAnsi="Times New Roman"/>
                <w:color w:val="000000"/>
                <w:sz w:val="26"/>
                <w:szCs w:val="26"/>
                <w:lang w:eastAsia="lv-LV"/>
              </w:rPr>
              <w:t>1</w:t>
            </w:r>
            <w:r w:rsidRPr="00B9444C">
              <w:rPr>
                <w:rFonts w:ascii="Times New Roman" w:eastAsia="Times New Roman" w:hAnsi="Times New Roman"/>
                <w:color w:val="000000"/>
                <w:sz w:val="26"/>
                <w:szCs w:val="26"/>
                <w:lang w:eastAsia="lv-LV"/>
              </w:rPr>
              <w:t xml:space="preserve"> </w:t>
            </w:r>
            <w:r w:rsidR="00480D15" w:rsidRPr="00B9444C">
              <w:rPr>
                <w:rFonts w:ascii="Times New Roman" w:eastAsia="Times New Roman" w:hAnsi="Times New Roman"/>
                <w:color w:val="000000"/>
                <w:sz w:val="26"/>
                <w:szCs w:val="26"/>
                <w:lang w:eastAsia="lv-LV"/>
              </w:rPr>
              <w:t xml:space="preserve">"Darbības programmas "Izaugsme un nodarbinātība" 8.1.1. specifiskā atbalsta mērķa "Palielināt modernizēto STEM, tajā skaitā medicīnas un radošās industrijas, studiju programmu skaitu" </w:t>
            </w:r>
            <w:r w:rsidR="00E72008" w:rsidRPr="00B9444C">
              <w:rPr>
                <w:rFonts w:ascii="Times New Roman" w:eastAsia="Times New Roman" w:hAnsi="Times New Roman"/>
                <w:color w:val="000000"/>
                <w:sz w:val="26"/>
                <w:szCs w:val="26"/>
                <w:lang w:eastAsia="lv-LV"/>
              </w:rPr>
              <w:t xml:space="preserve">noteikumi </w:t>
            </w:r>
            <w:r w:rsidRPr="00B9444C">
              <w:rPr>
                <w:rFonts w:ascii="Times New Roman" w:eastAsia="Times New Roman" w:hAnsi="Times New Roman"/>
                <w:color w:val="000000"/>
                <w:sz w:val="26"/>
                <w:szCs w:val="26"/>
                <w:lang w:eastAsia="lv-LV"/>
              </w:rPr>
              <w:t xml:space="preserve">(turpmāk – MK noteikumi </w:t>
            </w:r>
            <w:r w:rsidR="00E72008" w:rsidRPr="00B9444C">
              <w:rPr>
                <w:rFonts w:ascii="Times New Roman" w:eastAsia="Times New Roman" w:hAnsi="Times New Roman"/>
                <w:color w:val="000000"/>
                <w:sz w:val="26"/>
                <w:szCs w:val="26"/>
                <w:lang w:eastAsia="lv-LV"/>
              </w:rPr>
              <w:t>Nr. </w:t>
            </w:r>
            <w:r w:rsidR="00A853CC" w:rsidRPr="00B9444C">
              <w:rPr>
                <w:rFonts w:ascii="Times New Roman" w:eastAsia="Times New Roman" w:hAnsi="Times New Roman"/>
                <w:color w:val="000000"/>
                <w:sz w:val="26"/>
                <w:szCs w:val="26"/>
                <w:lang w:eastAsia="lv-LV"/>
              </w:rPr>
              <w:t>56</w:t>
            </w:r>
            <w:r w:rsidR="0078408D" w:rsidRPr="00B9444C">
              <w:rPr>
                <w:rFonts w:ascii="Times New Roman" w:eastAsia="Times New Roman" w:hAnsi="Times New Roman"/>
                <w:color w:val="000000"/>
                <w:sz w:val="26"/>
                <w:szCs w:val="26"/>
                <w:lang w:eastAsia="lv-LV"/>
              </w:rPr>
              <w:t>1</w:t>
            </w:r>
            <w:r w:rsidRPr="00B9444C">
              <w:rPr>
                <w:rFonts w:ascii="Times New Roman" w:eastAsia="Times New Roman" w:hAnsi="Times New Roman"/>
                <w:color w:val="000000"/>
                <w:sz w:val="26"/>
                <w:szCs w:val="26"/>
                <w:lang w:eastAsia="lv-LV"/>
              </w:rPr>
              <w:t>)</w:t>
            </w:r>
            <w:r w:rsidR="00E72008" w:rsidRPr="00B9444C">
              <w:rPr>
                <w:rFonts w:ascii="Times New Roman" w:eastAsia="Times New Roman" w:hAnsi="Times New Roman"/>
                <w:color w:val="000000"/>
                <w:sz w:val="26"/>
                <w:szCs w:val="26"/>
                <w:lang w:eastAsia="lv-LV"/>
              </w:rPr>
              <w:t xml:space="preserve"> nosaka kārtību, kādā tiek īstenoti </w:t>
            </w:r>
            <w:r w:rsidR="00480D15" w:rsidRPr="00B9444C">
              <w:rPr>
                <w:rFonts w:ascii="Times New Roman" w:eastAsia="Times New Roman" w:hAnsi="Times New Roman"/>
                <w:color w:val="000000"/>
                <w:sz w:val="26"/>
                <w:szCs w:val="26"/>
                <w:lang w:eastAsia="lv-LV"/>
              </w:rPr>
              <w:t>8.1.1. specifiskā atbalsta mērķa "Palielināt modernizēto STEM, tajā skaitā medicīnas un radošās industrijas, studiju programmu skaitu"</w:t>
            </w:r>
            <w:r w:rsidR="00B92EB5" w:rsidRPr="00B9444C">
              <w:rPr>
                <w:rFonts w:ascii="Times New Roman" w:eastAsia="Times New Roman" w:hAnsi="Times New Roman"/>
                <w:color w:val="000000"/>
                <w:sz w:val="26"/>
                <w:szCs w:val="26"/>
                <w:lang w:eastAsia="lv-LV"/>
              </w:rPr>
              <w:t xml:space="preserve"> (turpmāk – </w:t>
            </w:r>
            <w:r w:rsidR="00480D15" w:rsidRPr="00B9444C">
              <w:rPr>
                <w:rFonts w:ascii="Times New Roman" w:eastAsia="Times New Roman" w:hAnsi="Times New Roman"/>
                <w:color w:val="000000"/>
                <w:sz w:val="26"/>
                <w:szCs w:val="26"/>
                <w:lang w:eastAsia="lv-LV"/>
              </w:rPr>
              <w:t>8.1.1.</w:t>
            </w:r>
            <w:r w:rsidR="00E808F3" w:rsidRPr="00B9444C">
              <w:rPr>
                <w:rFonts w:ascii="Times New Roman" w:eastAsia="Times New Roman" w:hAnsi="Times New Roman"/>
                <w:color w:val="000000"/>
                <w:sz w:val="26"/>
                <w:szCs w:val="26"/>
                <w:lang w:eastAsia="lv-LV"/>
              </w:rPr>
              <w:t> </w:t>
            </w:r>
            <w:r w:rsidR="00480D15" w:rsidRPr="00B9444C">
              <w:rPr>
                <w:rFonts w:ascii="Times New Roman" w:eastAsia="Times New Roman" w:hAnsi="Times New Roman"/>
                <w:color w:val="000000"/>
                <w:sz w:val="26"/>
                <w:szCs w:val="26"/>
                <w:lang w:eastAsia="lv-LV"/>
              </w:rPr>
              <w:t>SAM</w:t>
            </w:r>
            <w:r w:rsidR="00B92EB5" w:rsidRPr="00B9444C">
              <w:rPr>
                <w:rFonts w:ascii="Times New Roman" w:eastAsia="Times New Roman" w:hAnsi="Times New Roman"/>
                <w:color w:val="000000"/>
                <w:sz w:val="26"/>
                <w:szCs w:val="26"/>
                <w:lang w:eastAsia="lv-LV"/>
              </w:rPr>
              <w:t>)</w:t>
            </w:r>
            <w:r w:rsidR="00166990" w:rsidRPr="00B9444C">
              <w:rPr>
                <w:rFonts w:ascii="Times New Roman" w:eastAsia="Times New Roman" w:hAnsi="Times New Roman"/>
                <w:color w:val="000000"/>
                <w:sz w:val="26"/>
                <w:szCs w:val="26"/>
                <w:lang w:eastAsia="lv-LV"/>
              </w:rPr>
              <w:t xml:space="preserve"> </w:t>
            </w:r>
            <w:r w:rsidR="00E72008" w:rsidRPr="00B9444C">
              <w:rPr>
                <w:rFonts w:ascii="Times New Roman" w:eastAsia="Times New Roman" w:hAnsi="Times New Roman"/>
                <w:color w:val="000000"/>
                <w:sz w:val="26"/>
                <w:szCs w:val="26"/>
                <w:lang w:eastAsia="lv-LV"/>
              </w:rPr>
              <w:t>projekti</w:t>
            </w:r>
            <w:r w:rsidR="000F30EB" w:rsidRPr="00B9444C">
              <w:rPr>
                <w:rFonts w:ascii="Times New Roman" w:eastAsia="Times New Roman" w:hAnsi="Times New Roman"/>
                <w:color w:val="000000"/>
                <w:sz w:val="26"/>
                <w:szCs w:val="26"/>
                <w:lang w:eastAsia="lv-LV"/>
              </w:rPr>
              <w:t xml:space="preserve"> (turpmāk </w:t>
            </w:r>
            <w:r w:rsidR="00E808F3"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 xml:space="preserve"> </w:t>
            </w:r>
            <w:r w:rsidR="00480D15" w:rsidRPr="00B9444C">
              <w:rPr>
                <w:rFonts w:ascii="Times New Roman" w:eastAsia="Times New Roman" w:hAnsi="Times New Roman"/>
                <w:color w:val="000000"/>
                <w:sz w:val="26"/>
                <w:szCs w:val="26"/>
                <w:lang w:eastAsia="lv-LV"/>
              </w:rPr>
              <w:t xml:space="preserve">8.1.1. SAM </w:t>
            </w:r>
            <w:r w:rsidR="000F30EB" w:rsidRPr="00B9444C">
              <w:rPr>
                <w:rFonts w:ascii="Times New Roman" w:eastAsia="Times New Roman" w:hAnsi="Times New Roman"/>
                <w:color w:val="000000"/>
                <w:sz w:val="26"/>
                <w:szCs w:val="26"/>
                <w:lang w:eastAsia="lv-LV"/>
              </w:rPr>
              <w:t>projekti)</w:t>
            </w:r>
            <w:r w:rsidR="00E72008" w:rsidRPr="00B9444C">
              <w:rPr>
                <w:rFonts w:ascii="Times New Roman" w:eastAsia="Times New Roman" w:hAnsi="Times New Roman"/>
                <w:color w:val="000000"/>
                <w:sz w:val="26"/>
                <w:szCs w:val="26"/>
                <w:lang w:eastAsia="lv-LV"/>
              </w:rPr>
              <w:t>.</w:t>
            </w:r>
            <w:r w:rsidR="00A82A82" w:rsidRPr="00B9444C">
              <w:rPr>
                <w:rFonts w:ascii="Times New Roman" w:eastAsia="Times New Roman" w:hAnsi="Times New Roman"/>
                <w:color w:val="000000"/>
                <w:sz w:val="26"/>
                <w:szCs w:val="26"/>
                <w:lang w:eastAsia="lv-LV"/>
              </w:rPr>
              <w:t xml:space="preserve"> </w:t>
            </w:r>
          </w:p>
          <w:p w14:paraId="4A9357F3" w14:textId="54674EB9" w:rsidR="00D16E10" w:rsidRPr="00B9444C" w:rsidRDefault="00D16E10" w:rsidP="00670E4D">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Ar MK noteikumiem Nr. 561 netiek pilnībā ieviest</w:t>
            </w:r>
            <w:r w:rsidR="00524E49" w:rsidRPr="00B9444C">
              <w:rPr>
                <w:rFonts w:ascii="Times New Roman" w:eastAsia="Times New Roman" w:hAnsi="Times New Roman"/>
                <w:color w:val="000000"/>
                <w:sz w:val="26"/>
                <w:szCs w:val="26"/>
                <w:lang w:eastAsia="lv-LV"/>
              </w:rPr>
              <w:t>as</w:t>
            </w:r>
            <w:r w:rsidRPr="00B9444C">
              <w:rPr>
                <w:rFonts w:ascii="Times New Roman" w:eastAsia="Times New Roman" w:hAnsi="Times New Roman"/>
                <w:color w:val="000000"/>
                <w:sz w:val="26"/>
                <w:szCs w:val="26"/>
                <w:lang w:eastAsia="lv-LV"/>
              </w:rPr>
              <w:t xml:space="preserve"> </w:t>
            </w:r>
            <w:r w:rsidR="00524E49" w:rsidRPr="00B9444C">
              <w:rPr>
                <w:rFonts w:ascii="Times New Roman" w:eastAsia="Times New Roman" w:hAnsi="Times New Roman"/>
                <w:color w:val="000000"/>
                <w:sz w:val="26"/>
                <w:szCs w:val="26"/>
                <w:lang w:eastAsia="lv-LV"/>
              </w:rPr>
              <w:t xml:space="preserve">Eiropas Komisijas valsts atbalsta modernizācijas iniciatīvas, kas </w:t>
            </w:r>
            <w:r w:rsidR="00386FA4" w:rsidRPr="00B9444C">
              <w:rPr>
                <w:rFonts w:ascii="Times New Roman" w:eastAsia="Times New Roman" w:hAnsi="Times New Roman"/>
                <w:color w:val="000000"/>
                <w:sz w:val="26"/>
                <w:szCs w:val="26"/>
                <w:lang w:eastAsia="lv-LV"/>
              </w:rPr>
              <w:t xml:space="preserve">ietvertas </w:t>
            </w:r>
            <w:r w:rsidRPr="00B9444C">
              <w:rPr>
                <w:rFonts w:ascii="Times New Roman" w:eastAsia="Times New Roman" w:hAnsi="Times New Roman"/>
                <w:color w:val="000000"/>
                <w:sz w:val="26"/>
                <w:szCs w:val="26"/>
                <w:lang w:eastAsia="lv-LV"/>
              </w:rPr>
              <w:t xml:space="preserve">Komisijas </w:t>
            </w:r>
            <w:r w:rsidR="00386FA4" w:rsidRPr="00B9444C">
              <w:rPr>
                <w:rFonts w:ascii="Times New Roman" w:eastAsia="Times New Roman" w:hAnsi="Times New Roman"/>
                <w:color w:val="000000"/>
                <w:sz w:val="26"/>
                <w:szCs w:val="26"/>
                <w:lang w:eastAsia="lv-LV"/>
              </w:rPr>
              <w:t xml:space="preserve">paziņojumā </w:t>
            </w:r>
            <w:r w:rsidRPr="00B9444C">
              <w:rPr>
                <w:rFonts w:ascii="Times New Roman" w:eastAsia="Times New Roman" w:hAnsi="Times New Roman"/>
                <w:color w:val="000000"/>
                <w:sz w:val="26"/>
                <w:szCs w:val="26"/>
                <w:lang w:eastAsia="lv-LV"/>
              </w:rPr>
              <w:t xml:space="preserve">par Līguma par Eiropas Savienības darbību 107. panta 1. punktā minēto valsts atbalsta jēdzienu (Eiropas </w:t>
            </w:r>
            <w:r w:rsidRPr="00B9444C">
              <w:rPr>
                <w:rFonts w:ascii="Times New Roman" w:eastAsia="Times New Roman" w:hAnsi="Times New Roman"/>
                <w:color w:val="000000"/>
                <w:sz w:val="26"/>
                <w:szCs w:val="26"/>
                <w:lang w:eastAsia="lv-LV"/>
              </w:rPr>
              <w:lastRenderedPageBreak/>
              <w:t>Savienības Oficiālais Vēstnesis, 2016. gada 19. jūlijs, Nr. C 262/1) (turpmāk – Paziņojums)</w:t>
            </w:r>
            <w:r w:rsidR="00386FA4" w:rsidRPr="00B9444C">
              <w:rPr>
                <w:rFonts w:ascii="Times New Roman" w:eastAsia="Times New Roman" w:hAnsi="Times New Roman"/>
                <w:color w:val="000000"/>
                <w:sz w:val="26"/>
                <w:szCs w:val="26"/>
                <w:lang w:eastAsia="lv-LV"/>
              </w:rPr>
              <w:t>.</w:t>
            </w:r>
          </w:p>
          <w:p w14:paraId="11A1DD9F" w14:textId="0A02C264" w:rsidR="0058503E" w:rsidRPr="00B9444C" w:rsidRDefault="0058503E" w:rsidP="00D16E10">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Saskaņā ar Paziņojum</w:t>
            </w:r>
            <w:r w:rsidR="00C83413">
              <w:rPr>
                <w:rFonts w:ascii="Times New Roman" w:eastAsia="Times New Roman" w:hAnsi="Times New Roman"/>
                <w:color w:val="000000"/>
                <w:sz w:val="26"/>
                <w:szCs w:val="26"/>
                <w:lang w:eastAsia="lv-LV"/>
              </w:rPr>
              <w:t>u</w:t>
            </w:r>
            <w:r w:rsidRPr="00B9444C">
              <w:rPr>
                <w:rFonts w:ascii="Times New Roman" w:eastAsia="Times New Roman" w:hAnsi="Times New Roman"/>
                <w:color w:val="000000"/>
                <w:sz w:val="26"/>
                <w:szCs w:val="26"/>
                <w:lang w:eastAsia="lv-LV"/>
              </w:rPr>
              <w:t>:</w:t>
            </w:r>
          </w:p>
          <w:p w14:paraId="09BFD629" w14:textId="1D6AF5A5" w:rsidR="0058503E" w:rsidRPr="00B9444C" w:rsidRDefault="0058503E" w:rsidP="0058503E">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 valsts izglītības sistēmas ietvaros nodrošinātā valsts izglītība, ko finansē un uzrauga valsts, var tikt uzskatīta par nesaimniecisko darbību</w:t>
            </w:r>
            <w:r w:rsidR="00C83413">
              <w:rPr>
                <w:rFonts w:ascii="Times New Roman" w:eastAsia="Times New Roman" w:hAnsi="Times New Roman"/>
                <w:color w:val="000000"/>
                <w:sz w:val="26"/>
                <w:szCs w:val="26"/>
                <w:lang w:eastAsia="lv-LV"/>
              </w:rPr>
              <w:t xml:space="preserve"> (28. punkts)</w:t>
            </w:r>
            <w:r w:rsidRPr="00B9444C">
              <w:rPr>
                <w:rFonts w:ascii="Times New Roman" w:eastAsia="Times New Roman" w:hAnsi="Times New Roman"/>
                <w:color w:val="000000"/>
                <w:sz w:val="26"/>
                <w:szCs w:val="26"/>
                <w:lang w:eastAsia="lv-LV"/>
              </w:rPr>
              <w:t>;</w:t>
            </w:r>
          </w:p>
          <w:p w14:paraId="1F879B9E" w14:textId="6453C749" w:rsidR="0058503E" w:rsidRDefault="0058503E" w:rsidP="0058503E">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2) </w:t>
            </w:r>
            <w:r w:rsidR="00BE1E04" w:rsidRPr="00BE1E04">
              <w:rPr>
                <w:rFonts w:ascii="Times New Roman" w:eastAsia="Times New Roman" w:hAnsi="Times New Roman"/>
                <w:color w:val="000000"/>
                <w:sz w:val="26"/>
                <w:szCs w:val="26"/>
                <w:lang w:eastAsia="lv-LV"/>
              </w:rPr>
              <w:t xml:space="preserve">vispārējās izglītības pakalpojumiem, ko pārsvarā finansē valsts, nav saimnieciska rakstura </w:t>
            </w:r>
            <w:r w:rsidR="00BE1E04" w:rsidRPr="00BE1E04">
              <w:rPr>
                <w:rFonts w:ascii="Times New Roman" w:eastAsia="Times New Roman" w:hAnsi="Times New Roman"/>
                <w:color w:val="000000"/>
                <w:sz w:val="26"/>
                <w:szCs w:val="26"/>
                <w:vertAlign w:val="superscript"/>
                <w:lang w:eastAsia="lv-LV"/>
              </w:rPr>
              <w:t>(43).</w:t>
            </w:r>
            <w:r w:rsidR="00BE1E04" w:rsidRPr="00BE1E04">
              <w:rPr>
                <w:rFonts w:ascii="Times New Roman" w:eastAsia="Times New Roman" w:hAnsi="Times New Roman"/>
                <w:color w:val="000000"/>
                <w:sz w:val="26"/>
                <w:szCs w:val="26"/>
                <w:lang w:eastAsia="lv-LV"/>
              </w:rPr>
              <w:t xml:space="preserve"> Šie principi var attiekties uz tādiem valsts izglītības pakalpojumiem kā </w:t>
            </w:r>
            <w:r w:rsidR="00BE1E04">
              <w:rPr>
                <w:rFonts w:ascii="Times New Roman" w:eastAsia="Times New Roman" w:hAnsi="Times New Roman"/>
                <w:color w:val="000000"/>
                <w:sz w:val="26"/>
                <w:szCs w:val="26"/>
                <w:lang w:eastAsia="lv-LV"/>
              </w:rPr>
              <w:t>(…)</w:t>
            </w:r>
            <w:r w:rsidR="00BE1E04" w:rsidRPr="00BE1E04">
              <w:rPr>
                <w:rFonts w:ascii="Times New Roman" w:eastAsia="Times New Roman" w:hAnsi="Times New Roman"/>
                <w:color w:val="000000"/>
                <w:sz w:val="26"/>
                <w:szCs w:val="26"/>
                <w:lang w:eastAsia="lv-LV"/>
              </w:rPr>
              <w:t xml:space="preserve"> papildu pakalpojums universitātēs </w:t>
            </w:r>
            <w:r w:rsidR="00BE1E04" w:rsidRPr="00415A9D">
              <w:rPr>
                <w:rFonts w:ascii="Times New Roman" w:eastAsia="Times New Roman" w:hAnsi="Times New Roman"/>
                <w:color w:val="000000"/>
                <w:sz w:val="26"/>
                <w:szCs w:val="26"/>
                <w:vertAlign w:val="superscript"/>
                <w:lang w:eastAsia="lv-LV"/>
              </w:rPr>
              <w:t>(47)</w:t>
            </w:r>
            <w:r w:rsidR="00BE1E04" w:rsidRPr="00BE1E04">
              <w:rPr>
                <w:rFonts w:ascii="Times New Roman" w:eastAsia="Times New Roman" w:hAnsi="Times New Roman"/>
                <w:color w:val="000000"/>
                <w:sz w:val="26"/>
                <w:szCs w:val="26"/>
                <w:lang w:eastAsia="lv-LV"/>
              </w:rPr>
              <w:t xml:space="preserve"> un izglītības nodrošināšana universitātē</w:t>
            </w:r>
            <w:r w:rsidR="00C83413">
              <w:rPr>
                <w:rFonts w:ascii="Times New Roman" w:eastAsia="Times New Roman" w:hAnsi="Times New Roman"/>
                <w:color w:val="000000"/>
                <w:sz w:val="26"/>
                <w:szCs w:val="26"/>
                <w:lang w:eastAsia="lv-LV"/>
              </w:rPr>
              <w:t xml:space="preserve"> (29. punkts)</w:t>
            </w:r>
            <w:r w:rsidRPr="00B9444C">
              <w:rPr>
                <w:rFonts w:ascii="Times New Roman" w:eastAsia="Times New Roman" w:hAnsi="Times New Roman"/>
                <w:color w:val="000000"/>
                <w:sz w:val="26"/>
                <w:szCs w:val="26"/>
                <w:lang w:eastAsia="lv-LV"/>
              </w:rPr>
              <w:t>;</w:t>
            </w:r>
          </w:p>
          <w:p w14:paraId="6CA0C5C1" w14:textId="2C485A11" w:rsidR="00801145" w:rsidRDefault="00801145" w:rsidP="0058503E">
            <w:pPr>
              <w:spacing w:before="10" w:line="240" w:lineRule="auto"/>
              <w:ind w:left="101" w:right="102"/>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 xml:space="preserve">3) </w:t>
            </w:r>
            <w:r w:rsidR="00C83413">
              <w:rPr>
                <w:rFonts w:ascii="Times New Roman" w:eastAsia="Times New Roman" w:hAnsi="Times New Roman"/>
                <w:color w:val="000000"/>
                <w:sz w:val="26"/>
                <w:szCs w:val="26"/>
                <w:lang w:eastAsia="lv-LV"/>
              </w:rPr>
              <w:t>Paziņojuma 29. punktā minētie</w:t>
            </w:r>
            <w:r>
              <w:rPr>
                <w:rFonts w:ascii="Times New Roman" w:eastAsia="Times New Roman" w:hAnsi="Times New Roman"/>
                <w:color w:val="000000"/>
                <w:sz w:val="26"/>
                <w:szCs w:val="26"/>
                <w:lang w:eastAsia="lv-LV"/>
              </w:rPr>
              <w:t xml:space="preserve"> </w:t>
            </w:r>
            <w:r w:rsidR="00C83413">
              <w:rPr>
                <w:rFonts w:ascii="Times New Roman" w:eastAsia="Times New Roman" w:hAnsi="Times New Roman"/>
                <w:color w:val="000000"/>
                <w:sz w:val="26"/>
                <w:szCs w:val="26"/>
                <w:lang w:eastAsia="lv-LV"/>
              </w:rPr>
              <w:t>„</w:t>
            </w:r>
            <w:r w:rsidRPr="00C83413">
              <w:rPr>
                <w:rFonts w:ascii="Times New Roman" w:eastAsia="Times New Roman" w:hAnsi="Times New Roman"/>
                <w:i/>
                <w:color w:val="000000"/>
                <w:sz w:val="26"/>
                <w:szCs w:val="26"/>
                <w:lang w:eastAsia="lv-LV"/>
              </w:rPr>
              <w:t>valsts izglītības pakalpojumi ir jānošķir no pakalpojumiem, kurus finansē galvenokārt vecāki vai skolēni vai kurus finansē no komerciāliem ieņēmumiem. Piemēram, augstākā izglītība, kuru pilnībā finansē studenti, nepārprotami ietilpst pēdējā minētajā kategorijā. Dažās dalībvalstīs publiskie subjekti var cita starpā piedāvāt izglītības pakalpojumus, kuri savas būtības, finansēšanas struktūras un privātu organizāciju radītās konkurences dēļ ir uzskatāmi par saimniecisko darbīb</w:t>
            </w:r>
            <w:r w:rsidRPr="00801145">
              <w:rPr>
                <w:rFonts w:ascii="Times New Roman" w:eastAsia="Times New Roman" w:hAnsi="Times New Roman"/>
                <w:color w:val="000000"/>
                <w:sz w:val="26"/>
                <w:szCs w:val="26"/>
                <w:lang w:eastAsia="lv-LV"/>
              </w:rPr>
              <w:t>u</w:t>
            </w:r>
            <w:r w:rsidR="00C83413">
              <w:rPr>
                <w:rFonts w:ascii="Times New Roman" w:eastAsia="Times New Roman" w:hAnsi="Times New Roman"/>
                <w:color w:val="000000"/>
                <w:sz w:val="26"/>
                <w:szCs w:val="26"/>
                <w:lang w:eastAsia="lv-LV"/>
              </w:rPr>
              <w:t>” (30. punkts);</w:t>
            </w:r>
          </w:p>
          <w:p w14:paraId="3069C322" w14:textId="20BACB88" w:rsidR="0058503E" w:rsidRPr="00B9444C" w:rsidRDefault="00C83413" w:rsidP="0058503E">
            <w:pPr>
              <w:spacing w:before="10" w:line="240" w:lineRule="auto"/>
              <w:ind w:left="101" w:right="102"/>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4</w:t>
            </w:r>
            <w:r w:rsidR="0058503E" w:rsidRPr="00B9444C">
              <w:rPr>
                <w:rFonts w:ascii="Times New Roman" w:eastAsia="Times New Roman" w:hAnsi="Times New Roman"/>
                <w:color w:val="000000"/>
                <w:sz w:val="26"/>
                <w:szCs w:val="26"/>
                <w:lang w:eastAsia="lv-LV"/>
              </w:rPr>
              <w:t>) publiskais atbalsts nevar ietekmēt tirdzniecību starp dalībvalstīm. Paziņojumā sniegti daži šādu lietu piemēri</w:t>
            </w:r>
            <w:r>
              <w:rPr>
                <w:rFonts w:ascii="Times New Roman" w:eastAsia="Times New Roman" w:hAnsi="Times New Roman"/>
                <w:color w:val="000000"/>
                <w:sz w:val="26"/>
                <w:szCs w:val="26"/>
                <w:lang w:eastAsia="lv-LV"/>
              </w:rPr>
              <w:t xml:space="preserve"> (197. punkts)</w:t>
            </w:r>
            <w:r w:rsidR="0058503E" w:rsidRPr="00B9444C">
              <w:rPr>
                <w:rFonts w:ascii="Times New Roman" w:eastAsia="Times New Roman" w:hAnsi="Times New Roman"/>
                <w:color w:val="000000"/>
                <w:sz w:val="26"/>
                <w:szCs w:val="26"/>
                <w:lang w:eastAsia="lv-LV"/>
              </w:rPr>
              <w:t>:</w:t>
            </w:r>
          </w:p>
          <w:p w14:paraId="646FB4CF" w14:textId="77777777" w:rsidR="0058503E" w:rsidRPr="00B9444C" w:rsidRDefault="0058503E" w:rsidP="0058503E">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w:t>
            </w:r>
            <w:r w:rsidRPr="00B9444C">
              <w:rPr>
                <w:rFonts w:ascii="Times New Roman" w:eastAsia="Times New Roman" w:hAnsi="Times New Roman"/>
                <w:color w:val="000000"/>
                <w:sz w:val="26"/>
                <w:szCs w:val="26"/>
                <w:lang w:eastAsia="lv-LV"/>
              </w:rPr>
              <w:tab/>
              <w:t>(..) infrastruktūra, ar kuru apkalpo pārsvarā vietēja mēroga publiku un kura diez vai piesaistītu citu dalībvalstu klientus vai ieguldījumus;</w:t>
            </w:r>
          </w:p>
          <w:p w14:paraId="2C7851A7" w14:textId="77777777" w:rsidR="0058503E" w:rsidRPr="00B9444C" w:rsidRDefault="0058503E" w:rsidP="0058503E">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b)</w:t>
            </w:r>
            <w:r w:rsidRPr="00B9444C">
              <w:rPr>
                <w:rFonts w:ascii="Times New Roman" w:eastAsia="Times New Roman" w:hAnsi="Times New Roman"/>
                <w:color w:val="000000"/>
                <w:sz w:val="26"/>
                <w:szCs w:val="26"/>
                <w:lang w:eastAsia="lv-LV"/>
              </w:rPr>
              <w:tab/>
              <w:t>(..) subjekti, kuri veic saimniecisko darbību, kas tomēr diez vai pārvilinātu lietotājus vai apmeklētājus, kuri izmanto līdzīgu piedāvājumu citās dalībvalstīs; Komisija uzskata, ka potenciāls ietekmēt tirdzniecību starp dalībvalstīm piemīt tikai finansējumam, kuru piešķir lielām (...) iestādēm un pasākumiem, ko plaši reklamē ārpus to vietējā reģiona;</w:t>
            </w:r>
          </w:p>
          <w:p w14:paraId="1EE12F17" w14:textId="20984371" w:rsidR="0058503E" w:rsidRPr="00B9444C" w:rsidRDefault="00C83413" w:rsidP="0058503E">
            <w:pPr>
              <w:spacing w:before="10" w:line="240" w:lineRule="auto"/>
              <w:ind w:left="101" w:right="102"/>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5</w:t>
            </w:r>
            <w:r w:rsidR="0058503E" w:rsidRPr="00B9444C">
              <w:rPr>
                <w:rFonts w:ascii="Times New Roman" w:eastAsia="Times New Roman" w:hAnsi="Times New Roman"/>
                <w:color w:val="000000"/>
                <w:sz w:val="26"/>
                <w:szCs w:val="26"/>
                <w:lang w:eastAsia="lv-LV"/>
              </w:rPr>
              <w:t>) ja jaukta izmantojuma gadījumā infrastruktūru izmanto, galvenokārt, tikai nesaimnieciskajai darbībai, valsts atbalsta noteikumi uz attiecīgo finansējumu var vispār neattiekties ar nosacījumu</w:t>
            </w:r>
            <w:r>
              <w:rPr>
                <w:rFonts w:ascii="Times New Roman" w:eastAsia="Times New Roman" w:hAnsi="Times New Roman"/>
                <w:color w:val="000000"/>
                <w:sz w:val="26"/>
                <w:szCs w:val="26"/>
                <w:lang w:eastAsia="lv-LV"/>
              </w:rPr>
              <w:t xml:space="preserve"> (207. punkts)</w:t>
            </w:r>
            <w:r w:rsidR="0058503E" w:rsidRPr="00B9444C">
              <w:rPr>
                <w:rFonts w:ascii="Times New Roman" w:eastAsia="Times New Roman" w:hAnsi="Times New Roman"/>
                <w:color w:val="000000"/>
                <w:sz w:val="26"/>
                <w:szCs w:val="26"/>
                <w:lang w:eastAsia="lv-LV"/>
              </w:rPr>
              <w:t>, ka:</w:t>
            </w:r>
          </w:p>
          <w:p w14:paraId="3FD83A68" w14:textId="77777777" w:rsidR="0058503E" w:rsidRPr="00B9444C" w:rsidRDefault="0058503E" w:rsidP="0058503E">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a)</w:t>
            </w:r>
            <w:r w:rsidRPr="00B9444C">
              <w:rPr>
                <w:rFonts w:ascii="Times New Roman" w:eastAsia="Times New Roman" w:hAnsi="Times New Roman"/>
                <w:color w:val="000000"/>
                <w:sz w:val="26"/>
                <w:szCs w:val="26"/>
                <w:lang w:eastAsia="lv-LV"/>
              </w:rPr>
              <w:tab/>
              <w:t>saimnieciskā darbība ir vienīgi papildinoša, t.i., šī darbība ir tieši saistīta ar infrastruktūras ekspluatāciju un tai nepieciešama, vai cieši saistīta ar tās galveno nesaimniecisko izmantojumu. Šis nosacījums būtu uzskatāms par izpildītu, ja saimnieciskajai darbībai patērē tos pašus resursus kā pamata nesaimnieciskajai darbībai, piemēram, tos pašus materiālus, iekārtas, darbaspēku vai pamatkapitālu. Papildinošās saimnieciskās darbības (</w:t>
            </w:r>
            <w:proofErr w:type="spellStart"/>
            <w:r w:rsidRPr="00B9444C">
              <w:rPr>
                <w:rFonts w:ascii="Times New Roman" w:eastAsia="Times New Roman" w:hAnsi="Times New Roman"/>
                <w:i/>
                <w:color w:val="000000"/>
                <w:sz w:val="26"/>
                <w:szCs w:val="26"/>
                <w:lang w:eastAsia="lv-LV"/>
              </w:rPr>
              <w:t>ancillary</w:t>
            </w:r>
            <w:proofErr w:type="spellEnd"/>
            <w:r w:rsidRPr="00B9444C">
              <w:rPr>
                <w:rFonts w:ascii="Times New Roman" w:eastAsia="Times New Roman" w:hAnsi="Times New Roman"/>
                <w:i/>
                <w:color w:val="000000"/>
                <w:sz w:val="26"/>
                <w:szCs w:val="26"/>
                <w:lang w:eastAsia="lv-LV"/>
              </w:rPr>
              <w:t xml:space="preserve"> </w:t>
            </w:r>
            <w:proofErr w:type="spellStart"/>
            <w:r w:rsidRPr="00B9444C">
              <w:rPr>
                <w:rFonts w:ascii="Times New Roman" w:eastAsia="Times New Roman" w:hAnsi="Times New Roman"/>
                <w:i/>
                <w:color w:val="000000"/>
                <w:sz w:val="26"/>
                <w:szCs w:val="26"/>
                <w:lang w:eastAsia="lv-LV"/>
              </w:rPr>
              <w:t>economic</w:t>
            </w:r>
            <w:proofErr w:type="spellEnd"/>
            <w:r w:rsidRPr="00B9444C">
              <w:rPr>
                <w:rFonts w:ascii="Times New Roman" w:eastAsia="Times New Roman" w:hAnsi="Times New Roman"/>
                <w:i/>
                <w:color w:val="000000"/>
                <w:sz w:val="26"/>
                <w:szCs w:val="26"/>
                <w:lang w:eastAsia="lv-LV"/>
              </w:rPr>
              <w:t xml:space="preserve"> </w:t>
            </w:r>
            <w:proofErr w:type="spellStart"/>
            <w:r w:rsidRPr="00B9444C">
              <w:rPr>
                <w:rFonts w:ascii="Times New Roman" w:eastAsia="Times New Roman" w:hAnsi="Times New Roman"/>
                <w:i/>
                <w:color w:val="000000"/>
                <w:sz w:val="26"/>
                <w:szCs w:val="26"/>
                <w:lang w:eastAsia="lv-LV"/>
              </w:rPr>
              <w:t>activities</w:t>
            </w:r>
            <w:proofErr w:type="spellEnd"/>
            <w:r w:rsidRPr="00B9444C">
              <w:rPr>
                <w:rFonts w:ascii="Times New Roman" w:eastAsia="Times New Roman" w:hAnsi="Times New Roman"/>
                <w:color w:val="000000"/>
                <w:sz w:val="26"/>
                <w:szCs w:val="26"/>
                <w:lang w:eastAsia="lv-LV"/>
              </w:rPr>
              <w:t xml:space="preserve">) apjomam ir jāpaliek ierobežotam attiecībā pret infrastruktūras jaudu. Kā piemērus šādai papildinošai saimnieciskajai darbībai var minēt praksi, ka pētniecības organizācija dažkārt izīrē savas iekārtas un laboratorijas ražošanas nozaru partneriem; </w:t>
            </w:r>
          </w:p>
          <w:p w14:paraId="65457255" w14:textId="77777777" w:rsidR="0058503E" w:rsidRPr="00B9444C" w:rsidRDefault="0058503E" w:rsidP="0058503E">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b)</w:t>
            </w:r>
            <w:r w:rsidRPr="00B9444C">
              <w:rPr>
                <w:rFonts w:ascii="Times New Roman" w:eastAsia="Times New Roman" w:hAnsi="Times New Roman"/>
                <w:color w:val="000000"/>
                <w:sz w:val="26"/>
                <w:szCs w:val="26"/>
                <w:lang w:eastAsia="lv-LV"/>
              </w:rPr>
              <w:tab/>
              <w:t>publiskais finansējums, kuru sniedz parastajiem papildpakalpojumiem (</w:t>
            </w:r>
            <w:proofErr w:type="spellStart"/>
            <w:r w:rsidRPr="00B9444C">
              <w:rPr>
                <w:rFonts w:ascii="Times New Roman" w:eastAsia="Times New Roman" w:hAnsi="Times New Roman"/>
                <w:i/>
                <w:color w:val="000000"/>
                <w:sz w:val="26"/>
                <w:szCs w:val="26"/>
                <w:lang w:eastAsia="lv-LV"/>
              </w:rPr>
              <w:t>customary</w:t>
            </w:r>
            <w:proofErr w:type="spellEnd"/>
            <w:r w:rsidRPr="00B9444C">
              <w:rPr>
                <w:rFonts w:ascii="Times New Roman" w:eastAsia="Times New Roman" w:hAnsi="Times New Roman"/>
                <w:i/>
                <w:color w:val="000000"/>
                <w:sz w:val="26"/>
                <w:szCs w:val="26"/>
                <w:lang w:eastAsia="lv-LV"/>
              </w:rPr>
              <w:t xml:space="preserve"> </w:t>
            </w:r>
            <w:proofErr w:type="spellStart"/>
            <w:r w:rsidRPr="00B9444C">
              <w:rPr>
                <w:rFonts w:ascii="Times New Roman" w:eastAsia="Times New Roman" w:hAnsi="Times New Roman"/>
                <w:i/>
                <w:color w:val="000000"/>
                <w:sz w:val="26"/>
                <w:szCs w:val="26"/>
                <w:lang w:eastAsia="lv-LV"/>
              </w:rPr>
              <w:t>amenities</w:t>
            </w:r>
            <w:proofErr w:type="spellEnd"/>
            <w:r w:rsidRPr="00B9444C">
              <w:rPr>
                <w:rFonts w:ascii="Times New Roman" w:eastAsia="Times New Roman" w:hAnsi="Times New Roman"/>
                <w:color w:val="000000"/>
                <w:sz w:val="26"/>
                <w:szCs w:val="26"/>
                <w:lang w:eastAsia="lv-LV"/>
              </w:rPr>
              <w:t>) (piemēram, restorāniem, veikaliem vai maksas stāvvietām) infrastruktūrās, kuras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w:t>
            </w:r>
          </w:p>
          <w:p w14:paraId="34401CD1" w14:textId="5CD6D178" w:rsidR="0058503E" w:rsidRPr="00B9444C" w:rsidRDefault="0058503E" w:rsidP="0058503E">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Saskaņā ar Līguma par Eiropas Savienības darbību 107.panta 1.punktā</w:t>
            </w:r>
            <w:r w:rsidR="00C979C9"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 xml:space="preserve"> citos Eiropas Savienības aktos </w:t>
            </w:r>
            <w:r w:rsidR="00C979C9" w:rsidRPr="00B9444C">
              <w:rPr>
                <w:rFonts w:ascii="Times New Roman" w:eastAsia="Times New Roman" w:hAnsi="Times New Roman"/>
                <w:color w:val="000000"/>
                <w:sz w:val="26"/>
                <w:szCs w:val="26"/>
                <w:lang w:eastAsia="lv-LV"/>
              </w:rPr>
              <w:t xml:space="preserve">un Komercdarbības atbalsta kontroles likuma 5.pantā </w:t>
            </w:r>
            <w:r w:rsidRPr="00B9444C">
              <w:rPr>
                <w:rFonts w:ascii="Times New Roman" w:eastAsia="Times New Roman" w:hAnsi="Times New Roman"/>
                <w:color w:val="000000"/>
                <w:sz w:val="26"/>
                <w:szCs w:val="26"/>
                <w:lang w:eastAsia="lv-LV"/>
              </w:rPr>
              <w:t>noteikto, lai finansiālo palīdzību komercdarbības veicināšanai uzskatītu par komercdarbības atbalstu, tai jāatbilst visām (četrām) pazīmēm</w:t>
            </w:r>
            <w:r w:rsidRPr="00B9444C">
              <w:rPr>
                <w:rStyle w:val="FootnoteReference"/>
                <w:rFonts w:ascii="Times New Roman" w:eastAsia="Times New Roman" w:hAnsi="Times New Roman"/>
                <w:color w:val="000000"/>
                <w:sz w:val="26"/>
                <w:szCs w:val="26"/>
                <w:lang w:eastAsia="lv-LV"/>
              </w:rPr>
              <w:footnoteReference w:id="3"/>
            </w:r>
            <w:r w:rsidRPr="00B9444C">
              <w:rPr>
                <w:rFonts w:ascii="Times New Roman" w:eastAsia="Times New Roman" w:hAnsi="Times New Roman"/>
                <w:color w:val="000000"/>
                <w:sz w:val="26"/>
                <w:szCs w:val="26"/>
                <w:lang w:eastAsia="lv-LV"/>
              </w:rPr>
              <w:t xml:space="preserve">. </w:t>
            </w:r>
          </w:p>
          <w:p w14:paraId="658A9536" w14:textId="7673DFD2" w:rsidR="00A3016C" w:rsidRDefault="0058503E" w:rsidP="007214DD">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Tādējādi</w:t>
            </w:r>
            <w:r w:rsidR="00ED578E">
              <w:rPr>
                <w:rFonts w:ascii="Times New Roman" w:eastAsia="Times New Roman" w:hAnsi="Times New Roman"/>
                <w:color w:val="000000"/>
                <w:sz w:val="26"/>
                <w:szCs w:val="26"/>
                <w:lang w:eastAsia="lv-LV"/>
              </w:rPr>
              <w:t xml:space="preserve"> situācijā</w:t>
            </w:r>
            <w:r w:rsidR="00A437F6">
              <w:rPr>
                <w:rFonts w:ascii="Times New Roman" w:eastAsia="Times New Roman" w:hAnsi="Times New Roman"/>
                <w:color w:val="000000"/>
                <w:sz w:val="26"/>
                <w:szCs w:val="26"/>
                <w:lang w:eastAsia="lv-LV"/>
              </w:rPr>
              <w:t xml:space="preserve">, ja </w:t>
            </w:r>
            <w:r w:rsidR="00ED578E">
              <w:rPr>
                <w:rFonts w:ascii="Times New Roman" w:eastAsia="Times New Roman" w:hAnsi="Times New Roman"/>
                <w:color w:val="000000"/>
                <w:sz w:val="26"/>
                <w:szCs w:val="26"/>
                <w:lang w:eastAsia="lv-LV"/>
              </w:rPr>
              <w:t xml:space="preserve">augstākās izglītības institūcijas sniegtajiem izglītības pakalpojumiem ir vietējs raksturs, ko pamato vietējo izglītojamo īpatsvars no kopējā izglītojamo skaita, augstākās izglītības institūcijas vieta pasaules universitāšu reitingos un </w:t>
            </w:r>
            <w:r w:rsidR="00ED578E" w:rsidRPr="00B9444C">
              <w:rPr>
                <w:rFonts w:ascii="Times New Roman" w:eastAsia="Times New Roman" w:hAnsi="Times New Roman"/>
                <w:color w:val="000000"/>
                <w:sz w:val="26"/>
                <w:szCs w:val="26"/>
                <w:lang w:eastAsia="lv-LV"/>
              </w:rPr>
              <w:lastRenderedPageBreak/>
              <w:t xml:space="preserve">valoda, kurā </w:t>
            </w:r>
            <w:r w:rsidR="00ED578E">
              <w:rPr>
                <w:rFonts w:ascii="Times New Roman" w:eastAsia="Times New Roman" w:hAnsi="Times New Roman"/>
                <w:color w:val="000000"/>
                <w:sz w:val="26"/>
                <w:szCs w:val="26"/>
                <w:lang w:eastAsia="lv-LV"/>
              </w:rPr>
              <w:t xml:space="preserve">sniedz izglītības pakalpojumu, tad </w:t>
            </w:r>
            <w:r w:rsidR="00C83413">
              <w:rPr>
                <w:rFonts w:ascii="Times New Roman" w:eastAsia="Times New Roman" w:hAnsi="Times New Roman"/>
                <w:color w:val="000000"/>
                <w:sz w:val="26"/>
                <w:szCs w:val="26"/>
                <w:lang w:eastAsia="lv-LV"/>
              </w:rPr>
              <w:t xml:space="preserve">augstākās izglītības institūcijas sniegtie </w:t>
            </w:r>
            <w:r w:rsidR="00ED578E">
              <w:rPr>
                <w:rFonts w:ascii="Times New Roman" w:eastAsia="Times New Roman" w:hAnsi="Times New Roman"/>
                <w:color w:val="000000"/>
                <w:sz w:val="26"/>
                <w:szCs w:val="26"/>
                <w:lang w:eastAsia="lv-LV"/>
              </w:rPr>
              <w:t xml:space="preserve">izglītības pakalpojumi neietekmē </w:t>
            </w:r>
            <w:r w:rsidR="00ED578E" w:rsidRPr="00ED578E">
              <w:rPr>
                <w:rFonts w:ascii="Times New Roman" w:eastAsia="Times New Roman" w:hAnsi="Times New Roman"/>
                <w:color w:val="000000"/>
                <w:sz w:val="26"/>
                <w:szCs w:val="26"/>
                <w:lang w:eastAsia="lv-LV"/>
              </w:rPr>
              <w:t xml:space="preserve">tirdzniecību un </w:t>
            </w:r>
            <w:r w:rsidR="00ED578E">
              <w:rPr>
                <w:rFonts w:ascii="Times New Roman" w:eastAsia="Times New Roman" w:hAnsi="Times New Roman"/>
                <w:color w:val="000000"/>
                <w:sz w:val="26"/>
                <w:szCs w:val="26"/>
                <w:lang w:eastAsia="lv-LV"/>
              </w:rPr>
              <w:t>ne</w:t>
            </w:r>
            <w:r w:rsidR="00ED578E" w:rsidRPr="00ED578E">
              <w:rPr>
                <w:rFonts w:ascii="Times New Roman" w:eastAsia="Times New Roman" w:hAnsi="Times New Roman"/>
                <w:color w:val="000000"/>
                <w:sz w:val="26"/>
                <w:szCs w:val="26"/>
                <w:lang w:eastAsia="lv-LV"/>
              </w:rPr>
              <w:t>izkropļo konkurenci Eiropas Savienības iekšējā tirgū</w:t>
            </w:r>
            <w:r w:rsidR="00ED578E">
              <w:rPr>
                <w:rFonts w:ascii="Times New Roman" w:eastAsia="Times New Roman" w:hAnsi="Times New Roman"/>
                <w:color w:val="000000"/>
                <w:sz w:val="26"/>
                <w:szCs w:val="26"/>
                <w:lang w:eastAsia="lv-LV"/>
              </w:rPr>
              <w:t xml:space="preserve"> ietekmes</w:t>
            </w:r>
            <w:r w:rsidR="00A3016C">
              <w:rPr>
                <w:rFonts w:ascii="Times New Roman" w:eastAsia="Times New Roman" w:hAnsi="Times New Roman"/>
                <w:color w:val="000000"/>
                <w:sz w:val="26"/>
                <w:szCs w:val="26"/>
                <w:lang w:eastAsia="lv-LV"/>
              </w:rPr>
              <w:t xml:space="preserve">. </w:t>
            </w:r>
          </w:p>
          <w:p w14:paraId="2325E2A8" w14:textId="51B8EA21" w:rsidR="007214DD" w:rsidRPr="00B9444C" w:rsidRDefault="00A3016C" w:rsidP="007214DD">
            <w:pPr>
              <w:spacing w:before="10" w:line="240" w:lineRule="auto"/>
              <w:ind w:left="101" w:right="102"/>
              <w:jc w:val="both"/>
              <w:rPr>
                <w:rFonts w:ascii="Times New Roman" w:eastAsia="Times New Roman" w:hAnsi="Times New Roman"/>
                <w:b/>
                <w:color w:val="000000"/>
                <w:sz w:val="26"/>
                <w:szCs w:val="26"/>
                <w:lang w:eastAsia="lv-LV"/>
              </w:rPr>
            </w:pPr>
            <w:r>
              <w:rPr>
                <w:rFonts w:ascii="Times New Roman" w:eastAsia="Times New Roman" w:hAnsi="Times New Roman"/>
                <w:color w:val="000000"/>
                <w:sz w:val="26"/>
                <w:szCs w:val="26"/>
                <w:lang w:eastAsia="lv-LV"/>
              </w:rPr>
              <w:t>Minētajā gadījumā</w:t>
            </w:r>
            <w:r w:rsidR="0058503E" w:rsidRPr="00B9444C">
              <w:rPr>
                <w:rFonts w:ascii="Times New Roman" w:eastAsia="Times New Roman" w:hAnsi="Times New Roman"/>
                <w:color w:val="000000"/>
                <w:sz w:val="26"/>
                <w:szCs w:val="26"/>
                <w:lang w:eastAsia="lv-LV"/>
              </w:rPr>
              <w:t xml:space="preserve"> publiskie ieguldījumi augstākās izglītības infrastruktūrā nekvalificējas kā komercdarbības atbalsts, </w:t>
            </w:r>
            <w:r w:rsidRPr="00B9444C">
              <w:rPr>
                <w:rFonts w:ascii="Times New Roman" w:eastAsia="Times New Roman" w:hAnsi="Times New Roman"/>
                <w:color w:val="000000"/>
                <w:sz w:val="26"/>
                <w:szCs w:val="26"/>
                <w:lang w:eastAsia="lv-LV"/>
              </w:rPr>
              <w:t>j</w:t>
            </w:r>
            <w:r>
              <w:rPr>
                <w:rFonts w:ascii="Times New Roman" w:eastAsia="Times New Roman" w:hAnsi="Times New Roman"/>
                <w:color w:val="000000"/>
                <w:sz w:val="26"/>
                <w:szCs w:val="26"/>
                <w:lang w:eastAsia="lv-LV"/>
              </w:rPr>
              <w:t>o</w:t>
            </w:r>
            <w:r w:rsidRPr="00B9444C">
              <w:rPr>
                <w:rFonts w:ascii="Times New Roman" w:eastAsia="Times New Roman" w:hAnsi="Times New Roman"/>
                <w:color w:val="000000"/>
                <w:sz w:val="26"/>
                <w:szCs w:val="26"/>
                <w:lang w:eastAsia="lv-LV"/>
              </w:rPr>
              <w:t xml:space="preserve"> </w:t>
            </w:r>
            <w:r w:rsidR="00373C42" w:rsidRPr="00B9444C">
              <w:rPr>
                <w:rFonts w:ascii="Times New Roman" w:eastAsia="Times New Roman" w:hAnsi="Times New Roman"/>
                <w:color w:val="000000"/>
                <w:sz w:val="26"/>
                <w:szCs w:val="26"/>
                <w:lang w:eastAsia="lv-LV"/>
              </w:rPr>
              <w:t xml:space="preserve">neizpildās vismaz viena no </w:t>
            </w:r>
            <w:r w:rsidR="00C83413" w:rsidRPr="00C83413">
              <w:rPr>
                <w:rFonts w:ascii="Times New Roman" w:eastAsia="Times New Roman" w:hAnsi="Times New Roman"/>
                <w:color w:val="000000"/>
                <w:sz w:val="26"/>
                <w:szCs w:val="26"/>
                <w:lang w:eastAsia="lv-LV"/>
              </w:rPr>
              <w:t>Komercdarbības atbalsta kontroles likuma 5.pantā noteikt</w:t>
            </w:r>
            <w:r w:rsidR="00C83413">
              <w:rPr>
                <w:rFonts w:ascii="Times New Roman" w:eastAsia="Times New Roman" w:hAnsi="Times New Roman"/>
                <w:color w:val="000000"/>
                <w:sz w:val="26"/>
                <w:szCs w:val="26"/>
                <w:lang w:eastAsia="lv-LV"/>
              </w:rPr>
              <w:t>ajām</w:t>
            </w:r>
            <w:r w:rsidR="00C83413" w:rsidRPr="00C83413">
              <w:rPr>
                <w:rFonts w:ascii="Times New Roman" w:eastAsia="Times New Roman" w:hAnsi="Times New Roman"/>
                <w:color w:val="000000"/>
                <w:sz w:val="26"/>
                <w:szCs w:val="26"/>
                <w:lang w:eastAsia="lv-LV"/>
              </w:rPr>
              <w:t xml:space="preserve"> </w:t>
            </w:r>
            <w:r w:rsidR="00373C42" w:rsidRPr="00B9444C">
              <w:rPr>
                <w:rFonts w:ascii="Times New Roman" w:eastAsia="Times New Roman" w:hAnsi="Times New Roman"/>
                <w:color w:val="000000"/>
                <w:sz w:val="26"/>
                <w:szCs w:val="26"/>
                <w:lang w:eastAsia="lv-LV"/>
              </w:rPr>
              <w:t>komercdarbības atbalsta pazīmēm</w:t>
            </w:r>
            <w:r w:rsidR="00373C42" w:rsidRPr="00B9444C">
              <w:rPr>
                <w:rFonts w:ascii="Times New Roman" w:eastAsia="Times New Roman" w:hAnsi="Times New Roman"/>
                <w:b/>
                <w:color w:val="000000"/>
                <w:sz w:val="26"/>
                <w:szCs w:val="26"/>
                <w:lang w:eastAsia="lv-LV"/>
              </w:rPr>
              <w:t xml:space="preserve">. </w:t>
            </w:r>
          </w:p>
          <w:p w14:paraId="470A1257" w14:textId="77777777" w:rsidR="00620C74" w:rsidRPr="00B9444C" w:rsidRDefault="00F30B26" w:rsidP="007214DD">
            <w:pPr>
              <w:spacing w:before="10" w:line="240" w:lineRule="auto"/>
              <w:ind w:left="101" w:right="102"/>
              <w:jc w:val="both"/>
              <w:rPr>
                <w:rFonts w:ascii="Times New Roman" w:eastAsia="Times New Roman" w:hAnsi="Times New Roman"/>
                <w:b/>
                <w:color w:val="000000"/>
                <w:sz w:val="26"/>
                <w:szCs w:val="26"/>
                <w:lang w:eastAsia="lv-LV"/>
              </w:rPr>
            </w:pPr>
            <w:r w:rsidRPr="00B9444C">
              <w:rPr>
                <w:rFonts w:ascii="Times New Roman" w:eastAsia="Times New Roman" w:hAnsi="Times New Roman"/>
                <w:b/>
                <w:color w:val="000000"/>
                <w:sz w:val="26"/>
                <w:szCs w:val="26"/>
                <w:lang w:eastAsia="lv-LV"/>
              </w:rPr>
              <w:t>M</w:t>
            </w:r>
            <w:r w:rsidR="006D5E1F" w:rsidRPr="00B9444C">
              <w:rPr>
                <w:rFonts w:ascii="Times New Roman" w:eastAsia="Times New Roman" w:hAnsi="Times New Roman"/>
                <w:b/>
                <w:color w:val="000000"/>
                <w:sz w:val="26"/>
                <w:szCs w:val="26"/>
                <w:lang w:eastAsia="lv-LV"/>
              </w:rPr>
              <w:t xml:space="preserve">odernizētās infrastruktūras izmantošana </w:t>
            </w:r>
          </w:p>
          <w:p w14:paraId="686E7B3B" w14:textId="3001F3CD" w:rsidR="00A45768" w:rsidRPr="00B9444C" w:rsidRDefault="006D5E1F" w:rsidP="00A45768">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Ievērojot </w:t>
            </w:r>
            <w:r w:rsidR="007C5AF7" w:rsidRPr="00B9444C">
              <w:rPr>
                <w:rFonts w:ascii="Times New Roman" w:eastAsia="Times New Roman" w:hAnsi="Times New Roman"/>
                <w:color w:val="000000"/>
                <w:sz w:val="26"/>
                <w:szCs w:val="26"/>
                <w:lang w:eastAsia="lv-LV"/>
              </w:rPr>
              <w:t xml:space="preserve">minētos </w:t>
            </w:r>
            <w:r w:rsidRPr="00B9444C">
              <w:rPr>
                <w:rFonts w:ascii="Times New Roman" w:eastAsia="Times New Roman" w:hAnsi="Times New Roman"/>
                <w:color w:val="000000"/>
                <w:sz w:val="26"/>
                <w:szCs w:val="26"/>
                <w:lang w:eastAsia="lv-LV"/>
              </w:rPr>
              <w:t xml:space="preserve">Paziņojuma </w:t>
            </w:r>
            <w:r w:rsidR="007C5AF7" w:rsidRPr="00B9444C">
              <w:rPr>
                <w:rFonts w:ascii="Times New Roman" w:eastAsia="Times New Roman" w:hAnsi="Times New Roman"/>
                <w:color w:val="000000"/>
                <w:sz w:val="26"/>
                <w:szCs w:val="26"/>
                <w:lang w:eastAsia="lv-LV"/>
              </w:rPr>
              <w:t xml:space="preserve">un Komercdarbības atbalsta likuma </w:t>
            </w:r>
            <w:r w:rsidR="00C97CEE" w:rsidRPr="00B9444C">
              <w:rPr>
                <w:rFonts w:ascii="Times New Roman" w:eastAsia="Times New Roman" w:hAnsi="Times New Roman"/>
                <w:color w:val="000000"/>
                <w:sz w:val="26"/>
                <w:szCs w:val="26"/>
                <w:lang w:eastAsia="lv-LV"/>
              </w:rPr>
              <w:t xml:space="preserve">5. panta </w:t>
            </w:r>
            <w:r w:rsidRPr="00B9444C">
              <w:rPr>
                <w:rFonts w:ascii="Times New Roman" w:eastAsia="Times New Roman" w:hAnsi="Times New Roman"/>
                <w:color w:val="000000"/>
                <w:sz w:val="26"/>
                <w:szCs w:val="26"/>
                <w:lang w:eastAsia="lv-LV"/>
              </w:rPr>
              <w:t>nosacījumus,</w:t>
            </w:r>
            <w:r w:rsidR="00F30B26" w:rsidRPr="00B9444C">
              <w:rPr>
                <w:rFonts w:ascii="Times New Roman" w:eastAsia="Times New Roman" w:hAnsi="Times New Roman"/>
                <w:color w:val="000000"/>
                <w:sz w:val="26"/>
                <w:szCs w:val="26"/>
                <w:lang w:eastAsia="lv-LV"/>
              </w:rPr>
              <w:t xml:space="preserve"> noteikumu projekts paredz veikt MK noteikumu Nr. 561 grozījumus, </w:t>
            </w:r>
            <w:r w:rsidR="007C5AF7" w:rsidRPr="00B9444C">
              <w:rPr>
                <w:rFonts w:ascii="Times New Roman" w:eastAsia="Times New Roman" w:hAnsi="Times New Roman"/>
                <w:color w:val="000000"/>
                <w:sz w:val="26"/>
                <w:szCs w:val="26"/>
                <w:lang w:eastAsia="lv-LV"/>
              </w:rPr>
              <w:t>nosakot</w:t>
            </w:r>
            <w:r w:rsidR="00F30B26" w:rsidRPr="00B9444C">
              <w:rPr>
                <w:rFonts w:ascii="Times New Roman" w:eastAsia="Times New Roman" w:hAnsi="Times New Roman"/>
                <w:color w:val="000000"/>
                <w:sz w:val="26"/>
                <w:szCs w:val="26"/>
                <w:lang w:eastAsia="lv-LV"/>
              </w:rPr>
              <w:t>, ka</w:t>
            </w:r>
            <w:r w:rsidR="00A45768" w:rsidRPr="00B9444C">
              <w:rPr>
                <w:rFonts w:ascii="Times New Roman" w:eastAsia="Times New Roman" w:hAnsi="Times New Roman"/>
                <w:color w:val="000000"/>
                <w:sz w:val="26"/>
                <w:szCs w:val="26"/>
                <w:lang w:eastAsia="lv-LV"/>
              </w:rPr>
              <w:t xml:space="preserve"> projekta ietvaros modernizēto infrastruktūru tās amortizācijas periodā </w:t>
            </w:r>
            <w:r w:rsidR="006C3BC5" w:rsidRPr="00B9444C">
              <w:rPr>
                <w:rFonts w:ascii="Times New Roman" w:eastAsia="Times New Roman" w:hAnsi="Times New Roman"/>
                <w:color w:val="000000"/>
                <w:sz w:val="26"/>
                <w:szCs w:val="26"/>
                <w:lang w:eastAsia="lv-LV"/>
              </w:rPr>
              <w:t xml:space="preserve">var </w:t>
            </w:r>
            <w:r w:rsidR="00A45768" w:rsidRPr="00B9444C">
              <w:rPr>
                <w:rFonts w:ascii="Times New Roman" w:eastAsia="Times New Roman" w:hAnsi="Times New Roman"/>
                <w:color w:val="000000"/>
                <w:sz w:val="26"/>
                <w:szCs w:val="26"/>
                <w:lang w:eastAsia="lv-LV"/>
              </w:rPr>
              <w:t>izmanto</w:t>
            </w:r>
            <w:r w:rsidR="006C3BC5" w:rsidRPr="00B9444C">
              <w:rPr>
                <w:rFonts w:ascii="Times New Roman" w:eastAsia="Times New Roman" w:hAnsi="Times New Roman"/>
                <w:color w:val="000000"/>
                <w:sz w:val="26"/>
                <w:szCs w:val="26"/>
                <w:lang w:eastAsia="lv-LV"/>
              </w:rPr>
              <w:t>t</w:t>
            </w:r>
            <w:r w:rsidR="00A45768" w:rsidRPr="00B9444C">
              <w:rPr>
                <w:rFonts w:ascii="Times New Roman" w:eastAsia="Times New Roman" w:hAnsi="Times New Roman"/>
                <w:color w:val="000000"/>
                <w:sz w:val="26"/>
                <w:szCs w:val="26"/>
                <w:lang w:eastAsia="lv-LV"/>
              </w:rPr>
              <w:t xml:space="preserve"> šādu darbību īstenošanai</w:t>
            </w:r>
            <w:r w:rsidR="00573FBD" w:rsidRPr="00B9444C">
              <w:rPr>
                <w:rFonts w:ascii="Times New Roman" w:eastAsia="Times New Roman" w:hAnsi="Times New Roman"/>
                <w:color w:val="000000"/>
                <w:sz w:val="26"/>
                <w:szCs w:val="26"/>
                <w:lang w:eastAsia="lv-LV"/>
              </w:rPr>
              <w:t xml:space="preserve"> (noteikumu projekta 1. punkts)</w:t>
            </w:r>
            <w:r w:rsidR="00A45768" w:rsidRPr="00B9444C">
              <w:rPr>
                <w:rFonts w:ascii="Times New Roman" w:eastAsia="Times New Roman" w:hAnsi="Times New Roman"/>
                <w:color w:val="000000"/>
                <w:sz w:val="26"/>
                <w:szCs w:val="26"/>
                <w:lang w:eastAsia="lv-LV"/>
              </w:rPr>
              <w:t>:</w:t>
            </w:r>
          </w:p>
          <w:p w14:paraId="717A684A" w14:textId="4D98A1D9" w:rsidR="00A45768" w:rsidRPr="00B9444C" w:rsidRDefault="00A45768" w:rsidP="00A45768">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1. </w:t>
            </w:r>
            <w:r w:rsidR="006C3BC5" w:rsidRPr="00B9444C">
              <w:rPr>
                <w:rFonts w:ascii="Times New Roman" w:eastAsia="Times New Roman" w:hAnsi="Times New Roman"/>
                <w:color w:val="000000"/>
                <w:sz w:val="26"/>
                <w:szCs w:val="26"/>
                <w:lang w:eastAsia="lv-LV"/>
              </w:rPr>
              <w:t>A</w:t>
            </w:r>
            <w:r w:rsidRPr="00B9444C">
              <w:rPr>
                <w:rFonts w:ascii="Times New Roman" w:eastAsia="Times New Roman" w:hAnsi="Times New Roman"/>
                <w:color w:val="000000"/>
                <w:sz w:val="26"/>
                <w:szCs w:val="26"/>
                <w:lang w:eastAsia="lv-LV"/>
              </w:rPr>
              <w:t>r saimniecisku darbību nesaistīta pamatdarbība</w:t>
            </w:r>
            <w:r w:rsidR="00C73BE6" w:rsidRPr="00B9444C">
              <w:rPr>
                <w:rFonts w:ascii="Times New Roman" w:eastAsia="Times New Roman" w:hAnsi="Times New Roman"/>
                <w:color w:val="000000"/>
                <w:sz w:val="26"/>
                <w:szCs w:val="26"/>
                <w:lang w:eastAsia="lv-LV"/>
              </w:rPr>
              <w:t xml:space="preserve">, tai skaitā </w:t>
            </w:r>
            <w:r w:rsidRPr="00B9444C">
              <w:rPr>
                <w:rFonts w:ascii="Times New Roman" w:eastAsia="Times New Roman" w:hAnsi="Times New Roman"/>
                <w:color w:val="000000"/>
                <w:sz w:val="26"/>
                <w:szCs w:val="26"/>
                <w:lang w:eastAsia="lv-LV"/>
              </w:rPr>
              <w:t>izglītības pakalpojumi, kuru</w:t>
            </w:r>
            <w:r w:rsidR="00573FBD" w:rsidRPr="00B9444C">
              <w:rPr>
                <w:rFonts w:ascii="Times New Roman" w:eastAsia="Times New Roman" w:hAnsi="Times New Roman"/>
                <w:color w:val="000000"/>
                <w:sz w:val="26"/>
                <w:szCs w:val="26"/>
                <w:lang w:eastAsia="lv-LV"/>
              </w:rPr>
              <w:t>s</w:t>
            </w:r>
            <w:r w:rsidRPr="00B9444C">
              <w:rPr>
                <w:rFonts w:ascii="Times New Roman" w:eastAsia="Times New Roman" w:hAnsi="Times New Roman"/>
                <w:color w:val="000000"/>
                <w:sz w:val="26"/>
                <w:szCs w:val="26"/>
                <w:lang w:eastAsia="lv-LV"/>
              </w:rPr>
              <w:t xml:space="preserve"> sniedz valsts izglītības sistēmas ietvaros un kur</w:t>
            </w:r>
            <w:r w:rsidR="00573FBD" w:rsidRPr="00B9444C">
              <w:rPr>
                <w:rFonts w:ascii="Times New Roman" w:eastAsia="Times New Roman" w:hAnsi="Times New Roman"/>
                <w:color w:val="000000"/>
                <w:sz w:val="26"/>
                <w:szCs w:val="26"/>
                <w:lang w:eastAsia="lv-LV"/>
              </w:rPr>
              <w:t>u</w:t>
            </w:r>
            <w:r w:rsidRPr="00B9444C">
              <w:rPr>
                <w:rFonts w:ascii="Times New Roman" w:eastAsia="Times New Roman" w:hAnsi="Times New Roman"/>
                <w:color w:val="000000"/>
                <w:sz w:val="26"/>
                <w:szCs w:val="26"/>
                <w:lang w:eastAsia="lv-LV"/>
              </w:rPr>
              <w:t xml:space="preserve"> izmaksas vairāk par 50 procentiem sedz no publiskiem finanšu resursiem (MK noteikumu Nr. 561 35.</w:t>
            </w:r>
            <w:r w:rsidRPr="00B9444C">
              <w:rPr>
                <w:rFonts w:ascii="Times New Roman" w:eastAsia="Times New Roman" w:hAnsi="Times New Roman"/>
                <w:color w:val="000000"/>
                <w:sz w:val="26"/>
                <w:szCs w:val="26"/>
                <w:vertAlign w:val="superscript"/>
                <w:lang w:eastAsia="lv-LV"/>
              </w:rPr>
              <w:t>1</w:t>
            </w:r>
            <w:r w:rsidRPr="00B9444C">
              <w:rPr>
                <w:rFonts w:ascii="Times New Roman" w:eastAsia="Times New Roman" w:hAnsi="Times New Roman"/>
                <w:color w:val="000000"/>
                <w:sz w:val="26"/>
                <w:szCs w:val="26"/>
                <w:lang w:eastAsia="lv-LV"/>
              </w:rPr>
              <w:t> 1. apakšpunkts)</w:t>
            </w:r>
            <w:r w:rsidR="006C3BC5" w:rsidRPr="00B9444C">
              <w:rPr>
                <w:rFonts w:ascii="Times New Roman" w:eastAsia="Times New Roman" w:hAnsi="Times New Roman"/>
                <w:color w:val="000000"/>
                <w:sz w:val="26"/>
                <w:szCs w:val="26"/>
                <w:lang w:eastAsia="lv-LV"/>
              </w:rPr>
              <w:t>.</w:t>
            </w:r>
          </w:p>
          <w:p w14:paraId="798101C3" w14:textId="725FFA9C" w:rsidR="008C5733" w:rsidRPr="00B9444C" w:rsidRDefault="00A45768" w:rsidP="00A45768">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w:t>
            </w:r>
            <w:r w:rsidR="00524E49" w:rsidRPr="00B9444C">
              <w:rPr>
                <w:rFonts w:ascii="Times New Roman" w:eastAsia="Times New Roman" w:hAnsi="Times New Roman"/>
                <w:color w:val="000000"/>
                <w:sz w:val="26"/>
                <w:szCs w:val="26"/>
                <w:lang w:eastAsia="lv-LV"/>
              </w:rPr>
              <w:t> </w:t>
            </w:r>
            <w:r w:rsidR="006C3BC5" w:rsidRPr="00B9444C">
              <w:rPr>
                <w:rFonts w:ascii="Times New Roman" w:eastAsia="Times New Roman" w:hAnsi="Times New Roman"/>
                <w:color w:val="000000"/>
                <w:sz w:val="26"/>
                <w:szCs w:val="26"/>
                <w:lang w:eastAsia="lv-LV"/>
              </w:rPr>
              <w:t>A</w:t>
            </w:r>
            <w:r w:rsidRPr="00B9444C">
              <w:rPr>
                <w:rFonts w:ascii="Times New Roman" w:eastAsia="Times New Roman" w:hAnsi="Times New Roman"/>
                <w:color w:val="000000"/>
                <w:sz w:val="26"/>
                <w:szCs w:val="26"/>
                <w:lang w:eastAsia="lv-LV"/>
              </w:rPr>
              <w:t>r saimniecisku darbību saistīta pamatdarbība – izglītības pakalpojum</w:t>
            </w:r>
            <w:r w:rsidR="00573FBD" w:rsidRPr="00B9444C">
              <w:rPr>
                <w:rFonts w:ascii="Times New Roman" w:eastAsia="Times New Roman" w:hAnsi="Times New Roman"/>
                <w:color w:val="000000"/>
                <w:sz w:val="26"/>
                <w:szCs w:val="26"/>
                <w:lang w:eastAsia="lv-LV"/>
              </w:rPr>
              <w:t>i</w:t>
            </w:r>
            <w:r w:rsidRPr="00B9444C">
              <w:rPr>
                <w:rFonts w:ascii="Times New Roman" w:eastAsia="Times New Roman" w:hAnsi="Times New Roman"/>
                <w:color w:val="000000"/>
                <w:sz w:val="26"/>
                <w:szCs w:val="26"/>
                <w:lang w:eastAsia="lv-LV"/>
              </w:rPr>
              <w:t>, kur</w:t>
            </w:r>
            <w:r w:rsidR="00573FBD" w:rsidRPr="00B9444C">
              <w:rPr>
                <w:rFonts w:ascii="Times New Roman" w:eastAsia="Times New Roman" w:hAnsi="Times New Roman"/>
                <w:color w:val="000000"/>
                <w:sz w:val="26"/>
                <w:szCs w:val="26"/>
                <w:lang w:eastAsia="lv-LV"/>
              </w:rPr>
              <w:t>u</w:t>
            </w:r>
            <w:r w:rsidRPr="00B9444C">
              <w:rPr>
                <w:rFonts w:ascii="Times New Roman" w:eastAsia="Times New Roman" w:hAnsi="Times New Roman"/>
                <w:color w:val="000000"/>
                <w:sz w:val="26"/>
                <w:szCs w:val="26"/>
                <w:lang w:eastAsia="lv-LV"/>
              </w:rPr>
              <w:t xml:space="preserve"> izmaksas vairāk par 50 procentiem sedz izglītojamais, ja minētais izglītības pakalpojums </w:t>
            </w:r>
            <w:r w:rsidR="000E0F1A" w:rsidRPr="00B9444C">
              <w:rPr>
                <w:rFonts w:ascii="Times New Roman" w:eastAsia="Times New Roman" w:hAnsi="Times New Roman"/>
                <w:color w:val="000000"/>
                <w:sz w:val="26"/>
                <w:szCs w:val="26"/>
                <w:lang w:eastAsia="lv-LV"/>
              </w:rPr>
              <w:t xml:space="preserve">ir vietējs un tas </w:t>
            </w:r>
            <w:r w:rsidRPr="00B9444C">
              <w:rPr>
                <w:rFonts w:ascii="Times New Roman" w:eastAsia="Times New Roman" w:hAnsi="Times New Roman"/>
                <w:color w:val="000000"/>
                <w:sz w:val="26"/>
                <w:szCs w:val="26"/>
                <w:lang w:eastAsia="lv-LV"/>
              </w:rPr>
              <w:t xml:space="preserve">neietekmē tirdzniecību starp Eiropas Savienības dalībvalstīm </w:t>
            </w:r>
            <w:r w:rsidR="0058503E" w:rsidRPr="00B9444C">
              <w:rPr>
                <w:rFonts w:ascii="Times New Roman" w:eastAsia="Times New Roman" w:hAnsi="Times New Roman"/>
                <w:color w:val="000000"/>
                <w:sz w:val="26"/>
                <w:szCs w:val="26"/>
                <w:lang w:eastAsia="lv-LV"/>
              </w:rPr>
              <w:t xml:space="preserve"> (MK noteikumu Nr. 561 35.</w:t>
            </w:r>
            <w:r w:rsidR="0058503E" w:rsidRPr="00B9444C">
              <w:rPr>
                <w:rFonts w:ascii="Times New Roman" w:eastAsia="Times New Roman" w:hAnsi="Times New Roman"/>
                <w:color w:val="000000"/>
                <w:sz w:val="26"/>
                <w:szCs w:val="26"/>
                <w:vertAlign w:val="superscript"/>
                <w:lang w:eastAsia="lv-LV"/>
              </w:rPr>
              <w:t>1</w:t>
            </w:r>
            <w:r w:rsidR="0058503E" w:rsidRPr="00B9444C">
              <w:rPr>
                <w:rFonts w:ascii="Times New Roman" w:eastAsia="Times New Roman" w:hAnsi="Times New Roman"/>
                <w:color w:val="000000"/>
                <w:sz w:val="26"/>
                <w:szCs w:val="26"/>
                <w:lang w:eastAsia="lv-LV"/>
              </w:rPr>
              <w:t> 2. apakšpunkts)</w:t>
            </w:r>
            <w:r w:rsidR="000E0F1A" w:rsidRPr="00B9444C">
              <w:rPr>
                <w:rFonts w:ascii="Times New Roman" w:eastAsia="Times New Roman" w:hAnsi="Times New Roman"/>
                <w:color w:val="000000"/>
                <w:sz w:val="26"/>
                <w:szCs w:val="26"/>
                <w:lang w:eastAsia="lv-LV"/>
              </w:rPr>
              <w:t xml:space="preserve">. </w:t>
            </w:r>
          </w:p>
          <w:p w14:paraId="2129E984" w14:textId="4277D537" w:rsidR="008C5733" w:rsidRPr="00B9444C" w:rsidRDefault="00C979C9" w:rsidP="00A45768">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Augstākās izglītības </w:t>
            </w:r>
            <w:r w:rsidR="00D82B18" w:rsidRPr="00B9444C">
              <w:rPr>
                <w:rFonts w:ascii="Times New Roman" w:eastAsia="Times New Roman" w:hAnsi="Times New Roman"/>
                <w:color w:val="000000"/>
                <w:sz w:val="26"/>
                <w:szCs w:val="26"/>
                <w:lang w:eastAsia="lv-LV"/>
              </w:rPr>
              <w:t xml:space="preserve">institūcijas </w:t>
            </w:r>
            <w:r w:rsidRPr="00B9444C">
              <w:rPr>
                <w:rFonts w:ascii="Times New Roman" w:eastAsia="Times New Roman" w:hAnsi="Times New Roman"/>
                <w:color w:val="000000"/>
                <w:sz w:val="26"/>
                <w:szCs w:val="26"/>
                <w:lang w:eastAsia="lv-LV"/>
              </w:rPr>
              <w:t>i</w:t>
            </w:r>
            <w:r w:rsidR="008C5733" w:rsidRPr="00B9444C">
              <w:rPr>
                <w:rFonts w:ascii="Times New Roman" w:eastAsia="Times New Roman" w:hAnsi="Times New Roman"/>
                <w:color w:val="000000"/>
                <w:sz w:val="26"/>
                <w:szCs w:val="26"/>
                <w:lang w:eastAsia="lv-LV"/>
              </w:rPr>
              <w:t>zglītības pakalpojum</w:t>
            </w:r>
            <w:r w:rsidRPr="00B9444C">
              <w:rPr>
                <w:rFonts w:ascii="Times New Roman" w:eastAsia="Times New Roman" w:hAnsi="Times New Roman"/>
                <w:color w:val="000000"/>
                <w:sz w:val="26"/>
                <w:szCs w:val="26"/>
                <w:lang w:eastAsia="lv-LV"/>
              </w:rPr>
              <w:t>u</w:t>
            </w:r>
            <w:r w:rsidR="008C5733" w:rsidRPr="00B9444C">
              <w:rPr>
                <w:rFonts w:ascii="Times New Roman" w:eastAsia="Times New Roman" w:hAnsi="Times New Roman"/>
                <w:color w:val="000000"/>
                <w:sz w:val="26"/>
                <w:szCs w:val="26"/>
                <w:lang w:eastAsia="lv-LV"/>
              </w:rPr>
              <w:t xml:space="preserve"> ietekmi uz tirdzniecību starp Eiropas Savienības dalībvalstīm vērtē, ņemot vērā šādus aspektus: </w:t>
            </w:r>
            <w:r w:rsidR="007214DD" w:rsidRPr="00B9444C">
              <w:rPr>
                <w:rFonts w:ascii="Times New Roman" w:eastAsia="Times New Roman" w:hAnsi="Times New Roman"/>
                <w:color w:val="000000"/>
                <w:sz w:val="26"/>
                <w:szCs w:val="26"/>
                <w:lang w:eastAsia="lv-LV"/>
              </w:rPr>
              <w:t xml:space="preserve">ārvalsts un vietējo izglītojamo īpatsvars, </w:t>
            </w:r>
            <w:r w:rsidR="008C5733" w:rsidRPr="00B9444C">
              <w:rPr>
                <w:rFonts w:ascii="Times New Roman" w:eastAsia="Times New Roman" w:hAnsi="Times New Roman"/>
                <w:color w:val="000000"/>
                <w:sz w:val="26"/>
                <w:szCs w:val="26"/>
                <w:lang w:eastAsia="lv-LV"/>
              </w:rPr>
              <w:t>augstskolas vieta pasaules augstskolu reitingos un valoda, kurā izglītojamie iegūst akadēmisko grādu vai profesionālo kvalifikāciju. Detalizētus kritērijus, kas raksturo izglītības pakalpojuma ietekmi uz tirdzniecību starp Eiropas Savienības dalībvalstīm, ietver MK noteikumu Nr. 561 35.</w:t>
            </w:r>
            <w:r w:rsidR="008C5733" w:rsidRPr="00B9444C">
              <w:rPr>
                <w:rFonts w:ascii="Times New Roman" w:eastAsia="Times New Roman" w:hAnsi="Times New Roman"/>
                <w:color w:val="000000"/>
                <w:sz w:val="26"/>
                <w:szCs w:val="26"/>
                <w:vertAlign w:val="superscript"/>
                <w:lang w:eastAsia="lv-LV"/>
              </w:rPr>
              <w:t>5</w:t>
            </w:r>
            <w:r w:rsidR="008C5733" w:rsidRPr="00B9444C">
              <w:rPr>
                <w:rFonts w:ascii="Times New Roman" w:eastAsia="Times New Roman" w:hAnsi="Times New Roman"/>
                <w:color w:val="000000"/>
                <w:sz w:val="26"/>
                <w:szCs w:val="26"/>
                <w:lang w:eastAsia="lv-LV"/>
              </w:rPr>
              <w:t> punktā minētajā uzraudzības un publiskā finansējuma atgūšanas mehānisma aprakstā.</w:t>
            </w:r>
          </w:p>
          <w:p w14:paraId="2D39A82A" w14:textId="77777777" w:rsidR="00BE1E04" w:rsidRDefault="003172B1" w:rsidP="00A45768">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Ar MK noteikumu Nr. 561 grozījumiem paredzēts </w:t>
            </w:r>
            <w:r w:rsidR="000E0F1A" w:rsidRPr="00B9444C">
              <w:rPr>
                <w:rFonts w:ascii="Times New Roman" w:eastAsia="Times New Roman" w:hAnsi="Times New Roman"/>
                <w:color w:val="000000"/>
                <w:sz w:val="26"/>
                <w:szCs w:val="26"/>
                <w:lang w:eastAsia="lv-LV"/>
              </w:rPr>
              <w:t>labuma guvējiem detalizēti skaidrot</w:t>
            </w:r>
            <w:r w:rsidR="006C3BC5" w:rsidRPr="00B9444C">
              <w:rPr>
                <w:rFonts w:ascii="Times New Roman" w:eastAsia="Times New Roman" w:hAnsi="Times New Roman"/>
                <w:color w:val="000000"/>
                <w:sz w:val="26"/>
                <w:szCs w:val="26"/>
                <w:lang w:eastAsia="lv-LV"/>
              </w:rPr>
              <w:t xml:space="preserve"> </w:t>
            </w:r>
            <w:r w:rsidR="00D072EF" w:rsidRPr="00B9444C">
              <w:rPr>
                <w:rFonts w:ascii="Times New Roman" w:eastAsia="Times New Roman" w:hAnsi="Times New Roman"/>
                <w:color w:val="000000"/>
                <w:sz w:val="26"/>
                <w:szCs w:val="26"/>
                <w:lang w:eastAsia="lv-LV"/>
              </w:rPr>
              <w:t>augstākās izglītības institūcijas</w:t>
            </w:r>
            <w:r w:rsidR="000E0F1A" w:rsidRPr="00B9444C">
              <w:rPr>
                <w:rFonts w:ascii="Times New Roman" w:eastAsia="Times New Roman" w:hAnsi="Times New Roman"/>
                <w:color w:val="000000"/>
                <w:sz w:val="26"/>
                <w:szCs w:val="26"/>
                <w:lang w:eastAsia="lv-LV"/>
              </w:rPr>
              <w:t xml:space="preserve"> pamatdarbību </w:t>
            </w:r>
            <w:r w:rsidR="006F1692" w:rsidRPr="00B9444C">
              <w:rPr>
                <w:rFonts w:ascii="Times New Roman" w:eastAsia="Times New Roman" w:hAnsi="Times New Roman"/>
                <w:color w:val="000000"/>
                <w:sz w:val="26"/>
                <w:szCs w:val="26"/>
                <w:lang w:eastAsia="lv-LV"/>
              </w:rPr>
              <w:t>rakstur</w:t>
            </w:r>
            <w:r w:rsidR="00D072EF" w:rsidRPr="00B9444C">
              <w:rPr>
                <w:rFonts w:ascii="Times New Roman" w:eastAsia="Times New Roman" w:hAnsi="Times New Roman"/>
                <w:color w:val="000000"/>
                <w:sz w:val="26"/>
                <w:szCs w:val="26"/>
                <w:lang w:eastAsia="lv-LV"/>
              </w:rPr>
              <w:t>u</w:t>
            </w:r>
            <w:r w:rsidR="006F1692" w:rsidRPr="00B9444C">
              <w:rPr>
                <w:rFonts w:ascii="Times New Roman" w:eastAsia="Times New Roman" w:hAnsi="Times New Roman"/>
                <w:color w:val="000000"/>
                <w:sz w:val="26"/>
                <w:szCs w:val="26"/>
                <w:lang w:eastAsia="lv-LV"/>
              </w:rPr>
              <w:t xml:space="preserve">: </w:t>
            </w:r>
            <w:r w:rsidR="00086CCD" w:rsidRPr="00B9444C">
              <w:rPr>
                <w:rFonts w:ascii="Times New Roman" w:eastAsia="Times New Roman" w:hAnsi="Times New Roman"/>
                <w:color w:val="000000"/>
                <w:sz w:val="26"/>
                <w:szCs w:val="26"/>
                <w:lang w:eastAsia="lv-LV"/>
              </w:rPr>
              <w:t>tai skaitā</w:t>
            </w:r>
            <w:r w:rsidR="00BE1E04">
              <w:rPr>
                <w:rFonts w:ascii="Times New Roman" w:eastAsia="Times New Roman" w:hAnsi="Times New Roman"/>
                <w:color w:val="000000"/>
                <w:sz w:val="26"/>
                <w:szCs w:val="26"/>
                <w:lang w:eastAsia="lv-LV"/>
              </w:rPr>
              <w:t>:</w:t>
            </w:r>
          </w:p>
          <w:p w14:paraId="17018C3E" w14:textId="77777777" w:rsidR="00BE1E04" w:rsidRDefault="00BE1E04" w:rsidP="00A45768">
            <w:pPr>
              <w:spacing w:before="10" w:line="240" w:lineRule="auto"/>
              <w:ind w:left="101" w:right="102"/>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lastRenderedPageBreak/>
              <w:t>-</w:t>
            </w:r>
            <w:r w:rsidR="00086CCD" w:rsidRPr="00B9444C">
              <w:rPr>
                <w:rFonts w:ascii="Times New Roman" w:eastAsia="Times New Roman" w:hAnsi="Times New Roman"/>
                <w:color w:val="000000"/>
                <w:sz w:val="26"/>
                <w:szCs w:val="26"/>
                <w:lang w:eastAsia="lv-LV"/>
              </w:rPr>
              <w:t xml:space="preserve"> </w:t>
            </w:r>
            <w:r w:rsidR="006F1692" w:rsidRPr="00B9444C">
              <w:rPr>
                <w:rFonts w:ascii="Times New Roman" w:eastAsia="Times New Roman" w:hAnsi="Times New Roman"/>
                <w:color w:val="000000"/>
                <w:sz w:val="26"/>
                <w:szCs w:val="26"/>
                <w:lang w:eastAsia="lv-LV"/>
              </w:rPr>
              <w:t>informējot</w:t>
            </w:r>
            <w:r w:rsidR="000E0F1A" w:rsidRPr="00B9444C">
              <w:rPr>
                <w:rFonts w:ascii="Times New Roman" w:eastAsia="Times New Roman" w:hAnsi="Times New Roman"/>
                <w:color w:val="000000"/>
                <w:sz w:val="26"/>
                <w:szCs w:val="26"/>
                <w:lang w:eastAsia="lv-LV"/>
              </w:rPr>
              <w:t>, ka vietēja rakstura saimnieciskai pamatdarbībai nav jāpiemēro komercdarbības atbalsta nosacījumi</w:t>
            </w:r>
            <w:r>
              <w:rPr>
                <w:rFonts w:ascii="Times New Roman" w:eastAsia="Times New Roman" w:hAnsi="Times New Roman"/>
                <w:color w:val="000000"/>
                <w:sz w:val="26"/>
                <w:szCs w:val="26"/>
                <w:lang w:eastAsia="lv-LV"/>
              </w:rPr>
              <w:t>;</w:t>
            </w:r>
          </w:p>
          <w:p w14:paraId="7FFFC143" w14:textId="3D0E41BF" w:rsidR="006D5E1F" w:rsidRPr="00B9444C" w:rsidRDefault="00BE1E04" w:rsidP="00A45768">
            <w:pPr>
              <w:spacing w:before="10" w:line="240" w:lineRule="auto"/>
              <w:ind w:left="101" w:right="102"/>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 xml:space="preserve">- norādot, ka </w:t>
            </w:r>
            <w:r w:rsidRPr="00BE1E04">
              <w:rPr>
                <w:rFonts w:ascii="Times New Roman" w:eastAsia="Times New Roman" w:hAnsi="Times New Roman"/>
                <w:color w:val="000000"/>
                <w:sz w:val="26"/>
                <w:szCs w:val="26"/>
                <w:lang w:eastAsia="lv-LV"/>
              </w:rPr>
              <w:t xml:space="preserve">papildinoša saimnieciska darbība ir iespējama tad, ja austākās izglītības institūcija </w:t>
            </w:r>
            <w:r w:rsidR="007B1D63">
              <w:rPr>
                <w:rFonts w:ascii="Times New Roman" w:eastAsia="Times New Roman" w:hAnsi="Times New Roman"/>
                <w:color w:val="000000"/>
                <w:sz w:val="26"/>
                <w:szCs w:val="26"/>
                <w:lang w:eastAsia="lv-LV"/>
              </w:rPr>
              <w:t>īsteno</w:t>
            </w:r>
            <w:r w:rsidRPr="00BE1E04">
              <w:rPr>
                <w:rFonts w:ascii="Times New Roman" w:eastAsia="Times New Roman" w:hAnsi="Times New Roman"/>
                <w:color w:val="000000"/>
                <w:sz w:val="26"/>
                <w:szCs w:val="26"/>
                <w:lang w:eastAsia="lv-LV"/>
              </w:rPr>
              <w:t xml:space="preserve"> ar saimniecisku darbību nesaistītu pamatdarbību</w:t>
            </w:r>
            <w:r w:rsidR="006C3BC5" w:rsidRPr="00B9444C">
              <w:rPr>
                <w:rFonts w:ascii="Times New Roman" w:eastAsia="Times New Roman" w:hAnsi="Times New Roman"/>
                <w:color w:val="000000"/>
                <w:sz w:val="26"/>
                <w:szCs w:val="26"/>
                <w:lang w:eastAsia="lv-LV"/>
              </w:rPr>
              <w:t>.</w:t>
            </w:r>
            <w:r w:rsidR="00F30B26" w:rsidRPr="00B9444C">
              <w:rPr>
                <w:rFonts w:ascii="Times New Roman" w:eastAsia="Times New Roman" w:hAnsi="Times New Roman"/>
                <w:color w:val="000000"/>
                <w:sz w:val="26"/>
                <w:szCs w:val="26"/>
                <w:lang w:eastAsia="lv-LV"/>
              </w:rPr>
              <w:t xml:space="preserve"> </w:t>
            </w:r>
          </w:p>
          <w:p w14:paraId="00256236" w14:textId="77777777" w:rsidR="003172B1" w:rsidRPr="00B9444C" w:rsidRDefault="00573FBD" w:rsidP="00573FBD">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 papildinoša saimnieciskā darbība</w:t>
            </w:r>
            <w:r w:rsidR="0058503E" w:rsidRPr="00B9444C">
              <w:rPr>
                <w:rFonts w:ascii="Times New Roman" w:eastAsia="Times New Roman" w:hAnsi="Times New Roman"/>
                <w:color w:val="000000"/>
                <w:sz w:val="26"/>
                <w:szCs w:val="26"/>
                <w:lang w:eastAsia="lv-LV"/>
              </w:rPr>
              <w:t xml:space="preserve"> (</w:t>
            </w:r>
            <w:proofErr w:type="spellStart"/>
            <w:r w:rsidR="0058503E" w:rsidRPr="00B9444C">
              <w:rPr>
                <w:rFonts w:ascii="Times New Roman" w:eastAsia="Times New Roman" w:hAnsi="Times New Roman"/>
                <w:i/>
                <w:color w:val="000000"/>
                <w:sz w:val="26"/>
                <w:szCs w:val="26"/>
                <w:lang w:eastAsia="lv-LV"/>
              </w:rPr>
              <w:t>ancillary</w:t>
            </w:r>
            <w:proofErr w:type="spellEnd"/>
            <w:r w:rsidR="0058503E" w:rsidRPr="00B9444C">
              <w:rPr>
                <w:rFonts w:ascii="Times New Roman" w:eastAsia="Times New Roman" w:hAnsi="Times New Roman"/>
                <w:i/>
                <w:color w:val="000000"/>
                <w:sz w:val="26"/>
                <w:szCs w:val="26"/>
                <w:lang w:eastAsia="lv-LV"/>
              </w:rPr>
              <w:t xml:space="preserve"> </w:t>
            </w:r>
            <w:proofErr w:type="spellStart"/>
            <w:r w:rsidR="0058503E" w:rsidRPr="00B9444C">
              <w:rPr>
                <w:rFonts w:ascii="Times New Roman" w:eastAsia="Times New Roman" w:hAnsi="Times New Roman"/>
                <w:i/>
                <w:color w:val="000000"/>
                <w:sz w:val="26"/>
                <w:szCs w:val="26"/>
                <w:lang w:eastAsia="lv-LV"/>
              </w:rPr>
              <w:t>economic</w:t>
            </w:r>
            <w:proofErr w:type="spellEnd"/>
            <w:r w:rsidR="0058503E" w:rsidRPr="00B9444C">
              <w:rPr>
                <w:rFonts w:ascii="Times New Roman" w:eastAsia="Times New Roman" w:hAnsi="Times New Roman"/>
                <w:i/>
                <w:color w:val="000000"/>
                <w:sz w:val="26"/>
                <w:szCs w:val="26"/>
                <w:lang w:eastAsia="lv-LV"/>
              </w:rPr>
              <w:t xml:space="preserve"> </w:t>
            </w:r>
            <w:proofErr w:type="spellStart"/>
            <w:r w:rsidR="0058503E" w:rsidRPr="00B9444C">
              <w:rPr>
                <w:rFonts w:ascii="Times New Roman" w:eastAsia="Times New Roman" w:hAnsi="Times New Roman"/>
                <w:i/>
                <w:color w:val="000000"/>
                <w:sz w:val="26"/>
                <w:szCs w:val="26"/>
                <w:lang w:eastAsia="lv-LV"/>
              </w:rPr>
              <w:t>activities</w:t>
            </w:r>
            <w:proofErr w:type="spellEnd"/>
            <w:r w:rsidR="0058503E"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 kas tieši saistīta ar infrastruktūras ekspluatāciju un izmantošanu ar saimniecisku darbību nesaistītā augstākās izglītības institūcijas pamatdarbības jomā, tai tiek patērēti tādi paši resursi (piemēram, materiāli, aprīkojums, darbaspēks un pamatkapitāls) kā ar saimniecisku darbību nesaistītai pamatdarbībai un tai katru gadu piešķirtā kapacitāte nepārsniedz 20 procentus no attiecīgās infrastruktūras kopējās gada finansiālās vai laika resursu kapacitātes</w:t>
            </w:r>
            <w:r w:rsidR="0058503E"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 xml:space="preserve"> </w:t>
            </w:r>
          </w:p>
          <w:p w14:paraId="4332FA3F" w14:textId="77777777" w:rsidR="005206E0" w:rsidRPr="00B9444C" w:rsidRDefault="003172B1" w:rsidP="003172B1">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Papildinoša saimnieciska darbība ir iespējama tad, ja</w:t>
            </w:r>
            <w:r w:rsidR="005206E0" w:rsidRPr="00B9444C">
              <w:rPr>
                <w:rFonts w:ascii="Times New Roman" w:eastAsia="Times New Roman" w:hAnsi="Times New Roman"/>
                <w:color w:val="000000"/>
                <w:sz w:val="26"/>
                <w:szCs w:val="26"/>
                <w:lang w:eastAsia="lv-LV"/>
              </w:rPr>
              <w:t>:</w:t>
            </w:r>
          </w:p>
          <w:p w14:paraId="1CACFC49" w14:textId="4D05F2D7" w:rsidR="00477746" w:rsidRPr="003C05D1" w:rsidRDefault="00477746" w:rsidP="003172B1">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b/>
                <w:color w:val="000000"/>
                <w:sz w:val="26"/>
                <w:szCs w:val="26"/>
                <w:lang w:eastAsia="lv-LV"/>
              </w:rPr>
              <w:t>–</w:t>
            </w:r>
            <w:r w:rsidR="003172B1" w:rsidRPr="00B9444C">
              <w:rPr>
                <w:rFonts w:ascii="Times New Roman" w:eastAsia="Times New Roman" w:hAnsi="Times New Roman"/>
                <w:b/>
                <w:color w:val="000000"/>
                <w:sz w:val="26"/>
                <w:szCs w:val="26"/>
                <w:lang w:eastAsia="lv-LV"/>
              </w:rPr>
              <w:t xml:space="preserve"> </w:t>
            </w:r>
            <w:r w:rsidR="003C05D1" w:rsidRPr="00BE1E04">
              <w:rPr>
                <w:rFonts w:ascii="Times New Roman" w:eastAsia="Times New Roman" w:hAnsi="Times New Roman"/>
                <w:color w:val="000000"/>
                <w:sz w:val="26"/>
                <w:szCs w:val="26"/>
                <w:lang w:eastAsia="lv-LV"/>
              </w:rPr>
              <w:t xml:space="preserve">austākās izglītības institūcija </w:t>
            </w:r>
            <w:r w:rsidR="003C05D1">
              <w:rPr>
                <w:rFonts w:ascii="Times New Roman" w:eastAsia="Times New Roman" w:hAnsi="Times New Roman"/>
                <w:color w:val="000000"/>
                <w:sz w:val="26"/>
                <w:szCs w:val="26"/>
                <w:lang w:eastAsia="lv-LV"/>
              </w:rPr>
              <w:t>īsteno</w:t>
            </w:r>
            <w:r w:rsidR="003C05D1" w:rsidRPr="00BE1E04">
              <w:rPr>
                <w:rFonts w:ascii="Times New Roman" w:eastAsia="Times New Roman" w:hAnsi="Times New Roman"/>
                <w:color w:val="000000"/>
                <w:sz w:val="26"/>
                <w:szCs w:val="26"/>
                <w:lang w:eastAsia="lv-LV"/>
              </w:rPr>
              <w:t xml:space="preserve"> ar saimniecisku darbību nesaistītu pamatdarbību</w:t>
            </w:r>
            <w:r w:rsidR="003C05D1">
              <w:rPr>
                <w:rFonts w:ascii="Times New Roman" w:eastAsia="Times New Roman" w:hAnsi="Times New Roman"/>
                <w:color w:val="000000"/>
                <w:sz w:val="26"/>
                <w:szCs w:val="26"/>
                <w:lang w:eastAsia="lv-LV"/>
              </w:rPr>
              <w:t>, kuras</w:t>
            </w:r>
            <w:r w:rsidR="003C05D1" w:rsidRPr="003C05D1">
              <w:rPr>
                <w:rFonts w:ascii="Times New Roman" w:eastAsia="Times New Roman" w:hAnsi="Times New Roman"/>
                <w:color w:val="000000"/>
                <w:sz w:val="26"/>
                <w:szCs w:val="26"/>
                <w:lang w:eastAsia="lv-LV"/>
              </w:rPr>
              <w:t xml:space="preserve"> </w:t>
            </w:r>
            <w:r w:rsidR="00086CCD" w:rsidRPr="003C05D1">
              <w:rPr>
                <w:rFonts w:ascii="Times New Roman" w:eastAsia="Times New Roman" w:hAnsi="Times New Roman"/>
                <w:color w:val="000000"/>
                <w:sz w:val="26"/>
                <w:szCs w:val="26"/>
                <w:lang w:eastAsia="lv-LV"/>
              </w:rPr>
              <w:t>ietvaros sniegto izglītības pakalpojumu izmaksas vairāk par 50 procentiem sedz no publiskiem finanšu resursiem</w:t>
            </w:r>
            <w:r w:rsidRPr="003C05D1">
              <w:rPr>
                <w:rFonts w:ascii="Times New Roman" w:eastAsia="Times New Roman" w:hAnsi="Times New Roman"/>
                <w:color w:val="000000"/>
                <w:sz w:val="26"/>
                <w:szCs w:val="26"/>
                <w:lang w:eastAsia="lv-LV"/>
              </w:rPr>
              <w:t>;</w:t>
            </w:r>
          </w:p>
          <w:p w14:paraId="1C559BDE" w14:textId="5D0CB19A" w:rsidR="003172B1" w:rsidRPr="00B9444C" w:rsidRDefault="00477746" w:rsidP="003172B1">
            <w:pPr>
              <w:spacing w:before="10" w:line="240" w:lineRule="auto"/>
              <w:ind w:left="101" w:right="102"/>
              <w:jc w:val="both"/>
              <w:rPr>
                <w:rFonts w:ascii="Times New Roman" w:eastAsia="Times New Roman" w:hAnsi="Times New Roman"/>
                <w:color w:val="000000"/>
                <w:sz w:val="26"/>
                <w:szCs w:val="26"/>
                <w:lang w:eastAsia="lv-LV"/>
              </w:rPr>
            </w:pPr>
            <w:r w:rsidRPr="003C05D1">
              <w:rPr>
                <w:rFonts w:ascii="Times New Roman" w:eastAsia="Times New Roman" w:hAnsi="Times New Roman"/>
                <w:color w:val="000000"/>
                <w:sz w:val="26"/>
                <w:szCs w:val="26"/>
                <w:lang w:eastAsia="lv-LV"/>
              </w:rPr>
              <w:t xml:space="preserve">– </w:t>
            </w:r>
            <w:r w:rsidR="003172B1" w:rsidRPr="003C05D1">
              <w:rPr>
                <w:rFonts w:ascii="Times New Roman" w:eastAsia="Times New Roman" w:hAnsi="Times New Roman"/>
                <w:color w:val="000000"/>
                <w:sz w:val="26"/>
                <w:szCs w:val="26"/>
                <w:lang w:eastAsia="lv-LV"/>
              </w:rPr>
              <w:t>finansējuma saņēmēja rīcībā ir tāda resursu vadības sistēma finanšu, personāla un pamatdarbības procesu uzskaites sistēma, kas nodrošina papildinošai</w:t>
            </w:r>
            <w:r w:rsidR="003172B1" w:rsidRPr="00B9444C">
              <w:rPr>
                <w:rFonts w:ascii="Times New Roman" w:eastAsia="Times New Roman" w:hAnsi="Times New Roman"/>
                <w:color w:val="000000"/>
                <w:sz w:val="26"/>
                <w:szCs w:val="26"/>
                <w:lang w:eastAsia="lv-LV"/>
              </w:rPr>
              <w:t xml:space="preserve"> saimnieciskai darbībai iedalītās kapacitātes uzskaites izsekojamību un kontroli (MK noteikumu Nr. 561 35.</w:t>
            </w:r>
            <w:r w:rsidR="003172B1" w:rsidRPr="00B9444C">
              <w:rPr>
                <w:rFonts w:ascii="Times New Roman" w:eastAsia="Times New Roman" w:hAnsi="Times New Roman"/>
                <w:color w:val="000000"/>
                <w:sz w:val="26"/>
                <w:szCs w:val="26"/>
                <w:vertAlign w:val="superscript"/>
                <w:lang w:eastAsia="lv-LV"/>
              </w:rPr>
              <w:t>1</w:t>
            </w:r>
            <w:r w:rsidR="003172B1" w:rsidRPr="00B9444C">
              <w:rPr>
                <w:rFonts w:ascii="Times New Roman" w:eastAsia="Times New Roman" w:hAnsi="Times New Roman"/>
                <w:color w:val="000000"/>
                <w:sz w:val="26"/>
                <w:szCs w:val="26"/>
                <w:lang w:eastAsia="lv-LV"/>
              </w:rPr>
              <w:t> 3. apakšpunkts)</w:t>
            </w:r>
            <w:r w:rsidRPr="00B9444C">
              <w:rPr>
                <w:rFonts w:ascii="Times New Roman" w:eastAsia="Times New Roman" w:hAnsi="Times New Roman"/>
                <w:color w:val="000000"/>
                <w:sz w:val="26"/>
                <w:szCs w:val="26"/>
                <w:lang w:eastAsia="lv-LV"/>
              </w:rPr>
              <w:t>.</w:t>
            </w:r>
          </w:p>
          <w:p w14:paraId="4B065ADA" w14:textId="5423916C" w:rsidR="00477746" w:rsidRPr="00B9444C" w:rsidRDefault="00477746" w:rsidP="003172B1">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Papildinošas saimnieciskās darbības jēdziens nav attiecināms uz gadījumu, ja modernizēto infrastruktūru izmanto vietēja rakstura saimniecisk</w:t>
            </w:r>
            <w:r w:rsidR="00651691">
              <w:rPr>
                <w:rFonts w:ascii="Times New Roman" w:eastAsia="Times New Roman" w:hAnsi="Times New Roman"/>
                <w:color w:val="000000"/>
                <w:sz w:val="26"/>
                <w:szCs w:val="26"/>
                <w:lang w:eastAsia="lv-LV"/>
              </w:rPr>
              <w:t>u</w:t>
            </w:r>
            <w:r w:rsidRPr="00B9444C">
              <w:rPr>
                <w:rFonts w:ascii="Times New Roman" w:eastAsia="Times New Roman" w:hAnsi="Times New Roman"/>
                <w:color w:val="000000"/>
                <w:sz w:val="26"/>
                <w:szCs w:val="26"/>
                <w:lang w:eastAsia="lv-LV"/>
              </w:rPr>
              <w:t xml:space="preserve"> pamatdarbību īstenošanai, proti, pamatojoties uz visu četru komercdarbības atbalsta pazīmju </w:t>
            </w:r>
            <w:proofErr w:type="spellStart"/>
            <w:r w:rsidRPr="00B9444C">
              <w:rPr>
                <w:rFonts w:ascii="Times New Roman" w:eastAsia="Times New Roman" w:hAnsi="Times New Roman"/>
                <w:color w:val="000000"/>
                <w:sz w:val="26"/>
                <w:szCs w:val="26"/>
                <w:lang w:eastAsia="lv-LV"/>
              </w:rPr>
              <w:t>izvērtējumu</w:t>
            </w:r>
            <w:proofErr w:type="spellEnd"/>
            <w:r w:rsidRPr="00B9444C">
              <w:rPr>
                <w:rFonts w:ascii="Times New Roman" w:eastAsia="Times New Roman" w:hAnsi="Times New Roman"/>
                <w:color w:val="000000"/>
                <w:sz w:val="26"/>
                <w:szCs w:val="26"/>
                <w:lang w:eastAsia="lv-LV"/>
              </w:rPr>
              <w:t xml:space="preserve"> ir secināms, ka pamatdarbībai ir vietējs raksturs (nekvalificējas kā komercdarbības atbalsta gadījums). </w:t>
            </w:r>
          </w:p>
          <w:p w14:paraId="713C6016" w14:textId="02960EFC" w:rsidR="00307769" w:rsidRPr="00977AEA" w:rsidRDefault="00FC59CD" w:rsidP="00573FBD">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Papildinošas saimnieciskās darbības piemēr</w:t>
            </w:r>
            <w:r w:rsidR="00ED741C" w:rsidRPr="00B9444C">
              <w:rPr>
                <w:rFonts w:ascii="Times New Roman" w:eastAsia="Times New Roman" w:hAnsi="Times New Roman"/>
                <w:color w:val="000000"/>
                <w:sz w:val="26"/>
                <w:szCs w:val="26"/>
                <w:lang w:eastAsia="lv-LV"/>
              </w:rPr>
              <w:t>s</w:t>
            </w:r>
            <w:r w:rsidRPr="00B9444C">
              <w:rPr>
                <w:rFonts w:ascii="Times New Roman" w:eastAsia="Times New Roman" w:hAnsi="Times New Roman"/>
                <w:color w:val="000000"/>
                <w:sz w:val="26"/>
                <w:szCs w:val="26"/>
                <w:lang w:eastAsia="lv-LV"/>
              </w:rPr>
              <w:t xml:space="preserve">: piekļuves modernizētai infrastruktūrai nodrošināšana </w:t>
            </w:r>
            <w:r w:rsidR="0086796B" w:rsidRPr="00B9444C">
              <w:rPr>
                <w:rFonts w:ascii="Times New Roman" w:eastAsia="Times New Roman" w:hAnsi="Times New Roman"/>
                <w:color w:val="000000"/>
                <w:sz w:val="26"/>
                <w:szCs w:val="26"/>
                <w:lang w:eastAsia="lv-LV"/>
              </w:rPr>
              <w:t>treš</w:t>
            </w:r>
            <w:r w:rsidR="00D31AF5" w:rsidRPr="00B9444C">
              <w:rPr>
                <w:rFonts w:ascii="Times New Roman" w:eastAsia="Times New Roman" w:hAnsi="Times New Roman"/>
                <w:color w:val="000000"/>
                <w:sz w:val="26"/>
                <w:szCs w:val="26"/>
                <w:lang w:eastAsia="lv-LV"/>
              </w:rPr>
              <w:t>aj</w:t>
            </w:r>
            <w:r w:rsidR="0086796B" w:rsidRPr="00B9444C">
              <w:rPr>
                <w:rFonts w:ascii="Times New Roman" w:eastAsia="Times New Roman" w:hAnsi="Times New Roman"/>
                <w:color w:val="000000"/>
                <w:sz w:val="26"/>
                <w:szCs w:val="26"/>
                <w:lang w:eastAsia="lv-LV"/>
              </w:rPr>
              <w:t>ām pusēm saimnieciska rakstura darbību īstenošanai</w:t>
            </w:r>
            <w:r w:rsidR="00B24F5C" w:rsidRPr="00B9444C">
              <w:rPr>
                <w:rFonts w:ascii="Times New Roman" w:eastAsia="Times New Roman" w:hAnsi="Times New Roman"/>
                <w:color w:val="000000"/>
                <w:sz w:val="26"/>
                <w:szCs w:val="26"/>
                <w:lang w:eastAsia="lv-LV"/>
              </w:rPr>
              <w:t xml:space="preserve">, </w:t>
            </w:r>
            <w:r w:rsidR="00B24F5C" w:rsidRPr="00977AEA">
              <w:rPr>
                <w:rFonts w:ascii="Times New Roman" w:eastAsia="Times New Roman" w:hAnsi="Times New Roman"/>
                <w:color w:val="000000"/>
                <w:sz w:val="26"/>
                <w:szCs w:val="26"/>
                <w:lang w:eastAsia="lv-LV"/>
              </w:rPr>
              <w:t xml:space="preserve">kas tieši saistītas ar </w:t>
            </w:r>
            <w:r w:rsidR="005206E0" w:rsidRPr="00977AEA">
              <w:rPr>
                <w:rFonts w:ascii="Times New Roman" w:eastAsia="Times New Roman" w:hAnsi="Times New Roman"/>
                <w:color w:val="000000"/>
                <w:sz w:val="26"/>
                <w:szCs w:val="26"/>
                <w:lang w:eastAsia="lv-LV"/>
              </w:rPr>
              <w:t xml:space="preserve">modernizētās </w:t>
            </w:r>
            <w:r w:rsidR="00B24F5C" w:rsidRPr="00977AEA">
              <w:rPr>
                <w:rFonts w:ascii="Times New Roman" w:eastAsia="Times New Roman" w:hAnsi="Times New Roman"/>
                <w:color w:val="000000"/>
                <w:sz w:val="26"/>
                <w:szCs w:val="26"/>
                <w:lang w:eastAsia="lv-LV"/>
              </w:rPr>
              <w:t>infrastruktūras ekspluatāciju un izmantošanu ar saimniecisku darbību nesaistītā augstākās izglītības institūcijas pamatdarbības jomā</w:t>
            </w:r>
            <w:r w:rsidR="0086796B" w:rsidRPr="00977AEA">
              <w:rPr>
                <w:rFonts w:ascii="Times New Roman" w:eastAsia="Times New Roman" w:hAnsi="Times New Roman"/>
                <w:color w:val="000000"/>
                <w:sz w:val="26"/>
                <w:szCs w:val="26"/>
                <w:lang w:eastAsia="lv-LV"/>
              </w:rPr>
              <w:t xml:space="preserve">. </w:t>
            </w:r>
          </w:p>
          <w:p w14:paraId="76F6C741" w14:textId="68AFC076" w:rsidR="00F30B26" w:rsidRPr="00B9444C" w:rsidRDefault="00573FBD" w:rsidP="00573FBD">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4.</w:t>
            </w:r>
            <w:r w:rsidR="00FC59CD" w:rsidRPr="00B9444C">
              <w:rPr>
                <w:rFonts w:ascii="Times New Roman" w:eastAsia="Times New Roman" w:hAnsi="Times New Roman"/>
                <w:color w:val="000000"/>
                <w:sz w:val="26"/>
                <w:szCs w:val="26"/>
                <w:lang w:eastAsia="lv-LV"/>
              </w:rPr>
              <w:t> </w:t>
            </w:r>
            <w:r w:rsidR="003172B1" w:rsidRPr="00B9444C">
              <w:rPr>
                <w:rFonts w:ascii="Times New Roman" w:eastAsia="Times New Roman" w:hAnsi="Times New Roman"/>
                <w:color w:val="000000"/>
                <w:sz w:val="26"/>
                <w:szCs w:val="26"/>
                <w:lang w:eastAsia="lv-LV"/>
              </w:rPr>
              <w:t>P</w:t>
            </w:r>
            <w:r w:rsidRPr="00B9444C">
              <w:rPr>
                <w:rFonts w:ascii="Times New Roman" w:eastAsia="Times New Roman" w:hAnsi="Times New Roman"/>
                <w:color w:val="000000"/>
                <w:sz w:val="26"/>
                <w:szCs w:val="26"/>
                <w:lang w:eastAsia="lv-LV"/>
              </w:rPr>
              <w:t>apildpakalpojumi</w:t>
            </w:r>
            <w:r w:rsidR="00F04DE2" w:rsidRPr="00B9444C">
              <w:rPr>
                <w:rFonts w:ascii="Times New Roman" w:eastAsia="Times New Roman" w:hAnsi="Times New Roman"/>
                <w:color w:val="000000"/>
                <w:sz w:val="26"/>
                <w:szCs w:val="26"/>
                <w:lang w:eastAsia="lv-LV"/>
              </w:rPr>
              <w:t xml:space="preserve"> (</w:t>
            </w:r>
            <w:proofErr w:type="spellStart"/>
            <w:r w:rsidR="00F04DE2" w:rsidRPr="00B9444C">
              <w:rPr>
                <w:rFonts w:ascii="Times New Roman" w:eastAsia="Times New Roman" w:hAnsi="Times New Roman"/>
                <w:i/>
                <w:color w:val="000000"/>
                <w:sz w:val="26"/>
                <w:szCs w:val="26"/>
                <w:lang w:eastAsia="lv-LV"/>
              </w:rPr>
              <w:t>customary</w:t>
            </w:r>
            <w:proofErr w:type="spellEnd"/>
            <w:r w:rsidR="00F04DE2" w:rsidRPr="00B9444C">
              <w:rPr>
                <w:rFonts w:ascii="Times New Roman" w:eastAsia="Times New Roman" w:hAnsi="Times New Roman"/>
                <w:i/>
                <w:color w:val="000000"/>
                <w:sz w:val="26"/>
                <w:szCs w:val="26"/>
                <w:lang w:eastAsia="lv-LV"/>
              </w:rPr>
              <w:t xml:space="preserve"> </w:t>
            </w:r>
            <w:proofErr w:type="spellStart"/>
            <w:r w:rsidR="00F04DE2" w:rsidRPr="00B9444C">
              <w:rPr>
                <w:rFonts w:ascii="Times New Roman" w:eastAsia="Times New Roman" w:hAnsi="Times New Roman"/>
                <w:i/>
                <w:color w:val="000000"/>
                <w:sz w:val="26"/>
                <w:szCs w:val="26"/>
                <w:lang w:eastAsia="lv-LV"/>
              </w:rPr>
              <w:t>amenities</w:t>
            </w:r>
            <w:proofErr w:type="spellEnd"/>
            <w:r w:rsidR="00F04DE2"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 xml:space="preserve">, tai skaitā ēdināšanas, autostāvvietu, kopēšanas un citi pakalpojumi, kurus sniedz izglītojamajiem vai akadēmiskajam personālam, lai finansējuma saņēmējs vai sadarbības partneris nodrošinātu ar saimniecisku darbību nesaistītas pamatdarbības īstenošanu, ja minētie papildpakalpojumi </w:t>
            </w:r>
            <w:r w:rsidR="00524E49" w:rsidRPr="00B9444C">
              <w:rPr>
                <w:rFonts w:ascii="Times New Roman" w:eastAsia="Times New Roman" w:hAnsi="Times New Roman"/>
                <w:color w:val="000000"/>
                <w:sz w:val="26"/>
                <w:szCs w:val="26"/>
                <w:lang w:eastAsia="lv-LV"/>
              </w:rPr>
              <w:t xml:space="preserve">ir vietēji un tie </w:t>
            </w:r>
            <w:r w:rsidRPr="00B9444C">
              <w:rPr>
                <w:rFonts w:ascii="Times New Roman" w:eastAsia="Times New Roman" w:hAnsi="Times New Roman"/>
                <w:color w:val="000000"/>
                <w:sz w:val="26"/>
                <w:szCs w:val="26"/>
                <w:lang w:eastAsia="lv-LV"/>
              </w:rPr>
              <w:t xml:space="preserve">neietekmē tirdzniecību starp Eiropas Savienības dalībvalstīm </w:t>
            </w:r>
            <w:r w:rsidR="0058503E" w:rsidRPr="00B9444C">
              <w:rPr>
                <w:rFonts w:ascii="Times New Roman" w:eastAsia="Times New Roman" w:hAnsi="Times New Roman"/>
                <w:color w:val="000000"/>
                <w:sz w:val="26"/>
                <w:szCs w:val="26"/>
                <w:lang w:eastAsia="lv-LV"/>
              </w:rPr>
              <w:t>(MK noteikumu Nr. 561 35.</w:t>
            </w:r>
            <w:r w:rsidR="0058503E" w:rsidRPr="00B9444C">
              <w:rPr>
                <w:rFonts w:ascii="Times New Roman" w:eastAsia="Times New Roman" w:hAnsi="Times New Roman"/>
                <w:color w:val="000000"/>
                <w:sz w:val="26"/>
                <w:szCs w:val="26"/>
                <w:vertAlign w:val="superscript"/>
                <w:lang w:eastAsia="lv-LV"/>
              </w:rPr>
              <w:t>1</w:t>
            </w:r>
            <w:r w:rsidR="0058503E" w:rsidRPr="00B9444C">
              <w:rPr>
                <w:rFonts w:ascii="Times New Roman" w:eastAsia="Times New Roman" w:hAnsi="Times New Roman"/>
                <w:color w:val="000000"/>
                <w:sz w:val="26"/>
                <w:szCs w:val="26"/>
                <w:lang w:eastAsia="lv-LV"/>
              </w:rPr>
              <w:t> 4. apakšpunkts).</w:t>
            </w:r>
          </w:p>
          <w:p w14:paraId="7446EE10" w14:textId="7ED76BD6" w:rsidR="0043026F" w:rsidRPr="00B9444C" w:rsidRDefault="00F04DE2" w:rsidP="0043026F">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Papildpakalpojumiem</w:t>
            </w:r>
            <w:r w:rsidR="0043026F" w:rsidRPr="00B9444C">
              <w:rPr>
                <w:rFonts w:ascii="Times New Roman" w:eastAsia="Times New Roman" w:hAnsi="Times New Roman"/>
                <w:color w:val="000000"/>
                <w:sz w:val="26"/>
                <w:szCs w:val="26"/>
                <w:lang w:eastAsia="lv-LV"/>
              </w:rPr>
              <w:t xml:space="preserve"> ir vienīgi vietēja mēroga ietekme, ja</w:t>
            </w:r>
            <w:r w:rsidRPr="00B9444C">
              <w:rPr>
                <w:rFonts w:ascii="Times New Roman" w:eastAsia="Times New Roman" w:hAnsi="Times New Roman"/>
                <w:color w:val="000000"/>
                <w:sz w:val="26"/>
                <w:szCs w:val="26"/>
                <w:lang w:eastAsia="lv-LV"/>
              </w:rPr>
              <w:t xml:space="preserve"> </w:t>
            </w:r>
            <w:r w:rsidR="008B3FCC" w:rsidRPr="00B9444C">
              <w:rPr>
                <w:rFonts w:ascii="Times New Roman" w:eastAsia="Times New Roman" w:hAnsi="Times New Roman"/>
                <w:color w:val="000000"/>
                <w:sz w:val="26"/>
                <w:szCs w:val="26"/>
                <w:lang w:eastAsia="lv-LV"/>
              </w:rPr>
              <w:t>pakalpojuma</w:t>
            </w:r>
            <w:r w:rsidR="0043026F" w:rsidRPr="00B9444C">
              <w:rPr>
                <w:rFonts w:ascii="Times New Roman" w:eastAsia="Times New Roman" w:hAnsi="Times New Roman"/>
                <w:color w:val="000000"/>
                <w:sz w:val="26"/>
                <w:szCs w:val="26"/>
                <w:lang w:eastAsia="lv-LV"/>
              </w:rPr>
              <w:t xml:space="preserve"> mērķauditorija vairāk kā 85% apmērā ir vietējie iedzīvotāji</w:t>
            </w:r>
            <w:r w:rsidRPr="00B9444C">
              <w:rPr>
                <w:rFonts w:ascii="Times New Roman" w:eastAsia="Times New Roman" w:hAnsi="Times New Roman"/>
                <w:color w:val="000000"/>
                <w:sz w:val="26"/>
                <w:szCs w:val="26"/>
                <w:lang w:eastAsia="lv-LV"/>
              </w:rPr>
              <w:t xml:space="preserve"> un</w:t>
            </w:r>
            <w:r w:rsidR="0043026F" w:rsidRPr="00B9444C">
              <w:rPr>
                <w:rFonts w:ascii="Times New Roman" w:eastAsia="Times New Roman" w:hAnsi="Times New Roman"/>
                <w:color w:val="000000"/>
                <w:sz w:val="26"/>
                <w:szCs w:val="26"/>
                <w:lang w:eastAsia="lv-LV"/>
              </w:rPr>
              <w:t xml:space="preserve"> papildpakalpojumu sniedzēji </w:t>
            </w:r>
            <w:r w:rsidRPr="00B9444C">
              <w:rPr>
                <w:rFonts w:ascii="Times New Roman" w:eastAsia="Times New Roman" w:hAnsi="Times New Roman"/>
                <w:color w:val="000000"/>
                <w:sz w:val="26"/>
                <w:szCs w:val="26"/>
                <w:lang w:eastAsia="lv-LV"/>
              </w:rPr>
              <w:t xml:space="preserve">dominējoši </w:t>
            </w:r>
            <w:r w:rsidR="0043026F" w:rsidRPr="00B9444C">
              <w:rPr>
                <w:rFonts w:ascii="Times New Roman" w:eastAsia="Times New Roman" w:hAnsi="Times New Roman"/>
                <w:color w:val="000000"/>
                <w:sz w:val="26"/>
                <w:szCs w:val="26"/>
                <w:lang w:eastAsia="lv-LV"/>
              </w:rPr>
              <w:t>strādā vietējā tirgū.</w:t>
            </w:r>
            <w:r w:rsidR="008B3FCC" w:rsidRPr="00B9444C">
              <w:rPr>
                <w:rFonts w:ascii="Times New Roman" w:eastAsia="Times New Roman" w:hAnsi="Times New Roman"/>
                <w:color w:val="000000"/>
                <w:sz w:val="26"/>
                <w:szCs w:val="26"/>
                <w:lang w:eastAsia="lv-LV"/>
              </w:rPr>
              <w:t xml:space="preserve"> </w:t>
            </w:r>
          </w:p>
          <w:p w14:paraId="6027D9EA" w14:textId="2950FA2A" w:rsidR="0043026F" w:rsidRPr="00B9444C" w:rsidRDefault="0043026F" w:rsidP="0043026F">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Atbilstoši Konkurences Ģenerāldirektorāta e-</w:t>
            </w:r>
            <w:proofErr w:type="spellStart"/>
            <w:r w:rsidRPr="00B9444C">
              <w:rPr>
                <w:rFonts w:ascii="Times New Roman" w:eastAsia="Times New Roman" w:hAnsi="Times New Roman"/>
                <w:color w:val="000000"/>
                <w:sz w:val="26"/>
                <w:szCs w:val="26"/>
                <w:lang w:eastAsia="lv-LV"/>
              </w:rPr>
              <w:t>State</w:t>
            </w:r>
            <w:proofErr w:type="spellEnd"/>
            <w:r w:rsidRPr="00B9444C">
              <w:rPr>
                <w:rFonts w:ascii="Times New Roman" w:eastAsia="Times New Roman" w:hAnsi="Times New Roman"/>
                <w:color w:val="000000"/>
                <w:sz w:val="26"/>
                <w:szCs w:val="26"/>
                <w:lang w:eastAsia="lv-LV"/>
              </w:rPr>
              <w:t xml:space="preserve"> Aid WIKI sistēmā  sniegtajam skaidrojumam</w:t>
            </w:r>
            <w:r w:rsidR="002C5C30" w:rsidRPr="00B9444C">
              <w:rPr>
                <w:rStyle w:val="FootnoteReference"/>
                <w:rFonts w:ascii="Times New Roman" w:eastAsia="Times New Roman" w:hAnsi="Times New Roman"/>
                <w:color w:val="000000"/>
                <w:sz w:val="26"/>
                <w:szCs w:val="26"/>
                <w:lang w:eastAsia="lv-LV"/>
              </w:rPr>
              <w:footnoteReference w:id="4"/>
            </w:r>
            <w:r w:rsidRPr="00B9444C">
              <w:rPr>
                <w:rFonts w:ascii="Times New Roman" w:eastAsia="Times New Roman" w:hAnsi="Times New Roman"/>
                <w:color w:val="000000"/>
                <w:sz w:val="26"/>
                <w:szCs w:val="26"/>
                <w:lang w:eastAsia="lv-LV"/>
              </w:rPr>
              <w:t xml:space="preserve"> parastajiem papildpaka</w:t>
            </w:r>
            <w:r w:rsidR="008A1A60" w:rsidRPr="00B9444C">
              <w:rPr>
                <w:rFonts w:ascii="Times New Roman" w:eastAsia="Times New Roman" w:hAnsi="Times New Roman"/>
                <w:color w:val="000000"/>
                <w:sz w:val="26"/>
                <w:szCs w:val="26"/>
                <w:lang w:eastAsia="lv-LV"/>
              </w:rPr>
              <w:t>l</w:t>
            </w:r>
            <w:r w:rsidRPr="00B9444C">
              <w:rPr>
                <w:rFonts w:ascii="Times New Roman" w:eastAsia="Times New Roman" w:hAnsi="Times New Roman"/>
                <w:color w:val="000000"/>
                <w:sz w:val="26"/>
                <w:szCs w:val="26"/>
                <w:lang w:eastAsia="lv-LV"/>
              </w:rPr>
              <w:t xml:space="preserve">pojumiem (ēdināšanas, autostāvvietu, kopēšanas u.c. pakalpojumiem) nav jāpiemēro iedalītās kapacitātes ierobežojumi, jo papildpakalpojumiem netiek patērēti tādi paši resursi (piemēram, materiāli, aprīkojums, darbaspēks un pamatkapitāls) kā ar saimniecisku darbību nesaistītai pamatdarbībai. </w:t>
            </w:r>
          </w:p>
          <w:p w14:paraId="73DFDAD1" w14:textId="098A63A0" w:rsidR="00EE12DB" w:rsidRPr="00B9444C" w:rsidRDefault="0043026F" w:rsidP="0043026F">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Noteikumu projekta ieviešanas rezultātā projektu īstenotājiem tiek radīti labvēlīgāki nosacījumi, salīdzinot ar šobrīd esošo situāciju, jo</w:t>
            </w:r>
            <w:r w:rsidR="0082486C"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 xml:space="preserve">projekta ietvaros modernizētu infrastruktūru </w:t>
            </w:r>
            <w:r w:rsidR="00EE12DB" w:rsidRPr="00B9444C">
              <w:rPr>
                <w:rFonts w:ascii="Times New Roman" w:eastAsia="Times New Roman" w:hAnsi="Times New Roman"/>
                <w:color w:val="000000"/>
                <w:sz w:val="26"/>
                <w:szCs w:val="26"/>
                <w:lang w:eastAsia="lv-LV"/>
              </w:rPr>
              <w:t>var izmantot</w:t>
            </w:r>
            <w:r w:rsidR="00516D8F" w:rsidRPr="00B9444C">
              <w:rPr>
                <w:rFonts w:ascii="Times New Roman" w:eastAsia="Times New Roman" w:hAnsi="Times New Roman"/>
                <w:color w:val="000000"/>
                <w:sz w:val="26"/>
                <w:szCs w:val="26"/>
                <w:lang w:eastAsia="lv-LV"/>
              </w:rPr>
              <w:t xml:space="preserve"> ne tikai papildinošai saimnieciskai darbībai, bet arī</w:t>
            </w:r>
            <w:r w:rsidR="00EE12DB" w:rsidRPr="00B9444C">
              <w:rPr>
                <w:rFonts w:ascii="Times New Roman" w:eastAsia="Times New Roman" w:hAnsi="Times New Roman"/>
                <w:color w:val="000000"/>
                <w:sz w:val="26"/>
                <w:szCs w:val="26"/>
                <w:lang w:eastAsia="lv-LV"/>
              </w:rPr>
              <w:t xml:space="preserve"> </w:t>
            </w:r>
            <w:r w:rsidR="00B24F5C" w:rsidRPr="00B9444C">
              <w:rPr>
                <w:rFonts w:ascii="Times New Roman" w:eastAsia="Times New Roman" w:hAnsi="Times New Roman"/>
                <w:color w:val="000000"/>
                <w:sz w:val="26"/>
                <w:szCs w:val="26"/>
                <w:lang w:eastAsia="lv-LV"/>
              </w:rPr>
              <w:t xml:space="preserve">1) tādu </w:t>
            </w:r>
            <w:r w:rsidR="0082486C" w:rsidRPr="00B9444C">
              <w:rPr>
                <w:rFonts w:ascii="Times New Roman" w:eastAsia="Times New Roman" w:hAnsi="Times New Roman"/>
                <w:color w:val="000000"/>
                <w:sz w:val="26"/>
                <w:szCs w:val="26"/>
                <w:lang w:eastAsia="lv-LV"/>
              </w:rPr>
              <w:t>ar saimniecisku darbību saistīt</w:t>
            </w:r>
            <w:r w:rsidR="00102915" w:rsidRPr="00B9444C">
              <w:rPr>
                <w:rFonts w:ascii="Times New Roman" w:eastAsia="Times New Roman" w:hAnsi="Times New Roman"/>
                <w:color w:val="000000"/>
                <w:sz w:val="26"/>
                <w:szCs w:val="26"/>
                <w:lang w:eastAsia="lv-LV"/>
              </w:rPr>
              <w:t>u</w:t>
            </w:r>
            <w:r w:rsidR="0082486C" w:rsidRPr="00B9444C">
              <w:rPr>
                <w:rFonts w:ascii="Times New Roman" w:eastAsia="Times New Roman" w:hAnsi="Times New Roman"/>
                <w:color w:val="000000"/>
                <w:sz w:val="26"/>
                <w:szCs w:val="26"/>
                <w:lang w:eastAsia="lv-LV"/>
              </w:rPr>
              <w:t xml:space="preserve"> pamatdarbību</w:t>
            </w:r>
            <w:r w:rsidR="006F4693">
              <w:rPr>
                <w:rFonts w:ascii="Times New Roman" w:eastAsia="Times New Roman" w:hAnsi="Times New Roman"/>
                <w:color w:val="000000"/>
                <w:sz w:val="26"/>
                <w:szCs w:val="26"/>
                <w:lang w:eastAsia="lv-LV"/>
              </w:rPr>
              <w:t xml:space="preserve"> īstenošanai</w:t>
            </w:r>
            <w:r w:rsidR="00B24F5C" w:rsidRPr="00B9444C">
              <w:rPr>
                <w:rFonts w:ascii="Times New Roman" w:eastAsia="Times New Roman" w:hAnsi="Times New Roman"/>
                <w:color w:val="000000"/>
                <w:sz w:val="26"/>
                <w:szCs w:val="26"/>
                <w:lang w:eastAsia="lv-LV"/>
              </w:rPr>
              <w:t xml:space="preserve">, </w:t>
            </w:r>
            <w:r w:rsidR="00B24F5C" w:rsidRPr="006F4693">
              <w:rPr>
                <w:rFonts w:ascii="Times New Roman" w:eastAsia="Times New Roman" w:hAnsi="Times New Roman"/>
                <w:color w:val="000000"/>
                <w:sz w:val="26"/>
                <w:szCs w:val="26"/>
                <w:lang w:eastAsia="lv-LV"/>
              </w:rPr>
              <w:t>kas neietekmē konkurenci un tirdzniecību starp ES dalībvalstīm,</w:t>
            </w:r>
            <w:r w:rsidR="0082486C" w:rsidRPr="006F4693">
              <w:rPr>
                <w:rFonts w:ascii="Times New Roman" w:eastAsia="Times New Roman" w:hAnsi="Times New Roman"/>
                <w:color w:val="000000"/>
                <w:sz w:val="26"/>
                <w:szCs w:val="26"/>
                <w:lang w:eastAsia="lv-LV"/>
              </w:rPr>
              <w:t xml:space="preserve"> un </w:t>
            </w:r>
            <w:r w:rsidR="00B24F5C" w:rsidRPr="006F4693">
              <w:rPr>
                <w:rFonts w:ascii="Times New Roman" w:eastAsia="Times New Roman" w:hAnsi="Times New Roman"/>
                <w:color w:val="000000"/>
                <w:sz w:val="26"/>
                <w:szCs w:val="26"/>
                <w:lang w:eastAsia="lv-LV"/>
              </w:rPr>
              <w:t xml:space="preserve">2) </w:t>
            </w:r>
            <w:r w:rsidRPr="006F4693">
              <w:rPr>
                <w:rFonts w:ascii="Times New Roman" w:eastAsia="Times New Roman" w:hAnsi="Times New Roman"/>
                <w:color w:val="000000"/>
                <w:sz w:val="26"/>
                <w:szCs w:val="26"/>
                <w:lang w:eastAsia="lv-LV"/>
              </w:rPr>
              <w:t>papildpakalpojumu īstenošanai,</w:t>
            </w:r>
            <w:r w:rsidRPr="00B9444C">
              <w:rPr>
                <w:rFonts w:ascii="Times New Roman" w:eastAsia="Times New Roman" w:hAnsi="Times New Roman"/>
                <w:color w:val="000000"/>
                <w:sz w:val="26"/>
                <w:szCs w:val="26"/>
                <w:lang w:eastAsia="lv-LV"/>
              </w:rPr>
              <w:t xml:space="preserve"> ja tiek ievēroti MK noteikumu Nr. </w:t>
            </w:r>
            <w:r w:rsidR="00620C74" w:rsidRPr="00B9444C">
              <w:rPr>
                <w:rFonts w:ascii="Times New Roman" w:eastAsia="Times New Roman" w:hAnsi="Times New Roman"/>
                <w:color w:val="000000"/>
                <w:sz w:val="26"/>
                <w:szCs w:val="26"/>
                <w:lang w:eastAsia="lv-LV"/>
              </w:rPr>
              <w:t>56</w:t>
            </w:r>
            <w:r w:rsidR="0082486C" w:rsidRPr="00B9444C">
              <w:rPr>
                <w:rFonts w:ascii="Times New Roman" w:eastAsia="Times New Roman" w:hAnsi="Times New Roman"/>
                <w:color w:val="000000"/>
                <w:sz w:val="26"/>
                <w:szCs w:val="26"/>
                <w:lang w:eastAsia="lv-LV"/>
              </w:rPr>
              <w:t>1</w:t>
            </w:r>
            <w:r w:rsidRPr="00B9444C">
              <w:rPr>
                <w:rFonts w:ascii="Times New Roman" w:eastAsia="Times New Roman" w:hAnsi="Times New Roman"/>
                <w:color w:val="000000"/>
                <w:sz w:val="26"/>
                <w:szCs w:val="26"/>
                <w:lang w:eastAsia="lv-LV"/>
              </w:rPr>
              <w:t xml:space="preserve"> </w:t>
            </w:r>
            <w:r w:rsidR="0082486C" w:rsidRPr="00B9444C">
              <w:rPr>
                <w:rFonts w:ascii="Times New Roman" w:eastAsia="Times New Roman" w:hAnsi="Times New Roman"/>
                <w:color w:val="000000"/>
                <w:sz w:val="26"/>
                <w:szCs w:val="26"/>
                <w:lang w:eastAsia="lv-LV"/>
              </w:rPr>
              <w:t>35.</w:t>
            </w:r>
            <w:r w:rsidR="00620C74" w:rsidRPr="00B9444C">
              <w:rPr>
                <w:rFonts w:ascii="Times New Roman" w:eastAsia="Times New Roman" w:hAnsi="Times New Roman"/>
                <w:color w:val="000000"/>
                <w:sz w:val="26"/>
                <w:szCs w:val="26"/>
                <w:vertAlign w:val="superscript"/>
                <w:lang w:eastAsia="lv-LV"/>
              </w:rPr>
              <w:t>1</w:t>
            </w:r>
            <w:r w:rsidR="0082486C"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punkta nosacījumi. Vienlaikus projekts joprojām var tikt uzskatīts par projektu, kuram nav saimniecisks raksturs</w:t>
            </w:r>
            <w:r w:rsidR="0082486C" w:rsidRPr="00B9444C">
              <w:rPr>
                <w:rFonts w:ascii="Times New Roman" w:eastAsia="Times New Roman" w:hAnsi="Times New Roman"/>
                <w:color w:val="000000"/>
                <w:sz w:val="26"/>
                <w:szCs w:val="26"/>
                <w:lang w:eastAsia="lv-LV"/>
              </w:rPr>
              <w:t>.</w:t>
            </w:r>
          </w:p>
          <w:p w14:paraId="6DDA8AF2" w14:textId="210735D2" w:rsidR="0043026F" w:rsidRPr="00B9444C" w:rsidRDefault="0043026F" w:rsidP="0043026F">
            <w:pPr>
              <w:spacing w:before="10" w:line="240" w:lineRule="auto"/>
              <w:ind w:left="101" w:right="102"/>
              <w:jc w:val="both"/>
              <w:rPr>
                <w:rFonts w:ascii="Times New Roman" w:eastAsia="Times New Roman" w:hAnsi="Times New Roman"/>
                <w:b/>
                <w:color w:val="000000"/>
                <w:sz w:val="26"/>
                <w:szCs w:val="26"/>
                <w:lang w:eastAsia="lv-LV"/>
              </w:rPr>
            </w:pPr>
            <w:r w:rsidRPr="00B9444C">
              <w:rPr>
                <w:rFonts w:ascii="Times New Roman" w:eastAsia="Times New Roman" w:hAnsi="Times New Roman"/>
                <w:b/>
                <w:color w:val="000000"/>
                <w:sz w:val="26"/>
                <w:szCs w:val="26"/>
                <w:lang w:eastAsia="lv-LV"/>
              </w:rPr>
              <w:lastRenderedPageBreak/>
              <w:t xml:space="preserve">II. </w:t>
            </w:r>
            <w:r w:rsidR="000767A4" w:rsidRPr="00B9444C">
              <w:rPr>
                <w:rFonts w:ascii="Times New Roman" w:eastAsia="Times New Roman" w:hAnsi="Times New Roman"/>
                <w:b/>
                <w:color w:val="000000"/>
                <w:sz w:val="26"/>
                <w:szCs w:val="26"/>
                <w:lang w:eastAsia="lv-LV"/>
              </w:rPr>
              <w:t>Modernizētās infrastruktūras izmantošanas</w:t>
            </w:r>
            <w:r w:rsidRPr="00B9444C">
              <w:rPr>
                <w:rFonts w:ascii="Times New Roman" w:eastAsia="Times New Roman" w:hAnsi="Times New Roman"/>
                <w:b/>
                <w:color w:val="000000"/>
                <w:sz w:val="26"/>
                <w:szCs w:val="26"/>
                <w:lang w:eastAsia="lv-LV"/>
              </w:rPr>
              <w:t xml:space="preserve"> uzraudzība un </w:t>
            </w:r>
            <w:r w:rsidR="00620C74" w:rsidRPr="00B9444C">
              <w:rPr>
                <w:rFonts w:ascii="Times New Roman" w:eastAsia="Times New Roman" w:hAnsi="Times New Roman"/>
                <w:b/>
                <w:color w:val="000000"/>
                <w:sz w:val="26"/>
                <w:szCs w:val="26"/>
                <w:lang w:eastAsia="lv-LV"/>
              </w:rPr>
              <w:t xml:space="preserve">publiskā finansējuma </w:t>
            </w:r>
            <w:r w:rsidRPr="00B9444C">
              <w:rPr>
                <w:rFonts w:ascii="Times New Roman" w:eastAsia="Times New Roman" w:hAnsi="Times New Roman"/>
                <w:b/>
                <w:color w:val="000000"/>
                <w:sz w:val="26"/>
                <w:szCs w:val="26"/>
                <w:lang w:eastAsia="lv-LV"/>
              </w:rPr>
              <w:t>atgūšana</w:t>
            </w:r>
          </w:p>
          <w:p w14:paraId="74114C0A" w14:textId="36B0D64B" w:rsidR="00724715" w:rsidRPr="00B9444C" w:rsidRDefault="0043026F" w:rsidP="0043026F">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Lai varētu piemērot </w:t>
            </w:r>
            <w:r w:rsidR="00F06C5E" w:rsidRPr="00B9444C">
              <w:rPr>
                <w:rFonts w:ascii="Times New Roman" w:eastAsia="Times New Roman" w:hAnsi="Times New Roman"/>
                <w:color w:val="000000"/>
                <w:sz w:val="26"/>
                <w:szCs w:val="26"/>
                <w:lang w:eastAsia="lv-LV"/>
              </w:rPr>
              <w:t>P</w:t>
            </w:r>
            <w:r w:rsidRPr="00B9444C">
              <w:rPr>
                <w:rFonts w:ascii="Times New Roman" w:eastAsia="Times New Roman" w:hAnsi="Times New Roman"/>
                <w:color w:val="000000"/>
                <w:sz w:val="26"/>
                <w:szCs w:val="26"/>
                <w:lang w:eastAsia="lv-LV"/>
              </w:rPr>
              <w:t>aziņojuma 207.</w:t>
            </w:r>
            <w:r w:rsidR="002D1C56" w:rsidRPr="00B9444C">
              <w:rPr>
                <w:rFonts w:ascii="Times New Roman" w:eastAsia="Times New Roman" w:hAnsi="Times New Roman"/>
                <w:color w:val="000000"/>
                <w:sz w:val="26"/>
                <w:szCs w:val="26"/>
                <w:lang w:eastAsia="lv-LV"/>
              </w:rPr>
              <w:t> </w:t>
            </w:r>
            <w:r w:rsidRPr="00B9444C">
              <w:rPr>
                <w:rFonts w:ascii="Times New Roman" w:eastAsia="Times New Roman" w:hAnsi="Times New Roman"/>
                <w:color w:val="000000"/>
                <w:sz w:val="26"/>
                <w:szCs w:val="26"/>
                <w:lang w:eastAsia="lv-LV"/>
              </w:rPr>
              <w:t>punkt</w:t>
            </w:r>
            <w:r w:rsidR="00942770" w:rsidRPr="00B9444C">
              <w:rPr>
                <w:rFonts w:ascii="Times New Roman" w:eastAsia="Times New Roman" w:hAnsi="Times New Roman"/>
                <w:color w:val="000000"/>
                <w:sz w:val="26"/>
                <w:szCs w:val="26"/>
                <w:lang w:eastAsia="lv-LV"/>
              </w:rPr>
              <w:t>a</w:t>
            </w:r>
            <w:r w:rsidRPr="00B9444C">
              <w:rPr>
                <w:rFonts w:ascii="Times New Roman" w:eastAsia="Times New Roman" w:hAnsi="Times New Roman"/>
                <w:color w:val="000000"/>
                <w:sz w:val="26"/>
                <w:szCs w:val="26"/>
                <w:lang w:eastAsia="lv-LV"/>
              </w:rPr>
              <w:t xml:space="preserve"> </w:t>
            </w:r>
            <w:r w:rsidR="00942770" w:rsidRPr="00B9444C">
              <w:rPr>
                <w:rFonts w:ascii="Times New Roman" w:eastAsia="Times New Roman" w:hAnsi="Times New Roman"/>
                <w:color w:val="000000"/>
                <w:sz w:val="26"/>
                <w:szCs w:val="26"/>
                <w:lang w:eastAsia="lv-LV"/>
              </w:rPr>
              <w:t>nosacījumus</w:t>
            </w:r>
            <w:r w:rsidRPr="00B9444C">
              <w:rPr>
                <w:rFonts w:ascii="Times New Roman" w:eastAsia="Times New Roman" w:hAnsi="Times New Roman"/>
                <w:color w:val="000000"/>
                <w:sz w:val="26"/>
                <w:szCs w:val="26"/>
                <w:lang w:eastAsia="lv-LV"/>
              </w:rPr>
              <w:t xml:space="preserve">, ir jānodrošina atbilstoša projekta ikgadēja uzraudzība </w:t>
            </w:r>
            <w:r w:rsidR="00D638D8" w:rsidRPr="00B9444C">
              <w:rPr>
                <w:rFonts w:ascii="Times New Roman" w:eastAsia="Times New Roman" w:hAnsi="Times New Roman"/>
                <w:color w:val="000000"/>
                <w:sz w:val="26"/>
                <w:szCs w:val="26"/>
                <w:lang w:eastAsia="lv-LV"/>
              </w:rPr>
              <w:t xml:space="preserve">visā </w:t>
            </w:r>
            <w:r w:rsidR="006C3BC5" w:rsidRPr="00B9444C">
              <w:rPr>
                <w:rFonts w:ascii="Times New Roman" w:eastAsia="Times New Roman" w:hAnsi="Times New Roman"/>
                <w:color w:val="000000"/>
                <w:sz w:val="26"/>
                <w:szCs w:val="26"/>
                <w:lang w:eastAsia="lv-LV"/>
              </w:rPr>
              <w:t xml:space="preserve">modernizētās </w:t>
            </w:r>
            <w:r w:rsidR="00D31AF5" w:rsidRPr="00B9444C">
              <w:rPr>
                <w:rFonts w:ascii="Times New Roman" w:eastAsia="Times New Roman" w:hAnsi="Times New Roman"/>
                <w:color w:val="000000"/>
                <w:sz w:val="26"/>
                <w:szCs w:val="26"/>
                <w:lang w:eastAsia="lv-LV"/>
              </w:rPr>
              <w:t xml:space="preserve">augstākās izglītības </w:t>
            </w:r>
            <w:r w:rsidRPr="00B9444C">
              <w:rPr>
                <w:rFonts w:ascii="Times New Roman" w:eastAsia="Times New Roman" w:hAnsi="Times New Roman"/>
                <w:color w:val="000000"/>
                <w:sz w:val="26"/>
                <w:szCs w:val="26"/>
                <w:lang w:eastAsia="lv-LV"/>
              </w:rPr>
              <w:t xml:space="preserve">infrastruktūras amortizācijas periodā, </w:t>
            </w:r>
            <w:r w:rsidR="00724715" w:rsidRPr="00B9444C">
              <w:rPr>
                <w:rFonts w:ascii="Times New Roman" w:eastAsia="Times New Roman" w:hAnsi="Times New Roman"/>
                <w:color w:val="000000"/>
                <w:sz w:val="26"/>
                <w:szCs w:val="26"/>
                <w:lang w:eastAsia="lv-LV"/>
              </w:rPr>
              <w:t>kuru nosaka:</w:t>
            </w:r>
            <w:r w:rsidRPr="00B9444C">
              <w:rPr>
                <w:rFonts w:ascii="Times New Roman" w:eastAsia="Times New Roman" w:hAnsi="Times New Roman"/>
                <w:color w:val="000000"/>
                <w:sz w:val="26"/>
                <w:szCs w:val="26"/>
                <w:lang w:eastAsia="lv-LV"/>
              </w:rPr>
              <w:t xml:space="preserve"> </w:t>
            </w:r>
          </w:p>
          <w:p w14:paraId="569F0BA6" w14:textId="24ECA781" w:rsidR="00957192" w:rsidRPr="00B9444C" w:rsidRDefault="00086CCD" w:rsidP="00086CCD">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a) </w:t>
            </w:r>
            <w:r w:rsidR="00957192" w:rsidRPr="00B9444C">
              <w:rPr>
                <w:rFonts w:ascii="Times New Roman" w:eastAsia="Times New Roman" w:hAnsi="Times New Roman"/>
                <w:color w:val="000000"/>
                <w:sz w:val="26"/>
                <w:szCs w:val="26"/>
                <w:lang w:eastAsia="lv-LV"/>
              </w:rPr>
              <w:t>ievērojot Ministru kabineta 2018. gada 13. februāra noteikumus Nr. 87 "Grāmatvedības uzskaites kārtība budžeta iestādēs" 2. pielikumā "Pamatlīdzekļu kategorijas, grupas un apakšgrupas nolietojuma normu noteikšanai" noteikto laika periodu (piemēram, lietderīgās lietošanas laiks tehnoloģiskām iekārtām, mēraparatūrai, regulēšanas ierīcēm, laboratoriju un medicīnas iekārtām – 10 gadi, datortehnikai – 5 gadi);</w:t>
            </w:r>
          </w:p>
          <w:p w14:paraId="2E8ECE6D" w14:textId="2627E425" w:rsidR="0043026F" w:rsidRPr="00B9444C" w:rsidRDefault="00086CCD" w:rsidP="00086CCD">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b) </w:t>
            </w:r>
            <w:r w:rsidR="00957192" w:rsidRPr="00B9444C">
              <w:rPr>
                <w:rFonts w:ascii="Times New Roman" w:eastAsia="Times New Roman" w:hAnsi="Times New Roman"/>
                <w:color w:val="000000"/>
                <w:sz w:val="26"/>
                <w:szCs w:val="26"/>
                <w:lang w:eastAsia="lv-LV"/>
              </w:rPr>
              <w:t>projekta dzīves cikla periodu, ja projekta ietvaros veic būvniecību. MK noteikumos Nr. 56</w:t>
            </w:r>
            <w:r w:rsidR="00E52F12" w:rsidRPr="00B9444C">
              <w:rPr>
                <w:rFonts w:ascii="Times New Roman" w:eastAsia="Times New Roman" w:hAnsi="Times New Roman"/>
                <w:color w:val="000000"/>
                <w:sz w:val="26"/>
                <w:szCs w:val="26"/>
                <w:lang w:eastAsia="lv-LV"/>
              </w:rPr>
              <w:t>1</w:t>
            </w:r>
            <w:r w:rsidR="00957192" w:rsidRPr="00B9444C">
              <w:rPr>
                <w:rFonts w:ascii="Times New Roman" w:eastAsia="Times New Roman" w:hAnsi="Times New Roman"/>
                <w:color w:val="000000"/>
                <w:sz w:val="26"/>
                <w:szCs w:val="26"/>
                <w:lang w:eastAsia="lv-LV"/>
              </w:rPr>
              <w:t xml:space="preserve"> noteikts, ka </w:t>
            </w:r>
            <w:r w:rsidR="00E52F12" w:rsidRPr="00B9444C">
              <w:rPr>
                <w:rFonts w:ascii="Times New Roman" w:eastAsia="Times New Roman" w:hAnsi="Times New Roman"/>
                <w:color w:val="000000"/>
                <w:sz w:val="26"/>
                <w:szCs w:val="26"/>
                <w:lang w:eastAsia="lv-LV"/>
              </w:rPr>
              <w:t>SAM 8.1.1.</w:t>
            </w:r>
            <w:r w:rsidR="00957192" w:rsidRPr="00B9444C">
              <w:rPr>
                <w:rFonts w:ascii="Times New Roman" w:eastAsia="Times New Roman" w:hAnsi="Times New Roman"/>
                <w:color w:val="000000"/>
                <w:sz w:val="26"/>
                <w:szCs w:val="26"/>
                <w:lang w:eastAsia="lv-LV"/>
              </w:rPr>
              <w:t xml:space="preserve"> ietvaros projekta dzīves cikla periods ir 20 gadi</w:t>
            </w:r>
            <w:r w:rsidR="0043026F" w:rsidRPr="00B9444C">
              <w:rPr>
                <w:rFonts w:ascii="Times New Roman" w:eastAsia="Times New Roman" w:hAnsi="Times New Roman"/>
                <w:color w:val="000000"/>
                <w:sz w:val="26"/>
                <w:szCs w:val="26"/>
                <w:lang w:eastAsia="lv-LV"/>
              </w:rPr>
              <w:t xml:space="preserve">. </w:t>
            </w:r>
          </w:p>
          <w:p w14:paraId="3791ED63" w14:textId="77777777" w:rsidR="00063682" w:rsidRPr="00B9444C" w:rsidRDefault="00942770" w:rsidP="0043026F">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Ievērojot minēto</w:t>
            </w:r>
            <w:r w:rsidR="002D1C56"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 xml:space="preserve"> noteikumu projektā </w:t>
            </w:r>
            <w:r w:rsidR="00E52F12" w:rsidRPr="00B9444C">
              <w:rPr>
                <w:rFonts w:ascii="Times New Roman" w:eastAsia="Times New Roman" w:hAnsi="Times New Roman"/>
                <w:color w:val="000000"/>
                <w:sz w:val="26"/>
                <w:szCs w:val="26"/>
                <w:lang w:eastAsia="lv-LV"/>
              </w:rPr>
              <w:t xml:space="preserve">skaidrots, kā nosaka </w:t>
            </w:r>
            <w:r w:rsidR="002005D9" w:rsidRPr="00B9444C">
              <w:rPr>
                <w:rFonts w:ascii="Times New Roman" w:eastAsia="Times New Roman" w:hAnsi="Times New Roman"/>
                <w:color w:val="000000"/>
                <w:sz w:val="26"/>
                <w:szCs w:val="26"/>
                <w:lang w:eastAsia="lv-LV"/>
              </w:rPr>
              <w:t xml:space="preserve">projekta ietvaros modernizētās </w:t>
            </w:r>
            <w:r w:rsidR="00E52F12" w:rsidRPr="00B9444C">
              <w:rPr>
                <w:rFonts w:ascii="Times New Roman" w:eastAsia="Times New Roman" w:hAnsi="Times New Roman"/>
                <w:color w:val="000000"/>
                <w:sz w:val="26"/>
                <w:szCs w:val="26"/>
                <w:lang w:eastAsia="lv-LV"/>
              </w:rPr>
              <w:t>infrastruktūras amortizācijas periodu (MK noteikumu Nr. 561 35.</w:t>
            </w:r>
            <w:r w:rsidR="00E52F12" w:rsidRPr="00B9444C">
              <w:rPr>
                <w:rFonts w:ascii="Times New Roman" w:eastAsia="Times New Roman" w:hAnsi="Times New Roman"/>
                <w:color w:val="000000"/>
                <w:sz w:val="26"/>
                <w:szCs w:val="26"/>
                <w:vertAlign w:val="superscript"/>
                <w:lang w:eastAsia="lv-LV"/>
              </w:rPr>
              <w:t>3 </w:t>
            </w:r>
            <w:r w:rsidR="00E52F12" w:rsidRPr="00B9444C">
              <w:rPr>
                <w:rFonts w:ascii="Times New Roman" w:eastAsia="Times New Roman" w:hAnsi="Times New Roman"/>
                <w:color w:val="000000"/>
                <w:sz w:val="26"/>
                <w:szCs w:val="26"/>
                <w:lang w:eastAsia="lv-LV"/>
              </w:rPr>
              <w:t>1. un 35.</w:t>
            </w:r>
            <w:r w:rsidR="00E52F12" w:rsidRPr="00B9444C">
              <w:rPr>
                <w:rFonts w:ascii="Times New Roman" w:eastAsia="Times New Roman" w:hAnsi="Times New Roman"/>
                <w:color w:val="000000"/>
                <w:sz w:val="26"/>
                <w:szCs w:val="26"/>
                <w:vertAlign w:val="superscript"/>
                <w:lang w:eastAsia="lv-LV"/>
              </w:rPr>
              <w:t>3 </w:t>
            </w:r>
            <w:r w:rsidR="00E52F12" w:rsidRPr="00B9444C">
              <w:rPr>
                <w:rFonts w:ascii="Times New Roman" w:eastAsia="Times New Roman" w:hAnsi="Times New Roman"/>
                <w:color w:val="000000"/>
                <w:sz w:val="26"/>
                <w:szCs w:val="26"/>
                <w:lang w:eastAsia="lv-LV"/>
              </w:rPr>
              <w:t>2. apakšpunkts).</w:t>
            </w:r>
            <w:r w:rsidR="00957192" w:rsidRPr="00B9444C">
              <w:rPr>
                <w:rFonts w:ascii="Times New Roman" w:eastAsia="Times New Roman" w:hAnsi="Times New Roman"/>
                <w:color w:val="000000"/>
                <w:sz w:val="26"/>
                <w:szCs w:val="26"/>
                <w:lang w:eastAsia="lv-LV"/>
              </w:rPr>
              <w:t xml:space="preserve"> </w:t>
            </w:r>
          </w:p>
          <w:p w14:paraId="744CB4DF" w14:textId="77777777" w:rsidR="00D638D8" w:rsidRPr="00B9444C" w:rsidRDefault="0043026F" w:rsidP="0043026F">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No Eiropas Parlamenta un Padomes 2013. gada 17.</w:t>
            </w:r>
            <w:r w:rsidR="008E4C0F" w:rsidRPr="00B9444C">
              <w:rPr>
                <w:rFonts w:ascii="Times New Roman" w:eastAsia="Times New Roman" w:hAnsi="Times New Roman"/>
                <w:color w:val="000000"/>
                <w:sz w:val="26"/>
                <w:szCs w:val="26"/>
                <w:lang w:eastAsia="lv-LV"/>
              </w:rPr>
              <w:t> </w:t>
            </w:r>
            <w:r w:rsidRPr="00B9444C">
              <w:rPr>
                <w:rFonts w:ascii="Times New Roman" w:eastAsia="Times New Roman" w:hAnsi="Times New Roman"/>
                <w:color w:val="000000"/>
                <w:sz w:val="26"/>
                <w:szCs w:val="26"/>
                <w:lang w:eastAsia="lv-LV"/>
              </w:rPr>
              <w:t xml:space="preserve">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008E4C0F" w:rsidRPr="00B9444C">
              <w:rPr>
                <w:rFonts w:ascii="Times New Roman" w:eastAsia="Times New Roman" w:hAnsi="Times New Roman"/>
                <w:color w:val="000000"/>
                <w:sz w:val="26"/>
                <w:szCs w:val="26"/>
                <w:lang w:eastAsia="lv-LV"/>
              </w:rPr>
              <w:t xml:space="preserve">(turpmāk – Regula Nr. 1303/2013) </w:t>
            </w:r>
            <w:r w:rsidRPr="00B9444C">
              <w:rPr>
                <w:rFonts w:ascii="Times New Roman" w:eastAsia="Times New Roman" w:hAnsi="Times New Roman"/>
                <w:color w:val="000000"/>
                <w:sz w:val="26"/>
                <w:szCs w:val="26"/>
                <w:lang w:eastAsia="lv-LV"/>
              </w:rPr>
              <w:t xml:space="preserve">71. panta 1. un 2. punkta izriet, ka: </w:t>
            </w:r>
          </w:p>
          <w:p w14:paraId="3DC3BAE9" w14:textId="77777777" w:rsidR="002005D9" w:rsidRPr="00B9444C" w:rsidRDefault="0043026F" w:rsidP="0043026F">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a) ar saimniecisku darbību nesaistīta projekta </w:t>
            </w:r>
            <w:proofErr w:type="spellStart"/>
            <w:r w:rsidRPr="00B9444C">
              <w:rPr>
                <w:rFonts w:ascii="Times New Roman" w:eastAsia="Times New Roman" w:hAnsi="Times New Roman"/>
                <w:color w:val="000000"/>
                <w:sz w:val="26"/>
                <w:szCs w:val="26"/>
                <w:lang w:eastAsia="lv-LV"/>
              </w:rPr>
              <w:t>pēcuzraudzību</w:t>
            </w:r>
            <w:proofErr w:type="spellEnd"/>
            <w:r w:rsidRPr="00B9444C">
              <w:rPr>
                <w:rFonts w:ascii="Times New Roman" w:eastAsia="Times New Roman" w:hAnsi="Times New Roman"/>
                <w:color w:val="000000"/>
                <w:sz w:val="26"/>
                <w:szCs w:val="26"/>
                <w:lang w:eastAsia="lv-LV"/>
              </w:rPr>
              <w:t xml:space="preserve"> veic piecu gadu periodā pēc noslēguma maksājuma veikšanas finansējuma saņēmējam; </w:t>
            </w:r>
          </w:p>
          <w:p w14:paraId="18E645B4" w14:textId="57FC235C" w:rsidR="0043026F" w:rsidRPr="00B9444C" w:rsidRDefault="0043026F" w:rsidP="0043026F">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b) ja no Eiropas strukturāliem un investīciju fondiem saņemtais atbalsts ir valsts atbalsts</w:t>
            </w:r>
            <w:r w:rsidR="000767A4" w:rsidRPr="00B9444C">
              <w:rPr>
                <w:rFonts w:ascii="Times New Roman" w:eastAsia="Times New Roman" w:hAnsi="Times New Roman"/>
                <w:color w:val="000000"/>
                <w:sz w:val="26"/>
                <w:szCs w:val="26"/>
                <w:lang w:eastAsia="lv-LV"/>
              </w:rPr>
              <w:t xml:space="preserve"> (komercdarbības atbalsts)</w:t>
            </w:r>
            <w:r w:rsidRPr="00B9444C">
              <w:rPr>
                <w:rFonts w:ascii="Times New Roman" w:eastAsia="Times New Roman" w:hAnsi="Times New Roman"/>
                <w:color w:val="000000"/>
                <w:sz w:val="26"/>
                <w:szCs w:val="26"/>
                <w:lang w:eastAsia="lv-LV"/>
              </w:rPr>
              <w:t xml:space="preserve">, desmit gadu termiņu aizstāj ar termiņu, kas piemērojams saskaņā ar valsts atbalsta noteikumiem. </w:t>
            </w:r>
            <w:r w:rsidRPr="00B9444C">
              <w:rPr>
                <w:rFonts w:ascii="Times New Roman" w:eastAsia="Times New Roman" w:hAnsi="Times New Roman"/>
                <w:color w:val="000000"/>
                <w:sz w:val="26"/>
                <w:szCs w:val="26"/>
                <w:lang w:eastAsia="lv-LV"/>
              </w:rPr>
              <w:lastRenderedPageBreak/>
              <w:t>Ja ierobežotas jomas (papildinošai saimnieciskai) darbībai piešķirtā kapacitāte nepārsniegs 20 procentus no infrastruktūras kopējās kapacitātes, ierobežotas jomas darbība uzskatāma par nesaimnieciska rakstura darbību, vienlaikus (ņemot vērā DG COMP e-</w:t>
            </w:r>
            <w:proofErr w:type="spellStart"/>
            <w:r w:rsidRPr="00B9444C">
              <w:rPr>
                <w:rFonts w:ascii="Times New Roman" w:eastAsia="Times New Roman" w:hAnsi="Times New Roman"/>
                <w:color w:val="000000"/>
                <w:sz w:val="26"/>
                <w:szCs w:val="26"/>
                <w:lang w:eastAsia="lv-LV"/>
              </w:rPr>
              <w:t>State</w:t>
            </w:r>
            <w:proofErr w:type="spellEnd"/>
            <w:r w:rsidRPr="00B9444C">
              <w:rPr>
                <w:rFonts w:ascii="Times New Roman" w:eastAsia="Times New Roman" w:hAnsi="Times New Roman"/>
                <w:color w:val="000000"/>
                <w:sz w:val="26"/>
                <w:szCs w:val="26"/>
                <w:lang w:eastAsia="lv-LV"/>
              </w:rPr>
              <w:t xml:space="preserve"> Aid WIKI sistēmā sniegtos skaidrojumus</w:t>
            </w:r>
            <w:r w:rsidR="005D2E8D" w:rsidRPr="00B9444C">
              <w:rPr>
                <w:rStyle w:val="FootnoteReference"/>
                <w:rFonts w:ascii="Times New Roman" w:eastAsia="Times New Roman" w:hAnsi="Times New Roman"/>
                <w:color w:val="000000"/>
                <w:sz w:val="26"/>
                <w:szCs w:val="26"/>
                <w:lang w:eastAsia="lv-LV"/>
              </w:rPr>
              <w:footnoteReference w:id="5"/>
            </w:r>
            <w:r w:rsidRPr="00B9444C">
              <w:rPr>
                <w:rFonts w:ascii="Times New Roman" w:eastAsia="Times New Roman" w:hAnsi="Times New Roman"/>
                <w:color w:val="000000"/>
                <w:sz w:val="26"/>
                <w:szCs w:val="26"/>
                <w:lang w:eastAsia="lv-LV"/>
              </w:rPr>
              <w:t xml:space="preserve">) ir jānodrošina projektu </w:t>
            </w:r>
            <w:r w:rsidR="00D638D8" w:rsidRPr="00B9444C">
              <w:rPr>
                <w:rFonts w:ascii="Times New Roman" w:eastAsia="Times New Roman" w:hAnsi="Times New Roman"/>
                <w:color w:val="000000"/>
                <w:sz w:val="26"/>
                <w:szCs w:val="26"/>
                <w:lang w:eastAsia="lv-LV"/>
              </w:rPr>
              <w:t xml:space="preserve">ikgadēja </w:t>
            </w:r>
            <w:r w:rsidRPr="00B9444C">
              <w:rPr>
                <w:rFonts w:ascii="Times New Roman" w:eastAsia="Times New Roman" w:hAnsi="Times New Roman"/>
                <w:color w:val="000000"/>
                <w:sz w:val="26"/>
                <w:szCs w:val="26"/>
                <w:lang w:eastAsia="lv-LV"/>
              </w:rPr>
              <w:t xml:space="preserve">uzraudzība, lai pārliecinātos par to, ka </w:t>
            </w:r>
            <w:r w:rsidR="00D37A52" w:rsidRPr="00B9444C">
              <w:rPr>
                <w:rFonts w:ascii="Times New Roman" w:eastAsia="Times New Roman" w:hAnsi="Times New Roman"/>
                <w:color w:val="000000"/>
                <w:sz w:val="26"/>
                <w:szCs w:val="26"/>
                <w:lang w:eastAsia="lv-LV"/>
              </w:rPr>
              <w:t>papildinošas saimnieciskās darbības</w:t>
            </w:r>
            <w:r w:rsidRPr="00B9444C">
              <w:rPr>
                <w:rFonts w:ascii="Times New Roman" w:eastAsia="Times New Roman" w:hAnsi="Times New Roman"/>
                <w:color w:val="000000"/>
                <w:sz w:val="26"/>
                <w:szCs w:val="26"/>
                <w:lang w:eastAsia="lv-LV"/>
              </w:rPr>
              <w:t xml:space="preserve"> procentuālais limits tiek ievērots visā infrastruktūras amortizācijas periodā. </w:t>
            </w:r>
          </w:p>
          <w:p w14:paraId="550CC1B0" w14:textId="36E74DB5" w:rsidR="00CA5D02" w:rsidRPr="00B9444C" w:rsidRDefault="00BF0F1C" w:rsidP="002005D9">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Noteikumu projekts paredz</w:t>
            </w:r>
            <w:r w:rsidR="00CA5D02" w:rsidRPr="00B9444C">
              <w:rPr>
                <w:rFonts w:ascii="Times New Roman" w:eastAsia="Times New Roman" w:hAnsi="Times New Roman"/>
                <w:color w:val="FF0000"/>
                <w:sz w:val="26"/>
                <w:szCs w:val="26"/>
                <w:lang w:eastAsia="lv-LV"/>
              </w:rPr>
              <w:t xml:space="preserve"> </w:t>
            </w:r>
            <w:r w:rsidR="00CA5D02" w:rsidRPr="00B9444C">
              <w:rPr>
                <w:rFonts w:ascii="Times New Roman" w:eastAsia="Times New Roman" w:hAnsi="Times New Roman"/>
                <w:color w:val="000000"/>
                <w:sz w:val="26"/>
                <w:szCs w:val="26"/>
                <w:lang w:eastAsia="lv-LV"/>
              </w:rPr>
              <w:t>aktualizēt atbildīgās iestādes un sadarbības iestādes funkcijas</w:t>
            </w:r>
            <w:r w:rsidR="002005D9" w:rsidRPr="00B9444C">
              <w:rPr>
                <w:rFonts w:ascii="Times New Roman" w:eastAsia="Times New Roman" w:hAnsi="Times New Roman"/>
                <w:color w:val="000000"/>
                <w:sz w:val="26"/>
                <w:szCs w:val="26"/>
                <w:lang w:eastAsia="lv-LV"/>
              </w:rPr>
              <w:t>,</w:t>
            </w:r>
            <w:r w:rsidR="00CA5D02" w:rsidRPr="00B9444C">
              <w:rPr>
                <w:rFonts w:ascii="Times New Roman" w:eastAsia="Times New Roman" w:hAnsi="Times New Roman"/>
                <w:color w:val="000000"/>
                <w:sz w:val="26"/>
                <w:szCs w:val="26"/>
                <w:lang w:eastAsia="lv-LV"/>
              </w:rPr>
              <w:t xml:space="preserve"> projektu uzraudzības period</w:t>
            </w:r>
            <w:r w:rsidRPr="00B9444C">
              <w:rPr>
                <w:rFonts w:ascii="Times New Roman" w:eastAsia="Times New Roman" w:hAnsi="Times New Roman"/>
                <w:color w:val="000000"/>
                <w:sz w:val="26"/>
                <w:szCs w:val="26"/>
                <w:lang w:eastAsia="lv-LV"/>
              </w:rPr>
              <w:t>u</w:t>
            </w:r>
            <w:r w:rsidR="00CA5D02" w:rsidRPr="00B9444C">
              <w:rPr>
                <w:rFonts w:ascii="Times New Roman" w:eastAsia="Times New Roman" w:hAnsi="Times New Roman"/>
                <w:color w:val="000000"/>
                <w:sz w:val="26"/>
                <w:szCs w:val="26"/>
                <w:lang w:eastAsia="lv-LV"/>
              </w:rPr>
              <w:t xml:space="preserve"> </w:t>
            </w:r>
            <w:r w:rsidR="002005D9" w:rsidRPr="00B9444C">
              <w:rPr>
                <w:rFonts w:ascii="Times New Roman" w:eastAsia="Times New Roman" w:hAnsi="Times New Roman"/>
                <w:color w:val="000000"/>
                <w:sz w:val="26"/>
                <w:szCs w:val="26"/>
                <w:lang w:eastAsia="lv-LV"/>
              </w:rPr>
              <w:t>un finansējuma saņēmēja pienākum</w:t>
            </w:r>
            <w:r w:rsidRPr="00B9444C">
              <w:rPr>
                <w:rFonts w:ascii="Times New Roman" w:eastAsia="Times New Roman" w:hAnsi="Times New Roman"/>
                <w:color w:val="000000"/>
                <w:sz w:val="26"/>
                <w:szCs w:val="26"/>
                <w:lang w:eastAsia="lv-LV"/>
              </w:rPr>
              <w:t>us</w:t>
            </w:r>
            <w:r w:rsidR="002005D9" w:rsidRPr="00B9444C">
              <w:rPr>
                <w:rFonts w:ascii="Times New Roman" w:eastAsia="Times New Roman" w:hAnsi="Times New Roman"/>
                <w:color w:val="000000"/>
                <w:sz w:val="26"/>
                <w:szCs w:val="26"/>
                <w:lang w:eastAsia="lv-LV"/>
              </w:rPr>
              <w:t xml:space="preserve"> </w:t>
            </w:r>
            <w:r w:rsidR="00CA5D02" w:rsidRPr="00B9444C">
              <w:rPr>
                <w:rFonts w:ascii="Times New Roman" w:eastAsia="Times New Roman" w:hAnsi="Times New Roman"/>
                <w:color w:val="000000"/>
                <w:sz w:val="26"/>
                <w:szCs w:val="26"/>
                <w:lang w:eastAsia="lv-LV"/>
              </w:rPr>
              <w:t>(</w:t>
            </w:r>
            <w:r w:rsidR="001B0A1F" w:rsidRPr="00B9444C">
              <w:rPr>
                <w:rFonts w:ascii="Times New Roman" w:eastAsia="Times New Roman" w:hAnsi="Times New Roman"/>
                <w:color w:val="000000"/>
                <w:sz w:val="26"/>
                <w:szCs w:val="26"/>
                <w:lang w:eastAsia="lv-LV"/>
              </w:rPr>
              <w:t xml:space="preserve">noteikumu projekta </w:t>
            </w:r>
            <w:r w:rsidR="000B67B7" w:rsidRPr="00B9444C">
              <w:rPr>
                <w:rFonts w:ascii="Times New Roman" w:eastAsia="Times New Roman" w:hAnsi="Times New Roman"/>
                <w:color w:val="000000"/>
                <w:sz w:val="26"/>
                <w:szCs w:val="26"/>
                <w:lang w:eastAsia="lv-LV"/>
              </w:rPr>
              <w:t>2</w:t>
            </w:r>
            <w:r w:rsidR="001B0A1F" w:rsidRPr="00B9444C">
              <w:rPr>
                <w:rFonts w:ascii="Times New Roman" w:eastAsia="Times New Roman" w:hAnsi="Times New Roman"/>
                <w:color w:val="000000"/>
                <w:sz w:val="26"/>
                <w:szCs w:val="26"/>
                <w:lang w:eastAsia="lv-LV"/>
              </w:rPr>
              <w:t xml:space="preserve">. punkts; </w:t>
            </w:r>
            <w:r w:rsidR="00CA5D02" w:rsidRPr="00B9444C">
              <w:rPr>
                <w:rFonts w:ascii="Times New Roman" w:eastAsia="Times New Roman" w:hAnsi="Times New Roman"/>
                <w:color w:val="000000"/>
                <w:sz w:val="26"/>
                <w:szCs w:val="26"/>
                <w:lang w:eastAsia="lv-LV"/>
              </w:rPr>
              <w:t xml:space="preserve">MK noteikumu Nr. </w:t>
            </w:r>
            <w:r w:rsidR="00942770" w:rsidRPr="00B9444C">
              <w:rPr>
                <w:rFonts w:ascii="Times New Roman" w:eastAsia="Times New Roman" w:hAnsi="Times New Roman"/>
                <w:color w:val="000000"/>
                <w:sz w:val="26"/>
                <w:szCs w:val="26"/>
                <w:lang w:eastAsia="lv-LV"/>
              </w:rPr>
              <w:t>56</w:t>
            </w:r>
            <w:r w:rsidR="002005D9" w:rsidRPr="00B9444C">
              <w:rPr>
                <w:rFonts w:ascii="Times New Roman" w:eastAsia="Times New Roman" w:hAnsi="Times New Roman"/>
                <w:color w:val="000000"/>
                <w:sz w:val="26"/>
                <w:szCs w:val="26"/>
                <w:lang w:eastAsia="lv-LV"/>
              </w:rPr>
              <w:t>1</w:t>
            </w:r>
            <w:r w:rsidR="00CA5D02" w:rsidRPr="00B9444C">
              <w:rPr>
                <w:rFonts w:ascii="Times New Roman" w:eastAsia="Times New Roman" w:hAnsi="Times New Roman"/>
                <w:color w:val="000000"/>
                <w:sz w:val="26"/>
                <w:szCs w:val="26"/>
                <w:lang w:eastAsia="lv-LV"/>
              </w:rPr>
              <w:t xml:space="preserve"> </w:t>
            </w:r>
            <w:r w:rsidR="00426F29" w:rsidRPr="00B9444C">
              <w:rPr>
                <w:rFonts w:ascii="Times New Roman" w:eastAsia="Times New Roman" w:hAnsi="Times New Roman"/>
                <w:color w:val="000000"/>
                <w:sz w:val="26"/>
                <w:szCs w:val="26"/>
                <w:lang w:eastAsia="lv-LV"/>
              </w:rPr>
              <w:t>35.</w:t>
            </w:r>
            <w:r w:rsidR="00426F29" w:rsidRPr="00B9444C">
              <w:rPr>
                <w:rFonts w:ascii="Times New Roman" w:eastAsia="Times New Roman" w:hAnsi="Times New Roman"/>
                <w:color w:val="000000"/>
                <w:sz w:val="26"/>
                <w:szCs w:val="26"/>
                <w:vertAlign w:val="superscript"/>
                <w:lang w:eastAsia="lv-LV"/>
              </w:rPr>
              <w:t>2</w:t>
            </w:r>
            <w:r w:rsidR="00426F29" w:rsidRPr="00B9444C">
              <w:rPr>
                <w:rFonts w:ascii="Times New Roman" w:eastAsia="Times New Roman" w:hAnsi="Times New Roman"/>
                <w:color w:val="000000"/>
                <w:sz w:val="26"/>
                <w:szCs w:val="26"/>
                <w:lang w:eastAsia="lv-LV"/>
              </w:rPr>
              <w:t>,</w:t>
            </w:r>
            <w:r w:rsidR="00426F29" w:rsidRPr="00B9444C">
              <w:rPr>
                <w:rFonts w:ascii="Times New Roman" w:eastAsia="Times New Roman" w:hAnsi="Times New Roman"/>
                <w:b/>
                <w:color w:val="000000"/>
                <w:sz w:val="26"/>
                <w:szCs w:val="26"/>
                <w:lang w:eastAsia="lv-LV"/>
              </w:rPr>
              <w:t xml:space="preserve"> </w:t>
            </w:r>
            <w:r w:rsidR="002005D9" w:rsidRPr="00B9444C">
              <w:rPr>
                <w:rFonts w:ascii="Times New Roman" w:eastAsia="Times New Roman" w:hAnsi="Times New Roman"/>
                <w:color w:val="000000"/>
                <w:sz w:val="26"/>
                <w:szCs w:val="26"/>
                <w:lang w:eastAsia="lv-LV"/>
              </w:rPr>
              <w:t>35.</w:t>
            </w:r>
            <w:r w:rsidR="00457D3E" w:rsidRPr="00B9444C">
              <w:rPr>
                <w:rFonts w:ascii="Times New Roman" w:eastAsia="Times New Roman" w:hAnsi="Times New Roman"/>
                <w:color w:val="000000"/>
                <w:sz w:val="26"/>
                <w:szCs w:val="26"/>
                <w:vertAlign w:val="superscript"/>
                <w:lang w:eastAsia="lv-LV"/>
              </w:rPr>
              <w:t>3</w:t>
            </w:r>
            <w:r w:rsidR="002005D9" w:rsidRPr="00B9444C">
              <w:rPr>
                <w:rFonts w:ascii="Times New Roman" w:eastAsia="Times New Roman" w:hAnsi="Times New Roman"/>
                <w:color w:val="000000"/>
                <w:sz w:val="26"/>
                <w:szCs w:val="26"/>
                <w:lang w:eastAsia="lv-LV"/>
              </w:rPr>
              <w:t>,</w:t>
            </w:r>
            <w:r w:rsidR="00CA5D02" w:rsidRPr="00B9444C">
              <w:rPr>
                <w:rFonts w:ascii="Times New Roman" w:eastAsia="Times New Roman" w:hAnsi="Times New Roman"/>
                <w:b/>
                <w:color w:val="000000"/>
                <w:sz w:val="26"/>
                <w:szCs w:val="26"/>
                <w:lang w:eastAsia="lv-LV"/>
              </w:rPr>
              <w:t xml:space="preserve"> </w:t>
            </w:r>
            <w:r w:rsidR="002005D9" w:rsidRPr="00B9444C">
              <w:rPr>
                <w:rFonts w:ascii="Times New Roman" w:eastAsia="Times New Roman" w:hAnsi="Times New Roman"/>
                <w:color w:val="000000"/>
                <w:sz w:val="26"/>
                <w:szCs w:val="26"/>
                <w:lang w:eastAsia="lv-LV"/>
              </w:rPr>
              <w:t>35.</w:t>
            </w:r>
            <w:r w:rsidR="002005D9" w:rsidRPr="00B9444C">
              <w:rPr>
                <w:rFonts w:ascii="Times New Roman" w:eastAsia="Times New Roman" w:hAnsi="Times New Roman"/>
                <w:color w:val="000000"/>
                <w:sz w:val="26"/>
                <w:szCs w:val="26"/>
                <w:vertAlign w:val="superscript"/>
                <w:lang w:eastAsia="lv-LV"/>
              </w:rPr>
              <w:t>4</w:t>
            </w:r>
            <w:r w:rsidR="002005D9" w:rsidRPr="00B9444C">
              <w:rPr>
                <w:rFonts w:ascii="Times New Roman" w:eastAsia="Times New Roman" w:hAnsi="Times New Roman"/>
                <w:color w:val="000000"/>
                <w:sz w:val="26"/>
                <w:szCs w:val="26"/>
                <w:lang w:eastAsia="lv-LV"/>
              </w:rPr>
              <w:t>, 35.</w:t>
            </w:r>
            <w:r w:rsidR="002005D9" w:rsidRPr="00B9444C">
              <w:rPr>
                <w:rFonts w:ascii="Times New Roman" w:eastAsia="Times New Roman" w:hAnsi="Times New Roman"/>
                <w:color w:val="000000"/>
                <w:sz w:val="26"/>
                <w:szCs w:val="26"/>
                <w:vertAlign w:val="superscript"/>
                <w:lang w:eastAsia="lv-LV"/>
              </w:rPr>
              <w:t>5</w:t>
            </w:r>
            <w:r w:rsidR="002005D9" w:rsidRPr="00B9444C">
              <w:rPr>
                <w:rFonts w:ascii="Times New Roman" w:eastAsia="Times New Roman" w:hAnsi="Times New Roman"/>
                <w:color w:val="000000"/>
                <w:sz w:val="26"/>
                <w:szCs w:val="26"/>
                <w:lang w:eastAsia="lv-LV"/>
              </w:rPr>
              <w:t xml:space="preserve"> </w:t>
            </w:r>
            <w:r w:rsidR="00CA5D02" w:rsidRPr="00B9444C">
              <w:rPr>
                <w:rFonts w:ascii="Times New Roman" w:eastAsia="Times New Roman" w:hAnsi="Times New Roman"/>
                <w:color w:val="000000"/>
                <w:sz w:val="26"/>
                <w:szCs w:val="26"/>
                <w:lang w:eastAsia="lv-LV"/>
              </w:rPr>
              <w:t>punkts).</w:t>
            </w:r>
          </w:p>
          <w:p w14:paraId="304D3BF0" w14:textId="77777777" w:rsidR="00623FB8" w:rsidRPr="00B9444C" w:rsidRDefault="006C3BC5" w:rsidP="006C3BC5">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Ar MK noteikumu Nr. 561 grozījumiem paredzēts labuma guvējiem detalizēti skaidrot</w:t>
            </w:r>
            <w:r w:rsidR="00623FB8" w:rsidRPr="00B9444C">
              <w:rPr>
                <w:rFonts w:ascii="Times New Roman" w:eastAsia="Times New Roman" w:hAnsi="Times New Roman"/>
                <w:color w:val="000000"/>
                <w:sz w:val="26"/>
                <w:szCs w:val="26"/>
                <w:lang w:eastAsia="lv-LV"/>
              </w:rPr>
              <w:t>:</w:t>
            </w:r>
          </w:p>
          <w:p w14:paraId="7CFF7533" w14:textId="2F55D17C" w:rsidR="006C3BC5" w:rsidRPr="00B9444C" w:rsidRDefault="00623FB8" w:rsidP="006C3BC5">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w:t>
            </w:r>
            <w:r w:rsidR="006C3BC5" w:rsidRPr="00B9444C">
              <w:rPr>
                <w:rFonts w:ascii="Times New Roman" w:eastAsia="Times New Roman" w:hAnsi="Times New Roman"/>
                <w:color w:val="000000"/>
                <w:sz w:val="26"/>
                <w:szCs w:val="26"/>
                <w:lang w:eastAsia="lv-LV"/>
              </w:rPr>
              <w:t xml:space="preserve"> projekta ietvaros modernizētās infrastruktūras izmantošanas nosacījumus, tai skaitā norādot, ka:</w:t>
            </w:r>
          </w:p>
          <w:p w14:paraId="6F402667" w14:textId="77777777" w:rsidR="006C3BC5" w:rsidRPr="00B9444C" w:rsidRDefault="006C3BC5" w:rsidP="006C3BC5">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 MK noteikumu Nr. 561 35.</w:t>
            </w:r>
            <w:r w:rsidRPr="00B9444C">
              <w:rPr>
                <w:rFonts w:ascii="Times New Roman" w:eastAsia="Times New Roman" w:hAnsi="Times New Roman"/>
                <w:color w:val="000000"/>
                <w:sz w:val="26"/>
                <w:szCs w:val="26"/>
                <w:vertAlign w:val="superscript"/>
                <w:lang w:eastAsia="lv-LV"/>
              </w:rPr>
              <w:t>1</w:t>
            </w:r>
            <w:r w:rsidRPr="00B9444C">
              <w:rPr>
                <w:rFonts w:ascii="Times New Roman" w:eastAsia="Times New Roman" w:hAnsi="Times New Roman"/>
                <w:color w:val="000000"/>
                <w:sz w:val="26"/>
                <w:szCs w:val="26"/>
                <w:lang w:eastAsia="lv-LV"/>
              </w:rPr>
              <w:t xml:space="preserve"> 2.punktā minētajā gadījumā attiecīgās infrastruktūras lietojumu uzrauga visā infrastruktūras amortizācijas periodā kopumā un gadījumā, ja tiek konstatēts pārkāpums, tad nelikumīga atbalsta atgūšana tiks veikta par visu nelikumības periodu;</w:t>
            </w:r>
          </w:p>
          <w:p w14:paraId="0A525BAA" w14:textId="37C66E6D" w:rsidR="00623FB8" w:rsidRPr="00B9444C" w:rsidRDefault="006C3BC5" w:rsidP="006C3BC5">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MK noteikumu Nr. 561 35.</w:t>
            </w:r>
            <w:r w:rsidRPr="00B9444C">
              <w:rPr>
                <w:rFonts w:ascii="Times New Roman" w:eastAsia="Times New Roman" w:hAnsi="Times New Roman"/>
                <w:color w:val="000000"/>
                <w:sz w:val="26"/>
                <w:szCs w:val="26"/>
                <w:vertAlign w:val="superscript"/>
                <w:lang w:eastAsia="lv-LV"/>
              </w:rPr>
              <w:t>1</w:t>
            </w:r>
            <w:r w:rsidRPr="00B9444C">
              <w:rPr>
                <w:rFonts w:ascii="Times New Roman" w:eastAsia="Times New Roman" w:hAnsi="Times New Roman"/>
                <w:color w:val="000000"/>
                <w:sz w:val="26"/>
                <w:szCs w:val="26"/>
                <w:lang w:eastAsia="lv-LV"/>
              </w:rPr>
              <w:t xml:space="preserve"> 3. punktā minētajā gadījumā attiecīgās infrastruktūras lietojumu uzrauga katra amortizācijas perioda gada griezumā un gadījumā, ja tiks konstatēts pārkāpums, tad nelikumīga atbalsta atgūšana tiks veikta par konkrēto gadu</w:t>
            </w:r>
            <w:r w:rsidR="00623FB8" w:rsidRPr="00B9444C">
              <w:rPr>
                <w:rFonts w:ascii="Times New Roman" w:eastAsia="Times New Roman" w:hAnsi="Times New Roman"/>
                <w:color w:val="000000"/>
                <w:sz w:val="26"/>
                <w:szCs w:val="26"/>
                <w:lang w:eastAsia="lv-LV"/>
              </w:rPr>
              <w:t>.</w:t>
            </w:r>
          </w:p>
          <w:p w14:paraId="656F58B9" w14:textId="15D33C2A" w:rsidR="00CA5D02" w:rsidRPr="00B9444C" w:rsidRDefault="00CA5D02" w:rsidP="00CA5D02">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Atbildīgā iestāde, izstrādājot MK noteikumu Nr. 56</w:t>
            </w:r>
            <w:r w:rsidR="002005D9" w:rsidRPr="00B9444C">
              <w:rPr>
                <w:rFonts w:ascii="Times New Roman" w:eastAsia="Times New Roman" w:hAnsi="Times New Roman"/>
                <w:color w:val="000000"/>
                <w:sz w:val="26"/>
                <w:szCs w:val="26"/>
                <w:lang w:eastAsia="lv-LV"/>
              </w:rPr>
              <w:t>1</w:t>
            </w:r>
            <w:r w:rsidRPr="00B9444C">
              <w:rPr>
                <w:rFonts w:ascii="Times New Roman" w:eastAsia="Times New Roman" w:hAnsi="Times New Roman"/>
                <w:color w:val="000000"/>
                <w:sz w:val="26"/>
                <w:szCs w:val="26"/>
                <w:lang w:eastAsia="lv-LV"/>
              </w:rPr>
              <w:t xml:space="preserve"> </w:t>
            </w:r>
            <w:r w:rsidR="002005D9" w:rsidRPr="00B9444C">
              <w:rPr>
                <w:rFonts w:ascii="Times New Roman" w:eastAsia="Times New Roman" w:hAnsi="Times New Roman"/>
                <w:color w:val="000000"/>
                <w:sz w:val="26"/>
                <w:szCs w:val="26"/>
                <w:lang w:eastAsia="lv-LV"/>
              </w:rPr>
              <w:t>35.</w:t>
            </w:r>
            <w:r w:rsidR="002005D9" w:rsidRPr="00B9444C">
              <w:rPr>
                <w:rFonts w:ascii="Times New Roman" w:eastAsia="Times New Roman" w:hAnsi="Times New Roman"/>
                <w:color w:val="000000"/>
                <w:sz w:val="26"/>
                <w:szCs w:val="26"/>
                <w:vertAlign w:val="superscript"/>
                <w:lang w:eastAsia="lv-LV"/>
              </w:rPr>
              <w:t>5</w:t>
            </w:r>
            <w:r w:rsidR="002005D9"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 xml:space="preserve">punktā minēto publiskā finansējuma </w:t>
            </w:r>
            <w:r w:rsidR="00623FB8" w:rsidRPr="00B9444C">
              <w:rPr>
                <w:rFonts w:ascii="Times New Roman" w:eastAsia="Times New Roman" w:hAnsi="Times New Roman"/>
                <w:color w:val="000000"/>
                <w:sz w:val="26"/>
                <w:szCs w:val="26"/>
                <w:lang w:eastAsia="lv-LV"/>
              </w:rPr>
              <w:t xml:space="preserve">uzraudzības un </w:t>
            </w:r>
            <w:r w:rsidRPr="00B9444C">
              <w:rPr>
                <w:rFonts w:ascii="Times New Roman" w:eastAsia="Times New Roman" w:hAnsi="Times New Roman"/>
                <w:color w:val="000000"/>
                <w:sz w:val="26"/>
                <w:szCs w:val="26"/>
                <w:lang w:eastAsia="lv-LV"/>
              </w:rPr>
              <w:t>atgūšanas mehānismu, ņem vērā Konkurences Ģenerāldirektorāta e-</w:t>
            </w:r>
            <w:proofErr w:type="spellStart"/>
            <w:r w:rsidRPr="00B9444C">
              <w:rPr>
                <w:rFonts w:ascii="Times New Roman" w:eastAsia="Times New Roman" w:hAnsi="Times New Roman"/>
                <w:color w:val="000000"/>
                <w:sz w:val="26"/>
                <w:szCs w:val="26"/>
                <w:lang w:eastAsia="lv-LV"/>
              </w:rPr>
              <w:t>State</w:t>
            </w:r>
            <w:proofErr w:type="spellEnd"/>
            <w:r w:rsidRPr="00B9444C">
              <w:rPr>
                <w:rFonts w:ascii="Times New Roman" w:eastAsia="Times New Roman" w:hAnsi="Times New Roman"/>
                <w:color w:val="000000"/>
                <w:sz w:val="26"/>
                <w:szCs w:val="26"/>
                <w:lang w:eastAsia="lv-LV"/>
              </w:rPr>
              <w:t xml:space="preserve"> Aid WIKI sistēmā sniegto</w:t>
            </w:r>
            <w:r w:rsidR="00F7464A" w:rsidRPr="00B9444C">
              <w:rPr>
                <w:rFonts w:ascii="Times New Roman" w:eastAsia="Times New Roman" w:hAnsi="Times New Roman"/>
                <w:color w:val="000000"/>
                <w:sz w:val="26"/>
                <w:szCs w:val="26"/>
                <w:lang w:eastAsia="lv-LV"/>
              </w:rPr>
              <w:t>s</w:t>
            </w:r>
            <w:r w:rsidRPr="00B9444C">
              <w:rPr>
                <w:rFonts w:ascii="Times New Roman" w:eastAsia="Times New Roman" w:hAnsi="Times New Roman"/>
                <w:color w:val="000000"/>
                <w:sz w:val="26"/>
                <w:szCs w:val="26"/>
                <w:lang w:eastAsia="lv-LV"/>
              </w:rPr>
              <w:t xml:space="preserve"> skaidrojumu</w:t>
            </w:r>
            <w:r w:rsidR="00F7464A" w:rsidRPr="00B9444C">
              <w:rPr>
                <w:rFonts w:ascii="Times New Roman" w:eastAsia="Times New Roman" w:hAnsi="Times New Roman"/>
                <w:color w:val="000000"/>
                <w:sz w:val="26"/>
                <w:szCs w:val="26"/>
                <w:lang w:eastAsia="lv-LV"/>
              </w:rPr>
              <w:t>s</w:t>
            </w:r>
            <w:r w:rsidR="006C738E" w:rsidRPr="00B9444C">
              <w:rPr>
                <w:rStyle w:val="FootnoteReference"/>
                <w:rFonts w:ascii="Times New Roman" w:eastAsia="Times New Roman" w:hAnsi="Times New Roman"/>
                <w:color w:val="000000"/>
                <w:sz w:val="26"/>
                <w:szCs w:val="26"/>
                <w:lang w:eastAsia="lv-LV"/>
              </w:rPr>
              <w:footnoteReference w:id="6"/>
            </w:r>
            <w:r w:rsidRPr="00B9444C">
              <w:rPr>
                <w:rFonts w:ascii="Times New Roman" w:eastAsia="Times New Roman" w:hAnsi="Times New Roman"/>
                <w:color w:val="000000"/>
                <w:sz w:val="26"/>
                <w:szCs w:val="26"/>
                <w:lang w:eastAsia="lv-LV"/>
              </w:rPr>
              <w:t xml:space="preserve"> par atgūšanas mehānismu un atgūstamā publiskā finansējuma aprēķināšanas metodiku.</w:t>
            </w:r>
          </w:p>
          <w:p w14:paraId="63B7D7FE" w14:textId="7DBAE876" w:rsidR="00623FB8" w:rsidRPr="00415A9D" w:rsidRDefault="00623FB8" w:rsidP="00372BE0">
            <w:pPr>
              <w:spacing w:before="10" w:after="10" w:line="240" w:lineRule="auto"/>
              <w:ind w:left="101" w:right="102"/>
              <w:jc w:val="both"/>
              <w:rPr>
                <w:rFonts w:ascii="Times New Roman" w:eastAsia="Times New Roman" w:hAnsi="Times New Roman"/>
                <w:color w:val="000000"/>
                <w:sz w:val="26"/>
                <w:szCs w:val="26"/>
                <w:lang w:eastAsia="lv-LV"/>
              </w:rPr>
            </w:pPr>
            <w:r w:rsidRPr="00415A9D">
              <w:rPr>
                <w:rFonts w:ascii="Times New Roman" w:eastAsia="Times New Roman" w:hAnsi="Times New Roman"/>
                <w:color w:val="000000"/>
                <w:sz w:val="26"/>
                <w:szCs w:val="26"/>
                <w:lang w:eastAsia="lv-LV"/>
              </w:rPr>
              <w:t xml:space="preserve">Veicot publiskā finansējuma uzraudzību, </w:t>
            </w:r>
            <w:r w:rsidR="00086CCD" w:rsidRPr="00415A9D">
              <w:rPr>
                <w:rFonts w:ascii="Times New Roman" w:eastAsia="Times New Roman" w:hAnsi="Times New Roman"/>
                <w:color w:val="000000"/>
                <w:sz w:val="26"/>
                <w:szCs w:val="26"/>
                <w:lang w:eastAsia="lv-LV"/>
              </w:rPr>
              <w:t>vērtē katra projekta ietvaros modernizētās infrastruktūras izmantošanu</w:t>
            </w:r>
            <w:r w:rsidR="009C2C80" w:rsidRPr="00415A9D">
              <w:rPr>
                <w:rFonts w:ascii="Times New Roman" w:eastAsia="Times New Roman" w:hAnsi="Times New Roman"/>
                <w:color w:val="000000"/>
                <w:sz w:val="26"/>
                <w:szCs w:val="26"/>
                <w:lang w:eastAsia="lv-LV"/>
              </w:rPr>
              <w:t xml:space="preserve"> visā</w:t>
            </w:r>
            <w:r w:rsidR="000D0E7C" w:rsidRPr="00415A9D">
              <w:rPr>
                <w:rFonts w:ascii="Times New Roman" w:eastAsia="Times New Roman" w:hAnsi="Times New Roman"/>
                <w:color w:val="000000"/>
                <w:sz w:val="26"/>
                <w:szCs w:val="26"/>
                <w:lang w:eastAsia="lv-LV"/>
              </w:rPr>
              <w:t xml:space="preserve"> tās</w:t>
            </w:r>
            <w:r w:rsidR="009C2C80" w:rsidRPr="00415A9D">
              <w:rPr>
                <w:rFonts w:ascii="Times New Roman" w:eastAsia="Times New Roman" w:hAnsi="Times New Roman"/>
                <w:color w:val="000000"/>
                <w:sz w:val="26"/>
                <w:szCs w:val="26"/>
                <w:lang w:eastAsia="lv-LV"/>
              </w:rPr>
              <w:t xml:space="preserve"> amortizācijas periodā</w:t>
            </w:r>
            <w:r w:rsidR="00086CCD" w:rsidRPr="00415A9D">
              <w:rPr>
                <w:rFonts w:ascii="Times New Roman" w:eastAsia="Times New Roman" w:hAnsi="Times New Roman"/>
                <w:color w:val="000000"/>
                <w:sz w:val="26"/>
                <w:szCs w:val="26"/>
                <w:lang w:eastAsia="lv-LV"/>
              </w:rPr>
              <w:t xml:space="preserve">, </w:t>
            </w:r>
            <w:r w:rsidR="00D82B18" w:rsidRPr="00415A9D">
              <w:rPr>
                <w:rFonts w:ascii="Times New Roman" w:eastAsia="Times New Roman" w:hAnsi="Times New Roman"/>
                <w:color w:val="000000"/>
                <w:sz w:val="26"/>
                <w:szCs w:val="26"/>
                <w:lang w:eastAsia="lv-LV"/>
              </w:rPr>
              <w:t xml:space="preserve">secīgi </w:t>
            </w:r>
            <w:r w:rsidR="00086CCD" w:rsidRPr="00415A9D">
              <w:rPr>
                <w:rFonts w:ascii="Times New Roman" w:eastAsia="Times New Roman" w:hAnsi="Times New Roman"/>
                <w:color w:val="000000"/>
                <w:sz w:val="26"/>
                <w:szCs w:val="26"/>
                <w:lang w:eastAsia="lv-LV"/>
              </w:rPr>
              <w:t>analizējot</w:t>
            </w:r>
            <w:r w:rsidRPr="00415A9D">
              <w:rPr>
                <w:rFonts w:ascii="Times New Roman" w:eastAsia="Times New Roman" w:hAnsi="Times New Roman"/>
                <w:color w:val="000000"/>
                <w:sz w:val="26"/>
                <w:szCs w:val="26"/>
                <w:lang w:eastAsia="lv-LV"/>
              </w:rPr>
              <w:t xml:space="preserve"> šādus aspektus:</w:t>
            </w:r>
          </w:p>
          <w:p w14:paraId="7165F9A5" w14:textId="57E169E5" w:rsidR="00BA44F3" w:rsidRPr="00415A9D" w:rsidRDefault="00D82B18" w:rsidP="00372BE0">
            <w:pPr>
              <w:spacing w:before="10" w:after="10" w:line="240" w:lineRule="auto"/>
              <w:ind w:left="102" w:right="102"/>
              <w:jc w:val="both"/>
              <w:rPr>
                <w:rFonts w:ascii="Times New Roman" w:eastAsia="Times New Roman" w:hAnsi="Times New Roman"/>
                <w:color w:val="000000"/>
                <w:sz w:val="26"/>
                <w:szCs w:val="26"/>
                <w:lang w:eastAsia="lv-LV"/>
              </w:rPr>
            </w:pPr>
            <w:r w:rsidRPr="00415A9D">
              <w:rPr>
                <w:rFonts w:ascii="Times New Roman" w:eastAsia="Times New Roman" w:hAnsi="Times New Roman"/>
                <w:color w:val="000000"/>
                <w:sz w:val="26"/>
                <w:szCs w:val="26"/>
                <w:lang w:eastAsia="lv-LV"/>
              </w:rPr>
              <w:t>1. </w:t>
            </w:r>
            <w:r w:rsidR="00F90A23" w:rsidRPr="00415A9D">
              <w:rPr>
                <w:rFonts w:ascii="Times New Roman" w:eastAsia="Times New Roman" w:hAnsi="Times New Roman"/>
                <w:color w:val="000000"/>
                <w:sz w:val="26"/>
                <w:szCs w:val="26"/>
                <w:lang w:eastAsia="lv-LV"/>
              </w:rPr>
              <w:t xml:space="preserve"> projekta ietvaros modernizētās infrastruktūras izmantošanu saistītās pamatdarbības</w:t>
            </w:r>
            <w:r w:rsidR="00623FB8" w:rsidRPr="00415A9D">
              <w:rPr>
                <w:rFonts w:ascii="Times New Roman" w:eastAsia="Times New Roman" w:hAnsi="Times New Roman"/>
                <w:color w:val="000000"/>
                <w:sz w:val="26"/>
                <w:szCs w:val="26"/>
                <w:lang w:eastAsia="lv-LV"/>
              </w:rPr>
              <w:t xml:space="preserve"> </w:t>
            </w:r>
            <w:r w:rsidRPr="00415A9D">
              <w:rPr>
                <w:rFonts w:ascii="Times New Roman" w:eastAsia="Times New Roman" w:hAnsi="Times New Roman"/>
                <w:color w:val="000000"/>
                <w:sz w:val="26"/>
                <w:szCs w:val="26"/>
                <w:lang w:eastAsia="lv-LV"/>
              </w:rPr>
              <w:t>raksturs</w:t>
            </w:r>
            <w:r w:rsidR="00BA44F3" w:rsidRPr="00415A9D">
              <w:rPr>
                <w:rFonts w:ascii="Times New Roman" w:eastAsia="Times New Roman" w:hAnsi="Times New Roman"/>
                <w:color w:val="000000"/>
                <w:sz w:val="26"/>
                <w:szCs w:val="26"/>
                <w:lang w:eastAsia="lv-LV"/>
              </w:rPr>
              <w:t>, tai skaitā:</w:t>
            </w:r>
          </w:p>
          <w:p w14:paraId="22223BB7" w14:textId="77777777" w:rsidR="00BA44F3" w:rsidRPr="00415A9D" w:rsidRDefault="00BA44F3" w:rsidP="00372BE0">
            <w:pPr>
              <w:spacing w:before="10" w:after="10" w:line="240" w:lineRule="auto"/>
              <w:ind w:left="102" w:right="102"/>
              <w:jc w:val="both"/>
              <w:rPr>
                <w:rFonts w:ascii="Times New Roman" w:eastAsia="Times New Roman" w:hAnsi="Times New Roman"/>
                <w:color w:val="000000"/>
                <w:sz w:val="26"/>
                <w:szCs w:val="26"/>
                <w:lang w:eastAsia="lv-LV"/>
              </w:rPr>
            </w:pPr>
            <w:r w:rsidRPr="00415A9D">
              <w:rPr>
                <w:rFonts w:ascii="Times New Roman" w:eastAsia="Times New Roman" w:hAnsi="Times New Roman"/>
                <w:color w:val="000000"/>
                <w:sz w:val="26"/>
                <w:szCs w:val="26"/>
                <w:lang w:eastAsia="lv-LV"/>
              </w:rPr>
              <w:t xml:space="preserve">– </w:t>
            </w:r>
            <w:r w:rsidR="00D82B18" w:rsidRPr="00415A9D">
              <w:rPr>
                <w:rFonts w:ascii="Times New Roman" w:eastAsia="Times New Roman" w:hAnsi="Times New Roman"/>
                <w:color w:val="000000"/>
                <w:sz w:val="26"/>
                <w:szCs w:val="26"/>
                <w:lang w:eastAsia="lv-LV"/>
              </w:rPr>
              <w:t xml:space="preserve">ar saimniecisku darbību </w:t>
            </w:r>
            <w:r w:rsidRPr="00415A9D">
              <w:rPr>
                <w:rFonts w:ascii="Times New Roman" w:eastAsia="Times New Roman" w:hAnsi="Times New Roman"/>
                <w:color w:val="000000"/>
                <w:sz w:val="26"/>
                <w:szCs w:val="26"/>
                <w:lang w:eastAsia="lv-LV"/>
              </w:rPr>
              <w:t>nesaistīta pamatdarbība;</w:t>
            </w:r>
          </w:p>
          <w:p w14:paraId="4CAF1BFA" w14:textId="77777777" w:rsidR="00BA44F3" w:rsidRPr="00415A9D" w:rsidRDefault="00BA44F3" w:rsidP="00372BE0">
            <w:pPr>
              <w:spacing w:before="10" w:after="10" w:line="240" w:lineRule="auto"/>
              <w:ind w:left="102" w:right="102"/>
              <w:jc w:val="both"/>
              <w:rPr>
                <w:rFonts w:ascii="Times New Roman" w:eastAsia="Times New Roman" w:hAnsi="Times New Roman"/>
                <w:color w:val="000000"/>
                <w:sz w:val="26"/>
                <w:szCs w:val="26"/>
                <w:lang w:eastAsia="lv-LV"/>
              </w:rPr>
            </w:pPr>
            <w:r w:rsidRPr="00415A9D">
              <w:rPr>
                <w:rFonts w:ascii="Times New Roman" w:eastAsia="Times New Roman" w:hAnsi="Times New Roman"/>
                <w:color w:val="000000"/>
                <w:sz w:val="26"/>
                <w:szCs w:val="26"/>
                <w:lang w:eastAsia="lv-LV"/>
              </w:rPr>
              <w:t xml:space="preserve">– </w:t>
            </w:r>
            <w:r w:rsidR="00D82B18" w:rsidRPr="00415A9D">
              <w:rPr>
                <w:rFonts w:ascii="Times New Roman" w:eastAsia="Times New Roman" w:hAnsi="Times New Roman"/>
                <w:color w:val="000000"/>
                <w:sz w:val="26"/>
                <w:szCs w:val="26"/>
                <w:lang w:eastAsia="lv-LV"/>
              </w:rPr>
              <w:t xml:space="preserve">ar saimniecisku darbību saistīta pamatdarbība. </w:t>
            </w:r>
          </w:p>
          <w:p w14:paraId="1A28E9AA" w14:textId="22CD4EDF" w:rsidR="00623FB8" w:rsidRDefault="00D82B18" w:rsidP="00372BE0">
            <w:pPr>
              <w:spacing w:before="10" w:after="10" w:line="240" w:lineRule="auto"/>
              <w:ind w:left="101" w:right="102"/>
              <w:jc w:val="both"/>
              <w:rPr>
                <w:rFonts w:ascii="Times New Roman" w:eastAsia="Times New Roman" w:hAnsi="Times New Roman"/>
                <w:color w:val="000000"/>
                <w:sz w:val="26"/>
                <w:szCs w:val="26"/>
                <w:lang w:eastAsia="lv-LV"/>
              </w:rPr>
            </w:pPr>
            <w:r w:rsidRPr="00415A9D">
              <w:rPr>
                <w:rFonts w:ascii="Times New Roman" w:eastAsia="Times New Roman" w:hAnsi="Times New Roman"/>
                <w:color w:val="000000"/>
                <w:sz w:val="26"/>
                <w:szCs w:val="26"/>
                <w:lang w:eastAsia="lv-LV"/>
              </w:rPr>
              <w:t>Ja</w:t>
            </w:r>
            <w:r w:rsidR="00623FB8" w:rsidRPr="00415A9D">
              <w:rPr>
                <w:rFonts w:ascii="Times New Roman" w:eastAsia="Times New Roman" w:hAnsi="Times New Roman"/>
                <w:color w:val="000000"/>
                <w:sz w:val="26"/>
                <w:szCs w:val="26"/>
                <w:lang w:eastAsia="lv-LV"/>
              </w:rPr>
              <w:t xml:space="preserve"> augstākās izglītības </w:t>
            </w:r>
            <w:r w:rsidRPr="00415A9D">
              <w:rPr>
                <w:rFonts w:ascii="Times New Roman" w:eastAsia="Times New Roman" w:hAnsi="Times New Roman"/>
                <w:color w:val="000000"/>
                <w:sz w:val="26"/>
                <w:szCs w:val="26"/>
                <w:lang w:eastAsia="lv-LV"/>
              </w:rPr>
              <w:t>institūcijas</w:t>
            </w:r>
            <w:r w:rsidR="00623FB8" w:rsidRPr="00415A9D">
              <w:rPr>
                <w:rFonts w:ascii="Times New Roman" w:eastAsia="Times New Roman" w:hAnsi="Times New Roman"/>
                <w:color w:val="000000"/>
                <w:sz w:val="26"/>
                <w:szCs w:val="26"/>
                <w:lang w:eastAsia="lv-LV"/>
              </w:rPr>
              <w:t xml:space="preserve"> pamatdarbības ietvaros sniegto izglītības pakalpojumu </w:t>
            </w:r>
            <w:r w:rsidR="000D0E7C" w:rsidRPr="00415A9D">
              <w:rPr>
                <w:rFonts w:ascii="Times New Roman" w:eastAsia="Times New Roman" w:hAnsi="Times New Roman"/>
                <w:color w:val="000000"/>
                <w:sz w:val="26"/>
                <w:szCs w:val="26"/>
                <w:lang w:eastAsia="lv-LV"/>
              </w:rPr>
              <w:t xml:space="preserve">kopējās </w:t>
            </w:r>
            <w:r w:rsidR="00623FB8" w:rsidRPr="00415A9D">
              <w:rPr>
                <w:rFonts w:ascii="Times New Roman" w:eastAsia="Times New Roman" w:hAnsi="Times New Roman"/>
                <w:color w:val="000000"/>
                <w:sz w:val="26"/>
                <w:szCs w:val="26"/>
                <w:lang w:eastAsia="lv-LV"/>
              </w:rPr>
              <w:t>izmaksas vairāk par 50 procentiem sedz no publiskiem finanšu resursiem, tad</w:t>
            </w:r>
            <w:r w:rsidR="00BA44F3" w:rsidRPr="00415A9D">
              <w:rPr>
                <w:rFonts w:ascii="Times New Roman" w:eastAsia="Times New Roman" w:hAnsi="Times New Roman"/>
                <w:color w:val="000000"/>
                <w:sz w:val="26"/>
                <w:szCs w:val="26"/>
                <w:lang w:eastAsia="lv-LV"/>
              </w:rPr>
              <w:t xml:space="preserve"> </w:t>
            </w:r>
            <w:r w:rsidR="00623FB8" w:rsidRPr="00415A9D">
              <w:rPr>
                <w:rFonts w:ascii="Times New Roman" w:eastAsia="Times New Roman" w:hAnsi="Times New Roman"/>
                <w:color w:val="000000"/>
                <w:sz w:val="26"/>
                <w:szCs w:val="26"/>
                <w:lang w:eastAsia="lv-LV"/>
              </w:rPr>
              <w:t xml:space="preserve">augstākās izglītības iestādes </w:t>
            </w:r>
            <w:r w:rsidR="00623FB8" w:rsidRPr="00415A9D">
              <w:rPr>
                <w:rFonts w:ascii="Times New Roman" w:eastAsia="Times New Roman" w:hAnsi="Times New Roman"/>
                <w:color w:val="000000"/>
                <w:sz w:val="26"/>
                <w:szCs w:val="26"/>
                <w:lang w:eastAsia="lv-LV"/>
              </w:rPr>
              <w:lastRenderedPageBreak/>
              <w:t>pamatdarbība</w:t>
            </w:r>
            <w:r w:rsidR="00374375" w:rsidRPr="00415A9D">
              <w:rPr>
                <w:rFonts w:ascii="Times New Roman" w:eastAsia="Times New Roman" w:hAnsi="Times New Roman"/>
                <w:color w:val="000000"/>
                <w:sz w:val="26"/>
                <w:szCs w:val="26"/>
                <w:lang w:eastAsia="lv-LV"/>
              </w:rPr>
              <w:t xml:space="preserve">i </w:t>
            </w:r>
            <w:r w:rsidR="00BA44F3" w:rsidRPr="00415A9D">
              <w:rPr>
                <w:rFonts w:ascii="Times New Roman" w:eastAsia="Times New Roman" w:hAnsi="Times New Roman"/>
                <w:color w:val="000000"/>
                <w:sz w:val="26"/>
                <w:szCs w:val="26"/>
                <w:lang w:eastAsia="lv-LV"/>
              </w:rPr>
              <w:t>nav saimniecisks raksturs un tā</w:t>
            </w:r>
            <w:r w:rsidR="00053BBC" w:rsidRPr="00415A9D">
              <w:rPr>
                <w:rFonts w:ascii="Times New Roman" w:eastAsia="Times New Roman" w:hAnsi="Times New Roman"/>
                <w:color w:val="000000"/>
                <w:sz w:val="26"/>
                <w:szCs w:val="26"/>
                <w:lang w:eastAsia="lv-LV"/>
              </w:rPr>
              <w:t xml:space="preserve"> atbilstoši MK noteikumu Nr. 561 35.</w:t>
            </w:r>
            <w:r w:rsidR="00053BBC" w:rsidRPr="00415A9D">
              <w:rPr>
                <w:rFonts w:ascii="Times New Roman" w:eastAsia="Times New Roman" w:hAnsi="Times New Roman"/>
                <w:color w:val="000000"/>
                <w:sz w:val="26"/>
                <w:szCs w:val="26"/>
                <w:vertAlign w:val="superscript"/>
                <w:lang w:eastAsia="lv-LV"/>
              </w:rPr>
              <w:t>1</w:t>
            </w:r>
            <w:r w:rsidR="00053BBC" w:rsidRPr="00415A9D">
              <w:rPr>
                <w:rFonts w:ascii="Times New Roman" w:eastAsia="Times New Roman" w:hAnsi="Times New Roman"/>
                <w:color w:val="000000"/>
                <w:sz w:val="26"/>
                <w:szCs w:val="26"/>
                <w:lang w:eastAsia="lv-LV"/>
              </w:rPr>
              <w:t xml:space="preserve"> 3. apakšpunkta nosacījumiem </w:t>
            </w:r>
            <w:r w:rsidR="00623FB8" w:rsidRPr="00415A9D">
              <w:rPr>
                <w:rFonts w:ascii="Times New Roman" w:eastAsia="Times New Roman" w:hAnsi="Times New Roman"/>
                <w:color w:val="000000"/>
                <w:sz w:val="26"/>
                <w:szCs w:val="26"/>
                <w:lang w:eastAsia="lv-LV"/>
              </w:rPr>
              <w:t xml:space="preserve">ir tiesīga īstenot papildinošas saimnieciskas darbības, </w:t>
            </w:r>
            <w:r w:rsidR="00053BBC" w:rsidRPr="00415A9D">
              <w:rPr>
                <w:rFonts w:ascii="Times New Roman" w:eastAsia="Times New Roman" w:hAnsi="Times New Roman"/>
                <w:color w:val="000000"/>
                <w:sz w:val="26"/>
                <w:szCs w:val="26"/>
                <w:lang w:eastAsia="lv-LV"/>
              </w:rPr>
              <w:t>tai skaitā</w:t>
            </w:r>
            <w:r w:rsidR="00623FB8" w:rsidRPr="00415A9D">
              <w:rPr>
                <w:rFonts w:ascii="Times New Roman" w:eastAsia="Times New Roman" w:hAnsi="Times New Roman"/>
                <w:color w:val="000000"/>
                <w:sz w:val="26"/>
                <w:szCs w:val="26"/>
                <w:lang w:eastAsia="lv-LV"/>
              </w:rPr>
              <w:t xml:space="preserve"> veikt SAM 8.1.1 ietvaros modernizētās infrastruktūras iznomāšanu</w:t>
            </w:r>
            <w:r w:rsidR="000D0E7C" w:rsidRPr="00415A9D">
              <w:rPr>
                <w:rFonts w:ascii="Times New Roman" w:eastAsia="Times New Roman" w:hAnsi="Times New Roman"/>
                <w:color w:val="000000"/>
                <w:sz w:val="26"/>
                <w:szCs w:val="26"/>
                <w:lang w:eastAsia="lv-LV"/>
              </w:rPr>
              <w:t xml:space="preserve">, </w:t>
            </w:r>
            <w:r w:rsidR="00372BE0" w:rsidRPr="00415A9D">
              <w:rPr>
                <w:rFonts w:ascii="Times New Roman" w:eastAsia="Times New Roman" w:hAnsi="Times New Roman"/>
                <w:color w:val="000000"/>
                <w:sz w:val="26"/>
                <w:szCs w:val="26"/>
                <w:lang w:eastAsia="lv-LV"/>
              </w:rPr>
              <w:t xml:space="preserve">vienlaikus </w:t>
            </w:r>
            <w:r w:rsidR="000D0E7C" w:rsidRPr="00415A9D">
              <w:rPr>
                <w:rFonts w:ascii="Times New Roman" w:eastAsia="Times New Roman" w:hAnsi="Times New Roman"/>
                <w:color w:val="000000"/>
                <w:sz w:val="26"/>
                <w:szCs w:val="26"/>
                <w:lang w:eastAsia="lv-LV"/>
              </w:rPr>
              <w:t xml:space="preserve">ievērojot MK noteikumu Nr. </w:t>
            </w:r>
            <w:r w:rsidR="00372BE0" w:rsidRPr="00415A9D">
              <w:rPr>
                <w:rFonts w:ascii="Times New Roman" w:eastAsia="Times New Roman" w:hAnsi="Times New Roman"/>
                <w:color w:val="000000"/>
                <w:sz w:val="26"/>
                <w:szCs w:val="26"/>
                <w:lang w:eastAsia="lv-LV"/>
              </w:rPr>
              <w:t>561</w:t>
            </w:r>
            <w:r w:rsidR="000D0E7C" w:rsidRPr="00415A9D">
              <w:rPr>
                <w:rFonts w:ascii="Times New Roman" w:eastAsia="Times New Roman" w:hAnsi="Times New Roman"/>
                <w:color w:val="000000"/>
                <w:sz w:val="26"/>
                <w:szCs w:val="26"/>
                <w:lang w:eastAsia="lv-LV"/>
              </w:rPr>
              <w:t xml:space="preserve"> </w:t>
            </w:r>
            <w:r w:rsidR="00494588" w:rsidRPr="00415A9D">
              <w:rPr>
                <w:rFonts w:ascii="Times New Roman" w:eastAsia="Times New Roman" w:hAnsi="Times New Roman"/>
                <w:color w:val="000000"/>
                <w:sz w:val="26"/>
                <w:szCs w:val="26"/>
                <w:lang w:eastAsia="lv-LV"/>
              </w:rPr>
              <w:t>35.</w:t>
            </w:r>
            <w:r w:rsidR="00494588" w:rsidRPr="00415A9D">
              <w:rPr>
                <w:rFonts w:ascii="Times New Roman" w:eastAsia="Times New Roman" w:hAnsi="Times New Roman"/>
                <w:color w:val="000000"/>
                <w:sz w:val="26"/>
                <w:szCs w:val="26"/>
                <w:vertAlign w:val="superscript"/>
                <w:lang w:eastAsia="lv-LV"/>
              </w:rPr>
              <w:t>6</w:t>
            </w:r>
            <w:r w:rsidR="00494588" w:rsidRPr="00415A9D">
              <w:rPr>
                <w:rFonts w:ascii="Times New Roman" w:eastAsia="Times New Roman" w:hAnsi="Times New Roman"/>
                <w:color w:val="000000"/>
                <w:sz w:val="26"/>
                <w:szCs w:val="26"/>
                <w:lang w:eastAsia="lv-LV"/>
              </w:rPr>
              <w:t> </w:t>
            </w:r>
            <w:r w:rsidR="00746C22">
              <w:rPr>
                <w:rFonts w:ascii="Times New Roman" w:eastAsia="Times New Roman" w:hAnsi="Times New Roman"/>
                <w:color w:val="000000"/>
                <w:sz w:val="26"/>
                <w:szCs w:val="26"/>
                <w:lang w:eastAsia="lv-LV"/>
              </w:rPr>
              <w:t>1</w:t>
            </w:r>
            <w:r w:rsidR="00494588" w:rsidRPr="00415A9D">
              <w:rPr>
                <w:rFonts w:ascii="Times New Roman" w:eastAsia="Times New Roman" w:hAnsi="Times New Roman"/>
                <w:color w:val="000000"/>
                <w:sz w:val="26"/>
                <w:szCs w:val="26"/>
                <w:lang w:eastAsia="lv-LV"/>
              </w:rPr>
              <w:t>. </w:t>
            </w:r>
            <w:r w:rsidR="00372BE0" w:rsidRPr="00415A9D">
              <w:rPr>
                <w:rFonts w:ascii="Times New Roman" w:eastAsia="Times New Roman" w:hAnsi="Times New Roman"/>
                <w:color w:val="000000"/>
                <w:sz w:val="26"/>
                <w:szCs w:val="26"/>
                <w:lang w:eastAsia="lv-LV"/>
              </w:rPr>
              <w:t xml:space="preserve"> un 35.</w:t>
            </w:r>
            <w:r w:rsidR="00372BE0" w:rsidRPr="00415A9D">
              <w:rPr>
                <w:rFonts w:ascii="Times New Roman" w:eastAsia="Times New Roman" w:hAnsi="Times New Roman"/>
                <w:color w:val="000000"/>
                <w:sz w:val="26"/>
                <w:szCs w:val="26"/>
                <w:vertAlign w:val="superscript"/>
                <w:lang w:eastAsia="lv-LV"/>
              </w:rPr>
              <w:t>6</w:t>
            </w:r>
            <w:r w:rsidR="00372BE0" w:rsidRPr="00415A9D">
              <w:rPr>
                <w:rFonts w:ascii="Times New Roman" w:eastAsia="Times New Roman" w:hAnsi="Times New Roman"/>
                <w:color w:val="000000"/>
                <w:sz w:val="26"/>
                <w:szCs w:val="26"/>
                <w:lang w:eastAsia="lv-LV"/>
              </w:rPr>
              <w:t> </w:t>
            </w:r>
            <w:r w:rsidR="00746C22">
              <w:rPr>
                <w:rFonts w:ascii="Times New Roman" w:eastAsia="Times New Roman" w:hAnsi="Times New Roman"/>
                <w:color w:val="000000"/>
                <w:sz w:val="26"/>
                <w:szCs w:val="26"/>
                <w:lang w:eastAsia="lv-LV"/>
              </w:rPr>
              <w:t>2</w:t>
            </w:r>
            <w:r w:rsidR="00372BE0" w:rsidRPr="00415A9D">
              <w:rPr>
                <w:rFonts w:ascii="Times New Roman" w:eastAsia="Times New Roman" w:hAnsi="Times New Roman"/>
                <w:color w:val="000000"/>
                <w:sz w:val="26"/>
                <w:szCs w:val="26"/>
                <w:lang w:eastAsia="lv-LV"/>
              </w:rPr>
              <w:t xml:space="preserve">.  </w:t>
            </w:r>
            <w:r w:rsidR="00494588" w:rsidRPr="00415A9D">
              <w:rPr>
                <w:rFonts w:ascii="Times New Roman" w:eastAsia="Times New Roman" w:hAnsi="Times New Roman"/>
                <w:color w:val="000000"/>
                <w:sz w:val="26"/>
                <w:szCs w:val="26"/>
                <w:lang w:eastAsia="lv-LV"/>
              </w:rPr>
              <w:t>apakšpunkt</w:t>
            </w:r>
            <w:r w:rsidR="00372BE0" w:rsidRPr="00415A9D">
              <w:rPr>
                <w:rFonts w:ascii="Times New Roman" w:eastAsia="Times New Roman" w:hAnsi="Times New Roman"/>
                <w:color w:val="000000"/>
                <w:sz w:val="26"/>
                <w:szCs w:val="26"/>
                <w:lang w:eastAsia="lv-LV"/>
              </w:rPr>
              <w:t>a nosacījumus</w:t>
            </w:r>
            <w:r w:rsidR="00BA44F3" w:rsidRPr="00415A9D">
              <w:rPr>
                <w:rFonts w:ascii="Times New Roman" w:eastAsia="Times New Roman" w:hAnsi="Times New Roman"/>
                <w:color w:val="000000"/>
                <w:sz w:val="26"/>
                <w:szCs w:val="26"/>
                <w:lang w:eastAsia="lv-LV"/>
              </w:rPr>
              <w:t>.</w:t>
            </w:r>
          </w:p>
          <w:p w14:paraId="240F52FD" w14:textId="4314611F" w:rsidR="007B1D63" w:rsidRPr="00D56BD1" w:rsidRDefault="007B1D63" w:rsidP="00372BE0">
            <w:pPr>
              <w:spacing w:before="10" w:after="10" w:line="240" w:lineRule="auto"/>
              <w:ind w:left="101" w:right="102"/>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 xml:space="preserve">Sadarbības iestāde veic ikgadēju </w:t>
            </w:r>
            <w:r w:rsidRPr="007B1D63">
              <w:rPr>
                <w:rFonts w:ascii="Times New Roman" w:eastAsia="Times New Roman" w:hAnsi="Times New Roman"/>
                <w:color w:val="000000"/>
                <w:sz w:val="26"/>
                <w:szCs w:val="26"/>
                <w:lang w:eastAsia="lv-LV"/>
              </w:rPr>
              <w:t xml:space="preserve">papildinošās saimnieciskās darbības </w:t>
            </w:r>
            <w:r>
              <w:rPr>
                <w:rFonts w:ascii="Times New Roman" w:eastAsia="Times New Roman" w:hAnsi="Times New Roman"/>
                <w:color w:val="000000"/>
                <w:sz w:val="26"/>
                <w:szCs w:val="26"/>
                <w:lang w:eastAsia="lv-LV"/>
              </w:rPr>
              <w:t>uzraudzību. G</w:t>
            </w:r>
            <w:r w:rsidRPr="007B1D63">
              <w:rPr>
                <w:rFonts w:ascii="Times New Roman" w:eastAsia="Times New Roman" w:hAnsi="Times New Roman"/>
                <w:color w:val="000000"/>
                <w:sz w:val="26"/>
                <w:szCs w:val="26"/>
                <w:lang w:eastAsia="lv-LV"/>
              </w:rPr>
              <w:t xml:space="preserve">adījumā, ja tiek secināts, ka kādā no gadiem ir pārsniegts maksimāli pieļaujamais papildinošu saimniecisku darbību apjoms (20% no infrastruktūras </w:t>
            </w:r>
            <w:r>
              <w:rPr>
                <w:rFonts w:ascii="Times New Roman" w:eastAsia="Times New Roman" w:hAnsi="Times New Roman"/>
                <w:color w:val="000000"/>
                <w:sz w:val="26"/>
                <w:szCs w:val="26"/>
                <w:lang w:eastAsia="lv-LV"/>
              </w:rPr>
              <w:t>kapacitātes</w:t>
            </w:r>
            <w:r w:rsidRPr="007B1D63">
              <w:rPr>
                <w:rFonts w:ascii="Times New Roman" w:eastAsia="Times New Roman" w:hAnsi="Times New Roman"/>
                <w:color w:val="000000"/>
                <w:sz w:val="26"/>
                <w:szCs w:val="26"/>
                <w:lang w:eastAsia="lv-LV"/>
              </w:rPr>
              <w:t xml:space="preserve">), tiek veikta nelikumīga komercdarbības atbalsta atgūšana par konkrēto </w:t>
            </w:r>
            <w:r>
              <w:rPr>
                <w:rFonts w:ascii="Times New Roman" w:eastAsia="Times New Roman" w:hAnsi="Times New Roman"/>
                <w:color w:val="000000"/>
                <w:sz w:val="26"/>
                <w:szCs w:val="26"/>
                <w:lang w:eastAsia="lv-LV"/>
              </w:rPr>
              <w:t xml:space="preserve">gadu atbilstoši MK noteikumu Nr. 561 </w:t>
            </w:r>
            <w:r w:rsidR="00D56BD1" w:rsidRPr="00D56BD1">
              <w:rPr>
                <w:rFonts w:ascii="Times New Roman" w:eastAsia="Times New Roman" w:hAnsi="Times New Roman"/>
                <w:color w:val="000000"/>
                <w:sz w:val="26"/>
                <w:szCs w:val="26"/>
                <w:lang w:eastAsia="lv-LV"/>
              </w:rPr>
              <w:t>35.</w:t>
            </w:r>
            <w:r w:rsidR="00D56BD1" w:rsidRPr="00D56BD1">
              <w:rPr>
                <w:rFonts w:ascii="Times New Roman" w:eastAsia="Times New Roman" w:hAnsi="Times New Roman"/>
                <w:color w:val="000000"/>
                <w:sz w:val="26"/>
                <w:szCs w:val="26"/>
                <w:vertAlign w:val="superscript"/>
                <w:lang w:eastAsia="lv-LV"/>
              </w:rPr>
              <w:t>4</w:t>
            </w:r>
            <w:r w:rsidR="00D56BD1" w:rsidRPr="00D56BD1">
              <w:rPr>
                <w:rFonts w:ascii="Times New Roman" w:eastAsia="Times New Roman" w:hAnsi="Times New Roman"/>
                <w:color w:val="000000"/>
                <w:sz w:val="26"/>
                <w:szCs w:val="26"/>
                <w:lang w:eastAsia="lv-LV"/>
              </w:rPr>
              <w:t> </w:t>
            </w:r>
            <w:r w:rsidR="00D56BD1">
              <w:rPr>
                <w:rFonts w:ascii="Times New Roman" w:eastAsia="Times New Roman" w:hAnsi="Times New Roman"/>
                <w:color w:val="000000"/>
                <w:sz w:val="26"/>
                <w:szCs w:val="26"/>
                <w:lang w:eastAsia="lv-LV"/>
              </w:rPr>
              <w:t>punkta nosacījumiem.</w:t>
            </w:r>
          </w:p>
          <w:p w14:paraId="49726AEC" w14:textId="1DFE0336" w:rsidR="00DF3C09" w:rsidRPr="00D56BD1" w:rsidRDefault="00292930" w:rsidP="00372BE0">
            <w:pPr>
              <w:spacing w:before="10" w:after="10" w:line="240" w:lineRule="auto"/>
              <w:ind w:left="101" w:right="102"/>
              <w:jc w:val="both"/>
              <w:rPr>
                <w:rFonts w:ascii="Times New Roman" w:eastAsia="Times New Roman" w:hAnsi="Times New Roman"/>
                <w:color w:val="000000"/>
                <w:sz w:val="26"/>
                <w:szCs w:val="26"/>
                <w:lang w:eastAsia="lv-LV"/>
              </w:rPr>
            </w:pPr>
            <w:r w:rsidRPr="00D56BD1">
              <w:rPr>
                <w:rFonts w:ascii="Times New Roman" w:eastAsia="Times New Roman" w:hAnsi="Times New Roman"/>
                <w:color w:val="000000"/>
                <w:sz w:val="26"/>
                <w:szCs w:val="26"/>
                <w:lang w:eastAsia="lv-LV"/>
              </w:rPr>
              <w:t>2. </w:t>
            </w:r>
            <w:r w:rsidR="00BA44F3" w:rsidRPr="00D56BD1">
              <w:rPr>
                <w:rFonts w:ascii="Times New Roman" w:eastAsia="Times New Roman" w:hAnsi="Times New Roman"/>
                <w:color w:val="000000"/>
                <w:sz w:val="26"/>
                <w:szCs w:val="26"/>
                <w:lang w:eastAsia="lv-LV"/>
              </w:rPr>
              <w:t>J</w:t>
            </w:r>
            <w:r w:rsidR="00623FB8" w:rsidRPr="00D56BD1">
              <w:rPr>
                <w:rFonts w:ascii="Times New Roman" w:eastAsia="Times New Roman" w:hAnsi="Times New Roman"/>
                <w:color w:val="000000"/>
                <w:sz w:val="26"/>
                <w:szCs w:val="26"/>
                <w:lang w:eastAsia="lv-LV"/>
              </w:rPr>
              <w:t xml:space="preserve">a augstākās izglītības </w:t>
            </w:r>
            <w:r w:rsidR="00BA44F3" w:rsidRPr="00D56BD1">
              <w:rPr>
                <w:rFonts w:ascii="Times New Roman" w:eastAsia="Times New Roman" w:hAnsi="Times New Roman"/>
                <w:color w:val="000000"/>
                <w:sz w:val="26"/>
                <w:szCs w:val="26"/>
                <w:lang w:eastAsia="lv-LV"/>
              </w:rPr>
              <w:t>institūcijas</w:t>
            </w:r>
            <w:r w:rsidR="00623FB8" w:rsidRPr="00D56BD1">
              <w:rPr>
                <w:rFonts w:ascii="Times New Roman" w:eastAsia="Times New Roman" w:hAnsi="Times New Roman"/>
                <w:color w:val="000000"/>
                <w:sz w:val="26"/>
                <w:szCs w:val="26"/>
                <w:lang w:eastAsia="lv-LV"/>
              </w:rPr>
              <w:t xml:space="preserve"> pamatdarbība ir kvalificējama kā saimnieciska, </w:t>
            </w:r>
            <w:r w:rsidR="00BA44F3" w:rsidRPr="00D56BD1">
              <w:rPr>
                <w:rFonts w:ascii="Times New Roman" w:eastAsia="Times New Roman" w:hAnsi="Times New Roman"/>
                <w:color w:val="000000"/>
                <w:sz w:val="26"/>
                <w:szCs w:val="26"/>
                <w:lang w:eastAsia="lv-LV"/>
              </w:rPr>
              <w:t>vērtē institūcijas</w:t>
            </w:r>
            <w:r w:rsidR="00623FB8" w:rsidRPr="00D56BD1">
              <w:rPr>
                <w:rFonts w:ascii="Times New Roman" w:eastAsia="Times New Roman" w:hAnsi="Times New Roman"/>
                <w:color w:val="000000"/>
                <w:sz w:val="26"/>
                <w:szCs w:val="26"/>
                <w:lang w:eastAsia="lv-LV"/>
              </w:rPr>
              <w:t xml:space="preserve"> sniegt</w:t>
            </w:r>
            <w:r w:rsidR="00BA44F3" w:rsidRPr="00D56BD1">
              <w:rPr>
                <w:rFonts w:ascii="Times New Roman" w:eastAsia="Times New Roman" w:hAnsi="Times New Roman"/>
                <w:color w:val="000000"/>
                <w:sz w:val="26"/>
                <w:szCs w:val="26"/>
                <w:lang w:eastAsia="lv-LV"/>
              </w:rPr>
              <w:t>o</w:t>
            </w:r>
            <w:r w:rsidR="00623FB8" w:rsidRPr="00D56BD1">
              <w:rPr>
                <w:rFonts w:ascii="Times New Roman" w:eastAsia="Times New Roman" w:hAnsi="Times New Roman"/>
                <w:color w:val="000000"/>
                <w:sz w:val="26"/>
                <w:szCs w:val="26"/>
                <w:lang w:eastAsia="lv-LV"/>
              </w:rPr>
              <w:t xml:space="preserve"> izglītības pakalpojum</w:t>
            </w:r>
            <w:r w:rsidR="00BA44F3" w:rsidRPr="00D56BD1">
              <w:rPr>
                <w:rFonts w:ascii="Times New Roman" w:eastAsia="Times New Roman" w:hAnsi="Times New Roman"/>
                <w:color w:val="000000"/>
                <w:sz w:val="26"/>
                <w:szCs w:val="26"/>
                <w:lang w:eastAsia="lv-LV"/>
              </w:rPr>
              <w:t>u ietekmi</w:t>
            </w:r>
            <w:r w:rsidR="004C7BD8" w:rsidRPr="00D56BD1">
              <w:rPr>
                <w:rFonts w:ascii="Times New Roman" w:eastAsia="Times New Roman" w:hAnsi="Times New Roman"/>
                <w:color w:val="000000"/>
                <w:sz w:val="26"/>
                <w:szCs w:val="26"/>
                <w:lang w:eastAsia="lv-LV"/>
              </w:rPr>
              <w:t xml:space="preserve"> uz tirdzniecību starp Eiropas Savienības dalībvalstīm</w:t>
            </w:r>
            <w:r w:rsidR="00DF3C09" w:rsidRPr="00D56BD1">
              <w:rPr>
                <w:rFonts w:ascii="Times New Roman" w:eastAsia="Times New Roman" w:hAnsi="Times New Roman"/>
                <w:color w:val="000000"/>
                <w:sz w:val="26"/>
                <w:szCs w:val="26"/>
                <w:lang w:eastAsia="lv-LV"/>
              </w:rPr>
              <w:t>, ņemot vērā ārvalsts un vietējo izglītojamo īpatsvaru, augstskolas vietu pasaules augstskolu reitingos un valodu, kurā izglītojamie iegūst akadēmisko grādu vai profesionālo kvalifikāciju.</w:t>
            </w:r>
            <w:r w:rsidR="00623FB8" w:rsidRPr="00D56BD1">
              <w:rPr>
                <w:rFonts w:ascii="Times New Roman" w:eastAsia="Times New Roman" w:hAnsi="Times New Roman"/>
                <w:color w:val="000000"/>
                <w:sz w:val="26"/>
                <w:szCs w:val="26"/>
                <w:lang w:eastAsia="lv-LV"/>
              </w:rPr>
              <w:t xml:space="preserve"> </w:t>
            </w:r>
            <w:r w:rsidR="00DF3C09" w:rsidRPr="00D56BD1">
              <w:rPr>
                <w:rFonts w:ascii="Times New Roman" w:eastAsia="Times New Roman" w:hAnsi="Times New Roman"/>
                <w:color w:val="000000"/>
                <w:sz w:val="26"/>
                <w:szCs w:val="26"/>
                <w:lang w:eastAsia="lv-LV"/>
              </w:rPr>
              <w:t xml:space="preserve">Ja </w:t>
            </w:r>
            <w:r w:rsidR="00494588" w:rsidRPr="00D56BD1">
              <w:rPr>
                <w:rFonts w:ascii="Times New Roman" w:eastAsia="Times New Roman" w:hAnsi="Times New Roman"/>
                <w:color w:val="000000"/>
                <w:sz w:val="26"/>
                <w:szCs w:val="26"/>
                <w:lang w:eastAsia="lv-LV"/>
              </w:rPr>
              <w:t xml:space="preserve">konstatē, ka </w:t>
            </w:r>
            <w:r w:rsidR="00DF3C09" w:rsidRPr="00D56BD1">
              <w:rPr>
                <w:rFonts w:ascii="Times New Roman" w:eastAsia="Times New Roman" w:hAnsi="Times New Roman"/>
                <w:color w:val="000000"/>
                <w:sz w:val="26"/>
                <w:szCs w:val="26"/>
                <w:lang w:eastAsia="lv-LV"/>
              </w:rPr>
              <w:t>izglītības institūcijas sniegtie izglītības pakalpojumi nav uzskatāmi par vietējiem pakalpojumiem un tie</w:t>
            </w:r>
            <w:r w:rsidR="00623FB8" w:rsidRPr="00D56BD1">
              <w:rPr>
                <w:rFonts w:ascii="Times New Roman" w:eastAsia="Times New Roman" w:hAnsi="Times New Roman"/>
                <w:color w:val="000000"/>
                <w:sz w:val="26"/>
                <w:szCs w:val="26"/>
                <w:lang w:eastAsia="lv-LV"/>
              </w:rPr>
              <w:t xml:space="preserve"> ietekmē tirdzniecību starp Eiropas Savienības dalībvalstīm</w:t>
            </w:r>
            <w:r w:rsidR="00DF3C09" w:rsidRPr="00D56BD1">
              <w:rPr>
                <w:rFonts w:ascii="Times New Roman" w:eastAsia="Times New Roman" w:hAnsi="Times New Roman"/>
                <w:color w:val="000000"/>
                <w:sz w:val="26"/>
                <w:szCs w:val="26"/>
                <w:lang w:eastAsia="lv-LV"/>
              </w:rPr>
              <w:t>, sadarbības iestāde piemēro publiskā finansējuma atgūšanas mehānismu par visu neatbilstības periodu</w:t>
            </w:r>
            <w:r w:rsidR="009C2C80" w:rsidRPr="00D56BD1">
              <w:rPr>
                <w:rFonts w:ascii="Times New Roman" w:eastAsia="Times New Roman" w:hAnsi="Times New Roman"/>
                <w:color w:val="000000"/>
                <w:sz w:val="26"/>
                <w:szCs w:val="26"/>
                <w:lang w:eastAsia="lv-LV"/>
              </w:rPr>
              <w:t xml:space="preserve"> (MK noteikumu Nr. 561 35.</w:t>
            </w:r>
            <w:r w:rsidR="009C2C80" w:rsidRPr="00D56BD1">
              <w:rPr>
                <w:rFonts w:ascii="Times New Roman" w:eastAsia="Times New Roman" w:hAnsi="Times New Roman"/>
                <w:color w:val="000000"/>
                <w:sz w:val="26"/>
                <w:szCs w:val="26"/>
                <w:vertAlign w:val="superscript"/>
                <w:lang w:eastAsia="lv-LV"/>
              </w:rPr>
              <w:t>4</w:t>
            </w:r>
            <w:r w:rsidR="009C2C80" w:rsidRPr="00D56BD1">
              <w:rPr>
                <w:rFonts w:ascii="Times New Roman" w:eastAsia="Times New Roman" w:hAnsi="Times New Roman"/>
                <w:color w:val="000000"/>
                <w:sz w:val="26"/>
                <w:szCs w:val="26"/>
                <w:lang w:eastAsia="lv-LV"/>
              </w:rPr>
              <w:t> punkts)</w:t>
            </w:r>
            <w:r w:rsidR="00623FB8" w:rsidRPr="00D56BD1">
              <w:rPr>
                <w:rFonts w:ascii="Times New Roman" w:eastAsia="Times New Roman" w:hAnsi="Times New Roman"/>
                <w:color w:val="000000"/>
                <w:sz w:val="26"/>
                <w:szCs w:val="26"/>
                <w:lang w:eastAsia="lv-LV"/>
              </w:rPr>
              <w:t xml:space="preserve">. </w:t>
            </w:r>
          </w:p>
          <w:p w14:paraId="11AB3031" w14:textId="36A9200E" w:rsidR="00623FB8" w:rsidRDefault="00DF3C09" w:rsidP="00623FB8">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G</w:t>
            </w:r>
            <w:r w:rsidR="00623FB8" w:rsidRPr="00B9444C">
              <w:rPr>
                <w:rFonts w:ascii="Times New Roman" w:eastAsia="Times New Roman" w:hAnsi="Times New Roman"/>
                <w:color w:val="000000"/>
                <w:sz w:val="26"/>
                <w:szCs w:val="26"/>
                <w:lang w:eastAsia="lv-LV"/>
              </w:rPr>
              <w:t xml:space="preserve">adījumā, </w:t>
            </w:r>
            <w:r w:rsidRPr="00B9444C">
              <w:rPr>
                <w:rFonts w:ascii="Times New Roman" w:eastAsia="Times New Roman" w:hAnsi="Times New Roman"/>
                <w:color w:val="000000"/>
                <w:sz w:val="26"/>
                <w:szCs w:val="26"/>
                <w:lang w:eastAsia="lv-LV"/>
              </w:rPr>
              <w:t>ja</w:t>
            </w:r>
            <w:r w:rsidR="00623FB8" w:rsidRPr="00B9444C">
              <w:rPr>
                <w:rFonts w:ascii="Times New Roman" w:eastAsia="Times New Roman" w:hAnsi="Times New Roman"/>
                <w:color w:val="000000"/>
                <w:sz w:val="26"/>
                <w:szCs w:val="26"/>
                <w:lang w:eastAsia="lv-LV"/>
              </w:rPr>
              <w:t xml:space="preserve"> augstākās izglītības </w:t>
            </w:r>
            <w:r w:rsidRPr="00B9444C">
              <w:rPr>
                <w:rFonts w:ascii="Times New Roman" w:eastAsia="Times New Roman" w:hAnsi="Times New Roman"/>
                <w:color w:val="000000"/>
                <w:sz w:val="26"/>
                <w:szCs w:val="26"/>
                <w:lang w:eastAsia="lv-LV"/>
              </w:rPr>
              <w:t>institūcijas</w:t>
            </w:r>
            <w:r w:rsidR="00623FB8" w:rsidRPr="00B9444C">
              <w:rPr>
                <w:rFonts w:ascii="Times New Roman" w:eastAsia="Times New Roman" w:hAnsi="Times New Roman"/>
                <w:color w:val="000000"/>
                <w:sz w:val="26"/>
                <w:szCs w:val="26"/>
                <w:lang w:eastAsia="lv-LV"/>
              </w:rPr>
              <w:t xml:space="preserve"> pamatdarbība </w:t>
            </w:r>
            <w:r w:rsidR="00374375" w:rsidRPr="00B9444C">
              <w:rPr>
                <w:rFonts w:ascii="Times New Roman" w:eastAsia="Times New Roman" w:hAnsi="Times New Roman"/>
                <w:color w:val="000000"/>
                <w:sz w:val="26"/>
                <w:szCs w:val="26"/>
                <w:lang w:eastAsia="lv-LV"/>
              </w:rPr>
              <w:t>kvalificējama kā</w:t>
            </w:r>
            <w:r w:rsidR="00623FB8" w:rsidRPr="00B9444C">
              <w:rPr>
                <w:rFonts w:ascii="Times New Roman" w:eastAsia="Times New Roman" w:hAnsi="Times New Roman"/>
                <w:color w:val="000000"/>
                <w:sz w:val="26"/>
                <w:szCs w:val="26"/>
                <w:lang w:eastAsia="lv-LV"/>
              </w:rPr>
              <w:t xml:space="preserve"> saimnieciska</w:t>
            </w:r>
            <w:r w:rsidRPr="00B9444C">
              <w:rPr>
                <w:rFonts w:ascii="Times New Roman" w:eastAsia="Times New Roman" w:hAnsi="Times New Roman"/>
                <w:color w:val="000000"/>
                <w:sz w:val="26"/>
                <w:szCs w:val="26"/>
                <w:lang w:eastAsia="lv-LV"/>
              </w:rPr>
              <w:t xml:space="preserve"> </w:t>
            </w:r>
            <w:r w:rsidR="00374375" w:rsidRPr="00B9444C">
              <w:rPr>
                <w:rFonts w:ascii="Times New Roman" w:eastAsia="Times New Roman" w:hAnsi="Times New Roman"/>
                <w:color w:val="000000"/>
                <w:sz w:val="26"/>
                <w:szCs w:val="26"/>
                <w:lang w:eastAsia="lv-LV"/>
              </w:rPr>
              <w:t xml:space="preserve">pamatdarbība </w:t>
            </w:r>
            <w:r w:rsidRPr="00B9444C">
              <w:rPr>
                <w:rFonts w:ascii="Times New Roman" w:eastAsia="Times New Roman" w:hAnsi="Times New Roman"/>
                <w:color w:val="000000"/>
                <w:sz w:val="26"/>
                <w:szCs w:val="26"/>
                <w:lang w:eastAsia="lv-LV"/>
              </w:rPr>
              <w:t xml:space="preserve">(arī tad, ja </w:t>
            </w:r>
            <w:r w:rsidR="00623FB8" w:rsidRPr="00B9444C">
              <w:rPr>
                <w:rFonts w:ascii="Times New Roman" w:eastAsia="Times New Roman" w:hAnsi="Times New Roman"/>
                <w:color w:val="000000"/>
                <w:sz w:val="26"/>
                <w:szCs w:val="26"/>
                <w:lang w:eastAsia="lv-LV"/>
              </w:rPr>
              <w:t>tās sniegt</w:t>
            </w:r>
            <w:r w:rsidRPr="00B9444C">
              <w:rPr>
                <w:rFonts w:ascii="Times New Roman" w:eastAsia="Times New Roman" w:hAnsi="Times New Roman"/>
                <w:color w:val="000000"/>
                <w:sz w:val="26"/>
                <w:szCs w:val="26"/>
                <w:lang w:eastAsia="lv-LV"/>
              </w:rPr>
              <w:t>ajiem</w:t>
            </w:r>
            <w:r w:rsidR="00623FB8" w:rsidRPr="00B9444C">
              <w:rPr>
                <w:rFonts w:ascii="Times New Roman" w:eastAsia="Times New Roman" w:hAnsi="Times New Roman"/>
                <w:color w:val="000000"/>
                <w:sz w:val="26"/>
                <w:szCs w:val="26"/>
                <w:lang w:eastAsia="lv-LV"/>
              </w:rPr>
              <w:t xml:space="preserve"> izglītības pakalpojumi</w:t>
            </w:r>
            <w:r w:rsidRPr="00B9444C">
              <w:rPr>
                <w:rFonts w:ascii="Times New Roman" w:eastAsia="Times New Roman" w:hAnsi="Times New Roman"/>
                <w:color w:val="000000"/>
                <w:sz w:val="26"/>
                <w:szCs w:val="26"/>
                <w:lang w:eastAsia="lv-LV"/>
              </w:rPr>
              <w:t>em</w:t>
            </w:r>
            <w:r w:rsidR="00623FB8" w:rsidRPr="00B9444C">
              <w:rPr>
                <w:rFonts w:ascii="Times New Roman" w:eastAsia="Times New Roman" w:hAnsi="Times New Roman"/>
                <w:color w:val="000000"/>
                <w:sz w:val="26"/>
                <w:szCs w:val="26"/>
                <w:lang w:eastAsia="lv-LV"/>
              </w:rPr>
              <w:t xml:space="preserve"> ir vietēj</w:t>
            </w:r>
            <w:r w:rsidRPr="00B9444C">
              <w:rPr>
                <w:rFonts w:ascii="Times New Roman" w:eastAsia="Times New Roman" w:hAnsi="Times New Roman"/>
                <w:color w:val="000000"/>
                <w:sz w:val="26"/>
                <w:szCs w:val="26"/>
                <w:lang w:eastAsia="lv-LV"/>
              </w:rPr>
              <w:t>s</w:t>
            </w:r>
            <w:r w:rsidR="00623FB8" w:rsidRPr="00B9444C">
              <w:rPr>
                <w:rFonts w:ascii="Times New Roman" w:eastAsia="Times New Roman" w:hAnsi="Times New Roman"/>
                <w:color w:val="000000"/>
                <w:sz w:val="26"/>
                <w:szCs w:val="26"/>
                <w:lang w:eastAsia="lv-LV"/>
              </w:rPr>
              <w:t xml:space="preserve"> rakstur</w:t>
            </w:r>
            <w:r w:rsidRPr="00B9444C">
              <w:rPr>
                <w:rFonts w:ascii="Times New Roman" w:eastAsia="Times New Roman" w:hAnsi="Times New Roman"/>
                <w:color w:val="000000"/>
                <w:sz w:val="26"/>
                <w:szCs w:val="26"/>
                <w:lang w:eastAsia="lv-LV"/>
              </w:rPr>
              <w:t>s</w:t>
            </w:r>
            <w:r w:rsidR="00374375" w:rsidRPr="00B9444C">
              <w:rPr>
                <w:rFonts w:ascii="Times New Roman" w:eastAsia="Times New Roman" w:hAnsi="Times New Roman"/>
                <w:color w:val="000000"/>
                <w:sz w:val="26"/>
                <w:szCs w:val="26"/>
                <w:lang w:eastAsia="lv-LV"/>
              </w:rPr>
              <w:t>)</w:t>
            </w:r>
            <w:r w:rsidR="00623FB8" w:rsidRPr="00B9444C">
              <w:rPr>
                <w:rFonts w:ascii="Times New Roman" w:eastAsia="Times New Roman" w:hAnsi="Times New Roman"/>
                <w:color w:val="000000"/>
                <w:sz w:val="26"/>
                <w:szCs w:val="26"/>
                <w:lang w:eastAsia="lv-LV"/>
              </w:rPr>
              <w:t xml:space="preserve">, </w:t>
            </w:r>
            <w:r w:rsidR="00002F33" w:rsidRPr="00B9444C">
              <w:rPr>
                <w:rFonts w:ascii="Times New Roman" w:eastAsia="Times New Roman" w:hAnsi="Times New Roman"/>
                <w:color w:val="000000"/>
                <w:sz w:val="26"/>
                <w:szCs w:val="26"/>
                <w:lang w:eastAsia="lv-LV"/>
              </w:rPr>
              <w:t xml:space="preserve">tā nav </w:t>
            </w:r>
            <w:r w:rsidR="00623FB8" w:rsidRPr="00B9444C">
              <w:rPr>
                <w:rFonts w:ascii="Times New Roman" w:eastAsia="Times New Roman" w:hAnsi="Times New Roman"/>
                <w:color w:val="000000"/>
                <w:sz w:val="26"/>
                <w:szCs w:val="26"/>
                <w:lang w:eastAsia="lv-LV"/>
              </w:rPr>
              <w:t>tiesīga iznomāt SAM 8.1.1. ietvaros modernizēto infrastruktūru</w:t>
            </w:r>
            <w:r w:rsidR="00002F33" w:rsidRPr="00B9444C">
              <w:rPr>
                <w:rFonts w:ascii="Times New Roman" w:eastAsia="Times New Roman" w:hAnsi="Times New Roman"/>
                <w:color w:val="000000"/>
                <w:sz w:val="26"/>
                <w:szCs w:val="26"/>
                <w:lang w:eastAsia="lv-LV"/>
              </w:rPr>
              <w:t xml:space="preserve">. </w:t>
            </w:r>
          </w:p>
          <w:p w14:paraId="7BAB9E99" w14:textId="77777777" w:rsidR="00D638D8" w:rsidRPr="00B9444C" w:rsidRDefault="00D638D8" w:rsidP="0043026F">
            <w:pPr>
              <w:spacing w:before="10" w:line="240" w:lineRule="auto"/>
              <w:ind w:left="101" w:right="102"/>
              <w:jc w:val="both"/>
              <w:rPr>
                <w:rFonts w:ascii="Times New Roman" w:eastAsia="Times New Roman" w:hAnsi="Times New Roman"/>
                <w:b/>
                <w:color w:val="000000"/>
                <w:sz w:val="26"/>
                <w:szCs w:val="26"/>
                <w:lang w:eastAsia="lv-LV"/>
              </w:rPr>
            </w:pPr>
            <w:r w:rsidRPr="00B9444C">
              <w:rPr>
                <w:rFonts w:ascii="Times New Roman" w:eastAsia="Times New Roman" w:hAnsi="Times New Roman"/>
                <w:b/>
                <w:color w:val="000000"/>
                <w:sz w:val="26"/>
                <w:szCs w:val="26"/>
                <w:lang w:eastAsia="lv-LV"/>
              </w:rPr>
              <w:t xml:space="preserve">III. Kārtība, kādā </w:t>
            </w:r>
            <w:r w:rsidR="002005D9" w:rsidRPr="00B9444C">
              <w:rPr>
                <w:rFonts w:ascii="Times New Roman" w:eastAsia="Times New Roman" w:hAnsi="Times New Roman"/>
                <w:b/>
                <w:color w:val="000000"/>
                <w:sz w:val="26"/>
                <w:szCs w:val="26"/>
                <w:lang w:eastAsia="lv-LV"/>
              </w:rPr>
              <w:t>finansējuma saņēmējs</w:t>
            </w:r>
            <w:r w:rsidRPr="00B9444C">
              <w:rPr>
                <w:rFonts w:ascii="Times New Roman" w:eastAsia="Times New Roman" w:hAnsi="Times New Roman"/>
                <w:b/>
                <w:color w:val="000000"/>
                <w:sz w:val="26"/>
                <w:szCs w:val="26"/>
                <w:lang w:eastAsia="lv-LV"/>
              </w:rPr>
              <w:t xml:space="preserve"> </w:t>
            </w:r>
            <w:r w:rsidR="00625405" w:rsidRPr="00B9444C">
              <w:rPr>
                <w:rFonts w:ascii="Times New Roman" w:eastAsia="Times New Roman" w:hAnsi="Times New Roman"/>
                <w:b/>
                <w:color w:val="000000"/>
                <w:sz w:val="26"/>
                <w:szCs w:val="26"/>
                <w:lang w:eastAsia="lv-LV"/>
              </w:rPr>
              <w:t xml:space="preserve">veic saimniecisko darbību kontroli un </w:t>
            </w:r>
            <w:r w:rsidRPr="00B9444C">
              <w:rPr>
                <w:rFonts w:ascii="Times New Roman" w:eastAsia="Times New Roman" w:hAnsi="Times New Roman"/>
                <w:b/>
                <w:color w:val="000000"/>
                <w:sz w:val="26"/>
                <w:szCs w:val="26"/>
                <w:lang w:eastAsia="lv-LV"/>
              </w:rPr>
              <w:t>sniedz pakalpojumus</w:t>
            </w:r>
          </w:p>
          <w:p w14:paraId="01F05B48" w14:textId="77777777" w:rsidR="004E2004" w:rsidRPr="00B9444C" w:rsidRDefault="00625405" w:rsidP="00676B31">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1. </w:t>
            </w:r>
            <w:r w:rsidR="004E2004" w:rsidRPr="00B9444C">
              <w:rPr>
                <w:rFonts w:ascii="Times New Roman" w:eastAsia="Times New Roman" w:hAnsi="Times New Roman"/>
                <w:color w:val="000000"/>
                <w:sz w:val="26"/>
                <w:szCs w:val="26"/>
                <w:lang w:eastAsia="lv-LV"/>
              </w:rPr>
              <w:t xml:space="preserve">Esošais MK noteikumu Nr. </w:t>
            </w:r>
            <w:r w:rsidR="00D638D8" w:rsidRPr="00B9444C">
              <w:rPr>
                <w:rFonts w:ascii="Times New Roman" w:eastAsia="Times New Roman" w:hAnsi="Times New Roman"/>
                <w:color w:val="000000"/>
                <w:sz w:val="26"/>
                <w:szCs w:val="26"/>
                <w:lang w:eastAsia="lv-LV"/>
              </w:rPr>
              <w:t>56</w:t>
            </w:r>
            <w:r w:rsidR="002005D9" w:rsidRPr="00B9444C">
              <w:rPr>
                <w:rFonts w:ascii="Times New Roman" w:eastAsia="Times New Roman" w:hAnsi="Times New Roman"/>
                <w:color w:val="000000"/>
                <w:sz w:val="26"/>
                <w:szCs w:val="26"/>
                <w:lang w:eastAsia="lv-LV"/>
              </w:rPr>
              <w:t>1</w:t>
            </w:r>
            <w:r w:rsidR="004E2004" w:rsidRPr="00B9444C">
              <w:rPr>
                <w:rFonts w:ascii="Times New Roman" w:eastAsia="Times New Roman" w:hAnsi="Times New Roman"/>
                <w:color w:val="000000"/>
                <w:sz w:val="26"/>
                <w:szCs w:val="26"/>
                <w:lang w:eastAsia="lv-LV"/>
              </w:rPr>
              <w:t xml:space="preserve"> regulējums</w:t>
            </w:r>
            <w:r w:rsidR="00D638D8" w:rsidRPr="00B9444C">
              <w:rPr>
                <w:rFonts w:ascii="Times New Roman" w:eastAsia="Times New Roman" w:hAnsi="Times New Roman"/>
                <w:color w:val="000000"/>
                <w:sz w:val="26"/>
                <w:szCs w:val="26"/>
                <w:lang w:eastAsia="lv-LV"/>
              </w:rPr>
              <w:t xml:space="preserve"> </w:t>
            </w:r>
            <w:r w:rsidR="00C862F5" w:rsidRPr="00B9444C">
              <w:rPr>
                <w:rFonts w:ascii="Times New Roman" w:eastAsia="Times New Roman" w:hAnsi="Times New Roman"/>
                <w:color w:val="000000"/>
                <w:sz w:val="26"/>
                <w:szCs w:val="26"/>
                <w:lang w:eastAsia="lv-LV"/>
              </w:rPr>
              <w:t xml:space="preserve">nenosaka kārtību, kādā nodrošina piekļuvi projekta ietvaros </w:t>
            </w:r>
            <w:r w:rsidR="002005D9" w:rsidRPr="00B9444C">
              <w:rPr>
                <w:rFonts w:ascii="Times New Roman" w:eastAsia="Times New Roman" w:hAnsi="Times New Roman"/>
                <w:color w:val="000000"/>
                <w:sz w:val="26"/>
                <w:szCs w:val="26"/>
                <w:lang w:eastAsia="lv-LV"/>
              </w:rPr>
              <w:t>modernizētai</w:t>
            </w:r>
            <w:r w:rsidR="00C862F5" w:rsidRPr="00B9444C">
              <w:rPr>
                <w:rFonts w:ascii="Times New Roman" w:eastAsia="Times New Roman" w:hAnsi="Times New Roman"/>
                <w:color w:val="000000"/>
                <w:sz w:val="26"/>
                <w:szCs w:val="26"/>
                <w:lang w:eastAsia="lv-LV"/>
              </w:rPr>
              <w:t xml:space="preserve"> infrastruktūrai</w:t>
            </w:r>
            <w:r w:rsidR="004E2004" w:rsidRPr="00B9444C">
              <w:rPr>
                <w:rFonts w:ascii="Times New Roman" w:eastAsia="Times New Roman" w:hAnsi="Times New Roman"/>
                <w:color w:val="000000"/>
                <w:sz w:val="26"/>
                <w:szCs w:val="26"/>
                <w:lang w:eastAsia="lv-LV"/>
              </w:rPr>
              <w:t>.</w:t>
            </w:r>
          </w:p>
          <w:p w14:paraId="7CEA8AD5" w14:textId="77777777" w:rsidR="00C27286" w:rsidRPr="00B9444C" w:rsidRDefault="00676B31" w:rsidP="00C27286">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Ievērojot minēto,</w:t>
            </w:r>
            <w:r w:rsidR="00C27286" w:rsidRPr="00B9444C">
              <w:rPr>
                <w:rFonts w:ascii="Times New Roman" w:eastAsia="Times New Roman" w:hAnsi="Times New Roman"/>
                <w:color w:val="000000"/>
                <w:sz w:val="26"/>
                <w:szCs w:val="26"/>
                <w:lang w:eastAsia="lv-LV"/>
              </w:rPr>
              <w:t xml:space="preserve"> noteikumu projekts paredz veikt šādus MK noteikumu Nr.</w:t>
            </w:r>
            <w:r w:rsidR="00FD0313" w:rsidRPr="00B9444C">
              <w:rPr>
                <w:rFonts w:ascii="Times New Roman" w:eastAsia="Times New Roman" w:hAnsi="Times New Roman"/>
                <w:color w:val="000000"/>
                <w:sz w:val="26"/>
                <w:szCs w:val="26"/>
                <w:lang w:eastAsia="lv-LV"/>
              </w:rPr>
              <w:t> </w:t>
            </w:r>
            <w:r w:rsidR="005C0F83" w:rsidRPr="00B9444C">
              <w:rPr>
                <w:rFonts w:ascii="Times New Roman" w:eastAsia="Times New Roman" w:hAnsi="Times New Roman"/>
                <w:color w:val="000000"/>
                <w:sz w:val="26"/>
                <w:szCs w:val="26"/>
                <w:lang w:eastAsia="lv-LV"/>
              </w:rPr>
              <w:t>56</w:t>
            </w:r>
            <w:r w:rsidR="002005D9" w:rsidRPr="00B9444C">
              <w:rPr>
                <w:rFonts w:ascii="Times New Roman" w:eastAsia="Times New Roman" w:hAnsi="Times New Roman"/>
                <w:color w:val="000000"/>
                <w:sz w:val="26"/>
                <w:szCs w:val="26"/>
                <w:lang w:eastAsia="lv-LV"/>
              </w:rPr>
              <w:t>1</w:t>
            </w:r>
            <w:r w:rsidR="00C27286" w:rsidRPr="00B9444C">
              <w:rPr>
                <w:rFonts w:ascii="Times New Roman" w:eastAsia="Times New Roman" w:hAnsi="Times New Roman"/>
                <w:color w:val="000000"/>
                <w:sz w:val="26"/>
                <w:szCs w:val="26"/>
                <w:lang w:eastAsia="lv-LV"/>
              </w:rPr>
              <w:t xml:space="preserve"> grozījumus:</w:t>
            </w:r>
          </w:p>
          <w:p w14:paraId="4CDCF7A1" w14:textId="32C3BF36" w:rsidR="00625405" w:rsidRPr="00B9444C" w:rsidRDefault="00625405" w:rsidP="007E730B">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1.</w:t>
            </w:r>
            <w:r w:rsidR="003F4D5C" w:rsidRPr="00B9444C">
              <w:rPr>
                <w:rFonts w:ascii="Times New Roman" w:eastAsia="Times New Roman" w:hAnsi="Times New Roman"/>
                <w:color w:val="000000"/>
                <w:sz w:val="26"/>
                <w:szCs w:val="26"/>
                <w:lang w:eastAsia="lv-LV"/>
              </w:rPr>
              <w:t>1. </w:t>
            </w:r>
            <w:r w:rsidR="00AE4C0B" w:rsidRPr="00B9444C">
              <w:rPr>
                <w:rFonts w:ascii="Times New Roman" w:eastAsia="Times New Roman" w:hAnsi="Times New Roman"/>
                <w:color w:val="000000"/>
                <w:sz w:val="26"/>
                <w:szCs w:val="26"/>
                <w:lang w:eastAsia="lv-LV"/>
              </w:rPr>
              <w:t xml:space="preserve">lai racionāli izmantotu modernizēto infrastruktūru, vienlaikus izslēdzot tirgus kropļošanu, </w:t>
            </w:r>
            <w:r w:rsidR="003F4D5C" w:rsidRPr="00B9444C">
              <w:rPr>
                <w:rFonts w:ascii="Times New Roman" w:eastAsia="Times New Roman" w:hAnsi="Times New Roman"/>
                <w:color w:val="000000"/>
                <w:sz w:val="26"/>
                <w:szCs w:val="26"/>
                <w:lang w:eastAsia="lv-LV"/>
              </w:rPr>
              <w:t xml:space="preserve">MK noteikumi </w:t>
            </w:r>
            <w:r w:rsidR="0072004D" w:rsidRPr="00B9444C">
              <w:rPr>
                <w:rFonts w:ascii="Times New Roman" w:eastAsia="Times New Roman" w:hAnsi="Times New Roman"/>
                <w:color w:val="000000"/>
                <w:sz w:val="26"/>
                <w:szCs w:val="26"/>
                <w:lang w:eastAsia="lv-LV"/>
              </w:rPr>
              <w:t>N</w:t>
            </w:r>
            <w:r w:rsidR="003F4D5C" w:rsidRPr="00B9444C">
              <w:rPr>
                <w:rFonts w:ascii="Times New Roman" w:eastAsia="Times New Roman" w:hAnsi="Times New Roman"/>
                <w:color w:val="000000"/>
                <w:sz w:val="26"/>
                <w:szCs w:val="26"/>
                <w:lang w:eastAsia="lv-LV"/>
              </w:rPr>
              <w:t xml:space="preserve">r. </w:t>
            </w:r>
            <w:r w:rsidR="00C33766" w:rsidRPr="00B9444C">
              <w:rPr>
                <w:rFonts w:ascii="Times New Roman" w:eastAsia="Times New Roman" w:hAnsi="Times New Roman"/>
                <w:color w:val="000000"/>
                <w:sz w:val="26"/>
                <w:szCs w:val="26"/>
                <w:lang w:eastAsia="lv-LV"/>
              </w:rPr>
              <w:t>56</w:t>
            </w:r>
            <w:r w:rsidR="00426F29" w:rsidRPr="00B9444C">
              <w:rPr>
                <w:rFonts w:ascii="Times New Roman" w:eastAsia="Times New Roman" w:hAnsi="Times New Roman"/>
                <w:color w:val="000000"/>
                <w:sz w:val="26"/>
                <w:szCs w:val="26"/>
                <w:lang w:eastAsia="lv-LV"/>
              </w:rPr>
              <w:t>1</w:t>
            </w:r>
            <w:r w:rsidR="00C33766" w:rsidRPr="00B9444C">
              <w:rPr>
                <w:rFonts w:ascii="Times New Roman" w:eastAsia="Times New Roman" w:hAnsi="Times New Roman"/>
                <w:color w:val="000000"/>
                <w:sz w:val="26"/>
                <w:szCs w:val="26"/>
                <w:lang w:eastAsia="lv-LV"/>
              </w:rPr>
              <w:t xml:space="preserve"> </w:t>
            </w:r>
            <w:r w:rsidR="003F4D5C" w:rsidRPr="00B9444C">
              <w:rPr>
                <w:rFonts w:ascii="Times New Roman" w:eastAsia="Times New Roman" w:hAnsi="Times New Roman"/>
                <w:color w:val="000000"/>
                <w:sz w:val="26"/>
                <w:szCs w:val="26"/>
                <w:lang w:eastAsia="lv-LV"/>
              </w:rPr>
              <w:t>papildināti ar punkt</w:t>
            </w:r>
            <w:r w:rsidR="00C33766" w:rsidRPr="00B9444C">
              <w:rPr>
                <w:rFonts w:ascii="Times New Roman" w:eastAsia="Times New Roman" w:hAnsi="Times New Roman"/>
                <w:color w:val="000000"/>
                <w:sz w:val="26"/>
                <w:szCs w:val="26"/>
                <w:lang w:eastAsia="lv-LV"/>
              </w:rPr>
              <w:t>u</w:t>
            </w:r>
            <w:r w:rsidR="003F4D5C" w:rsidRPr="00B9444C">
              <w:rPr>
                <w:rFonts w:ascii="Times New Roman" w:eastAsia="Times New Roman" w:hAnsi="Times New Roman"/>
                <w:color w:val="000000"/>
                <w:sz w:val="26"/>
                <w:szCs w:val="26"/>
                <w:lang w:eastAsia="lv-LV"/>
              </w:rPr>
              <w:t>, kas</w:t>
            </w:r>
            <w:r w:rsidR="0072004D" w:rsidRPr="00B9444C">
              <w:rPr>
                <w:rFonts w:ascii="Times New Roman" w:eastAsia="Times New Roman" w:hAnsi="Times New Roman"/>
                <w:color w:val="000000"/>
                <w:sz w:val="26"/>
                <w:szCs w:val="26"/>
                <w:lang w:eastAsia="lv-LV"/>
              </w:rPr>
              <w:t xml:space="preserve"> nosaka terminu</w:t>
            </w:r>
            <w:r w:rsidR="00CA5D02" w:rsidRPr="00B9444C">
              <w:rPr>
                <w:rFonts w:ascii="Times New Roman" w:eastAsia="Times New Roman" w:hAnsi="Times New Roman"/>
                <w:color w:val="000000"/>
                <w:sz w:val="26"/>
                <w:szCs w:val="26"/>
                <w:lang w:eastAsia="lv-LV"/>
              </w:rPr>
              <w:t xml:space="preserve"> „</w:t>
            </w:r>
            <w:r w:rsidR="000F30EB" w:rsidRPr="00B9444C">
              <w:rPr>
                <w:rFonts w:ascii="Times New Roman" w:eastAsia="Times New Roman" w:hAnsi="Times New Roman"/>
                <w:color w:val="000000"/>
                <w:sz w:val="26"/>
                <w:szCs w:val="26"/>
                <w:lang w:eastAsia="lv-LV"/>
              </w:rPr>
              <w:t>tirgus cena</w:t>
            </w:r>
            <w:r w:rsidR="00CA5D02" w:rsidRPr="00B9444C">
              <w:rPr>
                <w:rFonts w:ascii="Times New Roman" w:eastAsia="Times New Roman" w:hAnsi="Times New Roman"/>
                <w:color w:val="000000"/>
                <w:sz w:val="26"/>
                <w:szCs w:val="26"/>
                <w:lang w:eastAsia="lv-LV"/>
              </w:rPr>
              <w:t>”</w:t>
            </w:r>
            <w:r w:rsidR="000F30EB" w:rsidRPr="00B9444C">
              <w:rPr>
                <w:rFonts w:ascii="Times New Roman" w:eastAsia="Times New Roman" w:hAnsi="Times New Roman"/>
                <w:color w:val="000000"/>
                <w:sz w:val="26"/>
                <w:szCs w:val="26"/>
                <w:lang w:eastAsia="lv-LV"/>
              </w:rPr>
              <w:t xml:space="preserve"> (</w:t>
            </w:r>
            <w:r w:rsidR="001B0A1F" w:rsidRPr="00B9444C">
              <w:rPr>
                <w:rFonts w:ascii="Times New Roman" w:eastAsia="Times New Roman" w:hAnsi="Times New Roman"/>
                <w:color w:val="000000"/>
                <w:sz w:val="26"/>
                <w:szCs w:val="26"/>
                <w:lang w:eastAsia="lv-LV"/>
              </w:rPr>
              <w:t xml:space="preserve">noteikumu projekta </w:t>
            </w:r>
            <w:r w:rsidR="00426F29" w:rsidRPr="00B9444C">
              <w:rPr>
                <w:rFonts w:ascii="Times New Roman" w:eastAsia="Times New Roman" w:hAnsi="Times New Roman"/>
                <w:color w:val="000000"/>
                <w:sz w:val="26"/>
                <w:szCs w:val="26"/>
                <w:lang w:eastAsia="lv-LV"/>
              </w:rPr>
              <w:t>2</w:t>
            </w:r>
            <w:r w:rsidR="001B0A1F" w:rsidRPr="00B9444C">
              <w:rPr>
                <w:rFonts w:ascii="Times New Roman" w:eastAsia="Times New Roman" w:hAnsi="Times New Roman"/>
                <w:color w:val="000000"/>
                <w:sz w:val="26"/>
                <w:szCs w:val="26"/>
                <w:lang w:eastAsia="lv-LV"/>
              </w:rPr>
              <w:t xml:space="preserve">. punkts; </w:t>
            </w:r>
            <w:r w:rsidR="00AA6AEE" w:rsidRPr="00B9444C">
              <w:rPr>
                <w:rFonts w:ascii="Times New Roman" w:eastAsia="Times New Roman" w:hAnsi="Times New Roman"/>
                <w:color w:val="000000"/>
                <w:sz w:val="26"/>
                <w:szCs w:val="26"/>
                <w:lang w:eastAsia="lv-LV"/>
              </w:rPr>
              <w:t xml:space="preserve">MK noteikumu Nr. </w:t>
            </w:r>
            <w:r w:rsidR="00C33766" w:rsidRPr="00B9444C">
              <w:rPr>
                <w:rFonts w:ascii="Times New Roman" w:eastAsia="Times New Roman" w:hAnsi="Times New Roman"/>
                <w:color w:val="000000"/>
                <w:sz w:val="26"/>
                <w:szCs w:val="26"/>
                <w:lang w:eastAsia="lv-LV"/>
              </w:rPr>
              <w:t>56</w:t>
            </w:r>
            <w:r w:rsidR="0078408D" w:rsidRPr="00B9444C">
              <w:rPr>
                <w:rFonts w:ascii="Times New Roman" w:eastAsia="Times New Roman" w:hAnsi="Times New Roman"/>
                <w:color w:val="000000"/>
                <w:sz w:val="26"/>
                <w:szCs w:val="26"/>
                <w:lang w:eastAsia="lv-LV"/>
              </w:rPr>
              <w:t>1</w:t>
            </w:r>
            <w:r w:rsidR="00AA6AEE" w:rsidRPr="00B9444C">
              <w:rPr>
                <w:rFonts w:ascii="Times New Roman" w:eastAsia="Times New Roman" w:hAnsi="Times New Roman"/>
                <w:color w:val="000000"/>
                <w:sz w:val="26"/>
                <w:szCs w:val="26"/>
                <w:lang w:eastAsia="lv-LV"/>
              </w:rPr>
              <w:t xml:space="preserve"> </w:t>
            </w:r>
            <w:r w:rsidR="00426F29" w:rsidRPr="00B9444C">
              <w:rPr>
                <w:rFonts w:ascii="Times New Roman" w:eastAsia="Times New Roman" w:hAnsi="Times New Roman"/>
                <w:color w:val="000000"/>
                <w:sz w:val="26"/>
                <w:szCs w:val="26"/>
                <w:lang w:eastAsia="lv-LV"/>
              </w:rPr>
              <w:t>35.</w:t>
            </w:r>
            <w:r w:rsidR="00426F29" w:rsidRPr="00B9444C">
              <w:rPr>
                <w:rFonts w:ascii="Times New Roman" w:eastAsia="Times New Roman" w:hAnsi="Times New Roman"/>
                <w:color w:val="000000"/>
                <w:sz w:val="26"/>
                <w:szCs w:val="26"/>
                <w:vertAlign w:val="superscript"/>
                <w:lang w:eastAsia="lv-LV"/>
              </w:rPr>
              <w:t>7</w:t>
            </w:r>
            <w:r w:rsidR="00426F29" w:rsidRPr="00B9444C">
              <w:rPr>
                <w:rFonts w:ascii="Times New Roman" w:eastAsia="Times New Roman" w:hAnsi="Times New Roman"/>
                <w:color w:val="000000"/>
                <w:sz w:val="26"/>
                <w:szCs w:val="26"/>
                <w:lang w:eastAsia="lv-LV"/>
              </w:rPr>
              <w:t xml:space="preserve"> </w:t>
            </w:r>
            <w:r w:rsidR="000F30EB" w:rsidRPr="00B9444C">
              <w:rPr>
                <w:rFonts w:ascii="Times New Roman" w:eastAsia="Times New Roman" w:hAnsi="Times New Roman"/>
                <w:color w:val="000000"/>
                <w:sz w:val="26"/>
                <w:szCs w:val="26"/>
                <w:lang w:eastAsia="lv-LV"/>
              </w:rPr>
              <w:t>punkts)</w:t>
            </w:r>
            <w:r w:rsidR="002F2941" w:rsidRPr="00B9444C">
              <w:rPr>
                <w:rFonts w:ascii="Times New Roman" w:eastAsia="Times New Roman" w:hAnsi="Times New Roman"/>
                <w:color w:val="000000"/>
                <w:sz w:val="26"/>
                <w:szCs w:val="26"/>
                <w:lang w:eastAsia="lv-LV"/>
              </w:rPr>
              <w:t>.</w:t>
            </w:r>
            <w:r w:rsidR="0072004D" w:rsidRPr="00B9444C">
              <w:rPr>
                <w:rFonts w:ascii="Times New Roman" w:eastAsia="Times New Roman" w:hAnsi="Times New Roman"/>
                <w:color w:val="000000"/>
                <w:sz w:val="26"/>
                <w:szCs w:val="26"/>
                <w:lang w:eastAsia="lv-LV"/>
              </w:rPr>
              <w:t xml:space="preserve"> Termins skaidro nosacījumus, kas piemērojami</w:t>
            </w:r>
            <w:r w:rsidR="00970517" w:rsidRPr="00B9444C">
              <w:rPr>
                <w:rFonts w:ascii="Times New Roman" w:eastAsia="Times New Roman" w:hAnsi="Times New Roman"/>
                <w:color w:val="000000"/>
                <w:sz w:val="26"/>
                <w:szCs w:val="26"/>
                <w:lang w:eastAsia="lv-LV"/>
              </w:rPr>
              <w:t xml:space="preserve"> attiecībā uz</w:t>
            </w:r>
            <w:r w:rsidR="0072004D" w:rsidRPr="00B9444C">
              <w:rPr>
                <w:rFonts w:ascii="Times New Roman" w:eastAsia="Times New Roman" w:hAnsi="Times New Roman"/>
                <w:color w:val="000000"/>
                <w:sz w:val="26"/>
                <w:szCs w:val="26"/>
                <w:lang w:eastAsia="lv-LV"/>
              </w:rPr>
              <w:t xml:space="preserve"> </w:t>
            </w:r>
            <w:r w:rsidR="00970517" w:rsidRPr="00B9444C">
              <w:rPr>
                <w:rFonts w:ascii="Times New Roman" w:eastAsia="Times New Roman" w:hAnsi="Times New Roman"/>
                <w:color w:val="000000"/>
                <w:sz w:val="26"/>
                <w:szCs w:val="26"/>
                <w:lang w:eastAsia="lv-LV"/>
              </w:rPr>
              <w:t xml:space="preserve">trešajām pusēm, </w:t>
            </w:r>
            <w:r w:rsidR="0072004D" w:rsidRPr="00B9444C">
              <w:rPr>
                <w:rFonts w:ascii="Times New Roman" w:eastAsia="Times New Roman" w:hAnsi="Times New Roman"/>
                <w:color w:val="000000"/>
                <w:sz w:val="26"/>
                <w:szCs w:val="26"/>
                <w:lang w:eastAsia="lv-LV"/>
              </w:rPr>
              <w:t xml:space="preserve">nodrošinot </w:t>
            </w:r>
            <w:r w:rsidR="00970517" w:rsidRPr="00B9444C">
              <w:rPr>
                <w:rFonts w:ascii="Times New Roman" w:eastAsia="Times New Roman" w:hAnsi="Times New Roman"/>
                <w:color w:val="000000"/>
                <w:sz w:val="26"/>
                <w:szCs w:val="26"/>
                <w:lang w:eastAsia="lv-LV"/>
              </w:rPr>
              <w:t xml:space="preserve">tām </w:t>
            </w:r>
            <w:r w:rsidR="0072004D" w:rsidRPr="00B9444C">
              <w:rPr>
                <w:rFonts w:ascii="Times New Roman" w:eastAsia="Times New Roman" w:hAnsi="Times New Roman"/>
                <w:color w:val="000000"/>
                <w:sz w:val="26"/>
                <w:szCs w:val="26"/>
                <w:lang w:eastAsia="lv-LV"/>
              </w:rPr>
              <w:t>piekļuvi projekta ietvaros izveidotai vai modernizētai infrastruktūrai</w:t>
            </w:r>
            <w:r w:rsidR="00970517" w:rsidRPr="00B9444C">
              <w:rPr>
                <w:rFonts w:ascii="Times New Roman" w:eastAsia="Times New Roman" w:hAnsi="Times New Roman"/>
                <w:color w:val="000000"/>
                <w:sz w:val="26"/>
                <w:szCs w:val="26"/>
                <w:lang w:eastAsia="lv-LV"/>
              </w:rPr>
              <w:t>, lai veiktu saimniecisku darbību;</w:t>
            </w:r>
          </w:p>
          <w:p w14:paraId="5414BBC5" w14:textId="4C427ECF" w:rsidR="00625405" w:rsidRPr="00B9444C" w:rsidRDefault="00625405" w:rsidP="00625405">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1.2. </w:t>
            </w:r>
            <w:r w:rsidR="00970517" w:rsidRPr="00B9444C">
              <w:rPr>
                <w:rFonts w:ascii="Times New Roman" w:eastAsia="Times New Roman" w:hAnsi="Times New Roman"/>
                <w:color w:val="000000"/>
                <w:sz w:val="26"/>
                <w:szCs w:val="26"/>
                <w:lang w:eastAsia="lv-LV"/>
              </w:rPr>
              <w:t xml:space="preserve">ievērojot minēto, </w:t>
            </w:r>
            <w:r w:rsidRPr="00B9444C">
              <w:rPr>
                <w:rFonts w:ascii="Times New Roman" w:eastAsia="Times New Roman" w:hAnsi="Times New Roman"/>
                <w:color w:val="000000"/>
                <w:sz w:val="26"/>
                <w:szCs w:val="26"/>
                <w:lang w:eastAsia="lv-LV"/>
              </w:rPr>
              <w:t>MK noteikumi Nr.</w:t>
            </w:r>
            <w:r w:rsidR="001D5D1E" w:rsidRPr="00B9444C">
              <w:rPr>
                <w:rFonts w:ascii="Times New Roman" w:eastAsia="Times New Roman" w:hAnsi="Times New Roman"/>
                <w:color w:val="000000"/>
                <w:sz w:val="26"/>
                <w:szCs w:val="26"/>
                <w:lang w:eastAsia="lv-LV"/>
              </w:rPr>
              <w:t> </w:t>
            </w:r>
            <w:r w:rsidRPr="00B9444C">
              <w:rPr>
                <w:rFonts w:ascii="Times New Roman" w:eastAsia="Times New Roman" w:hAnsi="Times New Roman"/>
                <w:color w:val="000000"/>
                <w:sz w:val="26"/>
                <w:szCs w:val="26"/>
                <w:lang w:eastAsia="lv-LV"/>
              </w:rPr>
              <w:t>56</w:t>
            </w:r>
            <w:r w:rsidR="00426F29" w:rsidRPr="00B9444C">
              <w:rPr>
                <w:rFonts w:ascii="Times New Roman" w:eastAsia="Times New Roman" w:hAnsi="Times New Roman"/>
                <w:color w:val="000000"/>
                <w:sz w:val="26"/>
                <w:szCs w:val="26"/>
                <w:lang w:eastAsia="lv-LV"/>
              </w:rPr>
              <w:t>1</w:t>
            </w:r>
            <w:r w:rsidRPr="00B9444C">
              <w:rPr>
                <w:rFonts w:ascii="Times New Roman" w:eastAsia="Times New Roman" w:hAnsi="Times New Roman"/>
                <w:color w:val="000000"/>
                <w:sz w:val="26"/>
                <w:szCs w:val="26"/>
                <w:lang w:eastAsia="lv-LV"/>
              </w:rPr>
              <w:t xml:space="preserve"> papildināti ar </w:t>
            </w:r>
            <w:r w:rsidR="00426F29" w:rsidRPr="00B9444C">
              <w:rPr>
                <w:rFonts w:ascii="Times New Roman" w:eastAsia="Times New Roman" w:hAnsi="Times New Roman"/>
                <w:color w:val="000000"/>
                <w:sz w:val="26"/>
                <w:szCs w:val="26"/>
                <w:lang w:eastAsia="lv-LV"/>
              </w:rPr>
              <w:t>35.</w:t>
            </w:r>
            <w:r w:rsidR="00426F29" w:rsidRPr="00B9444C">
              <w:rPr>
                <w:rFonts w:ascii="Times New Roman" w:eastAsia="Times New Roman" w:hAnsi="Times New Roman"/>
                <w:color w:val="000000"/>
                <w:sz w:val="26"/>
                <w:szCs w:val="26"/>
                <w:vertAlign w:val="superscript"/>
                <w:lang w:eastAsia="lv-LV"/>
              </w:rPr>
              <w:t>6</w:t>
            </w:r>
            <w:r w:rsidR="00426F29"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 xml:space="preserve">punktu </w:t>
            </w:r>
            <w:r w:rsidR="00970517" w:rsidRPr="00B9444C">
              <w:rPr>
                <w:rFonts w:ascii="Times New Roman" w:eastAsia="Times New Roman" w:hAnsi="Times New Roman"/>
                <w:color w:val="000000"/>
                <w:sz w:val="26"/>
                <w:szCs w:val="26"/>
                <w:lang w:eastAsia="lv-LV"/>
              </w:rPr>
              <w:t xml:space="preserve">(noteikumu projekta 2. punkts) </w:t>
            </w:r>
            <w:r w:rsidRPr="00B9444C">
              <w:rPr>
                <w:rFonts w:ascii="Times New Roman" w:eastAsia="Times New Roman" w:hAnsi="Times New Roman"/>
                <w:color w:val="000000"/>
                <w:sz w:val="26"/>
                <w:szCs w:val="26"/>
                <w:lang w:eastAsia="lv-LV"/>
              </w:rPr>
              <w:t xml:space="preserve">nosakot, ka finansējuma saņēmējs un sadarbības partneri </w:t>
            </w:r>
            <w:r w:rsidR="000B67B7" w:rsidRPr="00B9444C">
              <w:rPr>
                <w:rFonts w:ascii="Times New Roman" w:eastAsia="Times New Roman" w:hAnsi="Times New Roman"/>
                <w:color w:val="000000"/>
                <w:sz w:val="26"/>
                <w:szCs w:val="26"/>
                <w:lang w:eastAsia="lv-LV"/>
              </w:rPr>
              <w:t xml:space="preserve">projekta </w:t>
            </w:r>
            <w:r w:rsidRPr="00B9444C">
              <w:rPr>
                <w:rFonts w:ascii="Times New Roman" w:eastAsia="Times New Roman" w:hAnsi="Times New Roman"/>
                <w:color w:val="000000"/>
                <w:sz w:val="26"/>
                <w:szCs w:val="26"/>
                <w:lang w:eastAsia="lv-LV"/>
              </w:rPr>
              <w:t xml:space="preserve">ietvaros </w:t>
            </w:r>
            <w:r w:rsidR="00415A9D">
              <w:rPr>
                <w:rFonts w:ascii="Times New Roman" w:eastAsia="Times New Roman" w:hAnsi="Times New Roman"/>
                <w:color w:val="000000"/>
                <w:sz w:val="26"/>
                <w:szCs w:val="26"/>
                <w:lang w:eastAsia="lv-LV"/>
              </w:rPr>
              <w:t xml:space="preserve">var </w:t>
            </w:r>
            <w:r w:rsidR="00415A9D" w:rsidRPr="00B9444C">
              <w:rPr>
                <w:rFonts w:ascii="Times New Roman" w:eastAsia="Times New Roman" w:hAnsi="Times New Roman"/>
                <w:color w:val="000000"/>
                <w:sz w:val="26"/>
                <w:szCs w:val="26"/>
                <w:lang w:eastAsia="lv-LV"/>
              </w:rPr>
              <w:t>nodrošin</w:t>
            </w:r>
            <w:r w:rsidR="00415A9D">
              <w:rPr>
                <w:rFonts w:ascii="Times New Roman" w:eastAsia="Times New Roman" w:hAnsi="Times New Roman"/>
                <w:color w:val="000000"/>
                <w:sz w:val="26"/>
                <w:szCs w:val="26"/>
                <w:lang w:eastAsia="lv-LV"/>
              </w:rPr>
              <w:t>āt</w:t>
            </w:r>
            <w:r w:rsidR="00415A9D" w:rsidRPr="00B9444C">
              <w:rPr>
                <w:rFonts w:ascii="Times New Roman" w:eastAsia="Times New Roman" w:hAnsi="Times New Roman"/>
                <w:color w:val="000000"/>
                <w:sz w:val="26"/>
                <w:szCs w:val="26"/>
                <w:lang w:eastAsia="lv-LV"/>
              </w:rPr>
              <w:t xml:space="preserve"> </w:t>
            </w:r>
            <w:r w:rsidR="00FC2B44" w:rsidRPr="00B9444C">
              <w:rPr>
                <w:rFonts w:ascii="Times New Roman" w:eastAsia="Times New Roman" w:hAnsi="Times New Roman"/>
                <w:color w:val="000000"/>
                <w:sz w:val="26"/>
                <w:szCs w:val="26"/>
                <w:lang w:eastAsia="lv-LV"/>
              </w:rPr>
              <w:t>piekļuvi modernizētai infrastruktūrai</w:t>
            </w:r>
            <w:r w:rsidRPr="00B9444C">
              <w:rPr>
                <w:rFonts w:ascii="Times New Roman" w:eastAsia="Times New Roman" w:hAnsi="Times New Roman"/>
                <w:color w:val="000000"/>
                <w:sz w:val="26"/>
                <w:szCs w:val="26"/>
                <w:lang w:eastAsia="lv-LV"/>
              </w:rPr>
              <w:t xml:space="preserve">, </w:t>
            </w:r>
            <w:r w:rsidR="00415A9D">
              <w:rPr>
                <w:rFonts w:ascii="Times New Roman" w:eastAsia="Times New Roman" w:hAnsi="Times New Roman"/>
                <w:color w:val="000000"/>
                <w:sz w:val="26"/>
                <w:szCs w:val="26"/>
                <w:lang w:eastAsia="lv-LV"/>
              </w:rPr>
              <w:t xml:space="preserve">ja </w:t>
            </w:r>
            <w:r w:rsidR="00415A9D" w:rsidRPr="00B9444C">
              <w:rPr>
                <w:rFonts w:ascii="Times New Roman" w:eastAsia="Times New Roman" w:hAnsi="Times New Roman"/>
                <w:color w:val="000000"/>
                <w:sz w:val="26"/>
                <w:szCs w:val="26"/>
                <w:lang w:eastAsia="lv-LV"/>
              </w:rPr>
              <w:t>augstākās izglītības institūcijas pamatdarbības ietvaros sniegto izglītības pakalpojumu izmaksas vairāk par 50 procentiem sedz no publiskiem finanšu resursiem</w:t>
            </w:r>
            <w:r w:rsidR="00415A9D">
              <w:rPr>
                <w:rFonts w:ascii="Times New Roman" w:eastAsia="Times New Roman" w:hAnsi="Times New Roman"/>
                <w:color w:val="000000"/>
                <w:sz w:val="26"/>
                <w:szCs w:val="26"/>
                <w:lang w:eastAsia="lv-LV"/>
              </w:rPr>
              <w:t xml:space="preserve"> un tiek</w:t>
            </w:r>
            <w:r w:rsidR="00415A9D" w:rsidRPr="00B9444C">
              <w:rPr>
                <w:rFonts w:ascii="Times New Roman" w:eastAsia="Times New Roman" w:hAnsi="Times New Roman"/>
                <w:color w:val="000000"/>
                <w:sz w:val="26"/>
                <w:szCs w:val="26"/>
                <w:lang w:eastAsia="lv-LV"/>
              </w:rPr>
              <w:t xml:space="preserve"> </w:t>
            </w:r>
            <w:r w:rsidR="00415A9D">
              <w:rPr>
                <w:rFonts w:ascii="Times New Roman" w:eastAsia="Times New Roman" w:hAnsi="Times New Roman"/>
                <w:color w:val="000000"/>
                <w:sz w:val="26"/>
                <w:szCs w:val="26"/>
                <w:lang w:eastAsia="lv-LV"/>
              </w:rPr>
              <w:t>nodrošināta šādu nosacījumu izpilde</w:t>
            </w:r>
            <w:r w:rsidRPr="00B9444C">
              <w:rPr>
                <w:rFonts w:ascii="Times New Roman" w:eastAsia="Times New Roman" w:hAnsi="Times New Roman"/>
                <w:color w:val="000000"/>
                <w:sz w:val="26"/>
                <w:szCs w:val="26"/>
                <w:lang w:eastAsia="lv-LV"/>
              </w:rPr>
              <w:t>:</w:t>
            </w:r>
          </w:p>
          <w:p w14:paraId="3A745E11" w14:textId="2F544CF2" w:rsidR="000B67B7" w:rsidRPr="00B9444C" w:rsidRDefault="00813AEF" w:rsidP="000B67B7">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1.2.</w:t>
            </w:r>
            <w:r w:rsidR="00415A9D">
              <w:rPr>
                <w:rFonts w:ascii="Times New Roman" w:eastAsia="Times New Roman" w:hAnsi="Times New Roman"/>
                <w:color w:val="000000"/>
                <w:sz w:val="26"/>
                <w:szCs w:val="26"/>
                <w:lang w:eastAsia="lv-LV"/>
              </w:rPr>
              <w:t>1</w:t>
            </w:r>
            <w:r w:rsidR="00625405" w:rsidRPr="00B9444C">
              <w:rPr>
                <w:rFonts w:ascii="Times New Roman" w:eastAsia="Times New Roman" w:hAnsi="Times New Roman"/>
                <w:color w:val="000000"/>
                <w:sz w:val="26"/>
                <w:szCs w:val="26"/>
                <w:lang w:eastAsia="lv-LV"/>
              </w:rPr>
              <w:t xml:space="preserve">. </w:t>
            </w:r>
            <w:r w:rsidR="00494588" w:rsidRPr="00B9444C">
              <w:rPr>
                <w:rFonts w:ascii="Times New Roman" w:eastAsia="Times New Roman" w:hAnsi="Times New Roman"/>
                <w:color w:val="000000"/>
                <w:sz w:val="26"/>
                <w:szCs w:val="26"/>
                <w:lang w:eastAsia="lv-LV"/>
              </w:rPr>
              <w:t xml:space="preserve">nomas </w:t>
            </w:r>
            <w:r w:rsidR="00625405" w:rsidRPr="00B9444C">
              <w:rPr>
                <w:rFonts w:ascii="Times New Roman" w:eastAsia="Times New Roman" w:hAnsi="Times New Roman"/>
                <w:color w:val="000000"/>
                <w:sz w:val="26"/>
                <w:szCs w:val="26"/>
                <w:lang w:eastAsia="lv-LV"/>
              </w:rPr>
              <w:t xml:space="preserve">pakalpojumu sniedz par pašizmaksu, neietverot to nolietojuma izmaksu daļu, kas tiek segta no publiskā finansējuma, un neiekļaujot uzcenojumu, ja infrastruktūras lietotājs (trešā puse) </w:t>
            </w:r>
            <w:r w:rsidR="00D37A52" w:rsidRPr="00B9444C">
              <w:rPr>
                <w:rFonts w:ascii="Times New Roman" w:eastAsia="Times New Roman" w:hAnsi="Times New Roman"/>
                <w:color w:val="000000"/>
                <w:sz w:val="26"/>
                <w:szCs w:val="26"/>
                <w:lang w:eastAsia="lv-LV"/>
              </w:rPr>
              <w:t>infrastruktūru izmanto valsts izglītības sistēmas ietvaros ar saimniecisku darbību nesaistītas pamatdarbības veikšanai</w:t>
            </w:r>
            <w:r w:rsidR="000B67B7" w:rsidRPr="00B9444C">
              <w:rPr>
                <w:rFonts w:ascii="Times New Roman" w:eastAsia="Times New Roman" w:hAnsi="Times New Roman"/>
                <w:color w:val="000000"/>
                <w:sz w:val="26"/>
                <w:szCs w:val="26"/>
                <w:lang w:eastAsia="lv-LV"/>
              </w:rPr>
              <w:t xml:space="preserve">. Pakalpojuma pašizmaksu nosaka, ņemot vērā </w:t>
            </w:r>
            <w:r w:rsidR="007811D2" w:rsidRPr="00B9444C">
              <w:rPr>
                <w:rFonts w:ascii="Times New Roman" w:eastAsia="Times New Roman" w:hAnsi="Times New Roman"/>
                <w:color w:val="000000"/>
                <w:sz w:val="26"/>
                <w:szCs w:val="26"/>
                <w:lang w:eastAsia="lv-LV"/>
              </w:rPr>
              <w:t>pakalpojuma</w:t>
            </w:r>
            <w:r w:rsidR="000B67B7" w:rsidRPr="00B9444C">
              <w:rPr>
                <w:rFonts w:ascii="Times New Roman" w:eastAsia="Times New Roman" w:hAnsi="Times New Roman"/>
                <w:color w:val="000000"/>
                <w:sz w:val="26"/>
                <w:szCs w:val="26"/>
                <w:lang w:eastAsia="lv-LV"/>
              </w:rPr>
              <w:t xml:space="preserve"> pilnās izmaksas (</w:t>
            </w:r>
            <w:proofErr w:type="spellStart"/>
            <w:r w:rsidR="000B67B7" w:rsidRPr="00B9444C">
              <w:rPr>
                <w:rFonts w:ascii="Times New Roman" w:eastAsia="Times New Roman" w:hAnsi="Times New Roman"/>
                <w:i/>
                <w:color w:val="000000"/>
                <w:sz w:val="26"/>
                <w:szCs w:val="26"/>
                <w:lang w:eastAsia="lv-LV"/>
              </w:rPr>
              <w:t>full</w:t>
            </w:r>
            <w:proofErr w:type="spellEnd"/>
            <w:r w:rsidR="000B67B7" w:rsidRPr="00B9444C">
              <w:rPr>
                <w:rFonts w:ascii="Times New Roman" w:eastAsia="Times New Roman" w:hAnsi="Times New Roman"/>
                <w:i/>
                <w:color w:val="000000"/>
                <w:sz w:val="26"/>
                <w:szCs w:val="26"/>
                <w:lang w:eastAsia="lv-LV"/>
              </w:rPr>
              <w:t xml:space="preserve"> </w:t>
            </w:r>
            <w:proofErr w:type="spellStart"/>
            <w:r w:rsidR="000B67B7" w:rsidRPr="00B9444C">
              <w:rPr>
                <w:rFonts w:ascii="Times New Roman" w:eastAsia="Times New Roman" w:hAnsi="Times New Roman"/>
                <w:i/>
                <w:color w:val="000000"/>
                <w:sz w:val="26"/>
                <w:szCs w:val="26"/>
                <w:lang w:eastAsia="lv-LV"/>
              </w:rPr>
              <w:t>co</w:t>
            </w:r>
            <w:r w:rsidR="0081746A" w:rsidRPr="00B9444C">
              <w:rPr>
                <w:rFonts w:ascii="Times New Roman" w:eastAsia="Times New Roman" w:hAnsi="Times New Roman"/>
                <w:i/>
                <w:color w:val="000000"/>
                <w:sz w:val="26"/>
                <w:szCs w:val="26"/>
                <w:lang w:eastAsia="lv-LV"/>
              </w:rPr>
              <w:t>s</w:t>
            </w:r>
            <w:r w:rsidR="00F542A2" w:rsidRPr="00B9444C">
              <w:rPr>
                <w:rFonts w:ascii="Times New Roman" w:eastAsia="Times New Roman" w:hAnsi="Times New Roman"/>
                <w:i/>
                <w:color w:val="000000"/>
                <w:sz w:val="26"/>
                <w:szCs w:val="26"/>
                <w:lang w:eastAsia="lv-LV"/>
              </w:rPr>
              <w:t>t</w:t>
            </w:r>
            <w:proofErr w:type="spellEnd"/>
            <w:r w:rsidR="00F542A2" w:rsidRPr="00B9444C">
              <w:rPr>
                <w:rFonts w:ascii="Times New Roman" w:eastAsia="Times New Roman" w:hAnsi="Times New Roman"/>
                <w:i/>
                <w:color w:val="000000"/>
                <w:sz w:val="26"/>
                <w:szCs w:val="26"/>
                <w:lang w:eastAsia="lv-LV"/>
              </w:rPr>
              <w:t xml:space="preserve">), </w:t>
            </w:r>
            <w:r w:rsidR="00F542A2" w:rsidRPr="00B9444C">
              <w:rPr>
                <w:rFonts w:ascii="Times New Roman" w:eastAsia="Times New Roman" w:hAnsi="Times New Roman"/>
                <w:color w:val="000000"/>
                <w:sz w:val="26"/>
                <w:szCs w:val="26"/>
                <w:lang w:eastAsia="lv-LV"/>
              </w:rPr>
              <w:t>tai skaitā:</w:t>
            </w:r>
          </w:p>
          <w:p w14:paraId="1D49826D" w14:textId="43CE1037" w:rsidR="000B67B7" w:rsidRPr="00B9444C" w:rsidRDefault="000B67B7" w:rsidP="000B67B7">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 ar pakalpojuma sniegšanu saistītās tiešās izmaksas, tai skaitā materiālu izmaksas, ar pamatlīdzekļu ekspluatāciju saistītās izmaksas</w:t>
            </w:r>
            <w:r w:rsidR="00F542A2" w:rsidRPr="00B9444C">
              <w:rPr>
                <w:rFonts w:ascii="Times New Roman" w:eastAsia="Times New Roman" w:hAnsi="Times New Roman"/>
                <w:color w:val="000000"/>
                <w:sz w:val="26"/>
                <w:szCs w:val="26"/>
                <w:lang w:eastAsia="lv-LV"/>
              </w:rPr>
              <w:t xml:space="preserve">, </w:t>
            </w:r>
            <w:r w:rsidR="00FC2B44" w:rsidRPr="00B9444C">
              <w:rPr>
                <w:rFonts w:ascii="Times New Roman" w:eastAsia="Times New Roman" w:hAnsi="Times New Roman"/>
                <w:color w:val="000000"/>
                <w:sz w:val="26"/>
                <w:szCs w:val="26"/>
                <w:lang w:eastAsia="lv-LV"/>
              </w:rPr>
              <w:t>pakalpojuma sniegšanā tieši iesaistītā personāla</w:t>
            </w:r>
            <w:r w:rsidR="00F542A2" w:rsidRPr="00B9444C">
              <w:rPr>
                <w:rFonts w:ascii="Times New Roman" w:eastAsia="Times New Roman" w:hAnsi="Times New Roman"/>
                <w:color w:val="000000"/>
                <w:sz w:val="26"/>
                <w:szCs w:val="26"/>
                <w:lang w:eastAsia="lv-LV"/>
              </w:rPr>
              <w:t xml:space="preserve"> izmaksas </w:t>
            </w:r>
            <w:r w:rsidR="00D37A52" w:rsidRPr="00B9444C">
              <w:rPr>
                <w:rFonts w:ascii="Times New Roman" w:eastAsia="Times New Roman" w:hAnsi="Times New Roman"/>
                <w:color w:val="000000"/>
                <w:sz w:val="26"/>
                <w:szCs w:val="26"/>
                <w:lang w:eastAsia="lv-LV"/>
              </w:rPr>
              <w:t>un citas</w:t>
            </w:r>
            <w:r w:rsidR="00F542A2" w:rsidRPr="00B9444C">
              <w:rPr>
                <w:rFonts w:ascii="Times New Roman" w:eastAsia="Times New Roman" w:hAnsi="Times New Roman"/>
                <w:color w:val="000000"/>
                <w:sz w:val="26"/>
                <w:szCs w:val="26"/>
                <w:lang w:eastAsia="lv-LV"/>
              </w:rPr>
              <w:t xml:space="preserve"> </w:t>
            </w:r>
            <w:r w:rsidR="00AD0226" w:rsidRPr="00B9444C">
              <w:rPr>
                <w:rFonts w:ascii="Times New Roman" w:eastAsia="Times New Roman" w:hAnsi="Times New Roman"/>
                <w:color w:val="000000"/>
                <w:sz w:val="26"/>
                <w:szCs w:val="26"/>
                <w:lang w:eastAsia="lv-LV"/>
              </w:rPr>
              <w:t xml:space="preserve">tiešās </w:t>
            </w:r>
            <w:r w:rsidR="00F542A2" w:rsidRPr="00B9444C">
              <w:rPr>
                <w:rFonts w:ascii="Times New Roman" w:eastAsia="Times New Roman" w:hAnsi="Times New Roman"/>
                <w:color w:val="000000"/>
                <w:sz w:val="26"/>
                <w:szCs w:val="26"/>
                <w:lang w:eastAsia="lv-LV"/>
              </w:rPr>
              <w:t>izmaksas</w:t>
            </w:r>
            <w:r w:rsidRPr="00B9444C">
              <w:rPr>
                <w:rFonts w:ascii="Times New Roman" w:eastAsia="Times New Roman" w:hAnsi="Times New Roman"/>
                <w:color w:val="000000"/>
                <w:sz w:val="26"/>
                <w:szCs w:val="26"/>
                <w:lang w:eastAsia="lv-LV"/>
              </w:rPr>
              <w:t>;</w:t>
            </w:r>
          </w:p>
          <w:p w14:paraId="281D57AE" w14:textId="77777777" w:rsidR="00625405" w:rsidRPr="00B9444C" w:rsidRDefault="00F542A2" w:rsidP="00F542A2">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b)</w:t>
            </w:r>
            <w:r w:rsidR="000B67B7" w:rsidRPr="00B9444C">
              <w:rPr>
                <w:rFonts w:ascii="Times New Roman" w:eastAsia="Times New Roman" w:hAnsi="Times New Roman"/>
                <w:color w:val="000000"/>
                <w:sz w:val="26"/>
                <w:szCs w:val="26"/>
                <w:lang w:eastAsia="lv-LV"/>
              </w:rPr>
              <w:t xml:space="preserve"> netiešās izmaksas</w:t>
            </w:r>
            <w:r w:rsidRPr="00B9444C">
              <w:rPr>
                <w:rFonts w:ascii="Times New Roman" w:eastAsia="Times New Roman" w:hAnsi="Times New Roman"/>
                <w:color w:val="000000"/>
                <w:sz w:val="26"/>
                <w:szCs w:val="26"/>
                <w:lang w:eastAsia="lv-LV"/>
              </w:rPr>
              <w:t xml:space="preserve">, </w:t>
            </w:r>
            <w:r w:rsidR="00AD0226" w:rsidRPr="00B9444C">
              <w:rPr>
                <w:rFonts w:ascii="Times New Roman" w:eastAsia="Times New Roman" w:hAnsi="Times New Roman"/>
                <w:color w:val="000000"/>
                <w:sz w:val="26"/>
                <w:szCs w:val="26"/>
                <w:lang w:eastAsia="lv-LV"/>
              </w:rPr>
              <w:t xml:space="preserve">ciktāl tās attiecināmas uz sniegto pakalpojumu, </w:t>
            </w:r>
            <w:r w:rsidRPr="00B9444C">
              <w:rPr>
                <w:rFonts w:ascii="Times New Roman" w:eastAsia="Times New Roman" w:hAnsi="Times New Roman"/>
                <w:color w:val="000000"/>
                <w:sz w:val="26"/>
                <w:szCs w:val="26"/>
                <w:lang w:eastAsia="lv-LV"/>
              </w:rPr>
              <w:t>tai skaitā administratīvās izmaksas;</w:t>
            </w:r>
            <w:r w:rsidR="000B67B7" w:rsidRPr="00B9444C">
              <w:rPr>
                <w:rFonts w:ascii="Times New Roman" w:eastAsia="Times New Roman" w:hAnsi="Times New Roman"/>
                <w:color w:val="000000"/>
                <w:sz w:val="26"/>
                <w:szCs w:val="26"/>
                <w:lang w:eastAsia="lv-LV"/>
              </w:rPr>
              <w:t xml:space="preserve"> </w:t>
            </w:r>
          </w:p>
          <w:p w14:paraId="08B97E03" w14:textId="5018AC31" w:rsidR="000F30EB" w:rsidRPr="00B9444C" w:rsidRDefault="00625405" w:rsidP="00625405">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1.2</w:t>
            </w:r>
            <w:r w:rsidR="00813AEF" w:rsidRPr="00B9444C">
              <w:rPr>
                <w:rFonts w:ascii="Times New Roman" w:eastAsia="Times New Roman" w:hAnsi="Times New Roman"/>
                <w:color w:val="000000"/>
                <w:sz w:val="26"/>
                <w:szCs w:val="26"/>
                <w:lang w:eastAsia="lv-LV"/>
              </w:rPr>
              <w:t>.</w:t>
            </w:r>
            <w:r w:rsidR="00415A9D">
              <w:rPr>
                <w:rFonts w:ascii="Times New Roman" w:eastAsia="Times New Roman" w:hAnsi="Times New Roman"/>
                <w:color w:val="000000"/>
                <w:sz w:val="26"/>
                <w:szCs w:val="26"/>
                <w:lang w:eastAsia="lv-LV"/>
              </w:rPr>
              <w:t>2</w:t>
            </w:r>
            <w:r w:rsidRPr="00B9444C">
              <w:rPr>
                <w:rFonts w:ascii="Times New Roman" w:eastAsia="Times New Roman" w:hAnsi="Times New Roman"/>
                <w:color w:val="000000"/>
                <w:sz w:val="26"/>
                <w:szCs w:val="26"/>
                <w:lang w:eastAsia="lv-LV"/>
              </w:rPr>
              <w:t xml:space="preserve">. </w:t>
            </w:r>
            <w:r w:rsidR="00BC4E3F" w:rsidRPr="00B9444C">
              <w:rPr>
                <w:rFonts w:ascii="Times New Roman" w:eastAsia="Times New Roman" w:hAnsi="Times New Roman"/>
                <w:color w:val="000000"/>
                <w:sz w:val="26"/>
                <w:szCs w:val="26"/>
                <w:lang w:eastAsia="lv-LV"/>
              </w:rPr>
              <w:t xml:space="preserve">nomas </w:t>
            </w:r>
            <w:r w:rsidR="00D37A52" w:rsidRPr="00B9444C">
              <w:rPr>
                <w:rFonts w:ascii="Times New Roman" w:eastAsia="Times New Roman" w:hAnsi="Times New Roman"/>
                <w:color w:val="000000"/>
                <w:sz w:val="26"/>
                <w:szCs w:val="26"/>
                <w:lang w:eastAsia="lv-LV"/>
              </w:rPr>
              <w:t>pakalpojumu sniedz par tirgus cenu, ja infrastruktūras lietotājs (trešā puse) infrastruktūru izmanto saimnieciskās darbības veikšanai</w:t>
            </w:r>
            <w:r w:rsidRPr="00B9444C">
              <w:rPr>
                <w:rFonts w:ascii="Times New Roman" w:eastAsia="Times New Roman" w:hAnsi="Times New Roman"/>
                <w:color w:val="000000"/>
                <w:sz w:val="26"/>
                <w:szCs w:val="26"/>
                <w:lang w:eastAsia="lv-LV"/>
              </w:rPr>
              <w:t>.</w:t>
            </w:r>
            <w:r w:rsidR="0072004D" w:rsidRPr="00B9444C">
              <w:rPr>
                <w:rFonts w:ascii="Times New Roman" w:eastAsia="Times New Roman" w:hAnsi="Times New Roman"/>
                <w:color w:val="000000"/>
                <w:sz w:val="26"/>
                <w:szCs w:val="26"/>
                <w:lang w:eastAsia="lv-LV"/>
              </w:rPr>
              <w:t xml:space="preserve"> </w:t>
            </w:r>
            <w:r w:rsidR="00AD0226" w:rsidRPr="00B9444C">
              <w:rPr>
                <w:rFonts w:ascii="Times New Roman" w:eastAsia="Times New Roman" w:hAnsi="Times New Roman"/>
                <w:color w:val="000000"/>
                <w:sz w:val="26"/>
                <w:szCs w:val="26"/>
                <w:lang w:eastAsia="lv-LV"/>
              </w:rPr>
              <w:t>Ja pakalpojums ir unikāls un tirgus cena nav nosakāma, k</w:t>
            </w:r>
            <w:r w:rsidR="00FC2B44" w:rsidRPr="00B9444C">
              <w:rPr>
                <w:rFonts w:ascii="Times New Roman" w:eastAsia="Times New Roman" w:hAnsi="Times New Roman"/>
                <w:color w:val="000000"/>
                <w:sz w:val="26"/>
                <w:szCs w:val="26"/>
                <w:lang w:eastAsia="lv-LV"/>
              </w:rPr>
              <w:t xml:space="preserve">ompensācija par pakalpojumu ir uzskatāma par līdzvērtīgu tirgus cenai, ja </w:t>
            </w:r>
            <w:r w:rsidR="00F25A1D" w:rsidRPr="00B9444C">
              <w:rPr>
                <w:rFonts w:ascii="Times New Roman" w:eastAsia="Times New Roman" w:hAnsi="Times New Roman"/>
                <w:color w:val="000000"/>
                <w:sz w:val="26"/>
                <w:szCs w:val="26"/>
                <w:lang w:eastAsia="lv-LV"/>
              </w:rPr>
              <w:t>i</w:t>
            </w:r>
            <w:r w:rsidR="00FC2B44" w:rsidRPr="00B9444C">
              <w:rPr>
                <w:rFonts w:ascii="Times New Roman" w:eastAsia="Times New Roman" w:hAnsi="Times New Roman"/>
                <w:color w:val="000000"/>
                <w:sz w:val="26"/>
                <w:szCs w:val="26"/>
                <w:lang w:eastAsia="lv-LV"/>
              </w:rPr>
              <w:t>r izpildīts viens no šādiem nosacījumiem:</w:t>
            </w:r>
          </w:p>
          <w:p w14:paraId="4F23FDB9" w14:textId="05790181" w:rsidR="00FC2B44" w:rsidRPr="00B9444C" w:rsidRDefault="00F25A1D" w:rsidP="00FC2B44">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a) </w:t>
            </w:r>
            <w:r w:rsidR="00FC2B44" w:rsidRPr="00B9444C">
              <w:rPr>
                <w:rFonts w:ascii="Times New Roman" w:eastAsia="Times New Roman" w:hAnsi="Times New Roman"/>
                <w:color w:val="000000"/>
                <w:sz w:val="26"/>
                <w:szCs w:val="26"/>
                <w:lang w:eastAsia="lv-LV"/>
              </w:rPr>
              <w:t xml:space="preserve">kompensācija </w:t>
            </w:r>
            <w:r w:rsidR="006F61EB" w:rsidRPr="00B9444C">
              <w:rPr>
                <w:rFonts w:ascii="Times New Roman" w:eastAsia="Times New Roman" w:hAnsi="Times New Roman"/>
                <w:color w:val="000000"/>
                <w:sz w:val="26"/>
                <w:szCs w:val="26"/>
                <w:lang w:eastAsia="lv-LV"/>
              </w:rPr>
              <w:t xml:space="preserve">ietver </w:t>
            </w:r>
            <w:r w:rsidR="00FC2B44" w:rsidRPr="00B9444C">
              <w:rPr>
                <w:rFonts w:ascii="Times New Roman" w:eastAsia="Times New Roman" w:hAnsi="Times New Roman"/>
                <w:color w:val="000000"/>
                <w:sz w:val="26"/>
                <w:szCs w:val="26"/>
                <w:lang w:eastAsia="lv-LV"/>
              </w:rPr>
              <w:t xml:space="preserve">pakalpojuma pilnās </w:t>
            </w:r>
            <w:r w:rsidR="006215A0" w:rsidRPr="00B9444C">
              <w:rPr>
                <w:rFonts w:ascii="Times New Roman" w:eastAsia="Times New Roman" w:hAnsi="Times New Roman"/>
                <w:color w:val="000000"/>
                <w:sz w:val="26"/>
                <w:szCs w:val="26"/>
                <w:lang w:eastAsia="lv-LV"/>
              </w:rPr>
              <w:t xml:space="preserve">izmaksas </w:t>
            </w:r>
            <w:r w:rsidR="006F61EB" w:rsidRPr="00B9444C">
              <w:rPr>
                <w:rFonts w:ascii="Times New Roman" w:eastAsia="Times New Roman" w:hAnsi="Times New Roman"/>
                <w:color w:val="000000"/>
                <w:sz w:val="26"/>
                <w:szCs w:val="26"/>
                <w:lang w:eastAsia="lv-LV"/>
              </w:rPr>
              <w:t>un</w:t>
            </w:r>
            <w:r w:rsidR="00FC2B44" w:rsidRPr="00B9444C">
              <w:rPr>
                <w:rFonts w:ascii="Times New Roman" w:eastAsia="Times New Roman" w:hAnsi="Times New Roman"/>
                <w:color w:val="000000"/>
                <w:sz w:val="26"/>
                <w:szCs w:val="26"/>
                <w:lang w:eastAsia="lv-LV"/>
              </w:rPr>
              <w:t xml:space="preserve"> uzcenojumu, kas noteikts, pamatojoties uz tādiem uzcenojumiem, ko piemēro </w:t>
            </w:r>
            <w:r w:rsidR="006F61EB" w:rsidRPr="00B9444C">
              <w:rPr>
                <w:rFonts w:ascii="Times New Roman" w:eastAsia="Times New Roman" w:hAnsi="Times New Roman"/>
                <w:color w:val="000000"/>
                <w:sz w:val="26"/>
                <w:szCs w:val="26"/>
                <w:lang w:eastAsia="lv-LV"/>
              </w:rPr>
              <w:t xml:space="preserve">saimnieciskās darbības </w:t>
            </w:r>
            <w:r w:rsidR="006F61EB" w:rsidRPr="00B9444C">
              <w:rPr>
                <w:rFonts w:ascii="Times New Roman" w:eastAsia="Times New Roman" w:hAnsi="Times New Roman"/>
                <w:color w:val="000000"/>
                <w:sz w:val="26"/>
                <w:szCs w:val="26"/>
                <w:lang w:eastAsia="lv-LV"/>
              </w:rPr>
              <w:lastRenderedPageBreak/>
              <w:t>veicēji</w:t>
            </w:r>
            <w:r w:rsidR="00FC2B44" w:rsidRPr="00B9444C">
              <w:rPr>
                <w:rFonts w:ascii="Times New Roman" w:eastAsia="Times New Roman" w:hAnsi="Times New Roman"/>
                <w:color w:val="000000"/>
                <w:sz w:val="26"/>
                <w:szCs w:val="26"/>
                <w:lang w:eastAsia="lv-LV"/>
              </w:rPr>
              <w:t xml:space="preserve">, kas </w:t>
            </w:r>
            <w:r w:rsidR="00AD0226" w:rsidRPr="00B9444C">
              <w:rPr>
                <w:rFonts w:ascii="Times New Roman" w:eastAsia="Times New Roman" w:hAnsi="Times New Roman"/>
                <w:color w:val="000000"/>
                <w:sz w:val="26"/>
                <w:szCs w:val="26"/>
                <w:lang w:eastAsia="lv-LV"/>
              </w:rPr>
              <w:t xml:space="preserve">sniedz līdzīga rakstura </w:t>
            </w:r>
            <w:r w:rsidR="00D37A52" w:rsidRPr="00B9444C">
              <w:rPr>
                <w:rFonts w:ascii="Times New Roman" w:eastAsia="Times New Roman" w:hAnsi="Times New Roman"/>
                <w:color w:val="000000"/>
                <w:sz w:val="26"/>
                <w:szCs w:val="26"/>
                <w:lang w:eastAsia="lv-LV"/>
              </w:rPr>
              <w:t xml:space="preserve">izglītības </w:t>
            </w:r>
            <w:r w:rsidR="00AD0226" w:rsidRPr="00B9444C">
              <w:rPr>
                <w:rFonts w:ascii="Times New Roman" w:eastAsia="Times New Roman" w:hAnsi="Times New Roman"/>
                <w:color w:val="000000"/>
                <w:sz w:val="26"/>
                <w:szCs w:val="26"/>
                <w:lang w:eastAsia="lv-LV"/>
              </w:rPr>
              <w:t>pakalpojumus</w:t>
            </w:r>
            <w:r w:rsidR="00FC2B44" w:rsidRPr="00B9444C">
              <w:rPr>
                <w:rFonts w:ascii="Times New Roman" w:eastAsia="Times New Roman" w:hAnsi="Times New Roman"/>
                <w:color w:val="000000"/>
                <w:sz w:val="26"/>
                <w:szCs w:val="26"/>
                <w:lang w:eastAsia="lv-LV"/>
              </w:rPr>
              <w:t>;</w:t>
            </w:r>
          </w:p>
          <w:p w14:paraId="32C98ABC" w14:textId="77777777" w:rsidR="00F25A1D" w:rsidRPr="00B9444C" w:rsidRDefault="00F25A1D" w:rsidP="00F25A1D">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b)</w:t>
            </w:r>
            <w:r w:rsidR="00FC2B44"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pakalpojuma sniedzējs pierāda, ka tas dokumentētas sarunu procedūras rezultātā ir efektīvi vienojies par kompensāciju godīgas konkurences apstākļos, lai iegūtu maksimālu saimniecisko labumu, kad tiek noslēgts līgums par pakalpojuma sniegšanu.</w:t>
            </w:r>
          </w:p>
          <w:p w14:paraId="7BE0C3C9" w14:textId="2E937423" w:rsidR="00F82423" w:rsidRPr="00415A9D" w:rsidRDefault="00F82423" w:rsidP="00F25A1D">
            <w:pPr>
              <w:spacing w:before="10" w:line="240" w:lineRule="auto"/>
              <w:ind w:left="101" w:right="102"/>
              <w:jc w:val="both"/>
              <w:rPr>
                <w:rFonts w:ascii="Times New Roman" w:eastAsia="Times New Roman" w:hAnsi="Times New Roman"/>
                <w:color w:val="000000"/>
                <w:sz w:val="26"/>
                <w:szCs w:val="26"/>
                <w:lang w:eastAsia="lv-LV"/>
              </w:rPr>
            </w:pPr>
            <w:r w:rsidRPr="00415A9D">
              <w:rPr>
                <w:rFonts w:ascii="Times New Roman" w:eastAsia="Times New Roman" w:hAnsi="Times New Roman"/>
                <w:color w:val="000000"/>
                <w:sz w:val="26"/>
                <w:szCs w:val="26"/>
                <w:lang w:eastAsia="lv-LV"/>
              </w:rPr>
              <w:t xml:space="preserve">Papildu nosacījumi, kas izriet no Komisijas paziņojuma "Nostādnes par valsts atbalstu pētniecībai, izstrādei un inovācijai" (Eiropas Savienības Oficiālais Vēstnesis, 2014. gada 27. jūnijs, Nr. C 198/1) </w:t>
            </w:r>
            <w:r w:rsidR="00B11DFE" w:rsidRPr="00415A9D">
              <w:rPr>
                <w:rFonts w:ascii="Times New Roman" w:eastAsia="Times New Roman" w:hAnsi="Times New Roman"/>
                <w:color w:val="000000"/>
                <w:sz w:val="26"/>
                <w:szCs w:val="26"/>
                <w:lang w:eastAsia="lv-LV"/>
              </w:rPr>
              <w:t xml:space="preserve">(turpmāk </w:t>
            </w:r>
            <w:r w:rsidR="00B11DFE" w:rsidRPr="00415A9D">
              <w:rPr>
                <w:rFonts w:ascii="Times New Roman" w:eastAsia="Times New Roman" w:hAnsi="Times New Roman"/>
                <w:color w:val="000000"/>
                <w:sz w:val="26"/>
                <w:szCs w:val="26"/>
                <w:lang w:eastAsia="lv-LV"/>
              </w:rPr>
              <w:softHyphen/>
              <w:t xml:space="preserve"> Nostādnes) </w:t>
            </w:r>
            <w:r w:rsidRPr="00415A9D">
              <w:rPr>
                <w:rFonts w:ascii="Times New Roman" w:eastAsia="Times New Roman" w:hAnsi="Times New Roman"/>
                <w:color w:val="000000"/>
                <w:sz w:val="26"/>
                <w:szCs w:val="26"/>
                <w:lang w:eastAsia="lv-LV"/>
              </w:rPr>
              <w:t>25. punkta, ieviesti, lai augstākās izglītības institūcijas</w:t>
            </w:r>
            <w:r w:rsidR="00BC4E3F" w:rsidRPr="00415A9D">
              <w:rPr>
                <w:rFonts w:ascii="Times New Roman" w:eastAsia="Times New Roman" w:hAnsi="Times New Roman"/>
                <w:color w:val="000000"/>
                <w:sz w:val="26"/>
                <w:szCs w:val="26"/>
                <w:lang w:eastAsia="lv-LV"/>
              </w:rPr>
              <w:t>, kas atbilst</w:t>
            </w:r>
            <w:r w:rsidRPr="00415A9D">
              <w:rPr>
                <w:rFonts w:ascii="Times New Roman" w:eastAsia="Times New Roman" w:hAnsi="Times New Roman"/>
                <w:color w:val="000000"/>
                <w:sz w:val="26"/>
                <w:szCs w:val="26"/>
                <w:lang w:eastAsia="lv-LV"/>
              </w:rPr>
              <w:t xml:space="preserve"> pētniecības organizācijas </w:t>
            </w:r>
            <w:r w:rsidR="00BC4E3F" w:rsidRPr="00415A9D">
              <w:rPr>
                <w:rFonts w:ascii="Times New Roman" w:eastAsia="Times New Roman" w:hAnsi="Times New Roman"/>
                <w:color w:val="000000"/>
                <w:sz w:val="26"/>
                <w:szCs w:val="26"/>
                <w:lang w:eastAsia="lv-LV"/>
              </w:rPr>
              <w:t xml:space="preserve">definīcijai, </w:t>
            </w:r>
            <w:r w:rsidRPr="00415A9D">
              <w:rPr>
                <w:rFonts w:ascii="Times New Roman" w:eastAsia="Times New Roman" w:hAnsi="Times New Roman"/>
                <w:color w:val="000000"/>
                <w:sz w:val="26"/>
                <w:szCs w:val="26"/>
                <w:lang w:eastAsia="lv-LV"/>
              </w:rPr>
              <w:t xml:space="preserve">varētu izstrādāt un piemērot vienotu institūcijas finanšu vadības un grāmatvedības politiku attiecībā uz </w:t>
            </w:r>
            <w:r w:rsidR="00BC4E3F" w:rsidRPr="00415A9D">
              <w:rPr>
                <w:rFonts w:ascii="Times New Roman" w:eastAsia="Times New Roman" w:hAnsi="Times New Roman"/>
                <w:color w:val="000000"/>
                <w:sz w:val="26"/>
                <w:szCs w:val="26"/>
                <w:lang w:eastAsia="lv-LV"/>
              </w:rPr>
              <w:t xml:space="preserve">kompensāciju  </w:t>
            </w:r>
            <w:r w:rsidRPr="00415A9D">
              <w:rPr>
                <w:rFonts w:ascii="Times New Roman" w:eastAsia="Times New Roman" w:hAnsi="Times New Roman"/>
                <w:color w:val="000000"/>
                <w:sz w:val="26"/>
                <w:szCs w:val="26"/>
                <w:lang w:eastAsia="lv-LV"/>
              </w:rPr>
              <w:t>par sniegtajiem pakalpojumiem.</w:t>
            </w:r>
          </w:p>
          <w:p w14:paraId="78DC10AE" w14:textId="77777777" w:rsidR="006F61EB" w:rsidRPr="00B9444C" w:rsidRDefault="006F61EB" w:rsidP="006F61EB">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Noteikumu projekts nodala pakalpojumus, ko sniedz subjektiem, kas:</w:t>
            </w:r>
          </w:p>
          <w:p w14:paraId="2D78E0DE" w14:textId="77777777" w:rsidR="006F61EB" w:rsidRPr="00B9444C" w:rsidRDefault="006F61EB" w:rsidP="006F61EB">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 modernizēto augstākās izglītības infrastruktūru izmanto ar saimniecisku darbību nesaistītas pamatdarbības veikšanai (MK noteikumu Nr. 561 35.</w:t>
            </w:r>
            <w:r w:rsidRPr="00B9444C">
              <w:rPr>
                <w:rFonts w:ascii="Times New Roman" w:eastAsia="Times New Roman" w:hAnsi="Times New Roman"/>
                <w:color w:val="000000"/>
                <w:sz w:val="26"/>
                <w:szCs w:val="26"/>
                <w:vertAlign w:val="superscript"/>
                <w:lang w:eastAsia="lv-LV"/>
              </w:rPr>
              <w:t>6</w:t>
            </w:r>
            <w:r w:rsidRPr="00B9444C">
              <w:rPr>
                <w:rFonts w:ascii="Times New Roman" w:eastAsia="Times New Roman" w:hAnsi="Times New Roman"/>
                <w:color w:val="000000"/>
                <w:sz w:val="26"/>
                <w:szCs w:val="26"/>
                <w:lang w:eastAsia="lv-LV"/>
              </w:rPr>
              <w:t> 1. apakšpunkts). Minētajā gadījumā noteikumu projektā ietvertā norma atbilst Ministru kabineta 2018. gada 20. februāra noteikumu Nr. 97 „Publiskas personas mantas iznomāšanas noteikumi” (turpmāk – MK noteikumi Nr. 97) 3. nodaļā</w:t>
            </w:r>
            <w:r w:rsidRPr="00B9444C">
              <w:rPr>
                <w:rStyle w:val="FootnoteReference"/>
                <w:rFonts w:ascii="Times New Roman" w:eastAsia="Times New Roman" w:hAnsi="Times New Roman"/>
                <w:color w:val="000000"/>
                <w:sz w:val="26"/>
                <w:szCs w:val="26"/>
                <w:lang w:eastAsia="lv-LV"/>
              </w:rPr>
              <w:footnoteReference w:id="7"/>
            </w:r>
            <w:r w:rsidRPr="00B9444C">
              <w:rPr>
                <w:rStyle w:val="FootnoteReference"/>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 xml:space="preserve"> noteiktajam;  </w:t>
            </w:r>
          </w:p>
          <w:p w14:paraId="11576FA8" w14:textId="2FC8E4C8" w:rsidR="006F61EB" w:rsidRPr="00B9444C" w:rsidRDefault="006F61EB" w:rsidP="006F61EB">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b) </w:t>
            </w:r>
            <w:r w:rsidR="006215A0" w:rsidRPr="00B9444C">
              <w:rPr>
                <w:rFonts w:ascii="Times New Roman" w:eastAsia="Times New Roman" w:hAnsi="Times New Roman"/>
                <w:color w:val="000000"/>
                <w:sz w:val="26"/>
                <w:szCs w:val="26"/>
                <w:lang w:eastAsia="lv-LV"/>
              </w:rPr>
              <w:t>augstākās izglītības</w:t>
            </w:r>
            <w:r w:rsidRPr="00B9444C">
              <w:rPr>
                <w:rFonts w:ascii="Times New Roman" w:eastAsia="Times New Roman" w:hAnsi="Times New Roman"/>
                <w:color w:val="000000"/>
                <w:sz w:val="26"/>
                <w:szCs w:val="26"/>
                <w:lang w:eastAsia="lv-LV"/>
              </w:rPr>
              <w:t xml:space="preserve"> infrastruktūru izmanto ar saimniecisku darbību saistītas pamatdarbības veikšanai (MK noteikumu Nr. 561 35.</w:t>
            </w:r>
            <w:r w:rsidRPr="00B9444C">
              <w:rPr>
                <w:rFonts w:ascii="Times New Roman" w:eastAsia="Times New Roman" w:hAnsi="Times New Roman"/>
                <w:color w:val="000000"/>
                <w:sz w:val="26"/>
                <w:szCs w:val="26"/>
                <w:vertAlign w:val="superscript"/>
                <w:lang w:eastAsia="lv-LV"/>
              </w:rPr>
              <w:t>6</w:t>
            </w:r>
            <w:r w:rsidRPr="00B9444C">
              <w:rPr>
                <w:rFonts w:ascii="Times New Roman" w:eastAsia="Times New Roman" w:hAnsi="Times New Roman"/>
                <w:color w:val="000000"/>
                <w:sz w:val="26"/>
                <w:szCs w:val="26"/>
                <w:lang w:eastAsia="lv-LV"/>
              </w:rPr>
              <w:t> 2. apakšpunkts). Minētajā gadījumā uz pakalpojumu sniedzēju attiecas nosacījums par pakalpojumu sniegšanu atbilstoši tirgus cenai, ievērojot MK noteikum</w:t>
            </w:r>
            <w:r w:rsidR="00BF0F1C" w:rsidRPr="00B9444C">
              <w:rPr>
                <w:rFonts w:ascii="Times New Roman" w:eastAsia="Times New Roman" w:hAnsi="Times New Roman"/>
                <w:color w:val="000000"/>
                <w:sz w:val="26"/>
                <w:szCs w:val="26"/>
                <w:lang w:eastAsia="lv-LV"/>
              </w:rPr>
              <w:t>u</w:t>
            </w:r>
            <w:r w:rsidRPr="00B9444C">
              <w:rPr>
                <w:rFonts w:ascii="Times New Roman" w:eastAsia="Times New Roman" w:hAnsi="Times New Roman"/>
                <w:color w:val="000000"/>
                <w:sz w:val="26"/>
                <w:szCs w:val="26"/>
                <w:lang w:eastAsia="lv-LV"/>
              </w:rPr>
              <w:t xml:space="preserve"> Nr. 97 4. nodaļā</w:t>
            </w:r>
            <w:r w:rsidR="008F63F5" w:rsidRPr="00B9444C">
              <w:rPr>
                <w:rStyle w:val="FootnoteReference"/>
                <w:rFonts w:ascii="Times New Roman" w:eastAsia="Times New Roman" w:hAnsi="Times New Roman"/>
                <w:color w:val="000000"/>
                <w:sz w:val="26"/>
                <w:szCs w:val="26"/>
                <w:lang w:eastAsia="lv-LV"/>
              </w:rPr>
              <w:footnoteReference w:id="8"/>
            </w:r>
            <w:r w:rsidR="008F63F5"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 xml:space="preserve"> noteikto.</w:t>
            </w:r>
          </w:p>
          <w:p w14:paraId="7225B76A" w14:textId="0DE16AB5" w:rsidR="00E15C48" w:rsidRPr="00415A9D" w:rsidRDefault="00B11DFE" w:rsidP="006F61EB">
            <w:pPr>
              <w:spacing w:before="10" w:line="240" w:lineRule="auto"/>
              <w:ind w:left="101" w:right="102"/>
              <w:jc w:val="both"/>
              <w:rPr>
                <w:rFonts w:ascii="Times New Roman" w:eastAsia="Times New Roman" w:hAnsi="Times New Roman"/>
                <w:color w:val="000000"/>
                <w:sz w:val="26"/>
                <w:szCs w:val="26"/>
                <w:lang w:eastAsia="lv-LV"/>
              </w:rPr>
            </w:pPr>
            <w:r w:rsidRPr="00415A9D">
              <w:rPr>
                <w:rFonts w:ascii="Times New Roman" w:eastAsia="Times New Roman" w:hAnsi="Times New Roman"/>
                <w:color w:val="000000"/>
                <w:sz w:val="26"/>
                <w:szCs w:val="26"/>
                <w:lang w:eastAsia="lv-LV"/>
              </w:rPr>
              <w:t>G</w:t>
            </w:r>
            <w:r w:rsidR="00E15C48" w:rsidRPr="00415A9D">
              <w:rPr>
                <w:rFonts w:ascii="Times New Roman" w:eastAsia="Times New Roman" w:hAnsi="Times New Roman"/>
                <w:color w:val="000000"/>
                <w:sz w:val="26"/>
                <w:szCs w:val="26"/>
                <w:lang w:eastAsia="lv-LV"/>
              </w:rPr>
              <w:t xml:space="preserve">adījumā, ja </w:t>
            </w:r>
            <w:r w:rsidRPr="00415A9D">
              <w:rPr>
                <w:rFonts w:ascii="Times New Roman" w:eastAsia="Times New Roman" w:hAnsi="Times New Roman"/>
                <w:color w:val="000000"/>
                <w:sz w:val="26"/>
                <w:szCs w:val="26"/>
                <w:lang w:eastAsia="lv-LV"/>
              </w:rPr>
              <w:t xml:space="preserve">izveidosies situācija, ka no MK noteikumiem Nr. 97 un Nostādnēm izrietošie </w:t>
            </w:r>
            <w:r w:rsidR="00E15C48" w:rsidRPr="00415A9D">
              <w:rPr>
                <w:rFonts w:ascii="Times New Roman" w:eastAsia="Times New Roman" w:hAnsi="Times New Roman"/>
                <w:color w:val="000000"/>
                <w:sz w:val="26"/>
                <w:szCs w:val="26"/>
                <w:lang w:eastAsia="lv-LV"/>
              </w:rPr>
              <w:t xml:space="preserve">nosacījumi </w:t>
            </w:r>
            <w:r w:rsidR="0015622A" w:rsidRPr="00415A9D">
              <w:rPr>
                <w:rFonts w:ascii="Times New Roman" w:eastAsia="Times New Roman" w:hAnsi="Times New Roman"/>
                <w:color w:val="000000"/>
                <w:sz w:val="26"/>
                <w:szCs w:val="26"/>
                <w:lang w:eastAsia="lv-LV"/>
              </w:rPr>
              <w:t>atšķirsies</w:t>
            </w:r>
            <w:r w:rsidRPr="00415A9D">
              <w:rPr>
                <w:rFonts w:ascii="Times New Roman" w:eastAsia="Times New Roman" w:hAnsi="Times New Roman"/>
                <w:color w:val="000000"/>
                <w:sz w:val="26"/>
                <w:szCs w:val="26"/>
                <w:lang w:eastAsia="lv-LV"/>
              </w:rPr>
              <w:t xml:space="preserve">, augstākās izglītības institūcijas piemēro </w:t>
            </w:r>
            <w:r w:rsidR="009C2C80" w:rsidRPr="00415A9D">
              <w:rPr>
                <w:rFonts w:ascii="Times New Roman" w:eastAsia="Times New Roman" w:hAnsi="Times New Roman"/>
                <w:color w:val="000000"/>
                <w:sz w:val="26"/>
                <w:szCs w:val="26"/>
                <w:lang w:eastAsia="lv-LV"/>
              </w:rPr>
              <w:t>MK noteikumu Nr. 97</w:t>
            </w:r>
            <w:r w:rsidRPr="00415A9D">
              <w:rPr>
                <w:rFonts w:ascii="Times New Roman" w:eastAsia="Times New Roman" w:hAnsi="Times New Roman"/>
                <w:color w:val="000000"/>
                <w:sz w:val="26"/>
                <w:szCs w:val="26"/>
                <w:lang w:eastAsia="lv-LV"/>
              </w:rPr>
              <w:t xml:space="preserve"> nosacījumus.</w:t>
            </w:r>
          </w:p>
          <w:p w14:paraId="11B63FAC" w14:textId="77777777" w:rsidR="00DE7141" w:rsidRPr="00B9444C" w:rsidRDefault="005C0F83" w:rsidP="007E730B">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2</w:t>
            </w:r>
            <w:r w:rsidR="00546CD0" w:rsidRPr="00B9444C">
              <w:rPr>
                <w:rFonts w:ascii="Times New Roman" w:eastAsia="Times New Roman" w:hAnsi="Times New Roman"/>
                <w:color w:val="000000"/>
                <w:sz w:val="26"/>
                <w:szCs w:val="26"/>
                <w:lang w:eastAsia="lv-LV"/>
              </w:rPr>
              <w:t xml:space="preserve">. MK noteikumi </w:t>
            </w:r>
            <w:r w:rsidR="00676B31" w:rsidRPr="00B9444C">
              <w:rPr>
                <w:rFonts w:ascii="Times New Roman" w:eastAsia="Times New Roman" w:hAnsi="Times New Roman"/>
                <w:color w:val="000000"/>
                <w:sz w:val="26"/>
                <w:szCs w:val="26"/>
                <w:lang w:eastAsia="lv-LV"/>
              </w:rPr>
              <w:t>N</w:t>
            </w:r>
            <w:r w:rsidR="00546CD0" w:rsidRPr="00B9444C">
              <w:rPr>
                <w:rFonts w:ascii="Times New Roman" w:eastAsia="Times New Roman" w:hAnsi="Times New Roman"/>
                <w:color w:val="000000"/>
                <w:sz w:val="26"/>
                <w:szCs w:val="26"/>
                <w:lang w:eastAsia="lv-LV"/>
              </w:rPr>
              <w:t xml:space="preserve">r. </w:t>
            </w:r>
            <w:r w:rsidRPr="00B9444C">
              <w:rPr>
                <w:rFonts w:ascii="Times New Roman" w:eastAsia="Times New Roman" w:hAnsi="Times New Roman"/>
                <w:color w:val="000000"/>
                <w:sz w:val="26"/>
                <w:szCs w:val="26"/>
                <w:lang w:eastAsia="lv-LV"/>
              </w:rPr>
              <w:t>56</w:t>
            </w:r>
            <w:r w:rsidR="00426F29" w:rsidRPr="00B9444C">
              <w:rPr>
                <w:rFonts w:ascii="Times New Roman" w:eastAsia="Times New Roman" w:hAnsi="Times New Roman"/>
                <w:color w:val="000000"/>
                <w:sz w:val="26"/>
                <w:szCs w:val="26"/>
                <w:lang w:eastAsia="lv-LV"/>
              </w:rPr>
              <w:t>1</w:t>
            </w:r>
            <w:r w:rsidR="00546CD0" w:rsidRPr="00B9444C">
              <w:rPr>
                <w:rFonts w:ascii="Times New Roman" w:eastAsia="Times New Roman" w:hAnsi="Times New Roman"/>
                <w:color w:val="000000"/>
                <w:sz w:val="26"/>
                <w:szCs w:val="26"/>
                <w:lang w:eastAsia="lv-LV"/>
              </w:rPr>
              <w:t xml:space="preserve"> papildināti ar normām, kas nosaka</w:t>
            </w:r>
            <w:r w:rsidR="008A1D1B" w:rsidRPr="00B9444C">
              <w:rPr>
                <w:rFonts w:ascii="Times New Roman" w:eastAsia="Times New Roman" w:hAnsi="Times New Roman"/>
                <w:color w:val="000000"/>
                <w:sz w:val="26"/>
                <w:szCs w:val="26"/>
                <w:lang w:eastAsia="lv-LV"/>
              </w:rPr>
              <w:t xml:space="preserve"> </w:t>
            </w:r>
            <w:r w:rsidR="00546CD0" w:rsidRPr="00B9444C">
              <w:rPr>
                <w:rFonts w:ascii="Times New Roman" w:eastAsia="Times New Roman" w:hAnsi="Times New Roman"/>
                <w:color w:val="000000"/>
                <w:sz w:val="26"/>
                <w:szCs w:val="26"/>
                <w:lang w:eastAsia="lv-LV"/>
              </w:rPr>
              <w:t xml:space="preserve">finansējuma saņēmējam </w:t>
            </w:r>
            <w:r w:rsidR="00457D3E" w:rsidRPr="00B9444C">
              <w:rPr>
                <w:rFonts w:ascii="Times New Roman" w:eastAsia="Times New Roman" w:hAnsi="Times New Roman"/>
                <w:color w:val="000000"/>
                <w:sz w:val="26"/>
                <w:szCs w:val="26"/>
                <w:lang w:eastAsia="lv-LV"/>
              </w:rPr>
              <w:t xml:space="preserve">un sadarbības partnerim </w:t>
            </w:r>
            <w:r w:rsidR="00546CD0" w:rsidRPr="00B9444C">
              <w:rPr>
                <w:rFonts w:ascii="Times New Roman" w:eastAsia="Times New Roman" w:hAnsi="Times New Roman"/>
                <w:color w:val="000000"/>
                <w:sz w:val="26"/>
                <w:szCs w:val="26"/>
                <w:lang w:eastAsia="lv-LV"/>
              </w:rPr>
              <w:t xml:space="preserve">izvirzītās prasības, kas izriet no ES </w:t>
            </w:r>
            <w:r w:rsidR="002F2941" w:rsidRPr="00B9444C">
              <w:rPr>
                <w:rFonts w:ascii="Times New Roman" w:eastAsia="Times New Roman" w:hAnsi="Times New Roman"/>
                <w:color w:val="000000"/>
                <w:sz w:val="26"/>
                <w:szCs w:val="26"/>
                <w:lang w:eastAsia="lv-LV"/>
              </w:rPr>
              <w:t xml:space="preserve">un nacionālās </w:t>
            </w:r>
            <w:r w:rsidR="00546CD0" w:rsidRPr="00B9444C">
              <w:rPr>
                <w:rFonts w:ascii="Times New Roman" w:eastAsia="Times New Roman" w:hAnsi="Times New Roman"/>
                <w:color w:val="000000"/>
                <w:sz w:val="26"/>
                <w:szCs w:val="26"/>
                <w:lang w:eastAsia="lv-LV"/>
              </w:rPr>
              <w:t>tiesību sistēmas</w:t>
            </w:r>
            <w:r w:rsidR="00AB26FE" w:rsidRPr="00B9444C">
              <w:rPr>
                <w:rFonts w:ascii="Times New Roman" w:eastAsia="Times New Roman" w:hAnsi="Times New Roman"/>
                <w:color w:val="000000"/>
                <w:sz w:val="26"/>
                <w:szCs w:val="26"/>
                <w:lang w:eastAsia="lv-LV"/>
              </w:rPr>
              <w:t xml:space="preserve"> (</w:t>
            </w:r>
            <w:r w:rsidR="001B0A1F" w:rsidRPr="00B9444C">
              <w:rPr>
                <w:rFonts w:ascii="Times New Roman" w:eastAsia="Times New Roman" w:hAnsi="Times New Roman"/>
                <w:color w:val="000000"/>
                <w:sz w:val="26"/>
                <w:szCs w:val="26"/>
                <w:lang w:eastAsia="lv-LV"/>
              </w:rPr>
              <w:t xml:space="preserve">noteikumu projekta </w:t>
            </w:r>
            <w:r w:rsidR="00366D2D" w:rsidRPr="00B9444C">
              <w:rPr>
                <w:rFonts w:ascii="Times New Roman" w:eastAsia="Times New Roman" w:hAnsi="Times New Roman"/>
                <w:color w:val="000000"/>
                <w:sz w:val="26"/>
                <w:szCs w:val="26"/>
                <w:lang w:eastAsia="lv-LV"/>
              </w:rPr>
              <w:t>2</w:t>
            </w:r>
            <w:r w:rsidR="001B0A1F" w:rsidRPr="00B9444C">
              <w:rPr>
                <w:rFonts w:ascii="Times New Roman" w:eastAsia="Times New Roman" w:hAnsi="Times New Roman"/>
                <w:color w:val="000000"/>
                <w:sz w:val="26"/>
                <w:szCs w:val="26"/>
                <w:lang w:eastAsia="lv-LV"/>
              </w:rPr>
              <w:t>.</w:t>
            </w:r>
            <w:r w:rsidR="00FD0313" w:rsidRPr="00B9444C">
              <w:rPr>
                <w:rFonts w:ascii="Times New Roman" w:eastAsia="Times New Roman" w:hAnsi="Times New Roman"/>
                <w:color w:val="000000"/>
                <w:sz w:val="26"/>
                <w:szCs w:val="26"/>
                <w:lang w:eastAsia="lv-LV"/>
              </w:rPr>
              <w:t> </w:t>
            </w:r>
            <w:r w:rsidR="001B0A1F" w:rsidRPr="00B9444C">
              <w:rPr>
                <w:rFonts w:ascii="Times New Roman" w:eastAsia="Times New Roman" w:hAnsi="Times New Roman"/>
                <w:color w:val="000000"/>
                <w:sz w:val="26"/>
                <w:szCs w:val="26"/>
                <w:lang w:eastAsia="lv-LV"/>
              </w:rPr>
              <w:t xml:space="preserve">punkts; </w:t>
            </w:r>
            <w:r w:rsidR="00A02CE4" w:rsidRPr="00B9444C">
              <w:rPr>
                <w:rFonts w:ascii="Times New Roman" w:eastAsia="Times New Roman" w:hAnsi="Times New Roman"/>
                <w:color w:val="000000"/>
                <w:sz w:val="26"/>
                <w:szCs w:val="26"/>
                <w:lang w:eastAsia="lv-LV"/>
              </w:rPr>
              <w:t xml:space="preserve">MK noteikumu Nr. </w:t>
            </w:r>
            <w:r w:rsidRPr="00B9444C">
              <w:rPr>
                <w:rFonts w:ascii="Times New Roman" w:eastAsia="Times New Roman" w:hAnsi="Times New Roman"/>
                <w:color w:val="000000"/>
                <w:sz w:val="26"/>
                <w:szCs w:val="26"/>
                <w:lang w:eastAsia="lv-LV"/>
              </w:rPr>
              <w:t>56</w:t>
            </w:r>
            <w:r w:rsidR="00426F29" w:rsidRPr="00B9444C">
              <w:rPr>
                <w:rFonts w:ascii="Times New Roman" w:eastAsia="Times New Roman" w:hAnsi="Times New Roman"/>
                <w:color w:val="000000"/>
                <w:sz w:val="26"/>
                <w:szCs w:val="26"/>
                <w:lang w:eastAsia="lv-LV"/>
              </w:rPr>
              <w:t>1</w:t>
            </w:r>
            <w:r w:rsidRPr="00B9444C">
              <w:rPr>
                <w:rFonts w:ascii="Times New Roman" w:eastAsia="Times New Roman" w:hAnsi="Times New Roman"/>
                <w:color w:val="000000"/>
                <w:sz w:val="26"/>
                <w:szCs w:val="26"/>
                <w:lang w:eastAsia="lv-LV"/>
              </w:rPr>
              <w:t xml:space="preserve"> </w:t>
            </w:r>
            <w:r w:rsidR="00426F29" w:rsidRPr="00B9444C">
              <w:rPr>
                <w:rFonts w:ascii="Times New Roman" w:hAnsi="Times New Roman"/>
                <w:color w:val="000000"/>
                <w:sz w:val="26"/>
                <w:szCs w:val="26"/>
                <w:lang w:eastAsia="lv-LV"/>
              </w:rPr>
              <w:t>35</w:t>
            </w:r>
            <w:r w:rsidRPr="00B9444C">
              <w:rPr>
                <w:rFonts w:ascii="Times New Roman" w:hAnsi="Times New Roman"/>
                <w:color w:val="000000"/>
                <w:sz w:val="26"/>
                <w:szCs w:val="26"/>
                <w:lang w:eastAsia="lv-LV"/>
              </w:rPr>
              <w:t>.</w:t>
            </w:r>
            <w:r w:rsidR="00426F29" w:rsidRPr="00B9444C">
              <w:rPr>
                <w:rFonts w:ascii="Times New Roman" w:hAnsi="Times New Roman"/>
                <w:color w:val="000000"/>
                <w:sz w:val="26"/>
                <w:szCs w:val="26"/>
                <w:vertAlign w:val="superscript"/>
                <w:lang w:eastAsia="lv-LV"/>
              </w:rPr>
              <w:t>2</w:t>
            </w:r>
            <w:r w:rsidRPr="00B9444C">
              <w:rPr>
                <w:rFonts w:ascii="Times New Roman" w:eastAsia="Times New Roman" w:hAnsi="Times New Roman"/>
                <w:color w:val="000000"/>
                <w:sz w:val="26"/>
                <w:szCs w:val="26"/>
                <w:lang w:eastAsia="lv-LV"/>
              </w:rPr>
              <w:t>punkts</w:t>
            </w:r>
            <w:r w:rsidR="00AB26FE" w:rsidRPr="00B9444C">
              <w:rPr>
                <w:rFonts w:ascii="Times New Roman" w:eastAsia="Times New Roman" w:hAnsi="Times New Roman"/>
                <w:color w:val="000000"/>
                <w:sz w:val="26"/>
                <w:szCs w:val="26"/>
                <w:lang w:eastAsia="lv-LV"/>
              </w:rPr>
              <w:t>)</w:t>
            </w:r>
            <w:r w:rsidR="008A1D1B" w:rsidRPr="00B9444C">
              <w:rPr>
                <w:rFonts w:ascii="Times New Roman" w:eastAsia="Times New Roman" w:hAnsi="Times New Roman"/>
                <w:color w:val="000000"/>
                <w:sz w:val="26"/>
                <w:szCs w:val="26"/>
                <w:lang w:eastAsia="lv-LV"/>
              </w:rPr>
              <w:t>.</w:t>
            </w:r>
          </w:p>
          <w:p w14:paraId="17B553E6" w14:textId="34651CF1" w:rsidR="00C46744" w:rsidRPr="00B9444C" w:rsidRDefault="00C46744" w:rsidP="00625405">
            <w:pPr>
              <w:spacing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Noteikumu projekts paredz, ka </w:t>
            </w:r>
            <w:r w:rsidR="00AC254F" w:rsidRPr="00B9444C">
              <w:rPr>
                <w:rFonts w:ascii="Times New Roman" w:eastAsia="Times New Roman" w:hAnsi="Times New Roman"/>
                <w:color w:val="000000"/>
                <w:sz w:val="26"/>
                <w:szCs w:val="26"/>
                <w:lang w:eastAsia="lv-LV"/>
              </w:rPr>
              <w:t>modernizētā</w:t>
            </w:r>
            <w:r w:rsidRPr="00B9444C">
              <w:rPr>
                <w:rFonts w:ascii="Times New Roman" w:eastAsia="Times New Roman" w:hAnsi="Times New Roman"/>
                <w:color w:val="000000"/>
                <w:sz w:val="26"/>
                <w:szCs w:val="26"/>
                <w:lang w:eastAsia="lv-LV"/>
              </w:rPr>
              <w:t xml:space="preserve"> infrastruktūra ir izmantojama ar saimniecisku darbību nesaistītu un </w:t>
            </w:r>
            <w:r w:rsidR="00B24F5C" w:rsidRPr="00415A9D">
              <w:rPr>
                <w:rFonts w:ascii="Times New Roman" w:eastAsia="Times New Roman" w:hAnsi="Times New Roman"/>
                <w:color w:val="000000"/>
                <w:sz w:val="26"/>
                <w:szCs w:val="26"/>
                <w:lang w:eastAsia="lv-LV"/>
              </w:rPr>
              <w:t>vietēja rakstura</w:t>
            </w:r>
            <w:r w:rsidR="00B24F5C" w:rsidRPr="00B9444C">
              <w:rPr>
                <w:rFonts w:ascii="Times New Roman" w:eastAsia="Times New Roman" w:hAnsi="Times New Roman"/>
                <w:color w:val="000000"/>
                <w:sz w:val="26"/>
                <w:szCs w:val="26"/>
                <w:lang w:eastAsia="lv-LV"/>
              </w:rPr>
              <w:t xml:space="preserve"> </w:t>
            </w:r>
            <w:r w:rsidR="00AC254F" w:rsidRPr="00B9444C">
              <w:rPr>
                <w:rFonts w:ascii="Times New Roman" w:eastAsia="Times New Roman" w:hAnsi="Times New Roman"/>
                <w:color w:val="000000"/>
                <w:sz w:val="26"/>
                <w:szCs w:val="26"/>
                <w:lang w:eastAsia="lv-LV"/>
              </w:rPr>
              <w:t>saimniecisku</w:t>
            </w:r>
            <w:r w:rsidRPr="00B9444C">
              <w:rPr>
                <w:rFonts w:ascii="Times New Roman" w:eastAsia="Times New Roman" w:hAnsi="Times New Roman"/>
                <w:color w:val="000000"/>
                <w:sz w:val="26"/>
                <w:szCs w:val="26"/>
                <w:lang w:eastAsia="lv-LV"/>
              </w:rPr>
              <w:t xml:space="preserve"> darbību īstenošanai</w:t>
            </w:r>
            <w:r w:rsidR="005056E8"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 xml:space="preserve"> ja </w:t>
            </w:r>
            <w:r w:rsidR="00D37A52" w:rsidRPr="00B9444C">
              <w:rPr>
                <w:rFonts w:ascii="Times New Roman" w:eastAsia="Times New Roman" w:hAnsi="Times New Roman"/>
                <w:color w:val="000000"/>
                <w:sz w:val="26"/>
                <w:szCs w:val="26"/>
                <w:lang w:eastAsia="lv-LV"/>
              </w:rPr>
              <w:t>labuma guvējs</w:t>
            </w:r>
            <w:r w:rsidRPr="00B9444C">
              <w:rPr>
                <w:rFonts w:ascii="Times New Roman" w:eastAsia="Times New Roman" w:hAnsi="Times New Roman"/>
                <w:color w:val="000000"/>
                <w:sz w:val="26"/>
                <w:szCs w:val="26"/>
                <w:lang w:eastAsia="lv-LV"/>
              </w:rPr>
              <w:t xml:space="preserve"> </w:t>
            </w:r>
            <w:r w:rsidR="00954AF5" w:rsidRPr="00B9444C">
              <w:rPr>
                <w:rFonts w:ascii="Times New Roman" w:eastAsia="Times New Roman" w:hAnsi="Times New Roman"/>
                <w:color w:val="000000"/>
                <w:sz w:val="26"/>
                <w:szCs w:val="26"/>
                <w:lang w:eastAsia="lv-LV"/>
              </w:rPr>
              <w:t xml:space="preserve">finanšu vadības un grāmatvedības politikas aprakstam pievieno </w:t>
            </w:r>
            <w:r w:rsidR="00625405" w:rsidRPr="00B9444C">
              <w:rPr>
                <w:rFonts w:ascii="Times New Roman" w:eastAsia="Times New Roman" w:hAnsi="Times New Roman"/>
                <w:color w:val="000000"/>
                <w:sz w:val="26"/>
                <w:szCs w:val="26"/>
                <w:lang w:eastAsia="lv-LV"/>
              </w:rPr>
              <w:t>saimniecisko darbību</w:t>
            </w:r>
            <w:r w:rsidR="00954AF5" w:rsidRPr="00B9444C">
              <w:rPr>
                <w:rFonts w:ascii="Times New Roman" w:eastAsia="Times New Roman" w:hAnsi="Times New Roman"/>
                <w:color w:val="000000"/>
                <w:sz w:val="26"/>
                <w:szCs w:val="26"/>
                <w:lang w:eastAsia="lv-LV"/>
              </w:rPr>
              <w:t xml:space="preserve"> kontroles mehānisma aprakstu</w:t>
            </w:r>
            <w:r w:rsidR="00AC254F" w:rsidRPr="00B9444C">
              <w:rPr>
                <w:rFonts w:ascii="Times New Roman" w:eastAsia="Times New Roman" w:hAnsi="Times New Roman"/>
                <w:color w:val="000000"/>
                <w:sz w:val="26"/>
                <w:szCs w:val="26"/>
                <w:lang w:eastAsia="lv-LV"/>
              </w:rPr>
              <w:t xml:space="preserve"> un</w:t>
            </w:r>
            <w:r w:rsidR="00AB26FE" w:rsidRPr="00B9444C">
              <w:rPr>
                <w:rFonts w:ascii="Times New Roman" w:eastAsia="Times New Roman" w:hAnsi="Times New Roman"/>
                <w:color w:val="000000"/>
                <w:sz w:val="26"/>
                <w:szCs w:val="26"/>
                <w:lang w:eastAsia="lv-LV"/>
              </w:rPr>
              <w:t xml:space="preserve"> kārtību</w:t>
            </w:r>
            <w:r w:rsidR="00426F29" w:rsidRPr="00B9444C">
              <w:rPr>
                <w:rFonts w:ascii="Times New Roman" w:eastAsia="Times New Roman" w:hAnsi="Times New Roman"/>
                <w:color w:val="000000"/>
                <w:sz w:val="26"/>
                <w:szCs w:val="26"/>
                <w:lang w:eastAsia="lv-LV"/>
              </w:rPr>
              <w:t>, kādā treš</w:t>
            </w:r>
            <w:r w:rsidR="008B3FCC" w:rsidRPr="00B9444C">
              <w:rPr>
                <w:rFonts w:ascii="Times New Roman" w:eastAsia="Times New Roman" w:hAnsi="Times New Roman"/>
                <w:color w:val="000000"/>
                <w:sz w:val="26"/>
                <w:szCs w:val="26"/>
                <w:lang w:eastAsia="lv-LV"/>
              </w:rPr>
              <w:t>aj</w:t>
            </w:r>
            <w:r w:rsidR="00426F29" w:rsidRPr="00B9444C">
              <w:rPr>
                <w:rFonts w:ascii="Times New Roman" w:eastAsia="Times New Roman" w:hAnsi="Times New Roman"/>
                <w:color w:val="000000"/>
                <w:sz w:val="26"/>
                <w:szCs w:val="26"/>
                <w:lang w:eastAsia="lv-LV"/>
              </w:rPr>
              <w:t>ām pusēm nodrošina piekļuvi modernizētai augstākās izglītības infrastruktūrai</w:t>
            </w:r>
            <w:r w:rsidR="00954AF5" w:rsidRPr="00B9444C">
              <w:rPr>
                <w:rFonts w:ascii="Times New Roman" w:eastAsia="Times New Roman" w:hAnsi="Times New Roman"/>
                <w:color w:val="000000"/>
                <w:sz w:val="26"/>
                <w:szCs w:val="26"/>
                <w:lang w:eastAsia="lv-LV"/>
              </w:rPr>
              <w:t>.</w:t>
            </w:r>
          </w:p>
          <w:p w14:paraId="22604AB1" w14:textId="25E86792" w:rsidR="00D37A52" w:rsidRPr="00B9444C" w:rsidRDefault="008B3FCC" w:rsidP="00625405">
            <w:pPr>
              <w:spacing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Izglītības un zinātnes ministrija ir informējusi augstākās izglītības </w:t>
            </w:r>
            <w:r w:rsidR="00ED741C" w:rsidRPr="00B9444C">
              <w:rPr>
                <w:rFonts w:ascii="Times New Roman" w:eastAsia="Times New Roman" w:hAnsi="Times New Roman"/>
                <w:color w:val="000000"/>
                <w:sz w:val="26"/>
                <w:szCs w:val="26"/>
                <w:lang w:eastAsia="lv-LV"/>
              </w:rPr>
              <w:t>institūcijas</w:t>
            </w:r>
            <w:r w:rsidR="00D37A52" w:rsidRPr="00B9444C">
              <w:rPr>
                <w:rFonts w:ascii="Times New Roman" w:eastAsia="Times New Roman" w:hAnsi="Times New Roman"/>
                <w:color w:val="000000"/>
                <w:sz w:val="26"/>
                <w:szCs w:val="26"/>
                <w:lang w:eastAsia="lv-LV"/>
              </w:rPr>
              <w:t xml:space="preserve"> par nosacījumiem, kādā izmanto par publiskiem resursiem modernizētu infrastruktū</w:t>
            </w:r>
            <w:r w:rsidR="00AE4C0B" w:rsidRPr="00B9444C">
              <w:rPr>
                <w:rFonts w:ascii="Times New Roman" w:eastAsia="Times New Roman" w:hAnsi="Times New Roman"/>
                <w:color w:val="000000"/>
                <w:sz w:val="26"/>
                <w:szCs w:val="26"/>
                <w:lang w:eastAsia="lv-LV"/>
              </w:rPr>
              <w:t>r</w:t>
            </w:r>
            <w:r w:rsidR="00144437" w:rsidRPr="00B9444C">
              <w:rPr>
                <w:rFonts w:ascii="Times New Roman" w:eastAsia="Times New Roman" w:hAnsi="Times New Roman"/>
                <w:color w:val="000000"/>
                <w:sz w:val="26"/>
                <w:szCs w:val="26"/>
                <w:lang w:eastAsia="lv-LV"/>
              </w:rPr>
              <w:t>u</w:t>
            </w:r>
            <w:r w:rsidRPr="00B9444C">
              <w:rPr>
                <w:rFonts w:ascii="Times New Roman" w:eastAsia="Times New Roman" w:hAnsi="Times New Roman"/>
                <w:color w:val="000000"/>
                <w:sz w:val="26"/>
                <w:szCs w:val="26"/>
                <w:lang w:eastAsia="lv-LV"/>
              </w:rPr>
              <w:t>, ievērojot EK valsts atbalsta modernizācijas iniciatīvas</w:t>
            </w:r>
            <w:r w:rsidR="000F4582" w:rsidRPr="00B9444C">
              <w:rPr>
                <w:rFonts w:ascii="Times New Roman" w:eastAsia="Times New Roman" w:hAnsi="Times New Roman"/>
                <w:color w:val="000000"/>
                <w:sz w:val="26"/>
                <w:szCs w:val="26"/>
                <w:lang w:eastAsia="lv-LV"/>
              </w:rPr>
              <w:t>.</w:t>
            </w:r>
            <w:r w:rsidR="00D37A52" w:rsidRPr="00B9444C">
              <w:rPr>
                <w:rFonts w:ascii="Times New Roman" w:eastAsia="Times New Roman" w:hAnsi="Times New Roman"/>
                <w:color w:val="000000"/>
                <w:sz w:val="26"/>
                <w:szCs w:val="26"/>
                <w:lang w:eastAsia="lv-LV"/>
              </w:rPr>
              <w:t xml:space="preserve"> </w:t>
            </w:r>
          </w:p>
          <w:p w14:paraId="631E1B40" w14:textId="284C2FFC" w:rsidR="006E1C8B" w:rsidRPr="00B9444C" w:rsidRDefault="008B3FCC" w:rsidP="00C0037B">
            <w:pPr>
              <w:spacing w:before="10" w:line="240" w:lineRule="auto"/>
              <w:ind w:left="101" w:right="102"/>
              <w:jc w:val="both"/>
              <w:rPr>
                <w:rFonts w:ascii="Times New Roman" w:eastAsia="Times New Roman" w:hAnsi="Times New Roman"/>
                <w:b/>
                <w:color w:val="000000"/>
                <w:sz w:val="26"/>
                <w:szCs w:val="26"/>
                <w:lang w:eastAsia="lv-LV"/>
              </w:rPr>
            </w:pPr>
            <w:r w:rsidRPr="00B9444C">
              <w:rPr>
                <w:rFonts w:ascii="Times New Roman" w:eastAsia="Times New Roman" w:hAnsi="Times New Roman"/>
                <w:color w:val="000000"/>
                <w:sz w:val="26"/>
                <w:szCs w:val="26"/>
                <w:lang w:eastAsia="lv-LV"/>
              </w:rPr>
              <w:t xml:space="preserve">Vienlaikus </w:t>
            </w:r>
            <w:r w:rsidR="00457D3E" w:rsidRPr="00B9444C">
              <w:rPr>
                <w:rFonts w:ascii="Times New Roman" w:eastAsia="Times New Roman" w:hAnsi="Times New Roman"/>
                <w:color w:val="000000"/>
                <w:sz w:val="26"/>
                <w:szCs w:val="26"/>
                <w:lang w:eastAsia="lv-LV"/>
              </w:rPr>
              <w:t xml:space="preserve">Atbildīgā iestāde </w:t>
            </w:r>
            <w:r w:rsidR="00426F29" w:rsidRPr="00B9444C">
              <w:rPr>
                <w:rFonts w:ascii="Times New Roman" w:eastAsia="Times New Roman" w:hAnsi="Times New Roman"/>
                <w:color w:val="000000"/>
                <w:sz w:val="26"/>
                <w:szCs w:val="26"/>
                <w:lang w:eastAsia="lv-LV"/>
              </w:rPr>
              <w:t>finansējuma saņēmēj</w:t>
            </w:r>
            <w:r w:rsidRPr="00B9444C">
              <w:rPr>
                <w:rFonts w:ascii="Times New Roman" w:eastAsia="Times New Roman" w:hAnsi="Times New Roman"/>
                <w:color w:val="000000"/>
                <w:sz w:val="26"/>
                <w:szCs w:val="26"/>
                <w:lang w:eastAsia="lv-LV"/>
              </w:rPr>
              <w:t>iem sniegs papildu informāciju</w:t>
            </w:r>
            <w:r w:rsidR="00457D3E" w:rsidRPr="00B9444C">
              <w:rPr>
                <w:rFonts w:ascii="Times New Roman" w:eastAsia="Times New Roman" w:hAnsi="Times New Roman"/>
                <w:color w:val="000000"/>
                <w:sz w:val="26"/>
                <w:szCs w:val="26"/>
                <w:lang w:eastAsia="lv-LV"/>
              </w:rPr>
              <w:t xml:space="preserve"> par MK noteikumu Nr. 56</w:t>
            </w:r>
            <w:r w:rsidR="00426F29" w:rsidRPr="00B9444C">
              <w:rPr>
                <w:rFonts w:ascii="Times New Roman" w:eastAsia="Times New Roman" w:hAnsi="Times New Roman"/>
                <w:color w:val="000000"/>
                <w:sz w:val="26"/>
                <w:szCs w:val="26"/>
                <w:lang w:eastAsia="lv-LV"/>
              </w:rPr>
              <w:t>1</w:t>
            </w:r>
            <w:r w:rsidR="00457D3E" w:rsidRPr="00B9444C">
              <w:rPr>
                <w:rFonts w:ascii="Times New Roman" w:eastAsia="Times New Roman" w:hAnsi="Times New Roman"/>
                <w:color w:val="000000"/>
                <w:sz w:val="26"/>
                <w:szCs w:val="26"/>
                <w:lang w:eastAsia="lv-LV"/>
              </w:rPr>
              <w:t xml:space="preserve"> grozījumos ietvertajiem nosacījumiem saistībā ar </w:t>
            </w:r>
            <w:r w:rsidR="006801BD" w:rsidRPr="00B9444C">
              <w:rPr>
                <w:rFonts w:ascii="Times New Roman" w:eastAsia="Times New Roman" w:hAnsi="Times New Roman"/>
                <w:color w:val="000000"/>
                <w:sz w:val="26"/>
                <w:szCs w:val="26"/>
                <w:lang w:eastAsia="lv-LV"/>
              </w:rPr>
              <w:t>modernizētās</w:t>
            </w:r>
            <w:r w:rsidR="00457D3E" w:rsidRPr="00B9444C">
              <w:rPr>
                <w:rFonts w:ascii="Times New Roman" w:eastAsia="Times New Roman" w:hAnsi="Times New Roman"/>
                <w:color w:val="000000"/>
                <w:sz w:val="26"/>
                <w:szCs w:val="26"/>
                <w:lang w:eastAsia="lv-LV"/>
              </w:rPr>
              <w:t xml:space="preserve"> infrastruktūras izmantošanu saimniecisku darbību īstenošanai un norēķinu kārtību.</w:t>
            </w:r>
            <w:r w:rsidR="000C2ECF" w:rsidRPr="00B9444C">
              <w:rPr>
                <w:rFonts w:ascii="Times New Roman" w:eastAsia="Times New Roman" w:hAnsi="Times New Roman"/>
                <w:b/>
                <w:color w:val="000000"/>
                <w:sz w:val="26"/>
                <w:szCs w:val="26"/>
                <w:lang w:eastAsia="lv-LV"/>
              </w:rPr>
              <w:t xml:space="preserve"> </w:t>
            </w:r>
          </w:p>
          <w:p w14:paraId="150853DF" w14:textId="5283C3B5" w:rsidR="006C7ABC" w:rsidRPr="00B9444C" w:rsidRDefault="006E1C8B" w:rsidP="008B3FCC">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Noteikumu projekta ieviešanas rezultātā netiek mainīta MK noteikumu Nr. 56</w:t>
            </w:r>
            <w:r w:rsidR="00BF0F1C" w:rsidRPr="00B9444C">
              <w:rPr>
                <w:rFonts w:ascii="Times New Roman" w:eastAsia="Times New Roman" w:hAnsi="Times New Roman"/>
                <w:color w:val="000000"/>
                <w:sz w:val="26"/>
                <w:szCs w:val="26"/>
                <w:lang w:eastAsia="lv-LV"/>
              </w:rPr>
              <w:t>1</w:t>
            </w:r>
            <w:r w:rsidRPr="00B9444C">
              <w:rPr>
                <w:rFonts w:ascii="Times New Roman" w:eastAsia="Times New Roman" w:hAnsi="Times New Roman"/>
                <w:color w:val="000000"/>
                <w:sz w:val="26"/>
                <w:szCs w:val="26"/>
                <w:lang w:eastAsia="lv-LV"/>
              </w:rPr>
              <w:t xml:space="preserve"> būtība, bet finansējuma saņēmējam un sadarbības partnerim tiek sniegts detāls skaidrojums par kārtību, kādā izmanto par publiskiem resursiem modernizētu augstākās izglītības infrastruktūru. Tādējādi tiek paaugstināta labuma guvēju pieredze</w:t>
            </w:r>
            <w:r w:rsidR="008B3FCC" w:rsidRPr="00B9444C">
              <w:rPr>
                <w:rFonts w:ascii="Times New Roman" w:eastAsia="Times New Roman" w:hAnsi="Times New Roman"/>
                <w:color w:val="000000"/>
                <w:sz w:val="26"/>
                <w:szCs w:val="26"/>
                <w:lang w:eastAsia="lv-LV"/>
              </w:rPr>
              <w:t xml:space="preserve"> un</w:t>
            </w:r>
            <w:r w:rsidRPr="00B9444C">
              <w:rPr>
                <w:rFonts w:ascii="Times New Roman" w:eastAsia="Times New Roman" w:hAnsi="Times New Roman"/>
                <w:color w:val="000000"/>
                <w:sz w:val="26"/>
                <w:szCs w:val="26"/>
                <w:lang w:eastAsia="lv-LV"/>
              </w:rPr>
              <w:t xml:space="preserve"> </w:t>
            </w:r>
            <w:r w:rsidR="008B3FCC" w:rsidRPr="00B9444C">
              <w:rPr>
                <w:rFonts w:ascii="Times New Roman" w:eastAsia="Times New Roman" w:hAnsi="Times New Roman"/>
                <w:color w:val="000000"/>
                <w:sz w:val="26"/>
                <w:szCs w:val="26"/>
                <w:lang w:eastAsia="lv-LV"/>
              </w:rPr>
              <w:t>sekmēta</w:t>
            </w:r>
            <w:r w:rsidRPr="00B9444C">
              <w:rPr>
                <w:rFonts w:ascii="Times New Roman" w:eastAsia="Times New Roman" w:hAnsi="Times New Roman"/>
                <w:color w:val="000000"/>
                <w:sz w:val="26"/>
                <w:szCs w:val="26"/>
                <w:lang w:eastAsia="lv-LV"/>
              </w:rPr>
              <w:t xml:space="preserve"> normatīvā akta uztveramība, kā rezultātā tiek samazinātas administratīvā sloga ietekmes izmaksas.</w:t>
            </w:r>
            <w:r w:rsidR="006C7ABC" w:rsidRPr="00B9444C">
              <w:rPr>
                <w:rFonts w:ascii="Times New Roman" w:eastAsia="Times New Roman" w:hAnsi="Times New Roman"/>
                <w:color w:val="000000"/>
                <w:sz w:val="26"/>
                <w:szCs w:val="26"/>
                <w:lang w:eastAsia="lv-LV"/>
              </w:rPr>
              <w:t xml:space="preserve"> </w:t>
            </w:r>
          </w:p>
          <w:p w14:paraId="7B8661E2" w14:textId="77777777" w:rsidR="006C3558" w:rsidRPr="00B9444C" w:rsidRDefault="006C3558" w:rsidP="008B3FCC">
            <w:pPr>
              <w:spacing w:before="10" w:line="240" w:lineRule="auto"/>
              <w:ind w:left="101" w:right="102"/>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Vienlaikus nepieciešams veikt grozījumus vienošanās/līgumā par projekta īstenošanu, precizējot vispārīgos noteikumus par projekta ietvaros modernizētās infrastruktūras izmantošanu visā tās amortizācijas periodā.</w:t>
            </w:r>
          </w:p>
        </w:tc>
      </w:tr>
      <w:tr w:rsidR="006A328C" w:rsidRPr="00B9444C" w14:paraId="6CA2BD3B" w14:textId="77777777" w:rsidTr="00670E4D">
        <w:trPr>
          <w:trHeight w:val="465"/>
        </w:trPr>
        <w:tc>
          <w:tcPr>
            <w:tcW w:w="312" w:type="dxa"/>
            <w:tcBorders>
              <w:top w:val="outset" w:sz="6" w:space="0" w:color="414142"/>
              <w:left w:val="outset" w:sz="6" w:space="0" w:color="414142"/>
              <w:bottom w:val="outset" w:sz="6" w:space="0" w:color="414142"/>
              <w:right w:val="outset" w:sz="6" w:space="0" w:color="414142"/>
            </w:tcBorders>
            <w:hideMark/>
          </w:tcPr>
          <w:p w14:paraId="7F1029A7" w14:textId="316DDCFF" w:rsidR="004D15A9" w:rsidRPr="00B9444C" w:rsidRDefault="00480D15"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2A1ADBD6"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Projekta izstrādē iesaistītās </w:t>
            </w:r>
            <w:r w:rsidR="00845412" w:rsidRPr="00B9444C">
              <w:rPr>
                <w:rFonts w:ascii="Times New Roman" w:eastAsia="Times New Roman" w:hAnsi="Times New Roman"/>
                <w:color w:val="000000"/>
                <w:sz w:val="26"/>
                <w:szCs w:val="26"/>
                <w:lang w:eastAsia="lv-LV"/>
              </w:rPr>
              <w:t>institūcijas un publiskas personas kapitālsabiedrības</w:t>
            </w:r>
          </w:p>
        </w:tc>
        <w:tc>
          <w:tcPr>
            <w:tcW w:w="5944" w:type="dxa"/>
            <w:tcBorders>
              <w:top w:val="outset" w:sz="6" w:space="0" w:color="414142"/>
              <w:left w:val="outset" w:sz="6" w:space="0" w:color="414142"/>
              <w:bottom w:val="outset" w:sz="6" w:space="0" w:color="414142"/>
              <w:right w:val="outset" w:sz="6" w:space="0" w:color="414142"/>
            </w:tcBorders>
            <w:hideMark/>
          </w:tcPr>
          <w:p w14:paraId="6370776F" w14:textId="77777777" w:rsidR="004D15A9" w:rsidRPr="00B9444C" w:rsidRDefault="00A33B4B" w:rsidP="009D6792">
            <w:pPr>
              <w:spacing w:after="0"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Noteikumu projektu izstrādāja </w:t>
            </w:r>
            <w:r w:rsidR="007F32ED" w:rsidRPr="00B9444C">
              <w:rPr>
                <w:rFonts w:ascii="Times New Roman" w:eastAsia="Times New Roman" w:hAnsi="Times New Roman"/>
                <w:color w:val="000000"/>
                <w:sz w:val="26"/>
                <w:szCs w:val="26"/>
                <w:lang w:eastAsia="lv-LV"/>
              </w:rPr>
              <w:t>M</w:t>
            </w:r>
            <w:r w:rsidR="00970A3F" w:rsidRPr="00B9444C">
              <w:rPr>
                <w:rFonts w:ascii="Times New Roman" w:eastAsia="Times New Roman" w:hAnsi="Times New Roman"/>
                <w:color w:val="000000"/>
                <w:sz w:val="26"/>
                <w:szCs w:val="26"/>
                <w:lang w:eastAsia="lv-LV"/>
              </w:rPr>
              <w:t>inistrija.</w:t>
            </w:r>
            <w:r w:rsidRPr="00B9444C">
              <w:rPr>
                <w:rFonts w:ascii="Times New Roman" w:eastAsia="Times New Roman" w:hAnsi="Times New Roman"/>
                <w:color w:val="000000"/>
                <w:sz w:val="26"/>
                <w:szCs w:val="26"/>
                <w:lang w:eastAsia="lv-LV"/>
              </w:rPr>
              <w:t xml:space="preserve"> </w:t>
            </w:r>
          </w:p>
        </w:tc>
      </w:tr>
      <w:tr w:rsidR="006A328C" w:rsidRPr="00B9444C" w14:paraId="3A484CC4" w14:textId="77777777" w:rsidTr="00670E4D">
        <w:tc>
          <w:tcPr>
            <w:tcW w:w="312" w:type="dxa"/>
            <w:tcBorders>
              <w:top w:val="outset" w:sz="6" w:space="0" w:color="414142"/>
              <w:left w:val="outset" w:sz="6" w:space="0" w:color="414142"/>
              <w:bottom w:val="outset" w:sz="6" w:space="0" w:color="414142"/>
              <w:right w:val="outset" w:sz="6" w:space="0" w:color="414142"/>
            </w:tcBorders>
            <w:hideMark/>
          </w:tcPr>
          <w:p w14:paraId="3A426D74"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4.</w:t>
            </w:r>
          </w:p>
        </w:tc>
        <w:tc>
          <w:tcPr>
            <w:tcW w:w="2799" w:type="dxa"/>
            <w:gridSpan w:val="2"/>
            <w:tcBorders>
              <w:top w:val="outset" w:sz="6" w:space="0" w:color="414142"/>
              <w:left w:val="outset" w:sz="6" w:space="0" w:color="414142"/>
              <w:bottom w:val="outset" w:sz="6" w:space="0" w:color="414142"/>
              <w:right w:val="outset" w:sz="6" w:space="0" w:color="414142"/>
            </w:tcBorders>
            <w:hideMark/>
          </w:tcPr>
          <w:p w14:paraId="216DE012"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Cita informācija</w:t>
            </w:r>
          </w:p>
        </w:tc>
        <w:tc>
          <w:tcPr>
            <w:tcW w:w="5944" w:type="dxa"/>
            <w:tcBorders>
              <w:top w:val="outset" w:sz="6" w:space="0" w:color="414142"/>
              <w:left w:val="outset" w:sz="6" w:space="0" w:color="414142"/>
              <w:bottom w:val="outset" w:sz="6" w:space="0" w:color="414142"/>
              <w:right w:val="outset" w:sz="6" w:space="0" w:color="414142"/>
            </w:tcBorders>
            <w:hideMark/>
          </w:tcPr>
          <w:p w14:paraId="0F39DFB8" w14:textId="77777777" w:rsidR="004D15A9" w:rsidRPr="00B9444C" w:rsidRDefault="004D15A9" w:rsidP="00A33B4B">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Nav</w:t>
            </w:r>
          </w:p>
        </w:tc>
      </w:tr>
      <w:tr w:rsidR="006A328C" w:rsidRPr="00B9444C" w14:paraId="158CAF3B" w14:textId="77777777" w:rsidTr="00670E4D">
        <w:trPr>
          <w:trHeight w:val="128"/>
        </w:trPr>
        <w:tc>
          <w:tcPr>
            <w:tcW w:w="9055" w:type="dxa"/>
            <w:gridSpan w:val="4"/>
            <w:tcBorders>
              <w:top w:val="outset" w:sz="6" w:space="0" w:color="414142"/>
              <w:left w:val="nil"/>
              <w:bottom w:val="outset" w:sz="6" w:space="0" w:color="414142"/>
              <w:right w:val="nil"/>
            </w:tcBorders>
          </w:tcPr>
          <w:p w14:paraId="02B5DA84" w14:textId="77777777" w:rsidR="00A33B4B" w:rsidRPr="00B9444C" w:rsidRDefault="00A33B4B" w:rsidP="0081203F">
            <w:pPr>
              <w:tabs>
                <w:tab w:val="left" w:pos="990"/>
              </w:tabs>
              <w:spacing w:after="0" w:line="240" w:lineRule="auto"/>
              <w:rPr>
                <w:rFonts w:ascii="Times New Roman" w:eastAsia="Times New Roman" w:hAnsi="Times New Roman"/>
                <w:color w:val="000000"/>
                <w:sz w:val="26"/>
                <w:szCs w:val="26"/>
                <w:lang w:eastAsia="lv-LV"/>
              </w:rPr>
            </w:pPr>
          </w:p>
        </w:tc>
      </w:tr>
      <w:tr w:rsidR="006A328C" w:rsidRPr="00B9444C" w14:paraId="7EFEF29E" w14:textId="77777777" w:rsidTr="00670E4D">
        <w:trPr>
          <w:trHeight w:val="351"/>
        </w:trPr>
        <w:tc>
          <w:tcPr>
            <w:tcW w:w="9055" w:type="dxa"/>
            <w:gridSpan w:val="4"/>
            <w:tcBorders>
              <w:top w:val="nil"/>
              <w:left w:val="outset" w:sz="6" w:space="0" w:color="414142"/>
              <w:bottom w:val="outset" w:sz="6" w:space="0" w:color="414142"/>
              <w:right w:val="outset" w:sz="6" w:space="0" w:color="414142"/>
            </w:tcBorders>
            <w:vAlign w:val="center"/>
            <w:hideMark/>
          </w:tcPr>
          <w:p w14:paraId="512B2388" w14:textId="77777777" w:rsidR="004D15A9" w:rsidRPr="00B9444C" w:rsidRDefault="004D15A9" w:rsidP="00DA596D">
            <w:pPr>
              <w:spacing w:after="0" w:line="240" w:lineRule="auto"/>
              <w:ind w:firstLine="300"/>
              <w:jc w:val="center"/>
              <w:rPr>
                <w:rFonts w:ascii="Times New Roman" w:eastAsia="Times New Roman" w:hAnsi="Times New Roman"/>
                <w:b/>
                <w:bCs/>
                <w:color w:val="000000"/>
                <w:sz w:val="26"/>
                <w:szCs w:val="26"/>
                <w:lang w:eastAsia="lv-LV"/>
              </w:rPr>
            </w:pPr>
            <w:r w:rsidRPr="00B9444C">
              <w:rPr>
                <w:rFonts w:ascii="Times New Roman" w:eastAsia="Times New Roman" w:hAnsi="Times New Roman"/>
                <w:b/>
                <w:bCs/>
                <w:color w:val="000000"/>
                <w:sz w:val="26"/>
                <w:szCs w:val="26"/>
                <w:lang w:eastAsia="lv-LV"/>
              </w:rPr>
              <w:t>II. Tiesību akta projekta ietekme uz sabiedrību, tautsaimniecības attīstību un administratīvo slogu</w:t>
            </w:r>
          </w:p>
        </w:tc>
      </w:tr>
      <w:tr w:rsidR="006A328C" w:rsidRPr="00B9444C" w14:paraId="40BA0BDE" w14:textId="77777777" w:rsidTr="00670E4D">
        <w:trPr>
          <w:trHeight w:val="465"/>
        </w:trPr>
        <w:tc>
          <w:tcPr>
            <w:tcW w:w="453" w:type="dxa"/>
            <w:gridSpan w:val="2"/>
            <w:tcBorders>
              <w:top w:val="outset" w:sz="6" w:space="0" w:color="414142"/>
              <w:left w:val="outset" w:sz="6" w:space="0" w:color="414142"/>
              <w:bottom w:val="outset" w:sz="6" w:space="0" w:color="414142"/>
              <w:right w:val="outset" w:sz="6" w:space="0" w:color="414142"/>
            </w:tcBorders>
            <w:hideMark/>
          </w:tcPr>
          <w:p w14:paraId="15AE8BEA"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w:t>
            </w:r>
          </w:p>
        </w:tc>
        <w:tc>
          <w:tcPr>
            <w:tcW w:w="2658" w:type="dxa"/>
            <w:tcBorders>
              <w:top w:val="outset" w:sz="6" w:space="0" w:color="414142"/>
              <w:left w:val="outset" w:sz="6" w:space="0" w:color="414142"/>
              <w:bottom w:val="outset" w:sz="6" w:space="0" w:color="414142"/>
              <w:right w:val="outset" w:sz="6" w:space="0" w:color="414142"/>
            </w:tcBorders>
            <w:hideMark/>
          </w:tcPr>
          <w:p w14:paraId="643A54DD"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Sabiedrības </w:t>
            </w:r>
            <w:proofErr w:type="spellStart"/>
            <w:r w:rsidRPr="00B9444C">
              <w:rPr>
                <w:rFonts w:ascii="Times New Roman" w:eastAsia="Times New Roman" w:hAnsi="Times New Roman"/>
                <w:color w:val="000000"/>
                <w:sz w:val="26"/>
                <w:szCs w:val="26"/>
                <w:lang w:eastAsia="lv-LV"/>
              </w:rPr>
              <w:t>mērķgrupas</w:t>
            </w:r>
            <w:proofErr w:type="spellEnd"/>
            <w:r w:rsidRPr="00B9444C">
              <w:rPr>
                <w:rFonts w:ascii="Times New Roman" w:eastAsia="Times New Roman" w:hAnsi="Times New Roman"/>
                <w:color w:val="000000"/>
                <w:sz w:val="26"/>
                <w:szCs w:val="26"/>
                <w:lang w:eastAsia="lv-LV"/>
              </w:rPr>
              <w:t>, kuras tiesiskais regulējums ietekmē vai varētu ietekmēt</w:t>
            </w:r>
          </w:p>
        </w:tc>
        <w:tc>
          <w:tcPr>
            <w:tcW w:w="5944" w:type="dxa"/>
            <w:tcBorders>
              <w:top w:val="outset" w:sz="6" w:space="0" w:color="414142"/>
              <w:left w:val="outset" w:sz="6" w:space="0" w:color="414142"/>
              <w:bottom w:val="outset" w:sz="6" w:space="0" w:color="414142"/>
              <w:right w:val="outset" w:sz="6" w:space="0" w:color="414142"/>
            </w:tcBorders>
            <w:hideMark/>
          </w:tcPr>
          <w:p w14:paraId="2CD69FB7" w14:textId="77777777" w:rsidR="00A33B4B" w:rsidRPr="00B9444C" w:rsidRDefault="00901BE6" w:rsidP="00F7464A">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Mērķa grupa</w:t>
            </w:r>
            <w:r w:rsidR="007C52FC" w:rsidRPr="00B9444C">
              <w:rPr>
                <w:rFonts w:ascii="Times New Roman" w:eastAsia="Times New Roman" w:hAnsi="Times New Roman"/>
                <w:color w:val="000000"/>
                <w:sz w:val="26"/>
                <w:szCs w:val="26"/>
                <w:lang w:eastAsia="lv-LV"/>
              </w:rPr>
              <w:t xml:space="preserve"> </w:t>
            </w:r>
            <w:r w:rsidR="00DE0724" w:rsidRPr="00B9444C">
              <w:rPr>
                <w:rFonts w:ascii="Times New Roman" w:eastAsia="Times New Roman" w:hAnsi="Times New Roman"/>
                <w:color w:val="000000"/>
                <w:sz w:val="26"/>
                <w:szCs w:val="26"/>
                <w:lang w:eastAsia="lv-LV"/>
              </w:rPr>
              <w:t xml:space="preserve">SAM 8.1.1. </w:t>
            </w:r>
            <w:r w:rsidR="007C52FC" w:rsidRPr="00B9444C">
              <w:rPr>
                <w:rFonts w:ascii="Times New Roman" w:eastAsia="Times New Roman" w:hAnsi="Times New Roman"/>
                <w:color w:val="000000"/>
                <w:sz w:val="26"/>
                <w:szCs w:val="26"/>
                <w:lang w:eastAsia="lv-LV"/>
              </w:rPr>
              <w:t xml:space="preserve">ietvaros: </w:t>
            </w:r>
            <w:r w:rsidR="00F7464A" w:rsidRPr="00B9444C">
              <w:rPr>
                <w:rFonts w:ascii="Times New Roman" w:eastAsia="Times New Roman" w:hAnsi="Times New Roman"/>
                <w:color w:val="000000"/>
                <w:sz w:val="26"/>
                <w:szCs w:val="26"/>
                <w:lang w:eastAsia="lv-LV"/>
              </w:rPr>
              <w:t>augstākās izglītības iestādes, akadēmiskais personāls</w:t>
            </w:r>
            <w:r w:rsidR="00247B45" w:rsidRPr="00B9444C">
              <w:rPr>
                <w:rFonts w:ascii="Times New Roman" w:eastAsia="Times New Roman" w:hAnsi="Times New Roman"/>
                <w:color w:val="000000"/>
                <w:sz w:val="26"/>
                <w:szCs w:val="26"/>
                <w:lang w:eastAsia="lv-LV"/>
              </w:rPr>
              <w:t>,</w:t>
            </w:r>
            <w:r w:rsidR="00FB44FD" w:rsidRPr="00B9444C">
              <w:rPr>
                <w:rFonts w:ascii="Times New Roman" w:eastAsia="Times New Roman" w:hAnsi="Times New Roman"/>
                <w:color w:val="000000"/>
                <w:sz w:val="26"/>
                <w:szCs w:val="26"/>
                <w:lang w:eastAsia="lv-LV"/>
              </w:rPr>
              <w:t xml:space="preserve"> </w:t>
            </w:r>
            <w:r w:rsidR="000842E4" w:rsidRPr="00B9444C">
              <w:rPr>
                <w:rFonts w:ascii="Times New Roman" w:eastAsia="Times New Roman" w:hAnsi="Times New Roman"/>
                <w:color w:val="000000"/>
                <w:sz w:val="26"/>
                <w:szCs w:val="26"/>
                <w:lang w:eastAsia="lv-LV"/>
              </w:rPr>
              <w:t>a</w:t>
            </w:r>
            <w:r w:rsidR="007A6D3E" w:rsidRPr="00B9444C">
              <w:rPr>
                <w:rFonts w:ascii="Times New Roman" w:eastAsia="Times New Roman" w:hAnsi="Times New Roman"/>
                <w:color w:val="000000"/>
                <w:sz w:val="26"/>
                <w:szCs w:val="26"/>
                <w:lang w:eastAsia="lv-LV"/>
              </w:rPr>
              <w:t xml:space="preserve">tbildīgā iestāde, </w:t>
            </w:r>
            <w:r w:rsidR="000842E4" w:rsidRPr="00B9444C">
              <w:rPr>
                <w:rFonts w:ascii="Times New Roman" w:eastAsia="Times New Roman" w:hAnsi="Times New Roman"/>
                <w:color w:val="000000"/>
                <w:sz w:val="26"/>
                <w:szCs w:val="26"/>
                <w:lang w:eastAsia="lv-LV"/>
              </w:rPr>
              <w:t>s</w:t>
            </w:r>
            <w:r w:rsidR="00DC1D11" w:rsidRPr="00B9444C">
              <w:rPr>
                <w:rFonts w:ascii="Times New Roman" w:eastAsia="Times New Roman" w:hAnsi="Times New Roman"/>
                <w:color w:val="000000"/>
                <w:sz w:val="26"/>
                <w:szCs w:val="26"/>
                <w:lang w:eastAsia="lv-LV"/>
              </w:rPr>
              <w:t>adarbības iestāde.</w:t>
            </w:r>
          </w:p>
        </w:tc>
      </w:tr>
      <w:tr w:rsidR="006A328C" w:rsidRPr="00B9444C" w14:paraId="02C05620" w14:textId="77777777" w:rsidTr="00670E4D">
        <w:trPr>
          <w:trHeight w:val="381"/>
        </w:trPr>
        <w:tc>
          <w:tcPr>
            <w:tcW w:w="453" w:type="dxa"/>
            <w:gridSpan w:val="2"/>
            <w:tcBorders>
              <w:top w:val="outset" w:sz="6" w:space="0" w:color="414142"/>
              <w:left w:val="outset" w:sz="6" w:space="0" w:color="414142"/>
              <w:bottom w:val="outset" w:sz="6" w:space="0" w:color="414142"/>
              <w:right w:val="outset" w:sz="6" w:space="0" w:color="414142"/>
            </w:tcBorders>
            <w:hideMark/>
          </w:tcPr>
          <w:p w14:paraId="3C661C10"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w:t>
            </w:r>
          </w:p>
        </w:tc>
        <w:tc>
          <w:tcPr>
            <w:tcW w:w="2658" w:type="dxa"/>
            <w:tcBorders>
              <w:top w:val="outset" w:sz="6" w:space="0" w:color="414142"/>
              <w:left w:val="outset" w:sz="6" w:space="0" w:color="414142"/>
              <w:bottom w:val="outset" w:sz="6" w:space="0" w:color="414142"/>
              <w:right w:val="outset" w:sz="6" w:space="0" w:color="414142"/>
            </w:tcBorders>
            <w:hideMark/>
          </w:tcPr>
          <w:p w14:paraId="344F788A" w14:textId="77777777" w:rsidR="002702F0"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Tiesiskā regulējuma ietekme uz tautsaimniecību un administratīvo slogu</w:t>
            </w:r>
          </w:p>
          <w:p w14:paraId="67D02118" w14:textId="77777777" w:rsidR="004D15A9" w:rsidRPr="00B9444C" w:rsidRDefault="004D15A9" w:rsidP="006801BD">
            <w:pPr>
              <w:rPr>
                <w:rFonts w:ascii="Times New Roman" w:eastAsia="Times New Roman" w:hAnsi="Times New Roman"/>
                <w:sz w:val="26"/>
                <w:szCs w:val="26"/>
                <w:lang w:eastAsia="lv-LV"/>
              </w:rPr>
            </w:pPr>
          </w:p>
        </w:tc>
        <w:tc>
          <w:tcPr>
            <w:tcW w:w="5944" w:type="dxa"/>
            <w:tcBorders>
              <w:top w:val="outset" w:sz="6" w:space="0" w:color="414142"/>
              <w:left w:val="outset" w:sz="6" w:space="0" w:color="414142"/>
              <w:bottom w:val="outset" w:sz="6" w:space="0" w:color="414142"/>
              <w:right w:val="outset" w:sz="6" w:space="0" w:color="414142"/>
            </w:tcBorders>
            <w:hideMark/>
          </w:tcPr>
          <w:p w14:paraId="36928331" w14:textId="77777777" w:rsidR="00C70F3E" w:rsidRPr="00B9444C" w:rsidRDefault="00214B7E" w:rsidP="00F528CD">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Noteikumu projektā ietv</w:t>
            </w:r>
            <w:r w:rsidR="003E07DF" w:rsidRPr="00B9444C">
              <w:rPr>
                <w:rFonts w:ascii="Times New Roman" w:eastAsia="Times New Roman" w:hAnsi="Times New Roman"/>
                <w:color w:val="000000"/>
                <w:sz w:val="26"/>
                <w:szCs w:val="26"/>
                <w:lang w:eastAsia="lv-LV"/>
              </w:rPr>
              <w:t>e</w:t>
            </w:r>
            <w:r w:rsidRPr="00B9444C">
              <w:rPr>
                <w:rFonts w:ascii="Times New Roman" w:eastAsia="Times New Roman" w:hAnsi="Times New Roman"/>
                <w:color w:val="000000"/>
                <w:sz w:val="26"/>
                <w:szCs w:val="26"/>
                <w:lang w:eastAsia="lv-LV"/>
              </w:rPr>
              <w:t xml:space="preserve">rtais </w:t>
            </w:r>
            <w:r w:rsidR="003E07DF" w:rsidRPr="00B9444C">
              <w:rPr>
                <w:rFonts w:ascii="Times New Roman" w:eastAsia="Times New Roman" w:hAnsi="Times New Roman"/>
                <w:color w:val="000000"/>
                <w:sz w:val="26"/>
                <w:szCs w:val="26"/>
                <w:lang w:eastAsia="lv-LV"/>
              </w:rPr>
              <w:t>tiesiskais regulējums</w:t>
            </w:r>
            <w:r w:rsidR="001E34BE" w:rsidRPr="00B9444C">
              <w:rPr>
                <w:rFonts w:ascii="Times New Roman" w:eastAsia="Times New Roman" w:hAnsi="Times New Roman"/>
                <w:color w:val="000000"/>
                <w:sz w:val="26"/>
                <w:szCs w:val="26"/>
                <w:lang w:eastAsia="lv-LV"/>
              </w:rPr>
              <w:t xml:space="preserve"> nodrošina</w:t>
            </w:r>
            <w:r w:rsidR="00C70F3E" w:rsidRPr="00B9444C">
              <w:rPr>
                <w:rFonts w:ascii="Times New Roman" w:eastAsia="Times New Roman" w:hAnsi="Times New Roman"/>
                <w:color w:val="000000"/>
                <w:sz w:val="26"/>
                <w:szCs w:val="26"/>
                <w:lang w:eastAsia="lv-LV"/>
              </w:rPr>
              <w:t>:</w:t>
            </w:r>
          </w:p>
          <w:p w14:paraId="2DBFB0BD" w14:textId="77777777" w:rsidR="001E34BE" w:rsidRPr="00B9444C" w:rsidRDefault="001E34BE" w:rsidP="00F528CD">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w:t>
            </w:r>
            <w:r w:rsidR="0082432D" w:rsidRPr="00B9444C">
              <w:rPr>
                <w:rFonts w:ascii="Times New Roman" w:eastAsia="Times New Roman" w:hAnsi="Times New Roman"/>
                <w:color w:val="000000"/>
                <w:sz w:val="26"/>
                <w:szCs w:val="26"/>
                <w:lang w:eastAsia="lv-LV"/>
              </w:rPr>
              <w:t xml:space="preserve">normatīvā akta </w:t>
            </w:r>
            <w:r w:rsidRPr="00B9444C">
              <w:rPr>
                <w:rFonts w:ascii="Times New Roman" w:eastAsia="Times New Roman" w:hAnsi="Times New Roman"/>
                <w:color w:val="000000"/>
                <w:sz w:val="26"/>
                <w:szCs w:val="26"/>
                <w:lang w:eastAsia="lv-LV"/>
              </w:rPr>
              <w:t>atbilstību Latvijas Republikas starptautiskajām saistībām;</w:t>
            </w:r>
          </w:p>
          <w:p w14:paraId="2DEC1682" w14:textId="77777777" w:rsidR="00B31661" w:rsidRPr="00B9444C" w:rsidRDefault="0082432D" w:rsidP="00B400E0">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 normatīvā akta </w:t>
            </w:r>
            <w:r w:rsidR="00A36827" w:rsidRPr="00B9444C">
              <w:rPr>
                <w:rFonts w:ascii="Times New Roman" w:eastAsia="Times New Roman" w:hAnsi="Times New Roman"/>
                <w:color w:val="000000"/>
                <w:sz w:val="26"/>
                <w:szCs w:val="26"/>
                <w:lang w:eastAsia="lv-LV"/>
              </w:rPr>
              <w:t>un ES tiesību sistēmā iekļauto normu harmonizāciju</w:t>
            </w:r>
            <w:r w:rsidR="00B907B1" w:rsidRPr="00B9444C">
              <w:rPr>
                <w:rFonts w:ascii="Times New Roman" w:eastAsia="Times New Roman" w:hAnsi="Times New Roman"/>
                <w:color w:val="000000"/>
                <w:sz w:val="26"/>
                <w:szCs w:val="26"/>
                <w:lang w:eastAsia="lv-LV"/>
              </w:rPr>
              <w:t>.</w:t>
            </w:r>
          </w:p>
          <w:p w14:paraId="55283684" w14:textId="77777777" w:rsidR="00D8300B" w:rsidRPr="00B9444C" w:rsidRDefault="00D8300B" w:rsidP="007A6D3E">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Noteikumu projektā ietvertais tiesiskais regulējums netieši sekmē tautsaimniecības attīstību, </w:t>
            </w:r>
            <w:r w:rsidR="007A6D3E" w:rsidRPr="00B9444C">
              <w:rPr>
                <w:rFonts w:ascii="Times New Roman" w:eastAsia="Times New Roman" w:hAnsi="Times New Roman"/>
                <w:color w:val="000000"/>
                <w:sz w:val="26"/>
                <w:szCs w:val="26"/>
                <w:lang w:eastAsia="lv-LV"/>
              </w:rPr>
              <w:t>sekmējot modernizētās infrastruktūras racionālu un efektīvu izmantošanu</w:t>
            </w:r>
            <w:r w:rsidRPr="00B9444C">
              <w:rPr>
                <w:rFonts w:ascii="Times New Roman" w:eastAsia="Times New Roman" w:hAnsi="Times New Roman"/>
                <w:color w:val="000000"/>
                <w:sz w:val="26"/>
                <w:szCs w:val="26"/>
                <w:lang w:eastAsia="lv-LV"/>
              </w:rPr>
              <w:t xml:space="preserve"> </w:t>
            </w:r>
          </w:p>
        </w:tc>
      </w:tr>
      <w:tr w:rsidR="006A328C" w:rsidRPr="00B9444C" w14:paraId="28B08DAE" w14:textId="77777777" w:rsidTr="00670E4D">
        <w:trPr>
          <w:trHeight w:val="510"/>
        </w:trPr>
        <w:tc>
          <w:tcPr>
            <w:tcW w:w="453" w:type="dxa"/>
            <w:gridSpan w:val="2"/>
            <w:tcBorders>
              <w:top w:val="outset" w:sz="6" w:space="0" w:color="414142"/>
              <w:left w:val="outset" w:sz="6" w:space="0" w:color="414142"/>
              <w:bottom w:val="outset" w:sz="6" w:space="0" w:color="414142"/>
              <w:right w:val="outset" w:sz="6" w:space="0" w:color="414142"/>
            </w:tcBorders>
            <w:hideMark/>
          </w:tcPr>
          <w:p w14:paraId="27B4B9E1"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w:t>
            </w:r>
          </w:p>
        </w:tc>
        <w:tc>
          <w:tcPr>
            <w:tcW w:w="2658" w:type="dxa"/>
            <w:tcBorders>
              <w:top w:val="outset" w:sz="6" w:space="0" w:color="414142"/>
              <w:left w:val="outset" w:sz="6" w:space="0" w:color="414142"/>
              <w:bottom w:val="outset" w:sz="6" w:space="0" w:color="414142"/>
              <w:right w:val="outset" w:sz="6" w:space="0" w:color="414142"/>
            </w:tcBorders>
            <w:hideMark/>
          </w:tcPr>
          <w:p w14:paraId="5B4BC5AE"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Administratīvo izmaksu monetārs novērtējums</w:t>
            </w:r>
          </w:p>
        </w:tc>
        <w:tc>
          <w:tcPr>
            <w:tcW w:w="5944" w:type="dxa"/>
            <w:tcBorders>
              <w:top w:val="outset" w:sz="6" w:space="0" w:color="414142"/>
              <w:left w:val="outset" w:sz="6" w:space="0" w:color="414142"/>
              <w:bottom w:val="outset" w:sz="6" w:space="0" w:color="414142"/>
              <w:right w:val="outset" w:sz="6" w:space="0" w:color="414142"/>
            </w:tcBorders>
            <w:hideMark/>
          </w:tcPr>
          <w:p w14:paraId="04EB85FF" w14:textId="735AFC49" w:rsidR="00DE3C69" w:rsidRPr="00B9444C" w:rsidRDefault="00DE0724" w:rsidP="00705F28">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SAM 8.1.1.</w:t>
            </w:r>
            <w:r w:rsidR="005B0D5D" w:rsidRPr="00B9444C">
              <w:rPr>
                <w:rFonts w:ascii="Times New Roman" w:eastAsia="Times New Roman" w:hAnsi="Times New Roman"/>
                <w:color w:val="000000"/>
                <w:sz w:val="26"/>
                <w:szCs w:val="26"/>
                <w:lang w:eastAsia="lv-LV"/>
              </w:rPr>
              <w:t xml:space="preserve"> ietvaros </w:t>
            </w:r>
            <w:r w:rsidR="000842E4" w:rsidRPr="00B9444C">
              <w:rPr>
                <w:rFonts w:ascii="Times New Roman" w:eastAsia="Times New Roman" w:hAnsi="Times New Roman"/>
                <w:color w:val="000000"/>
                <w:sz w:val="26"/>
                <w:szCs w:val="26"/>
                <w:lang w:eastAsia="lv-LV"/>
              </w:rPr>
              <w:t>s</w:t>
            </w:r>
            <w:r w:rsidR="00B27715" w:rsidRPr="00B9444C">
              <w:rPr>
                <w:rFonts w:ascii="Times New Roman" w:eastAsia="Times New Roman" w:hAnsi="Times New Roman"/>
                <w:color w:val="000000"/>
                <w:sz w:val="26"/>
                <w:szCs w:val="26"/>
                <w:lang w:eastAsia="lv-LV"/>
              </w:rPr>
              <w:t xml:space="preserve">adarbības iestādei ir </w:t>
            </w:r>
            <w:r w:rsidR="005B0D5D" w:rsidRPr="00B9444C">
              <w:rPr>
                <w:rFonts w:ascii="Times New Roman" w:eastAsia="Times New Roman" w:hAnsi="Times New Roman"/>
                <w:color w:val="000000"/>
                <w:sz w:val="26"/>
                <w:szCs w:val="26"/>
                <w:lang w:eastAsia="lv-LV"/>
              </w:rPr>
              <w:t>jāveic projektu uzraudzība</w:t>
            </w:r>
            <w:r w:rsidR="00705F28" w:rsidRPr="00B9444C">
              <w:rPr>
                <w:rFonts w:ascii="Times New Roman" w:eastAsia="Times New Roman" w:hAnsi="Times New Roman"/>
                <w:color w:val="000000"/>
                <w:sz w:val="26"/>
                <w:szCs w:val="26"/>
                <w:lang w:eastAsia="lv-LV"/>
              </w:rPr>
              <w:t xml:space="preserve"> ar </w:t>
            </w:r>
            <w:r w:rsidR="00DE3C69" w:rsidRPr="00B9444C">
              <w:rPr>
                <w:rFonts w:ascii="Times New Roman" w:eastAsia="Times New Roman" w:hAnsi="Times New Roman"/>
                <w:color w:val="000000"/>
                <w:sz w:val="26"/>
                <w:szCs w:val="26"/>
                <w:lang w:eastAsia="lv-LV"/>
              </w:rPr>
              <w:t xml:space="preserve">mērķi nodrošināt </w:t>
            </w:r>
            <w:r w:rsidR="00877A07" w:rsidRPr="00B9444C">
              <w:rPr>
                <w:rFonts w:ascii="Times New Roman" w:eastAsia="Times New Roman" w:hAnsi="Times New Roman"/>
                <w:color w:val="000000"/>
                <w:sz w:val="26"/>
                <w:szCs w:val="26"/>
                <w:lang w:eastAsia="lv-LV"/>
              </w:rPr>
              <w:t>P</w:t>
            </w:r>
            <w:r w:rsidR="00B27715" w:rsidRPr="00B9444C">
              <w:rPr>
                <w:rFonts w:ascii="Times New Roman" w:eastAsia="Times New Roman" w:hAnsi="Times New Roman"/>
                <w:color w:val="000000"/>
                <w:sz w:val="26"/>
                <w:szCs w:val="26"/>
                <w:lang w:eastAsia="lv-LV"/>
              </w:rPr>
              <w:t>aziņojuma 2</w:t>
            </w:r>
            <w:r w:rsidR="007A5E00" w:rsidRPr="00B9444C">
              <w:rPr>
                <w:rFonts w:ascii="Times New Roman" w:eastAsia="Times New Roman" w:hAnsi="Times New Roman"/>
                <w:color w:val="000000"/>
                <w:sz w:val="26"/>
                <w:szCs w:val="26"/>
                <w:lang w:eastAsia="lv-LV"/>
              </w:rPr>
              <w:t>0</w:t>
            </w:r>
            <w:r w:rsidR="00B27715" w:rsidRPr="00B9444C">
              <w:rPr>
                <w:rFonts w:ascii="Times New Roman" w:eastAsia="Times New Roman" w:hAnsi="Times New Roman"/>
                <w:color w:val="000000"/>
                <w:sz w:val="26"/>
                <w:szCs w:val="26"/>
                <w:lang w:eastAsia="lv-LV"/>
              </w:rPr>
              <w:t xml:space="preserve">7. punktā minēto nosacījumu </w:t>
            </w:r>
            <w:r w:rsidR="00DE3C69" w:rsidRPr="00B9444C">
              <w:rPr>
                <w:rFonts w:ascii="Times New Roman" w:eastAsia="Times New Roman" w:hAnsi="Times New Roman"/>
                <w:color w:val="000000"/>
                <w:sz w:val="26"/>
                <w:szCs w:val="26"/>
                <w:lang w:eastAsia="lv-LV"/>
              </w:rPr>
              <w:t xml:space="preserve">izpildi </w:t>
            </w:r>
            <w:r w:rsidR="001D5D1E" w:rsidRPr="00B9444C">
              <w:rPr>
                <w:rFonts w:ascii="Times New Roman" w:eastAsia="Times New Roman" w:hAnsi="Times New Roman"/>
                <w:color w:val="000000"/>
                <w:sz w:val="26"/>
                <w:szCs w:val="26"/>
                <w:lang w:eastAsia="lv-LV"/>
              </w:rPr>
              <w:t>visā</w:t>
            </w:r>
            <w:r w:rsidR="00DE3C69" w:rsidRPr="00B9444C">
              <w:rPr>
                <w:rFonts w:ascii="Times New Roman" w:eastAsia="Times New Roman" w:hAnsi="Times New Roman"/>
                <w:color w:val="000000"/>
                <w:sz w:val="26"/>
                <w:szCs w:val="26"/>
                <w:lang w:eastAsia="lv-LV"/>
              </w:rPr>
              <w:t xml:space="preserve"> </w:t>
            </w:r>
            <w:r w:rsidR="001D5D1E" w:rsidRPr="00B9444C">
              <w:rPr>
                <w:rFonts w:ascii="Times New Roman" w:eastAsia="Times New Roman" w:hAnsi="Times New Roman"/>
                <w:color w:val="000000"/>
                <w:sz w:val="26"/>
                <w:szCs w:val="26"/>
                <w:lang w:eastAsia="lv-LV"/>
              </w:rPr>
              <w:t xml:space="preserve">modernizētās </w:t>
            </w:r>
            <w:r w:rsidR="00B27715" w:rsidRPr="00B9444C">
              <w:rPr>
                <w:rFonts w:ascii="Times New Roman" w:eastAsia="Times New Roman" w:hAnsi="Times New Roman"/>
                <w:color w:val="000000"/>
                <w:sz w:val="26"/>
                <w:szCs w:val="26"/>
                <w:lang w:eastAsia="lv-LV"/>
              </w:rPr>
              <w:t>infrastruktūras amortizācijas</w:t>
            </w:r>
            <w:r w:rsidR="00DE3C69" w:rsidRPr="00B9444C">
              <w:rPr>
                <w:rFonts w:ascii="Times New Roman" w:eastAsia="Times New Roman" w:hAnsi="Times New Roman"/>
                <w:color w:val="000000"/>
                <w:sz w:val="26"/>
                <w:szCs w:val="26"/>
                <w:lang w:eastAsia="lv-LV"/>
              </w:rPr>
              <w:t xml:space="preserve"> periodā</w:t>
            </w:r>
            <w:r w:rsidR="00B27715" w:rsidRPr="00B9444C">
              <w:rPr>
                <w:rFonts w:ascii="Times New Roman" w:eastAsia="Times New Roman" w:hAnsi="Times New Roman"/>
                <w:color w:val="000000"/>
                <w:sz w:val="26"/>
                <w:szCs w:val="26"/>
                <w:lang w:eastAsia="lv-LV"/>
              </w:rPr>
              <w:t xml:space="preserve"> </w:t>
            </w:r>
            <w:r w:rsidR="008F791E" w:rsidRPr="00B9444C">
              <w:rPr>
                <w:rFonts w:ascii="Times New Roman" w:eastAsia="Times New Roman" w:hAnsi="Times New Roman"/>
                <w:color w:val="000000"/>
                <w:sz w:val="26"/>
                <w:szCs w:val="26"/>
                <w:lang w:eastAsia="lv-LV"/>
              </w:rPr>
              <w:t xml:space="preserve"> līdz </w:t>
            </w:r>
            <w:r w:rsidR="00B03097" w:rsidRPr="00B9444C">
              <w:rPr>
                <w:rFonts w:ascii="Times New Roman" w:eastAsia="Times New Roman" w:hAnsi="Times New Roman"/>
                <w:color w:val="000000"/>
                <w:sz w:val="26"/>
                <w:szCs w:val="26"/>
                <w:lang w:eastAsia="lv-LV"/>
              </w:rPr>
              <w:t>203</w:t>
            </w:r>
            <w:r w:rsidR="00F7464A" w:rsidRPr="00B9444C">
              <w:rPr>
                <w:rFonts w:ascii="Times New Roman" w:eastAsia="Times New Roman" w:hAnsi="Times New Roman"/>
                <w:color w:val="000000"/>
                <w:sz w:val="26"/>
                <w:szCs w:val="26"/>
                <w:lang w:eastAsia="lv-LV"/>
              </w:rPr>
              <w:t>9</w:t>
            </w:r>
            <w:r w:rsidR="008F791E" w:rsidRPr="00B9444C">
              <w:rPr>
                <w:rFonts w:ascii="Times New Roman" w:eastAsia="Times New Roman" w:hAnsi="Times New Roman"/>
                <w:color w:val="000000"/>
                <w:sz w:val="26"/>
                <w:szCs w:val="26"/>
                <w:lang w:eastAsia="lv-LV"/>
              </w:rPr>
              <w:t>.</w:t>
            </w:r>
            <w:r w:rsidR="00B5503E" w:rsidRPr="00B9444C">
              <w:rPr>
                <w:rFonts w:ascii="Times New Roman" w:eastAsia="Times New Roman" w:hAnsi="Times New Roman"/>
                <w:color w:val="000000"/>
                <w:sz w:val="26"/>
                <w:szCs w:val="26"/>
                <w:lang w:eastAsia="lv-LV"/>
              </w:rPr>
              <w:t> </w:t>
            </w:r>
            <w:r w:rsidR="008F791E" w:rsidRPr="00B9444C">
              <w:rPr>
                <w:rFonts w:ascii="Times New Roman" w:eastAsia="Times New Roman" w:hAnsi="Times New Roman"/>
                <w:color w:val="000000"/>
                <w:sz w:val="26"/>
                <w:szCs w:val="26"/>
                <w:lang w:eastAsia="lv-LV"/>
              </w:rPr>
              <w:t>gada</w:t>
            </w:r>
            <w:r w:rsidR="007A6D3E" w:rsidRPr="00B9444C">
              <w:rPr>
                <w:rFonts w:ascii="Times New Roman" w:eastAsia="Times New Roman" w:hAnsi="Times New Roman"/>
                <w:color w:val="000000"/>
                <w:sz w:val="26"/>
                <w:szCs w:val="26"/>
                <w:lang w:eastAsia="lv-LV"/>
              </w:rPr>
              <w:t xml:space="preserve"> 31.</w:t>
            </w:r>
            <w:r w:rsidR="00B5503E" w:rsidRPr="00B9444C">
              <w:rPr>
                <w:rFonts w:ascii="Times New Roman" w:eastAsia="Times New Roman" w:hAnsi="Times New Roman"/>
                <w:color w:val="000000"/>
                <w:sz w:val="26"/>
                <w:szCs w:val="26"/>
                <w:lang w:eastAsia="lv-LV"/>
              </w:rPr>
              <w:t> </w:t>
            </w:r>
            <w:r w:rsidR="007A6D3E" w:rsidRPr="00B9444C">
              <w:rPr>
                <w:rFonts w:ascii="Times New Roman" w:eastAsia="Times New Roman" w:hAnsi="Times New Roman"/>
                <w:color w:val="000000"/>
                <w:sz w:val="26"/>
                <w:szCs w:val="26"/>
                <w:lang w:eastAsia="lv-LV"/>
              </w:rPr>
              <w:t>decembrim</w:t>
            </w:r>
            <w:r w:rsidR="00DE3C69" w:rsidRPr="00B9444C">
              <w:rPr>
                <w:rFonts w:ascii="Times New Roman" w:eastAsia="Times New Roman" w:hAnsi="Times New Roman"/>
                <w:color w:val="000000"/>
                <w:sz w:val="26"/>
                <w:szCs w:val="26"/>
                <w:lang w:eastAsia="lv-LV"/>
              </w:rPr>
              <w:t>.</w:t>
            </w:r>
          </w:p>
          <w:p w14:paraId="5A803CAF" w14:textId="77777777" w:rsidR="002B5454" w:rsidRPr="00B9444C" w:rsidRDefault="00DE3C69" w:rsidP="002B5454">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Uzraudzības ietvaros</w:t>
            </w:r>
            <w:r w:rsidR="002B5454" w:rsidRPr="00B9444C">
              <w:rPr>
                <w:rFonts w:ascii="Times New Roman" w:eastAsia="Times New Roman" w:hAnsi="Times New Roman"/>
                <w:color w:val="000000"/>
                <w:sz w:val="26"/>
                <w:szCs w:val="26"/>
                <w:lang w:eastAsia="lv-LV"/>
              </w:rPr>
              <w:t xml:space="preserve"> sadarbības iestāde izvērtē šādus aspektus:</w:t>
            </w:r>
          </w:p>
          <w:p w14:paraId="04A4F67F" w14:textId="77777777" w:rsidR="002B5454" w:rsidRPr="00B9444C" w:rsidRDefault="002B5454" w:rsidP="002B5454">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1. labuma guvēja finanšu vadības sistēma, analizējot jautājumus, kas saistīti ar saimniecisko un ne-saimniecisko darbību identificēšanu, nodalīšanu, kontroli, ieņēmumu </w:t>
            </w:r>
            <w:proofErr w:type="spellStart"/>
            <w:r w:rsidRPr="00B9444C">
              <w:rPr>
                <w:rFonts w:ascii="Times New Roman" w:eastAsia="Times New Roman" w:hAnsi="Times New Roman"/>
                <w:color w:val="000000"/>
                <w:sz w:val="26"/>
                <w:szCs w:val="26"/>
                <w:lang w:eastAsia="lv-LV"/>
              </w:rPr>
              <w:t>reinvestēšanu</w:t>
            </w:r>
            <w:proofErr w:type="spellEnd"/>
            <w:r w:rsidRPr="00B9444C">
              <w:rPr>
                <w:rFonts w:ascii="Times New Roman" w:eastAsia="Times New Roman" w:hAnsi="Times New Roman"/>
                <w:color w:val="000000"/>
                <w:sz w:val="26"/>
                <w:szCs w:val="26"/>
                <w:lang w:eastAsia="lv-LV"/>
              </w:rPr>
              <w:t xml:space="preserve"> pamatdarbībā u.c. aspektus, kas saistīti ar </w:t>
            </w:r>
            <w:r w:rsidR="006801BD" w:rsidRPr="00B9444C">
              <w:rPr>
                <w:rFonts w:ascii="Times New Roman" w:eastAsia="Times New Roman" w:hAnsi="Times New Roman"/>
                <w:color w:val="000000"/>
                <w:sz w:val="26"/>
                <w:szCs w:val="26"/>
                <w:lang w:eastAsia="lv-LV"/>
              </w:rPr>
              <w:t>labuma guvējiem</w:t>
            </w:r>
            <w:r w:rsidRPr="00B9444C">
              <w:rPr>
                <w:rFonts w:ascii="Times New Roman" w:eastAsia="Times New Roman" w:hAnsi="Times New Roman"/>
                <w:color w:val="000000"/>
                <w:sz w:val="26"/>
                <w:szCs w:val="26"/>
                <w:lang w:eastAsia="lv-LV"/>
              </w:rPr>
              <w:t xml:space="preserve"> izvirzīto nosacījumu izpildi;</w:t>
            </w:r>
          </w:p>
          <w:p w14:paraId="4A43703A" w14:textId="227C4EC6" w:rsidR="00BC4E3F" w:rsidRPr="00B9444C" w:rsidRDefault="002B5454" w:rsidP="002B5454">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2. </w:t>
            </w:r>
            <w:r w:rsidR="00BC4E3F" w:rsidRPr="00B9444C">
              <w:rPr>
                <w:rFonts w:ascii="Times New Roman" w:eastAsia="Times New Roman" w:hAnsi="Times New Roman"/>
                <w:color w:val="000000"/>
                <w:sz w:val="26"/>
                <w:szCs w:val="26"/>
                <w:lang w:eastAsia="lv-LV"/>
              </w:rPr>
              <w:t>saimnieciskas pamatdarbības ietekmes uz tirdzniecību starp Eiropas Savienības dalībvalstīm izvērtēšana;</w:t>
            </w:r>
          </w:p>
          <w:p w14:paraId="47910F59" w14:textId="09A2DAC2" w:rsidR="002028A7" w:rsidRPr="00B9444C" w:rsidRDefault="00BC4E3F" w:rsidP="002B5454">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3. </w:t>
            </w:r>
            <w:r w:rsidR="002B5454" w:rsidRPr="00B9444C">
              <w:rPr>
                <w:rFonts w:ascii="Times New Roman" w:eastAsia="Times New Roman" w:hAnsi="Times New Roman"/>
                <w:color w:val="000000"/>
                <w:sz w:val="26"/>
                <w:szCs w:val="26"/>
                <w:lang w:eastAsia="lv-LV"/>
              </w:rPr>
              <w:t xml:space="preserve">saimnieciska rakstura darbību atbilstība </w:t>
            </w:r>
            <w:r w:rsidR="00BF0F1C" w:rsidRPr="00B9444C">
              <w:rPr>
                <w:rFonts w:ascii="Times New Roman" w:eastAsia="Times New Roman" w:hAnsi="Times New Roman"/>
                <w:color w:val="000000"/>
                <w:sz w:val="26"/>
                <w:szCs w:val="26"/>
                <w:lang w:eastAsia="lv-LV"/>
              </w:rPr>
              <w:t>papildinošas saimnieciskās darbības</w:t>
            </w:r>
            <w:r w:rsidR="002B5454" w:rsidRPr="00B9444C">
              <w:rPr>
                <w:rFonts w:ascii="Times New Roman" w:eastAsia="Times New Roman" w:hAnsi="Times New Roman"/>
                <w:color w:val="000000"/>
                <w:sz w:val="26"/>
                <w:szCs w:val="26"/>
                <w:lang w:eastAsia="lv-LV"/>
              </w:rPr>
              <w:t xml:space="preserve"> un </w:t>
            </w:r>
            <w:proofErr w:type="spellStart"/>
            <w:r w:rsidR="002B5454" w:rsidRPr="00B9444C">
              <w:rPr>
                <w:rFonts w:ascii="Times New Roman" w:eastAsia="Times New Roman" w:hAnsi="Times New Roman"/>
                <w:color w:val="000000"/>
                <w:sz w:val="26"/>
                <w:szCs w:val="26"/>
                <w:lang w:eastAsia="lv-LV"/>
              </w:rPr>
              <w:t>papildpakapojumiem</w:t>
            </w:r>
            <w:proofErr w:type="spellEnd"/>
            <w:r w:rsidR="002B5454" w:rsidRPr="00B9444C">
              <w:rPr>
                <w:rFonts w:ascii="Times New Roman" w:eastAsia="Times New Roman" w:hAnsi="Times New Roman"/>
                <w:color w:val="000000"/>
                <w:sz w:val="26"/>
                <w:szCs w:val="26"/>
                <w:lang w:eastAsia="lv-LV"/>
              </w:rPr>
              <w:t xml:space="preserve"> izvirzītajām prasībām</w:t>
            </w:r>
            <w:r w:rsidR="002028A7" w:rsidRPr="00B9444C">
              <w:rPr>
                <w:rFonts w:ascii="Times New Roman" w:eastAsia="Times New Roman" w:hAnsi="Times New Roman"/>
                <w:color w:val="000000"/>
                <w:sz w:val="26"/>
                <w:szCs w:val="26"/>
                <w:lang w:eastAsia="lv-LV"/>
              </w:rPr>
              <w:t>.</w:t>
            </w:r>
          </w:p>
          <w:p w14:paraId="23069F6D" w14:textId="77777777" w:rsidR="00DE3C69" w:rsidRPr="00B9444C" w:rsidRDefault="002028A7" w:rsidP="002B5454">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Ja nepieciešams, sadarbības iestāde piemēro publiskā finansējuma atgūšanas mehānismu</w:t>
            </w:r>
            <w:r w:rsidR="00DE3C69" w:rsidRPr="00B9444C">
              <w:rPr>
                <w:rFonts w:ascii="Times New Roman" w:eastAsia="Times New Roman" w:hAnsi="Times New Roman"/>
                <w:color w:val="000000"/>
                <w:sz w:val="26"/>
                <w:szCs w:val="26"/>
                <w:lang w:eastAsia="lv-LV"/>
              </w:rPr>
              <w:t xml:space="preserve">. </w:t>
            </w:r>
          </w:p>
          <w:p w14:paraId="501EE71F" w14:textId="77777777" w:rsidR="00DE3C69" w:rsidRPr="00B9444C" w:rsidRDefault="00DE0724" w:rsidP="00DE3C69">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SAM 8.1.1.</w:t>
            </w:r>
            <w:r w:rsidR="00DE3C69" w:rsidRPr="00B9444C">
              <w:rPr>
                <w:rFonts w:ascii="Times New Roman" w:eastAsia="Times New Roman" w:hAnsi="Times New Roman"/>
                <w:color w:val="000000"/>
                <w:sz w:val="26"/>
                <w:szCs w:val="26"/>
                <w:lang w:eastAsia="lv-LV"/>
              </w:rPr>
              <w:t xml:space="preserve"> ietvaros ieguldījumi veikti šādu pamatlīdzekļu modernizācijai, iegādei vai izveidei:</w:t>
            </w:r>
          </w:p>
          <w:p w14:paraId="4C9577E3" w14:textId="77777777" w:rsidR="00DE3C69" w:rsidRPr="00B9444C" w:rsidRDefault="00DE3C69" w:rsidP="00DE3C69">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  aparatūra – tehnoloģiskās iekārtas, kuru amortizācijas periods ir 10 gadi;</w:t>
            </w:r>
          </w:p>
          <w:p w14:paraId="1D252153" w14:textId="77777777" w:rsidR="00DE3C69" w:rsidRPr="00B9444C" w:rsidRDefault="00DE3C69" w:rsidP="00DE3C69">
            <w:pPr>
              <w:spacing w:before="10" w:after="0" w:line="240" w:lineRule="auto"/>
              <w:ind w:left="113" w:right="113"/>
              <w:jc w:val="both"/>
              <w:rPr>
                <w:rFonts w:ascii="Times New Roman" w:hAnsi="Times New Roman"/>
                <w:color w:val="000000"/>
                <w:sz w:val="26"/>
                <w:szCs w:val="26"/>
              </w:rPr>
            </w:pPr>
            <w:r w:rsidRPr="00B9444C">
              <w:rPr>
                <w:rFonts w:ascii="Times New Roman" w:eastAsia="Times New Roman" w:hAnsi="Times New Roman"/>
                <w:color w:val="000000"/>
                <w:sz w:val="26"/>
                <w:szCs w:val="26"/>
                <w:lang w:eastAsia="lv-LV"/>
              </w:rPr>
              <w:t>2. telpu un ēku renovācija un rekonstrukcija</w:t>
            </w:r>
            <w:r w:rsidRPr="00B9444C">
              <w:rPr>
                <w:rFonts w:ascii="Times New Roman" w:hAnsi="Times New Roman"/>
                <w:color w:val="000000"/>
                <w:sz w:val="26"/>
                <w:szCs w:val="26"/>
              </w:rPr>
              <w:t xml:space="preserve">; </w:t>
            </w:r>
          </w:p>
          <w:p w14:paraId="347C292C" w14:textId="77777777" w:rsidR="00DE3C69" w:rsidRPr="00B9444C" w:rsidRDefault="00DE3C69" w:rsidP="00F7464A">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3. jaunu būvju būvniecība. </w:t>
            </w:r>
          </w:p>
          <w:p w14:paraId="1A44436B" w14:textId="77777777" w:rsidR="00DF2054" w:rsidRPr="00B9444C" w:rsidRDefault="00785DCF" w:rsidP="00DE3C69">
            <w:pPr>
              <w:rPr>
                <w:rFonts w:ascii="Times New Roman" w:hAnsi="Times New Roman"/>
                <w:color w:val="000000"/>
                <w:sz w:val="26"/>
                <w:szCs w:val="26"/>
              </w:rPr>
            </w:pPr>
            <w:r w:rsidRPr="00B9444C">
              <w:rPr>
                <w:rFonts w:ascii="Times New Roman" w:hAnsi="Times New Roman"/>
                <w:color w:val="000000"/>
                <w:sz w:val="26"/>
                <w:szCs w:val="26"/>
              </w:rPr>
              <w:lastRenderedPageBreak/>
              <w:t>Vidējās a</w:t>
            </w:r>
            <w:r w:rsidR="00DF2054" w:rsidRPr="00B9444C">
              <w:rPr>
                <w:rFonts w:ascii="Times New Roman" w:hAnsi="Times New Roman"/>
                <w:color w:val="000000"/>
                <w:sz w:val="26"/>
                <w:szCs w:val="26"/>
              </w:rPr>
              <w:t>dministratīv</w:t>
            </w:r>
            <w:r w:rsidRPr="00B9444C">
              <w:rPr>
                <w:rFonts w:ascii="Times New Roman" w:hAnsi="Times New Roman"/>
                <w:color w:val="000000"/>
                <w:sz w:val="26"/>
                <w:szCs w:val="26"/>
              </w:rPr>
              <w:t>ās</w:t>
            </w:r>
            <w:r w:rsidR="00DF2054" w:rsidRPr="00B9444C">
              <w:rPr>
                <w:rFonts w:ascii="Times New Roman" w:hAnsi="Times New Roman"/>
                <w:color w:val="000000"/>
                <w:sz w:val="26"/>
                <w:szCs w:val="26"/>
              </w:rPr>
              <w:t xml:space="preserve"> izmaksas </w:t>
            </w:r>
            <w:proofErr w:type="spellStart"/>
            <w:r w:rsidR="00DF2054" w:rsidRPr="00B9444C">
              <w:rPr>
                <w:rFonts w:ascii="Times New Roman" w:eastAsia="Times New Roman" w:hAnsi="Times New Roman"/>
                <w:color w:val="000000"/>
                <w:sz w:val="26"/>
                <w:szCs w:val="26"/>
                <w:lang w:eastAsia="lv-LV"/>
              </w:rPr>
              <w:t>C</w:t>
            </w:r>
            <w:r w:rsidR="00DF2054" w:rsidRPr="00B9444C">
              <w:rPr>
                <w:rFonts w:ascii="Times New Roman" w:eastAsia="Times New Roman" w:hAnsi="Times New Roman"/>
                <w:color w:val="000000"/>
                <w:sz w:val="26"/>
                <w:szCs w:val="26"/>
                <w:vertAlign w:val="subscript"/>
                <w:lang w:eastAsia="lv-LV"/>
              </w:rPr>
              <w:t>g</w:t>
            </w:r>
            <w:proofErr w:type="spellEnd"/>
            <w:r w:rsidR="00DF2054" w:rsidRPr="00B9444C">
              <w:rPr>
                <w:rFonts w:ascii="Times New Roman" w:hAnsi="Times New Roman"/>
                <w:color w:val="000000"/>
                <w:sz w:val="26"/>
                <w:szCs w:val="26"/>
              </w:rPr>
              <w:t xml:space="preserve"> gadā aprēķina, izmantojot šādu formulu: </w:t>
            </w:r>
          </w:p>
          <w:p w14:paraId="47DB2FD2" w14:textId="77777777" w:rsidR="0003107E" w:rsidRPr="00B9444C" w:rsidRDefault="00CC7BC2" w:rsidP="0015234D">
            <w:pPr>
              <w:spacing w:before="10" w:after="0" w:line="240" w:lineRule="auto"/>
              <w:ind w:left="113" w:right="113"/>
              <w:jc w:val="both"/>
              <w:rPr>
                <w:rFonts w:ascii="Times New Roman" w:eastAsia="Times New Roman" w:hAnsi="Times New Roman"/>
                <w:color w:val="000000"/>
                <w:sz w:val="26"/>
                <w:szCs w:val="26"/>
                <w:lang w:eastAsia="lv-LV"/>
              </w:rPr>
            </w:pPr>
            <w:proofErr w:type="spellStart"/>
            <w:r w:rsidRPr="00B9444C">
              <w:rPr>
                <w:rFonts w:ascii="Times New Roman" w:eastAsia="Times New Roman" w:hAnsi="Times New Roman"/>
                <w:color w:val="000000"/>
                <w:sz w:val="26"/>
                <w:szCs w:val="26"/>
                <w:lang w:eastAsia="lv-LV"/>
              </w:rPr>
              <w:t>C</w:t>
            </w:r>
            <w:r w:rsidR="00F17FE1" w:rsidRPr="00B9444C">
              <w:rPr>
                <w:rFonts w:ascii="Times New Roman" w:eastAsia="Times New Roman" w:hAnsi="Times New Roman"/>
                <w:color w:val="000000"/>
                <w:sz w:val="26"/>
                <w:szCs w:val="26"/>
                <w:vertAlign w:val="subscript"/>
                <w:lang w:eastAsia="lv-LV"/>
              </w:rPr>
              <w:t>g</w:t>
            </w:r>
            <w:proofErr w:type="spellEnd"/>
            <w:r w:rsidRPr="00B9444C">
              <w:rPr>
                <w:rFonts w:ascii="Times New Roman" w:eastAsia="Times New Roman" w:hAnsi="Times New Roman"/>
                <w:color w:val="000000"/>
                <w:sz w:val="26"/>
                <w:szCs w:val="26"/>
                <w:lang w:eastAsia="lv-LV"/>
              </w:rPr>
              <w:t xml:space="preserve"> = (f x l) x (n x b)</w:t>
            </w:r>
            <w:r w:rsidR="0003107E" w:rsidRPr="00B9444C">
              <w:rPr>
                <w:rFonts w:ascii="Times New Roman" w:eastAsia="Times New Roman" w:hAnsi="Times New Roman"/>
                <w:color w:val="000000"/>
                <w:sz w:val="26"/>
                <w:szCs w:val="26"/>
                <w:lang w:eastAsia="lv-LV"/>
              </w:rPr>
              <w:t xml:space="preserve"> = </w:t>
            </w:r>
          </w:p>
          <w:p w14:paraId="3EC65DDC" w14:textId="77777777" w:rsidR="00CC7BC2" w:rsidRPr="00B9444C" w:rsidRDefault="0003107E" w:rsidP="0015234D">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 </w:t>
            </w:r>
            <w:r w:rsidR="00951EE7" w:rsidRPr="00B9444C">
              <w:rPr>
                <w:rFonts w:ascii="Times New Roman" w:eastAsia="Times New Roman" w:hAnsi="Times New Roman"/>
                <w:color w:val="000000"/>
                <w:sz w:val="26"/>
                <w:szCs w:val="26"/>
                <w:lang w:eastAsia="lv-LV"/>
              </w:rPr>
              <w:t>18</w:t>
            </w:r>
            <w:r w:rsidR="00785DCF" w:rsidRPr="00B9444C">
              <w:rPr>
                <w:rFonts w:ascii="Times New Roman" w:eastAsia="Times New Roman" w:hAnsi="Times New Roman"/>
                <w:color w:val="000000"/>
                <w:sz w:val="26"/>
                <w:szCs w:val="26"/>
                <w:lang w:eastAsia="lv-LV"/>
              </w:rPr>
              <w:t>,</w:t>
            </w:r>
            <w:r w:rsidR="00951EE7" w:rsidRPr="00B9444C">
              <w:rPr>
                <w:rFonts w:ascii="Times New Roman" w:eastAsia="Times New Roman" w:hAnsi="Times New Roman"/>
                <w:color w:val="000000"/>
                <w:sz w:val="26"/>
                <w:szCs w:val="26"/>
                <w:lang w:eastAsia="lv-LV"/>
              </w:rPr>
              <w:t xml:space="preserve">27 </w:t>
            </w:r>
            <w:r w:rsidRPr="00B9444C">
              <w:rPr>
                <w:rFonts w:ascii="Times New Roman" w:eastAsia="Times New Roman" w:hAnsi="Times New Roman"/>
                <w:color w:val="000000"/>
                <w:sz w:val="26"/>
                <w:szCs w:val="26"/>
                <w:lang w:eastAsia="lv-LV"/>
              </w:rPr>
              <w:t xml:space="preserve">x </w:t>
            </w:r>
            <w:r w:rsidR="00951EE7" w:rsidRPr="00B9444C">
              <w:rPr>
                <w:rFonts w:ascii="Times New Roman" w:eastAsia="Times New Roman" w:hAnsi="Times New Roman"/>
                <w:color w:val="000000"/>
                <w:sz w:val="26"/>
                <w:szCs w:val="26"/>
                <w:lang w:eastAsia="lv-LV"/>
              </w:rPr>
              <w:t xml:space="preserve">21 </w:t>
            </w:r>
            <w:r w:rsidRPr="00B9444C">
              <w:rPr>
                <w:rFonts w:ascii="Times New Roman" w:eastAsia="Times New Roman" w:hAnsi="Times New Roman"/>
                <w:color w:val="000000"/>
                <w:sz w:val="26"/>
                <w:szCs w:val="26"/>
                <w:lang w:eastAsia="lv-LV"/>
              </w:rPr>
              <w:t xml:space="preserve">x </w:t>
            </w:r>
            <w:r w:rsidR="00F17FE1" w:rsidRPr="00B9444C">
              <w:rPr>
                <w:rFonts w:ascii="Times New Roman" w:eastAsia="Times New Roman" w:hAnsi="Times New Roman"/>
                <w:color w:val="000000"/>
                <w:sz w:val="26"/>
                <w:szCs w:val="26"/>
                <w:lang w:eastAsia="lv-LV"/>
              </w:rPr>
              <w:t>2</w:t>
            </w:r>
            <w:r w:rsidRPr="00B9444C">
              <w:rPr>
                <w:rFonts w:ascii="Times New Roman" w:eastAsia="Times New Roman" w:hAnsi="Times New Roman"/>
                <w:color w:val="000000"/>
                <w:sz w:val="26"/>
                <w:szCs w:val="26"/>
                <w:lang w:eastAsia="lv-LV"/>
              </w:rPr>
              <w:t xml:space="preserve"> x 1 </w:t>
            </w:r>
            <w:r w:rsidR="00EE2BFD" w:rsidRPr="00B9444C">
              <w:rPr>
                <w:rFonts w:ascii="Times New Roman" w:eastAsia="Times New Roman" w:hAnsi="Times New Roman"/>
                <w:color w:val="000000"/>
                <w:sz w:val="26"/>
                <w:szCs w:val="26"/>
                <w:lang w:eastAsia="lv-LV"/>
              </w:rPr>
              <w:t xml:space="preserve">= </w:t>
            </w:r>
            <w:r w:rsidR="00951EE7" w:rsidRPr="00B9444C">
              <w:rPr>
                <w:rFonts w:ascii="Times New Roman" w:eastAsia="Times New Roman" w:hAnsi="Times New Roman"/>
                <w:color w:val="000000"/>
                <w:sz w:val="26"/>
                <w:szCs w:val="26"/>
                <w:lang w:eastAsia="lv-LV"/>
              </w:rPr>
              <w:t>767,34</w:t>
            </w:r>
            <w:r w:rsidR="00951EE7" w:rsidRPr="00B9444C" w:rsidDel="00951EE7">
              <w:rPr>
                <w:rFonts w:ascii="Times New Roman" w:eastAsia="Times New Roman" w:hAnsi="Times New Roman"/>
                <w:color w:val="000000"/>
                <w:sz w:val="26"/>
                <w:szCs w:val="26"/>
                <w:lang w:eastAsia="lv-LV"/>
              </w:rPr>
              <w:t xml:space="preserve"> </w:t>
            </w:r>
            <w:r w:rsidR="0015234D" w:rsidRPr="00B9444C">
              <w:rPr>
                <w:rFonts w:ascii="Times New Roman" w:eastAsia="Times New Roman" w:hAnsi="Times New Roman"/>
                <w:color w:val="000000"/>
                <w:sz w:val="26"/>
                <w:szCs w:val="26"/>
                <w:lang w:eastAsia="lv-LV"/>
              </w:rPr>
              <w:t>(EUR)</w:t>
            </w:r>
            <w:r w:rsidR="00CC7BC2" w:rsidRPr="00B9444C">
              <w:rPr>
                <w:rFonts w:ascii="Times New Roman" w:eastAsia="Times New Roman" w:hAnsi="Times New Roman"/>
                <w:color w:val="000000"/>
                <w:sz w:val="26"/>
                <w:szCs w:val="26"/>
                <w:lang w:eastAsia="lv-LV"/>
              </w:rPr>
              <w:t>, kur</w:t>
            </w:r>
          </w:p>
          <w:p w14:paraId="5B0BA134" w14:textId="77777777" w:rsidR="00CC7BC2" w:rsidRPr="00B9444C" w:rsidRDefault="00F17FE1" w:rsidP="0015234D">
            <w:pPr>
              <w:spacing w:before="10" w:after="0" w:line="240" w:lineRule="auto"/>
              <w:ind w:left="113" w:right="113"/>
              <w:jc w:val="both"/>
              <w:rPr>
                <w:rFonts w:ascii="Times New Roman" w:eastAsia="Times New Roman" w:hAnsi="Times New Roman"/>
                <w:color w:val="000000"/>
                <w:sz w:val="26"/>
                <w:szCs w:val="26"/>
                <w:lang w:eastAsia="lv-LV"/>
              </w:rPr>
            </w:pPr>
            <w:proofErr w:type="spellStart"/>
            <w:r w:rsidRPr="00B9444C">
              <w:rPr>
                <w:rFonts w:ascii="Times New Roman" w:eastAsia="Times New Roman" w:hAnsi="Times New Roman"/>
                <w:color w:val="000000"/>
                <w:sz w:val="26"/>
                <w:szCs w:val="26"/>
                <w:lang w:eastAsia="lv-LV"/>
              </w:rPr>
              <w:t>C</w:t>
            </w:r>
            <w:r w:rsidRPr="00B9444C">
              <w:rPr>
                <w:rFonts w:ascii="Times New Roman" w:eastAsia="Times New Roman" w:hAnsi="Times New Roman"/>
                <w:color w:val="000000"/>
                <w:sz w:val="26"/>
                <w:szCs w:val="26"/>
                <w:vertAlign w:val="subscript"/>
                <w:lang w:eastAsia="lv-LV"/>
              </w:rPr>
              <w:t>g</w:t>
            </w:r>
            <w:proofErr w:type="spellEnd"/>
            <w:r w:rsidR="00CC7BC2" w:rsidRPr="00B9444C">
              <w:rPr>
                <w:rFonts w:ascii="Times New Roman" w:eastAsia="Times New Roman" w:hAnsi="Times New Roman"/>
                <w:color w:val="000000"/>
                <w:sz w:val="26"/>
                <w:szCs w:val="26"/>
                <w:lang w:eastAsia="lv-LV"/>
              </w:rPr>
              <w:t xml:space="preserve"> – informācijas sniegšanas, pieņemšanas, apstrādes vai uzglabāšanas pienākum</w:t>
            </w:r>
            <w:r w:rsidR="0003107E" w:rsidRPr="00B9444C">
              <w:rPr>
                <w:rFonts w:ascii="Times New Roman" w:eastAsia="Times New Roman" w:hAnsi="Times New Roman"/>
                <w:color w:val="000000"/>
                <w:sz w:val="26"/>
                <w:szCs w:val="26"/>
                <w:lang w:eastAsia="lv-LV"/>
              </w:rPr>
              <w:t>u</w:t>
            </w:r>
            <w:r w:rsidR="00CC7BC2" w:rsidRPr="00B9444C">
              <w:rPr>
                <w:rFonts w:ascii="Times New Roman" w:eastAsia="Times New Roman" w:hAnsi="Times New Roman"/>
                <w:color w:val="000000"/>
                <w:sz w:val="26"/>
                <w:szCs w:val="26"/>
                <w:lang w:eastAsia="lv-LV"/>
              </w:rPr>
              <w:t xml:space="preserve"> </w:t>
            </w:r>
            <w:r w:rsidR="0003107E" w:rsidRPr="00B9444C">
              <w:rPr>
                <w:rFonts w:ascii="Times New Roman" w:eastAsia="Times New Roman" w:hAnsi="Times New Roman"/>
                <w:color w:val="000000"/>
                <w:sz w:val="26"/>
                <w:szCs w:val="26"/>
                <w:lang w:eastAsia="lv-LV"/>
              </w:rPr>
              <w:t xml:space="preserve">(turpmāk – uzraudzība) </w:t>
            </w:r>
            <w:r w:rsidR="00CC7BC2" w:rsidRPr="00B9444C">
              <w:rPr>
                <w:rFonts w:ascii="Times New Roman" w:eastAsia="Times New Roman" w:hAnsi="Times New Roman"/>
                <w:color w:val="000000"/>
                <w:sz w:val="26"/>
                <w:szCs w:val="26"/>
                <w:lang w:eastAsia="lv-LV"/>
              </w:rPr>
              <w:t>radītās izmaksas jeb administratīvās izmaksas</w:t>
            </w:r>
            <w:r w:rsidRPr="00B9444C">
              <w:rPr>
                <w:rFonts w:ascii="Times New Roman" w:eastAsia="Times New Roman" w:hAnsi="Times New Roman"/>
                <w:color w:val="000000"/>
                <w:sz w:val="26"/>
                <w:szCs w:val="26"/>
                <w:lang w:eastAsia="lv-LV"/>
              </w:rPr>
              <w:t xml:space="preserve"> gadā</w:t>
            </w:r>
            <w:r w:rsidR="0015234D" w:rsidRPr="00B9444C">
              <w:rPr>
                <w:rFonts w:ascii="Times New Roman" w:eastAsia="Times New Roman" w:hAnsi="Times New Roman"/>
                <w:color w:val="000000"/>
                <w:sz w:val="26"/>
                <w:szCs w:val="26"/>
                <w:lang w:eastAsia="lv-LV"/>
              </w:rPr>
              <w:t xml:space="preserve"> (indikatīvi)</w:t>
            </w:r>
            <w:r w:rsidR="00CC7BC2" w:rsidRPr="00B9444C">
              <w:rPr>
                <w:rFonts w:ascii="Times New Roman" w:eastAsia="Times New Roman" w:hAnsi="Times New Roman"/>
                <w:color w:val="000000"/>
                <w:sz w:val="26"/>
                <w:szCs w:val="26"/>
                <w:lang w:eastAsia="lv-LV"/>
              </w:rPr>
              <w:t>;</w:t>
            </w:r>
          </w:p>
          <w:p w14:paraId="68343163" w14:textId="77777777" w:rsidR="00CC7BC2" w:rsidRPr="00B9444C" w:rsidRDefault="00CC7BC2" w:rsidP="0015234D">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f – finanšu līdzekļu apjoms, kas nepieciešams, lai nodrošinātu </w:t>
            </w:r>
            <w:r w:rsidR="0003107E" w:rsidRPr="00B9444C">
              <w:rPr>
                <w:rFonts w:ascii="Times New Roman" w:eastAsia="Times New Roman" w:hAnsi="Times New Roman"/>
                <w:color w:val="000000"/>
                <w:sz w:val="26"/>
                <w:szCs w:val="26"/>
                <w:lang w:eastAsia="lv-LV"/>
              </w:rPr>
              <w:t>uzraudzību</w:t>
            </w:r>
            <w:r w:rsidRPr="00B9444C">
              <w:rPr>
                <w:rFonts w:ascii="Times New Roman" w:eastAsia="Times New Roman" w:hAnsi="Times New Roman"/>
                <w:color w:val="000000"/>
                <w:sz w:val="26"/>
                <w:szCs w:val="26"/>
                <w:lang w:eastAsia="lv-LV"/>
              </w:rPr>
              <w:t xml:space="preserve"> (stundas samaksas likme, ieskaitot virsstundas);</w:t>
            </w:r>
          </w:p>
          <w:p w14:paraId="35579994" w14:textId="77777777" w:rsidR="00CC7BC2" w:rsidRPr="00B9444C" w:rsidRDefault="00CC7BC2" w:rsidP="0015234D">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l – laika patēriņš, kas nepieciešams, lai </w:t>
            </w:r>
            <w:r w:rsidR="0003107E" w:rsidRPr="00B9444C">
              <w:rPr>
                <w:rFonts w:ascii="Times New Roman" w:eastAsia="Times New Roman" w:hAnsi="Times New Roman"/>
                <w:color w:val="000000"/>
                <w:sz w:val="26"/>
                <w:szCs w:val="26"/>
                <w:lang w:eastAsia="lv-LV"/>
              </w:rPr>
              <w:t xml:space="preserve">veiktu </w:t>
            </w:r>
            <w:r w:rsidR="00813AEF" w:rsidRPr="00B9444C">
              <w:rPr>
                <w:rFonts w:ascii="Times New Roman" w:eastAsia="Times New Roman" w:hAnsi="Times New Roman"/>
                <w:color w:val="000000"/>
                <w:sz w:val="26"/>
                <w:szCs w:val="26"/>
                <w:lang w:eastAsia="lv-LV"/>
              </w:rPr>
              <w:t>14</w:t>
            </w:r>
            <w:r w:rsidR="00F17FE1" w:rsidRPr="00B9444C">
              <w:rPr>
                <w:rFonts w:ascii="Times New Roman" w:eastAsia="Times New Roman" w:hAnsi="Times New Roman"/>
                <w:color w:val="000000"/>
                <w:sz w:val="26"/>
                <w:szCs w:val="26"/>
                <w:lang w:eastAsia="lv-LV"/>
              </w:rPr>
              <w:t xml:space="preserve"> projektu uzraudzību</w:t>
            </w:r>
            <w:r w:rsidR="00EE2BFD" w:rsidRPr="00B9444C">
              <w:rPr>
                <w:rFonts w:ascii="Times New Roman" w:eastAsia="Times New Roman" w:hAnsi="Times New Roman"/>
                <w:color w:val="000000"/>
                <w:sz w:val="26"/>
                <w:szCs w:val="26"/>
                <w:lang w:eastAsia="lv-LV"/>
              </w:rPr>
              <w:t>, stundas</w:t>
            </w:r>
            <w:r w:rsidRPr="00B9444C">
              <w:rPr>
                <w:rFonts w:ascii="Times New Roman" w:eastAsia="Times New Roman" w:hAnsi="Times New Roman"/>
                <w:color w:val="000000"/>
                <w:sz w:val="26"/>
                <w:szCs w:val="26"/>
                <w:lang w:eastAsia="lv-LV"/>
              </w:rPr>
              <w:t>;</w:t>
            </w:r>
          </w:p>
          <w:p w14:paraId="7CAB8AD8" w14:textId="77777777" w:rsidR="00CC7BC2" w:rsidRPr="00B9444C" w:rsidRDefault="00CC7BC2" w:rsidP="0015234D">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n – subjektu skaits, uz ko attiecas </w:t>
            </w:r>
            <w:r w:rsidR="00F17FE1" w:rsidRPr="00B9444C">
              <w:rPr>
                <w:rFonts w:ascii="Times New Roman" w:eastAsia="Times New Roman" w:hAnsi="Times New Roman"/>
                <w:color w:val="000000"/>
                <w:sz w:val="26"/>
                <w:szCs w:val="26"/>
                <w:lang w:eastAsia="lv-LV"/>
              </w:rPr>
              <w:t>uzraudzības veikšana</w:t>
            </w:r>
            <w:r w:rsidR="00EE2BFD" w:rsidRPr="00B9444C">
              <w:rPr>
                <w:rFonts w:ascii="Times New Roman" w:eastAsia="Times New Roman" w:hAnsi="Times New Roman"/>
                <w:color w:val="000000"/>
                <w:sz w:val="26"/>
                <w:szCs w:val="26"/>
                <w:lang w:eastAsia="lv-LV"/>
              </w:rPr>
              <w:t xml:space="preserve"> (divi auditori</w:t>
            </w:r>
            <w:r w:rsidR="00F17FE1" w:rsidRPr="00B9444C">
              <w:rPr>
                <w:rFonts w:ascii="Times New Roman" w:eastAsia="Times New Roman" w:hAnsi="Times New Roman"/>
                <w:color w:val="000000"/>
                <w:sz w:val="26"/>
                <w:szCs w:val="26"/>
                <w:lang w:eastAsia="lv-LV"/>
              </w:rPr>
              <w:t xml:space="preserve"> uz katru projektu</w:t>
            </w:r>
            <w:r w:rsidR="00EE2BFD"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w:t>
            </w:r>
          </w:p>
          <w:p w14:paraId="5BFA76A1" w14:textId="77777777" w:rsidR="00393719" w:rsidRPr="00B9444C" w:rsidRDefault="00CC7BC2" w:rsidP="0003107E">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b – cik bieži gada laikā projekts paredz </w:t>
            </w:r>
            <w:r w:rsidR="00F17FE1" w:rsidRPr="00B9444C">
              <w:rPr>
                <w:rFonts w:ascii="Times New Roman" w:eastAsia="Times New Roman" w:hAnsi="Times New Roman"/>
                <w:color w:val="000000"/>
                <w:sz w:val="26"/>
                <w:szCs w:val="26"/>
                <w:lang w:eastAsia="lv-LV"/>
              </w:rPr>
              <w:t>kontroli.</w:t>
            </w:r>
          </w:p>
          <w:p w14:paraId="32A5E990" w14:textId="68B10F09" w:rsidR="001A6F33" w:rsidRPr="00B9444C" w:rsidRDefault="00F17FE1" w:rsidP="001A6F33">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Indikatīvās kopējās uzraudzības izmaksas </w:t>
            </w:r>
            <w:r w:rsidR="00785DCF" w:rsidRPr="00B9444C">
              <w:rPr>
                <w:rFonts w:ascii="Times New Roman" w:eastAsia="Times New Roman" w:hAnsi="Times New Roman"/>
                <w:color w:val="000000"/>
                <w:sz w:val="26"/>
                <w:szCs w:val="26"/>
                <w:lang w:eastAsia="lv-LV"/>
              </w:rPr>
              <w:t>amortizācijas</w:t>
            </w:r>
            <w:r w:rsidRPr="00B9444C">
              <w:rPr>
                <w:rFonts w:ascii="Times New Roman" w:eastAsia="Times New Roman" w:hAnsi="Times New Roman"/>
                <w:color w:val="000000"/>
                <w:sz w:val="26"/>
                <w:szCs w:val="26"/>
                <w:lang w:eastAsia="lv-LV"/>
              </w:rPr>
              <w:t xml:space="preserve"> periodā no 20</w:t>
            </w:r>
            <w:r w:rsidR="007A6D3E" w:rsidRPr="00B9444C">
              <w:rPr>
                <w:rFonts w:ascii="Times New Roman" w:eastAsia="Times New Roman" w:hAnsi="Times New Roman"/>
                <w:color w:val="000000"/>
                <w:sz w:val="26"/>
                <w:szCs w:val="26"/>
                <w:lang w:eastAsia="lv-LV"/>
              </w:rPr>
              <w:t>21</w:t>
            </w:r>
            <w:r w:rsidRPr="00B9444C">
              <w:rPr>
                <w:rFonts w:ascii="Times New Roman" w:eastAsia="Times New Roman" w:hAnsi="Times New Roman"/>
                <w:color w:val="000000"/>
                <w:sz w:val="26"/>
                <w:szCs w:val="26"/>
                <w:lang w:eastAsia="lv-LV"/>
              </w:rPr>
              <w:t>. gada līdz 203</w:t>
            </w:r>
            <w:r w:rsidR="00F7464A" w:rsidRPr="00B9444C">
              <w:rPr>
                <w:rFonts w:ascii="Times New Roman" w:eastAsia="Times New Roman" w:hAnsi="Times New Roman"/>
                <w:color w:val="000000"/>
                <w:sz w:val="26"/>
                <w:szCs w:val="26"/>
                <w:lang w:eastAsia="lv-LV"/>
              </w:rPr>
              <w:t>9</w:t>
            </w:r>
            <w:r w:rsidRPr="00B9444C">
              <w:rPr>
                <w:rFonts w:ascii="Times New Roman" w:eastAsia="Times New Roman" w:hAnsi="Times New Roman"/>
                <w:color w:val="000000"/>
                <w:sz w:val="26"/>
                <w:szCs w:val="26"/>
                <w:lang w:eastAsia="lv-LV"/>
              </w:rPr>
              <w:t>. gada</w:t>
            </w:r>
            <w:r w:rsidR="007A6D3E" w:rsidRPr="00B9444C">
              <w:rPr>
                <w:rFonts w:ascii="Times New Roman" w:eastAsia="Times New Roman" w:hAnsi="Times New Roman"/>
                <w:color w:val="000000"/>
                <w:sz w:val="26"/>
                <w:szCs w:val="26"/>
                <w:lang w:eastAsia="lv-LV"/>
              </w:rPr>
              <w:t xml:space="preserve"> 31.</w:t>
            </w:r>
            <w:r w:rsidR="00B5503E" w:rsidRPr="00B9444C">
              <w:rPr>
                <w:rFonts w:ascii="Times New Roman" w:eastAsia="Times New Roman" w:hAnsi="Times New Roman"/>
                <w:color w:val="000000"/>
                <w:sz w:val="26"/>
                <w:szCs w:val="26"/>
                <w:lang w:eastAsia="lv-LV"/>
              </w:rPr>
              <w:t> </w:t>
            </w:r>
            <w:r w:rsidR="007A6D3E" w:rsidRPr="00B9444C">
              <w:rPr>
                <w:rFonts w:ascii="Times New Roman" w:eastAsia="Times New Roman" w:hAnsi="Times New Roman"/>
                <w:color w:val="000000"/>
                <w:sz w:val="26"/>
                <w:szCs w:val="26"/>
                <w:lang w:eastAsia="lv-LV"/>
              </w:rPr>
              <w:t>decembrim</w:t>
            </w:r>
            <w:r w:rsidR="0015234D"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 xml:space="preserve"> C</w:t>
            </w:r>
            <w:r w:rsidRPr="00B9444C">
              <w:rPr>
                <w:rFonts w:ascii="Times New Roman" w:eastAsia="Times New Roman" w:hAnsi="Times New Roman"/>
                <w:color w:val="000000"/>
                <w:sz w:val="26"/>
                <w:szCs w:val="26"/>
                <w:vertAlign w:val="subscript"/>
                <w:lang w:eastAsia="lv-LV"/>
              </w:rPr>
              <w:t>203</w:t>
            </w:r>
            <w:r w:rsidR="00F7464A" w:rsidRPr="00B9444C">
              <w:rPr>
                <w:rFonts w:ascii="Times New Roman" w:eastAsia="Times New Roman" w:hAnsi="Times New Roman"/>
                <w:color w:val="000000"/>
                <w:sz w:val="26"/>
                <w:szCs w:val="26"/>
                <w:vertAlign w:val="subscript"/>
                <w:lang w:eastAsia="lv-LV"/>
              </w:rPr>
              <w:t>9</w:t>
            </w:r>
            <w:r w:rsidRPr="00B9444C">
              <w:rPr>
                <w:rFonts w:ascii="Times New Roman" w:eastAsia="Times New Roman" w:hAnsi="Times New Roman"/>
                <w:color w:val="000000"/>
                <w:sz w:val="26"/>
                <w:szCs w:val="26"/>
                <w:vertAlign w:val="subscript"/>
                <w:lang w:eastAsia="lv-LV"/>
              </w:rPr>
              <w:t xml:space="preserve"> </w:t>
            </w:r>
            <w:r w:rsidRPr="00B9444C">
              <w:rPr>
                <w:rFonts w:ascii="Times New Roman" w:eastAsia="Times New Roman" w:hAnsi="Times New Roman"/>
                <w:color w:val="000000"/>
                <w:sz w:val="26"/>
                <w:szCs w:val="26"/>
                <w:lang w:eastAsia="lv-LV"/>
              </w:rPr>
              <w:t xml:space="preserve">= </w:t>
            </w:r>
            <w:r w:rsidR="00951EE7" w:rsidRPr="00B9444C">
              <w:rPr>
                <w:rFonts w:ascii="Times New Roman" w:eastAsia="Times New Roman" w:hAnsi="Times New Roman"/>
                <w:color w:val="000000"/>
                <w:sz w:val="26"/>
                <w:szCs w:val="26"/>
                <w:lang w:eastAsia="lv-LV"/>
              </w:rPr>
              <w:t>221</w:t>
            </w:r>
            <w:r w:rsidR="00835005" w:rsidRPr="00B9444C">
              <w:rPr>
                <w:rFonts w:ascii="Times New Roman" w:eastAsia="Times New Roman" w:hAnsi="Times New Roman"/>
                <w:color w:val="000000"/>
                <w:sz w:val="26"/>
                <w:szCs w:val="26"/>
                <w:lang w:eastAsia="lv-LV"/>
              </w:rPr>
              <w:t> </w:t>
            </w:r>
            <w:r w:rsidR="00951EE7" w:rsidRPr="00B9444C">
              <w:rPr>
                <w:rFonts w:ascii="Times New Roman" w:eastAsia="Times New Roman" w:hAnsi="Times New Roman"/>
                <w:color w:val="000000"/>
                <w:sz w:val="26"/>
                <w:szCs w:val="26"/>
                <w:lang w:eastAsia="lv-LV"/>
              </w:rPr>
              <w:t>922</w:t>
            </w:r>
            <w:r w:rsidR="00835005" w:rsidRPr="00B9444C">
              <w:rPr>
                <w:rFonts w:ascii="Times New Roman" w:eastAsia="Times New Roman" w:hAnsi="Times New Roman"/>
                <w:color w:val="000000"/>
                <w:sz w:val="26"/>
                <w:szCs w:val="26"/>
                <w:lang w:eastAsia="lv-LV"/>
              </w:rPr>
              <w:t xml:space="preserve"> </w:t>
            </w:r>
            <w:r w:rsidR="0015234D" w:rsidRPr="00B9444C">
              <w:rPr>
                <w:rFonts w:ascii="Times New Roman" w:eastAsia="Times New Roman" w:hAnsi="Times New Roman"/>
                <w:color w:val="000000"/>
                <w:sz w:val="26"/>
                <w:szCs w:val="26"/>
                <w:lang w:eastAsia="lv-LV"/>
              </w:rPr>
              <w:t>EUR</w:t>
            </w:r>
            <w:r w:rsidR="007A5E15" w:rsidRPr="00B9444C">
              <w:rPr>
                <w:rFonts w:ascii="Times New Roman" w:eastAsia="Times New Roman" w:hAnsi="Times New Roman"/>
                <w:color w:val="000000"/>
                <w:sz w:val="26"/>
                <w:szCs w:val="26"/>
                <w:lang w:eastAsia="lv-LV"/>
              </w:rPr>
              <w:t>.</w:t>
            </w:r>
            <w:r w:rsidR="001A6F33" w:rsidRPr="00B9444C">
              <w:rPr>
                <w:rFonts w:ascii="Times New Roman" w:eastAsia="Times New Roman" w:hAnsi="Times New Roman"/>
                <w:color w:val="000000"/>
                <w:sz w:val="26"/>
                <w:szCs w:val="26"/>
                <w:lang w:eastAsia="lv-LV"/>
              </w:rPr>
              <w:t xml:space="preserve"> </w:t>
            </w:r>
          </w:p>
          <w:p w14:paraId="21FE0272" w14:textId="77777777" w:rsidR="00C24D1E" w:rsidRPr="00B9444C" w:rsidRDefault="00AF393F" w:rsidP="001A6F33">
            <w:pPr>
              <w:spacing w:after="0"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Uzraudzības izmaksas 2021. gadā plānots segt no Sadarbības iestādes rīcībā esošiem finanšu resursiem.</w:t>
            </w:r>
          </w:p>
        </w:tc>
      </w:tr>
      <w:tr w:rsidR="00800AB9" w:rsidRPr="00B9444C" w14:paraId="46120BF9" w14:textId="77777777" w:rsidTr="00670E4D">
        <w:trPr>
          <w:trHeight w:val="345"/>
        </w:trPr>
        <w:tc>
          <w:tcPr>
            <w:tcW w:w="453" w:type="dxa"/>
            <w:gridSpan w:val="2"/>
            <w:tcBorders>
              <w:top w:val="outset" w:sz="6" w:space="0" w:color="414142"/>
              <w:left w:val="outset" w:sz="6" w:space="0" w:color="414142"/>
              <w:bottom w:val="outset" w:sz="6" w:space="0" w:color="414142"/>
              <w:right w:val="outset" w:sz="6" w:space="0" w:color="414142"/>
            </w:tcBorders>
          </w:tcPr>
          <w:p w14:paraId="183823E1" w14:textId="77777777" w:rsidR="00800AB9" w:rsidRPr="00B9444C" w:rsidRDefault="00800AB9" w:rsidP="00800AB9">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4.</w:t>
            </w:r>
          </w:p>
        </w:tc>
        <w:tc>
          <w:tcPr>
            <w:tcW w:w="2658" w:type="dxa"/>
            <w:tcBorders>
              <w:top w:val="outset" w:sz="6" w:space="0" w:color="414142"/>
              <w:left w:val="outset" w:sz="6" w:space="0" w:color="414142"/>
              <w:bottom w:val="outset" w:sz="6" w:space="0" w:color="414142"/>
              <w:right w:val="outset" w:sz="6" w:space="0" w:color="414142"/>
            </w:tcBorders>
          </w:tcPr>
          <w:p w14:paraId="3CC53625" w14:textId="77777777" w:rsidR="00800AB9" w:rsidRPr="00B9444C" w:rsidRDefault="00800AB9" w:rsidP="00800AB9">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Atbilstības izmaksu monetārs novērtējums</w:t>
            </w:r>
          </w:p>
        </w:tc>
        <w:tc>
          <w:tcPr>
            <w:tcW w:w="5944" w:type="dxa"/>
            <w:tcBorders>
              <w:top w:val="outset" w:sz="6" w:space="0" w:color="414142"/>
              <w:left w:val="outset" w:sz="6" w:space="0" w:color="414142"/>
              <w:bottom w:val="outset" w:sz="6" w:space="0" w:color="414142"/>
              <w:right w:val="outset" w:sz="6" w:space="0" w:color="414142"/>
            </w:tcBorders>
          </w:tcPr>
          <w:p w14:paraId="74BB0740" w14:textId="77777777" w:rsidR="00800AB9" w:rsidRPr="00B9444C" w:rsidRDefault="00B5503E" w:rsidP="00800AB9">
            <w:pPr>
              <w:spacing w:before="10" w:after="0" w:line="240" w:lineRule="auto"/>
              <w:ind w:left="113" w:right="113"/>
              <w:jc w:val="both"/>
              <w:rPr>
                <w:rFonts w:ascii="Times New Roman" w:eastAsia="Times New Roman" w:hAnsi="Times New Roman"/>
                <w:b/>
                <w:color w:val="000000"/>
                <w:sz w:val="26"/>
                <w:szCs w:val="26"/>
                <w:lang w:eastAsia="lv-LV"/>
              </w:rPr>
            </w:pPr>
            <w:r w:rsidRPr="00B9444C">
              <w:rPr>
                <w:rFonts w:ascii="Times New Roman" w:eastAsia="Times New Roman" w:hAnsi="Times New Roman"/>
                <w:color w:val="000000"/>
                <w:sz w:val="26"/>
                <w:szCs w:val="26"/>
                <w:lang w:eastAsia="lv-LV"/>
              </w:rPr>
              <w:t>Noteikumu p</w:t>
            </w:r>
            <w:r w:rsidR="00800AB9" w:rsidRPr="00B9444C">
              <w:rPr>
                <w:rFonts w:ascii="Times New Roman" w:eastAsia="Times New Roman" w:hAnsi="Times New Roman"/>
                <w:color w:val="000000"/>
                <w:sz w:val="26"/>
                <w:szCs w:val="26"/>
                <w:lang w:eastAsia="lv-LV"/>
              </w:rPr>
              <w:t>rojekts šo jomu neskar.</w:t>
            </w:r>
          </w:p>
        </w:tc>
      </w:tr>
      <w:tr w:rsidR="007405DA" w:rsidRPr="00B9444C" w14:paraId="484F08FB" w14:textId="77777777" w:rsidTr="00670E4D">
        <w:trPr>
          <w:trHeight w:val="345"/>
        </w:trPr>
        <w:tc>
          <w:tcPr>
            <w:tcW w:w="453" w:type="dxa"/>
            <w:gridSpan w:val="2"/>
            <w:tcBorders>
              <w:top w:val="outset" w:sz="6" w:space="0" w:color="414142"/>
              <w:left w:val="outset" w:sz="6" w:space="0" w:color="414142"/>
              <w:bottom w:val="outset" w:sz="6" w:space="0" w:color="414142"/>
              <w:right w:val="outset" w:sz="6" w:space="0" w:color="414142"/>
            </w:tcBorders>
            <w:hideMark/>
          </w:tcPr>
          <w:p w14:paraId="3D6234B0" w14:textId="77777777" w:rsidR="00800AB9" w:rsidRPr="00B9444C" w:rsidRDefault="00800AB9" w:rsidP="00800AB9">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5.</w:t>
            </w:r>
          </w:p>
        </w:tc>
        <w:tc>
          <w:tcPr>
            <w:tcW w:w="2658" w:type="dxa"/>
            <w:tcBorders>
              <w:top w:val="outset" w:sz="6" w:space="0" w:color="414142"/>
              <w:left w:val="outset" w:sz="6" w:space="0" w:color="414142"/>
              <w:bottom w:val="outset" w:sz="6" w:space="0" w:color="414142"/>
              <w:right w:val="outset" w:sz="6" w:space="0" w:color="414142"/>
            </w:tcBorders>
            <w:hideMark/>
          </w:tcPr>
          <w:p w14:paraId="7B8C069F" w14:textId="77777777" w:rsidR="00800AB9" w:rsidRPr="00B9444C" w:rsidRDefault="00800AB9" w:rsidP="00800AB9">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Cita informācija</w:t>
            </w:r>
          </w:p>
        </w:tc>
        <w:tc>
          <w:tcPr>
            <w:tcW w:w="5944" w:type="dxa"/>
            <w:tcBorders>
              <w:top w:val="outset" w:sz="6" w:space="0" w:color="414142"/>
              <w:left w:val="outset" w:sz="6" w:space="0" w:color="414142"/>
              <w:bottom w:val="outset" w:sz="6" w:space="0" w:color="414142"/>
              <w:right w:val="outset" w:sz="6" w:space="0" w:color="414142"/>
            </w:tcBorders>
            <w:hideMark/>
          </w:tcPr>
          <w:p w14:paraId="45E6F4ED" w14:textId="77777777" w:rsidR="00800AB9" w:rsidRPr="00B9444C" w:rsidRDefault="00800AB9" w:rsidP="006801BD">
            <w:pPr>
              <w:spacing w:before="10" w:after="0" w:line="240" w:lineRule="auto"/>
              <w:ind w:left="113" w:right="113"/>
              <w:jc w:val="both"/>
              <w:rPr>
                <w:rFonts w:ascii="Times New Roman" w:eastAsia="Times New Roman" w:hAnsi="Times New Roman"/>
                <w:b/>
                <w:color w:val="000000"/>
                <w:sz w:val="26"/>
                <w:szCs w:val="26"/>
                <w:lang w:eastAsia="lv-LV"/>
              </w:rPr>
            </w:pPr>
            <w:r w:rsidRPr="00B9444C">
              <w:rPr>
                <w:rFonts w:ascii="Times New Roman" w:eastAsia="Times New Roman" w:hAnsi="Times New Roman"/>
                <w:color w:val="000000"/>
                <w:sz w:val="26"/>
                <w:szCs w:val="26"/>
                <w:lang w:eastAsia="lv-LV"/>
              </w:rPr>
              <w:t>Jautājumu par papildu administratīvo izmaksu segšanu plānots risināt</w:t>
            </w:r>
            <w:r w:rsidR="000A2470" w:rsidRPr="00B9444C">
              <w:rPr>
                <w:rFonts w:ascii="Times New Roman" w:eastAsia="Times New Roman" w:hAnsi="Times New Roman"/>
                <w:color w:val="000000"/>
                <w:sz w:val="26"/>
                <w:szCs w:val="26"/>
                <w:lang w:eastAsia="lv-LV"/>
              </w:rPr>
              <w:t>,</w:t>
            </w:r>
            <w:r w:rsidR="007A6D3E"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izstrādājot Eiropas Savienības Kohēzijas politikas 2021.–2027. gadam ieviešanas nosacījumus</w:t>
            </w:r>
            <w:r w:rsidR="006801BD" w:rsidRPr="00B9444C">
              <w:rPr>
                <w:rFonts w:ascii="Times New Roman" w:eastAsia="Times New Roman" w:hAnsi="Times New Roman"/>
                <w:color w:val="000000"/>
                <w:sz w:val="26"/>
                <w:szCs w:val="26"/>
                <w:lang w:eastAsia="lv-LV"/>
              </w:rPr>
              <w:t xml:space="preserve"> (tehniskās palīdzības ietvars)</w:t>
            </w:r>
            <w:r w:rsidR="00951EE7" w:rsidRPr="00B9444C">
              <w:rPr>
                <w:rFonts w:ascii="Times New Roman" w:eastAsia="Times New Roman" w:hAnsi="Times New Roman"/>
                <w:color w:val="000000"/>
                <w:sz w:val="26"/>
                <w:szCs w:val="26"/>
                <w:lang w:eastAsia="lv-LV"/>
              </w:rPr>
              <w:t xml:space="preserve"> vai izskatot jautājumu par papildu finansējuma piešķiršanu Ministru kabinetā gadskārtējā valsts budžeta likumprojekta un vidēja termiņa budžeta ietvara likumprojekta sagatavošanas un izskatīšanas procesā kopā ar visu ministriju un centrālo valsts iestāžu iesniegtajiem prioritārajiem pasākumiem atbilstoši valsts budžeta finansiālajām iespējām</w:t>
            </w:r>
            <w:r w:rsidRPr="00B9444C">
              <w:rPr>
                <w:rFonts w:ascii="Times New Roman" w:eastAsia="Times New Roman" w:hAnsi="Times New Roman"/>
                <w:color w:val="000000"/>
                <w:sz w:val="26"/>
                <w:szCs w:val="26"/>
                <w:lang w:eastAsia="lv-LV"/>
              </w:rPr>
              <w:t>.</w:t>
            </w:r>
          </w:p>
        </w:tc>
      </w:tr>
    </w:tbl>
    <w:p w14:paraId="1B1859B5" w14:textId="77777777" w:rsidR="00226F1C" w:rsidRPr="00B9444C" w:rsidRDefault="00226F1C" w:rsidP="00226F1C">
      <w:pPr>
        <w:spacing w:after="0" w:line="240" w:lineRule="auto"/>
        <w:rPr>
          <w:rFonts w:ascii="Times New Roman" w:hAnsi="Times New Roman"/>
          <w:i/>
          <w:iCs/>
          <w:color w:val="000000"/>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8"/>
        <w:gridCol w:w="1049"/>
        <w:gridCol w:w="1071"/>
        <w:gridCol w:w="869"/>
        <w:gridCol w:w="1071"/>
        <w:gridCol w:w="869"/>
        <w:gridCol w:w="1168"/>
        <w:gridCol w:w="1280"/>
      </w:tblGrid>
      <w:tr w:rsidR="00E43CD1" w:rsidRPr="00B9444C" w14:paraId="0811385A" w14:textId="77777777" w:rsidTr="00670E4D">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62409"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b/>
                <w:bCs/>
                <w:color w:val="000000"/>
                <w:sz w:val="26"/>
                <w:szCs w:val="26"/>
                <w:lang w:eastAsia="lv-LV"/>
              </w:rPr>
            </w:pPr>
            <w:r w:rsidRPr="00B9444C">
              <w:rPr>
                <w:rFonts w:ascii="Times New Roman" w:eastAsia="Times New Roman" w:hAnsi="Times New Roman"/>
                <w:b/>
                <w:bCs/>
                <w:color w:val="000000"/>
                <w:sz w:val="26"/>
                <w:szCs w:val="26"/>
                <w:lang w:eastAsia="lv-LV"/>
              </w:rPr>
              <w:t>III. Tiesību akta projekta ietekme uz valsts budžetu un pašvaldību budžetiem</w:t>
            </w:r>
          </w:p>
        </w:tc>
      </w:tr>
      <w:tr w:rsidR="00670E4D" w:rsidRPr="00B9444C" w14:paraId="21C5E4DE" w14:textId="77777777" w:rsidTr="00266D7A">
        <w:tc>
          <w:tcPr>
            <w:tcW w:w="8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B8853"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Rādītāji</w:t>
            </w:r>
          </w:p>
        </w:tc>
        <w:tc>
          <w:tcPr>
            <w:tcW w:w="116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999166" w14:textId="77777777" w:rsidR="00E43CD1" w:rsidRPr="00B9444C" w:rsidRDefault="00E43CD1" w:rsidP="007A6D3E">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20</w:t>
            </w:r>
            <w:r w:rsidR="007A6D3E" w:rsidRPr="00B9444C">
              <w:rPr>
                <w:rFonts w:ascii="Times New Roman" w:eastAsia="Times New Roman" w:hAnsi="Times New Roman"/>
                <w:color w:val="000000"/>
                <w:sz w:val="26"/>
                <w:szCs w:val="26"/>
                <w:lang w:eastAsia="lv-LV"/>
              </w:rPr>
              <w:t>20</w:t>
            </w:r>
            <w:r w:rsidRPr="00B9444C">
              <w:rPr>
                <w:rFonts w:ascii="Times New Roman" w:eastAsia="Times New Roman" w:hAnsi="Times New Roman"/>
                <w:color w:val="000000"/>
                <w:sz w:val="26"/>
                <w:szCs w:val="26"/>
                <w:lang w:eastAsia="lv-LV"/>
              </w:rPr>
              <w:t>.gads</w:t>
            </w:r>
          </w:p>
        </w:tc>
        <w:tc>
          <w:tcPr>
            <w:tcW w:w="297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BC733"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Turpmākie trīs gadi (</w:t>
            </w:r>
            <w:proofErr w:type="spellStart"/>
            <w:r w:rsidRPr="00B9444C">
              <w:rPr>
                <w:rFonts w:ascii="Times New Roman" w:eastAsia="Times New Roman" w:hAnsi="Times New Roman"/>
                <w:i/>
                <w:iCs/>
                <w:color w:val="000000"/>
                <w:sz w:val="26"/>
                <w:szCs w:val="26"/>
                <w:lang w:eastAsia="lv-LV"/>
              </w:rPr>
              <w:t>euro</w:t>
            </w:r>
            <w:proofErr w:type="spellEnd"/>
            <w:r w:rsidRPr="00B9444C">
              <w:rPr>
                <w:rFonts w:ascii="Times New Roman" w:eastAsia="Times New Roman" w:hAnsi="Times New Roman"/>
                <w:color w:val="000000"/>
                <w:sz w:val="26"/>
                <w:szCs w:val="26"/>
                <w:lang w:eastAsia="lv-LV"/>
              </w:rPr>
              <w:t>)</w:t>
            </w:r>
          </w:p>
        </w:tc>
      </w:tr>
      <w:tr w:rsidR="00527FF1" w:rsidRPr="00B9444C" w14:paraId="24558B30" w14:textId="77777777" w:rsidTr="006D02AA">
        <w:tc>
          <w:tcPr>
            <w:tcW w:w="8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9DD5C"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p>
        </w:tc>
        <w:tc>
          <w:tcPr>
            <w:tcW w:w="116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DDB8E"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C94DB" w14:textId="77777777" w:rsidR="00E43CD1" w:rsidRPr="00B9444C" w:rsidRDefault="00E43CD1" w:rsidP="007A6D3E">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20</w:t>
            </w:r>
            <w:r w:rsidR="007A6D3E" w:rsidRPr="00B9444C">
              <w:rPr>
                <w:rFonts w:ascii="Times New Roman" w:eastAsia="Times New Roman" w:hAnsi="Times New Roman"/>
                <w:color w:val="000000"/>
                <w:sz w:val="26"/>
                <w:szCs w:val="26"/>
                <w:lang w:eastAsia="lv-LV"/>
              </w:rPr>
              <w:t>21</w:t>
            </w:r>
            <w:r w:rsidRPr="00B9444C">
              <w:rPr>
                <w:rFonts w:ascii="Times New Roman" w:eastAsia="Times New Roman" w:hAnsi="Times New Roman"/>
                <w:color w:val="000000"/>
                <w:sz w:val="26"/>
                <w:szCs w:val="26"/>
                <w:lang w:eastAsia="lv-LV"/>
              </w:rPr>
              <w:t>.</w:t>
            </w:r>
          </w:p>
        </w:tc>
        <w:tc>
          <w:tcPr>
            <w:tcW w:w="115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2746DC" w14:textId="77777777" w:rsidR="00E43CD1" w:rsidRPr="00B9444C" w:rsidRDefault="00E43CD1" w:rsidP="007A6D3E">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202</w:t>
            </w:r>
            <w:r w:rsidR="007A6D3E" w:rsidRPr="00B9444C">
              <w:rPr>
                <w:rFonts w:ascii="Times New Roman" w:eastAsia="Times New Roman" w:hAnsi="Times New Roman"/>
                <w:color w:val="000000"/>
                <w:sz w:val="26"/>
                <w:szCs w:val="26"/>
                <w:lang w:eastAsia="lv-LV"/>
              </w:rPr>
              <w:t>2</w:t>
            </w:r>
            <w:r w:rsidRPr="00B9444C">
              <w:rPr>
                <w:rFonts w:ascii="Times New Roman" w:eastAsia="Times New Roman" w:hAnsi="Times New Roman"/>
                <w:color w:val="000000"/>
                <w:sz w:val="26"/>
                <w:szCs w:val="26"/>
                <w:lang w:eastAsia="lv-LV"/>
              </w:rPr>
              <w:t>.</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653B1" w14:textId="77777777" w:rsidR="00E43CD1" w:rsidRPr="00B9444C" w:rsidRDefault="00E43CD1" w:rsidP="006D02AA">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202</w:t>
            </w:r>
            <w:r w:rsidR="006D02AA" w:rsidRPr="00B9444C">
              <w:rPr>
                <w:rFonts w:ascii="Times New Roman" w:eastAsia="Times New Roman" w:hAnsi="Times New Roman"/>
                <w:color w:val="000000"/>
                <w:sz w:val="26"/>
                <w:szCs w:val="26"/>
                <w:lang w:eastAsia="lv-LV"/>
              </w:rPr>
              <w:t>3</w:t>
            </w:r>
            <w:r w:rsidRPr="00B9444C">
              <w:rPr>
                <w:rFonts w:ascii="Times New Roman" w:eastAsia="Times New Roman" w:hAnsi="Times New Roman"/>
                <w:color w:val="000000"/>
                <w:sz w:val="26"/>
                <w:szCs w:val="26"/>
                <w:lang w:eastAsia="lv-LV"/>
              </w:rPr>
              <w:t>.</w:t>
            </w:r>
          </w:p>
        </w:tc>
      </w:tr>
      <w:tr w:rsidR="00527FF1" w:rsidRPr="00B9444C" w14:paraId="3A721FD1" w14:textId="77777777" w:rsidTr="006D02AA">
        <w:tc>
          <w:tcPr>
            <w:tcW w:w="8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97AC5"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7923C"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saskaņā ar valsts budžetu kārtējam gadam</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1EA42"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izmaiņas kārtējā gadā, salīdzinot ar valsts budžetu </w:t>
            </w:r>
            <w:r w:rsidRPr="00B9444C">
              <w:rPr>
                <w:rFonts w:ascii="Times New Roman" w:eastAsia="Times New Roman" w:hAnsi="Times New Roman"/>
                <w:color w:val="000000"/>
                <w:sz w:val="26"/>
                <w:szCs w:val="26"/>
                <w:lang w:eastAsia="lv-LV"/>
              </w:rPr>
              <w:lastRenderedPageBreak/>
              <w:t>kārtējam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4987A"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A6A7F"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izmaiņas, salīdzinot ar vidēja termiņa budžeta ietvaru </w:t>
            </w:r>
            <w:r w:rsidR="00EA22AD" w:rsidRPr="00B9444C">
              <w:rPr>
                <w:rFonts w:ascii="Times New Roman" w:eastAsia="Times New Roman" w:hAnsi="Times New Roman"/>
                <w:color w:val="000000"/>
                <w:sz w:val="26"/>
                <w:szCs w:val="26"/>
                <w:lang w:eastAsia="lv-LV"/>
              </w:rPr>
              <w:lastRenderedPageBreak/>
              <w:t>2021.</w:t>
            </w:r>
            <w:r w:rsidRPr="00B9444C">
              <w:rPr>
                <w:rFonts w:ascii="Times New Roman" w:eastAsia="Times New Roman" w:hAnsi="Times New Roman"/>
                <w:color w:val="000000"/>
                <w:sz w:val="26"/>
                <w:szCs w:val="26"/>
                <w:lang w:eastAsia="lv-LV"/>
              </w:rPr>
              <w:t xml:space="preserve">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44C72"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saskaņā ar vidēja termiņa budžeta ietvaru</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95A819"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izmaiņas, salīdzinot ar vidēja termiņa budžeta ietvaru </w:t>
            </w:r>
            <w:r w:rsidR="00EA22AD" w:rsidRPr="00B9444C">
              <w:rPr>
                <w:rFonts w:ascii="Times New Roman" w:eastAsia="Times New Roman" w:hAnsi="Times New Roman"/>
                <w:color w:val="000000"/>
                <w:sz w:val="26"/>
                <w:szCs w:val="26"/>
                <w:lang w:eastAsia="lv-LV"/>
              </w:rPr>
              <w:lastRenderedPageBreak/>
              <w:t>2022.</w:t>
            </w:r>
            <w:r w:rsidRPr="00B9444C">
              <w:rPr>
                <w:rFonts w:ascii="Times New Roman" w:eastAsia="Times New Roman" w:hAnsi="Times New Roman"/>
                <w:color w:val="000000"/>
                <w:sz w:val="26"/>
                <w:szCs w:val="26"/>
                <w:lang w:eastAsia="lv-LV"/>
              </w:rPr>
              <w:t xml:space="preserve"> gadam</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EBC7E" w14:textId="77777777" w:rsidR="00E43CD1" w:rsidRPr="00B9444C" w:rsidRDefault="00E43CD1" w:rsidP="001A6F33">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 xml:space="preserve">izmaiņas, salīdzinot ar vidēja termiņa budžeta ietvaru </w:t>
            </w:r>
            <w:r w:rsidR="001A6F33" w:rsidRPr="00B9444C">
              <w:rPr>
                <w:rFonts w:ascii="Times New Roman" w:eastAsia="Times New Roman" w:hAnsi="Times New Roman"/>
                <w:color w:val="000000"/>
                <w:sz w:val="26"/>
                <w:szCs w:val="26"/>
                <w:lang w:eastAsia="lv-LV"/>
              </w:rPr>
              <w:lastRenderedPageBreak/>
              <w:t>2023</w:t>
            </w:r>
            <w:r w:rsidR="00EA22AD" w:rsidRPr="00B9444C">
              <w:rPr>
                <w:rFonts w:ascii="Times New Roman" w:eastAsia="Times New Roman" w:hAnsi="Times New Roman"/>
                <w:color w:val="000000"/>
                <w:sz w:val="26"/>
                <w:szCs w:val="26"/>
                <w:lang w:eastAsia="lv-LV"/>
              </w:rPr>
              <w:t>.</w:t>
            </w:r>
            <w:r w:rsidRPr="00B9444C">
              <w:rPr>
                <w:rFonts w:ascii="Times New Roman" w:eastAsia="Times New Roman" w:hAnsi="Times New Roman"/>
                <w:color w:val="000000"/>
                <w:sz w:val="26"/>
                <w:szCs w:val="26"/>
                <w:lang w:eastAsia="lv-LV"/>
              </w:rPr>
              <w:t xml:space="preserve"> gadam</w:t>
            </w:r>
          </w:p>
        </w:tc>
      </w:tr>
      <w:tr w:rsidR="00527FF1" w:rsidRPr="00B9444C" w14:paraId="2923420C"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B59EF"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1</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F60AD4"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A3B29"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C6D10"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0B823"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4C877"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6</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B6E72"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7</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8F6DC" w14:textId="77777777" w:rsidR="00E43CD1" w:rsidRPr="00B9444C" w:rsidRDefault="00E43CD1" w:rsidP="00DF2054">
            <w:pPr>
              <w:spacing w:before="100" w:beforeAutospacing="1" w:after="100" w:afterAutospacing="1" w:line="293" w:lineRule="atLeast"/>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8</w:t>
            </w:r>
          </w:p>
        </w:tc>
      </w:tr>
      <w:tr w:rsidR="00527FF1" w:rsidRPr="00B9444C" w14:paraId="20C852E5"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8A97DF5" w14:textId="77777777" w:rsidR="00E43CD1" w:rsidRPr="00B9444C" w:rsidRDefault="00E43CD1" w:rsidP="00E43CD1">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 Budžeta ieņēmumi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951F14E"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7A2F3E2"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517307EE"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50425B4"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B2747FA"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3D0116A4"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6DCE5CBB"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ja-JP"/>
              </w:rPr>
              <w:t>0</w:t>
            </w:r>
          </w:p>
        </w:tc>
      </w:tr>
      <w:tr w:rsidR="00527FF1" w:rsidRPr="00B9444C" w14:paraId="4A5CFF93"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020D077" w14:textId="77777777" w:rsidR="00E43CD1" w:rsidRPr="00B9444C" w:rsidRDefault="00E43CD1" w:rsidP="00E43CD1">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1.1. valsts pamatbudžets, tai skaitā ieņēmumi no maksas pakalpojumiem un citi pašu ieņēmumi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5EA44B0"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759FD83"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625F61CE"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0038062A" w14:textId="77777777" w:rsidR="00E43CD1" w:rsidRPr="00B9444C" w:rsidRDefault="00E43CD1" w:rsidP="00CA4EF6">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0512312"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43BB2AA7" w14:textId="77777777" w:rsidR="00E43CD1" w:rsidRPr="00B9444C" w:rsidRDefault="00E43CD1" w:rsidP="00CA4EF6">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E602AF5"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r>
      <w:tr w:rsidR="00527FF1" w:rsidRPr="00B9444C" w14:paraId="420D2EA5"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CC58CEE"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1.2. valsts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1BC8131"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67B52305"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2B0D5826" w14:textId="77777777" w:rsidR="00E43CD1" w:rsidRPr="00B9444C" w:rsidRDefault="00E43CD1" w:rsidP="00CA4EF6">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9FB81C5"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0AE45DA" w14:textId="77777777" w:rsidR="00E43CD1" w:rsidRPr="00B9444C" w:rsidRDefault="00E43CD1" w:rsidP="00CA4EF6">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38BA6329"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617AE0C1" w14:textId="77777777" w:rsidR="00E43CD1" w:rsidRPr="00B9444C" w:rsidRDefault="00E43CD1" w:rsidP="00CA4EF6">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r>
      <w:tr w:rsidR="00527FF1" w:rsidRPr="00B9444C" w14:paraId="6FC0045E"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EC34450"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42078C4"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CC5F0E4"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0B70DB4"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995990B"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3B1D0F24"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64DAB13E"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34CE7735"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r>
      <w:tr w:rsidR="00527FF1" w:rsidRPr="00B9444C" w14:paraId="12A46233"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34747B5E" w14:textId="77777777" w:rsidR="00855540" w:rsidRPr="00B9444C" w:rsidRDefault="00855540" w:rsidP="00855540">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 Budžeta izdevumi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3AD8A4E" w14:textId="77777777" w:rsidR="00855540" w:rsidRPr="00B9444C" w:rsidRDefault="00855540" w:rsidP="00855540">
            <w:pPr>
              <w:spacing w:after="0" w:line="240" w:lineRule="auto"/>
              <w:jc w:val="center"/>
              <w:rPr>
                <w:rFonts w:ascii="Times New Roman" w:eastAsia="Arial Unicode MS" w:hAnsi="Times New Roman"/>
                <w:color w:val="000000"/>
                <w:sz w:val="26"/>
                <w:szCs w:val="26"/>
                <w:lang w:eastAsia="lv-LV"/>
              </w:rPr>
            </w:pPr>
            <w:r w:rsidRPr="00B9444C">
              <w:rPr>
                <w:rFonts w:ascii="Times New Roman"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639FC546" w14:textId="77777777" w:rsidR="00855540" w:rsidRPr="00B9444C" w:rsidRDefault="00855540" w:rsidP="00855540">
            <w:pPr>
              <w:spacing w:after="0" w:line="240" w:lineRule="auto"/>
              <w:jc w:val="center"/>
              <w:rPr>
                <w:rFonts w:ascii="Times New Roman" w:eastAsia="Arial Unicode MS" w:hAnsi="Times New Roman"/>
                <w:color w:val="000000"/>
                <w:sz w:val="26"/>
                <w:szCs w:val="26"/>
                <w:lang w:eastAsia="lv-LV"/>
              </w:rPr>
            </w:pPr>
            <w:r w:rsidRPr="00B9444C">
              <w:rPr>
                <w:rFonts w:ascii="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36000D9" w14:textId="77777777" w:rsidR="00855540" w:rsidRPr="00B9444C" w:rsidRDefault="00855540" w:rsidP="0085554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50D4653" w14:textId="6B9AB5D7" w:rsidR="00855540" w:rsidRPr="00B9444C" w:rsidRDefault="00AF393F"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394F8830" w14:textId="77777777" w:rsidR="00855540" w:rsidRPr="00B9444C" w:rsidRDefault="00855540" w:rsidP="0085554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3B286F75" w14:textId="77777777" w:rsidR="00855540" w:rsidRPr="00B9444C" w:rsidRDefault="00951EE7"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9 648</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1948A310" w14:textId="77777777" w:rsidR="00855540" w:rsidRPr="00B9444C" w:rsidRDefault="00951EE7" w:rsidP="002702F0">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bCs/>
                <w:color w:val="000000"/>
                <w:sz w:val="26"/>
                <w:szCs w:val="26"/>
                <w:lang w:eastAsia="ja-JP"/>
              </w:rPr>
              <w:t>14 619</w:t>
            </w:r>
          </w:p>
        </w:tc>
      </w:tr>
      <w:tr w:rsidR="00527FF1" w:rsidRPr="00B9444C" w14:paraId="76E75E6E"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757F9A5" w14:textId="77777777" w:rsidR="00855540" w:rsidRPr="00B9444C" w:rsidRDefault="00855540" w:rsidP="00855540">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2.1. valsts pamatbudžets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51114D9" w14:textId="77777777" w:rsidR="00855540" w:rsidRPr="00B9444C" w:rsidRDefault="00855540" w:rsidP="00855540">
            <w:pPr>
              <w:spacing w:after="0" w:line="240" w:lineRule="auto"/>
              <w:jc w:val="center"/>
              <w:rPr>
                <w:rFonts w:ascii="Times New Roman" w:hAnsi="Times New Roman"/>
                <w:color w:val="000000"/>
                <w:sz w:val="26"/>
                <w:szCs w:val="26"/>
                <w:lang w:eastAsia="lv-LV"/>
              </w:rPr>
            </w:pPr>
            <w:r w:rsidRPr="00B9444C">
              <w:rPr>
                <w:rFonts w:ascii="Times New Roman"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B597D82" w14:textId="77777777" w:rsidR="00855540" w:rsidRPr="00B9444C" w:rsidRDefault="00855540" w:rsidP="00855540">
            <w:pPr>
              <w:spacing w:after="0" w:line="240" w:lineRule="auto"/>
              <w:jc w:val="center"/>
              <w:rPr>
                <w:rFonts w:ascii="Times New Roman" w:hAnsi="Times New Roman"/>
                <w:color w:val="000000"/>
                <w:sz w:val="26"/>
                <w:szCs w:val="26"/>
                <w:lang w:eastAsia="lv-LV"/>
              </w:rPr>
            </w:pPr>
            <w:r w:rsidRPr="00B9444C">
              <w:rPr>
                <w:rFonts w:ascii="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330B24D" w14:textId="77777777" w:rsidR="00855540" w:rsidRPr="00B9444C" w:rsidRDefault="00855540" w:rsidP="00855540">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E351827" w14:textId="293EF6B0" w:rsidR="00855540" w:rsidRPr="00B9444C" w:rsidRDefault="00AF393F" w:rsidP="0085554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15EC6464" w14:textId="77777777" w:rsidR="00855540" w:rsidRPr="00B9444C" w:rsidRDefault="00855540" w:rsidP="00855540">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28D40A19" w14:textId="77777777" w:rsidR="00855540" w:rsidRPr="00B9444C" w:rsidRDefault="00951EE7"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9 648</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69943CA4" w14:textId="77777777" w:rsidR="00855540" w:rsidRPr="00B9444C" w:rsidRDefault="00951EE7"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14 619</w:t>
            </w:r>
          </w:p>
        </w:tc>
      </w:tr>
      <w:tr w:rsidR="00527FF1" w:rsidRPr="00B9444C" w14:paraId="0BEAF73B"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251E8FA8"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2.2. valsts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079F6E0"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0200B6DC"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7073D456"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6A5CCD9"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1B07713"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29D4F05E"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6915FF2B" w14:textId="77777777" w:rsidR="00E43CD1" w:rsidRPr="00B9444C" w:rsidRDefault="00E43CD1" w:rsidP="00CA4EF6">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r>
      <w:tr w:rsidR="00527FF1" w:rsidRPr="00B9444C" w14:paraId="7CE24459"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501B4768"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18F4ABB"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3132BBA1"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254E536"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0DE9F44E"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634E03D7"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42F64617"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CEBCB46"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r>
      <w:tr w:rsidR="00527FF1" w:rsidRPr="00B9444C" w14:paraId="0C44DD44"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F64F75B" w14:textId="77777777" w:rsidR="002702F0" w:rsidRPr="00B9444C" w:rsidRDefault="002702F0" w:rsidP="002702F0">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 Finansiālā ietekme</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F721CA0" w14:textId="77777777" w:rsidR="002702F0" w:rsidRPr="00B9444C" w:rsidRDefault="002702F0" w:rsidP="002702F0">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7C0F34D" w14:textId="77777777" w:rsidR="002702F0" w:rsidRPr="00B9444C" w:rsidRDefault="002702F0" w:rsidP="002702F0">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5042AE42" w14:textId="77777777" w:rsidR="002702F0" w:rsidRPr="00B9444C" w:rsidRDefault="002702F0"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923F949" w14:textId="2FA624BB" w:rsidR="002702F0" w:rsidRPr="00B9444C" w:rsidRDefault="00AF393F"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641F4128" w14:textId="77777777" w:rsidR="002702F0" w:rsidRPr="00B9444C" w:rsidRDefault="002702F0"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1E137AFE" w14:textId="77777777" w:rsidR="002702F0" w:rsidRPr="00B9444C" w:rsidRDefault="002702F0"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w:t>
            </w:r>
            <w:r w:rsidR="00951EE7" w:rsidRPr="00B9444C">
              <w:rPr>
                <w:rFonts w:ascii="Times New Roman" w:eastAsia="Times New Roman" w:hAnsi="Times New Roman"/>
                <w:bCs/>
                <w:color w:val="000000"/>
                <w:sz w:val="26"/>
                <w:szCs w:val="26"/>
                <w:lang w:eastAsia="ja-JP"/>
              </w:rPr>
              <w:t>9 648</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6C62257B" w14:textId="77777777" w:rsidR="002702F0" w:rsidRPr="00B9444C" w:rsidRDefault="002702F0" w:rsidP="002702F0">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bCs/>
                <w:color w:val="000000"/>
                <w:sz w:val="26"/>
                <w:szCs w:val="26"/>
                <w:lang w:eastAsia="ja-JP"/>
              </w:rPr>
              <w:t>-</w:t>
            </w:r>
            <w:r w:rsidR="00951EE7" w:rsidRPr="00B9444C">
              <w:rPr>
                <w:rFonts w:ascii="Times New Roman" w:eastAsia="Times New Roman" w:hAnsi="Times New Roman"/>
                <w:bCs/>
                <w:color w:val="000000"/>
                <w:sz w:val="26"/>
                <w:szCs w:val="26"/>
                <w:lang w:eastAsia="ja-JP"/>
              </w:rPr>
              <w:t>14 619</w:t>
            </w:r>
          </w:p>
        </w:tc>
      </w:tr>
      <w:tr w:rsidR="00527FF1" w:rsidRPr="00B9444C" w14:paraId="3DA279E0"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8E93DAA" w14:textId="77777777" w:rsidR="002702F0" w:rsidRPr="00B9444C" w:rsidRDefault="002702F0" w:rsidP="002702F0">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3.1. valsts pamatbudžets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6EF72EF" w14:textId="77777777" w:rsidR="002702F0" w:rsidRPr="00B9444C" w:rsidRDefault="002702F0" w:rsidP="002702F0">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B18FBF1" w14:textId="77777777" w:rsidR="002702F0" w:rsidRPr="00B9444C" w:rsidRDefault="002702F0" w:rsidP="002702F0">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2885FA1C" w14:textId="77777777" w:rsidR="002702F0" w:rsidRPr="00B9444C" w:rsidRDefault="002702F0" w:rsidP="002702F0">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6D8C86F" w14:textId="7474EF04" w:rsidR="002702F0" w:rsidRPr="00B9444C" w:rsidRDefault="00AF393F"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358E1002" w14:textId="77777777" w:rsidR="002702F0" w:rsidRPr="00B9444C" w:rsidRDefault="002702F0" w:rsidP="002702F0">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2608F3B8" w14:textId="77777777" w:rsidR="002702F0" w:rsidRPr="00B9444C" w:rsidRDefault="002702F0"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w:t>
            </w:r>
            <w:r w:rsidR="00951EE7" w:rsidRPr="00B9444C">
              <w:rPr>
                <w:rFonts w:ascii="Times New Roman" w:eastAsia="Times New Roman" w:hAnsi="Times New Roman"/>
                <w:bCs/>
                <w:color w:val="000000"/>
                <w:sz w:val="26"/>
                <w:szCs w:val="26"/>
                <w:lang w:eastAsia="ja-JP"/>
              </w:rPr>
              <w:t>9 648</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407AAF43" w14:textId="77777777" w:rsidR="002702F0" w:rsidRPr="00B9444C" w:rsidRDefault="002702F0" w:rsidP="002702F0">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w:t>
            </w:r>
            <w:r w:rsidR="00951EE7" w:rsidRPr="00B9444C">
              <w:rPr>
                <w:rFonts w:ascii="Times New Roman" w:eastAsia="Times New Roman" w:hAnsi="Times New Roman"/>
                <w:bCs/>
                <w:color w:val="000000"/>
                <w:sz w:val="26"/>
                <w:szCs w:val="26"/>
                <w:lang w:eastAsia="ja-JP"/>
              </w:rPr>
              <w:t>14 619</w:t>
            </w:r>
          </w:p>
        </w:tc>
      </w:tr>
      <w:tr w:rsidR="00527FF1" w:rsidRPr="00B9444C" w14:paraId="07989741"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D2A6CBB"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3.2. speciālais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F99FA0D"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511AC6CC"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B49668A"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9EF7B3A"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1357114D"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0E3F776A"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33D4D914"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r>
      <w:tr w:rsidR="00527FF1" w:rsidRPr="00B9444C" w14:paraId="6495C2DB"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03EF5AEE"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3.3. pašvaldību budžets</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1080066D"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A832C49" w14:textId="77777777" w:rsidR="00E43CD1" w:rsidRPr="00B9444C" w:rsidRDefault="00E43CD1" w:rsidP="00CA4EF6">
            <w:pPr>
              <w:spacing w:after="0" w:line="240" w:lineRule="auto"/>
              <w:jc w:val="center"/>
              <w:rPr>
                <w:rFonts w:ascii="Times New Roman"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3546B833"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5154189"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4B8009C6"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0A03C514"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4DAC4311"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r>
      <w:tr w:rsidR="00527FF1" w:rsidRPr="00B9444C" w14:paraId="54E0B69A"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0614A09"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4. Finanšu līdzekļi papildu izdevumu finansēšanai (kompensējošu izdevumu samazinājumu </w:t>
            </w:r>
            <w:r w:rsidRPr="00B9444C">
              <w:rPr>
                <w:rFonts w:ascii="Times New Roman" w:eastAsia="Times New Roman" w:hAnsi="Times New Roman"/>
                <w:color w:val="000000"/>
                <w:sz w:val="26"/>
                <w:szCs w:val="26"/>
                <w:lang w:eastAsia="lv-LV"/>
              </w:rPr>
              <w:lastRenderedPageBreak/>
              <w:t>norāda ar "+" zīmi)</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0F622C7D"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lastRenderedPageBreak/>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4517C7E"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521D9C0"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7EAB4468" w14:textId="77777777" w:rsidR="00E43CD1" w:rsidRPr="00B9444C" w:rsidRDefault="00E43CD1" w:rsidP="00CA4EF6">
            <w:pPr>
              <w:spacing w:after="0" w:line="240" w:lineRule="auto"/>
              <w:ind w:left="-30"/>
              <w:jc w:val="center"/>
              <w:rPr>
                <w:rFonts w:ascii="Times New Roman" w:eastAsia="Times New Roman" w:hAnsi="Times New Roman"/>
                <w:b/>
                <w:color w:val="000000"/>
                <w:sz w:val="26"/>
                <w:szCs w:val="26"/>
                <w:lang w:eastAsia="lv-LV"/>
              </w:rPr>
            </w:pPr>
            <w:r w:rsidRPr="00B9444C">
              <w:rPr>
                <w:rFonts w:ascii="Times New Roman" w:eastAsia="Times New Roman" w:hAnsi="Times New Roman"/>
                <w:color w:val="000000"/>
                <w:sz w:val="26"/>
                <w:szCs w:val="26"/>
                <w:lang w:eastAsia="ja-JP"/>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hideMark/>
          </w:tcPr>
          <w:p w14:paraId="0B6C49B0"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54539ACF" w14:textId="77777777" w:rsidR="00E43CD1" w:rsidRPr="00B9444C" w:rsidRDefault="00E43CD1" w:rsidP="00CA4EF6">
            <w:pPr>
              <w:spacing w:after="0" w:line="240" w:lineRule="auto"/>
              <w:ind w:left="-30"/>
              <w:jc w:val="center"/>
              <w:rPr>
                <w:rFonts w:ascii="Times New Roman" w:eastAsia="Times New Roman" w:hAnsi="Times New Roman"/>
                <w:b/>
                <w:color w:val="000000"/>
                <w:sz w:val="26"/>
                <w:szCs w:val="26"/>
                <w:lang w:eastAsia="lv-LV"/>
              </w:rPr>
            </w:pPr>
            <w:r w:rsidRPr="00B9444C">
              <w:rPr>
                <w:rFonts w:ascii="Times New Roman" w:eastAsia="Times New Roman" w:hAnsi="Times New Roman"/>
                <w:color w:val="000000"/>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666E80B"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r>
      <w:tr w:rsidR="00266D7A" w:rsidRPr="00B9444C" w14:paraId="7BBF42E5"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4BCA0C29" w14:textId="77777777" w:rsidR="00266D7A" w:rsidRPr="00B9444C" w:rsidRDefault="00266D7A" w:rsidP="00266D7A">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5. Precizēta finansiālā ietekme</w:t>
            </w:r>
          </w:p>
        </w:tc>
        <w:tc>
          <w:tcPr>
            <w:tcW w:w="61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1414F0C" w14:textId="77777777" w:rsidR="00266D7A" w:rsidRPr="00B9444C" w:rsidRDefault="00266D7A" w:rsidP="00266D7A">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61824424" w14:textId="77777777" w:rsidR="00266D7A" w:rsidRPr="00B9444C" w:rsidRDefault="00266D7A" w:rsidP="00266D7A">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D7D0F8A" w14:textId="77777777" w:rsidR="00266D7A" w:rsidRPr="00B9444C" w:rsidRDefault="00266D7A" w:rsidP="00266D7A">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1CA01A5" w14:textId="77777777" w:rsidR="00266D7A" w:rsidRPr="00B9444C" w:rsidRDefault="00266D7A" w:rsidP="00266D7A">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DADC89E" w14:textId="77777777" w:rsidR="00266D7A" w:rsidRPr="00B9444C" w:rsidRDefault="00266D7A" w:rsidP="00266D7A">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6EF63FA5" w14:textId="35619C86" w:rsidR="00266D7A" w:rsidRPr="00B9444C" w:rsidRDefault="00266D7A" w:rsidP="00266D7A">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bCs/>
                <w:color w:val="000000"/>
                <w:sz w:val="26"/>
                <w:szCs w:val="26"/>
                <w:lang w:eastAsia="ja-JP"/>
              </w:rPr>
              <w:t>-9 648</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7F48C82" w14:textId="35FE8037" w:rsidR="00266D7A" w:rsidRPr="00B9444C" w:rsidRDefault="00266D7A" w:rsidP="00266D7A">
            <w:pPr>
              <w:spacing w:after="0"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bCs/>
                <w:color w:val="000000"/>
                <w:sz w:val="26"/>
                <w:szCs w:val="26"/>
                <w:lang w:eastAsia="ja-JP"/>
              </w:rPr>
              <w:t>-14 619</w:t>
            </w:r>
          </w:p>
        </w:tc>
      </w:tr>
      <w:tr w:rsidR="00266D7A" w:rsidRPr="00B9444C" w14:paraId="093C1E35"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3764C24" w14:textId="77777777" w:rsidR="00266D7A" w:rsidRPr="00B9444C" w:rsidRDefault="00266D7A" w:rsidP="00266D7A">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5.1. valsts pamatbudžets</w:t>
            </w:r>
          </w:p>
        </w:tc>
        <w:tc>
          <w:tcPr>
            <w:tcW w:w="616"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1C53F226" w14:textId="77777777" w:rsidR="00266D7A" w:rsidRPr="00B9444C" w:rsidRDefault="00266D7A" w:rsidP="00266D7A">
            <w:pPr>
              <w:spacing w:after="0" w:line="240" w:lineRule="auto"/>
              <w:jc w:val="center"/>
              <w:rPr>
                <w:rFonts w:ascii="Times New Roman" w:eastAsia="Times New Roman" w:hAnsi="Times New Roman"/>
                <w:color w:val="000000"/>
                <w:sz w:val="26"/>
                <w:szCs w:val="26"/>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5B7D5307" w14:textId="77777777" w:rsidR="00266D7A" w:rsidRPr="00B9444C" w:rsidRDefault="00266D7A" w:rsidP="00266D7A">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1E7085C" w14:textId="77777777" w:rsidR="00266D7A" w:rsidRPr="00B9444C" w:rsidRDefault="00266D7A" w:rsidP="00266D7A">
            <w:pPr>
              <w:spacing w:after="0" w:line="240" w:lineRule="auto"/>
              <w:jc w:val="center"/>
              <w:rPr>
                <w:rFonts w:ascii="Times New Roman" w:eastAsia="Times New Roman" w:hAnsi="Times New Roman"/>
                <w:color w:val="000000"/>
                <w:sz w:val="26"/>
                <w:szCs w:val="26"/>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738A2F0" w14:textId="77777777" w:rsidR="00266D7A" w:rsidRPr="00B9444C" w:rsidRDefault="00266D7A" w:rsidP="00266D7A">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2CFB238" w14:textId="77777777" w:rsidR="00266D7A" w:rsidRPr="00B9444C" w:rsidRDefault="00266D7A" w:rsidP="00266D7A">
            <w:pPr>
              <w:spacing w:after="0" w:line="240" w:lineRule="auto"/>
              <w:jc w:val="center"/>
              <w:rPr>
                <w:rFonts w:ascii="Times New Roman" w:eastAsia="Times New Roman" w:hAnsi="Times New Roman"/>
                <w:color w:val="000000"/>
                <w:sz w:val="26"/>
                <w:szCs w:val="26"/>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54F4F0CC" w14:textId="5B72B1E4" w:rsidR="00266D7A" w:rsidRPr="00B9444C" w:rsidRDefault="00266D7A" w:rsidP="00266D7A">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-9 648</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53C6B5DF" w14:textId="02C5AE2C" w:rsidR="00266D7A" w:rsidRPr="00B9444C" w:rsidRDefault="00266D7A" w:rsidP="00266D7A">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bCs/>
                <w:color w:val="000000"/>
                <w:sz w:val="26"/>
                <w:szCs w:val="26"/>
                <w:lang w:eastAsia="ja-JP"/>
              </w:rPr>
              <w:t>-14 619</w:t>
            </w:r>
          </w:p>
        </w:tc>
      </w:tr>
      <w:tr w:rsidR="00527FF1" w:rsidRPr="00B9444C" w14:paraId="07CF36A2"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25F83D6"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5.2. speciālais budžets</w:t>
            </w:r>
          </w:p>
        </w:tc>
        <w:tc>
          <w:tcPr>
            <w:tcW w:w="616"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5518582"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tcPr>
          <w:p w14:paraId="237B7AC2"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eastAsia="Arial Unicode MS" w:hAnsi="Times New Roman"/>
                <w:color w:val="000000"/>
                <w:sz w:val="26"/>
                <w:szCs w:val="26"/>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3213699"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C38686B" w14:textId="77777777" w:rsidR="00E43CD1" w:rsidRPr="00B9444C" w:rsidRDefault="00E43CD1" w:rsidP="00CA4EF6">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B0AACBB"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4391764C" w14:textId="77777777" w:rsidR="00E43CD1" w:rsidRPr="00B9444C" w:rsidRDefault="00E43CD1" w:rsidP="00CA4EF6">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3E741ED2" w14:textId="77777777" w:rsidR="00E43CD1" w:rsidRPr="00B9444C" w:rsidRDefault="00E43CD1" w:rsidP="00CA4EF6">
            <w:pPr>
              <w:spacing w:after="0" w:line="240" w:lineRule="auto"/>
              <w:jc w:val="center"/>
              <w:rPr>
                <w:rFonts w:ascii="Times New Roman" w:eastAsia="Times New Roman" w:hAnsi="Times New Roman"/>
                <w:b/>
                <w:color w:val="000000"/>
                <w:sz w:val="26"/>
                <w:szCs w:val="26"/>
                <w:lang w:eastAsia="ja-JP"/>
              </w:rPr>
            </w:pPr>
            <w:r w:rsidRPr="00B9444C">
              <w:rPr>
                <w:rFonts w:ascii="Times New Roman" w:eastAsia="Times New Roman" w:hAnsi="Times New Roman"/>
                <w:color w:val="000000"/>
                <w:sz w:val="26"/>
                <w:szCs w:val="26"/>
                <w:lang w:eastAsia="ja-JP"/>
              </w:rPr>
              <w:t>0</w:t>
            </w:r>
          </w:p>
        </w:tc>
      </w:tr>
      <w:tr w:rsidR="00527FF1" w:rsidRPr="00B9444C" w14:paraId="1C4032A7" w14:textId="77777777" w:rsidTr="006D02AA">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336F9E3F"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5.3. pašvaldību budžets</w:t>
            </w:r>
          </w:p>
        </w:tc>
        <w:tc>
          <w:tcPr>
            <w:tcW w:w="616"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C16B5F8"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6E4FD830" w14:textId="77777777" w:rsidR="00E43CD1" w:rsidRPr="00B9444C" w:rsidRDefault="00E43CD1" w:rsidP="00CA4EF6">
            <w:pPr>
              <w:spacing w:after="0" w:line="240" w:lineRule="auto"/>
              <w:jc w:val="center"/>
              <w:rPr>
                <w:rFonts w:ascii="Times New Roman" w:eastAsia="Arial Unicode MS" w:hAnsi="Times New Roman"/>
                <w:color w:val="000000"/>
                <w:sz w:val="26"/>
                <w:szCs w:val="26"/>
                <w:lang w:eastAsia="lv-LV"/>
              </w:rPr>
            </w:pPr>
            <w:r w:rsidRPr="00B9444C">
              <w:rPr>
                <w:rFonts w:ascii="Times New Roman" w:hAnsi="Times New Roman"/>
                <w:color w:val="000000"/>
                <w:sz w:val="26"/>
                <w:szCs w:val="26"/>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08259543"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4DBED81"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4333040"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14:paraId="5ACEDE8A"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4D3C456D" w14:textId="77777777" w:rsidR="00E43CD1" w:rsidRPr="00B9444C" w:rsidRDefault="00E43CD1" w:rsidP="00CA4EF6">
            <w:pPr>
              <w:spacing w:after="0" w:line="240" w:lineRule="auto"/>
              <w:jc w:val="center"/>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ja-JP"/>
              </w:rPr>
              <w:t>0</w:t>
            </w:r>
          </w:p>
        </w:tc>
      </w:tr>
      <w:tr w:rsidR="00670E4D" w:rsidRPr="00B9444C" w14:paraId="66C9C5E8" w14:textId="77777777" w:rsidTr="00670E4D">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5E3F227"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6. Detalizēts ieņēmumu un izdevumu aprēķins (ja nepieciešams, detalizētu ieņēmumu un izdevumu aprēķinu var pievienot anotācijas pielikumā)</w:t>
            </w:r>
          </w:p>
        </w:tc>
        <w:tc>
          <w:tcPr>
            <w:tcW w:w="414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CDB8ED" w14:textId="77777777" w:rsidR="00956409" w:rsidRPr="00B9444C" w:rsidRDefault="00956409" w:rsidP="00DF2054">
            <w:pPr>
              <w:spacing w:before="10" w:after="0" w:line="240" w:lineRule="auto"/>
              <w:ind w:left="113" w:right="113"/>
              <w:jc w:val="both"/>
              <w:rPr>
                <w:rFonts w:ascii="Times New Roman" w:hAnsi="Times New Roman"/>
                <w:color w:val="000000"/>
                <w:sz w:val="26"/>
                <w:szCs w:val="26"/>
              </w:rPr>
            </w:pPr>
            <w:r w:rsidRPr="00B9444C">
              <w:rPr>
                <w:rFonts w:ascii="Times New Roman" w:hAnsi="Times New Roman"/>
                <w:color w:val="000000"/>
                <w:sz w:val="26"/>
                <w:szCs w:val="26"/>
              </w:rPr>
              <w:t xml:space="preserve">Detalizēts </w:t>
            </w:r>
            <w:r w:rsidR="00D31AF5" w:rsidRPr="00B9444C">
              <w:rPr>
                <w:rFonts w:ascii="Times New Roman" w:hAnsi="Times New Roman"/>
                <w:color w:val="000000"/>
                <w:sz w:val="26"/>
                <w:szCs w:val="26"/>
              </w:rPr>
              <w:t xml:space="preserve">indikatīvo </w:t>
            </w:r>
            <w:r w:rsidRPr="00B9444C">
              <w:rPr>
                <w:rFonts w:ascii="Times New Roman" w:hAnsi="Times New Roman"/>
                <w:color w:val="000000"/>
                <w:sz w:val="26"/>
                <w:szCs w:val="26"/>
              </w:rPr>
              <w:t xml:space="preserve">izdevumu </w:t>
            </w:r>
            <w:r w:rsidR="007D0903" w:rsidRPr="00B9444C">
              <w:rPr>
                <w:rFonts w:ascii="Times New Roman" w:hAnsi="Times New Roman"/>
                <w:color w:val="000000"/>
                <w:sz w:val="26"/>
                <w:szCs w:val="26"/>
              </w:rPr>
              <w:t xml:space="preserve">aprēķins </w:t>
            </w:r>
            <w:r w:rsidR="002702F0" w:rsidRPr="00B9444C">
              <w:rPr>
                <w:rFonts w:ascii="Times New Roman" w:hAnsi="Times New Roman"/>
                <w:color w:val="000000"/>
                <w:sz w:val="26"/>
                <w:szCs w:val="26"/>
              </w:rPr>
              <w:t>SAM 8.1.1.</w:t>
            </w:r>
            <w:r w:rsidR="007D0903" w:rsidRPr="00B9444C">
              <w:rPr>
                <w:rFonts w:ascii="Times New Roman" w:hAnsi="Times New Roman"/>
                <w:color w:val="000000"/>
                <w:sz w:val="26"/>
                <w:szCs w:val="26"/>
              </w:rPr>
              <w:t xml:space="preserve"> projektu uzraudzībai projektu ietvaros modernizētās infrastruktūras amortizācijas periodā </w:t>
            </w:r>
            <w:r w:rsidRPr="00B9444C">
              <w:rPr>
                <w:rFonts w:ascii="Times New Roman" w:hAnsi="Times New Roman"/>
                <w:color w:val="000000"/>
                <w:sz w:val="26"/>
                <w:szCs w:val="26"/>
              </w:rPr>
              <w:t xml:space="preserve">sniegts anotācijas pielikumā. </w:t>
            </w:r>
          </w:p>
          <w:p w14:paraId="133C587B" w14:textId="0A56EC0A" w:rsidR="00AF393F" w:rsidRPr="00B9444C" w:rsidRDefault="000D0695" w:rsidP="00DF2054">
            <w:pPr>
              <w:spacing w:before="10" w:after="0" w:line="240" w:lineRule="auto"/>
              <w:ind w:left="113" w:right="113"/>
              <w:jc w:val="both"/>
              <w:rPr>
                <w:rFonts w:ascii="Times New Roman" w:hAnsi="Times New Roman"/>
                <w:color w:val="000000"/>
                <w:sz w:val="26"/>
                <w:szCs w:val="26"/>
              </w:rPr>
            </w:pPr>
            <w:r w:rsidRPr="00B9444C">
              <w:rPr>
                <w:rFonts w:ascii="Times New Roman" w:hAnsi="Times New Roman"/>
                <w:color w:val="000000"/>
                <w:sz w:val="26"/>
                <w:szCs w:val="26"/>
              </w:rPr>
              <w:t>Jautājumu par papildu administratīvo izmaksu segšanu plānots risināt,</w:t>
            </w:r>
            <w:r w:rsidR="000A2470" w:rsidRPr="00B9444C">
              <w:rPr>
                <w:rFonts w:ascii="Times New Roman" w:hAnsi="Times New Roman"/>
                <w:color w:val="000000"/>
                <w:sz w:val="26"/>
                <w:szCs w:val="26"/>
              </w:rPr>
              <w:t xml:space="preserve"> </w:t>
            </w:r>
            <w:r w:rsidR="00AF393F" w:rsidRPr="00B9444C">
              <w:rPr>
                <w:rFonts w:ascii="Times New Roman" w:hAnsi="Times New Roman"/>
                <w:color w:val="000000"/>
                <w:sz w:val="26"/>
                <w:szCs w:val="26"/>
              </w:rPr>
              <w:t>izstrādājot Eiropas Savienības Kohēzijas politikas 2021.–2027.gadam ieviešanas nosacījumus augstākās izglītības attīstībai Latvijā vai izskatot jautājumu par papildu finansējuma piešķiršanu Ministru kabinetā gadskārtējā valsts budžeta likumprojekta un vidēja termiņa budžeta ietvara likumprojekta sagatavošanas un izskatīšanas procesā kopā ar visu ministriju un centrālo valsts iestāžu iesniegtajiem prioritārajiem pasākumiem atbilstoši valsts budžeta finansiālajām iespējām.</w:t>
            </w:r>
          </w:p>
          <w:p w14:paraId="0D1B2E3E" w14:textId="77777777" w:rsidR="0051489C" w:rsidRPr="00B9444C" w:rsidRDefault="007F32ED" w:rsidP="00DF2054">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hAnsi="Times New Roman"/>
                <w:color w:val="000000"/>
                <w:sz w:val="26"/>
                <w:szCs w:val="26"/>
              </w:rPr>
              <w:t>M</w:t>
            </w:r>
            <w:r w:rsidR="00AB46D5" w:rsidRPr="00B9444C">
              <w:rPr>
                <w:rFonts w:ascii="Times New Roman" w:hAnsi="Times New Roman"/>
                <w:color w:val="000000"/>
                <w:sz w:val="26"/>
                <w:szCs w:val="26"/>
              </w:rPr>
              <w:t xml:space="preserve">inistrijai nav </w:t>
            </w:r>
            <w:r w:rsidR="00212F98" w:rsidRPr="00B9444C">
              <w:rPr>
                <w:rFonts w:ascii="Times New Roman" w:hAnsi="Times New Roman"/>
                <w:color w:val="000000"/>
                <w:sz w:val="26"/>
                <w:szCs w:val="26"/>
              </w:rPr>
              <w:t xml:space="preserve">pieejami finanšu līdzekļi papildu izdevumu finansēšanai, jo </w:t>
            </w:r>
            <w:r w:rsidRPr="00B9444C">
              <w:rPr>
                <w:rFonts w:ascii="Times New Roman" w:hAnsi="Times New Roman"/>
                <w:color w:val="000000"/>
                <w:sz w:val="26"/>
                <w:szCs w:val="26"/>
              </w:rPr>
              <w:t>M</w:t>
            </w:r>
            <w:r w:rsidR="004469BE" w:rsidRPr="00B9444C">
              <w:rPr>
                <w:rFonts w:ascii="Times New Roman" w:hAnsi="Times New Roman"/>
                <w:color w:val="000000"/>
                <w:sz w:val="26"/>
                <w:szCs w:val="26"/>
              </w:rPr>
              <w:t xml:space="preserve">inistrijai </w:t>
            </w:r>
            <w:r w:rsidR="00212F98" w:rsidRPr="00B9444C">
              <w:rPr>
                <w:rFonts w:ascii="Times New Roman" w:hAnsi="Times New Roman"/>
                <w:color w:val="000000"/>
                <w:sz w:val="26"/>
                <w:szCs w:val="26"/>
              </w:rPr>
              <w:t>nav iespēj</w:t>
            </w:r>
            <w:r w:rsidR="004469BE" w:rsidRPr="00B9444C">
              <w:rPr>
                <w:rFonts w:ascii="Times New Roman" w:hAnsi="Times New Roman"/>
                <w:color w:val="000000"/>
                <w:sz w:val="26"/>
                <w:szCs w:val="26"/>
              </w:rPr>
              <w:t>u</w:t>
            </w:r>
            <w:r w:rsidR="00212F98" w:rsidRPr="00B9444C">
              <w:rPr>
                <w:rFonts w:ascii="Times New Roman" w:hAnsi="Times New Roman"/>
                <w:color w:val="000000"/>
                <w:sz w:val="26"/>
                <w:szCs w:val="26"/>
              </w:rPr>
              <w:t xml:space="preserve"> veikt institucionālus pārkārtojumus, administratīvo izmaksu vai izdevumu samazināšanu </w:t>
            </w:r>
            <w:r w:rsidRPr="00B9444C">
              <w:rPr>
                <w:rFonts w:ascii="Times New Roman" w:hAnsi="Times New Roman"/>
                <w:color w:val="000000"/>
                <w:sz w:val="26"/>
                <w:szCs w:val="26"/>
              </w:rPr>
              <w:t>M</w:t>
            </w:r>
            <w:r w:rsidR="004469BE" w:rsidRPr="00B9444C">
              <w:rPr>
                <w:rFonts w:ascii="Times New Roman" w:hAnsi="Times New Roman"/>
                <w:color w:val="000000"/>
                <w:sz w:val="26"/>
                <w:szCs w:val="26"/>
              </w:rPr>
              <w:t>inistrijas kompetencē esošām funkcijām.</w:t>
            </w:r>
            <w:r w:rsidR="00212F98" w:rsidRPr="00B9444C">
              <w:rPr>
                <w:rFonts w:ascii="Times New Roman" w:eastAsia="Times New Roman" w:hAnsi="Times New Roman"/>
                <w:color w:val="000000"/>
                <w:sz w:val="26"/>
                <w:szCs w:val="26"/>
                <w:lang w:eastAsia="lv-LV"/>
              </w:rPr>
              <w:t xml:space="preserve"> </w:t>
            </w:r>
          </w:p>
        </w:tc>
      </w:tr>
      <w:tr w:rsidR="00670E4D" w:rsidRPr="00B9444C" w14:paraId="5CFCA00F" w14:textId="77777777" w:rsidTr="00670E4D">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5BA36C3"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6.1. detalizēts ieņēmumu aprēķins</w:t>
            </w:r>
          </w:p>
        </w:tc>
        <w:tc>
          <w:tcPr>
            <w:tcW w:w="414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3BCBE"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p>
        </w:tc>
      </w:tr>
      <w:tr w:rsidR="00670E4D" w:rsidRPr="00B9444C" w14:paraId="0425012A" w14:textId="77777777" w:rsidTr="00670E4D">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629553E3"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6.2. detalizēts izdevumu aprēķins</w:t>
            </w:r>
          </w:p>
        </w:tc>
        <w:tc>
          <w:tcPr>
            <w:tcW w:w="414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00FA6"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p>
        </w:tc>
      </w:tr>
      <w:tr w:rsidR="00670E4D" w:rsidRPr="00B9444C" w14:paraId="57AF1E4C" w14:textId="77777777" w:rsidTr="00670E4D">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1AAA6208"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7. Amata vietu skaita izmaiņas</w:t>
            </w:r>
          </w:p>
        </w:tc>
        <w:tc>
          <w:tcPr>
            <w:tcW w:w="414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57F821C" w14:textId="77777777" w:rsidR="00E43CD1" w:rsidRPr="00B9444C" w:rsidRDefault="000A2470" w:rsidP="00DF2054">
            <w:pPr>
              <w:spacing w:after="0" w:line="240" w:lineRule="auto"/>
              <w:jc w:val="both"/>
              <w:rPr>
                <w:rFonts w:ascii="Times New Roman" w:eastAsia="Times New Roman" w:hAnsi="Times New Roman"/>
                <w:color w:val="000000"/>
                <w:sz w:val="26"/>
                <w:szCs w:val="26"/>
                <w:lang w:eastAsia="ja-JP"/>
              </w:rPr>
            </w:pPr>
            <w:r w:rsidRPr="00B9444C">
              <w:rPr>
                <w:rFonts w:ascii="Times New Roman" w:hAnsi="Times New Roman"/>
                <w:iCs/>
                <w:color w:val="000000"/>
                <w:sz w:val="26"/>
                <w:szCs w:val="26"/>
                <w:lang w:eastAsia="lv-LV"/>
              </w:rPr>
              <w:t>Noteikumu p</w:t>
            </w:r>
            <w:r w:rsidR="00E43CD1" w:rsidRPr="00B9444C">
              <w:rPr>
                <w:rFonts w:ascii="Times New Roman" w:hAnsi="Times New Roman"/>
                <w:iCs/>
                <w:color w:val="000000"/>
                <w:sz w:val="26"/>
                <w:szCs w:val="26"/>
                <w:lang w:eastAsia="lv-LV"/>
              </w:rPr>
              <w:t>rojekts šo jomu neskar.</w:t>
            </w:r>
          </w:p>
        </w:tc>
      </w:tr>
      <w:tr w:rsidR="00670E4D" w:rsidRPr="00B9444C" w14:paraId="7FC6E644" w14:textId="77777777" w:rsidTr="00670E4D">
        <w:tc>
          <w:tcPr>
            <w:tcW w:w="858" w:type="pct"/>
            <w:tcBorders>
              <w:top w:val="outset" w:sz="6" w:space="0" w:color="414142"/>
              <w:left w:val="outset" w:sz="6" w:space="0" w:color="414142"/>
              <w:bottom w:val="outset" w:sz="6" w:space="0" w:color="414142"/>
              <w:right w:val="outset" w:sz="6" w:space="0" w:color="414142"/>
            </w:tcBorders>
            <w:shd w:val="clear" w:color="auto" w:fill="FFFFFF"/>
            <w:hideMark/>
          </w:tcPr>
          <w:p w14:paraId="742A374D" w14:textId="77777777" w:rsidR="00E43CD1" w:rsidRPr="00B9444C" w:rsidRDefault="00E43CD1" w:rsidP="00DF2054">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8. Cita informācija</w:t>
            </w:r>
          </w:p>
        </w:tc>
        <w:tc>
          <w:tcPr>
            <w:tcW w:w="414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298822E" w14:textId="77777777" w:rsidR="00E43CD1" w:rsidRPr="00B9444C" w:rsidRDefault="004469BE" w:rsidP="004469BE">
            <w:pPr>
              <w:spacing w:before="40" w:after="40" w:line="240" w:lineRule="auto"/>
              <w:ind w:right="57"/>
              <w:jc w:val="both"/>
              <w:rPr>
                <w:rFonts w:ascii="Times New Roman" w:eastAsia="Times New Roman" w:hAnsi="Times New Roman"/>
                <w:color w:val="000000"/>
                <w:sz w:val="26"/>
                <w:szCs w:val="26"/>
                <w:lang w:eastAsia="ja-JP"/>
              </w:rPr>
            </w:pPr>
            <w:r w:rsidRPr="00B9444C">
              <w:rPr>
                <w:rFonts w:ascii="Times New Roman" w:eastAsia="Times New Roman" w:hAnsi="Times New Roman"/>
                <w:color w:val="000000"/>
                <w:sz w:val="26"/>
                <w:szCs w:val="26"/>
                <w:lang w:eastAsia="lv-LV" w:bidi="lo-LA"/>
              </w:rPr>
              <w:t xml:space="preserve">Anotācijas pielikumā norādīts indikatīvais papildu administratīvo izmaksu </w:t>
            </w:r>
            <w:r w:rsidR="00E43CD1" w:rsidRPr="00B9444C">
              <w:rPr>
                <w:rFonts w:ascii="Times New Roman" w:eastAsia="Times New Roman" w:hAnsi="Times New Roman"/>
                <w:color w:val="000000"/>
                <w:sz w:val="26"/>
                <w:szCs w:val="26"/>
                <w:lang w:eastAsia="lv-LV" w:bidi="lo-LA"/>
              </w:rPr>
              <w:t>sadalījums pa gadiem.</w:t>
            </w:r>
            <w:r w:rsidRPr="00B9444C">
              <w:rPr>
                <w:rFonts w:ascii="Times New Roman" w:eastAsia="Times New Roman" w:hAnsi="Times New Roman"/>
                <w:color w:val="000000"/>
                <w:sz w:val="26"/>
                <w:szCs w:val="26"/>
                <w:lang w:eastAsia="lv-LV" w:bidi="lo-LA"/>
              </w:rPr>
              <w:t xml:space="preserve"> </w:t>
            </w:r>
          </w:p>
        </w:tc>
      </w:tr>
    </w:tbl>
    <w:p w14:paraId="0C7CAA74" w14:textId="77777777" w:rsidR="00226F1C" w:rsidRPr="00B9444C" w:rsidRDefault="00226F1C" w:rsidP="00800AB9">
      <w:pPr>
        <w:spacing w:after="0" w:line="240" w:lineRule="auto"/>
        <w:rPr>
          <w:rFonts w:ascii="Times New Roman" w:hAnsi="Times New Roman"/>
          <w:i/>
          <w:iCs/>
          <w:color w:val="000000"/>
          <w:sz w:val="26"/>
          <w:szCs w:val="26"/>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9065"/>
      </w:tblGrid>
      <w:tr w:rsidR="00800AB9" w:rsidRPr="00B9444C" w14:paraId="1ABE8C9F" w14:textId="77777777" w:rsidTr="00B9444C">
        <w:trPr>
          <w:tblCellSpacing w:w="0" w:type="dxa"/>
        </w:trPr>
        <w:tc>
          <w:tcPr>
            <w:tcW w:w="5000" w:type="pct"/>
            <w:vAlign w:val="center"/>
          </w:tcPr>
          <w:p w14:paraId="25A3DF69" w14:textId="77777777" w:rsidR="00800AB9" w:rsidRPr="00B9444C" w:rsidRDefault="00800AB9" w:rsidP="00CF288E">
            <w:pPr>
              <w:spacing w:before="150" w:after="150"/>
              <w:jc w:val="center"/>
              <w:rPr>
                <w:rFonts w:ascii="Times New Roman" w:hAnsi="Times New Roman"/>
                <w:b/>
                <w:bCs/>
                <w:color w:val="000000"/>
                <w:sz w:val="26"/>
                <w:szCs w:val="26"/>
              </w:rPr>
            </w:pPr>
            <w:r w:rsidRPr="00B9444C">
              <w:rPr>
                <w:rFonts w:ascii="Times New Roman" w:hAnsi="Times New Roman"/>
                <w:b/>
                <w:bCs/>
                <w:color w:val="000000"/>
                <w:sz w:val="26"/>
                <w:szCs w:val="26"/>
              </w:rPr>
              <w:t>IV. Tiesību akta projekta ietekme uz spēkā esošo tiesību normu sistēmu</w:t>
            </w:r>
          </w:p>
        </w:tc>
      </w:tr>
      <w:tr w:rsidR="00800AB9" w:rsidRPr="00B9444C" w14:paraId="090E76C7" w14:textId="77777777" w:rsidTr="00B9444C">
        <w:trPr>
          <w:trHeight w:val="467"/>
          <w:tblCellSpacing w:w="0" w:type="dxa"/>
        </w:trPr>
        <w:tc>
          <w:tcPr>
            <w:tcW w:w="5000" w:type="pct"/>
          </w:tcPr>
          <w:p w14:paraId="1B25828F" w14:textId="77777777" w:rsidR="00800AB9" w:rsidRPr="00B9444C" w:rsidRDefault="000A2470" w:rsidP="00CF288E">
            <w:pPr>
              <w:jc w:val="center"/>
              <w:rPr>
                <w:rFonts w:ascii="Times New Roman" w:hAnsi="Times New Roman"/>
                <w:color w:val="000000"/>
                <w:sz w:val="26"/>
                <w:szCs w:val="26"/>
              </w:rPr>
            </w:pPr>
            <w:r w:rsidRPr="00B9444C">
              <w:rPr>
                <w:rFonts w:ascii="Times New Roman" w:hAnsi="Times New Roman"/>
                <w:color w:val="000000"/>
                <w:sz w:val="26"/>
                <w:szCs w:val="26"/>
              </w:rPr>
              <w:t>Noteikumu p</w:t>
            </w:r>
            <w:r w:rsidR="00800AB9" w:rsidRPr="00B9444C">
              <w:rPr>
                <w:rFonts w:ascii="Times New Roman" w:hAnsi="Times New Roman"/>
                <w:color w:val="000000"/>
                <w:sz w:val="26"/>
                <w:szCs w:val="26"/>
              </w:rPr>
              <w:t>rojekts nerada ietekmi uz spēkā esošo tiesību normu sistēmu.</w:t>
            </w:r>
          </w:p>
        </w:tc>
      </w:tr>
    </w:tbl>
    <w:p w14:paraId="0AEF6712" w14:textId="77777777" w:rsidR="006A5FBE" w:rsidRPr="00B9444C" w:rsidRDefault="006A5FBE" w:rsidP="00DA596D">
      <w:pPr>
        <w:spacing w:after="0" w:line="240" w:lineRule="auto"/>
        <w:rPr>
          <w:rFonts w:ascii="Times New Roman" w:eastAsia="Times New Roman" w:hAnsi="Times New Roman"/>
          <w:color w:val="000000"/>
          <w:sz w:val="26"/>
          <w:szCs w:val="2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8"/>
        <w:gridCol w:w="1961"/>
        <w:gridCol w:w="6372"/>
      </w:tblGrid>
      <w:tr w:rsidR="006A328C" w:rsidRPr="00B9444C" w14:paraId="658786BD" w14:textId="77777777" w:rsidTr="00670E4D">
        <w:trPr>
          <w:trHeight w:val="375"/>
        </w:trPr>
        <w:tc>
          <w:tcPr>
            <w:tcW w:w="5000" w:type="pct"/>
            <w:gridSpan w:val="3"/>
            <w:vAlign w:val="center"/>
            <w:hideMark/>
          </w:tcPr>
          <w:p w14:paraId="1D51C88D" w14:textId="77777777" w:rsidR="00C81F0E" w:rsidRPr="00B9444C" w:rsidRDefault="00C81F0E" w:rsidP="00C81F0E">
            <w:pPr>
              <w:spacing w:after="0" w:line="240" w:lineRule="auto"/>
              <w:ind w:firstLine="300"/>
              <w:jc w:val="center"/>
              <w:rPr>
                <w:rFonts w:ascii="Times New Roman" w:eastAsia="Times New Roman" w:hAnsi="Times New Roman"/>
                <w:b/>
                <w:bCs/>
                <w:color w:val="000000"/>
                <w:sz w:val="26"/>
                <w:szCs w:val="26"/>
                <w:lang w:eastAsia="lv-LV"/>
              </w:rPr>
            </w:pPr>
            <w:r w:rsidRPr="00B9444C">
              <w:rPr>
                <w:rFonts w:ascii="Times New Roman" w:eastAsia="Times New Roman" w:hAnsi="Times New Roman"/>
                <w:b/>
                <w:bCs/>
                <w:color w:val="000000"/>
                <w:sz w:val="26"/>
                <w:szCs w:val="26"/>
                <w:lang w:eastAsia="lv-LV"/>
              </w:rPr>
              <w:t>V. Tiesību akta projekta atbilstība Latvijas Republikas starptautiskajām saistībām</w:t>
            </w:r>
          </w:p>
        </w:tc>
      </w:tr>
      <w:tr w:rsidR="006A328C" w:rsidRPr="00B9444C" w14:paraId="372DDD48" w14:textId="77777777" w:rsidTr="00670E4D">
        <w:tc>
          <w:tcPr>
            <w:tcW w:w="402" w:type="pct"/>
            <w:hideMark/>
          </w:tcPr>
          <w:p w14:paraId="1B48DF5F" w14:textId="77777777" w:rsidR="00C81F0E" w:rsidRPr="00B9444C" w:rsidRDefault="00C81F0E" w:rsidP="006D3F44">
            <w:pPr>
              <w:spacing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w:t>
            </w:r>
          </w:p>
        </w:tc>
        <w:tc>
          <w:tcPr>
            <w:tcW w:w="1082" w:type="pct"/>
            <w:hideMark/>
          </w:tcPr>
          <w:p w14:paraId="55AE09C4" w14:textId="77777777" w:rsidR="00C81F0E" w:rsidRPr="00B9444C" w:rsidRDefault="00C81F0E" w:rsidP="006D3F44">
            <w:pPr>
              <w:spacing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Saistības pret Eiropas Savienību</w:t>
            </w:r>
          </w:p>
        </w:tc>
        <w:tc>
          <w:tcPr>
            <w:tcW w:w="3516" w:type="pct"/>
            <w:hideMark/>
          </w:tcPr>
          <w:p w14:paraId="10B97E45" w14:textId="77777777" w:rsidR="004B4B05" w:rsidRPr="00B9444C" w:rsidRDefault="00632A94" w:rsidP="00632A94">
            <w:pPr>
              <w:spacing w:before="10" w:after="0" w:line="240" w:lineRule="auto"/>
              <w:ind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Komisijas 2004. gada 21. aprīļa Regula (EK) Nr. 794/2004, ar ko īsteno Padomes Regulu (ES) 2015/1589, ar ko nosaka sīki izstrādātus noteikumus Līguma par Eiropas Savienības </w:t>
            </w:r>
            <w:r w:rsidRPr="00B9444C">
              <w:rPr>
                <w:rFonts w:ascii="Times New Roman" w:eastAsia="Times New Roman" w:hAnsi="Times New Roman"/>
                <w:color w:val="000000"/>
                <w:sz w:val="26"/>
                <w:szCs w:val="26"/>
                <w:lang w:eastAsia="lv-LV"/>
              </w:rPr>
              <w:lastRenderedPageBreak/>
              <w:t>darbību 108. panta piemērošanai (turpmāk – Regula Nr. 794/2004)</w:t>
            </w:r>
          </w:p>
        </w:tc>
      </w:tr>
      <w:tr w:rsidR="006A328C" w:rsidRPr="00B9444C" w14:paraId="615561C7" w14:textId="77777777" w:rsidTr="00670E4D">
        <w:tc>
          <w:tcPr>
            <w:tcW w:w="402" w:type="pct"/>
            <w:hideMark/>
          </w:tcPr>
          <w:p w14:paraId="758EE02E" w14:textId="77777777" w:rsidR="00C81F0E" w:rsidRPr="00B9444C" w:rsidRDefault="00C81F0E" w:rsidP="006D3F44">
            <w:pPr>
              <w:spacing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2.</w:t>
            </w:r>
          </w:p>
        </w:tc>
        <w:tc>
          <w:tcPr>
            <w:tcW w:w="1082" w:type="pct"/>
            <w:hideMark/>
          </w:tcPr>
          <w:p w14:paraId="053B3A6D" w14:textId="77777777" w:rsidR="00C81F0E" w:rsidRPr="00B9444C" w:rsidRDefault="00C81F0E" w:rsidP="006D3F44">
            <w:pPr>
              <w:spacing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Citas starptautiskās saistības</w:t>
            </w:r>
          </w:p>
        </w:tc>
        <w:tc>
          <w:tcPr>
            <w:tcW w:w="3516" w:type="pct"/>
            <w:hideMark/>
          </w:tcPr>
          <w:p w14:paraId="4C3D28DC" w14:textId="77777777" w:rsidR="00C81F0E" w:rsidRPr="00B9444C" w:rsidRDefault="00C81F0E" w:rsidP="006D3F44">
            <w:pPr>
              <w:spacing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Noteikumu projekts šo jomu neskar.</w:t>
            </w:r>
          </w:p>
        </w:tc>
      </w:tr>
      <w:tr w:rsidR="00C41C73" w:rsidRPr="00B9444C" w14:paraId="153A1062" w14:textId="77777777" w:rsidTr="00670E4D">
        <w:tc>
          <w:tcPr>
            <w:tcW w:w="402" w:type="pct"/>
            <w:hideMark/>
          </w:tcPr>
          <w:p w14:paraId="2394F1AD" w14:textId="77777777" w:rsidR="00C81F0E" w:rsidRPr="00B9444C" w:rsidRDefault="00C81F0E" w:rsidP="006D3F44">
            <w:pPr>
              <w:spacing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w:t>
            </w:r>
          </w:p>
        </w:tc>
        <w:tc>
          <w:tcPr>
            <w:tcW w:w="1082" w:type="pct"/>
            <w:hideMark/>
          </w:tcPr>
          <w:p w14:paraId="24084048" w14:textId="77777777" w:rsidR="00C81F0E" w:rsidRPr="00B9444C" w:rsidRDefault="00C81F0E" w:rsidP="006D3F44">
            <w:pPr>
              <w:spacing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Cita informācija</w:t>
            </w:r>
          </w:p>
        </w:tc>
        <w:tc>
          <w:tcPr>
            <w:tcW w:w="3516" w:type="pct"/>
            <w:hideMark/>
          </w:tcPr>
          <w:p w14:paraId="6B96DA1A" w14:textId="6B95BB78" w:rsidR="00C81F0E" w:rsidRPr="00B9444C" w:rsidRDefault="00F76D30" w:rsidP="006215A0">
            <w:pPr>
              <w:spacing w:before="10" w:after="0" w:line="240" w:lineRule="auto"/>
              <w:ind w:right="113"/>
              <w:jc w:val="both"/>
              <w:rPr>
                <w:rFonts w:ascii="Times New Roman" w:hAnsi="Times New Roman"/>
                <w:color w:val="000000"/>
                <w:sz w:val="26"/>
                <w:szCs w:val="26"/>
              </w:rPr>
            </w:pPr>
            <w:r w:rsidRPr="00B9444C">
              <w:rPr>
                <w:rFonts w:ascii="Times New Roman" w:eastAsia="Times New Roman" w:hAnsi="Times New Roman"/>
                <w:color w:val="000000"/>
                <w:sz w:val="26"/>
                <w:szCs w:val="26"/>
                <w:lang w:eastAsia="lv-LV"/>
              </w:rPr>
              <w:t xml:space="preserve">Ar noteikumu projektu tiek ieviesti </w:t>
            </w:r>
            <w:r w:rsidR="00F06C5E" w:rsidRPr="00B9444C">
              <w:rPr>
                <w:rFonts w:ascii="Times New Roman" w:eastAsia="Times New Roman" w:hAnsi="Times New Roman"/>
                <w:color w:val="000000"/>
                <w:sz w:val="26"/>
                <w:szCs w:val="26"/>
                <w:lang w:eastAsia="lv-LV"/>
              </w:rPr>
              <w:t>P</w:t>
            </w:r>
            <w:r w:rsidRPr="00B9444C">
              <w:rPr>
                <w:rFonts w:ascii="Times New Roman" w:eastAsia="Times New Roman" w:hAnsi="Times New Roman"/>
                <w:color w:val="000000"/>
                <w:sz w:val="26"/>
                <w:szCs w:val="26"/>
                <w:lang w:eastAsia="lv-LV"/>
              </w:rPr>
              <w:t>aziņojuma noteikumi.</w:t>
            </w:r>
          </w:p>
        </w:tc>
      </w:tr>
    </w:tbl>
    <w:p w14:paraId="6F9339AB" w14:textId="77777777" w:rsidR="00C81F0E" w:rsidRPr="00B9444C" w:rsidRDefault="00C81F0E">
      <w:pPr>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
        <w:gridCol w:w="2184"/>
        <w:gridCol w:w="493"/>
        <w:gridCol w:w="2083"/>
        <w:gridCol w:w="628"/>
        <w:gridCol w:w="1351"/>
        <w:gridCol w:w="2269"/>
        <w:gridCol w:w="25"/>
      </w:tblGrid>
      <w:tr w:rsidR="00D44FBA" w:rsidRPr="00B9444C" w14:paraId="053DD21C" w14:textId="77777777" w:rsidTr="006463D2">
        <w:trPr>
          <w:gridAfter w:val="1"/>
          <w:wAfter w:w="14" w:type="pct"/>
        </w:trPr>
        <w:tc>
          <w:tcPr>
            <w:tcW w:w="4986" w:type="pct"/>
            <w:gridSpan w:val="7"/>
            <w:vAlign w:val="center"/>
            <w:hideMark/>
          </w:tcPr>
          <w:p w14:paraId="7E184C8E" w14:textId="77777777" w:rsidR="001F61CF" w:rsidRPr="00B9444C" w:rsidRDefault="001F61CF" w:rsidP="006D3F44">
            <w:pPr>
              <w:spacing w:line="240" w:lineRule="auto"/>
              <w:jc w:val="center"/>
              <w:rPr>
                <w:rFonts w:ascii="Times New Roman" w:eastAsia="Times New Roman" w:hAnsi="Times New Roman"/>
                <w:b/>
                <w:bCs/>
                <w:color w:val="000000"/>
                <w:sz w:val="26"/>
                <w:szCs w:val="26"/>
                <w:lang w:eastAsia="lv-LV"/>
              </w:rPr>
            </w:pPr>
            <w:r w:rsidRPr="00B9444C">
              <w:rPr>
                <w:rFonts w:ascii="Times New Roman" w:eastAsia="Times New Roman" w:hAnsi="Times New Roman"/>
                <w:b/>
                <w:bCs/>
                <w:color w:val="000000"/>
                <w:sz w:val="26"/>
                <w:szCs w:val="26"/>
                <w:lang w:eastAsia="lv-LV"/>
              </w:rPr>
              <w:t>1.tabula</w:t>
            </w:r>
            <w:r w:rsidRPr="00B9444C">
              <w:rPr>
                <w:rFonts w:ascii="Times New Roman" w:eastAsia="Times New Roman" w:hAnsi="Times New Roman"/>
                <w:b/>
                <w:bCs/>
                <w:color w:val="000000"/>
                <w:sz w:val="26"/>
                <w:szCs w:val="26"/>
                <w:lang w:eastAsia="lv-LV"/>
              </w:rPr>
              <w:br/>
              <w:t>Tiesību akta projekta atbilstība ES tiesību aktiem</w:t>
            </w:r>
          </w:p>
        </w:tc>
      </w:tr>
      <w:tr w:rsidR="00D44FBA" w:rsidRPr="00B9444C" w14:paraId="65C2F895" w14:textId="77777777" w:rsidTr="006463D2">
        <w:trPr>
          <w:gridAfter w:val="1"/>
          <w:wAfter w:w="14" w:type="pct"/>
        </w:trPr>
        <w:tc>
          <w:tcPr>
            <w:tcW w:w="1490" w:type="pct"/>
            <w:gridSpan w:val="3"/>
            <w:vAlign w:val="center"/>
            <w:hideMark/>
          </w:tcPr>
          <w:p w14:paraId="2FB22CA7" w14:textId="77777777" w:rsidR="001F61CF" w:rsidRPr="00B9444C" w:rsidRDefault="001F61CF" w:rsidP="006D3F44">
            <w:pPr>
              <w:spacing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Attiecīgā ES tiesību akta datums, numurs un nosaukums</w:t>
            </w:r>
          </w:p>
        </w:tc>
        <w:tc>
          <w:tcPr>
            <w:tcW w:w="3496" w:type="pct"/>
            <w:gridSpan w:val="4"/>
            <w:vAlign w:val="center"/>
            <w:hideMark/>
          </w:tcPr>
          <w:p w14:paraId="6167CA26" w14:textId="77777777" w:rsidR="00A729BB" w:rsidRPr="00B9444C" w:rsidRDefault="00632A94" w:rsidP="00A729BB">
            <w:pPr>
              <w:pStyle w:val="naiskr"/>
              <w:spacing w:before="0" w:after="0"/>
              <w:jc w:val="both"/>
              <w:rPr>
                <w:color w:val="000000"/>
                <w:sz w:val="26"/>
                <w:szCs w:val="26"/>
                <w:lang w:eastAsia="en-US"/>
              </w:rPr>
            </w:pPr>
            <w:r w:rsidRPr="00B9444C">
              <w:rPr>
                <w:color w:val="000000"/>
                <w:sz w:val="26"/>
                <w:szCs w:val="26"/>
              </w:rPr>
              <w:t>Regula Nr. 794/2004.</w:t>
            </w:r>
          </w:p>
        </w:tc>
      </w:tr>
      <w:tr w:rsidR="00D44FBA" w:rsidRPr="00B9444C" w14:paraId="6ECF4B19" w14:textId="77777777" w:rsidTr="006463D2">
        <w:trPr>
          <w:gridAfter w:val="1"/>
          <w:wAfter w:w="14" w:type="pct"/>
        </w:trPr>
        <w:tc>
          <w:tcPr>
            <w:tcW w:w="1490" w:type="pct"/>
            <w:gridSpan w:val="3"/>
            <w:vAlign w:val="center"/>
            <w:hideMark/>
          </w:tcPr>
          <w:p w14:paraId="03C751BC" w14:textId="77777777" w:rsidR="001F61CF" w:rsidRPr="00B9444C" w:rsidRDefault="001F61CF" w:rsidP="006D3F44">
            <w:pPr>
              <w:spacing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A</w:t>
            </w:r>
          </w:p>
        </w:tc>
        <w:tc>
          <w:tcPr>
            <w:tcW w:w="1150" w:type="pct"/>
            <w:vAlign w:val="center"/>
            <w:hideMark/>
          </w:tcPr>
          <w:p w14:paraId="10975877" w14:textId="77777777" w:rsidR="001F61CF" w:rsidRPr="00B9444C" w:rsidRDefault="001F61CF" w:rsidP="006D3F44">
            <w:pPr>
              <w:spacing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B</w:t>
            </w:r>
          </w:p>
        </w:tc>
        <w:tc>
          <w:tcPr>
            <w:tcW w:w="1093" w:type="pct"/>
            <w:gridSpan w:val="2"/>
            <w:vAlign w:val="center"/>
            <w:hideMark/>
          </w:tcPr>
          <w:p w14:paraId="1929856E" w14:textId="77777777" w:rsidR="001F61CF" w:rsidRPr="00B9444C" w:rsidRDefault="001F61CF" w:rsidP="006D3F44">
            <w:pPr>
              <w:spacing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C</w:t>
            </w:r>
          </w:p>
        </w:tc>
        <w:tc>
          <w:tcPr>
            <w:tcW w:w="1253" w:type="pct"/>
            <w:vAlign w:val="center"/>
            <w:hideMark/>
          </w:tcPr>
          <w:p w14:paraId="68F08947" w14:textId="77777777" w:rsidR="001F61CF" w:rsidRPr="00B9444C" w:rsidRDefault="001F61CF" w:rsidP="006D3F44">
            <w:pPr>
              <w:spacing w:line="240" w:lineRule="auto"/>
              <w:jc w:val="center"/>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D</w:t>
            </w:r>
          </w:p>
        </w:tc>
      </w:tr>
      <w:tr w:rsidR="00D44FBA" w:rsidRPr="00B9444C" w14:paraId="6072BC29" w14:textId="77777777" w:rsidTr="006463D2">
        <w:trPr>
          <w:gridAfter w:val="1"/>
          <w:wAfter w:w="14" w:type="pct"/>
        </w:trPr>
        <w:tc>
          <w:tcPr>
            <w:tcW w:w="1490" w:type="pct"/>
            <w:gridSpan w:val="3"/>
            <w:hideMark/>
          </w:tcPr>
          <w:p w14:paraId="2180E3E9" w14:textId="77777777" w:rsidR="001F61CF" w:rsidRPr="00B9444C" w:rsidRDefault="001F61CF" w:rsidP="006D3F44">
            <w:pPr>
              <w:pStyle w:val="naiskr"/>
              <w:spacing w:before="0" w:after="0"/>
              <w:jc w:val="both"/>
              <w:rPr>
                <w:color w:val="000000"/>
                <w:sz w:val="26"/>
                <w:szCs w:val="26"/>
                <w:lang w:eastAsia="en-US"/>
              </w:rPr>
            </w:pPr>
            <w:r w:rsidRPr="00B9444C">
              <w:rPr>
                <w:color w:val="000000"/>
                <w:sz w:val="26"/>
                <w:szCs w:val="26"/>
                <w:lang w:eastAsia="en-US"/>
              </w:rPr>
              <w:t xml:space="preserve">Attiecīgā ES tiesību akta panta numurs (uzskaitot katru tiesību akta </w:t>
            </w:r>
            <w:r w:rsidRPr="00B9444C">
              <w:rPr>
                <w:color w:val="000000"/>
                <w:sz w:val="26"/>
                <w:szCs w:val="26"/>
                <w:lang w:eastAsia="en-US"/>
              </w:rPr>
              <w:br/>
              <w:t>vienību – pantu, daļu, punktu, apakšpunktu)</w:t>
            </w:r>
          </w:p>
        </w:tc>
        <w:tc>
          <w:tcPr>
            <w:tcW w:w="1150" w:type="pct"/>
            <w:hideMark/>
          </w:tcPr>
          <w:p w14:paraId="68B435C9" w14:textId="77777777" w:rsidR="001F61CF" w:rsidRPr="00B9444C" w:rsidRDefault="001F61CF" w:rsidP="006D3F44">
            <w:pPr>
              <w:pStyle w:val="naiskr"/>
              <w:spacing w:before="0" w:after="0"/>
              <w:jc w:val="both"/>
              <w:rPr>
                <w:color w:val="000000"/>
                <w:sz w:val="26"/>
                <w:szCs w:val="26"/>
                <w:lang w:eastAsia="en-US"/>
              </w:rPr>
            </w:pPr>
            <w:r w:rsidRPr="00B9444C">
              <w:rPr>
                <w:color w:val="000000"/>
                <w:sz w:val="26"/>
                <w:szCs w:val="26"/>
                <w:lang w:eastAsia="en-US"/>
              </w:rPr>
              <w:t>Projekta vienība, kas pārņem vai ievieš katru šīs tabulas A ailē minēto ES tiesību akta vienību</w:t>
            </w:r>
            <w:r w:rsidR="00C56A7C" w:rsidRPr="00B9444C">
              <w:rPr>
                <w:color w:val="000000"/>
                <w:sz w:val="26"/>
                <w:szCs w:val="26"/>
                <w:lang w:eastAsia="en-US"/>
              </w:rPr>
              <w:t>,</w:t>
            </w:r>
            <w:r w:rsidR="00C56A7C" w:rsidRPr="00B9444C">
              <w:rPr>
                <w:color w:val="000000"/>
                <w:sz w:val="26"/>
                <w:szCs w:val="26"/>
                <w:shd w:val="clear" w:color="auto" w:fill="FFFFFF"/>
              </w:rPr>
              <w:t xml:space="preserve">  vai tiesību akts, kur attiecīgā ES tiesību akta vienība pārņemta vai ieviesta</w:t>
            </w:r>
          </w:p>
        </w:tc>
        <w:tc>
          <w:tcPr>
            <w:tcW w:w="1093" w:type="pct"/>
            <w:gridSpan w:val="2"/>
            <w:hideMark/>
          </w:tcPr>
          <w:p w14:paraId="64805F8C" w14:textId="77777777" w:rsidR="001F61CF" w:rsidRPr="00B9444C" w:rsidRDefault="001F61CF" w:rsidP="006D3F44">
            <w:pPr>
              <w:pStyle w:val="naiskr"/>
              <w:spacing w:before="0" w:after="0"/>
              <w:jc w:val="both"/>
              <w:rPr>
                <w:color w:val="000000"/>
                <w:sz w:val="26"/>
                <w:szCs w:val="26"/>
                <w:lang w:eastAsia="en-US"/>
              </w:rPr>
            </w:pPr>
            <w:r w:rsidRPr="00B9444C">
              <w:rPr>
                <w:color w:val="000000"/>
                <w:sz w:val="26"/>
                <w:szCs w:val="26"/>
                <w:lang w:eastAsia="en-US"/>
              </w:rPr>
              <w:t>Informācija par to, vai šīs tabulas A ailē minētās ES tiesību akta vienības tiek pārņemtas vai ieviestas pilnībā vai daļēji.</w:t>
            </w:r>
          </w:p>
          <w:p w14:paraId="2BDE5D8B" w14:textId="77777777" w:rsidR="001F61CF" w:rsidRPr="00B9444C" w:rsidRDefault="001F61CF" w:rsidP="006D3F44">
            <w:pPr>
              <w:pStyle w:val="naiskr"/>
              <w:spacing w:before="0" w:after="0"/>
              <w:jc w:val="both"/>
              <w:rPr>
                <w:color w:val="000000"/>
                <w:sz w:val="26"/>
                <w:szCs w:val="26"/>
                <w:lang w:eastAsia="en-US"/>
              </w:rPr>
            </w:pPr>
            <w:r w:rsidRPr="00B9444C">
              <w:rPr>
                <w:color w:val="000000"/>
                <w:sz w:val="26"/>
                <w:szCs w:val="26"/>
                <w:lang w:eastAsia="en-US"/>
              </w:rPr>
              <w:t>Ja attiecīgā ES tiesību akta vienība tiek pārņemta vai ieviesta daļēji, – sniedz attiecīgu skaidrojumu, kā arī precīzi norāda, kad un kādā veidā ES tiesību akta vienība tiks pārņemta vai ieviesta pilnībā.</w:t>
            </w:r>
          </w:p>
          <w:p w14:paraId="0CB7759D" w14:textId="77777777" w:rsidR="001F61CF" w:rsidRPr="00B9444C" w:rsidRDefault="001F61CF" w:rsidP="006D3F44">
            <w:pPr>
              <w:pStyle w:val="naiskr"/>
              <w:spacing w:before="0" w:after="0"/>
              <w:jc w:val="both"/>
              <w:rPr>
                <w:color w:val="000000"/>
                <w:sz w:val="26"/>
                <w:szCs w:val="26"/>
                <w:lang w:eastAsia="en-US"/>
              </w:rPr>
            </w:pPr>
            <w:r w:rsidRPr="00B9444C">
              <w:rPr>
                <w:color w:val="000000"/>
                <w:sz w:val="26"/>
                <w:szCs w:val="26"/>
                <w:lang w:eastAsia="en-US"/>
              </w:rPr>
              <w:t>Norāda institūciju, kas ir atbildīga par šo saistību izpildi pilnībā</w:t>
            </w:r>
          </w:p>
        </w:tc>
        <w:tc>
          <w:tcPr>
            <w:tcW w:w="1253" w:type="pct"/>
            <w:hideMark/>
          </w:tcPr>
          <w:p w14:paraId="7527D2E3" w14:textId="77777777" w:rsidR="001F61CF" w:rsidRPr="00B9444C" w:rsidRDefault="001F61CF" w:rsidP="006D3F44">
            <w:pPr>
              <w:pStyle w:val="naiskr"/>
              <w:spacing w:before="0" w:after="0"/>
              <w:jc w:val="both"/>
              <w:rPr>
                <w:color w:val="000000"/>
                <w:sz w:val="26"/>
                <w:szCs w:val="26"/>
                <w:lang w:eastAsia="en-US"/>
              </w:rPr>
            </w:pPr>
            <w:r w:rsidRPr="00B9444C">
              <w:rPr>
                <w:color w:val="000000"/>
                <w:sz w:val="26"/>
                <w:szCs w:val="26"/>
                <w:lang w:eastAsia="en-US"/>
              </w:rPr>
              <w:t>Informācija par to, vai šīs tabulas B ailē minētās projekta vienības paredz stingrākas prasības nekā šīs tabulas A ailē minētās ES tiesību akta vienības.</w:t>
            </w:r>
          </w:p>
          <w:p w14:paraId="13D239EA" w14:textId="77777777" w:rsidR="001F61CF" w:rsidRPr="00B9444C" w:rsidRDefault="001F61CF" w:rsidP="006D3F44">
            <w:pPr>
              <w:pStyle w:val="naiskr"/>
              <w:spacing w:before="0" w:after="0"/>
              <w:jc w:val="both"/>
              <w:rPr>
                <w:color w:val="000000"/>
                <w:sz w:val="26"/>
                <w:szCs w:val="26"/>
                <w:lang w:eastAsia="en-US"/>
              </w:rPr>
            </w:pPr>
            <w:r w:rsidRPr="00B9444C">
              <w:rPr>
                <w:color w:val="000000"/>
                <w:sz w:val="26"/>
                <w:szCs w:val="26"/>
                <w:lang w:eastAsia="en-US"/>
              </w:rPr>
              <w:t>Ja projekts satur stingrākas prasības nekā attiecīgais ES tiesību akts, – norāda pamatojumu un samērīgumu.</w:t>
            </w:r>
          </w:p>
          <w:p w14:paraId="03048BC5" w14:textId="77777777" w:rsidR="001F61CF" w:rsidRPr="00B9444C" w:rsidRDefault="001F61CF" w:rsidP="006D3F44">
            <w:pPr>
              <w:pStyle w:val="naiskr"/>
              <w:spacing w:before="0" w:after="0"/>
              <w:jc w:val="both"/>
              <w:rPr>
                <w:color w:val="000000"/>
                <w:sz w:val="26"/>
                <w:szCs w:val="26"/>
                <w:lang w:eastAsia="en-US"/>
              </w:rPr>
            </w:pPr>
            <w:r w:rsidRPr="00B9444C">
              <w:rPr>
                <w:color w:val="000000"/>
                <w:sz w:val="26"/>
                <w:szCs w:val="26"/>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D44FBA" w:rsidRPr="00B9444C" w14:paraId="4BB4B908" w14:textId="77777777" w:rsidTr="006463D2">
        <w:trPr>
          <w:gridAfter w:val="1"/>
          <w:wAfter w:w="14" w:type="pct"/>
        </w:trPr>
        <w:tc>
          <w:tcPr>
            <w:tcW w:w="1490" w:type="pct"/>
            <w:gridSpan w:val="3"/>
            <w:vAlign w:val="center"/>
          </w:tcPr>
          <w:p w14:paraId="2CA9688F" w14:textId="77777777" w:rsidR="00D44FBA" w:rsidRPr="00B9444C" w:rsidRDefault="00632A94" w:rsidP="00D44FBA">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Regulas Nr. 794/2004 10. un 11. pants.</w:t>
            </w:r>
          </w:p>
        </w:tc>
        <w:tc>
          <w:tcPr>
            <w:tcW w:w="1150" w:type="pct"/>
            <w:vAlign w:val="center"/>
          </w:tcPr>
          <w:p w14:paraId="7A1D037F" w14:textId="77777777" w:rsidR="00D44FBA" w:rsidRPr="00B9444C" w:rsidRDefault="00D44FBA" w:rsidP="00632A94">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Noteikumu projekta </w:t>
            </w:r>
            <w:r w:rsidRPr="00B9444C">
              <w:rPr>
                <w:rFonts w:ascii="Times New Roman" w:eastAsia="Times New Roman" w:hAnsi="Times New Roman"/>
                <w:color w:val="000000"/>
                <w:sz w:val="26"/>
                <w:szCs w:val="26"/>
                <w:lang w:eastAsia="lv-LV"/>
              </w:rPr>
              <w:lastRenderedPageBreak/>
              <w:t>2. punkts (MK noteikumu Nr. 56</w:t>
            </w:r>
            <w:r w:rsidR="00632A94" w:rsidRPr="00B9444C">
              <w:rPr>
                <w:rFonts w:ascii="Times New Roman" w:eastAsia="Times New Roman" w:hAnsi="Times New Roman"/>
                <w:color w:val="000000"/>
                <w:sz w:val="26"/>
                <w:szCs w:val="26"/>
                <w:lang w:eastAsia="lv-LV"/>
              </w:rPr>
              <w:t>1</w:t>
            </w:r>
            <w:r w:rsidRPr="00B9444C">
              <w:rPr>
                <w:rFonts w:ascii="Times New Roman" w:eastAsia="Times New Roman" w:hAnsi="Times New Roman"/>
                <w:color w:val="000000"/>
                <w:sz w:val="26"/>
                <w:szCs w:val="26"/>
                <w:lang w:eastAsia="lv-LV"/>
              </w:rPr>
              <w:t xml:space="preserve"> </w:t>
            </w:r>
            <w:r w:rsidR="00632A94" w:rsidRPr="00B9444C">
              <w:rPr>
                <w:rFonts w:ascii="Times New Roman" w:eastAsia="Times New Roman" w:hAnsi="Times New Roman"/>
                <w:color w:val="000000"/>
                <w:sz w:val="26"/>
                <w:szCs w:val="26"/>
                <w:lang w:eastAsia="lv-LV"/>
              </w:rPr>
              <w:t>35.</w:t>
            </w:r>
            <w:r w:rsidR="00632A94" w:rsidRPr="00B9444C">
              <w:rPr>
                <w:rFonts w:ascii="Times New Roman" w:eastAsia="Times New Roman" w:hAnsi="Times New Roman"/>
                <w:color w:val="000000"/>
                <w:sz w:val="26"/>
                <w:szCs w:val="26"/>
                <w:vertAlign w:val="superscript"/>
                <w:lang w:eastAsia="lv-LV"/>
              </w:rPr>
              <w:t>4</w:t>
            </w:r>
            <w:r w:rsidR="00632A94" w:rsidRPr="00B9444C">
              <w:rPr>
                <w:rFonts w:ascii="Times New Roman" w:eastAsia="Times New Roman" w:hAnsi="Times New Roman"/>
                <w:color w:val="000000"/>
                <w:sz w:val="26"/>
                <w:szCs w:val="26"/>
                <w:lang w:eastAsia="lv-LV"/>
              </w:rPr>
              <w:t> </w:t>
            </w:r>
            <w:r w:rsidRPr="00B9444C">
              <w:rPr>
                <w:rFonts w:ascii="Times New Roman" w:eastAsia="Times New Roman" w:hAnsi="Times New Roman"/>
                <w:color w:val="000000"/>
                <w:sz w:val="26"/>
                <w:szCs w:val="26"/>
                <w:vertAlign w:val="superscript"/>
                <w:lang w:eastAsia="lv-LV"/>
              </w:rPr>
              <w:t> </w:t>
            </w:r>
            <w:r w:rsidRPr="00B9444C">
              <w:rPr>
                <w:rFonts w:ascii="Times New Roman" w:eastAsia="Times New Roman" w:hAnsi="Times New Roman"/>
                <w:color w:val="000000"/>
                <w:sz w:val="26"/>
                <w:szCs w:val="26"/>
                <w:lang w:eastAsia="lv-LV"/>
              </w:rPr>
              <w:t>punkts).</w:t>
            </w:r>
          </w:p>
        </w:tc>
        <w:tc>
          <w:tcPr>
            <w:tcW w:w="1093" w:type="pct"/>
            <w:gridSpan w:val="2"/>
          </w:tcPr>
          <w:p w14:paraId="461C1F44" w14:textId="77777777" w:rsidR="00D44FBA" w:rsidRPr="00B9444C" w:rsidRDefault="00D44FBA" w:rsidP="00D44FBA">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Ieviesta pilnībā</w:t>
            </w:r>
          </w:p>
        </w:tc>
        <w:tc>
          <w:tcPr>
            <w:tcW w:w="1253" w:type="pct"/>
          </w:tcPr>
          <w:p w14:paraId="3FE83E8F" w14:textId="77777777" w:rsidR="00D44FBA" w:rsidRPr="00B9444C" w:rsidRDefault="00D44FBA" w:rsidP="00D44FBA">
            <w:pPr>
              <w:spacing w:before="10" w:after="0" w:line="240" w:lineRule="auto"/>
              <w:ind w:left="113" w:right="113"/>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Neparedz stingrākas prasības</w:t>
            </w:r>
          </w:p>
        </w:tc>
      </w:tr>
      <w:tr w:rsidR="00D44FBA" w:rsidRPr="00B9444C" w14:paraId="15664862" w14:textId="77777777" w:rsidTr="006463D2">
        <w:trPr>
          <w:gridAfter w:val="1"/>
          <w:wAfter w:w="14" w:type="pct"/>
          <w:trHeight w:val="805"/>
        </w:trPr>
        <w:tc>
          <w:tcPr>
            <w:tcW w:w="1490" w:type="pct"/>
            <w:gridSpan w:val="3"/>
            <w:vAlign w:val="center"/>
            <w:hideMark/>
          </w:tcPr>
          <w:p w14:paraId="6F2B53E0" w14:textId="77777777" w:rsidR="00D44FBA" w:rsidRPr="00B9444C" w:rsidRDefault="00D44FBA" w:rsidP="00D44FBA">
            <w:pPr>
              <w:spacing w:line="240" w:lineRule="auto"/>
              <w:ind w:left="174" w:right="149"/>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Kā ir izmantota ES tiesību aktā paredzētā rīcības brīvība dalībvalstij pārņemt vai ieviest noteiktas ES tiesību akta normas.</w:t>
            </w:r>
          </w:p>
        </w:tc>
        <w:tc>
          <w:tcPr>
            <w:tcW w:w="3496" w:type="pct"/>
            <w:gridSpan w:val="4"/>
            <w:hideMark/>
          </w:tcPr>
          <w:p w14:paraId="6C3DAEC2" w14:textId="77777777" w:rsidR="00D44FBA" w:rsidRPr="00B9444C" w:rsidRDefault="00D44FBA" w:rsidP="00D44FBA">
            <w:pPr>
              <w:spacing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Noteikumu projekts šo jomu neskar.</w:t>
            </w:r>
          </w:p>
        </w:tc>
      </w:tr>
      <w:tr w:rsidR="00D44FBA" w:rsidRPr="00B9444C" w14:paraId="1A73C015" w14:textId="77777777" w:rsidTr="006463D2">
        <w:trPr>
          <w:gridAfter w:val="1"/>
          <w:wAfter w:w="14" w:type="pct"/>
          <w:trHeight w:val="2934"/>
        </w:trPr>
        <w:tc>
          <w:tcPr>
            <w:tcW w:w="1490" w:type="pct"/>
            <w:gridSpan w:val="3"/>
            <w:vAlign w:val="center"/>
            <w:hideMark/>
          </w:tcPr>
          <w:p w14:paraId="0FF38D7A" w14:textId="77777777" w:rsidR="00D44FBA" w:rsidRPr="00B9444C" w:rsidRDefault="00D44FBA" w:rsidP="00D44FBA">
            <w:pPr>
              <w:spacing w:line="240" w:lineRule="auto"/>
              <w:ind w:left="174" w:right="149"/>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6" w:type="pct"/>
            <w:gridSpan w:val="4"/>
            <w:hideMark/>
          </w:tcPr>
          <w:p w14:paraId="0D874BCD" w14:textId="77777777" w:rsidR="00D44FBA" w:rsidRPr="00B9444C" w:rsidRDefault="00D44FBA" w:rsidP="00D44FBA">
            <w:pPr>
              <w:spacing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Noteikumu projekts šo jomu neskar.</w:t>
            </w:r>
          </w:p>
        </w:tc>
      </w:tr>
      <w:tr w:rsidR="00D44FBA" w:rsidRPr="00B9444C" w14:paraId="70CB5F95" w14:textId="77777777" w:rsidTr="006463D2">
        <w:trPr>
          <w:gridAfter w:val="1"/>
          <w:wAfter w:w="14" w:type="pct"/>
        </w:trPr>
        <w:tc>
          <w:tcPr>
            <w:tcW w:w="1490" w:type="pct"/>
            <w:gridSpan w:val="3"/>
            <w:hideMark/>
          </w:tcPr>
          <w:p w14:paraId="659C997A" w14:textId="77777777" w:rsidR="00D44FBA" w:rsidRPr="00B9444C" w:rsidRDefault="00D44FBA" w:rsidP="00D44FBA">
            <w:pPr>
              <w:spacing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Cita informācija</w:t>
            </w:r>
          </w:p>
        </w:tc>
        <w:tc>
          <w:tcPr>
            <w:tcW w:w="3496" w:type="pct"/>
            <w:gridSpan w:val="4"/>
            <w:hideMark/>
          </w:tcPr>
          <w:p w14:paraId="2F97E225" w14:textId="1BC752AF" w:rsidR="00D44FBA" w:rsidRPr="00B9444C" w:rsidRDefault="00D44FBA" w:rsidP="006215A0">
            <w:pPr>
              <w:spacing w:line="240" w:lineRule="auto"/>
              <w:jc w:val="both"/>
              <w:rPr>
                <w:rFonts w:ascii="Times New Roman" w:hAnsi="Times New Roman"/>
                <w:color w:val="000000"/>
                <w:sz w:val="26"/>
                <w:szCs w:val="26"/>
              </w:rPr>
            </w:pPr>
            <w:r w:rsidRPr="00B9444C">
              <w:rPr>
                <w:rFonts w:ascii="Times New Roman" w:eastAsia="Times New Roman" w:hAnsi="Times New Roman"/>
                <w:color w:val="000000"/>
                <w:sz w:val="26"/>
                <w:szCs w:val="26"/>
                <w:lang w:eastAsia="lv-LV"/>
              </w:rPr>
              <w:t>Ar noteikumu projektu tiek ieviesti</w:t>
            </w:r>
            <w:r w:rsidR="006215A0"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 xml:space="preserve">Paziņojuma noteikumi, tai skaitā </w:t>
            </w:r>
            <w:r w:rsidR="009C2C80" w:rsidRPr="00B9444C">
              <w:rPr>
                <w:rFonts w:ascii="Times New Roman" w:eastAsia="Times New Roman" w:hAnsi="Times New Roman"/>
                <w:color w:val="000000"/>
                <w:sz w:val="26"/>
                <w:szCs w:val="26"/>
                <w:lang w:eastAsia="lv-LV"/>
              </w:rPr>
              <w:t xml:space="preserve">28., 29., </w:t>
            </w:r>
            <w:r w:rsidRPr="00B9444C">
              <w:rPr>
                <w:rFonts w:ascii="Times New Roman" w:eastAsia="Times New Roman" w:hAnsi="Times New Roman"/>
                <w:color w:val="000000"/>
                <w:sz w:val="26"/>
                <w:szCs w:val="26"/>
                <w:lang w:eastAsia="lv-LV"/>
              </w:rPr>
              <w:t>196., 197. un 207 punkta nosacījumi</w:t>
            </w:r>
            <w:r w:rsidR="00C271A8" w:rsidRPr="00B9444C">
              <w:rPr>
                <w:rFonts w:ascii="Times New Roman" w:eastAsia="Times New Roman" w:hAnsi="Times New Roman"/>
                <w:color w:val="000000"/>
                <w:sz w:val="26"/>
                <w:szCs w:val="26"/>
                <w:lang w:eastAsia="lv-LV"/>
              </w:rPr>
              <w:t xml:space="preserve"> un Komisijas paziņojuma "Nostādnes par valsts atbalstu pētniecībai, izstrādei un inovācijai" (Eiropas Savienības Oficiālais Vēstnesis, 2014. gada 27. jūnijs, Nr. C 198/1) 25. punkta noteikumi</w:t>
            </w:r>
            <w:r w:rsidR="006215A0" w:rsidRPr="00B9444C">
              <w:rPr>
                <w:rFonts w:ascii="Times New Roman" w:eastAsia="Times New Roman" w:hAnsi="Times New Roman"/>
                <w:color w:val="000000"/>
                <w:sz w:val="26"/>
                <w:szCs w:val="26"/>
                <w:lang w:eastAsia="lv-LV"/>
              </w:rPr>
              <w:t>.</w:t>
            </w:r>
            <w:r w:rsidRPr="00B9444C">
              <w:rPr>
                <w:rFonts w:ascii="Times New Roman" w:hAnsi="Times New Roman"/>
                <w:color w:val="000000"/>
                <w:sz w:val="26"/>
                <w:szCs w:val="26"/>
              </w:rPr>
              <w:t xml:space="preserve"> </w:t>
            </w:r>
          </w:p>
        </w:tc>
      </w:tr>
      <w:tr w:rsidR="00D44FBA" w:rsidRPr="00B9444C" w14:paraId="4AF2ACBB" w14:textId="77777777" w:rsidTr="006463D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12" w:type="pct"/>
          <w:tblCellSpacing w:w="15" w:type="dxa"/>
        </w:trPr>
        <w:tc>
          <w:tcPr>
            <w:tcW w:w="4988" w:type="pct"/>
            <w:gridSpan w:val="7"/>
            <w:tcBorders>
              <w:top w:val="outset" w:sz="6" w:space="0" w:color="auto"/>
              <w:left w:val="outset" w:sz="6" w:space="0" w:color="auto"/>
              <w:bottom w:val="outset" w:sz="6" w:space="0" w:color="auto"/>
              <w:right w:val="outset" w:sz="6" w:space="0" w:color="auto"/>
            </w:tcBorders>
            <w:vAlign w:val="center"/>
            <w:hideMark/>
          </w:tcPr>
          <w:p w14:paraId="451ED588" w14:textId="77777777" w:rsidR="00D44FBA" w:rsidRPr="00B9444C" w:rsidRDefault="00D44FBA" w:rsidP="00D44FBA">
            <w:pPr>
              <w:spacing w:line="240" w:lineRule="auto"/>
              <w:jc w:val="center"/>
              <w:rPr>
                <w:rFonts w:ascii="Times New Roman" w:eastAsia="Times New Roman" w:hAnsi="Times New Roman"/>
                <w:b/>
                <w:bCs/>
                <w:iCs/>
                <w:color w:val="000000"/>
                <w:sz w:val="26"/>
                <w:szCs w:val="26"/>
                <w:lang w:eastAsia="lv-LV"/>
              </w:rPr>
            </w:pPr>
            <w:r w:rsidRPr="00B9444C">
              <w:rPr>
                <w:rFonts w:ascii="Times New Roman" w:eastAsia="Times New Roman" w:hAnsi="Times New Roman"/>
                <w:b/>
                <w:bCs/>
                <w:iCs/>
                <w:color w:val="000000"/>
                <w:sz w:val="26"/>
                <w:szCs w:val="26"/>
                <w:lang w:eastAsia="lv-LV"/>
              </w:rPr>
              <w:t>2. tabula</w:t>
            </w:r>
            <w:r w:rsidRPr="00B9444C">
              <w:rPr>
                <w:rFonts w:ascii="Times New Roman" w:eastAsia="Times New Roman" w:hAnsi="Times New Roman"/>
                <w:b/>
                <w:bCs/>
                <w:iCs/>
                <w:color w:val="000000"/>
                <w:sz w:val="26"/>
                <w:szCs w:val="26"/>
                <w:lang w:eastAsia="lv-LV"/>
              </w:rPr>
              <w:br/>
              <w:t>Ar tiesību akta projektu izpildītās vai uzņemtās saistības, kas izriet no starptautiskajiem tiesību aktiem vai starptautiskas institūcijas vai organizācijas dokumentiem.</w:t>
            </w:r>
            <w:r w:rsidRPr="00B9444C">
              <w:rPr>
                <w:rFonts w:ascii="Times New Roman" w:eastAsia="Times New Roman" w:hAnsi="Times New Roman"/>
                <w:b/>
                <w:bCs/>
                <w:iCs/>
                <w:color w:val="000000"/>
                <w:sz w:val="26"/>
                <w:szCs w:val="26"/>
                <w:lang w:eastAsia="lv-LV"/>
              </w:rPr>
              <w:br/>
              <w:t>Pasākumi šo saistību izpildei</w:t>
            </w:r>
          </w:p>
        </w:tc>
      </w:tr>
      <w:tr w:rsidR="00D44FBA" w:rsidRPr="00B9444C" w14:paraId="687D6D70" w14:textId="77777777" w:rsidTr="006463D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12" w:type="pct"/>
          <w:tblCellSpacing w:w="15" w:type="dxa"/>
        </w:trPr>
        <w:tc>
          <w:tcPr>
            <w:tcW w:w="1206" w:type="pct"/>
            <w:tcBorders>
              <w:top w:val="outset" w:sz="6" w:space="0" w:color="auto"/>
              <w:left w:val="outset" w:sz="6" w:space="0" w:color="auto"/>
              <w:bottom w:val="outset" w:sz="6" w:space="0" w:color="auto"/>
              <w:right w:val="outset" w:sz="6" w:space="0" w:color="auto"/>
            </w:tcBorders>
            <w:hideMark/>
          </w:tcPr>
          <w:p w14:paraId="5AD9521B"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iCs/>
                <w:color w:val="000000"/>
                <w:sz w:val="26"/>
                <w:szCs w:val="26"/>
                <w:lang w:eastAsia="lv-LV"/>
              </w:rPr>
              <w:t xml:space="preserve">Attiecīgā starptautiskā tiesību akta vai starptautiskas institūcijas vai organizācijas dokumenta </w:t>
            </w:r>
            <w:r w:rsidRPr="00B9444C">
              <w:rPr>
                <w:rFonts w:ascii="Times New Roman" w:eastAsia="Times New Roman" w:hAnsi="Times New Roman"/>
                <w:iCs/>
                <w:color w:val="000000"/>
                <w:sz w:val="26"/>
                <w:szCs w:val="26"/>
                <w:lang w:eastAsia="lv-LV"/>
              </w:rPr>
              <w:lastRenderedPageBreak/>
              <w:t>(turpmāk – starptautiskais dokuments) datums, numurs un nosaukums</w:t>
            </w:r>
          </w:p>
        </w:tc>
        <w:tc>
          <w:tcPr>
            <w:tcW w:w="3782" w:type="pct"/>
            <w:gridSpan w:val="6"/>
            <w:tcBorders>
              <w:top w:val="outset" w:sz="6" w:space="0" w:color="auto"/>
              <w:left w:val="outset" w:sz="6" w:space="0" w:color="auto"/>
              <w:bottom w:val="outset" w:sz="6" w:space="0" w:color="auto"/>
              <w:right w:val="outset" w:sz="6" w:space="0" w:color="auto"/>
            </w:tcBorders>
            <w:hideMark/>
          </w:tcPr>
          <w:p w14:paraId="5E2FBD48"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color w:val="000000"/>
                <w:sz w:val="26"/>
                <w:szCs w:val="26"/>
                <w:lang w:eastAsia="lv-LV"/>
              </w:rPr>
              <w:lastRenderedPageBreak/>
              <w:t>Noteikumu projekts šo jomu neskar.</w:t>
            </w:r>
          </w:p>
        </w:tc>
      </w:tr>
      <w:tr w:rsidR="00D44FBA" w:rsidRPr="00B9444C" w14:paraId="16070AA9" w14:textId="77777777" w:rsidTr="006463D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12" w:type="pct"/>
          <w:tblCellSpacing w:w="15" w:type="dxa"/>
        </w:trPr>
        <w:tc>
          <w:tcPr>
            <w:tcW w:w="1206" w:type="pct"/>
            <w:tcBorders>
              <w:top w:val="outset" w:sz="6" w:space="0" w:color="auto"/>
              <w:left w:val="outset" w:sz="6" w:space="0" w:color="auto"/>
              <w:bottom w:val="outset" w:sz="6" w:space="0" w:color="auto"/>
              <w:right w:val="outset" w:sz="6" w:space="0" w:color="auto"/>
            </w:tcBorders>
            <w:vAlign w:val="center"/>
            <w:hideMark/>
          </w:tcPr>
          <w:p w14:paraId="2EDC4C50"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iCs/>
                <w:color w:val="000000"/>
                <w:sz w:val="26"/>
                <w:szCs w:val="26"/>
                <w:lang w:eastAsia="lv-LV"/>
              </w:rPr>
              <w:lastRenderedPageBreak/>
              <w:t>A</w:t>
            </w:r>
          </w:p>
        </w:tc>
        <w:tc>
          <w:tcPr>
            <w:tcW w:w="1769" w:type="pct"/>
            <w:gridSpan w:val="3"/>
            <w:tcBorders>
              <w:top w:val="outset" w:sz="6" w:space="0" w:color="auto"/>
              <w:left w:val="outset" w:sz="6" w:space="0" w:color="auto"/>
              <w:bottom w:val="outset" w:sz="6" w:space="0" w:color="auto"/>
              <w:right w:val="outset" w:sz="6" w:space="0" w:color="auto"/>
            </w:tcBorders>
            <w:vAlign w:val="center"/>
            <w:hideMark/>
          </w:tcPr>
          <w:p w14:paraId="54685EBF"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iCs/>
                <w:color w:val="000000"/>
                <w:sz w:val="26"/>
                <w:szCs w:val="26"/>
                <w:lang w:eastAsia="lv-LV"/>
              </w:rPr>
              <w:t>B</w:t>
            </w:r>
          </w:p>
        </w:tc>
        <w:tc>
          <w:tcPr>
            <w:tcW w:w="2013" w:type="pct"/>
            <w:gridSpan w:val="3"/>
            <w:tcBorders>
              <w:top w:val="outset" w:sz="6" w:space="0" w:color="auto"/>
              <w:left w:val="outset" w:sz="6" w:space="0" w:color="auto"/>
              <w:bottom w:val="outset" w:sz="6" w:space="0" w:color="auto"/>
              <w:right w:val="outset" w:sz="6" w:space="0" w:color="auto"/>
            </w:tcBorders>
            <w:vAlign w:val="center"/>
            <w:hideMark/>
          </w:tcPr>
          <w:p w14:paraId="43079C61"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iCs/>
                <w:color w:val="000000"/>
                <w:sz w:val="26"/>
                <w:szCs w:val="26"/>
                <w:lang w:eastAsia="lv-LV"/>
              </w:rPr>
              <w:t>C</w:t>
            </w:r>
          </w:p>
        </w:tc>
      </w:tr>
      <w:tr w:rsidR="00D44FBA" w:rsidRPr="00B9444C" w14:paraId="38970742" w14:textId="77777777" w:rsidTr="006463D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12" w:type="pct"/>
          <w:tblCellSpacing w:w="15" w:type="dxa"/>
        </w:trPr>
        <w:tc>
          <w:tcPr>
            <w:tcW w:w="1206" w:type="pct"/>
            <w:tcBorders>
              <w:top w:val="outset" w:sz="6" w:space="0" w:color="auto"/>
              <w:left w:val="outset" w:sz="6" w:space="0" w:color="auto"/>
              <w:bottom w:val="outset" w:sz="6" w:space="0" w:color="auto"/>
              <w:right w:val="outset" w:sz="6" w:space="0" w:color="auto"/>
            </w:tcBorders>
            <w:hideMark/>
          </w:tcPr>
          <w:p w14:paraId="2730AB92"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iCs/>
                <w:color w:val="000000"/>
                <w:sz w:val="26"/>
                <w:szCs w:val="26"/>
                <w:lang w:eastAsia="lv-LV"/>
              </w:rPr>
              <w:t>Starptautiskās saistības (pēc būtības), kas izriet no norādītā starptautiskā dokumenta.</w:t>
            </w:r>
            <w:r w:rsidRPr="00B9444C">
              <w:rPr>
                <w:rFonts w:ascii="Times New Roman" w:eastAsia="Times New Roman" w:hAnsi="Times New Roman"/>
                <w:iCs/>
                <w:color w:val="000000"/>
                <w:sz w:val="26"/>
                <w:szCs w:val="26"/>
                <w:lang w:eastAsia="lv-LV"/>
              </w:rPr>
              <w:br/>
              <w:t>Konkrēti veicamie pasākumi vai uzdevumi, kas nepieciešami šo starptautisko saistību izpildei</w:t>
            </w:r>
          </w:p>
        </w:tc>
        <w:tc>
          <w:tcPr>
            <w:tcW w:w="1769" w:type="pct"/>
            <w:gridSpan w:val="3"/>
            <w:tcBorders>
              <w:top w:val="outset" w:sz="6" w:space="0" w:color="auto"/>
              <w:left w:val="outset" w:sz="6" w:space="0" w:color="auto"/>
              <w:bottom w:val="outset" w:sz="6" w:space="0" w:color="auto"/>
              <w:right w:val="outset" w:sz="6" w:space="0" w:color="auto"/>
            </w:tcBorders>
            <w:hideMark/>
          </w:tcPr>
          <w:p w14:paraId="1132C008"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iCs/>
                <w:color w:val="000000"/>
                <w:sz w:val="26"/>
                <w:szCs w:val="26"/>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13" w:type="pct"/>
            <w:gridSpan w:val="3"/>
            <w:tcBorders>
              <w:top w:val="outset" w:sz="6" w:space="0" w:color="auto"/>
              <w:left w:val="outset" w:sz="6" w:space="0" w:color="auto"/>
              <w:bottom w:val="outset" w:sz="6" w:space="0" w:color="auto"/>
              <w:right w:val="outset" w:sz="6" w:space="0" w:color="auto"/>
            </w:tcBorders>
            <w:hideMark/>
          </w:tcPr>
          <w:p w14:paraId="62FDAB07"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iCs/>
                <w:color w:val="000000"/>
                <w:sz w:val="26"/>
                <w:szCs w:val="26"/>
                <w:lang w:eastAsia="lv-LV"/>
              </w:rPr>
              <w:t>Informācija par to, vai starptautiskās saistības, kas minētas šīs tabulas A ailē, tiek izpildītas pilnībā vai daļēji.</w:t>
            </w:r>
            <w:r w:rsidRPr="00B9444C">
              <w:rPr>
                <w:rFonts w:ascii="Times New Roman" w:eastAsia="Times New Roman" w:hAnsi="Times New Roman"/>
                <w:iCs/>
                <w:color w:val="000000"/>
                <w:sz w:val="26"/>
                <w:szCs w:val="26"/>
                <w:lang w:eastAsia="lv-LV"/>
              </w:rPr>
              <w:br/>
              <w:t>Ja attiecīgās starptautiskās saistības tiek izpildītas daļēji, sniedz skaidrojumu, kā arī precīzi norāda, kad un kādā veidā starptautiskās saistības tiks izpildītas pilnībā.</w:t>
            </w:r>
            <w:r w:rsidRPr="00B9444C">
              <w:rPr>
                <w:rFonts w:ascii="Times New Roman" w:eastAsia="Times New Roman" w:hAnsi="Times New Roman"/>
                <w:iCs/>
                <w:color w:val="000000"/>
                <w:sz w:val="26"/>
                <w:szCs w:val="26"/>
                <w:lang w:eastAsia="lv-LV"/>
              </w:rPr>
              <w:br/>
              <w:t>Norāda institūciju, kas ir atbildīga par šo saistību izpildi pilnībā</w:t>
            </w:r>
          </w:p>
        </w:tc>
      </w:tr>
      <w:tr w:rsidR="00D44FBA" w:rsidRPr="00B9444C" w14:paraId="49BF2A01" w14:textId="77777777" w:rsidTr="006463D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12" w:type="pct"/>
          <w:tblCellSpacing w:w="15" w:type="dxa"/>
        </w:trPr>
        <w:tc>
          <w:tcPr>
            <w:tcW w:w="1206" w:type="pct"/>
            <w:tcBorders>
              <w:top w:val="outset" w:sz="6" w:space="0" w:color="auto"/>
              <w:left w:val="outset" w:sz="6" w:space="0" w:color="auto"/>
              <w:bottom w:val="outset" w:sz="6" w:space="0" w:color="auto"/>
              <w:right w:val="outset" w:sz="6" w:space="0" w:color="auto"/>
            </w:tcBorders>
            <w:hideMark/>
          </w:tcPr>
          <w:p w14:paraId="14FE2F0B"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color w:val="000000"/>
                <w:sz w:val="26"/>
                <w:szCs w:val="26"/>
                <w:lang w:eastAsia="lv-LV"/>
              </w:rPr>
              <w:t>Noteikumu projekts šo jomu neskar.</w:t>
            </w:r>
          </w:p>
        </w:tc>
        <w:tc>
          <w:tcPr>
            <w:tcW w:w="1769" w:type="pct"/>
            <w:gridSpan w:val="3"/>
            <w:tcBorders>
              <w:top w:val="outset" w:sz="6" w:space="0" w:color="auto"/>
              <w:left w:val="outset" w:sz="6" w:space="0" w:color="auto"/>
              <w:bottom w:val="outset" w:sz="6" w:space="0" w:color="auto"/>
              <w:right w:val="outset" w:sz="6" w:space="0" w:color="auto"/>
            </w:tcBorders>
            <w:hideMark/>
          </w:tcPr>
          <w:p w14:paraId="765F7815"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color w:val="000000"/>
                <w:sz w:val="26"/>
                <w:szCs w:val="26"/>
                <w:lang w:eastAsia="lv-LV"/>
              </w:rPr>
              <w:t>Noteikumu projekts šo jomu neskar.</w:t>
            </w:r>
          </w:p>
        </w:tc>
        <w:tc>
          <w:tcPr>
            <w:tcW w:w="2013" w:type="pct"/>
            <w:gridSpan w:val="3"/>
            <w:tcBorders>
              <w:top w:val="outset" w:sz="6" w:space="0" w:color="auto"/>
              <w:left w:val="outset" w:sz="6" w:space="0" w:color="auto"/>
              <w:bottom w:val="outset" w:sz="6" w:space="0" w:color="auto"/>
              <w:right w:val="outset" w:sz="6" w:space="0" w:color="auto"/>
            </w:tcBorders>
            <w:hideMark/>
          </w:tcPr>
          <w:p w14:paraId="478EBB95"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color w:val="000000"/>
                <w:sz w:val="26"/>
                <w:szCs w:val="26"/>
                <w:lang w:eastAsia="lv-LV"/>
              </w:rPr>
              <w:t>Noteikumu projekts šo jomu neskar.</w:t>
            </w:r>
          </w:p>
        </w:tc>
      </w:tr>
      <w:tr w:rsidR="00D44FBA" w:rsidRPr="00B9444C" w14:paraId="53D10FB9" w14:textId="77777777" w:rsidTr="006463D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12" w:type="pct"/>
          <w:tblCellSpacing w:w="15" w:type="dxa"/>
        </w:trPr>
        <w:tc>
          <w:tcPr>
            <w:tcW w:w="1206" w:type="pct"/>
            <w:tcBorders>
              <w:top w:val="outset" w:sz="6" w:space="0" w:color="auto"/>
              <w:left w:val="outset" w:sz="6" w:space="0" w:color="auto"/>
              <w:bottom w:val="outset" w:sz="6" w:space="0" w:color="auto"/>
              <w:right w:val="outset" w:sz="6" w:space="0" w:color="auto"/>
            </w:tcBorders>
            <w:hideMark/>
          </w:tcPr>
          <w:p w14:paraId="45BB5143"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iCs/>
                <w:color w:val="000000"/>
                <w:sz w:val="26"/>
                <w:szCs w:val="26"/>
                <w:lang w:eastAsia="lv-LV"/>
              </w:rPr>
              <w:t>Vai starptautiskajā dokumentā paredzētās saistības nav pretrunā ar jau esošajām Latvijas Republikas starptautiskajām saistībām</w:t>
            </w:r>
          </w:p>
        </w:tc>
        <w:tc>
          <w:tcPr>
            <w:tcW w:w="3782" w:type="pct"/>
            <w:gridSpan w:val="6"/>
            <w:tcBorders>
              <w:top w:val="outset" w:sz="6" w:space="0" w:color="auto"/>
              <w:left w:val="outset" w:sz="6" w:space="0" w:color="auto"/>
              <w:bottom w:val="outset" w:sz="6" w:space="0" w:color="auto"/>
              <w:right w:val="outset" w:sz="6" w:space="0" w:color="auto"/>
            </w:tcBorders>
            <w:hideMark/>
          </w:tcPr>
          <w:p w14:paraId="3E295C92"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hAnsi="Times New Roman"/>
                <w:color w:val="000000"/>
                <w:sz w:val="26"/>
                <w:szCs w:val="26"/>
              </w:rPr>
              <w:t>Noteikumu projekts šo jomu neskar.</w:t>
            </w:r>
          </w:p>
        </w:tc>
      </w:tr>
      <w:tr w:rsidR="00D44FBA" w:rsidRPr="00B9444C" w14:paraId="7BF8F756" w14:textId="77777777" w:rsidTr="006463D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gridBefore w:val="1"/>
          <w:wBefore w:w="12" w:type="pct"/>
          <w:tblCellSpacing w:w="15" w:type="dxa"/>
        </w:trPr>
        <w:tc>
          <w:tcPr>
            <w:tcW w:w="1206" w:type="pct"/>
            <w:tcBorders>
              <w:top w:val="outset" w:sz="6" w:space="0" w:color="auto"/>
              <w:left w:val="outset" w:sz="6" w:space="0" w:color="auto"/>
              <w:bottom w:val="outset" w:sz="6" w:space="0" w:color="auto"/>
              <w:right w:val="outset" w:sz="6" w:space="0" w:color="auto"/>
            </w:tcBorders>
            <w:hideMark/>
          </w:tcPr>
          <w:p w14:paraId="16551F60"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eastAsia="Times New Roman" w:hAnsi="Times New Roman"/>
                <w:iCs/>
                <w:color w:val="000000"/>
                <w:sz w:val="26"/>
                <w:szCs w:val="26"/>
                <w:lang w:eastAsia="lv-LV"/>
              </w:rPr>
              <w:t>Cita informācija</w:t>
            </w:r>
          </w:p>
        </w:tc>
        <w:tc>
          <w:tcPr>
            <w:tcW w:w="3782" w:type="pct"/>
            <w:gridSpan w:val="6"/>
            <w:tcBorders>
              <w:top w:val="outset" w:sz="6" w:space="0" w:color="auto"/>
              <w:left w:val="outset" w:sz="6" w:space="0" w:color="auto"/>
              <w:bottom w:val="outset" w:sz="6" w:space="0" w:color="auto"/>
              <w:right w:val="outset" w:sz="6" w:space="0" w:color="auto"/>
            </w:tcBorders>
            <w:hideMark/>
          </w:tcPr>
          <w:p w14:paraId="5AA16051" w14:textId="77777777" w:rsidR="00D44FBA" w:rsidRPr="00B9444C" w:rsidRDefault="00D44FBA" w:rsidP="00D44FBA">
            <w:pPr>
              <w:spacing w:after="0" w:line="240" w:lineRule="auto"/>
              <w:jc w:val="both"/>
              <w:rPr>
                <w:rFonts w:ascii="Times New Roman" w:eastAsia="Times New Roman" w:hAnsi="Times New Roman"/>
                <w:iCs/>
                <w:color w:val="000000"/>
                <w:sz w:val="26"/>
                <w:szCs w:val="26"/>
                <w:lang w:eastAsia="lv-LV"/>
              </w:rPr>
            </w:pPr>
            <w:r w:rsidRPr="00B9444C">
              <w:rPr>
                <w:rFonts w:ascii="Times New Roman" w:hAnsi="Times New Roman"/>
                <w:color w:val="000000"/>
                <w:sz w:val="26"/>
                <w:szCs w:val="26"/>
              </w:rPr>
              <w:t>Noteikumu projekts šo jomu neskar.</w:t>
            </w:r>
          </w:p>
        </w:tc>
      </w:tr>
    </w:tbl>
    <w:p w14:paraId="19359E5F" w14:textId="77777777" w:rsidR="007A5E00" w:rsidRPr="00B9444C" w:rsidRDefault="007A5E00">
      <w:pPr>
        <w:rPr>
          <w:rFonts w:ascii="Times New Roman" w:hAnsi="Times New Roman"/>
          <w:color w:val="000000"/>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3767CF" w:rsidRPr="00B9444C" w14:paraId="39B5743C" w14:textId="77777777" w:rsidTr="00670E4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096D5E" w14:textId="77777777" w:rsidR="003767CF" w:rsidRPr="00B9444C" w:rsidRDefault="003767CF" w:rsidP="000C2ECF">
            <w:pPr>
              <w:spacing w:after="0" w:line="240" w:lineRule="auto"/>
              <w:ind w:firstLine="300"/>
              <w:jc w:val="center"/>
              <w:rPr>
                <w:rFonts w:ascii="Times New Roman" w:eastAsia="Times New Roman" w:hAnsi="Times New Roman"/>
                <w:b/>
                <w:bCs/>
                <w:color w:val="000000"/>
                <w:sz w:val="26"/>
                <w:szCs w:val="26"/>
                <w:lang w:eastAsia="lv-LV"/>
              </w:rPr>
            </w:pPr>
            <w:r w:rsidRPr="00B9444C">
              <w:rPr>
                <w:rFonts w:ascii="Times New Roman" w:eastAsia="Times New Roman" w:hAnsi="Times New Roman"/>
                <w:b/>
                <w:bCs/>
                <w:color w:val="000000"/>
                <w:sz w:val="26"/>
                <w:szCs w:val="26"/>
                <w:lang w:eastAsia="lv-LV"/>
              </w:rPr>
              <w:t>VI. Sabiedrības līdzdalība un komunikācijas aktivitātes</w:t>
            </w:r>
          </w:p>
        </w:tc>
      </w:tr>
      <w:tr w:rsidR="003767CF" w:rsidRPr="00B9444C" w14:paraId="2C7D0B2B" w14:textId="77777777" w:rsidTr="00670E4D">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0138E769" w14:textId="77777777" w:rsidR="003767CF" w:rsidRPr="00B9444C" w:rsidRDefault="003767CF" w:rsidP="003767CF">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7F1250CD" w14:textId="77777777" w:rsidR="003767CF" w:rsidRPr="00B9444C" w:rsidRDefault="003767CF" w:rsidP="003767CF">
            <w:pPr>
              <w:autoSpaceDE w:val="0"/>
              <w:autoSpaceDN w:val="0"/>
              <w:adjustRightInd w:val="0"/>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Plānotās sabiedrības līdzdalības</w:t>
            </w:r>
          </w:p>
          <w:p w14:paraId="7CB2C860" w14:textId="77777777" w:rsidR="003767CF" w:rsidRPr="00B9444C" w:rsidRDefault="003767CF" w:rsidP="003767CF">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un komunikācijas aktivitātes saistībā ar projektu</w:t>
            </w:r>
          </w:p>
        </w:tc>
        <w:tc>
          <w:tcPr>
            <w:tcW w:w="2924" w:type="pct"/>
            <w:tcBorders>
              <w:top w:val="outset" w:sz="6" w:space="0" w:color="414142"/>
              <w:left w:val="outset" w:sz="6" w:space="0" w:color="414142"/>
              <w:bottom w:val="outset" w:sz="6" w:space="0" w:color="414142"/>
              <w:right w:val="outset" w:sz="6" w:space="0" w:color="414142"/>
            </w:tcBorders>
          </w:tcPr>
          <w:p w14:paraId="71BDF2A6" w14:textId="09174368" w:rsidR="003767CF" w:rsidRPr="00B9444C" w:rsidRDefault="00E93686" w:rsidP="003767CF">
            <w:pPr>
              <w:spacing w:after="0" w:line="240" w:lineRule="auto"/>
              <w:jc w:val="both"/>
              <w:rPr>
                <w:rFonts w:ascii="Times New Roman" w:hAnsi="Times New Roman"/>
                <w:color w:val="000000"/>
                <w:spacing w:val="2"/>
                <w:sz w:val="26"/>
                <w:szCs w:val="26"/>
              </w:rPr>
            </w:pPr>
            <w:r w:rsidRPr="00B9444C">
              <w:rPr>
                <w:rFonts w:ascii="Times New Roman" w:hAnsi="Times New Roman"/>
                <w:color w:val="000000"/>
                <w:spacing w:val="2"/>
                <w:sz w:val="26"/>
                <w:szCs w:val="26"/>
              </w:rPr>
              <w:t xml:space="preserve">Izstrādātais noteikumu projekts ir ievietots tīmekļvietnē </w:t>
            </w:r>
            <w:r w:rsidR="006463D2" w:rsidRPr="00B9444C">
              <w:rPr>
                <w:rFonts w:ascii="Times New Roman" w:hAnsi="Times New Roman"/>
                <w:color w:val="000000"/>
                <w:sz w:val="26"/>
                <w:szCs w:val="26"/>
              </w:rPr>
              <w:t>https://www.izm.gov.lv/lv/sabiedribas-lidzdaliba/sabiedriskajai-apspriesanai-nodotie-normativo-aktu-projekti</w:t>
            </w:r>
            <w:r w:rsidRPr="00B9444C">
              <w:rPr>
                <w:rFonts w:ascii="Times New Roman" w:hAnsi="Times New Roman"/>
                <w:color w:val="000000"/>
                <w:spacing w:val="2"/>
                <w:sz w:val="26"/>
                <w:szCs w:val="26"/>
              </w:rPr>
              <w:t>.</w:t>
            </w:r>
          </w:p>
          <w:p w14:paraId="1F12BA2D" w14:textId="191E0E7D" w:rsidR="00747437" w:rsidRPr="00B9444C" w:rsidRDefault="00747437" w:rsidP="006463D2">
            <w:pPr>
              <w:spacing w:after="0" w:line="240" w:lineRule="auto"/>
              <w:jc w:val="both"/>
              <w:rPr>
                <w:rFonts w:ascii="Times New Roman" w:eastAsia="Times New Roman" w:hAnsi="Times New Roman"/>
                <w:color w:val="000000"/>
                <w:sz w:val="26"/>
                <w:szCs w:val="26"/>
                <w:lang w:eastAsia="lv-LV"/>
              </w:rPr>
            </w:pPr>
            <w:r w:rsidRPr="00B9444C">
              <w:rPr>
                <w:rFonts w:ascii="Times New Roman" w:hAnsi="Times New Roman"/>
                <w:color w:val="000000"/>
                <w:spacing w:val="2"/>
                <w:sz w:val="26"/>
                <w:szCs w:val="26"/>
              </w:rPr>
              <w:t xml:space="preserve">Labuma guvējiem un sabiedrībai sniegta informācija par plānotajām izmaiņām, tai skaitā valsts dibinātām augstskolām nosūtītas vēstules par infrastruktūras izmantošanu </w:t>
            </w:r>
            <w:r w:rsidR="006463D2" w:rsidRPr="00B9444C">
              <w:rPr>
                <w:rFonts w:ascii="Times New Roman" w:hAnsi="Times New Roman"/>
                <w:color w:val="000000"/>
                <w:spacing w:val="2"/>
                <w:sz w:val="26"/>
                <w:szCs w:val="26"/>
              </w:rPr>
              <w:t xml:space="preserve">papildinošas saimnieciskās darbības īstenošanu. </w:t>
            </w:r>
          </w:p>
        </w:tc>
      </w:tr>
      <w:tr w:rsidR="003767CF" w:rsidRPr="00B9444C" w14:paraId="3F77102D" w14:textId="77777777" w:rsidTr="00670E4D">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54223AA6" w14:textId="77777777" w:rsidR="003767CF" w:rsidRPr="00B9444C" w:rsidRDefault="003767CF" w:rsidP="000C2ECF">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lastRenderedPageBreak/>
              <w:t>2.</w:t>
            </w:r>
          </w:p>
        </w:tc>
        <w:tc>
          <w:tcPr>
            <w:tcW w:w="1844" w:type="pct"/>
            <w:tcBorders>
              <w:top w:val="outset" w:sz="6" w:space="0" w:color="414142"/>
              <w:left w:val="outset" w:sz="6" w:space="0" w:color="414142"/>
              <w:bottom w:val="outset" w:sz="6" w:space="0" w:color="414142"/>
              <w:right w:val="outset" w:sz="6" w:space="0" w:color="414142"/>
            </w:tcBorders>
            <w:hideMark/>
          </w:tcPr>
          <w:p w14:paraId="4030DDD4" w14:textId="77777777" w:rsidR="003767CF" w:rsidRPr="00B9444C" w:rsidRDefault="003767CF" w:rsidP="003767CF">
            <w:pPr>
              <w:autoSpaceDE w:val="0"/>
              <w:autoSpaceDN w:val="0"/>
              <w:adjustRightInd w:val="0"/>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Sabiedrības līdzdalība projekta</w:t>
            </w:r>
          </w:p>
          <w:p w14:paraId="2DBADA98" w14:textId="77777777" w:rsidR="003767CF" w:rsidRPr="00B9444C" w:rsidRDefault="003767CF" w:rsidP="003767CF">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izstrādē</w:t>
            </w:r>
          </w:p>
        </w:tc>
        <w:tc>
          <w:tcPr>
            <w:tcW w:w="2924" w:type="pct"/>
            <w:tcBorders>
              <w:top w:val="outset" w:sz="6" w:space="0" w:color="414142"/>
              <w:left w:val="outset" w:sz="6" w:space="0" w:color="414142"/>
              <w:bottom w:val="outset" w:sz="6" w:space="0" w:color="414142"/>
              <w:right w:val="outset" w:sz="6" w:space="0" w:color="414142"/>
            </w:tcBorders>
          </w:tcPr>
          <w:p w14:paraId="7460C51E" w14:textId="2C3EC2EB" w:rsidR="003767CF" w:rsidRPr="00B9444C" w:rsidRDefault="00E93686" w:rsidP="000C2ECF">
            <w:pPr>
              <w:spacing w:after="0" w:line="240" w:lineRule="auto"/>
              <w:jc w:val="both"/>
              <w:rPr>
                <w:rFonts w:ascii="Times New Roman" w:eastAsia="Times New Roman" w:hAnsi="Times New Roman"/>
                <w:color w:val="000000"/>
                <w:sz w:val="26"/>
                <w:szCs w:val="26"/>
                <w:lang w:eastAsia="lv-LV"/>
              </w:rPr>
            </w:pPr>
            <w:r w:rsidRPr="00B9444C">
              <w:rPr>
                <w:rFonts w:ascii="Times New Roman" w:hAnsi="Times New Roman"/>
                <w:bCs/>
                <w:color w:val="000000"/>
                <w:sz w:val="26"/>
                <w:szCs w:val="26"/>
                <w:lang w:eastAsia="lv-LV"/>
              </w:rPr>
              <w:t>Sabiedrības līdzdalība noteikumu projekta izstrādē tika nodrošināta, ievietojot noteikumu projektu M</w:t>
            </w:r>
            <w:r w:rsidR="007F32ED" w:rsidRPr="00B9444C">
              <w:rPr>
                <w:rFonts w:ascii="Times New Roman" w:hAnsi="Times New Roman"/>
                <w:bCs/>
                <w:color w:val="000000"/>
                <w:sz w:val="26"/>
                <w:szCs w:val="26"/>
                <w:lang w:eastAsia="lv-LV"/>
              </w:rPr>
              <w:t>inistrijas</w:t>
            </w:r>
            <w:r w:rsidRPr="00B9444C">
              <w:rPr>
                <w:rFonts w:ascii="Times New Roman" w:hAnsi="Times New Roman"/>
                <w:bCs/>
                <w:color w:val="000000"/>
                <w:sz w:val="26"/>
                <w:szCs w:val="26"/>
                <w:lang w:eastAsia="lv-LV"/>
              </w:rPr>
              <w:t xml:space="preserve"> tīmekļvietnē </w:t>
            </w:r>
            <w:r w:rsidR="00D31AF5" w:rsidRPr="00B9444C">
              <w:rPr>
                <w:rFonts w:ascii="Times New Roman" w:hAnsi="Times New Roman"/>
                <w:color w:val="000000"/>
                <w:sz w:val="26"/>
                <w:szCs w:val="26"/>
              </w:rPr>
              <w:t>https://www.izm.gov.lv/lv/sabiedribas-lidzdaliba/sabiedriskajai-apspriesanai-nodotie-normativo-aktu-projekti</w:t>
            </w:r>
            <w:r w:rsidRPr="00B9444C">
              <w:rPr>
                <w:rFonts w:ascii="Times New Roman" w:hAnsi="Times New Roman"/>
                <w:bCs/>
                <w:color w:val="000000"/>
                <w:sz w:val="26"/>
                <w:szCs w:val="26"/>
                <w:lang w:eastAsia="lv-LV"/>
              </w:rPr>
              <w:t xml:space="preserve"> un aicinot sabiedrības pārstāvjus sniegt viedokli.</w:t>
            </w:r>
          </w:p>
        </w:tc>
      </w:tr>
      <w:tr w:rsidR="003767CF" w:rsidRPr="00B9444C" w14:paraId="5EE3C14B" w14:textId="77777777" w:rsidTr="00670E4D">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55B466FD" w14:textId="77777777" w:rsidR="003767CF" w:rsidRPr="00B9444C" w:rsidRDefault="003767CF" w:rsidP="000C2ECF">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04DFCD2F" w14:textId="77777777" w:rsidR="003767CF" w:rsidRPr="00B9444C" w:rsidRDefault="003767CF" w:rsidP="000C2ECF">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Sabiedrības līdzdalības rezultāti</w:t>
            </w:r>
          </w:p>
        </w:tc>
        <w:tc>
          <w:tcPr>
            <w:tcW w:w="2924" w:type="pct"/>
            <w:tcBorders>
              <w:top w:val="outset" w:sz="6" w:space="0" w:color="414142"/>
              <w:left w:val="outset" w:sz="6" w:space="0" w:color="414142"/>
              <w:bottom w:val="outset" w:sz="6" w:space="0" w:color="414142"/>
              <w:right w:val="outset" w:sz="6" w:space="0" w:color="414142"/>
            </w:tcBorders>
          </w:tcPr>
          <w:p w14:paraId="18CF2C50" w14:textId="6F1B6214" w:rsidR="003767CF" w:rsidRPr="00B9444C" w:rsidRDefault="00C360A7" w:rsidP="00D31AF5">
            <w:pPr>
              <w:spacing w:after="0"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Sabiedrības pārstāvju viedoklis </w:t>
            </w:r>
            <w:r w:rsidR="00D31AF5" w:rsidRPr="00B9444C">
              <w:rPr>
                <w:rFonts w:ascii="Times New Roman" w:eastAsia="Times New Roman" w:hAnsi="Times New Roman"/>
                <w:color w:val="000000"/>
                <w:sz w:val="26"/>
                <w:szCs w:val="26"/>
                <w:lang w:eastAsia="lv-LV"/>
              </w:rPr>
              <w:t>netika saņemts</w:t>
            </w:r>
            <w:r w:rsidRPr="00B9444C">
              <w:rPr>
                <w:rFonts w:ascii="Times New Roman" w:eastAsia="Times New Roman" w:hAnsi="Times New Roman"/>
                <w:color w:val="000000"/>
                <w:sz w:val="26"/>
                <w:szCs w:val="26"/>
                <w:lang w:eastAsia="lv-LV"/>
              </w:rPr>
              <w:t>.</w:t>
            </w:r>
          </w:p>
        </w:tc>
      </w:tr>
      <w:tr w:rsidR="003767CF" w:rsidRPr="00B9444C" w14:paraId="24E8BA93" w14:textId="77777777" w:rsidTr="00670E4D">
        <w:trPr>
          <w:trHeight w:val="390"/>
        </w:trPr>
        <w:tc>
          <w:tcPr>
            <w:tcW w:w="232" w:type="pct"/>
            <w:tcBorders>
              <w:top w:val="outset" w:sz="6" w:space="0" w:color="414142"/>
              <w:left w:val="outset" w:sz="6" w:space="0" w:color="414142"/>
              <w:bottom w:val="outset" w:sz="6" w:space="0" w:color="414142"/>
              <w:right w:val="outset" w:sz="6" w:space="0" w:color="414142"/>
            </w:tcBorders>
          </w:tcPr>
          <w:p w14:paraId="627B37FB" w14:textId="77777777" w:rsidR="003767CF" w:rsidRPr="00B9444C" w:rsidRDefault="003767CF" w:rsidP="000C2ECF">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4.</w:t>
            </w:r>
          </w:p>
        </w:tc>
        <w:tc>
          <w:tcPr>
            <w:tcW w:w="1844" w:type="pct"/>
            <w:tcBorders>
              <w:top w:val="outset" w:sz="6" w:space="0" w:color="414142"/>
              <w:left w:val="outset" w:sz="6" w:space="0" w:color="414142"/>
              <w:bottom w:val="outset" w:sz="6" w:space="0" w:color="414142"/>
              <w:right w:val="outset" w:sz="6" w:space="0" w:color="414142"/>
            </w:tcBorders>
          </w:tcPr>
          <w:p w14:paraId="2C1F7AF1" w14:textId="77777777" w:rsidR="003767CF" w:rsidRPr="00B9444C" w:rsidRDefault="003767CF" w:rsidP="000C2ECF">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tcPr>
          <w:p w14:paraId="4EBC3276" w14:textId="77777777" w:rsidR="003767CF" w:rsidRPr="00B9444C" w:rsidRDefault="00E93686" w:rsidP="000C2ECF">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Nav.</w:t>
            </w:r>
          </w:p>
        </w:tc>
      </w:tr>
    </w:tbl>
    <w:p w14:paraId="0F4A6DDA" w14:textId="77777777" w:rsidR="00E306D9" w:rsidRPr="00B9444C" w:rsidRDefault="00E306D9" w:rsidP="00AD014F">
      <w:pPr>
        <w:spacing w:after="0" w:line="240" w:lineRule="auto"/>
        <w:rPr>
          <w:rFonts w:ascii="Times New Roman" w:hAnsi="Times New Roman"/>
          <w:color w:val="000000"/>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6A328C" w:rsidRPr="00B9444C" w14:paraId="7BD2066C" w14:textId="77777777" w:rsidTr="00670E4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64EC82" w14:textId="77777777" w:rsidR="004D15A9" w:rsidRPr="00B9444C" w:rsidRDefault="004D15A9" w:rsidP="00DA596D">
            <w:pPr>
              <w:spacing w:after="0" w:line="240" w:lineRule="auto"/>
              <w:ind w:firstLine="300"/>
              <w:jc w:val="center"/>
              <w:rPr>
                <w:rFonts w:ascii="Times New Roman" w:eastAsia="Times New Roman" w:hAnsi="Times New Roman"/>
                <w:b/>
                <w:bCs/>
                <w:color w:val="000000"/>
                <w:sz w:val="26"/>
                <w:szCs w:val="26"/>
                <w:lang w:eastAsia="lv-LV"/>
              </w:rPr>
            </w:pPr>
            <w:r w:rsidRPr="00B9444C">
              <w:rPr>
                <w:rFonts w:ascii="Times New Roman" w:eastAsia="Times New Roman" w:hAnsi="Times New Roman"/>
                <w:b/>
                <w:bCs/>
                <w:color w:val="000000"/>
                <w:sz w:val="26"/>
                <w:szCs w:val="26"/>
                <w:lang w:eastAsia="lv-LV"/>
              </w:rPr>
              <w:t>VII. Tiesību akta projekta izpildes nodrošināšana un tās ietekme uz institūcijām</w:t>
            </w:r>
          </w:p>
        </w:tc>
      </w:tr>
      <w:tr w:rsidR="006A328C" w:rsidRPr="00B9444C" w14:paraId="511A9E2E" w14:textId="77777777" w:rsidTr="00670E4D">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434D5D36" w14:textId="77777777" w:rsidR="000064B9" w:rsidRPr="00B9444C" w:rsidRDefault="000064B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09FDC3C0" w14:textId="77777777" w:rsidR="000064B9" w:rsidRPr="00B9444C" w:rsidRDefault="000064B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Projekta izpildē iesaistītās institūcijas</w:t>
            </w:r>
          </w:p>
        </w:tc>
        <w:tc>
          <w:tcPr>
            <w:tcW w:w="2924" w:type="pct"/>
            <w:tcBorders>
              <w:top w:val="outset" w:sz="6" w:space="0" w:color="414142"/>
              <w:left w:val="outset" w:sz="6" w:space="0" w:color="414142"/>
              <w:bottom w:val="outset" w:sz="6" w:space="0" w:color="414142"/>
              <w:right w:val="outset" w:sz="6" w:space="0" w:color="414142"/>
            </w:tcBorders>
            <w:hideMark/>
          </w:tcPr>
          <w:p w14:paraId="674B5C23" w14:textId="77777777" w:rsidR="000064B9" w:rsidRPr="00B9444C" w:rsidRDefault="000064B9" w:rsidP="0079097A">
            <w:pPr>
              <w:spacing w:after="0"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Projekta izpildi nodrošinās </w:t>
            </w:r>
            <w:r w:rsidR="007F32ED" w:rsidRPr="00B9444C">
              <w:rPr>
                <w:rFonts w:ascii="Times New Roman" w:eastAsia="Times New Roman" w:hAnsi="Times New Roman"/>
                <w:color w:val="000000"/>
                <w:sz w:val="26"/>
                <w:szCs w:val="26"/>
                <w:lang w:eastAsia="lv-LV"/>
              </w:rPr>
              <w:t>M</w:t>
            </w:r>
            <w:r w:rsidR="00F926D3" w:rsidRPr="00B9444C">
              <w:rPr>
                <w:rFonts w:ascii="Times New Roman" w:eastAsia="Times New Roman" w:hAnsi="Times New Roman"/>
                <w:color w:val="000000"/>
                <w:sz w:val="26"/>
                <w:szCs w:val="26"/>
                <w:lang w:eastAsia="lv-LV"/>
              </w:rPr>
              <w:t>inistrija</w:t>
            </w:r>
            <w:r w:rsidRPr="00B9444C">
              <w:rPr>
                <w:rFonts w:ascii="Times New Roman" w:eastAsia="Times New Roman" w:hAnsi="Times New Roman"/>
                <w:color w:val="000000"/>
                <w:sz w:val="26"/>
                <w:szCs w:val="26"/>
                <w:lang w:eastAsia="lv-LV"/>
              </w:rPr>
              <w:t xml:space="preserve">, </w:t>
            </w:r>
            <w:r w:rsidR="0079097A" w:rsidRPr="00B9444C">
              <w:rPr>
                <w:rFonts w:ascii="Times New Roman" w:eastAsia="Times New Roman" w:hAnsi="Times New Roman"/>
                <w:color w:val="000000"/>
                <w:sz w:val="26"/>
                <w:szCs w:val="26"/>
                <w:lang w:eastAsia="lv-LV"/>
              </w:rPr>
              <w:t>sadarbības iestāde</w:t>
            </w:r>
            <w:r w:rsidR="00340C2A"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un labuma guvēji.</w:t>
            </w:r>
          </w:p>
        </w:tc>
      </w:tr>
      <w:tr w:rsidR="006A328C" w:rsidRPr="00B9444C" w14:paraId="169EEED0" w14:textId="77777777" w:rsidTr="00670E4D">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05332108" w14:textId="77777777" w:rsidR="000064B9" w:rsidRPr="00B9444C" w:rsidRDefault="000064B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14:paraId="1586ECFA" w14:textId="77777777" w:rsidR="000064B9" w:rsidRPr="00B9444C" w:rsidRDefault="000064B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Projekta izpildes ietekme uz pārvaldes funkcijām un institucionālo struktūru. </w:t>
            </w:r>
          </w:p>
          <w:p w14:paraId="743DE7B8" w14:textId="77777777" w:rsidR="000064B9" w:rsidRPr="00B9444C" w:rsidRDefault="000064B9" w:rsidP="00AB6B1E">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Jaunu institūciju izveide, esošu institūciju likvidācija vai reorganizācija, to ietekme uz institūcijas cilvēkresursiem</w:t>
            </w:r>
          </w:p>
        </w:tc>
        <w:tc>
          <w:tcPr>
            <w:tcW w:w="2924" w:type="pct"/>
            <w:tcBorders>
              <w:top w:val="outset" w:sz="6" w:space="0" w:color="414142"/>
              <w:left w:val="outset" w:sz="6" w:space="0" w:color="414142"/>
              <w:bottom w:val="outset" w:sz="6" w:space="0" w:color="414142"/>
              <w:right w:val="outset" w:sz="6" w:space="0" w:color="414142"/>
            </w:tcBorders>
            <w:hideMark/>
          </w:tcPr>
          <w:p w14:paraId="05EF60D4" w14:textId="77777777" w:rsidR="000064B9" w:rsidRPr="00B9444C" w:rsidRDefault="000064B9" w:rsidP="00A1555D">
            <w:pPr>
              <w:spacing w:after="0"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 xml:space="preserve">Projekta izpilde tiks nodrošināta </w:t>
            </w:r>
            <w:r w:rsidR="007F32ED" w:rsidRPr="00B9444C">
              <w:rPr>
                <w:rFonts w:ascii="Times New Roman" w:eastAsia="Times New Roman" w:hAnsi="Times New Roman"/>
                <w:color w:val="000000"/>
                <w:sz w:val="26"/>
                <w:szCs w:val="26"/>
                <w:lang w:eastAsia="lv-LV"/>
              </w:rPr>
              <w:t>M</w:t>
            </w:r>
            <w:r w:rsidR="00A1555D" w:rsidRPr="00B9444C">
              <w:rPr>
                <w:rFonts w:ascii="Times New Roman" w:eastAsia="Times New Roman" w:hAnsi="Times New Roman"/>
                <w:color w:val="000000"/>
                <w:sz w:val="26"/>
                <w:szCs w:val="26"/>
                <w:lang w:eastAsia="lv-LV"/>
              </w:rPr>
              <w:t>inistrija</w:t>
            </w:r>
            <w:r w:rsidR="00F23364" w:rsidRPr="00B9444C">
              <w:rPr>
                <w:rFonts w:ascii="Times New Roman" w:eastAsia="Times New Roman" w:hAnsi="Times New Roman"/>
                <w:color w:val="000000"/>
                <w:sz w:val="26"/>
                <w:szCs w:val="26"/>
                <w:lang w:eastAsia="lv-LV"/>
              </w:rPr>
              <w:t>s</w:t>
            </w:r>
            <w:r w:rsidR="00A1555D" w:rsidRPr="00B9444C">
              <w:rPr>
                <w:rFonts w:ascii="Times New Roman" w:eastAsia="Times New Roman" w:hAnsi="Times New Roman"/>
                <w:color w:val="000000"/>
                <w:sz w:val="26"/>
                <w:szCs w:val="26"/>
                <w:lang w:eastAsia="lv-LV"/>
              </w:rPr>
              <w:t xml:space="preserve"> </w:t>
            </w:r>
            <w:r w:rsidRPr="00B9444C">
              <w:rPr>
                <w:rFonts w:ascii="Times New Roman" w:eastAsia="Times New Roman" w:hAnsi="Times New Roman"/>
                <w:color w:val="000000"/>
                <w:sz w:val="26"/>
                <w:szCs w:val="26"/>
                <w:lang w:eastAsia="lv-LV"/>
              </w:rPr>
              <w:t>un sadarbības iestādes funkciju ietvaros.</w:t>
            </w:r>
          </w:p>
          <w:p w14:paraId="4B62568B" w14:textId="77777777" w:rsidR="00DC3B1C" w:rsidRPr="00B9444C" w:rsidRDefault="00DC3B1C" w:rsidP="00A1555D">
            <w:pPr>
              <w:spacing w:after="0" w:line="240" w:lineRule="auto"/>
              <w:jc w:val="both"/>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Jaunu institūciju izveide, esošu institūciju likvidācija vai reorganizācija nav paredzēta.</w:t>
            </w:r>
          </w:p>
        </w:tc>
      </w:tr>
      <w:tr w:rsidR="006A328C" w:rsidRPr="00B9444C" w14:paraId="29A59E16" w14:textId="77777777" w:rsidTr="00670E4D">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6A3C4CA5"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265540CB" w14:textId="77777777" w:rsidR="004D15A9" w:rsidRPr="00B9444C" w:rsidRDefault="004D15A9" w:rsidP="00DA596D">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hideMark/>
          </w:tcPr>
          <w:p w14:paraId="2FA35FF9" w14:textId="77777777" w:rsidR="004D15A9" w:rsidRPr="00B9444C" w:rsidRDefault="004D15A9" w:rsidP="0079544E">
            <w:pPr>
              <w:spacing w:after="0" w:line="240" w:lineRule="auto"/>
              <w:rPr>
                <w:rFonts w:ascii="Times New Roman" w:eastAsia="Times New Roman" w:hAnsi="Times New Roman"/>
                <w:color w:val="000000"/>
                <w:sz w:val="26"/>
                <w:szCs w:val="26"/>
                <w:lang w:eastAsia="lv-LV"/>
              </w:rPr>
            </w:pPr>
            <w:r w:rsidRPr="00B9444C">
              <w:rPr>
                <w:rFonts w:ascii="Times New Roman" w:eastAsia="Times New Roman" w:hAnsi="Times New Roman"/>
                <w:color w:val="000000"/>
                <w:sz w:val="26"/>
                <w:szCs w:val="26"/>
                <w:lang w:eastAsia="lv-LV"/>
              </w:rPr>
              <w:t>Nav</w:t>
            </w:r>
          </w:p>
        </w:tc>
      </w:tr>
    </w:tbl>
    <w:p w14:paraId="51AE8889" w14:textId="77777777" w:rsidR="00BB1F46" w:rsidRPr="00B9444C" w:rsidRDefault="00BB1F46" w:rsidP="00DA596D">
      <w:pPr>
        <w:spacing w:after="0" w:line="240" w:lineRule="auto"/>
        <w:rPr>
          <w:rFonts w:ascii="Times New Roman" w:hAnsi="Times New Roman"/>
          <w:color w:val="000000"/>
          <w:sz w:val="26"/>
          <w:szCs w:val="26"/>
        </w:rPr>
      </w:pPr>
    </w:p>
    <w:p w14:paraId="2FB8C1BE" w14:textId="77777777" w:rsidR="00A906FA" w:rsidRDefault="00A906FA" w:rsidP="00344579">
      <w:pPr>
        <w:spacing w:after="0" w:line="240" w:lineRule="auto"/>
        <w:jc w:val="both"/>
        <w:rPr>
          <w:rFonts w:ascii="Times New Roman" w:hAnsi="Times New Roman"/>
          <w:color w:val="000000"/>
          <w:sz w:val="26"/>
          <w:szCs w:val="26"/>
        </w:rPr>
      </w:pPr>
    </w:p>
    <w:p w14:paraId="335CC2FE" w14:textId="77777777" w:rsidR="00B9444C" w:rsidRPr="00B9444C" w:rsidRDefault="00B9444C" w:rsidP="00344579">
      <w:pPr>
        <w:spacing w:after="0" w:line="240" w:lineRule="auto"/>
        <w:jc w:val="both"/>
        <w:rPr>
          <w:rFonts w:ascii="Times New Roman" w:hAnsi="Times New Roman"/>
          <w:color w:val="000000"/>
          <w:sz w:val="26"/>
          <w:szCs w:val="26"/>
        </w:rPr>
      </w:pPr>
    </w:p>
    <w:p w14:paraId="5DED64EC" w14:textId="1218F50E" w:rsidR="00DC3B1C" w:rsidRPr="00B9444C" w:rsidRDefault="00DC3B1C" w:rsidP="00A7405E">
      <w:pPr>
        <w:tabs>
          <w:tab w:val="left" w:pos="6946"/>
        </w:tabs>
        <w:spacing w:after="0" w:line="240" w:lineRule="auto"/>
        <w:ind w:firstLine="709"/>
        <w:jc w:val="both"/>
        <w:rPr>
          <w:rFonts w:ascii="Times New Roman" w:hAnsi="Times New Roman"/>
          <w:color w:val="000000"/>
          <w:sz w:val="26"/>
          <w:szCs w:val="26"/>
        </w:rPr>
      </w:pPr>
      <w:r w:rsidRPr="00B9444C">
        <w:rPr>
          <w:rFonts w:ascii="Times New Roman" w:hAnsi="Times New Roman"/>
          <w:color w:val="000000"/>
          <w:sz w:val="26"/>
          <w:szCs w:val="26"/>
        </w:rPr>
        <w:t>Izglītības un zinātnes ministr</w:t>
      </w:r>
      <w:r w:rsidR="00980D0B" w:rsidRPr="00B9444C">
        <w:rPr>
          <w:rFonts w:ascii="Times New Roman" w:hAnsi="Times New Roman"/>
          <w:color w:val="000000"/>
          <w:sz w:val="26"/>
          <w:szCs w:val="26"/>
        </w:rPr>
        <w:t>e</w:t>
      </w:r>
      <w:r w:rsidR="00FF3968" w:rsidRPr="00B9444C">
        <w:rPr>
          <w:rFonts w:ascii="Times New Roman" w:hAnsi="Times New Roman"/>
          <w:color w:val="000000"/>
          <w:sz w:val="26"/>
          <w:szCs w:val="26"/>
        </w:rPr>
        <w:tab/>
      </w:r>
      <w:r w:rsidR="00FF3968" w:rsidRPr="00B9444C">
        <w:rPr>
          <w:rFonts w:ascii="Times New Roman" w:hAnsi="Times New Roman"/>
          <w:color w:val="000000"/>
          <w:sz w:val="26"/>
          <w:szCs w:val="26"/>
        </w:rPr>
        <w:tab/>
      </w:r>
      <w:r w:rsidR="00980D0B" w:rsidRPr="00B9444C">
        <w:rPr>
          <w:rFonts w:ascii="Times New Roman" w:hAnsi="Times New Roman"/>
          <w:color w:val="000000"/>
          <w:sz w:val="26"/>
          <w:szCs w:val="26"/>
        </w:rPr>
        <w:t>I.</w:t>
      </w:r>
      <w:r w:rsidR="00170414" w:rsidRPr="00B9444C">
        <w:rPr>
          <w:rFonts w:ascii="Times New Roman" w:hAnsi="Times New Roman"/>
          <w:color w:val="000000"/>
          <w:sz w:val="26"/>
          <w:szCs w:val="26"/>
        </w:rPr>
        <w:t xml:space="preserve"> </w:t>
      </w:r>
      <w:proofErr w:type="spellStart"/>
      <w:r w:rsidR="00980D0B" w:rsidRPr="00B9444C">
        <w:rPr>
          <w:rFonts w:ascii="Times New Roman" w:hAnsi="Times New Roman"/>
          <w:color w:val="000000"/>
          <w:sz w:val="26"/>
          <w:szCs w:val="26"/>
        </w:rPr>
        <w:t>Šuplinska</w:t>
      </w:r>
      <w:proofErr w:type="spellEnd"/>
    </w:p>
    <w:p w14:paraId="774595D6" w14:textId="77777777" w:rsidR="007869F3" w:rsidRPr="00B9444C" w:rsidRDefault="007869F3" w:rsidP="00344579">
      <w:pPr>
        <w:spacing w:after="0" w:line="240" w:lineRule="auto"/>
        <w:jc w:val="both"/>
        <w:rPr>
          <w:rFonts w:ascii="Times New Roman" w:hAnsi="Times New Roman"/>
          <w:color w:val="000000"/>
          <w:sz w:val="26"/>
          <w:szCs w:val="26"/>
        </w:rPr>
      </w:pPr>
    </w:p>
    <w:p w14:paraId="4392265B" w14:textId="77777777" w:rsidR="00E306D9" w:rsidRDefault="00E306D9" w:rsidP="00344579">
      <w:pPr>
        <w:spacing w:after="0" w:line="240" w:lineRule="auto"/>
        <w:jc w:val="both"/>
        <w:rPr>
          <w:rFonts w:ascii="Times New Roman" w:hAnsi="Times New Roman"/>
          <w:color w:val="000000"/>
          <w:sz w:val="26"/>
          <w:szCs w:val="26"/>
        </w:rPr>
      </w:pPr>
    </w:p>
    <w:p w14:paraId="08B15C8C" w14:textId="77777777" w:rsidR="00B9444C" w:rsidRPr="00B9444C" w:rsidRDefault="00B9444C" w:rsidP="00344579">
      <w:pPr>
        <w:spacing w:after="0" w:line="240" w:lineRule="auto"/>
        <w:jc w:val="both"/>
        <w:rPr>
          <w:rFonts w:ascii="Times New Roman" w:hAnsi="Times New Roman"/>
          <w:color w:val="000000"/>
          <w:sz w:val="26"/>
          <w:szCs w:val="26"/>
        </w:rPr>
      </w:pPr>
    </w:p>
    <w:p w14:paraId="58D65563" w14:textId="77777777" w:rsidR="00D90C35" w:rsidRPr="00B9444C" w:rsidRDefault="00341E1E" w:rsidP="00A7405E">
      <w:pPr>
        <w:tabs>
          <w:tab w:val="left" w:pos="6946"/>
        </w:tabs>
        <w:spacing w:after="0" w:line="240" w:lineRule="auto"/>
        <w:ind w:firstLine="709"/>
        <w:jc w:val="both"/>
        <w:rPr>
          <w:rFonts w:ascii="Times New Roman" w:hAnsi="Times New Roman"/>
          <w:color w:val="000000"/>
          <w:sz w:val="26"/>
          <w:szCs w:val="26"/>
        </w:rPr>
      </w:pPr>
      <w:r w:rsidRPr="00B9444C">
        <w:rPr>
          <w:rFonts w:ascii="Times New Roman" w:hAnsi="Times New Roman"/>
          <w:color w:val="000000"/>
          <w:sz w:val="26"/>
          <w:szCs w:val="26"/>
        </w:rPr>
        <w:t xml:space="preserve">Vizē: </w:t>
      </w:r>
    </w:p>
    <w:p w14:paraId="797D1226" w14:textId="322C5499" w:rsidR="00A906FA" w:rsidRPr="00B9444C" w:rsidRDefault="00FF3968" w:rsidP="00977AEA">
      <w:pPr>
        <w:spacing w:after="0" w:line="240" w:lineRule="auto"/>
        <w:ind w:firstLine="709"/>
        <w:jc w:val="both"/>
        <w:rPr>
          <w:rFonts w:ascii="Times New Roman" w:hAnsi="Times New Roman"/>
          <w:color w:val="000000"/>
          <w:sz w:val="26"/>
          <w:szCs w:val="26"/>
        </w:rPr>
      </w:pPr>
      <w:r w:rsidRPr="00B9444C">
        <w:rPr>
          <w:rFonts w:ascii="Times New Roman" w:hAnsi="Times New Roman"/>
          <w:color w:val="000000"/>
          <w:sz w:val="26"/>
          <w:szCs w:val="26"/>
        </w:rPr>
        <w:t>Valsts sekretār</w:t>
      </w:r>
      <w:r w:rsidR="00977AEA">
        <w:rPr>
          <w:rFonts w:ascii="Times New Roman" w:hAnsi="Times New Roman"/>
          <w:color w:val="000000"/>
          <w:sz w:val="26"/>
          <w:szCs w:val="26"/>
        </w:rPr>
        <w:t>s</w:t>
      </w:r>
      <w:r w:rsidR="00977AEA">
        <w:rPr>
          <w:rFonts w:ascii="Times New Roman" w:hAnsi="Times New Roman"/>
          <w:color w:val="000000"/>
          <w:sz w:val="26"/>
          <w:szCs w:val="26"/>
        </w:rPr>
        <w:tab/>
      </w:r>
      <w:bookmarkStart w:id="6" w:name="_GoBack"/>
      <w:bookmarkEnd w:id="6"/>
      <w:r w:rsidRPr="00B9444C">
        <w:rPr>
          <w:rFonts w:ascii="Times New Roman" w:hAnsi="Times New Roman"/>
          <w:color w:val="000000"/>
          <w:sz w:val="26"/>
          <w:szCs w:val="26"/>
        </w:rPr>
        <w:tab/>
      </w:r>
      <w:r w:rsidRPr="00B9444C">
        <w:rPr>
          <w:rFonts w:ascii="Times New Roman" w:hAnsi="Times New Roman"/>
          <w:color w:val="000000"/>
          <w:sz w:val="26"/>
          <w:szCs w:val="26"/>
        </w:rPr>
        <w:tab/>
      </w:r>
      <w:r w:rsidRPr="00B9444C">
        <w:rPr>
          <w:rFonts w:ascii="Times New Roman" w:hAnsi="Times New Roman"/>
          <w:color w:val="000000"/>
          <w:sz w:val="26"/>
          <w:szCs w:val="26"/>
        </w:rPr>
        <w:tab/>
      </w:r>
      <w:r w:rsidRPr="00B9444C">
        <w:rPr>
          <w:rFonts w:ascii="Times New Roman" w:hAnsi="Times New Roman"/>
          <w:color w:val="000000"/>
          <w:sz w:val="26"/>
          <w:szCs w:val="26"/>
        </w:rPr>
        <w:tab/>
      </w:r>
      <w:r w:rsidRPr="00B9444C">
        <w:rPr>
          <w:rFonts w:ascii="Times New Roman" w:hAnsi="Times New Roman"/>
          <w:color w:val="000000"/>
          <w:sz w:val="26"/>
          <w:szCs w:val="26"/>
        </w:rPr>
        <w:tab/>
      </w:r>
      <w:r w:rsidRPr="00B9444C">
        <w:rPr>
          <w:rFonts w:ascii="Times New Roman" w:hAnsi="Times New Roman"/>
          <w:color w:val="000000"/>
          <w:sz w:val="26"/>
          <w:szCs w:val="26"/>
        </w:rPr>
        <w:tab/>
      </w:r>
      <w:r w:rsidRPr="00B9444C">
        <w:rPr>
          <w:rFonts w:ascii="Times New Roman" w:hAnsi="Times New Roman"/>
          <w:color w:val="000000"/>
          <w:sz w:val="26"/>
          <w:szCs w:val="26"/>
        </w:rPr>
        <w:tab/>
        <w:t xml:space="preserve">J. </w:t>
      </w:r>
      <w:proofErr w:type="spellStart"/>
      <w:r w:rsidRPr="00B9444C">
        <w:rPr>
          <w:rFonts w:ascii="Times New Roman" w:hAnsi="Times New Roman"/>
          <w:color w:val="000000"/>
          <w:sz w:val="26"/>
          <w:szCs w:val="26"/>
        </w:rPr>
        <w:t>Volberts</w:t>
      </w:r>
      <w:proofErr w:type="spellEnd"/>
    </w:p>
    <w:p w14:paraId="4E2E3E7B" w14:textId="77777777" w:rsidR="00A906FA" w:rsidRPr="00B9444C" w:rsidRDefault="00A906FA" w:rsidP="007869F3">
      <w:pPr>
        <w:spacing w:after="0" w:line="240" w:lineRule="auto"/>
        <w:ind w:firstLine="709"/>
        <w:jc w:val="both"/>
        <w:rPr>
          <w:rFonts w:ascii="Times New Roman" w:hAnsi="Times New Roman"/>
          <w:color w:val="000000"/>
          <w:sz w:val="26"/>
          <w:szCs w:val="26"/>
        </w:rPr>
      </w:pPr>
    </w:p>
    <w:p w14:paraId="5F1FC621" w14:textId="77777777" w:rsidR="00A906FA" w:rsidRDefault="00A906FA" w:rsidP="007869F3">
      <w:pPr>
        <w:spacing w:after="0" w:line="240" w:lineRule="auto"/>
        <w:ind w:firstLine="709"/>
        <w:jc w:val="both"/>
        <w:rPr>
          <w:rFonts w:ascii="Times New Roman" w:hAnsi="Times New Roman"/>
          <w:color w:val="000000"/>
          <w:sz w:val="26"/>
          <w:szCs w:val="26"/>
        </w:rPr>
      </w:pPr>
    </w:p>
    <w:p w14:paraId="17382B46" w14:textId="77777777" w:rsidR="00B9444C" w:rsidRDefault="00B9444C" w:rsidP="007869F3">
      <w:pPr>
        <w:spacing w:after="0" w:line="240" w:lineRule="auto"/>
        <w:ind w:firstLine="709"/>
        <w:jc w:val="both"/>
        <w:rPr>
          <w:rFonts w:ascii="Times New Roman" w:hAnsi="Times New Roman"/>
          <w:color w:val="000000"/>
          <w:sz w:val="26"/>
          <w:szCs w:val="26"/>
        </w:rPr>
      </w:pPr>
    </w:p>
    <w:p w14:paraId="273BF088" w14:textId="77777777" w:rsidR="001B68D4" w:rsidRDefault="001B68D4" w:rsidP="007869F3">
      <w:pPr>
        <w:spacing w:after="0" w:line="240" w:lineRule="auto"/>
        <w:ind w:firstLine="709"/>
        <w:jc w:val="both"/>
        <w:rPr>
          <w:rFonts w:ascii="Times New Roman" w:hAnsi="Times New Roman"/>
          <w:color w:val="000000"/>
          <w:sz w:val="26"/>
          <w:szCs w:val="26"/>
        </w:rPr>
      </w:pPr>
    </w:p>
    <w:p w14:paraId="41875AFC" w14:textId="77777777" w:rsidR="001B68D4" w:rsidRDefault="001B68D4" w:rsidP="007869F3">
      <w:pPr>
        <w:spacing w:after="0" w:line="240" w:lineRule="auto"/>
        <w:ind w:firstLine="709"/>
        <w:jc w:val="both"/>
        <w:rPr>
          <w:rFonts w:ascii="Times New Roman" w:hAnsi="Times New Roman"/>
          <w:color w:val="000000"/>
          <w:sz w:val="26"/>
          <w:szCs w:val="26"/>
        </w:rPr>
      </w:pPr>
    </w:p>
    <w:p w14:paraId="00BA5DA0" w14:textId="77777777" w:rsidR="001B68D4" w:rsidRPr="00B9444C" w:rsidRDefault="001B68D4" w:rsidP="007869F3">
      <w:pPr>
        <w:spacing w:after="0" w:line="240" w:lineRule="auto"/>
        <w:ind w:firstLine="709"/>
        <w:jc w:val="both"/>
        <w:rPr>
          <w:rFonts w:ascii="Times New Roman" w:hAnsi="Times New Roman"/>
          <w:color w:val="000000"/>
          <w:sz w:val="26"/>
          <w:szCs w:val="26"/>
        </w:rPr>
      </w:pPr>
    </w:p>
    <w:p w14:paraId="6100CAD6" w14:textId="77777777" w:rsidR="007D4510" w:rsidRPr="001B68D4" w:rsidRDefault="003D4D83" w:rsidP="00A53185">
      <w:pPr>
        <w:spacing w:after="0" w:line="240" w:lineRule="auto"/>
        <w:rPr>
          <w:rFonts w:ascii="Times New Roman" w:hAnsi="Times New Roman"/>
          <w:color w:val="000000"/>
        </w:rPr>
      </w:pPr>
      <w:proofErr w:type="spellStart"/>
      <w:r w:rsidRPr="001B68D4">
        <w:rPr>
          <w:rFonts w:ascii="Times New Roman" w:hAnsi="Times New Roman"/>
          <w:color w:val="000000"/>
        </w:rPr>
        <w:t>I</w:t>
      </w:r>
      <w:r w:rsidR="00C57C46" w:rsidRPr="001B68D4">
        <w:rPr>
          <w:rFonts w:ascii="Times New Roman" w:hAnsi="Times New Roman"/>
          <w:color w:val="000000"/>
        </w:rPr>
        <w:t>.</w:t>
      </w:r>
      <w:r w:rsidR="003F5E79" w:rsidRPr="001B68D4">
        <w:rPr>
          <w:rFonts w:ascii="Times New Roman" w:hAnsi="Times New Roman"/>
          <w:color w:val="000000"/>
        </w:rPr>
        <w:t>Švirksta</w:t>
      </w:r>
      <w:proofErr w:type="spellEnd"/>
      <w:r w:rsidR="00DC3B1C" w:rsidRPr="001B68D4">
        <w:rPr>
          <w:rFonts w:ascii="Times New Roman" w:hAnsi="Times New Roman"/>
          <w:color w:val="000000"/>
        </w:rPr>
        <w:t xml:space="preserve"> 67047</w:t>
      </w:r>
      <w:r w:rsidR="003F5E79" w:rsidRPr="001B68D4">
        <w:rPr>
          <w:rFonts w:ascii="Times New Roman" w:hAnsi="Times New Roman"/>
          <w:color w:val="000000"/>
        </w:rPr>
        <w:t>878</w:t>
      </w:r>
    </w:p>
    <w:p w14:paraId="76724E54" w14:textId="77777777" w:rsidR="00F926D3" w:rsidRPr="001B68D4" w:rsidRDefault="001E7FDF" w:rsidP="00A53185">
      <w:pPr>
        <w:spacing w:after="0" w:line="240" w:lineRule="auto"/>
        <w:rPr>
          <w:rFonts w:ascii="Times New Roman" w:hAnsi="Times New Roman"/>
          <w:color w:val="000000"/>
        </w:rPr>
      </w:pPr>
      <w:hyperlink r:id="rId9" w:history="1">
        <w:r w:rsidR="003F5E79" w:rsidRPr="001B68D4">
          <w:rPr>
            <w:rStyle w:val="Hyperlink"/>
            <w:rFonts w:ascii="Times New Roman" w:hAnsi="Times New Roman"/>
            <w:color w:val="000000"/>
          </w:rPr>
          <w:t>inta.svirksta@izm.gov.lv</w:t>
        </w:r>
      </w:hyperlink>
      <w:r w:rsidR="00BC2FAB" w:rsidRPr="001B68D4">
        <w:rPr>
          <w:rStyle w:val="Hyperlink"/>
          <w:rFonts w:ascii="Times New Roman" w:hAnsi="Times New Roman"/>
          <w:color w:val="000000"/>
        </w:rPr>
        <w:t xml:space="preserve"> </w:t>
      </w:r>
      <w:r w:rsidR="00C57C46" w:rsidRPr="001B68D4">
        <w:rPr>
          <w:rFonts w:ascii="Times New Roman" w:hAnsi="Times New Roman"/>
          <w:color w:val="000000"/>
        </w:rPr>
        <w:t xml:space="preserve"> </w:t>
      </w:r>
    </w:p>
    <w:sectPr w:rsidR="00F926D3" w:rsidRPr="001B68D4" w:rsidSect="006450A1">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1D4CA" w14:textId="77777777" w:rsidR="001E7FDF" w:rsidRDefault="001E7FDF" w:rsidP="004D15A9">
      <w:pPr>
        <w:spacing w:after="0" w:line="240" w:lineRule="auto"/>
      </w:pPr>
      <w:r>
        <w:separator/>
      </w:r>
    </w:p>
  </w:endnote>
  <w:endnote w:type="continuationSeparator" w:id="0">
    <w:p w14:paraId="775401CA" w14:textId="77777777" w:rsidR="001E7FDF" w:rsidRDefault="001E7FDF" w:rsidP="004D15A9">
      <w:pPr>
        <w:spacing w:after="0" w:line="240" w:lineRule="auto"/>
      </w:pPr>
      <w:r>
        <w:continuationSeparator/>
      </w:r>
    </w:p>
  </w:endnote>
  <w:endnote w:type="continuationNotice" w:id="1">
    <w:p w14:paraId="57390F5D" w14:textId="77777777" w:rsidR="001E7FDF" w:rsidRDefault="001E7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1BCC" w14:textId="77777777" w:rsidR="0052111D" w:rsidRDefault="00521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C15F" w14:textId="5E980433" w:rsidR="00801145" w:rsidRPr="00077CDB" w:rsidRDefault="00D27576" w:rsidP="00077CDB">
    <w:pPr>
      <w:spacing w:after="0" w:line="240" w:lineRule="auto"/>
      <w:jc w:val="both"/>
      <w:rPr>
        <w:rFonts w:ascii="Times New Roman" w:hAnsi="Times New Roman"/>
        <w:sz w:val="20"/>
        <w:szCs w:val="20"/>
      </w:rPr>
    </w:pPr>
    <w:fldSimple w:instr=" FILENAME   \* MERGEFORMAT ">
      <w:r w:rsidR="0052111D" w:rsidRPr="0052111D">
        <w:rPr>
          <w:rFonts w:ascii="Times New Roman" w:hAnsi="Times New Roman"/>
          <w:noProof/>
          <w:color w:val="000000"/>
          <w:sz w:val="20"/>
          <w:szCs w:val="20"/>
        </w:rPr>
        <w:t>IZMAnot_081220</w:t>
      </w:r>
      <w:r w:rsidR="0052111D">
        <w:rPr>
          <w:noProof/>
        </w:rPr>
        <w:t>_811</w:t>
      </w:r>
    </w:fldSimple>
    <w:r w:rsidR="00801145" w:rsidRPr="00077CDB">
      <w:rPr>
        <w:rFonts w:ascii="Times New Roman" w:hAnsi="Times New Roman"/>
        <w:color w:val="00000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9828" w14:textId="66111A95" w:rsidR="00801145" w:rsidRPr="00077CDB" w:rsidRDefault="00D27576" w:rsidP="00FD02A2">
    <w:pPr>
      <w:spacing w:after="0" w:line="240" w:lineRule="auto"/>
      <w:jc w:val="both"/>
      <w:rPr>
        <w:rFonts w:ascii="Times New Roman" w:hAnsi="Times New Roman"/>
        <w:sz w:val="20"/>
        <w:szCs w:val="20"/>
      </w:rPr>
    </w:pPr>
    <w:fldSimple w:instr=" FILENAME   \* MERGEFORMAT ">
      <w:r w:rsidR="0052111D" w:rsidRPr="0052111D">
        <w:rPr>
          <w:rFonts w:ascii="Times New Roman" w:hAnsi="Times New Roman"/>
          <w:noProof/>
          <w:color w:val="000000"/>
          <w:sz w:val="20"/>
          <w:szCs w:val="20"/>
        </w:rPr>
        <w:t>IZMAnot_081220_811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88861" w14:textId="77777777" w:rsidR="001E7FDF" w:rsidRDefault="001E7FDF" w:rsidP="004D15A9">
      <w:pPr>
        <w:spacing w:after="0" w:line="240" w:lineRule="auto"/>
      </w:pPr>
      <w:r>
        <w:separator/>
      </w:r>
    </w:p>
  </w:footnote>
  <w:footnote w:type="continuationSeparator" w:id="0">
    <w:p w14:paraId="678A827C" w14:textId="77777777" w:rsidR="001E7FDF" w:rsidRDefault="001E7FDF" w:rsidP="004D15A9">
      <w:pPr>
        <w:spacing w:after="0" w:line="240" w:lineRule="auto"/>
      </w:pPr>
      <w:r>
        <w:continuationSeparator/>
      </w:r>
    </w:p>
  </w:footnote>
  <w:footnote w:type="continuationNotice" w:id="1">
    <w:p w14:paraId="30596814" w14:textId="77777777" w:rsidR="001E7FDF" w:rsidRDefault="001E7FDF">
      <w:pPr>
        <w:spacing w:after="0" w:line="240" w:lineRule="auto"/>
      </w:pPr>
    </w:p>
  </w:footnote>
  <w:footnote w:id="2">
    <w:p w14:paraId="1A33DD83" w14:textId="77777777" w:rsidR="00801145" w:rsidRPr="00042D04" w:rsidRDefault="00801145" w:rsidP="005461F1">
      <w:pPr>
        <w:pStyle w:val="FootnoteText"/>
      </w:pPr>
      <w:r>
        <w:rPr>
          <w:rStyle w:val="FootnoteReference"/>
        </w:rPr>
        <w:footnoteRef/>
      </w:r>
      <w:r>
        <w:t xml:space="preserve"> </w:t>
      </w:r>
      <w:proofErr w:type="spellStart"/>
      <w:r w:rsidRPr="00042D04">
        <w:rPr>
          <w:bCs/>
          <w:lang w:eastAsia="lv-LV"/>
        </w:rPr>
        <w:t>Ministru</w:t>
      </w:r>
      <w:proofErr w:type="spellEnd"/>
      <w:r w:rsidRPr="00042D04">
        <w:rPr>
          <w:bCs/>
          <w:lang w:eastAsia="lv-LV"/>
        </w:rPr>
        <w:t xml:space="preserve"> </w:t>
      </w:r>
      <w:proofErr w:type="spellStart"/>
      <w:r w:rsidRPr="00042D04">
        <w:rPr>
          <w:bCs/>
          <w:lang w:eastAsia="lv-LV"/>
        </w:rPr>
        <w:t>kabineta</w:t>
      </w:r>
      <w:proofErr w:type="spellEnd"/>
      <w:r w:rsidRPr="00042D04">
        <w:rPr>
          <w:bCs/>
          <w:lang w:eastAsia="lv-LV"/>
        </w:rPr>
        <w:t xml:space="preserve"> </w:t>
      </w:r>
      <w:proofErr w:type="spellStart"/>
      <w:r w:rsidRPr="00042D04">
        <w:rPr>
          <w:bCs/>
          <w:lang w:eastAsia="lv-LV"/>
        </w:rPr>
        <w:t>noteikumu</w:t>
      </w:r>
      <w:proofErr w:type="spellEnd"/>
      <w:r w:rsidRPr="00042D04">
        <w:rPr>
          <w:bCs/>
          <w:lang w:eastAsia="lv-LV"/>
        </w:rPr>
        <w:t xml:space="preserve"> "</w:t>
      </w:r>
      <w:proofErr w:type="spellStart"/>
      <w:r w:rsidRPr="00BA5F32">
        <w:rPr>
          <w:bCs/>
          <w:lang w:eastAsia="lv-LV"/>
        </w:rPr>
        <w:t>Grozījumi</w:t>
      </w:r>
      <w:proofErr w:type="spellEnd"/>
      <w:r w:rsidRPr="00BA5F32">
        <w:rPr>
          <w:bCs/>
          <w:lang w:eastAsia="lv-LV"/>
        </w:rPr>
        <w:t xml:space="preserve"> </w:t>
      </w:r>
      <w:proofErr w:type="spellStart"/>
      <w:r w:rsidRPr="00BA5F32">
        <w:rPr>
          <w:bCs/>
          <w:lang w:eastAsia="lv-LV"/>
        </w:rPr>
        <w:t>Ministru</w:t>
      </w:r>
      <w:proofErr w:type="spellEnd"/>
      <w:r w:rsidRPr="00BA5F32">
        <w:rPr>
          <w:bCs/>
          <w:lang w:eastAsia="lv-LV"/>
        </w:rPr>
        <w:t xml:space="preserve"> </w:t>
      </w:r>
      <w:proofErr w:type="spellStart"/>
      <w:r w:rsidRPr="00BA5F32">
        <w:rPr>
          <w:bCs/>
          <w:lang w:eastAsia="lv-LV"/>
        </w:rPr>
        <w:t>kabineta</w:t>
      </w:r>
      <w:proofErr w:type="spellEnd"/>
      <w:r w:rsidRPr="00BA5F32">
        <w:rPr>
          <w:bCs/>
          <w:lang w:eastAsia="lv-LV"/>
        </w:rPr>
        <w:t xml:space="preserve"> 2016. </w:t>
      </w:r>
      <w:proofErr w:type="spellStart"/>
      <w:proofErr w:type="gramStart"/>
      <w:r w:rsidRPr="00BA5F32">
        <w:rPr>
          <w:bCs/>
          <w:lang w:eastAsia="lv-LV"/>
        </w:rPr>
        <w:t>gada</w:t>
      </w:r>
      <w:proofErr w:type="spellEnd"/>
      <w:proofErr w:type="gramEnd"/>
      <w:r w:rsidRPr="00BA5F32">
        <w:rPr>
          <w:bCs/>
          <w:lang w:eastAsia="lv-LV"/>
        </w:rPr>
        <w:t xml:space="preserve"> 16. </w:t>
      </w:r>
      <w:proofErr w:type="spellStart"/>
      <w:proofErr w:type="gramStart"/>
      <w:r w:rsidRPr="00BA5F32">
        <w:rPr>
          <w:bCs/>
          <w:lang w:eastAsia="lv-LV"/>
        </w:rPr>
        <w:t>augusta</w:t>
      </w:r>
      <w:proofErr w:type="spellEnd"/>
      <w:proofErr w:type="gramEnd"/>
      <w:r w:rsidRPr="00BA5F32">
        <w:rPr>
          <w:bCs/>
          <w:lang w:eastAsia="lv-LV"/>
        </w:rPr>
        <w:t xml:space="preserve"> </w:t>
      </w:r>
      <w:proofErr w:type="spellStart"/>
      <w:r w:rsidRPr="00BA5F32">
        <w:rPr>
          <w:bCs/>
          <w:lang w:eastAsia="lv-LV"/>
        </w:rPr>
        <w:t>noteikumos</w:t>
      </w:r>
      <w:proofErr w:type="spellEnd"/>
      <w:r w:rsidRPr="00BA5F32">
        <w:rPr>
          <w:bCs/>
          <w:lang w:eastAsia="lv-LV"/>
        </w:rPr>
        <w:t xml:space="preserve"> Nr. 561 "</w:t>
      </w:r>
      <w:proofErr w:type="spellStart"/>
      <w:r w:rsidRPr="00BA5F32">
        <w:rPr>
          <w:bCs/>
          <w:lang w:eastAsia="lv-LV"/>
        </w:rPr>
        <w:t>Darbības</w:t>
      </w:r>
      <w:proofErr w:type="spellEnd"/>
      <w:r w:rsidRPr="00BA5F32">
        <w:rPr>
          <w:bCs/>
          <w:lang w:eastAsia="lv-LV"/>
        </w:rPr>
        <w:t xml:space="preserve"> </w:t>
      </w:r>
      <w:proofErr w:type="spellStart"/>
      <w:r w:rsidRPr="00BA5F32">
        <w:rPr>
          <w:bCs/>
          <w:lang w:eastAsia="lv-LV"/>
        </w:rPr>
        <w:t>programmas</w:t>
      </w:r>
      <w:proofErr w:type="spellEnd"/>
      <w:r w:rsidRPr="00BA5F32">
        <w:rPr>
          <w:bCs/>
          <w:lang w:eastAsia="lv-LV"/>
        </w:rPr>
        <w:t xml:space="preserve"> "</w:t>
      </w:r>
      <w:proofErr w:type="spellStart"/>
      <w:r w:rsidRPr="00BA5F32">
        <w:rPr>
          <w:bCs/>
          <w:lang w:eastAsia="lv-LV"/>
        </w:rPr>
        <w:t>Izaugsme</w:t>
      </w:r>
      <w:proofErr w:type="spellEnd"/>
      <w:r w:rsidRPr="00BA5F32">
        <w:rPr>
          <w:bCs/>
          <w:lang w:eastAsia="lv-LV"/>
        </w:rPr>
        <w:t xml:space="preserve"> un </w:t>
      </w:r>
      <w:proofErr w:type="spellStart"/>
      <w:r w:rsidRPr="00BA5F32">
        <w:rPr>
          <w:bCs/>
          <w:lang w:eastAsia="lv-LV"/>
        </w:rPr>
        <w:t>nodarbinātība</w:t>
      </w:r>
      <w:proofErr w:type="spellEnd"/>
      <w:r w:rsidRPr="00BA5F32">
        <w:rPr>
          <w:bCs/>
          <w:lang w:eastAsia="lv-LV"/>
        </w:rPr>
        <w:t xml:space="preserve">" 8.1.1. </w:t>
      </w:r>
      <w:proofErr w:type="spellStart"/>
      <w:r w:rsidRPr="00BA5F32">
        <w:rPr>
          <w:bCs/>
          <w:lang w:eastAsia="lv-LV"/>
        </w:rPr>
        <w:t>specifiskā</w:t>
      </w:r>
      <w:proofErr w:type="spellEnd"/>
      <w:r w:rsidRPr="00BA5F32">
        <w:rPr>
          <w:bCs/>
          <w:lang w:eastAsia="lv-LV"/>
        </w:rPr>
        <w:t xml:space="preserve"> </w:t>
      </w:r>
      <w:proofErr w:type="spellStart"/>
      <w:r w:rsidRPr="00BA5F32">
        <w:rPr>
          <w:bCs/>
          <w:lang w:eastAsia="lv-LV"/>
        </w:rPr>
        <w:t>atbalsta</w:t>
      </w:r>
      <w:proofErr w:type="spellEnd"/>
      <w:r w:rsidRPr="00BA5F32">
        <w:rPr>
          <w:bCs/>
          <w:lang w:eastAsia="lv-LV"/>
        </w:rPr>
        <w:t xml:space="preserve"> </w:t>
      </w:r>
      <w:proofErr w:type="spellStart"/>
      <w:r w:rsidRPr="00BA5F32">
        <w:rPr>
          <w:bCs/>
          <w:lang w:eastAsia="lv-LV"/>
        </w:rPr>
        <w:t>mērķa</w:t>
      </w:r>
      <w:proofErr w:type="spellEnd"/>
      <w:r w:rsidRPr="00BA5F32">
        <w:rPr>
          <w:bCs/>
          <w:lang w:eastAsia="lv-LV"/>
        </w:rPr>
        <w:t xml:space="preserve"> "</w:t>
      </w:r>
      <w:proofErr w:type="spellStart"/>
      <w:r w:rsidRPr="00BA5F32">
        <w:rPr>
          <w:bCs/>
          <w:lang w:eastAsia="lv-LV"/>
        </w:rPr>
        <w:t>Palielināt</w:t>
      </w:r>
      <w:proofErr w:type="spellEnd"/>
      <w:r w:rsidRPr="00BA5F32">
        <w:rPr>
          <w:bCs/>
          <w:lang w:eastAsia="lv-LV"/>
        </w:rPr>
        <w:t xml:space="preserve"> </w:t>
      </w:r>
      <w:proofErr w:type="spellStart"/>
      <w:r w:rsidRPr="00BA5F32">
        <w:rPr>
          <w:bCs/>
          <w:lang w:eastAsia="lv-LV"/>
        </w:rPr>
        <w:t>modernizēto</w:t>
      </w:r>
      <w:proofErr w:type="spellEnd"/>
      <w:r w:rsidRPr="00BA5F32">
        <w:rPr>
          <w:bCs/>
          <w:lang w:eastAsia="lv-LV"/>
        </w:rPr>
        <w:t xml:space="preserve"> STEM, </w:t>
      </w:r>
      <w:proofErr w:type="spellStart"/>
      <w:r w:rsidRPr="00BA5F32">
        <w:rPr>
          <w:bCs/>
          <w:lang w:eastAsia="lv-LV"/>
        </w:rPr>
        <w:t>tajā</w:t>
      </w:r>
      <w:proofErr w:type="spellEnd"/>
      <w:r w:rsidRPr="00BA5F32">
        <w:rPr>
          <w:bCs/>
          <w:lang w:eastAsia="lv-LV"/>
        </w:rPr>
        <w:t xml:space="preserve"> </w:t>
      </w:r>
      <w:proofErr w:type="spellStart"/>
      <w:r w:rsidRPr="00BA5F32">
        <w:rPr>
          <w:bCs/>
          <w:lang w:eastAsia="lv-LV"/>
        </w:rPr>
        <w:t>skaitā</w:t>
      </w:r>
      <w:proofErr w:type="spellEnd"/>
      <w:r w:rsidRPr="00BA5F32">
        <w:rPr>
          <w:bCs/>
          <w:lang w:eastAsia="lv-LV"/>
        </w:rPr>
        <w:t xml:space="preserve"> </w:t>
      </w:r>
      <w:proofErr w:type="spellStart"/>
      <w:r w:rsidRPr="00BA5F32">
        <w:rPr>
          <w:bCs/>
          <w:lang w:eastAsia="lv-LV"/>
        </w:rPr>
        <w:t>medicīnas</w:t>
      </w:r>
      <w:proofErr w:type="spellEnd"/>
      <w:r w:rsidRPr="00BA5F32">
        <w:rPr>
          <w:bCs/>
          <w:lang w:eastAsia="lv-LV"/>
        </w:rPr>
        <w:t xml:space="preserve"> un </w:t>
      </w:r>
      <w:proofErr w:type="spellStart"/>
      <w:r w:rsidRPr="00BA5F32">
        <w:rPr>
          <w:bCs/>
          <w:lang w:eastAsia="lv-LV"/>
        </w:rPr>
        <w:t>radošās</w:t>
      </w:r>
      <w:proofErr w:type="spellEnd"/>
      <w:r w:rsidRPr="00BA5F32">
        <w:rPr>
          <w:bCs/>
          <w:lang w:eastAsia="lv-LV"/>
        </w:rPr>
        <w:t xml:space="preserve"> </w:t>
      </w:r>
      <w:proofErr w:type="spellStart"/>
      <w:r w:rsidRPr="00BA5F32">
        <w:rPr>
          <w:bCs/>
          <w:lang w:eastAsia="lv-LV"/>
        </w:rPr>
        <w:t>industrijas</w:t>
      </w:r>
      <w:proofErr w:type="spellEnd"/>
      <w:r w:rsidRPr="00BA5F32">
        <w:rPr>
          <w:bCs/>
          <w:lang w:eastAsia="lv-LV"/>
        </w:rPr>
        <w:t xml:space="preserve">, </w:t>
      </w:r>
      <w:proofErr w:type="spellStart"/>
      <w:r w:rsidRPr="00BA5F32">
        <w:rPr>
          <w:bCs/>
          <w:lang w:eastAsia="lv-LV"/>
        </w:rPr>
        <w:t>studiju</w:t>
      </w:r>
      <w:proofErr w:type="spellEnd"/>
      <w:r w:rsidRPr="00BA5F32">
        <w:rPr>
          <w:bCs/>
          <w:lang w:eastAsia="lv-LV"/>
        </w:rPr>
        <w:t xml:space="preserve"> </w:t>
      </w:r>
      <w:proofErr w:type="spellStart"/>
      <w:r w:rsidRPr="00BA5F32">
        <w:rPr>
          <w:bCs/>
          <w:lang w:eastAsia="lv-LV"/>
        </w:rPr>
        <w:t>programmu</w:t>
      </w:r>
      <w:proofErr w:type="spellEnd"/>
      <w:r w:rsidRPr="00BA5F32">
        <w:rPr>
          <w:bCs/>
          <w:lang w:eastAsia="lv-LV"/>
        </w:rPr>
        <w:t xml:space="preserve"> </w:t>
      </w:r>
      <w:proofErr w:type="spellStart"/>
      <w:r w:rsidRPr="00BA5F32">
        <w:rPr>
          <w:bCs/>
          <w:lang w:eastAsia="lv-LV"/>
        </w:rPr>
        <w:t>skaitu</w:t>
      </w:r>
      <w:proofErr w:type="spellEnd"/>
      <w:r w:rsidRPr="00BA5F32">
        <w:rPr>
          <w:bCs/>
          <w:lang w:eastAsia="lv-LV"/>
        </w:rPr>
        <w:t xml:space="preserve">" </w:t>
      </w:r>
      <w:r w:rsidRPr="00042D04">
        <w:rPr>
          <w:bCs/>
          <w:lang w:eastAsia="lv-LV"/>
        </w:rPr>
        <w:t>"</w:t>
      </w:r>
      <w:r w:rsidRPr="00042D04">
        <w:t xml:space="preserve"> </w:t>
      </w:r>
      <w:proofErr w:type="spellStart"/>
      <w:r w:rsidRPr="00042D04">
        <w:rPr>
          <w:bCs/>
          <w:lang w:eastAsia="lv-LV"/>
        </w:rPr>
        <w:t>projekt</w:t>
      </w:r>
      <w:r>
        <w:rPr>
          <w:bCs/>
          <w:lang w:eastAsia="lv-LV"/>
        </w:rPr>
        <w:t>s</w:t>
      </w:r>
      <w:proofErr w:type="spellEnd"/>
    </w:p>
  </w:footnote>
  <w:footnote w:id="3">
    <w:p w14:paraId="52C59AC5" w14:textId="77777777" w:rsidR="00801145" w:rsidRDefault="00801145" w:rsidP="0058503E">
      <w:pPr>
        <w:pStyle w:val="FootnoteText"/>
      </w:pPr>
      <w:r>
        <w:rPr>
          <w:rStyle w:val="FootnoteReference"/>
        </w:rPr>
        <w:footnoteRef/>
      </w:r>
      <w:r>
        <w:t xml:space="preserve"> </w:t>
      </w:r>
      <w:proofErr w:type="spellStart"/>
      <w:r>
        <w:t>Komercdarbības</w:t>
      </w:r>
      <w:proofErr w:type="spellEnd"/>
      <w:r>
        <w:t xml:space="preserve"> </w:t>
      </w:r>
      <w:proofErr w:type="spellStart"/>
      <w:r>
        <w:t>atbalsta</w:t>
      </w:r>
      <w:proofErr w:type="spellEnd"/>
      <w:r>
        <w:t xml:space="preserve"> </w:t>
      </w:r>
      <w:proofErr w:type="spellStart"/>
      <w:r>
        <w:t>kontroles</w:t>
      </w:r>
      <w:proofErr w:type="spellEnd"/>
      <w:r>
        <w:t xml:space="preserve"> </w:t>
      </w:r>
      <w:proofErr w:type="spellStart"/>
      <w:r>
        <w:t>likuma</w:t>
      </w:r>
      <w:proofErr w:type="spellEnd"/>
      <w:r>
        <w:t xml:space="preserve"> 5.pants:</w:t>
      </w:r>
    </w:p>
    <w:p w14:paraId="01CF498B" w14:textId="77777777" w:rsidR="00801145" w:rsidRDefault="00801145" w:rsidP="0058503E">
      <w:pPr>
        <w:pStyle w:val="FootnoteText"/>
      </w:pPr>
      <w:r>
        <w:t xml:space="preserve">1) </w:t>
      </w:r>
      <w:proofErr w:type="spellStart"/>
      <w:r>
        <w:t>finansiālo</w:t>
      </w:r>
      <w:proofErr w:type="spellEnd"/>
      <w:r>
        <w:t xml:space="preserve"> </w:t>
      </w:r>
      <w:proofErr w:type="spellStart"/>
      <w:r>
        <w:t>palīdzību</w:t>
      </w:r>
      <w:proofErr w:type="spellEnd"/>
      <w:r>
        <w:t xml:space="preserve"> </w:t>
      </w:r>
      <w:proofErr w:type="spellStart"/>
      <w:r>
        <w:t>tieši</w:t>
      </w:r>
      <w:proofErr w:type="spellEnd"/>
      <w:r>
        <w:t xml:space="preserve"> </w:t>
      </w:r>
      <w:proofErr w:type="spellStart"/>
      <w:r>
        <w:t>vai</w:t>
      </w:r>
      <w:proofErr w:type="spellEnd"/>
      <w:r>
        <w:t xml:space="preserve"> </w:t>
      </w:r>
      <w:proofErr w:type="spellStart"/>
      <w:r>
        <w:t>pastarpināti</w:t>
      </w:r>
      <w:proofErr w:type="spellEnd"/>
      <w:r>
        <w:t xml:space="preserve"> </w:t>
      </w:r>
      <w:proofErr w:type="spellStart"/>
      <w:r>
        <w:t>sniedz</w:t>
      </w:r>
      <w:proofErr w:type="spellEnd"/>
      <w:r>
        <w:t xml:space="preserve"> no </w:t>
      </w:r>
      <w:proofErr w:type="spellStart"/>
      <w:r>
        <w:t>valsts</w:t>
      </w:r>
      <w:proofErr w:type="spellEnd"/>
      <w:r>
        <w:t xml:space="preserve">, </w:t>
      </w:r>
      <w:proofErr w:type="spellStart"/>
      <w:r>
        <w:t>pašvaldības</w:t>
      </w:r>
      <w:proofErr w:type="spellEnd"/>
      <w:r>
        <w:t xml:space="preserve">, </w:t>
      </w:r>
      <w:proofErr w:type="spellStart"/>
      <w:r>
        <w:t>Eiropas</w:t>
      </w:r>
      <w:proofErr w:type="spellEnd"/>
      <w:r>
        <w:t xml:space="preserve"> </w:t>
      </w:r>
      <w:proofErr w:type="spellStart"/>
      <w:r>
        <w:t>Savienības</w:t>
      </w:r>
      <w:proofErr w:type="spellEnd"/>
      <w:r>
        <w:t xml:space="preserve"> </w:t>
      </w:r>
      <w:proofErr w:type="spellStart"/>
      <w:r>
        <w:t>vai</w:t>
      </w:r>
      <w:proofErr w:type="spellEnd"/>
      <w:r>
        <w:t xml:space="preserve"> </w:t>
      </w:r>
      <w:proofErr w:type="spellStart"/>
      <w:r>
        <w:t>citiem</w:t>
      </w:r>
      <w:proofErr w:type="spellEnd"/>
      <w:r>
        <w:t xml:space="preserve"> </w:t>
      </w:r>
      <w:proofErr w:type="spellStart"/>
      <w:r>
        <w:t>publiskiem</w:t>
      </w:r>
      <w:proofErr w:type="spellEnd"/>
      <w:r>
        <w:t xml:space="preserve"> </w:t>
      </w:r>
      <w:proofErr w:type="spellStart"/>
      <w:r>
        <w:t>līdzekļiem</w:t>
      </w:r>
      <w:proofErr w:type="spellEnd"/>
      <w:r>
        <w:t xml:space="preserve"> (</w:t>
      </w:r>
      <w:proofErr w:type="spellStart"/>
      <w:r>
        <w:t>turpmāk</w:t>
      </w:r>
      <w:proofErr w:type="spellEnd"/>
      <w:r>
        <w:t xml:space="preserve"> — </w:t>
      </w:r>
      <w:proofErr w:type="spellStart"/>
      <w:r>
        <w:t>valsts</w:t>
      </w:r>
      <w:proofErr w:type="spellEnd"/>
      <w:r>
        <w:t xml:space="preserve"> </w:t>
      </w:r>
      <w:proofErr w:type="spellStart"/>
      <w:r>
        <w:t>vai</w:t>
      </w:r>
      <w:proofErr w:type="spellEnd"/>
      <w:r>
        <w:t xml:space="preserve"> </w:t>
      </w:r>
      <w:proofErr w:type="spellStart"/>
      <w:r>
        <w:t>pašvaldības</w:t>
      </w:r>
      <w:proofErr w:type="spellEnd"/>
      <w:r>
        <w:t xml:space="preserve"> </w:t>
      </w:r>
      <w:proofErr w:type="spellStart"/>
      <w:r>
        <w:t>līdzekļi</w:t>
      </w:r>
      <w:proofErr w:type="spellEnd"/>
      <w:r>
        <w:t xml:space="preserve">, un </w:t>
      </w:r>
      <w:proofErr w:type="spellStart"/>
      <w:r>
        <w:t>valsts</w:t>
      </w:r>
      <w:proofErr w:type="spellEnd"/>
      <w:r>
        <w:t xml:space="preserve"> </w:t>
      </w:r>
      <w:proofErr w:type="spellStart"/>
      <w:r>
        <w:t>institūcijām</w:t>
      </w:r>
      <w:proofErr w:type="spellEnd"/>
      <w:r>
        <w:t xml:space="preserve"> </w:t>
      </w:r>
      <w:proofErr w:type="spellStart"/>
      <w:r>
        <w:t>ir</w:t>
      </w:r>
      <w:proofErr w:type="spellEnd"/>
      <w:r>
        <w:t xml:space="preserve"> </w:t>
      </w:r>
      <w:proofErr w:type="spellStart"/>
      <w:r>
        <w:t>kontrolējoša</w:t>
      </w:r>
      <w:proofErr w:type="spellEnd"/>
      <w:r>
        <w:t xml:space="preserve"> </w:t>
      </w:r>
      <w:proofErr w:type="spellStart"/>
      <w:r>
        <w:t>ietekme</w:t>
      </w:r>
      <w:proofErr w:type="spellEnd"/>
      <w:r>
        <w:t xml:space="preserve"> </w:t>
      </w:r>
      <w:proofErr w:type="spellStart"/>
      <w:r>
        <w:t>pār</w:t>
      </w:r>
      <w:proofErr w:type="spellEnd"/>
      <w:r>
        <w:t xml:space="preserve"> </w:t>
      </w:r>
      <w:proofErr w:type="spellStart"/>
      <w:r>
        <w:t>finanšu</w:t>
      </w:r>
      <w:proofErr w:type="spellEnd"/>
      <w:r>
        <w:t xml:space="preserve"> </w:t>
      </w:r>
      <w:proofErr w:type="spellStart"/>
      <w:r>
        <w:t>līdzekļiem</w:t>
      </w:r>
      <w:proofErr w:type="spellEnd"/>
      <w:r>
        <w:t>;</w:t>
      </w:r>
    </w:p>
    <w:p w14:paraId="08450209" w14:textId="77777777" w:rsidR="00801145" w:rsidRDefault="00801145" w:rsidP="0058503E">
      <w:pPr>
        <w:pStyle w:val="FootnoteText"/>
      </w:pPr>
      <w:r>
        <w:t xml:space="preserve">2) </w:t>
      </w:r>
      <w:proofErr w:type="spellStart"/>
      <w:r>
        <w:t>komercsabiedrība</w:t>
      </w:r>
      <w:proofErr w:type="spellEnd"/>
      <w:r>
        <w:t xml:space="preserve"> </w:t>
      </w:r>
      <w:proofErr w:type="spellStart"/>
      <w:r>
        <w:t>veic</w:t>
      </w:r>
      <w:proofErr w:type="spellEnd"/>
      <w:r>
        <w:t xml:space="preserve"> </w:t>
      </w:r>
      <w:proofErr w:type="spellStart"/>
      <w:r>
        <w:t>saimniecisko</w:t>
      </w:r>
      <w:proofErr w:type="spellEnd"/>
      <w:r>
        <w:t xml:space="preserve"> </w:t>
      </w:r>
      <w:proofErr w:type="spellStart"/>
      <w:r>
        <w:t>darbību</w:t>
      </w:r>
      <w:proofErr w:type="spellEnd"/>
      <w:r>
        <w:t xml:space="preserve"> un </w:t>
      </w:r>
      <w:proofErr w:type="spellStart"/>
      <w:r>
        <w:t>attiecībā</w:t>
      </w:r>
      <w:proofErr w:type="spellEnd"/>
      <w:r>
        <w:t xml:space="preserve"> </w:t>
      </w:r>
      <w:proofErr w:type="spellStart"/>
      <w:r>
        <w:t>uz</w:t>
      </w:r>
      <w:proofErr w:type="spellEnd"/>
      <w:r>
        <w:t xml:space="preserve"> </w:t>
      </w:r>
      <w:proofErr w:type="spellStart"/>
      <w:r>
        <w:t>saimniecisko</w:t>
      </w:r>
      <w:proofErr w:type="spellEnd"/>
      <w:r>
        <w:t xml:space="preserve"> </w:t>
      </w:r>
      <w:proofErr w:type="spellStart"/>
      <w:r>
        <w:t>darbību</w:t>
      </w:r>
      <w:proofErr w:type="spellEnd"/>
      <w:r>
        <w:t xml:space="preserve"> </w:t>
      </w:r>
      <w:proofErr w:type="spellStart"/>
      <w:r>
        <w:t>iegūst</w:t>
      </w:r>
      <w:proofErr w:type="spellEnd"/>
      <w:r>
        <w:t xml:space="preserve"> </w:t>
      </w:r>
      <w:proofErr w:type="spellStart"/>
      <w:r>
        <w:t>ekonomiskas</w:t>
      </w:r>
      <w:proofErr w:type="spellEnd"/>
      <w:r>
        <w:t xml:space="preserve"> </w:t>
      </w:r>
      <w:proofErr w:type="spellStart"/>
      <w:r>
        <w:t>priekšrocības</w:t>
      </w:r>
      <w:proofErr w:type="spellEnd"/>
      <w:r>
        <w:t xml:space="preserve">, </w:t>
      </w:r>
      <w:proofErr w:type="spellStart"/>
      <w:r>
        <w:t>kādas</w:t>
      </w:r>
      <w:proofErr w:type="spellEnd"/>
      <w:r>
        <w:t xml:space="preserve"> </w:t>
      </w:r>
      <w:proofErr w:type="spellStart"/>
      <w:r>
        <w:t>tā</w:t>
      </w:r>
      <w:proofErr w:type="spellEnd"/>
      <w:r>
        <w:t xml:space="preserve"> </w:t>
      </w:r>
      <w:proofErr w:type="spellStart"/>
      <w:r>
        <w:t>nevarētu</w:t>
      </w:r>
      <w:proofErr w:type="spellEnd"/>
      <w:r>
        <w:t xml:space="preserve"> </w:t>
      </w:r>
      <w:proofErr w:type="spellStart"/>
      <w:r>
        <w:t>iegūt</w:t>
      </w:r>
      <w:proofErr w:type="spellEnd"/>
      <w:r>
        <w:t xml:space="preserve">, </w:t>
      </w:r>
      <w:proofErr w:type="spellStart"/>
      <w:r>
        <w:t>ja</w:t>
      </w:r>
      <w:proofErr w:type="spellEnd"/>
      <w:r>
        <w:t xml:space="preserve"> </w:t>
      </w:r>
      <w:proofErr w:type="spellStart"/>
      <w:r>
        <w:t>komercdarbības</w:t>
      </w:r>
      <w:proofErr w:type="spellEnd"/>
      <w:r>
        <w:t xml:space="preserve"> </w:t>
      </w:r>
      <w:proofErr w:type="spellStart"/>
      <w:r>
        <w:t>atbalsts</w:t>
      </w:r>
      <w:proofErr w:type="spellEnd"/>
      <w:r>
        <w:t xml:space="preserve"> </w:t>
      </w:r>
      <w:proofErr w:type="spellStart"/>
      <w:r>
        <w:t>netiktu</w:t>
      </w:r>
      <w:proofErr w:type="spellEnd"/>
      <w:r>
        <w:t xml:space="preserve"> </w:t>
      </w:r>
      <w:proofErr w:type="spellStart"/>
      <w:r>
        <w:t>sniegts</w:t>
      </w:r>
      <w:proofErr w:type="spellEnd"/>
      <w:r>
        <w:t>;</w:t>
      </w:r>
    </w:p>
    <w:p w14:paraId="5A6BD103" w14:textId="77777777" w:rsidR="00801145" w:rsidRDefault="00801145" w:rsidP="0058503E">
      <w:pPr>
        <w:pStyle w:val="FootnoteText"/>
      </w:pPr>
      <w:r>
        <w:t xml:space="preserve">3) </w:t>
      </w:r>
      <w:proofErr w:type="spellStart"/>
      <w:r>
        <w:t>finansiālā</w:t>
      </w:r>
      <w:proofErr w:type="spellEnd"/>
      <w:r>
        <w:t xml:space="preserve"> </w:t>
      </w:r>
      <w:proofErr w:type="spellStart"/>
      <w:r>
        <w:t>palīdzība</w:t>
      </w:r>
      <w:proofErr w:type="spellEnd"/>
      <w:r>
        <w:t xml:space="preserve"> </w:t>
      </w:r>
      <w:proofErr w:type="spellStart"/>
      <w:r>
        <w:t>neattiecas</w:t>
      </w:r>
      <w:proofErr w:type="spellEnd"/>
      <w:r>
        <w:t xml:space="preserve"> </w:t>
      </w:r>
      <w:proofErr w:type="spellStart"/>
      <w:r>
        <w:t>uz</w:t>
      </w:r>
      <w:proofErr w:type="spellEnd"/>
      <w:r>
        <w:t xml:space="preserve"> </w:t>
      </w:r>
      <w:proofErr w:type="spellStart"/>
      <w:r>
        <w:t>visām</w:t>
      </w:r>
      <w:proofErr w:type="spellEnd"/>
      <w:r>
        <w:t xml:space="preserve"> </w:t>
      </w:r>
      <w:proofErr w:type="spellStart"/>
      <w:r>
        <w:t>komercsabiedrībām</w:t>
      </w:r>
      <w:proofErr w:type="spellEnd"/>
      <w:r>
        <w:t xml:space="preserve"> </w:t>
      </w:r>
      <w:proofErr w:type="spellStart"/>
      <w:r>
        <w:t>vienādi</w:t>
      </w:r>
      <w:proofErr w:type="spellEnd"/>
      <w:r>
        <w:t xml:space="preserve">, bet </w:t>
      </w:r>
      <w:proofErr w:type="spellStart"/>
      <w:r>
        <w:t>ir</w:t>
      </w:r>
      <w:proofErr w:type="spellEnd"/>
      <w:r>
        <w:t xml:space="preserve"> </w:t>
      </w:r>
      <w:proofErr w:type="spellStart"/>
      <w:r>
        <w:t>paredzēta</w:t>
      </w:r>
      <w:proofErr w:type="spellEnd"/>
      <w:r>
        <w:t xml:space="preserve"> </w:t>
      </w:r>
      <w:proofErr w:type="spellStart"/>
      <w:r>
        <w:t>komercsabiedrībām</w:t>
      </w:r>
      <w:proofErr w:type="spellEnd"/>
      <w:r>
        <w:t xml:space="preserve"> </w:t>
      </w:r>
      <w:proofErr w:type="spellStart"/>
      <w:r>
        <w:t>atkarībā</w:t>
      </w:r>
      <w:proofErr w:type="spellEnd"/>
      <w:r>
        <w:t xml:space="preserve"> no to </w:t>
      </w:r>
      <w:proofErr w:type="spellStart"/>
      <w:r>
        <w:t>lieluma</w:t>
      </w:r>
      <w:proofErr w:type="spellEnd"/>
      <w:r>
        <w:t xml:space="preserve">, </w:t>
      </w:r>
      <w:proofErr w:type="spellStart"/>
      <w:r>
        <w:t>darbības</w:t>
      </w:r>
      <w:proofErr w:type="spellEnd"/>
      <w:r>
        <w:t xml:space="preserve"> </w:t>
      </w:r>
      <w:proofErr w:type="spellStart"/>
      <w:r>
        <w:t>veida</w:t>
      </w:r>
      <w:proofErr w:type="spellEnd"/>
      <w:r>
        <w:t xml:space="preserve"> </w:t>
      </w:r>
      <w:proofErr w:type="spellStart"/>
      <w:r>
        <w:t>vai</w:t>
      </w:r>
      <w:proofErr w:type="spellEnd"/>
      <w:r>
        <w:t xml:space="preserve"> </w:t>
      </w:r>
      <w:proofErr w:type="spellStart"/>
      <w:r>
        <w:t>atrašanās</w:t>
      </w:r>
      <w:proofErr w:type="spellEnd"/>
      <w:r>
        <w:t xml:space="preserve"> </w:t>
      </w:r>
      <w:proofErr w:type="spellStart"/>
      <w:r>
        <w:t>vietas</w:t>
      </w:r>
      <w:proofErr w:type="spellEnd"/>
      <w:r>
        <w:t xml:space="preserve">, </w:t>
      </w:r>
      <w:proofErr w:type="spellStart"/>
      <w:r>
        <w:t>kā</w:t>
      </w:r>
      <w:proofErr w:type="spellEnd"/>
      <w:r>
        <w:t xml:space="preserve"> </w:t>
      </w:r>
      <w:proofErr w:type="spellStart"/>
      <w:r>
        <w:t>arī</w:t>
      </w:r>
      <w:proofErr w:type="spellEnd"/>
      <w:r>
        <w:t xml:space="preserve"> </w:t>
      </w:r>
      <w:proofErr w:type="spellStart"/>
      <w:r>
        <w:t>citiem</w:t>
      </w:r>
      <w:proofErr w:type="spellEnd"/>
      <w:r>
        <w:t xml:space="preserve"> </w:t>
      </w:r>
      <w:proofErr w:type="spellStart"/>
      <w:r>
        <w:t>diferencējošiem</w:t>
      </w:r>
      <w:proofErr w:type="spellEnd"/>
      <w:r>
        <w:t xml:space="preserve"> </w:t>
      </w:r>
      <w:proofErr w:type="spellStart"/>
      <w:r>
        <w:t>kritērijiem</w:t>
      </w:r>
      <w:proofErr w:type="spellEnd"/>
      <w:r>
        <w:t xml:space="preserve"> </w:t>
      </w:r>
      <w:proofErr w:type="spellStart"/>
      <w:r>
        <w:t>vai</w:t>
      </w:r>
      <w:proofErr w:type="spellEnd"/>
      <w:r>
        <w:t xml:space="preserve"> </w:t>
      </w:r>
      <w:proofErr w:type="spellStart"/>
      <w:r>
        <w:t>arī</w:t>
      </w:r>
      <w:proofErr w:type="spellEnd"/>
      <w:r>
        <w:t xml:space="preserve"> </w:t>
      </w:r>
      <w:proofErr w:type="spellStart"/>
      <w:r>
        <w:t>ir</w:t>
      </w:r>
      <w:proofErr w:type="spellEnd"/>
      <w:r>
        <w:t xml:space="preserve"> </w:t>
      </w:r>
      <w:proofErr w:type="spellStart"/>
      <w:r>
        <w:t>paredzēta</w:t>
      </w:r>
      <w:proofErr w:type="spellEnd"/>
      <w:r>
        <w:t xml:space="preserve"> </w:t>
      </w:r>
      <w:proofErr w:type="spellStart"/>
      <w:r>
        <w:t>tikai</w:t>
      </w:r>
      <w:proofErr w:type="spellEnd"/>
      <w:r>
        <w:t xml:space="preserve"> </w:t>
      </w:r>
      <w:proofErr w:type="spellStart"/>
      <w:r>
        <w:t>konkrētai</w:t>
      </w:r>
      <w:proofErr w:type="spellEnd"/>
      <w:r>
        <w:t xml:space="preserve"> </w:t>
      </w:r>
      <w:proofErr w:type="spellStart"/>
      <w:r>
        <w:t>komercsabiedrībai</w:t>
      </w:r>
      <w:proofErr w:type="spellEnd"/>
      <w:r>
        <w:t>;</w:t>
      </w:r>
    </w:p>
    <w:p w14:paraId="753E4455" w14:textId="77777777" w:rsidR="00801145" w:rsidRPr="007C5AF7" w:rsidRDefault="00801145" w:rsidP="0058503E">
      <w:pPr>
        <w:pStyle w:val="FootnoteText"/>
        <w:rPr>
          <w:lang w:val="lv-LV"/>
        </w:rPr>
      </w:pPr>
      <w:r>
        <w:t xml:space="preserve">4) </w:t>
      </w:r>
      <w:proofErr w:type="spellStart"/>
      <w:proofErr w:type="gramStart"/>
      <w:r>
        <w:t>finansiālā</w:t>
      </w:r>
      <w:proofErr w:type="spellEnd"/>
      <w:proofErr w:type="gramEnd"/>
      <w:r>
        <w:t xml:space="preserve"> </w:t>
      </w:r>
      <w:proofErr w:type="spellStart"/>
      <w:r>
        <w:t>palīdzība</w:t>
      </w:r>
      <w:proofErr w:type="spellEnd"/>
      <w:r>
        <w:t xml:space="preserve"> </w:t>
      </w:r>
      <w:proofErr w:type="spellStart"/>
      <w:r>
        <w:t>ietekmē</w:t>
      </w:r>
      <w:proofErr w:type="spellEnd"/>
      <w:r>
        <w:t xml:space="preserve"> </w:t>
      </w:r>
      <w:proofErr w:type="spellStart"/>
      <w:r>
        <w:t>tirdzniecību</w:t>
      </w:r>
      <w:proofErr w:type="spellEnd"/>
      <w:r>
        <w:t xml:space="preserve"> un </w:t>
      </w:r>
      <w:proofErr w:type="spellStart"/>
      <w:r>
        <w:t>izkropļo</w:t>
      </w:r>
      <w:proofErr w:type="spellEnd"/>
      <w:r>
        <w:t xml:space="preserve"> </w:t>
      </w:r>
      <w:proofErr w:type="spellStart"/>
      <w:r>
        <w:t>konkurenci</w:t>
      </w:r>
      <w:proofErr w:type="spellEnd"/>
      <w:r>
        <w:t xml:space="preserve"> </w:t>
      </w:r>
      <w:proofErr w:type="spellStart"/>
      <w:r>
        <w:t>Eiropas</w:t>
      </w:r>
      <w:proofErr w:type="spellEnd"/>
      <w:r>
        <w:t xml:space="preserve"> </w:t>
      </w:r>
      <w:proofErr w:type="spellStart"/>
      <w:r>
        <w:t>Savienības</w:t>
      </w:r>
      <w:proofErr w:type="spellEnd"/>
      <w:r>
        <w:t xml:space="preserve"> </w:t>
      </w:r>
      <w:proofErr w:type="spellStart"/>
      <w:r>
        <w:t>iekšējā</w:t>
      </w:r>
      <w:proofErr w:type="spellEnd"/>
      <w:r>
        <w:t xml:space="preserve"> </w:t>
      </w:r>
      <w:proofErr w:type="spellStart"/>
      <w:r>
        <w:t>tirgū</w:t>
      </w:r>
      <w:proofErr w:type="spellEnd"/>
      <w:r>
        <w:t>.</w:t>
      </w:r>
    </w:p>
  </w:footnote>
  <w:footnote w:id="4">
    <w:p w14:paraId="70D06324" w14:textId="77777777" w:rsidR="00801145" w:rsidRDefault="00801145">
      <w:pPr>
        <w:pStyle w:val="FootnoteText"/>
      </w:pPr>
      <w:r>
        <w:rPr>
          <w:rStyle w:val="FootnoteReference"/>
        </w:rPr>
        <w:footnoteRef/>
      </w:r>
      <w:proofErr w:type="spellStart"/>
      <w:r>
        <w:t>Skaidrojums</w:t>
      </w:r>
      <w:proofErr w:type="spellEnd"/>
      <w:r>
        <w:t xml:space="preserve"> </w:t>
      </w:r>
      <w:proofErr w:type="spellStart"/>
      <w:r>
        <w:t>pieejams</w:t>
      </w:r>
      <w:proofErr w:type="spellEnd"/>
      <w:r>
        <w:t xml:space="preserve"> </w:t>
      </w:r>
      <w:proofErr w:type="spellStart"/>
      <w:r>
        <w:t>tīmekļvietnē</w:t>
      </w:r>
      <w:proofErr w:type="spellEnd"/>
      <w:r>
        <w:t xml:space="preserve"> </w:t>
      </w:r>
    </w:p>
    <w:p w14:paraId="05785C6F" w14:textId="77777777" w:rsidR="00801145" w:rsidRPr="006821B4" w:rsidRDefault="001E7FDF">
      <w:pPr>
        <w:pStyle w:val="FootnoteText"/>
        <w:rPr>
          <w:i/>
          <w:lang w:val="en-US"/>
        </w:rPr>
      </w:pPr>
      <w:hyperlink r:id="rId1" w:history="1">
        <w:r w:rsidR="00801145" w:rsidRPr="000C19D8">
          <w:rPr>
            <w:rStyle w:val="Hyperlink"/>
          </w:rPr>
          <w:t>https://webgate.ec.europa.eu/fpfis/wikis/display/StateAid/Para+207+-+Economic+activity+versus+non-economic+activity</w:t>
        </w:r>
      </w:hyperlink>
      <w:r w:rsidR="00801145">
        <w:t xml:space="preserve"> </w:t>
      </w:r>
      <w:r w:rsidR="00801145" w:rsidRPr="002C5C30">
        <w:t xml:space="preserve"> </w:t>
      </w:r>
      <w:r w:rsidR="00801145" w:rsidRPr="006821B4">
        <w:rPr>
          <w:i/>
          <w:lang w:val="en-US"/>
        </w:rPr>
        <w:t>customary amenities are, because of their location, linked to an infrastructure, they offer paid services to its users, facilitating their access to and use of the infrastructure which performs non-economic activities, but are not intrinsically linked, nor directly related to and necessary to its operation as such. They perform an activity, which is not using the same inputs as the non-economic activities, even if they may indirectly benefit from the infrastructure’s public funding. For customary amenities, there is no limitation of capacity use expressed as a percentage since there is no requirement to use the same input materials. Moreover, the concept of customary amenities is based on the fact that these activities do not have an effect on trade and therefore a careful assessment of all the particular features of a case is necessary….</w:t>
      </w:r>
      <w:r w:rsidR="00801145">
        <w:rPr>
          <w:i/>
          <w:lang w:val="en-US"/>
        </w:rPr>
        <w:t>s</w:t>
      </w:r>
      <w:r w:rsidR="00801145" w:rsidRPr="006821B4">
        <w:rPr>
          <w:i/>
          <w:lang w:val="en-US"/>
        </w:rPr>
        <w:t>ervices typically offered on a university campus and useful for students or university employees, such as copying services, will typically be customary amenities, since they will be unlikely to attract customers from other Member States and to have more than a marginal effect on cross-border investments or establishment.</w:t>
      </w:r>
    </w:p>
  </w:footnote>
  <w:footnote w:id="5">
    <w:p w14:paraId="757EC7A4" w14:textId="77777777" w:rsidR="00801145" w:rsidRDefault="00801145" w:rsidP="005D2E8D">
      <w:pPr>
        <w:pStyle w:val="FootnoteText"/>
      </w:pPr>
      <w:r>
        <w:rPr>
          <w:rStyle w:val="FootnoteReference"/>
        </w:rPr>
        <w:footnoteRef/>
      </w:r>
      <w:r>
        <w:t xml:space="preserve"> 28.07.2017. DG COMP e-State Aid WIKI </w:t>
      </w:r>
      <w:proofErr w:type="spellStart"/>
      <w:r>
        <w:t>sistēmā</w:t>
      </w:r>
      <w:proofErr w:type="spellEnd"/>
      <w:r>
        <w:t xml:space="preserve"> </w:t>
      </w:r>
      <w:proofErr w:type="spellStart"/>
      <w:r>
        <w:t>sniegtais</w:t>
      </w:r>
      <w:proofErr w:type="spellEnd"/>
      <w:r>
        <w:t xml:space="preserve"> </w:t>
      </w:r>
      <w:proofErr w:type="spellStart"/>
      <w:r>
        <w:t>skaidrojums</w:t>
      </w:r>
      <w:proofErr w:type="spellEnd"/>
      <w:r>
        <w:t>:</w:t>
      </w:r>
    </w:p>
    <w:p w14:paraId="1BBDDD0F" w14:textId="77777777" w:rsidR="00801145" w:rsidRDefault="00801145" w:rsidP="005D2E8D">
      <w:pPr>
        <w:pStyle w:val="FootnoteText"/>
      </w:pPr>
      <w:r>
        <w:t>a) Point 18 of the RDI Framework clearly states that to avoid cross-subsidisation of the economic activity (if the research infrastructure performs both economic and non-economic activities), "the two kind of activities and their costs, funding and revenues" shall be clearly separated by means of separate account systems. Where a research infrastructure is " organized in network, this should be done both at the level of each site and at aggregated level.</w:t>
      </w:r>
    </w:p>
    <w:p w14:paraId="5DD6534D" w14:textId="77777777" w:rsidR="00801145" w:rsidRDefault="00801145" w:rsidP="005D2E8D">
      <w:pPr>
        <w:pStyle w:val="FootnoteText"/>
      </w:pPr>
      <w:r>
        <w:t>b) The RDI Framework defines research infrastructure as a specific type of asset, used by the scientific community, but it does not link the definition to specific conditions its owner or operator has to meet. To answer the question of whether the public financing of investments into (the upgrade of) research infrastructures constitutes state aid, the question of by whom it is owned or operated is irrelevant.  Decisive is exclusively the question of whether it is used for non-economic or economic activities. Paragraph 19 and 20 of the RDI Framework give relevant guidance.</w:t>
      </w:r>
    </w:p>
    <w:p w14:paraId="02469C6D" w14:textId="77777777" w:rsidR="00801145" w:rsidRDefault="00801145" w:rsidP="005D2E8D">
      <w:pPr>
        <w:pStyle w:val="FootnoteText"/>
      </w:pPr>
      <w:r>
        <w:t xml:space="preserve">c) To prevent the application of the claw-back mechanism, the research infrastructure must not be used for economic activities during its whole lifetime. </w:t>
      </w:r>
      <w:r w:rsidRPr="005D2E8D">
        <w:rPr>
          <w:b/>
        </w:rPr>
        <w:t>The ancillary character of possible economic activities shall be verified on an annual basis. The relevant period to perform this check is the depreciation period.</w:t>
      </w:r>
    </w:p>
    <w:p w14:paraId="69EBA0D7" w14:textId="77777777" w:rsidR="00801145" w:rsidRDefault="00801145" w:rsidP="005D2E8D">
      <w:pPr>
        <w:pStyle w:val="FootnoteText"/>
      </w:pPr>
      <w:r>
        <w:t>e) Standard accountancy rules at national and/or or European level have to be taken into account.</w:t>
      </w:r>
    </w:p>
    <w:p w14:paraId="0F864E7F" w14:textId="77777777" w:rsidR="00801145" w:rsidRDefault="00801145" w:rsidP="005D2E8D">
      <w:pPr>
        <w:pStyle w:val="FootnoteText"/>
      </w:pPr>
      <w:r>
        <w:t>f) There is no exhaustive list of what "economic activities" are, and we invite you to refer to the notion of "economic activity" that can be found in well-established ECJ case law.</w:t>
      </w:r>
    </w:p>
    <w:p w14:paraId="2E7E2851" w14:textId="77777777" w:rsidR="00801145" w:rsidRDefault="00801145" w:rsidP="005D2E8D">
      <w:pPr>
        <w:pStyle w:val="FootnoteText"/>
      </w:pPr>
      <w:r>
        <w:t>g) If the activity is non-economic in nature, all necessary costs linked to it may benefit from public financing. If the activity is economic in nature, and not ancillary to a non-economic activity, only , tangible and intangible assets necessary to set up or upgrade the research infrastructure are eligible (under the GBER, with an aid intensity of 50%). All operating costs (including maintenance) linked to economic (not ancillary) activity are not eligible for aid.</w:t>
      </w:r>
    </w:p>
    <w:p w14:paraId="38DD7E86" w14:textId="77777777" w:rsidR="00801145" w:rsidRPr="005D2E8D" w:rsidRDefault="00801145" w:rsidP="005D2E8D">
      <w:pPr>
        <w:pStyle w:val="FootnoteText"/>
        <w:rPr>
          <w:lang w:val="lv-LV"/>
        </w:rPr>
      </w:pPr>
      <w:r>
        <w:t>13.06.2017.:As the eligible costs under Article 26 of the GBER are the investment costs relating to the construction or upgrade of research infrastructures that perform economic activities, the period to be considered for the purpose of monitoring and claw-back would be the depreciation period of the relevant assets. In this context, the role of the claw-back mechanism is to ensure that variations in the share of economic activities that could not have been estimated ex ante in an accurate manner are, where necessary, duly taken in consideration during that period.</w:t>
      </w:r>
    </w:p>
  </w:footnote>
  <w:footnote w:id="6">
    <w:p w14:paraId="244B9F04" w14:textId="77777777" w:rsidR="00801145" w:rsidRDefault="00801145" w:rsidP="006C738E">
      <w:pPr>
        <w:pStyle w:val="FootnoteText"/>
      </w:pPr>
      <w:r>
        <w:rPr>
          <w:rStyle w:val="FootnoteReference"/>
        </w:rPr>
        <w:footnoteRef/>
      </w:r>
      <w:r>
        <w:t xml:space="preserve"> DG COMP e-State Aid WIKI </w:t>
      </w:r>
      <w:proofErr w:type="spellStart"/>
      <w:r>
        <w:t>sistēmā</w:t>
      </w:r>
      <w:proofErr w:type="spellEnd"/>
      <w:r>
        <w:t xml:space="preserve"> </w:t>
      </w:r>
      <w:proofErr w:type="spellStart"/>
      <w:r>
        <w:t>sniegtais</w:t>
      </w:r>
      <w:proofErr w:type="spellEnd"/>
      <w:r>
        <w:t xml:space="preserve"> </w:t>
      </w:r>
      <w:proofErr w:type="spellStart"/>
      <w:r>
        <w:t>skaidrojums</w:t>
      </w:r>
      <w:proofErr w:type="spellEnd"/>
      <w:r>
        <w:t xml:space="preserve"> (https://webgate.ec.europa.eu/fpfis/wikis/pages/viewpage.action?pageId=141596904):</w:t>
      </w:r>
    </w:p>
    <w:p w14:paraId="0420291C" w14:textId="77777777" w:rsidR="00801145" w:rsidRDefault="00801145" w:rsidP="006C738E">
      <w:pPr>
        <w:pStyle w:val="FootnoteText"/>
      </w:pPr>
      <w:r>
        <w:t>Question: applicability of claw-back mechanism</w:t>
      </w:r>
    </w:p>
    <w:p w14:paraId="60D5C3AD" w14:textId="77777777" w:rsidR="00801145" w:rsidRDefault="00801145" w:rsidP="006C738E">
      <w:pPr>
        <w:pStyle w:val="FootnoteText"/>
      </w:pPr>
      <w:r>
        <w:t>•</w:t>
      </w:r>
      <w:r>
        <w:tab/>
        <w:t>Whether it is possible to apply the claw-back mechanism if initially an activity was qualified as non-economic but during the implementation of the project it becomes an economic activity? If this approach is possible, how to enforce the claw-back mechanism taking into account that for non-economic activities not all requirements set in Commission regulation No.651/2014, inter alia in Chapter I of Commission regulation No.651/2014, were assessed at the time of granting the aid (for instance, incentive effect)?</w:t>
      </w:r>
    </w:p>
    <w:p w14:paraId="03C0C002" w14:textId="77777777" w:rsidR="00801145" w:rsidRDefault="00801145" w:rsidP="006C738E">
      <w:pPr>
        <w:pStyle w:val="FootnoteText"/>
      </w:pPr>
      <w:r>
        <w:t>REPLY: Yes, it is possible to apply a claw-back mechanism and for measures under GBER such claw-back mechanism should be applied. Whether funds need to be clawed back, must be checked on a year by year basis. The fact that it was not assessed at the moment of granting whether all requirements of the GBER were fulfilled, is not an issue, since it was not necessary to verify these requirements at that time. It is however necessary that the GBER requirements are met in reality, except the formal incentive effect requirement (i.e. not starting the works before the application to the Member State).</w:t>
      </w:r>
    </w:p>
    <w:p w14:paraId="1492BF62" w14:textId="77777777" w:rsidR="00801145" w:rsidRDefault="00801145" w:rsidP="006C738E">
      <w:pPr>
        <w:pStyle w:val="FootnoteText"/>
      </w:pPr>
      <w:r>
        <w:t>•</w:t>
      </w:r>
      <w:r>
        <w:tab/>
        <w:t>Can this claw-back mechanism be applied only in the case if the project simultaneously contains economic and non-economic activities?</w:t>
      </w:r>
    </w:p>
    <w:p w14:paraId="5CC4BDFC" w14:textId="77777777" w:rsidR="00801145" w:rsidRPr="00A7588B" w:rsidRDefault="00801145" w:rsidP="00A7588B">
      <w:pPr>
        <w:pStyle w:val="FootnoteText"/>
      </w:pPr>
      <w:r>
        <w:t>REPLY: The claw-back mechanism must be in place for the research infrastructure and, hence, for all its activities, whether or not they take place in a single project.</w:t>
      </w:r>
    </w:p>
  </w:footnote>
  <w:footnote w:id="7">
    <w:p w14:paraId="02B94CE9" w14:textId="77777777" w:rsidR="00801145" w:rsidRPr="0078408D" w:rsidRDefault="00801145" w:rsidP="006F61EB">
      <w:pPr>
        <w:pStyle w:val="FootnoteText"/>
        <w:rPr>
          <w:lang w:val="lv-LV"/>
        </w:rPr>
      </w:pPr>
      <w:r w:rsidRPr="0078408D">
        <w:rPr>
          <w:rStyle w:val="FootnoteReference"/>
        </w:rPr>
        <w:footnoteRef/>
      </w:r>
      <w:r w:rsidRPr="0078408D">
        <w:t xml:space="preserve"> 3. </w:t>
      </w:r>
      <w:proofErr w:type="spellStart"/>
      <w:r w:rsidRPr="0078408D">
        <w:t>nodaļa</w:t>
      </w:r>
      <w:proofErr w:type="spellEnd"/>
      <w:r w:rsidRPr="0078408D">
        <w:t xml:space="preserve"> “</w:t>
      </w:r>
      <w:proofErr w:type="spellStart"/>
      <w:r w:rsidRPr="0078408D">
        <w:t>Nomas</w:t>
      </w:r>
      <w:proofErr w:type="spellEnd"/>
      <w:r w:rsidRPr="0078408D">
        <w:t xml:space="preserve"> </w:t>
      </w:r>
      <w:proofErr w:type="spellStart"/>
      <w:r w:rsidRPr="0078408D">
        <w:t>maksas</w:t>
      </w:r>
      <w:proofErr w:type="spellEnd"/>
      <w:r w:rsidRPr="0078408D">
        <w:t xml:space="preserve"> </w:t>
      </w:r>
      <w:proofErr w:type="spellStart"/>
      <w:r w:rsidRPr="0078408D">
        <w:t>noteikšanas</w:t>
      </w:r>
      <w:proofErr w:type="spellEnd"/>
      <w:r w:rsidRPr="0078408D">
        <w:t xml:space="preserve"> </w:t>
      </w:r>
      <w:proofErr w:type="spellStart"/>
      <w:r w:rsidRPr="0078408D">
        <w:t>metodika</w:t>
      </w:r>
      <w:proofErr w:type="spellEnd"/>
      <w:r w:rsidRPr="0078408D">
        <w:t xml:space="preserve">, </w:t>
      </w:r>
      <w:proofErr w:type="spellStart"/>
      <w:r w:rsidRPr="0078408D">
        <w:t>ja</w:t>
      </w:r>
      <w:proofErr w:type="spellEnd"/>
      <w:r w:rsidRPr="0078408D">
        <w:t xml:space="preserve"> </w:t>
      </w:r>
      <w:proofErr w:type="spellStart"/>
      <w:r w:rsidRPr="0078408D">
        <w:t>nekustamo</w:t>
      </w:r>
      <w:proofErr w:type="spellEnd"/>
      <w:r w:rsidRPr="0078408D">
        <w:t xml:space="preserve"> </w:t>
      </w:r>
      <w:proofErr w:type="spellStart"/>
      <w:r w:rsidRPr="0078408D">
        <w:t>īpašumu</w:t>
      </w:r>
      <w:proofErr w:type="spellEnd"/>
      <w:r w:rsidRPr="0078408D">
        <w:t xml:space="preserve"> </w:t>
      </w:r>
      <w:proofErr w:type="spellStart"/>
      <w:r w:rsidRPr="0078408D">
        <w:t>iznomā</w:t>
      </w:r>
      <w:proofErr w:type="spellEnd"/>
      <w:r w:rsidRPr="0078408D">
        <w:t xml:space="preserve"> </w:t>
      </w:r>
      <w:proofErr w:type="spellStart"/>
      <w:r w:rsidRPr="0078408D">
        <w:t>publiskai</w:t>
      </w:r>
      <w:proofErr w:type="spellEnd"/>
      <w:r w:rsidRPr="0078408D">
        <w:t xml:space="preserve"> </w:t>
      </w:r>
      <w:proofErr w:type="spellStart"/>
      <w:r w:rsidRPr="0078408D">
        <w:t>personai</w:t>
      </w:r>
      <w:proofErr w:type="spellEnd"/>
      <w:r w:rsidRPr="0078408D">
        <w:t xml:space="preserve"> </w:t>
      </w:r>
      <w:proofErr w:type="spellStart"/>
      <w:r w:rsidRPr="0078408D">
        <w:t>vai</w:t>
      </w:r>
      <w:proofErr w:type="spellEnd"/>
      <w:r w:rsidRPr="0078408D">
        <w:t xml:space="preserve"> </w:t>
      </w:r>
      <w:proofErr w:type="spellStart"/>
      <w:r w:rsidRPr="0078408D">
        <w:t>tās</w:t>
      </w:r>
      <w:proofErr w:type="spellEnd"/>
      <w:r w:rsidRPr="0078408D">
        <w:t xml:space="preserve"> </w:t>
      </w:r>
      <w:proofErr w:type="spellStart"/>
      <w:r w:rsidRPr="0078408D">
        <w:t>iestādei</w:t>
      </w:r>
      <w:proofErr w:type="spellEnd"/>
      <w:r w:rsidRPr="0078408D">
        <w:t xml:space="preserve">, </w:t>
      </w:r>
      <w:proofErr w:type="spellStart"/>
      <w:r w:rsidRPr="0078408D">
        <w:t>kapitālsabiedrībai</w:t>
      </w:r>
      <w:proofErr w:type="spellEnd"/>
      <w:r w:rsidRPr="0078408D">
        <w:t xml:space="preserve"> </w:t>
      </w:r>
      <w:proofErr w:type="spellStart"/>
      <w:r w:rsidRPr="0078408D">
        <w:t>vai</w:t>
      </w:r>
      <w:proofErr w:type="spellEnd"/>
      <w:r w:rsidRPr="0078408D">
        <w:t xml:space="preserve"> </w:t>
      </w:r>
      <w:proofErr w:type="spellStart"/>
      <w:r w:rsidRPr="0078408D">
        <w:t>privātpersonai</w:t>
      </w:r>
      <w:proofErr w:type="spellEnd"/>
      <w:r w:rsidRPr="0078408D">
        <w:t xml:space="preserve"> </w:t>
      </w:r>
      <w:proofErr w:type="spellStart"/>
      <w:r w:rsidRPr="0078408D">
        <w:t>publiskas</w:t>
      </w:r>
      <w:proofErr w:type="spellEnd"/>
      <w:r w:rsidRPr="0078408D">
        <w:t xml:space="preserve"> </w:t>
      </w:r>
      <w:proofErr w:type="spellStart"/>
      <w:r w:rsidRPr="0078408D">
        <w:t>funkcijas</w:t>
      </w:r>
      <w:proofErr w:type="spellEnd"/>
      <w:r w:rsidRPr="0078408D">
        <w:t xml:space="preserve"> </w:t>
      </w:r>
      <w:proofErr w:type="spellStart"/>
      <w:r w:rsidRPr="0078408D">
        <w:t>vai</w:t>
      </w:r>
      <w:proofErr w:type="spellEnd"/>
      <w:r w:rsidRPr="0078408D">
        <w:t xml:space="preserve"> </w:t>
      </w:r>
      <w:proofErr w:type="spellStart"/>
      <w:r w:rsidRPr="0078408D">
        <w:t>deleģēta</w:t>
      </w:r>
      <w:proofErr w:type="spellEnd"/>
      <w:r w:rsidRPr="0078408D">
        <w:t xml:space="preserve"> </w:t>
      </w:r>
      <w:proofErr w:type="spellStart"/>
      <w:r w:rsidRPr="0078408D">
        <w:t>valsts</w:t>
      </w:r>
      <w:proofErr w:type="spellEnd"/>
      <w:r w:rsidRPr="0078408D">
        <w:t xml:space="preserve"> </w:t>
      </w:r>
      <w:proofErr w:type="spellStart"/>
      <w:r w:rsidRPr="0078408D">
        <w:t>pārvaldes</w:t>
      </w:r>
      <w:proofErr w:type="spellEnd"/>
      <w:r w:rsidRPr="0078408D">
        <w:t xml:space="preserve"> </w:t>
      </w:r>
      <w:proofErr w:type="spellStart"/>
      <w:r w:rsidRPr="0078408D">
        <w:t>uzdevuma</w:t>
      </w:r>
      <w:proofErr w:type="spellEnd"/>
      <w:r w:rsidRPr="0078408D">
        <w:t xml:space="preserve"> </w:t>
      </w:r>
      <w:proofErr w:type="spellStart"/>
      <w:r w:rsidRPr="0078408D">
        <w:t>veikšanai</w:t>
      </w:r>
      <w:proofErr w:type="spellEnd"/>
      <w:r w:rsidRPr="0078408D">
        <w:t>”</w:t>
      </w:r>
    </w:p>
  </w:footnote>
  <w:footnote w:id="8">
    <w:p w14:paraId="19C82A63" w14:textId="77777777" w:rsidR="00801145" w:rsidRPr="0078408D" w:rsidRDefault="00801145" w:rsidP="008F63F5">
      <w:pPr>
        <w:pStyle w:val="FootnoteText"/>
        <w:rPr>
          <w:lang w:val="lv-LV"/>
        </w:rPr>
      </w:pPr>
      <w:r w:rsidRPr="0078408D">
        <w:rPr>
          <w:rStyle w:val="FootnoteReference"/>
        </w:rPr>
        <w:footnoteRef/>
      </w:r>
      <w:r w:rsidRPr="0078408D">
        <w:t xml:space="preserve"> </w:t>
      </w:r>
      <w:r w:rsidRPr="0078408D">
        <w:rPr>
          <w:lang w:val="lv-LV"/>
        </w:rPr>
        <w:t>4. Nosacītās nomas maksas noteikšanas metodika, ja nomas objektu iznomā privāto tiesību subjektam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9DE1" w14:textId="77777777" w:rsidR="0052111D" w:rsidRDefault="00521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8B1E" w14:textId="1AF1E21D" w:rsidR="00801145" w:rsidRPr="004D15A9" w:rsidRDefault="00801145">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977AEA">
      <w:rPr>
        <w:rFonts w:ascii="Times New Roman" w:hAnsi="Times New Roman"/>
        <w:noProof/>
        <w:sz w:val="24"/>
        <w:szCs w:val="24"/>
      </w:rPr>
      <w:t>20</w:t>
    </w:r>
    <w:r w:rsidRPr="004D15A9">
      <w:rPr>
        <w:rFonts w:ascii="Times New Roman" w:hAnsi="Times New Roman"/>
        <w:sz w:val="24"/>
        <w:szCs w:val="24"/>
      </w:rPr>
      <w:fldChar w:fldCharType="end"/>
    </w:r>
  </w:p>
  <w:p w14:paraId="0792E561" w14:textId="77777777" w:rsidR="00801145" w:rsidRDefault="00801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BBE6" w14:textId="77777777" w:rsidR="0052111D" w:rsidRDefault="00521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CBD"/>
    <w:multiLevelType w:val="hybridMultilevel"/>
    <w:tmpl w:val="5C00086E"/>
    <w:lvl w:ilvl="0" w:tplc="08EE0C3A">
      <w:start w:val="1"/>
      <w:numFmt w:val="lowerLetter"/>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
    <w:nsid w:val="27BC0509"/>
    <w:multiLevelType w:val="hybridMultilevel"/>
    <w:tmpl w:val="60C4A25C"/>
    <w:lvl w:ilvl="0" w:tplc="6B92426A">
      <w:start w:val="1"/>
      <w:numFmt w:val="lowerLetter"/>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2">
    <w:nsid w:val="334A520C"/>
    <w:multiLevelType w:val="hybridMultilevel"/>
    <w:tmpl w:val="25E8AD4E"/>
    <w:lvl w:ilvl="0" w:tplc="D5E2DD2A">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3">
    <w:nsid w:val="3C6409D2"/>
    <w:multiLevelType w:val="hybridMultilevel"/>
    <w:tmpl w:val="6C0EB9CC"/>
    <w:lvl w:ilvl="0" w:tplc="D38C424A">
      <w:numFmt w:val="bullet"/>
      <w:lvlText w:val="–"/>
      <w:lvlJc w:val="left"/>
      <w:pPr>
        <w:ind w:left="461" w:hanging="360"/>
      </w:pPr>
      <w:rPr>
        <w:rFonts w:ascii="Times New Roman" w:eastAsia="Times New Roman"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4">
    <w:nsid w:val="51E57FE9"/>
    <w:multiLevelType w:val="hybridMultilevel"/>
    <w:tmpl w:val="6866A52A"/>
    <w:lvl w:ilvl="0" w:tplc="034A7D4C">
      <w:start w:val="1"/>
      <w:numFmt w:val="upperRoman"/>
      <w:lvlText w:val="%1."/>
      <w:lvlJc w:val="left"/>
      <w:pPr>
        <w:ind w:left="821" w:hanging="72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5">
    <w:nsid w:val="538720B6"/>
    <w:multiLevelType w:val="hybridMultilevel"/>
    <w:tmpl w:val="1E703000"/>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6">
    <w:nsid w:val="5D1E22F1"/>
    <w:multiLevelType w:val="hybridMultilevel"/>
    <w:tmpl w:val="3E827F62"/>
    <w:lvl w:ilvl="0" w:tplc="2550E7B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7">
    <w:nsid w:val="5DB52212"/>
    <w:multiLevelType w:val="hybridMultilevel"/>
    <w:tmpl w:val="F25A0B74"/>
    <w:lvl w:ilvl="0" w:tplc="2FD085F8">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8">
    <w:nsid w:val="656F184A"/>
    <w:multiLevelType w:val="hybridMultilevel"/>
    <w:tmpl w:val="67DE4D6E"/>
    <w:lvl w:ilvl="0" w:tplc="CCECF0B8">
      <w:start w:val="1"/>
      <w:numFmt w:val="decimal"/>
      <w:lvlText w:val="%1."/>
      <w:lvlJc w:val="left"/>
      <w:pPr>
        <w:ind w:left="461" w:hanging="360"/>
      </w:pPr>
      <w:rPr>
        <w:rFonts w:hint="default"/>
        <w:i w:val="0"/>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num w:numId="1">
    <w:abstractNumId w:val="6"/>
  </w:num>
  <w:num w:numId="2">
    <w:abstractNumId w:val="5"/>
  </w:num>
  <w:num w:numId="3">
    <w:abstractNumId w:val="8"/>
  </w:num>
  <w:num w:numId="4">
    <w:abstractNumId w:val="2"/>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F33"/>
    <w:rsid w:val="00004D95"/>
    <w:rsid w:val="00005653"/>
    <w:rsid w:val="00005A77"/>
    <w:rsid w:val="000064B9"/>
    <w:rsid w:val="000066A7"/>
    <w:rsid w:val="00007C97"/>
    <w:rsid w:val="000109F0"/>
    <w:rsid w:val="00010EDF"/>
    <w:rsid w:val="0001402D"/>
    <w:rsid w:val="00014D27"/>
    <w:rsid w:val="0001567A"/>
    <w:rsid w:val="00016DC4"/>
    <w:rsid w:val="00023F93"/>
    <w:rsid w:val="0002748E"/>
    <w:rsid w:val="00030A9E"/>
    <w:rsid w:val="0003107E"/>
    <w:rsid w:val="00031156"/>
    <w:rsid w:val="00031256"/>
    <w:rsid w:val="000324E8"/>
    <w:rsid w:val="00032583"/>
    <w:rsid w:val="00033EF7"/>
    <w:rsid w:val="000340AD"/>
    <w:rsid w:val="00034BC3"/>
    <w:rsid w:val="00036A1F"/>
    <w:rsid w:val="00041B4A"/>
    <w:rsid w:val="00041C2C"/>
    <w:rsid w:val="00046D2F"/>
    <w:rsid w:val="00053A4E"/>
    <w:rsid w:val="00053BBC"/>
    <w:rsid w:val="00053CC3"/>
    <w:rsid w:val="00053D39"/>
    <w:rsid w:val="00053D91"/>
    <w:rsid w:val="00054499"/>
    <w:rsid w:val="00055D11"/>
    <w:rsid w:val="00063682"/>
    <w:rsid w:val="00064841"/>
    <w:rsid w:val="000725CA"/>
    <w:rsid w:val="00075897"/>
    <w:rsid w:val="000767A4"/>
    <w:rsid w:val="00077CDB"/>
    <w:rsid w:val="00083FD9"/>
    <w:rsid w:val="000842E4"/>
    <w:rsid w:val="00084C4C"/>
    <w:rsid w:val="00084D70"/>
    <w:rsid w:val="00086CCD"/>
    <w:rsid w:val="00087390"/>
    <w:rsid w:val="0008747F"/>
    <w:rsid w:val="00092254"/>
    <w:rsid w:val="0009253E"/>
    <w:rsid w:val="00094B50"/>
    <w:rsid w:val="00097548"/>
    <w:rsid w:val="000A0892"/>
    <w:rsid w:val="000A0E01"/>
    <w:rsid w:val="000A1BFB"/>
    <w:rsid w:val="000A2470"/>
    <w:rsid w:val="000A3A6B"/>
    <w:rsid w:val="000A3EB6"/>
    <w:rsid w:val="000A409D"/>
    <w:rsid w:val="000A4261"/>
    <w:rsid w:val="000A610A"/>
    <w:rsid w:val="000A6A16"/>
    <w:rsid w:val="000A6D77"/>
    <w:rsid w:val="000B02BF"/>
    <w:rsid w:val="000B1816"/>
    <w:rsid w:val="000B3BB2"/>
    <w:rsid w:val="000B3D58"/>
    <w:rsid w:val="000B4316"/>
    <w:rsid w:val="000B67B7"/>
    <w:rsid w:val="000B6CDB"/>
    <w:rsid w:val="000B7A0F"/>
    <w:rsid w:val="000C0C45"/>
    <w:rsid w:val="000C1EB7"/>
    <w:rsid w:val="000C2226"/>
    <w:rsid w:val="000C2ECF"/>
    <w:rsid w:val="000C5134"/>
    <w:rsid w:val="000C5C5C"/>
    <w:rsid w:val="000C687A"/>
    <w:rsid w:val="000C7A15"/>
    <w:rsid w:val="000D0695"/>
    <w:rsid w:val="000D0BF9"/>
    <w:rsid w:val="000D0E7C"/>
    <w:rsid w:val="000D2469"/>
    <w:rsid w:val="000D4E7A"/>
    <w:rsid w:val="000D5D92"/>
    <w:rsid w:val="000D61A0"/>
    <w:rsid w:val="000D69A2"/>
    <w:rsid w:val="000D7C08"/>
    <w:rsid w:val="000D7CD4"/>
    <w:rsid w:val="000E07F8"/>
    <w:rsid w:val="000E090E"/>
    <w:rsid w:val="000E0F1A"/>
    <w:rsid w:val="000E2545"/>
    <w:rsid w:val="000E2FF3"/>
    <w:rsid w:val="000E413B"/>
    <w:rsid w:val="000E5D43"/>
    <w:rsid w:val="000E6EF6"/>
    <w:rsid w:val="000E7275"/>
    <w:rsid w:val="000E78AB"/>
    <w:rsid w:val="000F185D"/>
    <w:rsid w:val="000F1E25"/>
    <w:rsid w:val="000F22EE"/>
    <w:rsid w:val="000F30EB"/>
    <w:rsid w:val="000F4582"/>
    <w:rsid w:val="000F4A3E"/>
    <w:rsid w:val="000F6AED"/>
    <w:rsid w:val="001003C0"/>
    <w:rsid w:val="00101317"/>
    <w:rsid w:val="00101CD5"/>
    <w:rsid w:val="00102915"/>
    <w:rsid w:val="00106731"/>
    <w:rsid w:val="001077D4"/>
    <w:rsid w:val="001078E3"/>
    <w:rsid w:val="0011057C"/>
    <w:rsid w:val="00115218"/>
    <w:rsid w:val="00116112"/>
    <w:rsid w:val="001212DF"/>
    <w:rsid w:val="00122A6E"/>
    <w:rsid w:val="00123004"/>
    <w:rsid w:val="001240AE"/>
    <w:rsid w:val="001248D4"/>
    <w:rsid w:val="001251A7"/>
    <w:rsid w:val="001259CF"/>
    <w:rsid w:val="00125E1D"/>
    <w:rsid w:val="0013037C"/>
    <w:rsid w:val="00131CA5"/>
    <w:rsid w:val="00133626"/>
    <w:rsid w:val="001336AC"/>
    <w:rsid w:val="001343C6"/>
    <w:rsid w:val="00134762"/>
    <w:rsid w:val="001374F6"/>
    <w:rsid w:val="001409F6"/>
    <w:rsid w:val="00140DD4"/>
    <w:rsid w:val="0014113D"/>
    <w:rsid w:val="00141791"/>
    <w:rsid w:val="00142DBF"/>
    <w:rsid w:val="00144437"/>
    <w:rsid w:val="00144E48"/>
    <w:rsid w:val="00145E6C"/>
    <w:rsid w:val="001460DD"/>
    <w:rsid w:val="00147B80"/>
    <w:rsid w:val="00151896"/>
    <w:rsid w:val="00151E48"/>
    <w:rsid w:val="0015234D"/>
    <w:rsid w:val="0015365E"/>
    <w:rsid w:val="001539B0"/>
    <w:rsid w:val="00153A91"/>
    <w:rsid w:val="00155DA9"/>
    <w:rsid w:val="0015622A"/>
    <w:rsid w:val="00161D50"/>
    <w:rsid w:val="00162427"/>
    <w:rsid w:val="00163135"/>
    <w:rsid w:val="00164A51"/>
    <w:rsid w:val="00165B54"/>
    <w:rsid w:val="001662FF"/>
    <w:rsid w:val="00166990"/>
    <w:rsid w:val="00166A3B"/>
    <w:rsid w:val="001672B8"/>
    <w:rsid w:val="00167E7E"/>
    <w:rsid w:val="00170414"/>
    <w:rsid w:val="00170F2B"/>
    <w:rsid w:val="00172355"/>
    <w:rsid w:val="00172F08"/>
    <w:rsid w:val="00174472"/>
    <w:rsid w:val="00175ED3"/>
    <w:rsid w:val="001762A6"/>
    <w:rsid w:val="00176319"/>
    <w:rsid w:val="0017642E"/>
    <w:rsid w:val="00176CD5"/>
    <w:rsid w:val="00177850"/>
    <w:rsid w:val="001832A5"/>
    <w:rsid w:val="00185978"/>
    <w:rsid w:val="0018750E"/>
    <w:rsid w:val="001902DB"/>
    <w:rsid w:val="00191E22"/>
    <w:rsid w:val="001937D1"/>
    <w:rsid w:val="00193E5B"/>
    <w:rsid w:val="001A2F62"/>
    <w:rsid w:val="001A362F"/>
    <w:rsid w:val="001A3B83"/>
    <w:rsid w:val="001A4C68"/>
    <w:rsid w:val="001A5648"/>
    <w:rsid w:val="001A6F33"/>
    <w:rsid w:val="001A731B"/>
    <w:rsid w:val="001A7655"/>
    <w:rsid w:val="001B023B"/>
    <w:rsid w:val="001B0A1F"/>
    <w:rsid w:val="001B39FE"/>
    <w:rsid w:val="001B4318"/>
    <w:rsid w:val="001B4D7C"/>
    <w:rsid w:val="001B66F0"/>
    <w:rsid w:val="001B68D4"/>
    <w:rsid w:val="001B7D70"/>
    <w:rsid w:val="001B7DD8"/>
    <w:rsid w:val="001C0989"/>
    <w:rsid w:val="001C0C3F"/>
    <w:rsid w:val="001C0E7D"/>
    <w:rsid w:val="001C12F9"/>
    <w:rsid w:val="001C228E"/>
    <w:rsid w:val="001C2AD1"/>
    <w:rsid w:val="001C33DE"/>
    <w:rsid w:val="001C44E0"/>
    <w:rsid w:val="001C60A8"/>
    <w:rsid w:val="001C64C7"/>
    <w:rsid w:val="001C65DA"/>
    <w:rsid w:val="001D1998"/>
    <w:rsid w:val="001D2096"/>
    <w:rsid w:val="001D2C27"/>
    <w:rsid w:val="001D3E08"/>
    <w:rsid w:val="001D5D1E"/>
    <w:rsid w:val="001D7B8F"/>
    <w:rsid w:val="001D7D54"/>
    <w:rsid w:val="001E00E4"/>
    <w:rsid w:val="001E0ED3"/>
    <w:rsid w:val="001E18E5"/>
    <w:rsid w:val="001E1EA8"/>
    <w:rsid w:val="001E28AE"/>
    <w:rsid w:val="001E34BE"/>
    <w:rsid w:val="001E40A3"/>
    <w:rsid w:val="001E4C48"/>
    <w:rsid w:val="001E4C4D"/>
    <w:rsid w:val="001E7FDF"/>
    <w:rsid w:val="001F16EF"/>
    <w:rsid w:val="001F1C46"/>
    <w:rsid w:val="001F3B32"/>
    <w:rsid w:val="001F4E77"/>
    <w:rsid w:val="001F5AF1"/>
    <w:rsid w:val="001F611E"/>
    <w:rsid w:val="001F61CF"/>
    <w:rsid w:val="002005D9"/>
    <w:rsid w:val="00201A25"/>
    <w:rsid w:val="00201B71"/>
    <w:rsid w:val="002020AD"/>
    <w:rsid w:val="002028A7"/>
    <w:rsid w:val="00202A1A"/>
    <w:rsid w:val="00204CD0"/>
    <w:rsid w:val="0020675B"/>
    <w:rsid w:val="00210996"/>
    <w:rsid w:val="00212CE2"/>
    <w:rsid w:val="00212F98"/>
    <w:rsid w:val="00213243"/>
    <w:rsid w:val="002134E4"/>
    <w:rsid w:val="00213ABB"/>
    <w:rsid w:val="00214412"/>
    <w:rsid w:val="00214B7E"/>
    <w:rsid w:val="0021525C"/>
    <w:rsid w:val="00215A85"/>
    <w:rsid w:val="00216C36"/>
    <w:rsid w:val="00216FED"/>
    <w:rsid w:val="00217902"/>
    <w:rsid w:val="00220821"/>
    <w:rsid w:val="0022296E"/>
    <w:rsid w:val="00223572"/>
    <w:rsid w:val="0022382A"/>
    <w:rsid w:val="0022632F"/>
    <w:rsid w:val="00226F1C"/>
    <w:rsid w:val="002274F0"/>
    <w:rsid w:val="00230FEC"/>
    <w:rsid w:val="002315EF"/>
    <w:rsid w:val="00232354"/>
    <w:rsid w:val="002355FE"/>
    <w:rsid w:val="002359A4"/>
    <w:rsid w:val="00242BF6"/>
    <w:rsid w:val="00246A58"/>
    <w:rsid w:val="00247466"/>
    <w:rsid w:val="00247B45"/>
    <w:rsid w:val="00250E38"/>
    <w:rsid w:val="002543D2"/>
    <w:rsid w:val="0025448E"/>
    <w:rsid w:val="0025457A"/>
    <w:rsid w:val="002557C0"/>
    <w:rsid w:val="00261D29"/>
    <w:rsid w:val="0026369C"/>
    <w:rsid w:val="0026644D"/>
    <w:rsid w:val="00266BF0"/>
    <w:rsid w:val="00266D7A"/>
    <w:rsid w:val="00266F67"/>
    <w:rsid w:val="00267D3D"/>
    <w:rsid w:val="002702F0"/>
    <w:rsid w:val="00270948"/>
    <w:rsid w:val="002744DF"/>
    <w:rsid w:val="00275ACE"/>
    <w:rsid w:val="002768FF"/>
    <w:rsid w:val="00276F3D"/>
    <w:rsid w:val="00276F6C"/>
    <w:rsid w:val="00277602"/>
    <w:rsid w:val="002779CC"/>
    <w:rsid w:val="00283FB1"/>
    <w:rsid w:val="00285146"/>
    <w:rsid w:val="002869C1"/>
    <w:rsid w:val="00286A90"/>
    <w:rsid w:val="00287172"/>
    <w:rsid w:val="002873A5"/>
    <w:rsid w:val="002901A2"/>
    <w:rsid w:val="0029067A"/>
    <w:rsid w:val="00290B63"/>
    <w:rsid w:val="00290F72"/>
    <w:rsid w:val="00291CD3"/>
    <w:rsid w:val="00291E72"/>
    <w:rsid w:val="00292576"/>
    <w:rsid w:val="00292930"/>
    <w:rsid w:val="00293A06"/>
    <w:rsid w:val="00294385"/>
    <w:rsid w:val="0029528B"/>
    <w:rsid w:val="002958F6"/>
    <w:rsid w:val="00295E45"/>
    <w:rsid w:val="002960D6"/>
    <w:rsid w:val="00296496"/>
    <w:rsid w:val="002A1228"/>
    <w:rsid w:val="002A1557"/>
    <w:rsid w:val="002A33D9"/>
    <w:rsid w:val="002A4584"/>
    <w:rsid w:val="002A5D03"/>
    <w:rsid w:val="002B1804"/>
    <w:rsid w:val="002B5454"/>
    <w:rsid w:val="002B6FD1"/>
    <w:rsid w:val="002B784D"/>
    <w:rsid w:val="002C1E5F"/>
    <w:rsid w:val="002C4655"/>
    <w:rsid w:val="002C5C30"/>
    <w:rsid w:val="002C7902"/>
    <w:rsid w:val="002D007A"/>
    <w:rsid w:val="002D1C56"/>
    <w:rsid w:val="002D1F4D"/>
    <w:rsid w:val="002D39B4"/>
    <w:rsid w:val="002D5C5B"/>
    <w:rsid w:val="002D6FB5"/>
    <w:rsid w:val="002E0865"/>
    <w:rsid w:val="002E0C29"/>
    <w:rsid w:val="002E20D3"/>
    <w:rsid w:val="002E2F51"/>
    <w:rsid w:val="002E3101"/>
    <w:rsid w:val="002E32B8"/>
    <w:rsid w:val="002E5834"/>
    <w:rsid w:val="002E77AC"/>
    <w:rsid w:val="002E782B"/>
    <w:rsid w:val="002F1707"/>
    <w:rsid w:val="002F2941"/>
    <w:rsid w:val="002F4AD0"/>
    <w:rsid w:val="00301DCA"/>
    <w:rsid w:val="003032EF"/>
    <w:rsid w:val="00303F40"/>
    <w:rsid w:val="003044A1"/>
    <w:rsid w:val="00304ABD"/>
    <w:rsid w:val="00304B7F"/>
    <w:rsid w:val="003065EA"/>
    <w:rsid w:val="00306957"/>
    <w:rsid w:val="003072AE"/>
    <w:rsid w:val="00307769"/>
    <w:rsid w:val="00311B51"/>
    <w:rsid w:val="00311B67"/>
    <w:rsid w:val="0031345D"/>
    <w:rsid w:val="00314FF2"/>
    <w:rsid w:val="00315325"/>
    <w:rsid w:val="003172B1"/>
    <w:rsid w:val="003173FB"/>
    <w:rsid w:val="00320299"/>
    <w:rsid w:val="003207AC"/>
    <w:rsid w:val="00320B32"/>
    <w:rsid w:val="003222E2"/>
    <w:rsid w:val="00324ACF"/>
    <w:rsid w:val="00324E60"/>
    <w:rsid w:val="003274CD"/>
    <w:rsid w:val="00327A4F"/>
    <w:rsid w:val="00330786"/>
    <w:rsid w:val="0033549A"/>
    <w:rsid w:val="003356F7"/>
    <w:rsid w:val="00335E8C"/>
    <w:rsid w:val="00336AC7"/>
    <w:rsid w:val="00340501"/>
    <w:rsid w:val="00340C2A"/>
    <w:rsid w:val="0034183E"/>
    <w:rsid w:val="003418BD"/>
    <w:rsid w:val="00341E1E"/>
    <w:rsid w:val="0034249C"/>
    <w:rsid w:val="00344579"/>
    <w:rsid w:val="00344ADE"/>
    <w:rsid w:val="003466CA"/>
    <w:rsid w:val="00350364"/>
    <w:rsid w:val="0035262E"/>
    <w:rsid w:val="003528A3"/>
    <w:rsid w:val="00352B81"/>
    <w:rsid w:val="0035300D"/>
    <w:rsid w:val="00353176"/>
    <w:rsid w:val="003549DB"/>
    <w:rsid w:val="00354B28"/>
    <w:rsid w:val="00354B65"/>
    <w:rsid w:val="00354B86"/>
    <w:rsid w:val="00355722"/>
    <w:rsid w:val="003563C4"/>
    <w:rsid w:val="0036104C"/>
    <w:rsid w:val="003613C1"/>
    <w:rsid w:val="0036510E"/>
    <w:rsid w:val="00365E11"/>
    <w:rsid w:val="0036615E"/>
    <w:rsid w:val="00366D2D"/>
    <w:rsid w:val="00367B73"/>
    <w:rsid w:val="00367CF6"/>
    <w:rsid w:val="00367E7E"/>
    <w:rsid w:val="0037027A"/>
    <w:rsid w:val="00370DED"/>
    <w:rsid w:val="00371EE6"/>
    <w:rsid w:val="00372BE0"/>
    <w:rsid w:val="00373C42"/>
    <w:rsid w:val="00374332"/>
    <w:rsid w:val="00374375"/>
    <w:rsid w:val="00374CB5"/>
    <w:rsid w:val="003758D2"/>
    <w:rsid w:val="00375A60"/>
    <w:rsid w:val="00375CD7"/>
    <w:rsid w:val="003767CF"/>
    <w:rsid w:val="00376BE6"/>
    <w:rsid w:val="00377C40"/>
    <w:rsid w:val="00383F6D"/>
    <w:rsid w:val="003840F6"/>
    <w:rsid w:val="0038610B"/>
    <w:rsid w:val="00386996"/>
    <w:rsid w:val="003869CB"/>
    <w:rsid w:val="00386FA4"/>
    <w:rsid w:val="00387FB8"/>
    <w:rsid w:val="00390ABD"/>
    <w:rsid w:val="003922B0"/>
    <w:rsid w:val="00392F16"/>
    <w:rsid w:val="00393719"/>
    <w:rsid w:val="00393902"/>
    <w:rsid w:val="003A07FB"/>
    <w:rsid w:val="003A2A0B"/>
    <w:rsid w:val="003A3F3F"/>
    <w:rsid w:val="003A4302"/>
    <w:rsid w:val="003A6E2B"/>
    <w:rsid w:val="003A6FA6"/>
    <w:rsid w:val="003B1867"/>
    <w:rsid w:val="003B2CA9"/>
    <w:rsid w:val="003B46AC"/>
    <w:rsid w:val="003B470E"/>
    <w:rsid w:val="003B4B69"/>
    <w:rsid w:val="003B51CA"/>
    <w:rsid w:val="003B5321"/>
    <w:rsid w:val="003B5750"/>
    <w:rsid w:val="003B6DEC"/>
    <w:rsid w:val="003B6E7F"/>
    <w:rsid w:val="003B7117"/>
    <w:rsid w:val="003C05BF"/>
    <w:rsid w:val="003C05D1"/>
    <w:rsid w:val="003C08C7"/>
    <w:rsid w:val="003C1840"/>
    <w:rsid w:val="003C4A25"/>
    <w:rsid w:val="003C4D43"/>
    <w:rsid w:val="003C5087"/>
    <w:rsid w:val="003C510E"/>
    <w:rsid w:val="003C7A24"/>
    <w:rsid w:val="003C7AA9"/>
    <w:rsid w:val="003D27A9"/>
    <w:rsid w:val="003D2DCA"/>
    <w:rsid w:val="003D4D83"/>
    <w:rsid w:val="003D592D"/>
    <w:rsid w:val="003D59F7"/>
    <w:rsid w:val="003D71EB"/>
    <w:rsid w:val="003D7374"/>
    <w:rsid w:val="003E07C6"/>
    <w:rsid w:val="003E07DF"/>
    <w:rsid w:val="003E086F"/>
    <w:rsid w:val="003E0E5C"/>
    <w:rsid w:val="003E10C3"/>
    <w:rsid w:val="003F10FD"/>
    <w:rsid w:val="003F4D5C"/>
    <w:rsid w:val="003F5E05"/>
    <w:rsid w:val="003F5E79"/>
    <w:rsid w:val="003F6961"/>
    <w:rsid w:val="003F72EC"/>
    <w:rsid w:val="004010EC"/>
    <w:rsid w:val="00401D61"/>
    <w:rsid w:val="004039EB"/>
    <w:rsid w:val="004047DB"/>
    <w:rsid w:val="004049E0"/>
    <w:rsid w:val="004057AA"/>
    <w:rsid w:val="0041010C"/>
    <w:rsid w:val="004107A8"/>
    <w:rsid w:val="00410DD3"/>
    <w:rsid w:val="004110F6"/>
    <w:rsid w:val="0041186A"/>
    <w:rsid w:val="00412123"/>
    <w:rsid w:val="00412313"/>
    <w:rsid w:val="00412885"/>
    <w:rsid w:val="00413B4B"/>
    <w:rsid w:val="004145CF"/>
    <w:rsid w:val="00414F90"/>
    <w:rsid w:val="0041530A"/>
    <w:rsid w:val="00415A9D"/>
    <w:rsid w:val="00420088"/>
    <w:rsid w:val="00421A13"/>
    <w:rsid w:val="004225F1"/>
    <w:rsid w:val="004226D5"/>
    <w:rsid w:val="00422BC6"/>
    <w:rsid w:val="00423EB5"/>
    <w:rsid w:val="004245A8"/>
    <w:rsid w:val="00426DC7"/>
    <w:rsid w:val="00426E90"/>
    <w:rsid w:val="00426F29"/>
    <w:rsid w:val="0042727B"/>
    <w:rsid w:val="0043026F"/>
    <w:rsid w:val="00431827"/>
    <w:rsid w:val="00431EAB"/>
    <w:rsid w:val="004347F1"/>
    <w:rsid w:val="0043576B"/>
    <w:rsid w:val="00436D55"/>
    <w:rsid w:val="00437F90"/>
    <w:rsid w:val="004409FC"/>
    <w:rsid w:val="0044118D"/>
    <w:rsid w:val="00441E15"/>
    <w:rsid w:val="004433A8"/>
    <w:rsid w:val="00443B1F"/>
    <w:rsid w:val="00443EC4"/>
    <w:rsid w:val="004469BE"/>
    <w:rsid w:val="00447914"/>
    <w:rsid w:val="00451CFD"/>
    <w:rsid w:val="0045303A"/>
    <w:rsid w:val="004548A5"/>
    <w:rsid w:val="0045586A"/>
    <w:rsid w:val="00455FC0"/>
    <w:rsid w:val="004560FD"/>
    <w:rsid w:val="00457D3E"/>
    <w:rsid w:val="00457FA9"/>
    <w:rsid w:val="004613A0"/>
    <w:rsid w:val="00463939"/>
    <w:rsid w:val="00463B4D"/>
    <w:rsid w:val="00464814"/>
    <w:rsid w:val="004674F5"/>
    <w:rsid w:val="00470331"/>
    <w:rsid w:val="004705E0"/>
    <w:rsid w:val="004716CC"/>
    <w:rsid w:val="00471E5D"/>
    <w:rsid w:val="00474DB1"/>
    <w:rsid w:val="0047567D"/>
    <w:rsid w:val="00477746"/>
    <w:rsid w:val="00477B21"/>
    <w:rsid w:val="00480D15"/>
    <w:rsid w:val="0048128C"/>
    <w:rsid w:val="00482376"/>
    <w:rsid w:val="00484001"/>
    <w:rsid w:val="0048466D"/>
    <w:rsid w:val="00485429"/>
    <w:rsid w:val="00485A94"/>
    <w:rsid w:val="00485F0D"/>
    <w:rsid w:val="004872FF"/>
    <w:rsid w:val="004922E6"/>
    <w:rsid w:val="00493606"/>
    <w:rsid w:val="00493AEB"/>
    <w:rsid w:val="004943E4"/>
    <w:rsid w:val="00494588"/>
    <w:rsid w:val="00496B20"/>
    <w:rsid w:val="004970DB"/>
    <w:rsid w:val="00497181"/>
    <w:rsid w:val="004A0291"/>
    <w:rsid w:val="004A19B9"/>
    <w:rsid w:val="004A2068"/>
    <w:rsid w:val="004A22AA"/>
    <w:rsid w:val="004A698F"/>
    <w:rsid w:val="004A6F39"/>
    <w:rsid w:val="004A72F6"/>
    <w:rsid w:val="004B0D2D"/>
    <w:rsid w:val="004B3489"/>
    <w:rsid w:val="004B4B05"/>
    <w:rsid w:val="004B4D29"/>
    <w:rsid w:val="004B71A2"/>
    <w:rsid w:val="004C0660"/>
    <w:rsid w:val="004C2D5F"/>
    <w:rsid w:val="004C5C46"/>
    <w:rsid w:val="004C678E"/>
    <w:rsid w:val="004C7BD8"/>
    <w:rsid w:val="004D15A9"/>
    <w:rsid w:val="004D1A5D"/>
    <w:rsid w:val="004D261A"/>
    <w:rsid w:val="004D2A50"/>
    <w:rsid w:val="004D31AA"/>
    <w:rsid w:val="004D3845"/>
    <w:rsid w:val="004D39D7"/>
    <w:rsid w:val="004D61A6"/>
    <w:rsid w:val="004E0FF8"/>
    <w:rsid w:val="004E1C23"/>
    <w:rsid w:val="004E2004"/>
    <w:rsid w:val="004E2BE6"/>
    <w:rsid w:val="004E3A5F"/>
    <w:rsid w:val="004E45A3"/>
    <w:rsid w:val="004E6569"/>
    <w:rsid w:val="004F18F6"/>
    <w:rsid w:val="004F1CB5"/>
    <w:rsid w:val="004F2587"/>
    <w:rsid w:val="004F3E06"/>
    <w:rsid w:val="004F5BFE"/>
    <w:rsid w:val="005001F4"/>
    <w:rsid w:val="00500F43"/>
    <w:rsid w:val="005016CA"/>
    <w:rsid w:val="005026AB"/>
    <w:rsid w:val="00504360"/>
    <w:rsid w:val="0050564A"/>
    <w:rsid w:val="005056E8"/>
    <w:rsid w:val="0050578C"/>
    <w:rsid w:val="0050613D"/>
    <w:rsid w:val="0050707F"/>
    <w:rsid w:val="00507789"/>
    <w:rsid w:val="00507B73"/>
    <w:rsid w:val="00507D25"/>
    <w:rsid w:val="00511020"/>
    <w:rsid w:val="00511033"/>
    <w:rsid w:val="00511985"/>
    <w:rsid w:val="00513445"/>
    <w:rsid w:val="0051489C"/>
    <w:rsid w:val="00515187"/>
    <w:rsid w:val="00515C00"/>
    <w:rsid w:val="00516D8F"/>
    <w:rsid w:val="005206E0"/>
    <w:rsid w:val="005209E9"/>
    <w:rsid w:val="0052111D"/>
    <w:rsid w:val="005212CA"/>
    <w:rsid w:val="005213ED"/>
    <w:rsid w:val="00522226"/>
    <w:rsid w:val="005237D5"/>
    <w:rsid w:val="00524C8E"/>
    <w:rsid w:val="00524E49"/>
    <w:rsid w:val="00525B96"/>
    <w:rsid w:val="00525E1B"/>
    <w:rsid w:val="005268D5"/>
    <w:rsid w:val="005268E9"/>
    <w:rsid w:val="00527FF1"/>
    <w:rsid w:val="0053028E"/>
    <w:rsid w:val="00530A71"/>
    <w:rsid w:val="00532CD4"/>
    <w:rsid w:val="00533730"/>
    <w:rsid w:val="0053410D"/>
    <w:rsid w:val="005341FF"/>
    <w:rsid w:val="00536AB3"/>
    <w:rsid w:val="005427B8"/>
    <w:rsid w:val="0054452D"/>
    <w:rsid w:val="005461F1"/>
    <w:rsid w:val="00546661"/>
    <w:rsid w:val="00546CD0"/>
    <w:rsid w:val="0055290A"/>
    <w:rsid w:val="00554EB0"/>
    <w:rsid w:val="00556CBC"/>
    <w:rsid w:val="00556EB1"/>
    <w:rsid w:val="00560E0F"/>
    <w:rsid w:val="005611F4"/>
    <w:rsid w:val="0056163F"/>
    <w:rsid w:val="005617F5"/>
    <w:rsid w:val="00564C4B"/>
    <w:rsid w:val="005650AC"/>
    <w:rsid w:val="0056643F"/>
    <w:rsid w:val="00567E4F"/>
    <w:rsid w:val="00571CFA"/>
    <w:rsid w:val="00573FBD"/>
    <w:rsid w:val="00573FD4"/>
    <w:rsid w:val="00574A62"/>
    <w:rsid w:val="00574F6A"/>
    <w:rsid w:val="005808C2"/>
    <w:rsid w:val="00581192"/>
    <w:rsid w:val="005816BD"/>
    <w:rsid w:val="00581967"/>
    <w:rsid w:val="005824CF"/>
    <w:rsid w:val="0058503E"/>
    <w:rsid w:val="00586053"/>
    <w:rsid w:val="00586143"/>
    <w:rsid w:val="00586920"/>
    <w:rsid w:val="00590F3D"/>
    <w:rsid w:val="005910A9"/>
    <w:rsid w:val="0059341B"/>
    <w:rsid w:val="00593B37"/>
    <w:rsid w:val="00595754"/>
    <w:rsid w:val="0059595D"/>
    <w:rsid w:val="00595FC7"/>
    <w:rsid w:val="005967E7"/>
    <w:rsid w:val="00596F14"/>
    <w:rsid w:val="005976E7"/>
    <w:rsid w:val="005A0391"/>
    <w:rsid w:val="005A04A2"/>
    <w:rsid w:val="005A0A1D"/>
    <w:rsid w:val="005A1ED7"/>
    <w:rsid w:val="005A3E11"/>
    <w:rsid w:val="005A4BC6"/>
    <w:rsid w:val="005A4F11"/>
    <w:rsid w:val="005A5697"/>
    <w:rsid w:val="005A64D6"/>
    <w:rsid w:val="005A6C5D"/>
    <w:rsid w:val="005B0499"/>
    <w:rsid w:val="005B0648"/>
    <w:rsid w:val="005B0D5D"/>
    <w:rsid w:val="005B186F"/>
    <w:rsid w:val="005B3052"/>
    <w:rsid w:val="005B31AC"/>
    <w:rsid w:val="005B3F5B"/>
    <w:rsid w:val="005B44B8"/>
    <w:rsid w:val="005B6356"/>
    <w:rsid w:val="005B674C"/>
    <w:rsid w:val="005C09DF"/>
    <w:rsid w:val="005C0F83"/>
    <w:rsid w:val="005C1AEA"/>
    <w:rsid w:val="005C1E98"/>
    <w:rsid w:val="005C2992"/>
    <w:rsid w:val="005C32CA"/>
    <w:rsid w:val="005C7AC5"/>
    <w:rsid w:val="005C7B3C"/>
    <w:rsid w:val="005D2E8D"/>
    <w:rsid w:val="005D4115"/>
    <w:rsid w:val="005D4E8A"/>
    <w:rsid w:val="005E0273"/>
    <w:rsid w:val="005E23A7"/>
    <w:rsid w:val="005E252A"/>
    <w:rsid w:val="005E4A0C"/>
    <w:rsid w:val="005F053F"/>
    <w:rsid w:val="005F2C05"/>
    <w:rsid w:val="005F4B4A"/>
    <w:rsid w:val="005F5B99"/>
    <w:rsid w:val="006002AD"/>
    <w:rsid w:val="00602DBE"/>
    <w:rsid w:val="0060326C"/>
    <w:rsid w:val="006035EA"/>
    <w:rsid w:val="00604342"/>
    <w:rsid w:val="00604F6A"/>
    <w:rsid w:val="006066F1"/>
    <w:rsid w:val="00606EF3"/>
    <w:rsid w:val="00611678"/>
    <w:rsid w:val="00614880"/>
    <w:rsid w:val="00614989"/>
    <w:rsid w:val="0061634B"/>
    <w:rsid w:val="006207F8"/>
    <w:rsid w:val="00620C74"/>
    <w:rsid w:val="006213F6"/>
    <w:rsid w:val="006215A0"/>
    <w:rsid w:val="00623554"/>
    <w:rsid w:val="00623712"/>
    <w:rsid w:val="00623FB8"/>
    <w:rsid w:val="00625405"/>
    <w:rsid w:val="0062589F"/>
    <w:rsid w:val="006261A2"/>
    <w:rsid w:val="00626F5C"/>
    <w:rsid w:val="00627E07"/>
    <w:rsid w:val="00630F31"/>
    <w:rsid w:val="00631AE8"/>
    <w:rsid w:val="00632A94"/>
    <w:rsid w:val="00634B89"/>
    <w:rsid w:val="00637188"/>
    <w:rsid w:val="00641B31"/>
    <w:rsid w:val="006424B0"/>
    <w:rsid w:val="006435A2"/>
    <w:rsid w:val="00644438"/>
    <w:rsid w:val="006450A1"/>
    <w:rsid w:val="006463D2"/>
    <w:rsid w:val="006479A6"/>
    <w:rsid w:val="006511C1"/>
    <w:rsid w:val="00651691"/>
    <w:rsid w:val="00654B5C"/>
    <w:rsid w:val="00655AFC"/>
    <w:rsid w:val="0065672B"/>
    <w:rsid w:val="00657200"/>
    <w:rsid w:val="00657731"/>
    <w:rsid w:val="00660111"/>
    <w:rsid w:val="00661DBE"/>
    <w:rsid w:val="00662ABA"/>
    <w:rsid w:val="00662EEC"/>
    <w:rsid w:val="00664FE3"/>
    <w:rsid w:val="00667146"/>
    <w:rsid w:val="00667178"/>
    <w:rsid w:val="00670E4D"/>
    <w:rsid w:val="00672AFE"/>
    <w:rsid w:val="006731DD"/>
    <w:rsid w:val="00675371"/>
    <w:rsid w:val="00676B31"/>
    <w:rsid w:val="006801BD"/>
    <w:rsid w:val="00680232"/>
    <w:rsid w:val="00680E13"/>
    <w:rsid w:val="006821B4"/>
    <w:rsid w:val="00682561"/>
    <w:rsid w:val="006839D1"/>
    <w:rsid w:val="006844E2"/>
    <w:rsid w:val="00684AD9"/>
    <w:rsid w:val="006866A7"/>
    <w:rsid w:val="006917A5"/>
    <w:rsid w:val="0069199F"/>
    <w:rsid w:val="00691FBD"/>
    <w:rsid w:val="006933CD"/>
    <w:rsid w:val="00697EAB"/>
    <w:rsid w:val="006A1111"/>
    <w:rsid w:val="006A328C"/>
    <w:rsid w:val="006A4B8E"/>
    <w:rsid w:val="006A5FBE"/>
    <w:rsid w:val="006A5FF5"/>
    <w:rsid w:val="006A6AC8"/>
    <w:rsid w:val="006A6E27"/>
    <w:rsid w:val="006A7957"/>
    <w:rsid w:val="006B0549"/>
    <w:rsid w:val="006B0CE4"/>
    <w:rsid w:val="006B220F"/>
    <w:rsid w:val="006B25A5"/>
    <w:rsid w:val="006B32AC"/>
    <w:rsid w:val="006B33A2"/>
    <w:rsid w:val="006B5D69"/>
    <w:rsid w:val="006B70EA"/>
    <w:rsid w:val="006B7326"/>
    <w:rsid w:val="006B7538"/>
    <w:rsid w:val="006B7A35"/>
    <w:rsid w:val="006C3558"/>
    <w:rsid w:val="006C3BC5"/>
    <w:rsid w:val="006C5A75"/>
    <w:rsid w:val="006C738E"/>
    <w:rsid w:val="006C7ABC"/>
    <w:rsid w:val="006C7C81"/>
    <w:rsid w:val="006D0079"/>
    <w:rsid w:val="006D02AA"/>
    <w:rsid w:val="006D1168"/>
    <w:rsid w:val="006D19D3"/>
    <w:rsid w:val="006D2E6D"/>
    <w:rsid w:val="006D3F44"/>
    <w:rsid w:val="006D5E1F"/>
    <w:rsid w:val="006D69D3"/>
    <w:rsid w:val="006E0A59"/>
    <w:rsid w:val="006E117E"/>
    <w:rsid w:val="006E13BD"/>
    <w:rsid w:val="006E1C8B"/>
    <w:rsid w:val="006E2590"/>
    <w:rsid w:val="006E2DDC"/>
    <w:rsid w:val="006E31B2"/>
    <w:rsid w:val="006E333E"/>
    <w:rsid w:val="006E3A9E"/>
    <w:rsid w:val="006E445E"/>
    <w:rsid w:val="006E4629"/>
    <w:rsid w:val="006E718C"/>
    <w:rsid w:val="006F093C"/>
    <w:rsid w:val="006F1099"/>
    <w:rsid w:val="006F1692"/>
    <w:rsid w:val="006F2290"/>
    <w:rsid w:val="006F4693"/>
    <w:rsid w:val="006F4A31"/>
    <w:rsid w:val="006F5E40"/>
    <w:rsid w:val="006F61EB"/>
    <w:rsid w:val="006F6F6B"/>
    <w:rsid w:val="006F783E"/>
    <w:rsid w:val="006F7EE8"/>
    <w:rsid w:val="007006F5"/>
    <w:rsid w:val="00701A4A"/>
    <w:rsid w:val="00703E69"/>
    <w:rsid w:val="0070477A"/>
    <w:rsid w:val="0070542B"/>
    <w:rsid w:val="00705F28"/>
    <w:rsid w:val="00706254"/>
    <w:rsid w:val="00706C9B"/>
    <w:rsid w:val="007074D6"/>
    <w:rsid w:val="00707714"/>
    <w:rsid w:val="00711060"/>
    <w:rsid w:val="007112B8"/>
    <w:rsid w:val="00713D00"/>
    <w:rsid w:val="007155CC"/>
    <w:rsid w:val="00717690"/>
    <w:rsid w:val="0072004D"/>
    <w:rsid w:val="007214DD"/>
    <w:rsid w:val="007226F4"/>
    <w:rsid w:val="00722E80"/>
    <w:rsid w:val="00723601"/>
    <w:rsid w:val="007238D1"/>
    <w:rsid w:val="00724399"/>
    <w:rsid w:val="00724715"/>
    <w:rsid w:val="007263CA"/>
    <w:rsid w:val="00727086"/>
    <w:rsid w:val="007276AC"/>
    <w:rsid w:val="00730CA8"/>
    <w:rsid w:val="00731E2A"/>
    <w:rsid w:val="00732580"/>
    <w:rsid w:val="00733D9A"/>
    <w:rsid w:val="00734790"/>
    <w:rsid w:val="00734AE9"/>
    <w:rsid w:val="00735783"/>
    <w:rsid w:val="007358F2"/>
    <w:rsid w:val="007405DA"/>
    <w:rsid w:val="00740B38"/>
    <w:rsid w:val="00741717"/>
    <w:rsid w:val="00742496"/>
    <w:rsid w:val="00743CDF"/>
    <w:rsid w:val="00746C22"/>
    <w:rsid w:val="00747437"/>
    <w:rsid w:val="00747499"/>
    <w:rsid w:val="00747BBD"/>
    <w:rsid w:val="0075134A"/>
    <w:rsid w:val="00756507"/>
    <w:rsid w:val="00756B47"/>
    <w:rsid w:val="00757B57"/>
    <w:rsid w:val="00760588"/>
    <w:rsid w:val="0076210D"/>
    <w:rsid w:val="0076250E"/>
    <w:rsid w:val="00762619"/>
    <w:rsid w:val="00763ED6"/>
    <w:rsid w:val="00764DBD"/>
    <w:rsid w:val="00765D31"/>
    <w:rsid w:val="00766CE0"/>
    <w:rsid w:val="007705A1"/>
    <w:rsid w:val="00771277"/>
    <w:rsid w:val="00772594"/>
    <w:rsid w:val="00773CA0"/>
    <w:rsid w:val="00773F7D"/>
    <w:rsid w:val="00775F52"/>
    <w:rsid w:val="00776529"/>
    <w:rsid w:val="00777AC2"/>
    <w:rsid w:val="00780B73"/>
    <w:rsid w:val="007811D2"/>
    <w:rsid w:val="00781EF3"/>
    <w:rsid w:val="00783543"/>
    <w:rsid w:val="0078408D"/>
    <w:rsid w:val="00784E01"/>
    <w:rsid w:val="00785098"/>
    <w:rsid w:val="00785BC5"/>
    <w:rsid w:val="00785DCF"/>
    <w:rsid w:val="007869F3"/>
    <w:rsid w:val="00786F1A"/>
    <w:rsid w:val="007875C8"/>
    <w:rsid w:val="00790622"/>
    <w:rsid w:val="0079097A"/>
    <w:rsid w:val="00790EEB"/>
    <w:rsid w:val="00790FCC"/>
    <w:rsid w:val="00793E9B"/>
    <w:rsid w:val="00794111"/>
    <w:rsid w:val="0079544E"/>
    <w:rsid w:val="00796E7C"/>
    <w:rsid w:val="007A2401"/>
    <w:rsid w:val="007A315A"/>
    <w:rsid w:val="007A5019"/>
    <w:rsid w:val="007A53B3"/>
    <w:rsid w:val="007A5E00"/>
    <w:rsid w:val="007A5E15"/>
    <w:rsid w:val="007A5FAD"/>
    <w:rsid w:val="007A6D3E"/>
    <w:rsid w:val="007A6F5A"/>
    <w:rsid w:val="007A7196"/>
    <w:rsid w:val="007A799E"/>
    <w:rsid w:val="007B0F4E"/>
    <w:rsid w:val="007B108C"/>
    <w:rsid w:val="007B13F4"/>
    <w:rsid w:val="007B1D63"/>
    <w:rsid w:val="007B368E"/>
    <w:rsid w:val="007B74E0"/>
    <w:rsid w:val="007C4C13"/>
    <w:rsid w:val="007C52FC"/>
    <w:rsid w:val="007C5925"/>
    <w:rsid w:val="007C5AF7"/>
    <w:rsid w:val="007D0903"/>
    <w:rsid w:val="007D1814"/>
    <w:rsid w:val="007D3053"/>
    <w:rsid w:val="007D3BFB"/>
    <w:rsid w:val="007D409E"/>
    <w:rsid w:val="007D4510"/>
    <w:rsid w:val="007D5498"/>
    <w:rsid w:val="007D70C9"/>
    <w:rsid w:val="007D7928"/>
    <w:rsid w:val="007E32F5"/>
    <w:rsid w:val="007E4D97"/>
    <w:rsid w:val="007E5FA9"/>
    <w:rsid w:val="007E68D2"/>
    <w:rsid w:val="007E69D3"/>
    <w:rsid w:val="007E730B"/>
    <w:rsid w:val="007E7D9B"/>
    <w:rsid w:val="007F02F7"/>
    <w:rsid w:val="007F135E"/>
    <w:rsid w:val="007F14E4"/>
    <w:rsid w:val="007F32ED"/>
    <w:rsid w:val="007F3658"/>
    <w:rsid w:val="007F38F5"/>
    <w:rsid w:val="007F3F18"/>
    <w:rsid w:val="007F47D0"/>
    <w:rsid w:val="007F53F5"/>
    <w:rsid w:val="007F69D9"/>
    <w:rsid w:val="007F6B07"/>
    <w:rsid w:val="008007B0"/>
    <w:rsid w:val="00800AB9"/>
    <w:rsid w:val="00801145"/>
    <w:rsid w:val="00801C29"/>
    <w:rsid w:val="0080246D"/>
    <w:rsid w:val="00802A42"/>
    <w:rsid w:val="008048C5"/>
    <w:rsid w:val="0080747A"/>
    <w:rsid w:val="00810954"/>
    <w:rsid w:val="0081203F"/>
    <w:rsid w:val="00813AEF"/>
    <w:rsid w:val="00815E15"/>
    <w:rsid w:val="008169CE"/>
    <w:rsid w:val="0081746A"/>
    <w:rsid w:val="00820320"/>
    <w:rsid w:val="008208E7"/>
    <w:rsid w:val="00821866"/>
    <w:rsid w:val="00821A8F"/>
    <w:rsid w:val="008237C4"/>
    <w:rsid w:val="0082432D"/>
    <w:rsid w:val="0082483B"/>
    <w:rsid w:val="0082486C"/>
    <w:rsid w:val="0082498E"/>
    <w:rsid w:val="00825AB7"/>
    <w:rsid w:val="00827303"/>
    <w:rsid w:val="00827DFE"/>
    <w:rsid w:val="008334A6"/>
    <w:rsid w:val="008335EB"/>
    <w:rsid w:val="008338D3"/>
    <w:rsid w:val="00835005"/>
    <w:rsid w:val="00835766"/>
    <w:rsid w:val="0084010C"/>
    <w:rsid w:val="00840243"/>
    <w:rsid w:val="00841402"/>
    <w:rsid w:val="00841787"/>
    <w:rsid w:val="008417D5"/>
    <w:rsid w:val="00843086"/>
    <w:rsid w:val="00845412"/>
    <w:rsid w:val="00845EAD"/>
    <w:rsid w:val="00850F3C"/>
    <w:rsid w:val="00851893"/>
    <w:rsid w:val="008545C9"/>
    <w:rsid w:val="00855540"/>
    <w:rsid w:val="0085589C"/>
    <w:rsid w:val="00860730"/>
    <w:rsid w:val="0086076F"/>
    <w:rsid w:val="00860A03"/>
    <w:rsid w:val="008627ED"/>
    <w:rsid w:val="00862832"/>
    <w:rsid w:val="00864420"/>
    <w:rsid w:val="00864E9B"/>
    <w:rsid w:val="00866776"/>
    <w:rsid w:val="0086796B"/>
    <w:rsid w:val="008703E2"/>
    <w:rsid w:val="00871A8F"/>
    <w:rsid w:val="00871F20"/>
    <w:rsid w:val="00873537"/>
    <w:rsid w:val="00874310"/>
    <w:rsid w:val="00876893"/>
    <w:rsid w:val="00877A07"/>
    <w:rsid w:val="00877BAD"/>
    <w:rsid w:val="00877D7C"/>
    <w:rsid w:val="008821AF"/>
    <w:rsid w:val="00882C3E"/>
    <w:rsid w:val="008848FC"/>
    <w:rsid w:val="00884FFE"/>
    <w:rsid w:val="00885687"/>
    <w:rsid w:val="00887155"/>
    <w:rsid w:val="0089257B"/>
    <w:rsid w:val="00892FC8"/>
    <w:rsid w:val="00894B92"/>
    <w:rsid w:val="008954FC"/>
    <w:rsid w:val="0089563C"/>
    <w:rsid w:val="00895670"/>
    <w:rsid w:val="00895F54"/>
    <w:rsid w:val="0089662E"/>
    <w:rsid w:val="008968C2"/>
    <w:rsid w:val="008A02BB"/>
    <w:rsid w:val="008A048E"/>
    <w:rsid w:val="008A12B5"/>
    <w:rsid w:val="008A1A60"/>
    <w:rsid w:val="008A1D1B"/>
    <w:rsid w:val="008A3864"/>
    <w:rsid w:val="008A409B"/>
    <w:rsid w:val="008A7182"/>
    <w:rsid w:val="008B039D"/>
    <w:rsid w:val="008B0D99"/>
    <w:rsid w:val="008B1C85"/>
    <w:rsid w:val="008B29F9"/>
    <w:rsid w:val="008B2FAD"/>
    <w:rsid w:val="008B33CD"/>
    <w:rsid w:val="008B3EA0"/>
    <w:rsid w:val="008B3FCC"/>
    <w:rsid w:val="008B5E4A"/>
    <w:rsid w:val="008B60A3"/>
    <w:rsid w:val="008B7673"/>
    <w:rsid w:val="008C06A1"/>
    <w:rsid w:val="008C0B4C"/>
    <w:rsid w:val="008C15B5"/>
    <w:rsid w:val="008C2A62"/>
    <w:rsid w:val="008C4AE1"/>
    <w:rsid w:val="008C5733"/>
    <w:rsid w:val="008C7B4B"/>
    <w:rsid w:val="008D0AB8"/>
    <w:rsid w:val="008D0ABA"/>
    <w:rsid w:val="008D0BC2"/>
    <w:rsid w:val="008D0F73"/>
    <w:rsid w:val="008D1755"/>
    <w:rsid w:val="008D201B"/>
    <w:rsid w:val="008D21A1"/>
    <w:rsid w:val="008D2D38"/>
    <w:rsid w:val="008D352B"/>
    <w:rsid w:val="008D4509"/>
    <w:rsid w:val="008D4EB0"/>
    <w:rsid w:val="008D521A"/>
    <w:rsid w:val="008D592E"/>
    <w:rsid w:val="008E0333"/>
    <w:rsid w:val="008E1798"/>
    <w:rsid w:val="008E2AD2"/>
    <w:rsid w:val="008E3706"/>
    <w:rsid w:val="008E4C0F"/>
    <w:rsid w:val="008E59B9"/>
    <w:rsid w:val="008E6C4D"/>
    <w:rsid w:val="008E7BB7"/>
    <w:rsid w:val="008F0697"/>
    <w:rsid w:val="008F10A1"/>
    <w:rsid w:val="008F1252"/>
    <w:rsid w:val="008F305F"/>
    <w:rsid w:val="008F40F5"/>
    <w:rsid w:val="008F63F5"/>
    <w:rsid w:val="008F75C5"/>
    <w:rsid w:val="008F791E"/>
    <w:rsid w:val="00900143"/>
    <w:rsid w:val="009012F2"/>
    <w:rsid w:val="00901BE6"/>
    <w:rsid w:val="00903F2D"/>
    <w:rsid w:val="009100C3"/>
    <w:rsid w:val="00910608"/>
    <w:rsid w:val="00910E56"/>
    <w:rsid w:val="009124EF"/>
    <w:rsid w:val="0091269C"/>
    <w:rsid w:val="009127EB"/>
    <w:rsid w:val="0091397B"/>
    <w:rsid w:val="009144B4"/>
    <w:rsid w:val="0091574F"/>
    <w:rsid w:val="00915D36"/>
    <w:rsid w:val="00916488"/>
    <w:rsid w:val="00920010"/>
    <w:rsid w:val="00920885"/>
    <w:rsid w:val="009214FD"/>
    <w:rsid w:val="009218D5"/>
    <w:rsid w:val="00924CDF"/>
    <w:rsid w:val="00924D31"/>
    <w:rsid w:val="00927CC6"/>
    <w:rsid w:val="00930EF7"/>
    <w:rsid w:val="00931225"/>
    <w:rsid w:val="00932018"/>
    <w:rsid w:val="00932D5F"/>
    <w:rsid w:val="00934328"/>
    <w:rsid w:val="009346F7"/>
    <w:rsid w:val="00935145"/>
    <w:rsid w:val="009356F5"/>
    <w:rsid w:val="00940D9F"/>
    <w:rsid w:val="00942770"/>
    <w:rsid w:val="00942B9D"/>
    <w:rsid w:val="009430F0"/>
    <w:rsid w:val="00945816"/>
    <w:rsid w:val="00945A4D"/>
    <w:rsid w:val="009474D0"/>
    <w:rsid w:val="00951EE7"/>
    <w:rsid w:val="00951F80"/>
    <w:rsid w:val="00954AF5"/>
    <w:rsid w:val="00955B6E"/>
    <w:rsid w:val="00956409"/>
    <w:rsid w:val="00956D22"/>
    <w:rsid w:val="00956F7B"/>
    <w:rsid w:val="00957192"/>
    <w:rsid w:val="00962E62"/>
    <w:rsid w:val="00963117"/>
    <w:rsid w:val="00970517"/>
    <w:rsid w:val="00970A3F"/>
    <w:rsid w:val="00971B47"/>
    <w:rsid w:val="00971FBD"/>
    <w:rsid w:val="00974A71"/>
    <w:rsid w:val="009772CE"/>
    <w:rsid w:val="00977AEA"/>
    <w:rsid w:val="00977BD5"/>
    <w:rsid w:val="00977FAF"/>
    <w:rsid w:val="00980087"/>
    <w:rsid w:val="00980D0B"/>
    <w:rsid w:val="009830D7"/>
    <w:rsid w:val="00983686"/>
    <w:rsid w:val="00984CCE"/>
    <w:rsid w:val="009851A7"/>
    <w:rsid w:val="00986BC8"/>
    <w:rsid w:val="00986C77"/>
    <w:rsid w:val="00990EB6"/>
    <w:rsid w:val="009946D6"/>
    <w:rsid w:val="009950DA"/>
    <w:rsid w:val="009951AC"/>
    <w:rsid w:val="00997EC2"/>
    <w:rsid w:val="009A18C3"/>
    <w:rsid w:val="009A2504"/>
    <w:rsid w:val="009A349E"/>
    <w:rsid w:val="009A3669"/>
    <w:rsid w:val="009A3C42"/>
    <w:rsid w:val="009A5E1E"/>
    <w:rsid w:val="009A6CCA"/>
    <w:rsid w:val="009A7152"/>
    <w:rsid w:val="009B05D8"/>
    <w:rsid w:val="009B0DB9"/>
    <w:rsid w:val="009B47E8"/>
    <w:rsid w:val="009B5C66"/>
    <w:rsid w:val="009B67D6"/>
    <w:rsid w:val="009B6A57"/>
    <w:rsid w:val="009B6D11"/>
    <w:rsid w:val="009B725F"/>
    <w:rsid w:val="009B757E"/>
    <w:rsid w:val="009C03A0"/>
    <w:rsid w:val="009C22DE"/>
    <w:rsid w:val="009C2C80"/>
    <w:rsid w:val="009C2EA2"/>
    <w:rsid w:val="009C3B38"/>
    <w:rsid w:val="009C463E"/>
    <w:rsid w:val="009C5B7C"/>
    <w:rsid w:val="009C5DBB"/>
    <w:rsid w:val="009C70FA"/>
    <w:rsid w:val="009C72EA"/>
    <w:rsid w:val="009C78BC"/>
    <w:rsid w:val="009D3E72"/>
    <w:rsid w:val="009D5B7A"/>
    <w:rsid w:val="009D6792"/>
    <w:rsid w:val="009D72D5"/>
    <w:rsid w:val="009D7BFD"/>
    <w:rsid w:val="009E1E5C"/>
    <w:rsid w:val="009E401D"/>
    <w:rsid w:val="009E5696"/>
    <w:rsid w:val="009E61C0"/>
    <w:rsid w:val="009E7C17"/>
    <w:rsid w:val="009F0632"/>
    <w:rsid w:val="009F3AA3"/>
    <w:rsid w:val="009F4C97"/>
    <w:rsid w:val="009F667C"/>
    <w:rsid w:val="009F67E0"/>
    <w:rsid w:val="009F6CC9"/>
    <w:rsid w:val="009F6D45"/>
    <w:rsid w:val="009F7052"/>
    <w:rsid w:val="00A002B1"/>
    <w:rsid w:val="00A00D9E"/>
    <w:rsid w:val="00A0212C"/>
    <w:rsid w:val="00A02CE4"/>
    <w:rsid w:val="00A03AEC"/>
    <w:rsid w:val="00A056AD"/>
    <w:rsid w:val="00A0769D"/>
    <w:rsid w:val="00A07D3B"/>
    <w:rsid w:val="00A10292"/>
    <w:rsid w:val="00A11D3F"/>
    <w:rsid w:val="00A13272"/>
    <w:rsid w:val="00A13642"/>
    <w:rsid w:val="00A1555D"/>
    <w:rsid w:val="00A16031"/>
    <w:rsid w:val="00A178C9"/>
    <w:rsid w:val="00A2065F"/>
    <w:rsid w:val="00A20C3E"/>
    <w:rsid w:val="00A223CA"/>
    <w:rsid w:val="00A23118"/>
    <w:rsid w:val="00A24871"/>
    <w:rsid w:val="00A2548A"/>
    <w:rsid w:val="00A3016C"/>
    <w:rsid w:val="00A3190D"/>
    <w:rsid w:val="00A33B4B"/>
    <w:rsid w:val="00A34108"/>
    <w:rsid w:val="00A3544F"/>
    <w:rsid w:val="00A36827"/>
    <w:rsid w:val="00A369C3"/>
    <w:rsid w:val="00A36BC5"/>
    <w:rsid w:val="00A40865"/>
    <w:rsid w:val="00A41D4D"/>
    <w:rsid w:val="00A42001"/>
    <w:rsid w:val="00A42358"/>
    <w:rsid w:val="00A437F6"/>
    <w:rsid w:val="00A45768"/>
    <w:rsid w:val="00A46B35"/>
    <w:rsid w:val="00A47103"/>
    <w:rsid w:val="00A47C12"/>
    <w:rsid w:val="00A50E43"/>
    <w:rsid w:val="00A50EDF"/>
    <w:rsid w:val="00A522A1"/>
    <w:rsid w:val="00A53185"/>
    <w:rsid w:val="00A53A55"/>
    <w:rsid w:val="00A54679"/>
    <w:rsid w:val="00A551FA"/>
    <w:rsid w:val="00A56161"/>
    <w:rsid w:val="00A56403"/>
    <w:rsid w:val="00A56D09"/>
    <w:rsid w:val="00A57C8E"/>
    <w:rsid w:val="00A60FE8"/>
    <w:rsid w:val="00A6125D"/>
    <w:rsid w:val="00A618CA"/>
    <w:rsid w:val="00A62CC4"/>
    <w:rsid w:val="00A64649"/>
    <w:rsid w:val="00A64BEC"/>
    <w:rsid w:val="00A65B18"/>
    <w:rsid w:val="00A66655"/>
    <w:rsid w:val="00A676ED"/>
    <w:rsid w:val="00A67EA2"/>
    <w:rsid w:val="00A70983"/>
    <w:rsid w:val="00A71366"/>
    <w:rsid w:val="00A71E70"/>
    <w:rsid w:val="00A7266B"/>
    <w:rsid w:val="00A729BB"/>
    <w:rsid w:val="00A7405E"/>
    <w:rsid w:val="00A743FF"/>
    <w:rsid w:val="00A74AAA"/>
    <w:rsid w:val="00A74E17"/>
    <w:rsid w:val="00A7588B"/>
    <w:rsid w:val="00A760E7"/>
    <w:rsid w:val="00A76638"/>
    <w:rsid w:val="00A768D5"/>
    <w:rsid w:val="00A77866"/>
    <w:rsid w:val="00A80E2E"/>
    <w:rsid w:val="00A823AD"/>
    <w:rsid w:val="00A82A82"/>
    <w:rsid w:val="00A82C81"/>
    <w:rsid w:val="00A8320E"/>
    <w:rsid w:val="00A84154"/>
    <w:rsid w:val="00A84885"/>
    <w:rsid w:val="00A853CC"/>
    <w:rsid w:val="00A8597C"/>
    <w:rsid w:val="00A871AD"/>
    <w:rsid w:val="00A87766"/>
    <w:rsid w:val="00A906FA"/>
    <w:rsid w:val="00A90D68"/>
    <w:rsid w:val="00A90E0A"/>
    <w:rsid w:val="00A91424"/>
    <w:rsid w:val="00A917E7"/>
    <w:rsid w:val="00A92622"/>
    <w:rsid w:val="00A92B9B"/>
    <w:rsid w:val="00A9456F"/>
    <w:rsid w:val="00A9459B"/>
    <w:rsid w:val="00AA3354"/>
    <w:rsid w:val="00AA6756"/>
    <w:rsid w:val="00AA6AEE"/>
    <w:rsid w:val="00AA795D"/>
    <w:rsid w:val="00AB1DB6"/>
    <w:rsid w:val="00AB20E7"/>
    <w:rsid w:val="00AB26FE"/>
    <w:rsid w:val="00AB2BE4"/>
    <w:rsid w:val="00AB46D5"/>
    <w:rsid w:val="00AB5F69"/>
    <w:rsid w:val="00AB5FB8"/>
    <w:rsid w:val="00AB6B1E"/>
    <w:rsid w:val="00AB7DC7"/>
    <w:rsid w:val="00AC254F"/>
    <w:rsid w:val="00AC2613"/>
    <w:rsid w:val="00AC3F42"/>
    <w:rsid w:val="00AC431E"/>
    <w:rsid w:val="00AC454B"/>
    <w:rsid w:val="00AC704F"/>
    <w:rsid w:val="00AD00FD"/>
    <w:rsid w:val="00AD014F"/>
    <w:rsid w:val="00AD0226"/>
    <w:rsid w:val="00AD24F9"/>
    <w:rsid w:val="00AD24FB"/>
    <w:rsid w:val="00AD4AD5"/>
    <w:rsid w:val="00AD7CB6"/>
    <w:rsid w:val="00AD7CFC"/>
    <w:rsid w:val="00AD7D1D"/>
    <w:rsid w:val="00AE10B0"/>
    <w:rsid w:val="00AE1F64"/>
    <w:rsid w:val="00AE4490"/>
    <w:rsid w:val="00AE4905"/>
    <w:rsid w:val="00AE4C0B"/>
    <w:rsid w:val="00AE656E"/>
    <w:rsid w:val="00AF03F5"/>
    <w:rsid w:val="00AF1EE0"/>
    <w:rsid w:val="00AF2442"/>
    <w:rsid w:val="00AF2827"/>
    <w:rsid w:val="00AF3115"/>
    <w:rsid w:val="00AF3225"/>
    <w:rsid w:val="00AF393F"/>
    <w:rsid w:val="00AF3A24"/>
    <w:rsid w:val="00AF5F04"/>
    <w:rsid w:val="00B005AF"/>
    <w:rsid w:val="00B0152D"/>
    <w:rsid w:val="00B03097"/>
    <w:rsid w:val="00B063A9"/>
    <w:rsid w:val="00B06A82"/>
    <w:rsid w:val="00B07FFC"/>
    <w:rsid w:val="00B10795"/>
    <w:rsid w:val="00B11DFE"/>
    <w:rsid w:val="00B13511"/>
    <w:rsid w:val="00B1572D"/>
    <w:rsid w:val="00B17945"/>
    <w:rsid w:val="00B23434"/>
    <w:rsid w:val="00B2345F"/>
    <w:rsid w:val="00B23782"/>
    <w:rsid w:val="00B2448C"/>
    <w:rsid w:val="00B24662"/>
    <w:rsid w:val="00B24F5C"/>
    <w:rsid w:val="00B27715"/>
    <w:rsid w:val="00B27930"/>
    <w:rsid w:val="00B31661"/>
    <w:rsid w:val="00B3266A"/>
    <w:rsid w:val="00B34621"/>
    <w:rsid w:val="00B34D3C"/>
    <w:rsid w:val="00B358C1"/>
    <w:rsid w:val="00B35951"/>
    <w:rsid w:val="00B361F9"/>
    <w:rsid w:val="00B37C28"/>
    <w:rsid w:val="00B37E31"/>
    <w:rsid w:val="00B400E0"/>
    <w:rsid w:val="00B40131"/>
    <w:rsid w:val="00B438EC"/>
    <w:rsid w:val="00B45427"/>
    <w:rsid w:val="00B45AE8"/>
    <w:rsid w:val="00B50796"/>
    <w:rsid w:val="00B511F5"/>
    <w:rsid w:val="00B53D4D"/>
    <w:rsid w:val="00B5503E"/>
    <w:rsid w:val="00B55260"/>
    <w:rsid w:val="00B554DA"/>
    <w:rsid w:val="00B60C37"/>
    <w:rsid w:val="00B627CF"/>
    <w:rsid w:val="00B6289A"/>
    <w:rsid w:val="00B631F0"/>
    <w:rsid w:val="00B6604D"/>
    <w:rsid w:val="00B66984"/>
    <w:rsid w:val="00B71107"/>
    <w:rsid w:val="00B71FCD"/>
    <w:rsid w:val="00B73250"/>
    <w:rsid w:val="00B73810"/>
    <w:rsid w:val="00B76B01"/>
    <w:rsid w:val="00B80681"/>
    <w:rsid w:val="00B81A5C"/>
    <w:rsid w:val="00B827D6"/>
    <w:rsid w:val="00B8449C"/>
    <w:rsid w:val="00B845D1"/>
    <w:rsid w:val="00B847F0"/>
    <w:rsid w:val="00B856B6"/>
    <w:rsid w:val="00B85DF5"/>
    <w:rsid w:val="00B905D3"/>
    <w:rsid w:val="00B907B1"/>
    <w:rsid w:val="00B91DAE"/>
    <w:rsid w:val="00B9280A"/>
    <w:rsid w:val="00B92EB5"/>
    <w:rsid w:val="00B9302E"/>
    <w:rsid w:val="00B936CD"/>
    <w:rsid w:val="00B93933"/>
    <w:rsid w:val="00B9444C"/>
    <w:rsid w:val="00B95E32"/>
    <w:rsid w:val="00BA0E76"/>
    <w:rsid w:val="00BA401C"/>
    <w:rsid w:val="00BA44F3"/>
    <w:rsid w:val="00BA482A"/>
    <w:rsid w:val="00BA5F32"/>
    <w:rsid w:val="00BB02FA"/>
    <w:rsid w:val="00BB10F6"/>
    <w:rsid w:val="00BB1F46"/>
    <w:rsid w:val="00BB246F"/>
    <w:rsid w:val="00BB3442"/>
    <w:rsid w:val="00BB51F7"/>
    <w:rsid w:val="00BB6D68"/>
    <w:rsid w:val="00BC0BE9"/>
    <w:rsid w:val="00BC116E"/>
    <w:rsid w:val="00BC28F3"/>
    <w:rsid w:val="00BC2FAB"/>
    <w:rsid w:val="00BC4E3F"/>
    <w:rsid w:val="00BC502B"/>
    <w:rsid w:val="00BC6948"/>
    <w:rsid w:val="00BC7E09"/>
    <w:rsid w:val="00BD0AB0"/>
    <w:rsid w:val="00BD1424"/>
    <w:rsid w:val="00BD2498"/>
    <w:rsid w:val="00BD29DA"/>
    <w:rsid w:val="00BD2D26"/>
    <w:rsid w:val="00BD36D3"/>
    <w:rsid w:val="00BD36F6"/>
    <w:rsid w:val="00BD5303"/>
    <w:rsid w:val="00BD75E6"/>
    <w:rsid w:val="00BE0364"/>
    <w:rsid w:val="00BE16E0"/>
    <w:rsid w:val="00BE1E04"/>
    <w:rsid w:val="00BE2F53"/>
    <w:rsid w:val="00BE4E72"/>
    <w:rsid w:val="00BE7E7B"/>
    <w:rsid w:val="00BF0F1C"/>
    <w:rsid w:val="00BF24AA"/>
    <w:rsid w:val="00BF567D"/>
    <w:rsid w:val="00BF5EE2"/>
    <w:rsid w:val="00BF6112"/>
    <w:rsid w:val="00BF6EE5"/>
    <w:rsid w:val="00BF72D7"/>
    <w:rsid w:val="00BF7EB8"/>
    <w:rsid w:val="00C0037B"/>
    <w:rsid w:val="00C0057A"/>
    <w:rsid w:val="00C00653"/>
    <w:rsid w:val="00C027A6"/>
    <w:rsid w:val="00C02ACE"/>
    <w:rsid w:val="00C03749"/>
    <w:rsid w:val="00C03A4F"/>
    <w:rsid w:val="00C03B55"/>
    <w:rsid w:val="00C04583"/>
    <w:rsid w:val="00C05DC3"/>
    <w:rsid w:val="00C060E8"/>
    <w:rsid w:val="00C068ED"/>
    <w:rsid w:val="00C06E0D"/>
    <w:rsid w:val="00C07052"/>
    <w:rsid w:val="00C11D26"/>
    <w:rsid w:val="00C11E51"/>
    <w:rsid w:val="00C133CB"/>
    <w:rsid w:val="00C1591E"/>
    <w:rsid w:val="00C15FD0"/>
    <w:rsid w:val="00C17FBD"/>
    <w:rsid w:val="00C20281"/>
    <w:rsid w:val="00C20948"/>
    <w:rsid w:val="00C21C29"/>
    <w:rsid w:val="00C22946"/>
    <w:rsid w:val="00C23B8D"/>
    <w:rsid w:val="00C24D1E"/>
    <w:rsid w:val="00C2504E"/>
    <w:rsid w:val="00C271A8"/>
    <w:rsid w:val="00C27286"/>
    <w:rsid w:val="00C301D2"/>
    <w:rsid w:val="00C3090B"/>
    <w:rsid w:val="00C30F4A"/>
    <w:rsid w:val="00C33123"/>
    <w:rsid w:val="00C33766"/>
    <w:rsid w:val="00C34FE2"/>
    <w:rsid w:val="00C35664"/>
    <w:rsid w:val="00C360A7"/>
    <w:rsid w:val="00C362AC"/>
    <w:rsid w:val="00C3640C"/>
    <w:rsid w:val="00C3664A"/>
    <w:rsid w:val="00C370DA"/>
    <w:rsid w:val="00C37AE8"/>
    <w:rsid w:val="00C404A8"/>
    <w:rsid w:val="00C40571"/>
    <w:rsid w:val="00C40AAD"/>
    <w:rsid w:val="00C40EAB"/>
    <w:rsid w:val="00C41C73"/>
    <w:rsid w:val="00C41CB9"/>
    <w:rsid w:val="00C43026"/>
    <w:rsid w:val="00C43647"/>
    <w:rsid w:val="00C439A7"/>
    <w:rsid w:val="00C44C31"/>
    <w:rsid w:val="00C45239"/>
    <w:rsid w:val="00C46744"/>
    <w:rsid w:val="00C47016"/>
    <w:rsid w:val="00C47528"/>
    <w:rsid w:val="00C5345E"/>
    <w:rsid w:val="00C56A7C"/>
    <w:rsid w:val="00C57C46"/>
    <w:rsid w:val="00C601B7"/>
    <w:rsid w:val="00C6114F"/>
    <w:rsid w:val="00C61C16"/>
    <w:rsid w:val="00C6209D"/>
    <w:rsid w:val="00C626E5"/>
    <w:rsid w:val="00C62DC6"/>
    <w:rsid w:val="00C63D87"/>
    <w:rsid w:val="00C65EDD"/>
    <w:rsid w:val="00C6657E"/>
    <w:rsid w:val="00C70F3E"/>
    <w:rsid w:val="00C714E0"/>
    <w:rsid w:val="00C72938"/>
    <w:rsid w:val="00C73252"/>
    <w:rsid w:val="00C73BE6"/>
    <w:rsid w:val="00C73E8A"/>
    <w:rsid w:val="00C7419D"/>
    <w:rsid w:val="00C766FD"/>
    <w:rsid w:val="00C76A90"/>
    <w:rsid w:val="00C819C2"/>
    <w:rsid w:val="00C81E81"/>
    <w:rsid w:val="00C81F0E"/>
    <w:rsid w:val="00C83413"/>
    <w:rsid w:val="00C862F5"/>
    <w:rsid w:val="00C863F5"/>
    <w:rsid w:val="00C868DB"/>
    <w:rsid w:val="00C86FDE"/>
    <w:rsid w:val="00C874B4"/>
    <w:rsid w:val="00C878D0"/>
    <w:rsid w:val="00C87F65"/>
    <w:rsid w:val="00C9011C"/>
    <w:rsid w:val="00C90784"/>
    <w:rsid w:val="00C92755"/>
    <w:rsid w:val="00C95D0E"/>
    <w:rsid w:val="00C95D4A"/>
    <w:rsid w:val="00C96820"/>
    <w:rsid w:val="00C96A00"/>
    <w:rsid w:val="00C97381"/>
    <w:rsid w:val="00C979C9"/>
    <w:rsid w:val="00C97CEE"/>
    <w:rsid w:val="00CA0283"/>
    <w:rsid w:val="00CA08F0"/>
    <w:rsid w:val="00CA12AA"/>
    <w:rsid w:val="00CA1FDB"/>
    <w:rsid w:val="00CA3F02"/>
    <w:rsid w:val="00CA4EF6"/>
    <w:rsid w:val="00CA5787"/>
    <w:rsid w:val="00CA5D02"/>
    <w:rsid w:val="00CA7E45"/>
    <w:rsid w:val="00CB01C3"/>
    <w:rsid w:val="00CB2078"/>
    <w:rsid w:val="00CB7775"/>
    <w:rsid w:val="00CC39BE"/>
    <w:rsid w:val="00CC471B"/>
    <w:rsid w:val="00CC71AC"/>
    <w:rsid w:val="00CC7BC2"/>
    <w:rsid w:val="00CD3115"/>
    <w:rsid w:val="00CD3B4E"/>
    <w:rsid w:val="00CD5464"/>
    <w:rsid w:val="00CD5C0B"/>
    <w:rsid w:val="00CD5FE8"/>
    <w:rsid w:val="00CD6212"/>
    <w:rsid w:val="00CE0536"/>
    <w:rsid w:val="00CE0CCA"/>
    <w:rsid w:val="00CE259B"/>
    <w:rsid w:val="00CE4432"/>
    <w:rsid w:val="00CE629E"/>
    <w:rsid w:val="00CE6FBF"/>
    <w:rsid w:val="00CE77B3"/>
    <w:rsid w:val="00CF0732"/>
    <w:rsid w:val="00CF288E"/>
    <w:rsid w:val="00CF29FE"/>
    <w:rsid w:val="00CF2DC1"/>
    <w:rsid w:val="00CF2FFD"/>
    <w:rsid w:val="00CF3ED5"/>
    <w:rsid w:val="00CF5B2A"/>
    <w:rsid w:val="00CF680B"/>
    <w:rsid w:val="00D01851"/>
    <w:rsid w:val="00D01CFE"/>
    <w:rsid w:val="00D06042"/>
    <w:rsid w:val="00D072EF"/>
    <w:rsid w:val="00D07783"/>
    <w:rsid w:val="00D102E7"/>
    <w:rsid w:val="00D10FAC"/>
    <w:rsid w:val="00D14925"/>
    <w:rsid w:val="00D15BBD"/>
    <w:rsid w:val="00D16E10"/>
    <w:rsid w:val="00D20CFE"/>
    <w:rsid w:val="00D2157A"/>
    <w:rsid w:val="00D219B5"/>
    <w:rsid w:val="00D22627"/>
    <w:rsid w:val="00D2350D"/>
    <w:rsid w:val="00D26DCA"/>
    <w:rsid w:val="00D270AF"/>
    <w:rsid w:val="00D27576"/>
    <w:rsid w:val="00D313D5"/>
    <w:rsid w:val="00D317D4"/>
    <w:rsid w:val="00D31AF5"/>
    <w:rsid w:val="00D32974"/>
    <w:rsid w:val="00D32F23"/>
    <w:rsid w:val="00D353D8"/>
    <w:rsid w:val="00D36836"/>
    <w:rsid w:val="00D36A3D"/>
    <w:rsid w:val="00D37A52"/>
    <w:rsid w:val="00D40D3A"/>
    <w:rsid w:val="00D414E3"/>
    <w:rsid w:val="00D43439"/>
    <w:rsid w:val="00D4483F"/>
    <w:rsid w:val="00D448C8"/>
    <w:rsid w:val="00D44FBA"/>
    <w:rsid w:val="00D45CD6"/>
    <w:rsid w:val="00D47267"/>
    <w:rsid w:val="00D47E15"/>
    <w:rsid w:val="00D50B3E"/>
    <w:rsid w:val="00D50CCF"/>
    <w:rsid w:val="00D517F8"/>
    <w:rsid w:val="00D52098"/>
    <w:rsid w:val="00D526DF"/>
    <w:rsid w:val="00D52841"/>
    <w:rsid w:val="00D52BB5"/>
    <w:rsid w:val="00D53025"/>
    <w:rsid w:val="00D55041"/>
    <w:rsid w:val="00D558D6"/>
    <w:rsid w:val="00D55C24"/>
    <w:rsid w:val="00D567AA"/>
    <w:rsid w:val="00D56BD1"/>
    <w:rsid w:val="00D61524"/>
    <w:rsid w:val="00D62750"/>
    <w:rsid w:val="00D638A1"/>
    <w:rsid w:val="00D638D8"/>
    <w:rsid w:val="00D63DD1"/>
    <w:rsid w:val="00D64683"/>
    <w:rsid w:val="00D65E4B"/>
    <w:rsid w:val="00D66A31"/>
    <w:rsid w:val="00D67CDF"/>
    <w:rsid w:val="00D70364"/>
    <w:rsid w:val="00D709B0"/>
    <w:rsid w:val="00D70A9C"/>
    <w:rsid w:val="00D71331"/>
    <w:rsid w:val="00D726A7"/>
    <w:rsid w:val="00D728BB"/>
    <w:rsid w:val="00D743E3"/>
    <w:rsid w:val="00D74587"/>
    <w:rsid w:val="00D75FD8"/>
    <w:rsid w:val="00D77101"/>
    <w:rsid w:val="00D82B18"/>
    <w:rsid w:val="00D8300B"/>
    <w:rsid w:val="00D86C9A"/>
    <w:rsid w:val="00D90393"/>
    <w:rsid w:val="00D9093A"/>
    <w:rsid w:val="00D90C35"/>
    <w:rsid w:val="00D91D37"/>
    <w:rsid w:val="00D927F3"/>
    <w:rsid w:val="00D93B3E"/>
    <w:rsid w:val="00D94D40"/>
    <w:rsid w:val="00D95130"/>
    <w:rsid w:val="00D96ABE"/>
    <w:rsid w:val="00D96F74"/>
    <w:rsid w:val="00D97947"/>
    <w:rsid w:val="00DA094D"/>
    <w:rsid w:val="00DA09DA"/>
    <w:rsid w:val="00DA1FE3"/>
    <w:rsid w:val="00DA29A3"/>
    <w:rsid w:val="00DA596D"/>
    <w:rsid w:val="00DB0D2E"/>
    <w:rsid w:val="00DB0D3F"/>
    <w:rsid w:val="00DB1288"/>
    <w:rsid w:val="00DB2C55"/>
    <w:rsid w:val="00DB4B59"/>
    <w:rsid w:val="00DB5195"/>
    <w:rsid w:val="00DB6C5D"/>
    <w:rsid w:val="00DB6EDE"/>
    <w:rsid w:val="00DC00AB"/>
    <w:rsid w:val="00DC1D11"/>
    <w:rsid w:val="00DC2932"/>
    <w:rsid w:val="00DC32EF"/>
    <w:rsid w:val="00DC36FC"/>
    <w:rsid w:val="00DC3B1C"/>
    <w:rsid w:val="00DC3E8C"/>
    <w:rsid w:val="00DC446A"/>
    <w:rsid w:val="00DD0D1E"/>
    <w:rsid w:val="00DD1A26"/>
    <w:rsid w:val="00DD3BFE"/>
    <w:rsid w:val="00DD4696"/>
    <w:rsid w:val="00DD4B41"/>
    <w:rsid w:val="00DD5DD9"/>
    <w:rsid w:val="00DD7E4D"/>
    <w:rsid w:val="00DE0724"/>
    <w:rsid w:val="00DE3C69"/>
    <w:rsid w:val="00DE47C8"/>
    <w:rsid w:val="00DE48D1"/>
    <w:rsid w:val="00DE4943"/>
    <w:rsid w:val="00DE5A07"/>
    <w:rsid w:val="00DE5D49"/>
    <w:rsid w:val="00DE7141"/>
    <w:rsid w:val="00DF0F17"/>
    <w:rsid w:val="00DF12F3"/>
    <w:rsid w:val="00DF16C7"/>
    <w:rsid w:val="00DF1D64"/>
    <w:rsid w:val="00DF2054"/>
    <w:rsid w:val="00DF3C09"/>
    <w:rsid w:val="00DF4352"/>
    <w:rsid w:val="00DF4DA1"/>
    <w:rsid w:val="00DF51B3"/>
    <w:rsid w:val="00DF5644"/>
    <w:rsid w:val="00DF61D7"/>
    <w:rsid w:val="00DF637F"/>
    <w:rsid w:val="00DF6A3E"/>
    <w:rsid w:val="00DF6C2F"/>
    <w:rsid w:val="00DF75A5"/>
    <w:rsid w:val="00E014B3"/>
    <w:rsid w:val="00E015B1"/>
    <w:rsid w:val="00E0171E"/>
    <w:rsid w:val="00E01B7E"/>
    <w:rsid w:val="00E01F4B"/>
    <w:rsid w:val="00E05165"/>
    <w:rsid w:val="00E0560C"/>
    <w:rsid w:val="00E06277"/>
    <w:rsid w:val="00E065A3"/>
    <w:rsid w:val="00E06E44"/>
    <w:rsid w:val="00E07A73"/>
    <w:rsid w:val="00E10D5F"/>
    <w:rsid w:val="00E120E3"/>
    <w:rsid w:val="00E13120"/>
    <w:rsid w:val="00E13C6E"/>
    <w:rsid w:val="00E141AA"/>
    <w:rsid w:val="00E15C48"/>
    <w:rsid w:val="00E176F0"/>
    <w:rsid w:val="00E21D88"/>
    <w:rsid w:val="00E25220"/>
    <w:rsid w:val="00E267CB"/>
    <w:rsid w:val="00E2722A"/>
    <w:rsid w:val="00E306D9"/>
    <w:rsid w:val="00E31663"/>
    <w:rsid w:val="00E33472"/>
    <w:rsid w:val="00E337FD"/>
    <w:rsid w:val="00E35C6C"/>
    <w:rsid w:val="00E363CD"/>
    <w:rsid w:val="00E37270"/>
    <w:rsid w:val="00E37750"/>
    <w:rsid w:val="00E37B60"/>
    <w:rsid w:val="00E37E53"/>
    <w:rsid w:val="00E42D4E"/>
    <w:rsid w:val="00E43941"/>
    <w:rsid w:val="00E43ABF"/>
    <w:rsid w:val="00E43CD1"/>
    <w:rsid w:val="00E43F63"/>
    <w:rsid w:val="00E44402"/>
    <w:rsid w:val="00E44461"/>
    <w:rsid w:val="00E476B2"/>
    <w:rsid w:val="00E47974"/>
    <w:rsid w:val="00E51C7E"/>
    <w:rsid w:val="00E51E85"/>
    <w:rsid w:val="00E52F12"/>
    <w:rsid w:val="00E53E3B"/>
    <w:rsid w:val="00E61BA3"/>
    <w:rsid w:val="00E63C57"/>
    <w:rsid w:val="00E659CB"/>
    <w:rsid w:val="00E67E6D"/>
    <w:rsid w:val="00E71FA1"/>
    <w:rsid w:val="00E72008"/>
    <w:rsid w:val="00E72A5D"/>
    <w:rsid w:val="00E772C9"/>
    <w:rsid w:val="00E808F3"/>
    <w:rsid w:val="00E8106A"/>
    <w:rsid w:val="00E81E02"/>
    <w:rsid w:val="00E835CD"/>
    <w:rsid w:val="00E84992"/>
    <w:rsid w:val="00E84A32"/>
    <w:rsid w:val="00E930CC"/>
    <w:rsid w:val="00E93686"/>
    <w:rsid w:val="00E93963"/>
    <w:rsid w:val="00E94E52"/>
    <w:rsid w:val="00E95857"/>
    <w:rsid w:val="00E97399"/>
    <w:rsid w:val="00EA015A"/>
    <w:rsid w:val="00EA0983"/>
    <w:rsid w:val="00EA116D"/>
    <w:rsid w:val="00EA1E21"/>
    <w:rsid w:val="00EA1F1D"/>
    <w:rsid w:val="00EA22AD"/>
    <w:rsid w:val="00EA3220"/>
    <w:rsid w:val="00EA335B"/>
    <w:rsid w:val="00EA5827"/>
    <w:rsid w:val="00EA6AF2"/>
    <w:rsid w:val="00EA70FA"/>
    <w:rsid w:val="00EB0F0B"/>
    <w:rsid w:val="00EB2937"/>
    <w:rsid w:val="00EB2A5C"/>
    <w:rsid w:val="00EB2CFE"/>
    <w:rsid w:val="00EB431C"/>
    <w:rsid w:val="00EB45ED"/>
    <w:rsid w:val="00EB4B04"/>
    <w:rsid w:val="00EB5301"/>
    <w:rsid w:val="00EB57D1"/>
    <w:rsid w:val="00EB7493"/>
    <w:rsid w:val="00EC0617"/>
    <w:rsid w:val="00EC18A0"/>
    <w:rsid w:val="00EC3405"/>
    <w:rsid w:val="00EC4AF2"/>
    <w:rsid w:val="00EC6509"/>
    <w:rsid w:val="00EC7106"/>
    <w:rsid w:val="00ED09DB"/>
    <w:rsid w:val="00ED2822"/>
    <w:rsid w:val="00ED3CC8"/>
    <w:rsid w:val="00ED578E"/>
    <w:rsid w:val="00ED679A"/>
    <w:rsid w:val="00ED6EBE"/>
    <w:rsid w:val="00ED741C"/>
    <w:rsid w:val="00ED7796"/>
    <w:rsid w:val="00ED7E79"/>
    <w:rsid w:val="00EE12DB"/>
    <w:rsid w:val="00EE1662"/>
    <w:rsid w:val="00EE2BFD"/>
    <w:rsid w:val="00EF15B5"/>
    <w:rsid w:val="00EF2EBD"/>
    <w:rsid w:val="00EF3063"/>
    <w:rsid w:val="00EF32EE"/>
    <w:rsid w:val="00EF3684"/>
    <w:rsid w:val="00EF4B3B"/>
    <w:rsid w:val="00EF5269"/>
    <w:rsid w:val="00EF7011"/>
    <w:rsid w:val="00EF7FEC"/>
    <w:rsid w:val="00F03C76"/>
    <w:rsid w:val="00F04DE2"/>
    <w:rsid w:val="00F051D1"/>
    <w:rsid w:val="00F06051"/>
    <w:rsid w:val="00F06C5E"/>
    <w:rsid w:val="00F06D9D"/>
    <w:rsid w:val="00F11147"/>
    <w:rsid w:val="00F12F9A"/>
    <w:rsid w:val="00F153E4"/>
    <w:rsid w:val="00F15F69"/>
    <w:rsid w:val="00F160E5"/>
    <w:rsid w:val="00F16C80"/>
    <w:rsid w:val="00F1788E"/>
    <w:rsid w:val="00F17B67"/>
    <w:rsid w:val="00F17FE1"/>
    <w:rsid w:val="00F204B1"/>
    <w:rsid w:val="00F216E1"/>
    <w:rsid w:val="00F218C0"/>
    <w:rsid w:val="00F21A9E"/>
    <w:rsid w:val="00F22FD1"/>
    <w:rsid w:val="00F23364"/>
    <w:rsid w:val="00F23C9F"/>
    <w:rsid w:val="00F25A1D"/>
    <w:rsid w:val="00F25DEA"/>
    <w:rsid w:val="00F26A0F"/>
    <w:rsid w:val="00F271DF"/>
    <w:rsid w:val="00F302CC"/>
    <w:rsid w:val="00F3071B"/>
    <w:rsid w:val="00F30B26"/>
    <w:rsid w:val="00F3291E"/>
    <w:rsid w:val="00F375EF"/>
    <w:rsid w:val="00F37C16"/>
    <w:rsid w:val="00F412C0"/>
    <w:rsid w:val="00F4237E"/>
    <w:rsid w:val="00F42C13"/>
    <w:rsid w:val="00F43804"/>
    <w:rsid w:val="00F4515F"/>
    <w:rsid w:val="00F5157A"/>
    <w:rsid w:val="00F52872"/>
    <w:rsid w:val="00F528CD"/>
    <w:rsid w:val="00F54110"/>
    <w:rsid w:val="00F542A2"/>
    <w:rsid w:val="00F572F7"/>
    <w:rsid w:val="00F57D27"/>
    <w:rsid w:val="00F57DB7"/>
    <w:rsid w:val="00F60FB1"/>
    <w:rsid w:val="00F61E2D"/>
    <w:rsid w:val="00F667B5"/>
    <w:rsid w:val="00F66DFC"/>
    <w:rsid w:val="00F67916"/>
    <w:rsid w:val="00F71831"/>
    <w:rsid w:val="00F71B2C"/>
    <w:rsid w:val="00F7258B"/>
    <w:rsid w:val="00F7464A"/>
    <w:rsid w:val="00F75BFE"/>
    <w:rsid w:val="00F76991"/>
    <w:rsid w:val="00F76D30"/>
    <w:rsid w:val="00F77BB2"/>
    <w:rsid w:val="00F82423"/>
    <w:rsid w:val="00F831D5"/>
    <w:rsid w:val="00F83D05"/>
    <w:rsid w:val="00F8454B"/>
    <w:rsid w:val="00F85742"/>
    <w:rsid w:val="00F8629F"/>
    <w:rsid w:val="00F8653C"/>
    <w:rsid w:val="00F871D7"/>
    <w:rsid w:val="00F87478"/>
    <w:rsid w:val="00F908AA"/>
    <w:rsid w:val="00F90A23"/>
    <w:rsid w:val="00F90ADB"/>
    <w:rsid w:val="00F90DD0"/>
    <w:rsid w:val="00F91858"/>
    <w:rsid w:val="00F91F64"/>
    <w:rsid w:val="00F923AC"/>
    <w:rsid w:val="00F926D3"/>
    <w:rsid w:val="00F926FD"/>
    <w:rsid w:val="00F939B2"/>
    <w:rsid w:val="00F940B4"/>
    <w:rsid w:val="00F9634C"/>
    <w:rsid w:val="00F96ED3"/>
    <w:rsid w:val="00F977E7"/>
    <w:rsid w:val="00F97FAF"/>
    <w:rsid w:val="00FA22EB"/>
    <w:rsid w:val="00FA38D3"/>
    <w:rsid w:val="00FA5458"/>
    <w:rsid w:val="00FA6F5D"/>
    <w:rsid w:val="00FA6F8E"/>
    <w:rsid w:val="00FA77B6"/>
    <w:rsid w:val="00FA795B"/>
    <w:rsid w:val="00FB0566"/>
    <w:rsid w:val="00FB12D4"/>
    <w:rsid w:val="00FB1A01"/>
    <w:rsid w:val="00FB1D50"/>
    <w:rsid w:val="00FB1DFC"/>
    <w:rsid w:val="00FB368D"/>
    <w:rsid w:val="00FB4475"/>
    <w:rsid w:val="00FB44FD"/>
    <w:rsid w:val="00FB5C08"/>
    <w:rsid w:val="00FC15E0"/>
    <w:rsid w:val="00FC2B44"/>
    <w:rsid w:val="00FC32D0"/>
    <w:rsid w:val="00FC41BE"/>
    <w:rsid w:val="00FC59CD"/>
    <w:rsid w:val="00FD02A2"/>
    <w:rsid w:val="00FD0313"/>
    <w:rsid w:val="00FD0A96"/>
    <w:rsid w:val="00FD0BD8"/>
    <w:rsid w:val="00FD4E02"/>
    <w:rsid w:val="00FD633C"/>
    <w:rsid w:val="00FE07C9"/>
    <w:rsid w:val="00FE0F0D"/>
    <w:rsid w:val="00FE2067"/>
    <w:rsid w:val="00FE2897"/>
    <w:rsid w:val="00FE3526"/>
    <w:rsid w:val="00FE4C93"/>
    <w:rsid w:val="00FE72B9"/>
    <w:rsid w:val="00FF27BE"/>
    <w:rsid w:val="00FF3968"/>
    <w:rsid w:val="00FF40B4"/>
    <w:rsid w:val="00FF43D7"/>
    <w:rsid w:val="00FF483C"/>
    <w:rsid w:val="00FF4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A9615"/>
  <w15:chartTrackingRefBased/>
  <w15:docId w15:val="{6BB9872D-8536-491A-87BE-88813930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sz w:val="28"/>
      <w:szCs w:val="28"/>
    </w:rPr>
  </w:style>
  <w:style w:type="paragraph" w:styleId="Header">
    <w:name w:val="header"/>
    <w:aliases w:val="18pt Bold"/>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A0B"/>
    <w:rPr>
      <w:rFonts w:ascii="Tahoma" w:hAnsi="Tahoma" w:cs="Tahoma"/>
      <w:sz w:val="16"/>
      <w:szCs w:val="16"/>
    </w:rPr>
  </w:style>
  <w:style w:type="paragraph" w:styleId="ListParagraph">
    <w:name w:val="List Paragraph"/>
    <w:aliases w:val="2,Strip"/>
    <w:basedOn w:val="Normal"/>
    <w:link w:val="ListParagraphChar"/>
    <w:uiPriority w:val="34"/>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uiPriority w:val="99"/>
    <w:semiHidden/>
    <w:rsid w:val="00E63C57"/>
    <w:rPr>
      <w:sz w:val="16"/>
      <w:szCs w:val="16"/>
    </w:rPr>
  </w:style>
  <w:style w:type="paragraph" w:styleId="CommentText">
    <w:name w:val="annotation text"/>
    <w:basedOn w:val="Normal"/>
    <w:link w:val="CommentTextChar"/>
    <w:uiPriority w:val="99"/>
    <w:semiHidden/>
    <w:rsid w:val="00E63C57"/>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uiPriority w:val="99"/>
    <w:semiHidden/>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sz w:val="24"/>
      <w:szCs w:val="24"/>
    </w:rPr>
  </w:style>
  <w:style w:type="paragraph" w:customStyle="1" w:styleId="CM1">
    <w:name w:val="CM1"/>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Datedadoption">
    <w:name w:val="Date d'adoption"/>
    <w:basedOn w:val="Normal"/>
    <w:next w:val="Normal"/>
    <w:rsid w:val="001B023B"/>
    <w:pPr>
      <w:spacing w:before="360" w:after="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Normal"/>
    <w:rsid w:val="001B023B"/>
    <w:pPr>
      <w:spacing w:before="360" w:after="0" w:line="240" w:lineRule="auto"/>
      <w:jc w:val="center"/>
    </w:pPr>
    <w:rPr>
      <w:rFonts w:ascii="Times New Roman" w:eastAsia="Times New Roman" w:hAnsi="Times New Roman"/>
      <w:b/>
      <w:sz w:val="24"/>
      <w:szCs w:val="20"/>
      <w:lang w:eastAsia="en-GB"/>
    </w:rPr>
  </w:style>
  <w:style w:type="paragraph" w:customStyle="1" w:styleId="tv2131">
    <w:name w:val="tv2131"/>
    <w:basedOn w:val="Normal"/>
    <w:rsid w:val="001D7B8F"/>
    <w:pPr>
      <w:spacing w:after="0" w:line="360" w:lineRule="auto"/>
      <w:ind w:firstLine="240"/>
    </w:pPr>
    <w:rPr>
      <w:rFonts w:ascii="Times New Roman" w:eastAsia="Times New Roman" w:hAnsi="Times New Roman"/>
      <w:color w:val="414142"/>
      <w:sz w:val="16"/>
      <w:szCs w:val="16"/>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141791"/>
    <w:pPr>
      <w:widowControl w:val="0"/>
      <w:spacing w:after="0" w:line="240" w:lineRule="auto"/>
      <w:ind w:firstLine="720"/>
      <w:jc w:val="both"/>
    </w:pPr>
    <w:rPr>
      <w:rFonts w:ascii="Times New Roman" w:eastAsia="Times New Roman" w:hAnsi="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link w:val="FootnoteText"/>
    <w:uiPriority w:val="99"/>
    <w:rsid w:val="00141791"/>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41791"/>
    <w:rPr>
      <w:vertAlign w:val="superscript"/>
    </w:rPr>
  </w:style>
  <w:style w:type="character" w:styleId="Hyperlink">
    <w:name w:val="Hyperlink"/>
    <w:uiPriority w:val="99"/>
    <w:unhideWhenUsed/>
    <w:rsid w:val="00141791"/>
    <w:rPr>
      <w:color w:val="0000FF"/>
      <w:u w:val="single"/>
    </w:rPr>
  </w:style>
  <w:style w:type="paragraph" w:customStyle="1" w:styleId="naiskr">
    <w:name w:val="naiskr"/>
    <w:basedOn w:val="Normal"/>
    <w:rsid w:val="00C81F0E"/>
    <w:pPr>
      <w:spacing w:before="75" w:after="75" w:line="240" w:lineRule="auto"/>
    </w:pPr>
    <w:rPr>
      <w:rFonts w:ascii="Times New Roman" w:eastAsia="Times New Roman" w:hAnsi="Times New Roman"/>
      <w:sz w:val="24"/>
      <w:szCs w:val="24"/>
      <w:lang w:eastAsia="lv-LV"/>
    </w:rPr>
  </w:style>
  <w:style w:type="character" w:styleId="Strong">
    <w:name w:val="Strong"/>
    <w:uiPriority w:val="22"/>
    <w:qFormat/>
    <w:rsid w:val="008417D5"/>
    <w:rPr>
      <w:b/>
      <w:bCs/>
    </w:rPr>
  </w:style>
  <w:style w:type="paragraph" w:styleId="CommentSubject">
    <w:name w:val="annotation subject"/>
    <w:basedOn w:val="CommentText"/>
    <w:next w:val="CommentText"/>
    <w:link w:val="CommentSubjectChar"/>
    <w:uiPriority w:val="99"/>
    <w:semiHidden/>
    <w:unhideWhenUsed/>
    <w:rsid w:val="002F4AD0"/>
    <w:pPr>
      <w:spacing w:after="200"/>
    </w:pPr>
    <w:rPr>
      <w:rFonts w:ascii="Calibri" w:eastAsia="Calibri" w:hAnsi="Calibri"/>
      <w:b/>
      <w:bCs/>
      <w:lang w:eastAsia="en-US"/>
    </w:rPr>
  </w:style>
  <w:style w:type="character" w:customStyle="1" w:styleId="CommentSubjectChar">
    <w:name w:val="Comment Subject Char"/>
    <w:link w:val="CommentSubject"/>
    <w:uiPriority w:val="99"/>
    <w:semiHidden/>
    <w:rsid w:val="002F4AD0"/>
    <w:rPr>
      <w:rFonts w:ascii="Times New Roman" w:eastAsia="Times New Roman" w:hAnsi="Times New Roman" w:cs="Times New Roman"/>
      <w:b/>
      <w:bCs/>
      <w:sz w:val="20"/>
      <w:szCs w:val="20"/>
      <w:lang w:eastAsia="lv-LV"/>
    </w:rPr>
  </w:style>
  <w:style w:type="paragraph" w:styleId="Revision">
    <w:name w:val="Revision"/>
    <w:hidden/>
    <w:uiPriority w:val="99"/>
    <w:semiHidden/>
    <w:rsid w:val="002F4AD0"/>
    <w:rPr>
      <w:sz w:val="22"/>
      <w:szCs w:val="22"/>
      <w:lang w:eastAsia="en-US"/>
    </w:rPr>
  </w:style>
  <w:style w:type="character" w:customStyle="1" w:styleId="ListParagraphChar">
    <w:name w:val="List Paragraph Char"/>
    <w:aliases w:val="2 Char,Strip Char"/>
    <w:link w:val="ListParagraph"/>
    <w:uiPriority w:val="34"/>
    <w:qFormat/>
    <w:rsid w:val="00BC7E09"/>
  </w:style>
  <w:style w:type="paragraph" w:styleId="NormalWeb">
    <w:name w:val="Normal (Web)"/>
    <w:basedOn w:val="Normal"/>
    <w:uiPriority w:val="99"/>
    <w:rsid w:val="00BC7E0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CharChar">
    <w:name w:val="Char Char Char Char"/>
    <w:aliases w:val="Char2"/>
    <w:basedOn w:val="Normal"/>
    <w:next w:val="Normal"/>
    <w:link w:val="FootnoteReference"/>
    <w:uiPriority w:val="99"/>
    <w:rsid w:val="007E730B"/>
    <w:pPr>
      <w:spacing w:after="160" w:line="240" w:lineRule="exact"/>
      <w:jc w:val="both"/>
    </w:pPr>
    <w:rPr>
      <w:sz w:val="20"/>
      <w:szCs w:val="20"/>
      <w:vertAlign w:val="superscript"/>
      <w:lang w:val="x-none" w:eastAsia="x-none"/>
    </w:rPr>
  </w:style>
  <w:style w:type="paragraph" w:customStyle="1" w:styleId="tv2132">
    <w:name w:val="tv2132"/>
    <w:basedOn w:val="Normal"/>
    <w:rsid w:val="00CC7BC2"/>
    <w:pPr>
      <w:spacing w:after="0" w:line="360" w:lineRule="auto"/>
      <w:ind w:firstLine="300"/>
    </w:pPr>
    <w:rPr>
      <w:rFonts w:ascii="Times New Roman" w:eastAsia="Times New Roman" w:hAnsi="Times New Roman"/>
      <w:color w:val="414142"/>
      <w:sz w:val="20"/>
      <w:szCs w:val="20"/>
      <w:lang w:eastAsia="lv-LV"/>
    </w:rPr>
  </w:style>
  <w:style w:type="paragraph" w:customStyle="1" w:styleId="top1">
    <w:name w:val="top1"/>
    <w:basedOn w:val="Normal"/>
    <w:rsid w:val="008C7B4B"/>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rsid w:val="008C7B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6E333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25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578467">
      <w:bodyDiv w:val="1"/>
      <w:marLeft w:val="0"/>
      <w:marRight w:val="0"/>
      <w:marTop w:val="0"/>
      <w:marBottom w:val="0"/>
      <w:divBdr>
        <w:top w:val="none" w:sz="0" w:space="0" w:color="auto"/>
        <w:left w:val="none" w:sz="0" w:space="0" w:color="auto"/>
        <w:bottom w:val="none" w:sz="0" w:space="0" w:color="auto"/>
        <w:right w:val="none" w:sz="0" w:space="0" w:color="auto"/>
      </w:divBdr>
    </w:div>
    <w:div w:id="198862943">
      <w:bodyDiv w:val="1"/>
      <w:marLeft w:val="0"/>
      <w:marRight w:val="0"/>
      <w:marTop w:val="0"/>
      <w:marBottom w:val="0"/>
      <w:divBdr>
        <w:top w:val="none" w:sz="0" w:space="0" w:color="auto"/>
        <w:left w:val="none" w:sz="0" w:space="0" w:color="auto"/>
        <w:bottom w:val="none" w:sz="0" w:space="0" w:color="auto"/>
        <w:right w:val="none" w:sz="0" w:space="0" w:color="auto"/>
      </w:divBdr>
    </w:div>
    <w:div w:id="216817926">
      <w:bodyDiv w:val="1"/>
      <w:marLeft w:val="0"/>
      <w:marRight w:val="0"/>
      <w:marTop w:val="0"/>
      <w:marBottom w:val="0"/>
      <w:divBdr>
        <w:top w:val="none" w:sz="0" w:space="0" w:color="auto"/>
        <w:left w:val="none" w:sz="0" w:space="0" w:color="auto"/>
        <w:bottom w:val="none" w:sz="0" w:space="0" w:color="auto"/>
        <w:right w:val="none" w:sz="0" w:space="0" w:color="auto"/>
      </w:divBdr>
      <w:divsChild>
        <w:div w:id="1743527661">
          <w:marLeft w:val="0"/>
          <w:marRight w:val="0"/>
          <w:marTop w:val="0"/>
          <w:marBottom w:val="0"/>
          <w:divBdr>
            <w:top w:val="none" w:sz="0" w:space="0" w:color="auto"/>
            <w:left w:val="none" w:sz="0" w:space="0" w:color="auto"/>
            <w:bottom w:val="none" w:sz="0" w:space="0" w:color="auto"/>
            <w:right w:val="none" w:sz="0" w:space="0" w:color="auto"/>
          </w:divBdr>
          <w:divsChild>
            <w:div w:id="461660239">
              <w:marLeft w:val="0"/>
              <w:marRight w:val="0"/>
              <w:marTop w:val="0"/>
              <w:marBottom w:val="0"/>
              <w:divBdr>
                <w:top w:val="none" w:sz="0" w:space="0" w:color="auto"/>
                <w:left w:val="none" w:sz="0" w:space="0" w:color="auto"/>
                <w:bottom w:val="none" w:sz="0" w:space="0" w:color="auto"/>
                <w:right w:val="none" w:sz="0" w:space="0" w:color="auto"/>
              </w:divBdr>
              <w:divsChild>
                <w:div w:id="1823037617">
                  <w:marLeft w:val="0"/>
                  <w:marRight w:val="0"/>
                  <w:marTop w:val="0"/>
                  <w:marBottom w:val="0"/>
                  <w:divBdr>
                    <w:top w:val="none" w:sz="0" w:space="0" w:color="auto"/>
                    <w:left w:val="none" w:sz="0" w:space="0" w:color="auto"/>
                    <w:bottom w:val="none" w:sz="0" w:space="0" w:color="auto"/>
                    <w:right w:val="none" w:sz="0" w:space="0" w:color="auto"/>
                  </w:divBdr>
                  <w:divsChild>
                    <w:div w:id="1338191077">
                      <w:marLeft w:val="0"/>
                      <w:marRight w:val="0"/>
                      <w:marTop w:val="0"/>
                      <w:marBottom w:val="0"/>
                      <w:divBdr>
                        <w:top w:val="none" w:sz="0" w:space="0" w:color="auto"/>
                        <w:left w:val="none" w:sz="0" w:space="0" w:color="auto"/>
                        <w:bottom w:val="none" w:sz="0" w:space="0" w:color="auto"/>
                        <w:right w:val="none" w:sz="0" w:space="0" w:color="auto"/>
                      </w:divBdr>
                      <w:divsChild>
                        <w:div w:id="1698241116">
                          <w:marLeft w:val="0"/>
                          <w:marRight w:val="0"/>
                          <w:marTop w:val="0"/>
                          <w:marBottom w:val="0"/>
                          <w:divBdr>
                            <w:top w:val="none" w:sz="0" w:space="0" w:color="auto"/>
                            <w:left w:val="none" w:sz="0" w:space="0" w:color="auto"/>
                            <w:bottom w:val="none" w:sz="0" w:space="0" w:color="auto"/>
                            <w:right w:val="none" w:sz="0" w:space="0" w:color="auto"/>
                          </w:divBdr>
                          <w:divsChild>
                            <w:div w:id="1968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91160">
      <w:bodyDiv w:val="1"/>
      <w:marLeft w:val="0"/>
      <w:marRight w:val="0"/>
      <w:marTop w:val="0"/>
      <w:marBottom w:val="0"/>
      <w:divBdr>
        <w:top w:val="none" w:sz="0" w:space="0" w:color="auto"/>
        <w:left w:val="none" w:sz="0" w:space="0" w:color="auto"/>
        <w:bottom w:val="none" w:sz="0" w:space="0" w:color="auto"/>
        <w:right w:val="none" w:sz="0" w:space="0" w:color="auto"/>
      </w:divBdr>
    </w:div>
    <w:div w:id="368184697">
      <w:bodyDiv w:val="1"/>
      <w:marLeft w:val="0"/>
      <w:marRight w:val="0"/>
      <w:marTop w:val="0"/>
      <w:marBottom w:val="0"/>
      <w:divBdr>
        <w:top w:val="none" w:sz="0" w:space="0" w:color="auto"/>
        <w:left w:val="none" w:sz="0" w:space="0" w:color="auto"/>
        <w:bottom w:val="none" w:sz="0" w:space="0" w:color="auto"/>
        <w:right w:val="none" w:sz="0" w:space="0" w:color="auto"/>
      </w:divBdr>
    </w:div>
    <w:div w:id="408160072">
      <w:bodyDiv w:val="1"/>
      <w:marLeft w:val="0"/>
      <w:marRight w:val="0"/>
      <w:marTop w:val="0"/>
      <w:marBottom w:val="0"/>
      <w:divBdr>
        <w:top w:val="none" w:sz="0" w:space="0" w:color="auto"/>
        <w:left w:val="none" w:sz="0" w:space="0" w:color="auto"/>
        <w:bottom w:val="none" w:sz="0" w:space="0" w:color="auto"/>
        <w:right w:val="none" w:sz="0" w:space="0" w:color="auto"/>
      </w:divBdr>
    </w:div>
    <w:div w:id="470830660">
      <w:bodyDiv w:val="1"/>
      <w:marLeft w:val="0"/>
      <w:marRight w:val="0"/>
      <w:marTop w:val="0"/>
      <w:marBottom w:val="0"/>
      <w:divBdr>
        <w:top w:val="none" w:sz="0" w:space="0" w:color="auto"/>
        <w:left w:val="none" w:sz="0" w:space="0" w:color="auto"/>
        <w:bottom w:val="none" w:sz="0" w:space="0" w:color="auto"/>
        <w:right w:val="none" w:sz="0" w:space="0" w:color="auto"/>
      </w:divBdr>
    </w:div>
    <w:div w:id="563294069">
      <w:bodyDiv w:val="1"/>
      <w:marLeft w:val="0"/>
      <w:marRight w:val="0"/>
      <w:marTop w:val="0"/>
      <w:marBottom w:val="0"/>
      <w:divBdr>
        <w:top w:val="none" w:sz="0" w:space="0" w:color="auto"/>
        <w:left w:val="none" w:sz="0" w:space="0" w:color="auto"/>
        <w:bottom w:val="none" w:sz="0" w:space="0" w:color="auto"/>
        <w:right w:val="none" w:sz="0" w:space="0" w:color="auto"/>
      </w:divBdr>
      <w:divsChild>
        <w:div w:id="2036616428">
          <w:marLeft w:val="0"/>
          <w:marRight w:val="0"/>
          <w:marTop w:val="0"/>
          <w:marBottom w:val="0"/>
          <w:divBdr>
            <w:top w:val="none" w:sz="0" w:space="0" w:color="auto"/>
            <w:left w:val="none" w:sz="0" w:space="0" w:color="auto"/>
            <w:bottom w:val="none" w:sz="0" w:space="0" w:color="auto"/>
            <w:right w:val="none" w:sz="0" w:space="0" w:color="auto"/>
          </w:divBdr>
          <w:divsChild>
            <w:div w:id="887650559">
              <w:marLeft w:val="0"/>
              <w:marRight w:val="0"/>
              <w:marTop w:val="0"/>
              <w:marBottom w:val="0"/>
              <w:divBdr>
                <w:top w:val="none" w:sz="0" w:space="0" w:color="auto"/>
                <w:left w:val="none" w:sz="0" w:space="0" w:color="auto"/>
                <w:bottom w:val="none" w:sz="0" w:space="0" w:color="auto"/>
                <w:right w:val="none" w:sz="0" w:space="0" w:color="auto"/>
              </w:divBdr>
              <w:divsChild>
                <w:div w:id="701398960">
                  <w:marLeft w:val="0"/>
                  <w:marRight w:val="0"/>
                  <w:marTop w:val="0"/>
                  <w:marBottom w:val="0"/>
                  <w:divBdr>
                    <w:top w:val="none" w:sz="0" w:space="0" w:color="auto"/>
                    <w:left w:val="none" w:sz="0" w:space="0" w:color="auto"/>
                    <w:bottom w:val="none" w:sz="0" w:space="0" w:color="auto"/>
                    <w:right w:val="none" w:sz="0" w:space="0" w:color="auto"/>
                  </w:divBdr>
                  <w:divsChild>
                    <w:div w:id="1008561614">
                      <w:marLeft w:val="0"/>
                      <w:marRight w:val="0"/>
                      <w:marTop w:val="0"/>
                      <w:marBottom w:val="0"/>
                      <w:divBdr>
                        <w:top w:val="none" w:sz="0" w:space="0" w:color="auto"/>
                        <w:left w:val="none" w:sz="0" w:space="0" w:color="auto"/>
                        <w:bottom w:val="none" w:sz="0" w:space="0" w:color="auto"/>
                        <w:right w:val="none" w:sz="0" w:space="0" w:color="auto"/>
                      </w:divBdr>
                      <w:divsChild>
                        <w:div w:id="1742217076">
                          <w:marLeft w:val="0"/>
                          <w:marRight w:val="0"/>
                          <w:marTop w:val="0"/>
                          <w:marBottom w:val="0"/>
                          <w:divBdr>
                            <w:top w:val="none" w:sz="0" w:space="0" w:color="auto"/>
                            <w:left w:val="none" w:sz="0" w:space="0" w:color="auto"/>
                            <w:bottom w:val="none" w:sz="0" w:space="0" w:color="auto"/>
                            <w:right w:val="none" w:sz="0" w:space="0" w:color="auto"/>
                          </w:divBdr>
                          <w:divsChild>
                            <w:div w:id="10119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457436">
      <w:bodyDiv w:val="1"/>
      <w:marLeft w:val="0"/>
      <w:marRight w:val="0"/>
      <w:marTop w:val="0"/>
      <w:marBottom w:val="0"/>
      <w:divBdr>
        <w:top w:val="none" w:sz="0" w:space="0" w:color="auto"/>
        <w:left w:val="none" w:sz="0" w:space="0" w:color="auto"/>
        <w:bottom w:val="none" w:sz="0" w:space="0" w:color="auto"/>
        <w:right w:val="none" w:sz="0" w:space="0" w:color="auto"/>
      </w:divBdr>
      <w:divsChild>
        <w:div w:id="831066134">
          <w:marLeft w:val="0"/>
          <w:marRight w:val="0"/>
          <w:marTop w:val="0"/>
          <w:marBottom w:val="0"/>
          <w:divBdr>
            <w:top w:val="none" w:sz="0" w:space="0" w:color="auto"/>
            <w:left w:val="none" w:sz="0" w:space="0" w:color="auto"/>
            <w:bottom w:val="none" w:sz="0" w:space="0" w:color="auto"/>
            <w:right w:val="none" w:sz="0" w:space="0" w:color="auto"/>
          </w:divBdr>
          <w:divsChild>
            <w:div w:id="1127431977">
              <w:marLeft w:val="0"/>
              <w:marRight w:val="0"/>
              <w:marTop w:val="0"/>
              <w:marBottom w:val="0"/>
              <w:divBdr>
                <w:top w:val="none" w:sz="0" w:space="0" w:color="auto"/>
                <w:left w:val="none" w:sz="0" w:space="0" w:color="auto"/>
                <w:bottom w:val="none" w:sz="0" w:space="0" w:color="auto"/>
                <w:right w:val="none" w:sz="0" w:space="0" w:color="auto"/>
              </w:divBdr>
              <w:divsChild>
                <w:div w:id="1070158842">
                  <w:marLeft w:val="0"/>
                  <w:marRight w:val="0"/>
                  <w:marTop w:val="0"/>
                  <w:marBottom w:val="0"/>
                  <w:divBdr>
                    <w:top w:val="none" w:sz="0" w:space="0" w:color="auto"/>
                    <w:left w:val="none" w:sz="0" w:space="0" w:color="auto"/>
                    <w:bottom w:val="none" w:sz="0" w:space="0" w:color="auto"/>
                    <w:right w:val="none" w:sz="0" w:space="0" w:color="auto"/>
                  </w:divBdr>
                  <w:divsChild>
                    <w:div w:id="464158350">
                      <w:marLeft w:val="0"/>
                      <w:marRight w:val="0"/>
                      <w:marTop w:val="0"/>
                      <w:marBottom w:val="0"/>
                      <w:divBdr>
                        <w:top w:val="none" w:sz="0" w:space="0" w:color="auto"/>
                        <w:left w:val="none" w:sz="0" w:space="0" w:color="auto"/>
                        <w:bottom w:val="none" w:sz="0" w:space="0" w:color="auto"/>
                        <w:right w:val="none" w:sz="0" w:space="0" w:color="auto"/>
                      </w:divBdr>
                      <w:divsChild>
                        <w:div w:id="435754949">
                          <w:marLeft w:val="0"/>
                          <w:marRight w:val="0"/>
                          <w:marTop w:val="0"/>
                          <w:marBottom w:val="0"/>
                          <w:divBdr>
                            <w:top w:val="none" w:sz="0" w:space="0" w:color="auto"/>
                            <w:left w:val="none" w:sz="0" w:space="0" w:color="auto"/>
                            <w:bottom w:val="none" w:sz="0" w:space="0" w:color="auto"/>
                            <w:right w:val="none" w:sz="0" w:space="0" w:color="auto"/>
                          </w:divBdr>
                          <w:divsChild>
                            <w:div w:id="19138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96848">
      <w:bodyDiv w:val="1"/>
      <w:marLeft w:val="0"/>
      <w:marRight w:val="0"/>
      <w:marTop w:val="0"/>
      <w:marBottom w:val="0"/>
      <w:divBdr>
        <w:top w:val="none" w:sz="0" w:space="0" w:color="auto"/>
        <w:left w:val="none" w:sz="0" w:space="0" w:color="auto"/>
        <w:bottom w:val="none" w:sz="0" w:space="0" w:color="auto"/>
        <w:right w:val="none" w:sz="0" w:space="0" w:color="auto"/>
      </w:divBdr>
    </w:div>
    <w:div w:id="806238938">
      <w:bodyDiv w:val="1"/>
      <w:marLeft w:val="0"/>
      <w:marRight w:val="0"/>
      <w:marTop w:val="0"/>
      <w:marBottom w:val="0"/>
      <w:divBdr>
        <w:top w:val="none" w:sz="0" w:space="0" w:color="auto"/>
        <w:left w:val="none" w:sz="0" w:space="0" w:color="auto"/>
        <w:bottom w:val="none" w:sz="0" w:space="0" w:color="auto"/>
        <w:right w:val="none" w:sz="0" w:space="0" w:color="auto"/>
      </w:divBdr>
    </w:div>
    <w:div w:id="816841940">
      <w:bodyDiv w:val="1"/>
      <w:marLeft w:val="0"/>
      <w:marRight w:val="0"/>
      <w:marTop w:val="0"/>
      <w:marBottom w:val="0"/>
      <w:divBdr>
        <w:top w:val="none" w:sz="0" w:space="0" w:color="auto"/>
        <w:left w:val="none" w:sz="0" w:space="0" w:color="auto"/>
        <w:bottom w:val="none" w:sz="0" w:space="0" w:color="auto"/>
        <w:right w:val="none" w:sz="0" w:space="0" w:color="auto"/>
      </w:divBdr>
    </w:div>
    <w:div w:id="953830121">
      <w:bodyDiv w:val="1"/>
      <w:marLeft w:val="0"/>
      <w:marRight w:val="0"/>
      <w:marTop w:val="0"/>
      <w:marBottom w:val="0"/>
      <w:divBdr>
        <w:top w:val="none" w:sz="0" w:space="0" w:color="auto"/>
        <w:left w:val="none" w:sz="0" w:space="0" w:color="auto"/>
        <w:bottom w:val="none" w:sz="0" w:space="0" w:color="auto"/>
        <w:right w:val="none" w:sz="0" w:space="0" w:color="auto"/>
      </w:divBdr>
      <w:divsChild>
        <w:div w:id="1047489518">
          <w:marLeft w:val="0"/>
          <w:marRight w:val="0"/>
          <w:marTop w:val="0"/>
          <w:marBottom w:val="0"/>
          <w:divBdr>
            <w:top w:val="none" w:sz="0" w:space="0" w:color="auto"/>
            <w:left w:val="none" w:sz="0" w:space="0" w:color="auto"/>
            <w:bottom w:val="none" w:sz="0" w:space="0" w:color="auto"/>
            <w:right w:val="none" w:sz="0" w:space="0" w:color="auto"/>
          </w:divBdr>
          <w:divsChild>
            <w:div w:id="568152592">
              <w:marLeft w:val="0"/>
              <w:marRight w:val="0"/>
              <w:marTop w:val="0"/>
              <w:marBottom w:val="0"/>
              <w:divBdr>
                <w:top w:val="none" w:sz="0" w:space="0" w:color="auto"/>
                <w:left w:val="none" w:sz="0" w:space="0" w:color="auto"/>
                <w:bottom w:val="none" w:sz="0" w:space="0" w:color="auto"/>
                <w:right w:val="none" w:sz="0" w:space="0" w:color="auto"/>
              </w:divBdr>
              <w:divsChild>
                <w:div w:id="970479476">
                  <w:marLeft w:val="0"/>
                  <w:marRight w:val="0"/>
                  <w:marTop w:val="0"/>
                  <w:marBottom w:val="0"/>
                  <w:divBdr>
                    <w:top w:val="none" w:sz="0" w:space="0" w:color="auto"/>
                    <w:left w:val="none" w:sz="0" w:space="0" w:color="auto"/>
                    <w:bottom w:val="none" w:sz="0" w:space="0" w:color="auto"/>
                    <w:right w:val="none" w:sz="0" w:space="0" w:color="auto"/>
                  </w:divBdr>
                  <w:divsChild>
                    <w:div w:id="1591812780">
                      <w:marLeft w:val="0"/>
                      <w:marRight w:val="0"/>
                      <w:marTop w:val="0"/>
                      <w:marBottom w:val="0"/>
                      <w:divBdr>
                        <w:top w:val="none" w:sz="0" w:space="0" w:color="auto"/>
                        <w:left w:val="none" w:sz="0" w:space="0" w:color="auto"/>
                        <w:bottom w:val="none" w:sz="0" w:space="0" w:color="auto"/>
                        <w:right w:val="none" w:sz="0" w:space="0" w:color="auto"/>
                      </w:divBdr>
                      <w:divsChild>
                        <w:div w:id="1484807613">
                          <w:marLeft w:val="0"/>
                          <w:marRight w:val="0"/>
                          <w:marTop w:val="0"/>
                          <w:marBottom w:val="0"/>
                          <w:divBdr>
                            <w:top w:val="none" w:sz="0" w:space="0" w:color="auto"/>
                            <w:left w:val="none" w:sz="0" w:space="0" w:color="auto"/>
                            <w:bottom w:val="none" w:sz="0" w:space="0" w:color="auto"/>
                            <w:right w:val="none" w:sz="0" w:space="0" w:color="auto"/>
                          </w:divBdr>
                          <w:divsChild>
                            <w:div w:id="10369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923334">
      <w:bodyDiv w:val="1"/>
      <w:marLeft w:val="0"/>
      <w:marRight w:val="0"/>
      <w:marTop w:val="0"/>
      <w:marBottom w:val="0"/>
      <w:divBdr>
        <w:top w:val="none" w:sz="0" w:space="0" w:color="auto"/>
        <w:left w:val="none" w:sz="0" w:space="0" w:color="auto"/>
        <w:bottom w:val="none" w:sz="0" w:space="0" w:color="auto"/>
        <w:right w:val="none" w:sz="0" w:space="0" w:color="auto"/>
      </w:divBdr>
    </w:div>
    <w:div w:id="1197309087">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sChild>
        <w:div w:id="385421679">
          <w:marLeft w:val="0"/>
          <w:marRight w:val="0"/>
          <w:marTop w:val="0"/>
          <w:marBottom w:val="0"/>
          <w:divBdr>
            <w:top w:val="none" w:sz="0" w:space="0" w:color="auto"/>
            <w:left w:val="none" w:sz="0" w:space="0" w:color="auto"/>
            <w:bottom w:val="none" w:sz="0" w:space="0" w:color="auto"/>
            <w:right w:val="none" w:sz="0" w:space="0" w:color="auto"/>
          </w:divBdr>
          <w:divsChild>
            <w:div w:id="1054548962">
              <w:marLeft w:val="0"/>
              <w:marRight w:val="0"/>
              <w:marTop w:val="0"/>
              <w:marBottom w:val="0"/>
              <w:divBdr>
                <w:top w:val="none" w:sz="0" w:space="0" w:color="auto"/>
                <w:left w:val="none" w:sz="0" w:space="0" w:color="auto"/>
                <w:bottom w:val="none" w:sz="0" w:space="0" w:color="auto"/>
                <w:right w:val="none" w:sz="0" w:space="0" w:color="auto"/>
              </w:divBdr>
              <w:divsChild>
                <w:div w:id="1560896110">
                  <w:marLeft w:val="0"/>
                  <w:marRight w:val="0"/>
                  <w:marTop w:val="0"/>
                  <w:marBottom w:val="0"/>
                  <w:divBdr>
                    <w:top w:val="none" w:sz="0" w:space="0" w:color="auto"/>
                    <w:left w:val="none" w:sz="0" w:space="0" w:color="auto"/>
                    <w:bottom w:val="none" w:sz="0" w:space="0" w:color="auto"/>
                    <w:right w:val="none" w:sz="0" w:space="0" w:color="auto"/>
                  </w:divBdr>
                  <w:divsChild>
                    <w:div w:id="609778569">
                      <w:marLeft w:val="0"/>
                      <w:marRight w:val="0"/>
                      <w:marTop w:val="0"/>
                      <w:marBottom w:val="0"/>
                      <w:divBdr>
                        <w:top w:val="none" w:sz="0" w:space="0" w:color="auto"/>
                        <w:left w:val="none" w:sz="0" w:space="0" w:color="auto"/>
                        <w:bottom w:val="none" w:sz="0" w:space="0" w:color="auto"/>
                        <w:right w:val="none" w:sz="0" w:space="0" w:color="auto"/>
                      </w:divBdr>
                      <w:divsChild>
                        <w:div w:id="184828260">
                          <w:marLeft w:val="0"/>
                          <w:marRight w:val="0"/>
                          <w:marTop w:val="0"/>
                          <w:marBottom w:val="0"/>
                          <w:divBdr>
                            <w:top w:val="none" w:sz="0" w:space="0" w:color="auto"/>
                            <w:left w:val="none" w:sz="0" w:space="0" w:color="auto"/>
                            <w:bottom w:val="none" w:sz="0" w:space="0" w:color="auto"/>
                            <w:right w:val="none" w:sz="0" w:space="0" w:color="auto"/>
                          </w:divBdr>
                          <w:divsChild>
                            <w:div w:id="47385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76783">
      <w:bodyDiv w:val="1"/>
      <w:marLeft w:val="0"/>
      <w:marRight w:val="0"/>
      <w:marTop w:val="0"/>
      <w:marBottom w:val="0"/>
      <w:divBdr>
        <w:top w:val="none" w:sz="0" w:space="0" w:color="auto"/>
        <w:left w:val="none" w:sz="0" w:space="0" w:color="auto"/>
        <w:bottom w:val="none" w:sz="0" w:space="0" w:color="auto"/>
        <w:right w:val="none" w:sz="0" w:space="0" w:color="auto"/>
      </w:divBdr>
    </w:div>
    <w:div w:id="1310481348">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17825873">
      <w:bodyDiv w:val="1"/>
      <w:marLeft w:val="0"/>
      <w:marRight w:val="0"/>
      <w:marTop w:val="0"/>
      <w:marBottom w:val="0"/>
      <w:divBdr>
        <w:top w:val="none" w:sz="0" w:space="0" w:color="auto"/>
        <w:left w:val="none" w:sz="0" w:space="0" w:color="auto"/>
        <w:bottom w:val="none" w:sz="0" w:space="0" w:color="auto"/>
        <w:right w:val="none" w:sz="0" w:space="0" w:color="auto"/>
      </w:divBdr>
    </w:div>
    <w:div w:id="1463771871">
      <w:bodyDiv w:val="1"/>
      <w:marLeft w:val="0"/>
      <w:marRight w:val="0"/>
      <w:marTop w:val="0"/>
      <w:marBottom w:val="0"/>
      <w:divBdr>
        <w:top w:val="none" w:sz="0" w:space="0" w:color="auto"/>
        <w:left w:val="none" w:sz="0" w:space="0" w:color="auto"/>
        <w:bottom w:val="none" w:sz="0" w:space="0" w:color="auto"/>
        <w:right w:val="none" w:sz="0" w:space="0" w:color="auto"/>
      </w:divBdr>
    </w:div>
    <w:div w:id="1484588734">
      <w:bodyDiv w:val="1"/>
      <w:marLeft w:val="0"/>
      <w:marRight w:val="0"/>
      <w:marTop w:val="0"/>
      <w:marBottom w:val="0"/>
      <w:divBdr>
        <w:top w:val="none" w:sz="0" w:space="0" w:color="auto"/>
        <w:left w:val="none" w:sz="0" w:space="0" w:color="auto"/>
        <w:bottom w:val="none" w:sz="0" w:space="0" w:color="auto"/>
        <w:right w:val="none" w:sz="0" w:space="0" w:color="auto"/>
      </w:divBdr>
    </w:div>
    <w:div w:id="1528324344">
      <w:bodyDiv w:val="1"/>
      <w:marLeft w:val="0"/>
      <w:marRight w:val="0"/>
      <w:marTop w:val="0"/>
      <w:marBottom w:val="0"/>
      <w:divBdr>
        <w:top w:val="none" w:sz="0" w:space="0" w:color="auto"/>
        <w:left w:val="none" w:sz="0" w:space="0" w:color="auto"/>
        <w:bottom w:val="none" w:sz="0" w:space="0" w:color="auto"/>
        <w:right w:val="none" w:sz="0" w:space="0" w:color="auto"/>
      </w:divBdr>
    </w:div>
    <w:div w:id="1531725355">
      <w:bodyDiv w:val="1"/>
      <w:marLeft w:val="0"/>
      <w:marRight w:val="0"/>
      <w:marTop w:val="0"/>
      <w:marBottom w:val="0"/>
      <w:divBdr>
        <w:top w:val="none" w:sz="0" w:space="0" w:color="auto"/>
        <w:left w:val="none" w:sz="0" w:space="0" w:color="auto"/>
        <w:bottom w:val="none" w:sz="0" w:space="0" w:color="auto"/>
        <w:right w:val="none" w:sz="0" w:space="0" w:color="auto"/>
      </w:divBdr>
    </w:div>
    <w:div w:id="1645040659">
      <w:bodyDiv w:val="1"/>
      <w:marLeft w:val="0"/>
      <w:marRight w:val="0"/>
      <w:marTop w:val="0"/>
      <w:marBottom w:val="0"/>
      <w:divBdr>
        <w:top w:val="none" w:sz="0" w:space="0" w:color="auto"/>
        <w:left w:val="none" w:sz="0" w:space="0" w:color="auto"/>
        <w:bottom w:val="none" w:sz="0" w:space="0" w:color="auto"/>
        <w:right w:val="none" w:sz="0" w:space="0" w:color="auto"/>
      </w:divBdr>
    </w:div>
    <w:div w:id="1658654804">
      <w:bodyDiv w:val="1"/>
      <w:marLeft w:val="0"/>
      <w:marRight w:val="0"/>
      <w:marTop w:val="0"/>
      <w:marBottom w:val="0"/>
      <w:divBdr>
        <w:top w:val="none" w:sz="0" w:space="0" w:color="auto"/>
        <w:left w:val="none" w:sz="0" w:space="0" w:color="auto"/>
        <w:bottom w:val="none" w:sz="0" w:space="0" w:color="auto"/>
        <w:right w:val="none" w:sz="0" w:space="0" w:color="auto"/>
      </w:divBdr>
    </w:div>
    <w:div w:id="1738673321">
      <w:bodyDiv w:val="1"/>
      <w:marLeft w:val="0"/>
      <w:marRight w:val="0"/>
      <w:marTop w:val="0"/>
      <w:marBottom w:val="0"/>
      <w:divBdr>
        <w:top w:val="none" w:sz="0" w:space="0" w:color="auto"/>
        <w:left w:val="none" w:sz="0" w:space="0" w:color="auto"/>
        <w:bottom w:val="none" w:sz="0" w:space="0" w:color="auto"/>
        <w:right w:val="none" w:sz="0" w:space="0" w:color="auto"/>
      </w:divBdr>
    </w:div>
    <w:div w:id="1756702068">
      <w:bodyDiv w:val="1"/>
      <w:marLeft w:val="0"/>
      <w:marRight w:val="0"/>
      <w:marTop w:val="0"/>
      <w:marBottom w:val="0"/>
      <w:divBdr>
        <w:top w:val="none" w:sz="0" w:space="0" w:color="auto"/>
        <w:left w:val="none" w:sz="0" w:space="0" w:color="auto"/>
        <w:bottom w:val="none" w:sz="0" w:space="0" w:color="auto"/>
        <w:right w:val="none" w:sz="0" w:space="0" w:color="auto"/>
      </w:divBdr>
    </w:div>
    <w:div w:id="1877153732">
      <w:bodyDiv w:val="1"/>
      <w:marLeft w:val="0"/>
      <w:marRight w:val="0"/>
      <w:marTop w:val="0"/>
      <w:marBottom w:val="0"/>
      <w:divBdr>
        <w:top w:val="none" w:sz="0" w:space="0" w:color="auto"/>
        <w:left w:val="none" w:sz="0" w:space="0" w:color="auto"/>
        <w:bottom w:val="none" w:sz="0" w:space="0" w:color="auto"/>
        <w:right w:val="none" w:sz="0" w:space="0" w:color="auto"/>
      </w:divBdr>
    </w:div>
    <w:div w:id="1884974905">
      <w:bodyDiv w:val="1"/>
      <w:marLeft w:val="0"/>
      <w:marRight w:val="0"/>
      <w:marTop w:val="0"/>
      <w:marBottom w:val="0"/>
      <w:divBdr>
        <w:top w:val="none" w:sz="0" w:space="0" w:color="auto"/>
        <w:left w:val="none" w:sz="0" w:space="0" w:color="auto"/>
        <w:bottom w:val="none" w:sz="0" w:space="0" w:color="auto"/>
        <w:right w:val="none" w:sz="0" w:space="0" w:color="auto"/>
      </w:divBdr>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sChild>
        <w:div w:id="249434927">
          <w:marLeft w:val="0"/>
          <w:marRight w:val="0"/>
          <w:marTop w:val="0"/>
          <w:marBottom w:val="0"/>
          <w:divBdr>
            <w:top w:val="none" w:sz="0" w:space="0" w:color="auto"/>
            <w:left w:val="none" w:sz="0" w:space="0" w:color="auto"/>
            <w:bottom w:val="none" w:sz="0" w:space="0" w:color="auto"/>
            <w:right w:val="none" w:sz="0" w:space="0" w:color="auto"/>
          </w:divBdr>
          <w:divsChild>
            <w:div w:id="363408124">
              <w:marLeft w:val="0"/>
              <w:marRight w:val="0"/>
              <w:marTop w:val="0"/>
              <w:marBottom w:val="0"/>
              <w:divBdr>
                <w:top w:val="none" w:sz="0" w:space="0" w:color="auto"/>
                <w:left w:val="none" w:sz="0" w:space="0" w:color="auto"/>
                <w:bottom w:val="none" w:sz="0" w:space="0" w:color="auto"/>
                <w:right w:val="none" w:sz="0" w:space="0" w:color="auto"/>
              </w:divBdr>
              <w:divsChild>
                <w:div w:id="922879310">
                  <w:marLeft w:val="0"/>
                  <w:marRight w:val="0"/>
                  <w:marTop w:val="0"/>
                  <w:marBottom w:val="0"/>
                  <w:divBdr>
                    <w:top w:val="none" w:sz="0" w:space="0" w:color="auto"/>
                    <w:left w:val="none" w:sz="0" w:space="0" w:color="auto"/>
                    <w:bottom w:val="none" w:sz="0" w:space="0" w:color="auto"/>
                    <w:right w:val="none" w:sz="0" w:space="0" w:color="auto"/>
                  </w:divBdr>
                  <w:divsChild>
                    <w:div w:id="956911803">
                      <w:marLeft w:val="0"/>
                      <w:marRight w:val="0"/>
                      <w:marTop w:val="0"/>
                      <w:marBottom w:val="0"/>
                      <w:divBdr>
                        <w:top w:val="none" w:sz="0" w:space="0" w:color="auto"/>
                        <w:left w:val="none" w:sz="0" w:space="0" w:color="auto"/>
                        <w:bottom w:val="none" w:sz="0" w:space="0" w:color="auto"/>
                        <w:right w:val="none" w:sz="0" w:space="0" w:color="auto"/>
                      </w:divBdr>
                      <w:divsChild>
                        <w:div w:id="700979363">
                          <w:marLeft w:val="0"/>
                          <w:marRight w:val="0"/>
                          <w:marTop w:val="0"/>
                          <w:marBottom w:val="0"/>
                          <w:divBdr>
                            <w:top w:val="none" w:sz="0" w:space="0" w:color="auto"/>
                            <w:left w:val="none" w:sz="0" w:space="0" w:color="auto"/>
                            <w:bottom w:val="none" w:sz="0" w:space="0" w:color="auto"/>
                            <w:right w:val="none" w:sz="0" w:space="0" w:color="auto"/>
                          </w:divBdr>
                          <w:divsChild>
                            <w:div w:id="918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87298">
      <w:bodyDiv w:val="1"/>
      <w:marLeft w:val="0"/>
      <w:marRight w:val="0"/>
      <w:marTop w:val="0"/>
      <w:marBottom w:val="0"/>
      <w:divBdr>
        <w:top w:val="none" w:sz="0" w:space="0" w:color="auto"/>
        <w:left w:val="none" w:sz="0" w:space="0" w:color="auto"/>
        <w:bottom w:val="none" w:sz="0" w:space="0" w:color="auto"/>
        <w:right w:val="none" w:sz="0" w:space="0" w:color="auto"/>
      </w:divBdr>
    </w:div>
    <w:div w:id="2072724833">
      <w:bodyDiv w:val="1"/>
      <w:marLeft w:val="0"/>
      <w:marRight w:val="0"/>
      <w:marTop w:val="0"/>
      <w:marBottom w:val="0"/>
      <w:divBdr>
        <w:top w:val="none" w:sz="0" w:space="0" w:color="auto"/>
        <w:left w:val="none" w:sz="0" w:space="0" w:color="auto"/>
        <w:bottom w:val="none" w:sz="0" w:space="0" w:color="auto"/>
        <w:right w:val="none" w:sz="0" w:space="0" w:color="auto"/>
      </w:divBdr>
    </w:div>
    <w:div w:id="20892301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ta.svirksta@iz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fpfis/wikis/display/StateAid/Para+207+-+Economic+activity+versus+non-economic+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22E-6FC0-4A83-81D5-1F8AD4FDB5A7}">
  <ds:schemaRefs>
    <ds:schemaRef ds:uri="http://schemas.openxmlformats.org/officeDocument/2006/bibliography"/>
  </ds:schemaRefs>
</ds:datastoreItem>
</file>

<file path=customXml/itemProps2.xml><?xml version="1.0" encoding="utf-8"?>
<ds:datastoreItem xmlns:ds="http://schemas.openxmlformats.org/officeDocument/2006/customXml" ds:itemID="{56BEF427-4143-4D55-BA78-AEF8C129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21</Pages>
  <Words>22977</Words>
  <Characters>13098</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MK noteikumu projek</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36003</CharactersWithSpaces>
  <SharedDoc>false</SharedDoc>
  <HLinks>
    <vt:vector size="12" baseType="variant">
      <vt:variant>
        <vt:i4>4063253</vt:i4>
      </vt:variant>
      <vt:variant>
        <vt:i4>0</vt:i4>
      </vt:variant>
      <vt:variant>
        <vt:i4>0</vt:i4>
      </vt:variant>
      <vt:variant>
        <vt:i4>5</vt:i4>
      </vt:variant>
      <vt:variant>
        <vt:lpwstr>mailto:inta.svirksta@izm.gov.lv</vt:lpwstr>
      </vt:variant>
      <vt:variant>
        <vt:lpwstr/>
      </vt:variant>
      <vt:variant>
        <vt:i4>2097255</vt:i4>
      </vt:variant>
      <vt:variant>
        <vt:i4>0</vt:i4>
      </vt:variant>
      <vt:variant>
        <vt:i4>0</vt:i4>
      </vt:variant>
      <vt:variant>
        <vt:i4>5</vt:i4>
      </vt:variant>
      <vt:variant>
        <vt:lpwstr>https://webgate.ec.europa.eu/fpfis/wikis/display/StateAid/Para+207+-+Economic+activity+versus+non-economic+activity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MK noteikumu projek</dc:title>
  <dc:subject>Anotācija</dc:subject>
  <dc:creator>Švirksta</dc:creator>
  <cp:keywords/>
  <cp:lastModifiedBy>Inta Švirksta</cp:lastModifiedBy>
  <cp:revision>27</cp:revision>
  <cp:lastPrinted>2020-09-28T05:27:00Z</cp:lastPrinted>
  <dcterms:created xsi:type="dcterms:W3CDTF">2020-10-07T07:29:00Z</dcterms:created>
  <dcterms:modified xsi:type="dcterms:W3CDTF">2020-12-08T12:37:00Z</dcterms:modified>
</cp:coreProperties>
</file>