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00B8" w14:textId="09EC3DC2" w:rsidR="006B0944" w:rsidRPr="00194331" w:rsidRDefault="00194331" w:rsidP="00194331">
      <w:pPr>
        <w:pStyle w:val="Nosaukums"/>
        <w:spacing w:line="240" w:lineRule="auto"/>
        <w:jc w:val="right"/>
        <w:rPr>
          <w:rFonts w:ascii="Times New Roman" w:hAnsi="Times New Roman"/>
          <w:b w:val="0"/>
          <w:i/>
          <w:sz w:val="24"/>
          <w:szCs w:val="24"/>
        </w:rPr>
      </w:pPr>
      <w:bookmarkStart w:id="0" w:name="_GoBack"/>
      <w:bookmarkEnd w:id="0"/>
      <w:r w:rsidRPr="00194331">
        <w:rPr>
          <w:rFonts w:ascii="Times New Roman" w:hAnsi="Times New Roman"/>
          <w:b w:val="0"/>
          <w:i/>
          <w:sz w:val="24"/>
          <w:szCs w:val="24"/>
        </w:rPr>
        <w:t>Projekts</w:t>
      </w:r>
    </w:p>
    <w:p w14:paraId="199D511D" w14:textId="77777777" w:rsidR="006B0944" w:rsidRPr="000D5DBF" w:rsidRDefault="006B0944" w:rsidP="00BA1297">
      <w:pPr>
        <w:pStyle w:val="Nosaukums"/>
        <w:spacing w:line="240" w:lineRule="auto"/>
        <w:rPr>
          <w:rFonts w:ascii="Times New Roman" w:hAnsi="Times New Roman"/>
        </w:rPr>
      </w:pPr>
    </w:p>
    <w:p w14:paraId="433D76D7" w14:textId="77777777" w:rsidR="006B0944" w:rsidRPr="000D5DBF" w:rsidRDefault="006B0944" w:rsidP="00BA1297">
      <w:pPr>
        <w:pStyle w:val="Nosaukums"/>
        <w:spacing w:line="240" w:lineRule="auto"/>
        <w:rPr>
          <w:rFonts w:ascii="Times New Roman" w:hAnsi="Times New Roman"/>
        </w:rPr>
      </w:pPr>
    </w:p>
    <w:p w14:paraId="2804DD84" w14:textId="77777777" w:rsidR="006B0944" w:rsidRPr="000D5DBF" w:rsidRDefault="006B0944" w:rsidP="00BA1297">
      <w:pPr>
        <w:pStyle w:val="Nosaukums"/>
        <w:spacing w:line="240" w:lineRule="auto"/>
        <w:rPr>
          <w:rFonts w:ascii="Times New Roman" w:hAnsi="Times New Roman"/>
        </w:rPr>
      </w:pPr>
    </w:p>
    <w:p w14:paraId="5DB2C866" w14:textId="77777777" w:rsidR="00A62D01" w:rsidRPr="000D5DBF" w:rsidRDefault="00A62D01" w:rsidP="00BA1297">
      <w:pPr>
        <w:pStyle w:val="Nosaukums"/>
        <w:spacing w:line="240" w:lineRule="auto"/>
        <w:rPr>
          <w:rFonts w:ascii="Times New Roman" w:hAnsi="Times New Roman"/>
        </w:rPr>
      </w:pPr>
    </w:p>
    <w:p w14:paraId="2EBEDAC8" w14:textId="77777777" w:rsidR="00A62D01" w:rsidRPr="000D5DBF" w:rsidRDefault="00A62D01" w:rsidP="00BA1297">
      <w:pPr>
        <w:pStyle w:val="Nosaukums"/>
        <w:spacing w:line="240" w:lineRule="auto"/>
        <w:rPr>
          <w:rFonts w:ascii="Times New Roman" w:hAnsi="Times New Roman"/>
        </w:rPr>
      </w:pPr>
    </w:p>
    <w:p w14:paraId="6ADBE972" w14:textId="77777777" w:rsidR="006B0944" w:rsidRPr="000D5DBF" w:rsidRDefault="006B0944" w:rsidP="00BA1297">
      <w:pPr>
        <w:pStyle w:val="Nosaukums"/>
        <w:spacing w:line="240" w:lineRule="auto"/>
        <w:rPr>
          <w:rFonts w:ascii="Times New Roman" w:hAnsi="Times New Roman"/>
        </w:rPr>
      </w:pPr>
      <w:r w:rsidRPr="000D5DBF">
        <w:rPr>
          <w:rFonts w:ascii="Times New Roman" w:hAnsi="Times New Roman"/>
        </w:rPr>
        <w:t>ESF+ programma materiālās nenodrošinātības mazināšanai</w:t>
      </w:r>
    </w:p>
    <w:p w14:paraId="11979C80" w14:textId="77777777" w:rsidR="006B0944" w:rsidRPr="000D5DBF" w:rsidRDefault="006B0944" w:rsidP="00BA1297">
      <w:pPr>
        <w:pStyle w:val="Nosaukums"/>
        <w:spacing w:line="240" w:lineRule="auto"/>
        <w:rPr>
          <w:rFonts w:ascii="Times New Roman" w:hAnsi="Times New Roman"/>
        </w:rPr>
      </w:pPr>
      <w:r w:rsidRPr="000D5DBF">
        <w:rPr>
          <w:rFonts w:ascii="Times New Roman" w:hAnsi="Times New Roman"/>
        </w:rPr>
        <w:t>2021.–2027. gadam</w:t>
      </w:r>
    </w:p>
    <w:p w14:paraId="005B8523" w14:textId="77777777" w:rsidR="006B0944" w:rsidRPr="000D5DBF" w:rsidRDefault="006B0944" w:rsidP="00BA1297">
      <w:pPr>
        <w:spacing w:before="0" w:after="0"/>
        <w:rPr>
          <w:b/>
          <w:sz w:val="32"/>
        </w:rPr>
      </w:pPr>
    </w:p>
    <w:p w14:paraId="520F50C0" w14:textId="77777777" w:rsidR="006B0944" w:rsidRPr="000D5DBF" w:rsidRDefault="006B0944" w:rsidP="00BA1297">
      <w:pPr>
        <w:spacing w:before="0" w:after="0"/>
        <w:rPr>
          <w:b/>
          <w:sz w:val="32"/>
        </w:rPr>
      </w:pPr>
    </w:p>
    <w:p w14:paraId="3099C911" w14:textId="77777777" w:rsidR="006B0944" w:rsidRPr="000D5DBF" w:rsidRDefault="006B0944" w:rsidP="00BA1297">
      <w:pPr>
        <w:spacing w:before="0" w:after="0"/>
        <w:rPr>
          <w:b/>
          <w:sz w:val="32"/>
        </w:rPr>
      </w:pPr>
    </w:p>
    <w:p w14:paraId="16C367F2" w14:textId="77777777" w:rsidR="006B0944" w:rsidRPr="000D5DBF" w:rsidRDefault="006B0944" w:rsidP="00BA1297">
      <w:pPr>
        <w:spacing w:before="0" w:after="0"/>
        <w:rPr>
          <w:b/>
          <w:sz w:val="32"/>
        </w:rPr>
      </w:pPr>
    </w:p>
    <w:p w14:paraId="61776F6D" w14:textId="77777777" w:rsidR="006B0944" w:rsidRPr="000D5DBF" w:rsidRDefault="006B0944" w:rsidP="00BA1297">
      <w:pPr>
        <w:spacing w:before="0" w:after="0"/>
        <w:rPr>
          <w:b/>
          <w:sz w:val="32"/>
        </w:rPr>
      </w:pPr>
    </w:p>
    <w:p w14:paraId="3DFA917F" w14:textId="77777777" w:rsidR="006B0944" w:rsidRPr="000D5DBF" w:rsidRDefault="006B0944" w:rsidP="00BA1297">
      <w:pPr>
        <w:spacing w:before="0" w:after="0"/>
        <w:rPr>
          <w:b/>
          <w:sz w:val="32"/>
        </w:rPr>
      </w:pPr>
    </w:p>
    <w:p w14:paraId="50AC9A5D" w14:textId="77777777" w:rsidR="006B0944" w:rsidRPr="000D5DBF" w:rsidRDefault="006B0944" w:rsidP="00BA1297">
      <w:pPr>
        <w:spacing w:before="0" w:after="0"/>
        <w:rPr>
          <w:b/>
          <w:sz w:val="32"/>
        </w:rPr>
      </w:pPr>
    </w:p>
    <w:p w14:paraId="08AACAD7" w14:textId="77777777" w:rsidR="006B0944" w:rsidRPr="000D5DBF" w:rsidRDefault="006B0944" w:rsidP="00BA1297">
      <w:pPr>
        <w:spacing w:before="0" w:after="0"/>
        <w:rPr>
          <w:b/>
          <w:sz w:val="32"/>
        </w:rPr>
      </w:pPr>
    </w:p>
    <w:p w14:paraId="1B34408C" w14:textId="77777777" w:rsidR="006B0944" w:rsidRPr="000D5DBF" w:rsidRDefault="006B0944" w:rsidP="00BA1297">
      <w:pPr>
        <w:spacing w:before="0" w:after="0"/>
        <w:rPr>
          <w:b/>
          <w:sz w:val="32"/>
        </w:rPr>
      </w:pPr>
    </w:p>
    <w:p w14:paraId="3E9CF54E" w14:textId="77777777" w:rsidR="006B0944" w:rsidRPr="000D5DBF" w:rsidRDefault="006B0944" w:rsidP="00BA1297">
      <w:pPr>
        <w:spacing w:before="0" w:after="0"/>
        <w:rPr>
          <w:b/>
          <w:sz w:val="32"/>
        </w:rPr>
      </w:pPr>
    </w:p>
    <w:p w14:paraId="267B7EE3" w14:textId="77777777" w:rsidR="006B0944" w:rsidRPr="000D5DBF" w:rsidRDefault="006B0944" w:rsidP="00BA1297">
      <w:pPr>
        <w:spacing w:before="0" w:after="0"/>
        <w:rPr>
          <w:b/>
          <w:sz w:val="32"/>
        </w:rPr>
      </w:pPr>
    </w:p>
    <w:p w14:paraId="6ABFA43A" w14:textId="77777777" w:rsidR="00A62D01" w:rsidRPr="000D5DBF" w:rsidRDefault="00A62D01" w:rsidP="00BA1297">
      <w:pPr>
        <w:spacing w:before="0" w:after="0"/>
        <w:rPr>
          <w:b/>
          <w:sz w:val="32"/>
        </w:rPr>
      </w:pPr>
    </w:p>
    <w:p w14:paraId="550C3623" w14:textId="77777777" w:rsidR="00A62D01" w:rsidRPr="000D5DBF" w:rsidRDefault="00A62D01" w:rsidP="00BA1297">
      <w:pPr>
        <w:spacing w:before="0" w:after="0"/>
        <w:rPr>
          <w:b/>
          <w:sz w:val="32"/>
        </w:rPr>
      </w:pPr>
    </w:p>
    <w:p w14:paraId="5085BA3A" w14:textId="77777777" w:rsidR="006B0944" w:rsidRPr="000D5DBF" w:rsidRDefault="006B0944" w:rsidP="00BA1297">
      <w:pPr>
        <w:spacing w:before="0" w:after="0"/>
        <w:jc w:val="center"/>
        <w:rPr>
          <w:b/>
          <w:sz w:val="32"/>
        </w:rPr>
      </w:pPr>
    </w:p>
    <w:p w14:paraId="354610EC" w14:textId="77777777" w:rsidR="006B0944" w:rsidRPr="000D5DBF" w:rsidRDefault="006B0944" w:rsidP="00BA1297">
      <w:pPr>
        <w:spacing w:before="0" w:after="0"/>
        <w:jc w:val="center"/>
        <w:rPr>
          <w:b/>
          <w:sz w:val="28"/>
          <w:szCs w:val="28"/>
        </w:rPr>
      </w:pPr>
      <w:r w:rsidRPr="000D5DBF">
        <w:rPr>
          <w:b/>
          <w:sz w:val="28"/>
          <w:szCs w:val="28"/>
        </w:rPr>
        <w:t>Latvijas Republikas Labklājības ministrija</w:t>
      </w:r>
    </w:p>
    <w:p w14:paraId="5C03FD02" w14:textId="77777777" w:rsidR="006B0944" w:rsidRPr="000D5DBF" w:rsidRDefault="006B0944" w:rsidP="00BA1297">
      <w:pPr>
        <w:spacing w:before="0" w:after="0"/>
        <w:jc w:val="center"/>
        <w:rPr>
          <w:b/>
          <w:sz w:val="28"/>
          <w:szCs w:val="28"/>
        </w:rPr>
      </w:pPr>
      <w:r w:rsidRPr="000D5DBF">
        <w:rPr>
          <w:b/>
          <w:sz w:val="28"/>
          <w:szCs w:val="28"/>
        </w:rPr>
        <w:t>Rīgā, 2020</w:t>
      </w:r>
    </w:p>
    <w:p w14:paraId="200E1650" w14:textId="77777777" w:rsidR="00D00CCB" w:rsidRPr="000D5DBF" w:rsidRDefault="00D00CCB" w:rsidP="00BA1297">
      <w:pPr>
        <w:spacing w:before="0" w:after="0"/>
        <w:jc w:val="left"/>
        <w:rPr>
          <w:b/>
          <w:sz w:val="32"/>
        </w:rPr>
      </w:pPr>
      <w:r w:rsidRPr="000D5DBF">
        <w:rPr>
          <w:b/>
          <w:sz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0703E" w:rsidRPr="000D5DBF" w14:paraId="3BF403AF" w14:textId="77777777" w:rsidTr="00F837F9">
        <w:trPr>
          <w:trHeight w:val="222"/>
          <w:jc w:val="center"/>
        </w:trPr>
        <w:tc>
          <w:tcPr>
            <w:tcW w:w="3315" w:type="dxa"/>
            <w:shd w:val="clear" w:color="auto" w:fill="auto"/>
          </w:tcPr>
          <w:p w14:paraId="577AB3B5" w14:textId="77777777" w:rsidR="00D00CCB" w:rsidRPr="000D5DBF" w:rsidRDefault="00D00CCB" w:rsidP="00BA1297">
            <w:pPr>
              <w:spacing w:before="0" w:after="0"/>
              <w:rPr>
                <w:b/>
                <w:noProof/>
              </w:rPr>
            </w:pPr>
            <w:r w:rsidRPr="000D5DBF">
              <w:rPr>
                <w:b/>
                <w:i/>
                <w:noProof/>
              </w:rPr>
              <w:lastRenderedPageBreak/>
              <w:t>CCI</w:t>
            </w:r>
          </w:p>
        </w:tc>
        <w:tc>
          <w:tcPr>
            <w:tcW w:w="5103" w:type="dxa"/>
            <w:shd w:val="clear" w:color="auto" w:fill="auto"/>
          </w:tcPr>
          <w:p w14:paraId="194D0CE2" w14:textId="77777777" w:rsidR="00D00CCB" w:rsidRPr="000D5DBF" w:rsidRDefault="00D00CCB" w:rsidP="00BA1297">
            <w:pPr>
              <w:spacing w:before="0" w:after="0"/>
              <w:rPr>
                <w:i/>
                <w:noProof/>
                <w:szCs w:val="24"/>
              </w:rPr>
            </w:pPr>
            <w:r w:rsidRPr="000D5DBF">
              <w:rPr>
                <w:i/>
                <w:noProof/>
                <w:szCs w:val="24"/>
              </w:rPr>
              <w:t>Piešķirs SFC2021 sistēma</w:t>
            </w:r>
          </w:p>
        </w:tc>
      </w:tr>
      <w:tr w:rsidR="00F0703E" w:rsidRPr="000D5DBF" w14:paraId="2178EB4F" w14:textId="77777777" w:rsidTr="00F837F9">
        <w:trPr>
          <w:trHeight w:val="269"/>
          <w:jc w:val="center"/>
        </w:trPr>
        <w:tc>
          <w:tcPr>
            <w:tcW w:w="3315" w:type="dxa"/>
            <w:shd w:val="clear" w:color="auto" w:fill="auto"/>
          </w:tcPr>
          <w:p w14:paraId="1B3E124A" w14:textId="77777777" w:rsidR="00D00CCB" w:rsidRPr="000D5DBF" w:rsidRDefault="00D00CCB" w:rsidP="00BA1297">
            <w:pPr>
              <w:spacing w:before="0" w:after="0"/>
              <w:rPr>
                <w:b/>
                <w:noProof/>
              </w:rPr>
            </w:pPr>
            <w:r w:rsidRPr="000D5DBF">
              <w:rPr>
                <w:b/>
                <w:noProof/>
              </w:rPr>
              <w:t>Nosaukums angļu valodā</w:t>
            </w:r>
          </w:p>
        </w:tc>
        <w:tc>
          <w:tcPr>
            <w:tcW w:w="5103" w:type="dxa"/>
            <w:shd w:val="clear" w:color="auto" w:fill="auto"/>
          </w:tcPr>
          <w:p w14:paraId="37505FD3" w14:textId="77777777" w:rsidR="00D00CCB" w:rsidRPr="000D5DBF" w:rsidRDefault="00D00CCB" w:rsidP="00BA1297">
            <w:pPr>
              <w:spacing w:before="0" w:after="0"/>
              <w:rPr>
                <w:noProof/>
                <w:szCs w:val="24"/>
              </w:rPr>
            </w:pPr>
            <w:r w:rsidRPr="000D5DBF">
              <w:rPr>
                <w:noProof/>
                <w:szCs w:val="24"/>
              </w:rPr>
              <w:t>ESF+ Programme for Adressing  Material Deprivation</w:t>
            </w:r>
          </w:p>
        </w:tc>
      </w:tr>
      <w:tr w:rsidR="00F0703E" w:rsidRPr="000D5DBF" w14:paraId="6A7AE943" w14:textId="77777777" w:rsidTr="00F837F9">
        <w:trPr>
          <w:trHeight w:val="138"/>
          <w:jc w:val="center"/>
        </w:trPr>
        <w:tc>
          <w:tcPr>
            <w:tcW w:w="3315" w:type="dxa"/>
            <w:shd w:val="clear" w:color="auto" w:fill="auto"/>
          </w:tcPr>
          <w:p w14:paraId="36E7FE61" w14:textId="77777777" w:rsidR="00D00CCB" w:rsidRPr="000D5DBF" w:rsidRDefault="00D00CCB" w:rsidP="00BA1297">
            <w:pPr>
              <w:spacing w:before="0" w:after="0"/>
              <w:rPr>
                <w:b/>
                <w:noProof/>
              </w:rPr>
            </w:pPr>
            <w:r w:rsidRPr="000D5DBF">
              <w:rPr>
                <w:b/>
                <w:noProof/>
              </w:rPr>
              <w:t>Nosaukums valsts valodā(-ās)</w:t>
            </w:r>
          </w:p>
        </w:tc>
        <w:tc>
          <w:tcPr>
            <w:tcW w:w="5103" w:type="dxa"/>
            <w:shd w:val="clear" w:color="auto" w:fill="auto"/>
          </w:tcPr>
          <w:p w14:paraId="7D16B06B" w14:textId="77777777" w:rsidR="00D00CCB" w:rsidRPr="000D5DBF" w:rsidRDefault="00D00CCB" w:rsidP="00BA1297">
            <w:pPr>
              <w:spacing w:before="0" w:after="0"/>
              <w:rPr>
                <w:noProof/>
                <w:szCs w:val="24"/>
              </w:rPr>
            </w:pPr>
            <w:r w:rsidRPr="000D5DBF">
              <w:rPr>
                <w:noProof/>
                <w:szCs w:val="24"/>
              </w:rPr>
              <w:t>ESF+ programma materiālās nenodrošinātības mazināšanai</w:t>
            </w:r>
          </w:p>
        </w:tc>
      </w:tr>
      <w:tr w:rsidR="00F0703E" w:rsidRPr="000D5DBF" w14:paraId="73EDD62F" w14:textId="77777777" w:rsidTr="00F837F9">
        <w:trPr>
          <w:trHeight w:val="138"/>
          <w:jc w:val="center"/>
        </w:trPr>
        <w:tc>
          <w:tcPr>
            <w:tcW w:w="3315" w:type="dxa"/>
            <w:shd w:val="clear" w:color="auto" w:fill="auto"/>
          </w:tcPr>
          <w:p w14:paraId="08539ADE" w14:textId="77777777" w:rsidR="00D00CCB" w:rsidRPr="000D5DBF" w:rsidRDefault="00D00CCB" w:rsidP="00BA1297">
            <w:pPr>
              <w:spacing w:before="0" w:after="0"/>
              <w:rPr>
                <w:b/>
                <w:noProof/>
              </w:rPr>
            </w:pPr>
            <w:r w:rsidRPr="000D5DBF">
              <w:rPr>
                <w:b/>
                <w:noProof/>
              </w:rPr>
              <w:t>Versija</w:t>
            </w:r>
          </w:p>
        </w:tc>
        <w:tc>
          <w:tcPr>
            <w:tcW w:w="5103" w:type="dxa"/>
            <w:shd w:val="clear" w:color="auto" w:fill="auto"/>
          </w:tcPr>
          <w:p w14:paraId="0A68DCDE" w14:textId="1533C46E" w:rsidR="00D00CCB" w:rsidRPr="000D5DBF" w:rsidRDefault="00223CF6" w:rsidP="00BA1297">
            <w:pPr>
              <w:spacing w:before="0" w:after="0"/>
              <w:rPr>
                <w:noProof/>
                <w:szCs w:val="24"/>
              </w:rPr>
            </w:pPr>
            <w:r>
              <w:rPr>
                <w:noProof/>
                <w:szCs w:val="24"/>
              </w:rPr>
              <w:t>2</w:t>
            </w:r>
            <w:r w:rsidR="00D00CCB" w:rsidRPr="000D5DBF">
              <w:rPr>
                <w:noProof/>
                <w:szCs w:val="24"/>
              </w:rPr>
              <w:t>. versija</w:t>
            </w:r>
          </w:p>
        </w:tc>
      </w:tr>
      <w:tr w:rsidR="00F0703E" w:rsidRPr="000D5DBF" w14:paraId="14F96A83" w14:textId="77777777" w:rsidTr="00F837F9">
        <w:trPr>
          <w:jc w:val="center"/>
        </w:trPr>
        <w:tc>
          <w:tcPr>
            <w:tcW w:w="3315" w:type="dxa"/>
            <w:shd w:val="clear" w:color="auto" w:fill="auto"/>
          </w:tcPr>
          <w:p w14:paraId="063EC95B" w14:textId="77777777" w:rsidR="00D00CCB" w:rsidRPr="000D5DBF" w:rsidRDefault="00D00CCB" w:rsidP="00BA1297">
            <w:pPr>
              <w:spacing w:before="0" w:after="0"/>
              <w:rPr>
                <w:b/>
                <w:noProof/>
              </w:rPr>
            </w:pPr>
            <w:r w:rsidRPr="000D5DBF">
              <w:rPr>
                <w:b/>
                <w:noProof/>
              </w:rPr>
              <w:t>Pirmais gads</w:t>
            </w:r>
          </w:p>
        </w:tc>
        <w:tc>
          <w:tcPr>
            <w:tcW w:w="5103" w:type="dxa"/>
            <w:shd w:val="clear" w:color="auto" w:fill="auto"/>
          </w:tcPr>
          <w:p w14:paraId="31BF5A56" w14:textId="77777777" w:rsidR="00D00CCB" w:rsidRPr="000D5DBF" w:rsidRDefault="00D00CCB" w:rsidP="00BA1297">
            <w:pPr>
              <w:spacing w:before="0" w:after="0"/>
              <w:rPr>
                <w:noProof/>
                <w:szCs w:val="24"/>
              </w:rPr>
            </w:pPr>
            <w:r w:rsidRPr="000D5DBF">
              <w:rPr>
                <w:noProof/>
                <w:szCs w:val="24"/>
              </w:rPr>
              <w:t>2021. gads</w:t>
            </w:r>
          </w:p>
        </w:tc>
      </w:tr>
      <w:tr w:rsidR="00F0703E" w:rsidRPr="000D5DBF" w14:paraId="5EF4B2A4" w14:textId="77777777" w:rsidTr="00F837F9">
        <w:trPr>
          <w:jc w:val="center"/>
        </w:trPr>
        <w:tc>
          <w:tcPr>
            <w:tcW w:w="3315" w:type="dxa"/>
            <w:shd w:val="clear" w:color="auto" w:fill="auto"/>
          </w:tcPr>
          <w:p w14:paraId="3F77F231" w14:textId="77777777" w:rsidR="00D00CCB" w:rsidRPr="000D5DBF" w:rsidRDefault="00D00CCB" w:rsidP="00BA1297">
            <w:pPr>
              <w:spacing w:before="0" w:after="0"/>
              <w:rPr>
                <w:b/>
                <w:noProof/>
              </w:rPr>
            </w:pPr>
            <w:r w:rsidRPr="000D5DBF">
              <w:rPr>
                <w:b/>
                <w:noProof/>
              </w:rPr>
              <w:t>Pēdējais gads</w:t>
            </w:r>
          </w:p>
        </w:tc>
        <w:tc>
          <w:tcPr>
            <w:tcW w:w="5103" w:type="dxa"/>
            <w:shd w:val="clear" w:color="auto" w:fill="auto"/>
          </w:tcPr>
          <w:p w14:paraId="77930A07" w14:textId="77777777" w:rsidR="00D00CCB" w:rsidRPr="000D5DBF" w:rsidRDefault="00D00CCB" w:rsidP="00BA1297">
            <w:pPr>
              <w:spacing w:before="0" w:after="0"/>
              <w:rPr>
                <w:noProof/>
                <w:szCs w:val="24"/>
              </w:rPr>
            </w:pPr>
            <w:r w:rsidRPr="000D5DBF">
              <w:rPr>
                <w:noProof/>
                <w:szCs w:val="24"/>
              </w:rPr>
              <w:t>2029. gads</w:t>
            </w:r>
          </w:p>
        </w:tc>
      </w:tr>
      <w:tr w:rsidR="00F0703E" w:rsidRPr="000D5DBF" w14:paraId="6EAD91EA" w14:textId="77777777" w:rsidTr="00F837F9">
        <w:trPr>
          <w:jc w:val="center"/>
        </w:trPr>
        <w:tc>
          <w:tcPr>
            <w:tcW w:w="3315" w:type="dxa"/>
            <w:shd w:val="clear" w:color="auto" w:fill="auto"/>
          </w:tcPr>
          <w:p w14:paraId="6C762068" w14:textId="77777777" w:rsidR="00D00CCB" w:rsidRPr="000D5DBF" w:rsidRDefault="00D00CCB" w:rsidP="00BA1297">
            <w:pPr>
              <w:spacing w:before="0" w:after="0"/>
              <w:rPr>
                <w:b/>
                <w:noProof/>
              </w:rPr>
            </w:pPr>
            <w:r w:rsidRPr="000D5DBF">
              <w:rPr>
                <w:b/>
                <w:noProof/>
              </w:rPr>
              <w:t>Atbalsttiesīgums no</w:t>
            </w:r>
          </w:p>
        </w:tc>
        <w:tc>
          <w:tcPr>
            <w:tcW w:w="5103" w:type="dxa"/>
            <w:shd w:val="clear" w:color="auto" w:fill="auto"/>
          </w:tcPr>
          <w:p w14:paraId="0AC62607" w14:textId="77777777" w:rsidR="00D00CCB" w:rsidRPr="000D5DBF" w:rsidRDefault="00D00CCB" w:rsidP="00BA1297">
            <w:pPr>
              <w:spacing w:before="0" w:after="0"/>
              <w:rPr>
                <w:noProof/>
                <w:szCs w:val="24"/>
              </w:rPr>
            </w:pPr>
            <w:r w:rsidRPr="000D5DBF">
              <w:rPr>
                <w:noProof/>
                <w:szCs w:val="24"/>
              </w:rPr>
              <w:t>01.01.2021.</w:t>
            </w:r>
          </w:p>
        </w:tc>
      </w:tr>
      <w:tr w:rsidR="00F0703E" w:rsidRPr="000D5DBF" w14:paraId="0C29F3FD" w14:textId="77777777" w:rsidTr="00F837F9">
        <w:trPr>
          <w:jc w:val="center"/>
        </w:trPr>
        <w:tc>
          <w:tcPr>
            <w:tcW w:w="3315" w:type="dxa"/>
            <w:shd w:val="clear" w:color="auto" w:fill="auto"/>
          </w:tcPr>
          <w:p w14:paraId="13C3A0C4" w14:textId="77777777" w:rsidR="00D00CCB" w:rsidRPr="000D5DBF" w:rsidRDefault="00D00CCB" w:rsidP="00BA1297">
            <w:pPr>
              <w:spacing w:before="0" w:after="0"/>
              <w:rPr>
                <w:b/>
                <w:noProof/>
              </w:rPr>
            </w:pPr>
            <w:r w:rsidRPr="000D5DBF">
              <w:rPr>
                <w:b/>
                <w:noProof/>
              </w:rPr>
              <w:t>Atbalsttiesīgums līdz</w:t>
            </w:r>
          </w:p>
        </w:tc>
        <w:tc>
          <w:tcPr>
            <w:tcW w:w="5103" w:type="dxa"/>
            <w:shd w:val="clear" w:color="auto" w:fill="auto"/>
          </w:tcPr>
          <w:p w14:paraId="52FB4243" w14:textId="77777777" w:rsidR="00D00CCB" w:rsidRPr="000D5DBF" w:rsidRDefault="00D00CCB" w:rsidP="00BA1297">
            <w:pPr>
              <w:spacing w:before="0" w:after="0"/>
              <w:rPr>
                <w:noProof/>
                <w:szCs w:val="24"/>
              </w:rPr>
            </w:pPr>
            <w:r w:rsidRPr="000D5DBF">
              <w:rPr>
                <w:noProof/>
                <w:szCs w:val="24"/>
              </w:rPr>
              <w:t>31.12.2029.</w:t>
            </w:r>
          </w:p>
        </w:tc>
      </w:tr>
      <w:tr w:rsidR="00F0703E" w:rsidRPr="000D5DBF" w14:paraId="503BAD81" w14:textId="77777777" w:rsidTr="00F837F9">
        <w:trPr>
          <w:jc w:val="center"/>
        </w:trPr>
        <w:tc>
          <w:tcPr>
            <w:tcW w:w="3315" w:type="dxa"/>
            <w:shd w:val="clear" w:color="auto" w:fill="auto"/>
          </w:tcPr>
          <w:p w14:paraId="4081D6C0" w14:textId="77777777" w:rsidR="00D00CCB" w:rsidRPr="000D5DBF" w:rsidRDefault="00D00CCB" w:rsidP="00BA1297">
            <w:pPr>
              <w:spacing w:before="0" w:after="0"/>
              <w:rPr>
                <w:b/>
                <w:noProof/>
              </w:rPr>
            </w:pPr>
            <w:r w:rsidRPr="000D5DBF">
              <w:rPr>
                <w:b/>
                <w:noProof/>
              </w:rPr>
              <w:t>Komisijas lēmuma numurs</w:t>
            </w:r>
          </w:p>
        </w:tc>
        <w:tc>
          <w:tcPr>
            <w:tcW w:w="5103" w:type="dxa"/>
            <w:shd w:val="clear" w:color="auto" w:fill="auto"/>
          </w:tcPr>
          <w:p w14:paraId="5018532C" w14:textId="77777777" w:rsidR="00D00CCB" w:rsidRPr="000D5DBF" w:rsidRDefault="00D00CCB" w:rsidP="00BA1297">
            <w:pPr>
              <w:spacing w:before="0" w:after="0"/>
              <w:rPr>
                <w:noProof/>
                <w:szCs w:val="24"/>
              </w:rPr>
            </w:pPr>
          </w:p>
        </w:tc>
      </w:tr>
      <w:tr w:rsidR="00F0703E" w:rsidRPr="000D5DBF" w14:paraId="5EEB87AF" w14:textId="77777777" w:rsidTr="00F837F9">
        <w:trPr>
          <w:jc w:val="center"/>
        </w:trPr>
        <w:tc>
          <w:tcPr>
            <w:tcW w:w="3315" w:type="dxa"/>
            <w:shd w:val="clear" w:color="auto" w:fill="auto"/>
          </w:tcPr>
          <w:p w14:paraId="1C7C04A2" w14:textId="77777777" w:rsidR="00D00CCB" w:rsidRPr="000D5DBF" w:rsidRDefault="00D00CCB" w:rsidP="00BA1297">
            <w:pPr>
              <w:spacing w:before="0" w:after="0"/>
              <w:rPr>
                <w:b/>
                <w:noProof/>
              </w:rPr>
            </w:pPr>
            <w:r w:rsidRPr="000D5DBF">
              <w:rPr>
                <w:b/>
                <w:noProof/>
              </w:rPr>
              <w:t>Komisijas lēmuma datums</w:t>
            </w:r>
          </w:p>
        </w:tc>
        <w:tc>
          <w:tcPr>
            <w:tcW w:w="5103" w:type="dxa"/>
            <w:shd w:val="clear" w:color="auto" w:fill="auto"/>
          </w:tcPr>
          <w:p w14:paraId="5CCA7B5D" w14:textId="77777777" w:rsidR="00D00CCB" w:rsidRPr="000D5DBF" w:rsidRDefault="00D00CCB" w:rsidP="00BA1297">
            <w:pPr>
              <w:spacing w:before="0" w:after="0"/>
              <w:rPr>
                <w:noProof/>
                <w:szCs w:val="24"/>
              </w:rPr>
            </w:pPr>
          </w:p>
        </w:tc>
      </w:tr>
      <w:tr w:rsidR="00F0703E" w:rsidRPr="000D5DBF" w14:paraId="29CE8F7C" w14:textId="77777777" w:rsidTr="00F837F9">
        <w:trPr>
          <w:trHeight w:val="163"/>
          <w:jc w:val="center"/>
        </w:trPr>
        <w:tc>
          <w:tcPr>
            <w:tcW w:w="3315" w:type="dxa"/>
            <w:shd w:val="clear" w:color="auto" w:fill="auto"/>
          </w:tcPr>
          <w:p w14:paraId="0CC129CE" w14:textId="77777777" w:rsidR="00D00CCB" w:rsidRPr="000D5DBF" w:rsidRDefault="00D00CCB" w:rsidP="00BA1297">
            <w:pPr>
              <w:spacing w:before="0" w:after="0"/>
              <w:rPr>
                <w:b/>
                <w:noProof/>
              </w:rPr>
            </w:pPr>
            <w:r w:rsidRPr="000D5DBF">
              <w:rPr>
                <w:b/>
                <w:noProof/>
              </w:rPr>
              <w:t>Dalībvalsts grozošā lēmuma numurs</w:t>
            </w:r>
          </w:p>
        </w:tc>
        <w:tc>
          <w:tcPr>
            <w:tcW w:w="5103" w:type="dxa"/>
            <w:shd w:val="clear" w:color="auto" w:fill="auto"/>
          </w:tcPr>
          <w:p w14:paraId="696D8685" w14:textId="77777777" w:rsidR="00D00CCB" w:rsidRPr="000D5DBF" w:rsidRDefault="00D00CCB" w:rsidP="00BA1297">
            <w:pPr>
              <w:spacing w:before="0" w:after="0"/>
              <w:rPr>
                <w:noProof/>
                <w:szCs w:val="24"/>
              </w:rPr>
            </w:pPr>
            <w:r w:rsidRPr="000D5DBF">
              <w:rPr>
                <w:noProof/>
                <w:szCs w:val="24"/>
              </w:rPr>
              <w:t>N/A</w:t>
            </w:r>
          </w:p>
        </w:tc>
      </w:tr>
      <w:tr w:rsidR="00F0703E" w:rsidRPr="000D5DBF" w14:paraId="113EAEFF" w14:textId="77777777" w:rsidTr="00F837F9">
        <w:trPr>
          <w:trHeight w:val="163"/>
          <w:jc w:val="center"/>
        </w:trPr>
        <w:tc>
          <w:tcPr>
            <w:tcW w:w="3315" w:type="dxa"/>
            <w:shd w:val="clear" w:color="auto" w:fill="auto"/>
          </w:tcPr>
          <w:p w14:paraId="7463427D" w14:textId="77777777" w:rsidR="00D00CCB" w:rsidRPr="000D5DBF" w:rsidRDefault="00D00CCB" w:rsidP="00BA1297">
            <w:pPr>
              <w:spacing w:before="0" w:after="0"/>
              <w:rPr>
                <w:b/>
                <w:noProof/>
              </w:rPr>
            </w:pPr>
            <w:r w:rsidRPr="000D5DBF">
              <w:rPr>
                <w:b/>
                <w:noProof/>
              </w:rPr>
              <w:t>Dalībvalsts grozošā lēmuma spēkā stāšanās datums</w:t>
            </w:r>
          </w:p>
        </w:tc>
        <w:tc>
          <w:tcPr>
            <w:tcW w:w="5103" w:type="dxa"/>
            <w:shd w:val="clear" w:color="auto" w:fill="auto"/>
          </w:tcPr>
          <w:p w14:paraId="1EFAA954" w14:textId="77777777" w:rsidR="00D00CCB" w:rsidRPr="000D5DBF" w:rsidRDefault="00D00CCB" w:rsidP="00BA1297">
            <w:pPr>
              <w:spacing w:before="0" w:after="0"/>
              <w:rPr>
                <w:noProof/>
                <w:szCs w:val="24"/>
              </w:rPr>
            </w:pPr>
            <w:r w:rsidRPr="000D5DBF">
              <w:rPr>
                <w:noProof/>
                <w:szCs w:val="24"/>
              </w:rPr>
              <w:t>N/A</w:t>
            </w:r>
          </w:p>
        </w:tc>
      </w:tr>
      <w:tr w:rsidR="00F0703E" w:rsidRPr="000D5DBF" w14:paraId="48771690" w14:textId="77777777" w:rsidTr="00F837F9">
        <w:trPr>
          <w:trHeight w:val="163"/>
          <w:jc w:val="center"/>
        </w:trPr>
        <w:tc>
          <w:tcPr>
            <w:tcW w:w="3315" w:type="dxa"/>
            <w:shd w:val="clear" w:color="auto" w:fill="auto"/>
          </w:tcPr>
          <w:p w14:paraId="2CCC17F2" w14:textId="77777777" w:rsidR="00D00CCB" w:rsidRPr="000D5DBF" w:rsidRDefault="00D00CCB" w:rsidP="00BA1297">
            <w:pPr>
              <w:spacing w:before="0" w:after="0"/>
              <w:rPr>
                <w:b/>
                <w:noProof/>
              </w:rPr>
            </w:pPr>
            <w:r w:rsidRPr="000D5DBF">
              <w:rPr>
                <w:b/>
                <w:noProof/>
              </w:rPr>
              <w:t>Nebūtiski pārvietojumi (19. panta 5. punkts)</w:t>
            </w:r>
          </w:p>
        </w:tc>
        <w:tc>
          <w:tcPr>
            <w:tcW w:w="5103" w:type="dxa"/>
            <w:shd w:val="clear" w:color="auto" w:fill="auto"/>
          </w:tcPr>
          <w:p w14:paraId="2CBF784E" w14:textId="77777777" w:rsidR="00D00CCB" w:rsidRPr="000D5DBF" w:rsidRDefault="00D00CCB" w:rsidP="00BA1297">
            <w:pPr>
              <w:spacing w:before="0" w:after="0"/>
              <w:rPr>
                <w:i/>
                <w:noProof/>
                <w:szCs w:val="24"/>
              </w:rPr>
            </w:pPr>
            <w:r w:rsidRPr="000D5DBF">
              <w:rPr>
                <w:noProof/>
                <w:szCs w:val="24"/>
              </w:rPr>
              <w:t>Nē</w:t>
            </w:r>
          </w:p>
        </w:tc>
      </w:tr>
      <w:tr w:rsidR="00F0703E" w:rsidRPr="000D5DBF" w14:paraId="1B167F0E" w14:textId="77777777" w:rsidTr="00F837F9">
        <w:trPr>
          <w:trHeight w:val="163"/>
          <w:jc w:val="center"/>
        </w:trPr>
        <w:tc>
          <w:tcPr>
            <w:tcW w:w="3315" w:type="dxa"/>
            <w:shd w:val="clear" w:color="auto" w:fill="auto"/>
          </w:tcPr>
          <w:p w14:paraId="1BA95E11" w14:textId="77777777" w:rsidR="00D00CCB" w:rsidRPr="000D5DBF" w:rsidRDefault="00D00CCB" w:rsidP="00BA1297">
            <w:pPr>
              <w:spacing w:before="0" w:after="0"/>
              <w:rPr>
                <w:b/>
                <w:noProof/>
              </w:rPr>
            </w:pPr>
            <w:r w:rsidRPr="000D5DBF">
              <w:rPr>
                <w:b/>
                <w:i/>
                <w:noProof/>
              </w:rPr>
              <w:t>NUTS</w:t>
            </w:r>
            <w:r w:rsidRPr="000D5DBF">
              <w:rPr>
                <w:b/>
                <w:noProof/>
              </w:rPr>
              <w:t xml:space="preserve"> reģioni, uz kuriem attiecas programma</w:t>
            </w:r>
            <w:r w:rsidRPr="000D5DBF">
              <w:rPr>
                <w:noProof/>
              </w:rPr>
              <w:t xml:space="preserve"> (neattiecas uz EJZF)</w:t>
            </w:r>
          </w:p>
        </w:tc>
        <w:tc>
          <w:tcPr>
            <w:tcW w:w="5103" w:type="dxa"/>
            <w:shd w:val="clear" w:color="auto" w:fill="auto"/>
          </w:tcPr>
          <w:p w14:paraId="4B8A7E27" w14:textId="77777777" w:rsidR="00D00CCB" w:rsidRPr="000D5DBF" w:rsidRDefault="00D00CCB" w:rsidP="00BA1297">
            <w:pPr>
              <w:spacing w:before="0" w:after="0"/>
              <w:rPr>
                <w:noProof/>
                <w:szCs w:val="24"/>
              </w:rPr>
            </w:pPr>
            <w:r w:rsidRPr="000D5DBF">
              <w:rPr>
                <w:noProof/>
                <w:szCs w:val="24"/>
              </w:rPr>
              <w:t>LV</w:t>
            </w:r>
          </w:p>
        </w:tc>
      </w:tr>
      <w:tr w:rsidR="00F0703E" w:rsidRPr="000D5DBF" w14:paraId="230A96B4" w14:textId="77777777" w:rsidTr="00F837F9">
        <w:trPr>
          <w:trHeight w:val="163"/>
          <w:jc w:val="center"/>
        </w:trPr>
        <w:tc>
          <w:tcPr>
            <w:tcW w:w="3315" w:type="dxa"/>
            <w:vMerge w:val="restart"/>
            <w:shd w:val="clear" w:color="auto" w:fill="auto"/>
          </w:tcPr>
          <w:p w14:paraId="4914EA3E" w14:textId="77777777" w:rsidR="00D00CCB" w:rsidRPr="000D5DBF" w:rsidRDefault="00D00CCB" w:rsidP="00BA1297">
            <w:pPr>
              <w:spacing w:before="0" w:after="0"/>
              <w:rPr>
                <w:b/>
                <w:noProof/>
              </w:rPr>
            </w:pPr>
            <w:r w:rsidRPr="000D5DBF">
              <w:rPr>
                <w:b/>
                <w:noProof/>
              </w:rPr>
              <w:t>Attiecīgais fonds</w:t>
            </w:r>
          </w:p>
        </w:tc>
        <w:tc>
          <w:tcPr>
            <w:tcW w:w="5103" w:type="dxa"/>
            <w:shd w:val="clear" w:color="auto" w:fill="auto"/>
          </w:tcPr>
          <w:p w14:paraId="426B222B" w14:textId="77777777" w:rsidR="00D00CCB" w:rsidRPr="000D5DBF" w:rsidRDefault="00D00CCB" w:rsidP="00BA1297">
            <w:pPr>
              <w:spacing w:before="0" w:after="0"/>
              <w:rPr>
                <w:noProof/>
                <w:sz w:val="18"/>
                <w:szCs w:val="18"/>
              </w:rPr>
            </w:pPr>
            <w:r w:rsidRPr="000D5DBF">
              <w:rPr>
                <w:noProof/>
                <w:sz w:val="20"/>
              </w:rPr>
              <w:fldChar w:fldCharType="begin">
                <w:ffData>
                  <w:name w:val="Check1"/>
                  <w:enabled/>
                  <w:calcOnExit w:val="0"/>
                  <w:checkBox>
                    <w:sizeAuto/>
                    <w:default w:val="0"/>
                  </w:checkBox>
                </w:ffData>
              </w:fldChar>
            </w:r>
            <w:r w:rsidRPr="000D5DBF">
              <w:rPr>
                <w:noProof/>
                <w:sz w:val="20"/>
              </w:rPr>
              <w:instrText xml:space="preserve"> FORMCHECKBOX </w:instrText>
            </w:r>
            <w:r w:rsidR="00B755FE">
              <w:rPr>
                <w:noProof/>
                <w:sz w:val="20"/>
              </w:rPr>
            </w:r>
            <w:r w:rsidR="00B755FE">
              <w:rPr>
                <w:noProof/>
                <w:sz w:val="20"/>
              </w:rPr>
              <w:fldChar w:fldCharType="separate"/>
            </w:r>
            <w:r w:rsidRPr="000D5DBF">
              <w:rPr>
                <w:noProof/>
                <w:sz w:val="20"/>
              </w:rPr>
              <w:fldChar w:fldCharType="end"/>
            </w:r>
            <w:r w:rsidRPr="000D5DBF">
              <w:rPr>
                <w:noProof/>
              </w:rPr>
              <w:t xml:space="preserve"> ERAF</w:t>
            </w:r>
          </w:p>
        </w:tc>
      </w:tr>
      <w:tr w:rsidR="00F0703E" w:rsidRPr="000D5DBF" w14:paraId="352EEEF6" w14:textId="77777777" w:rsidTr="00996BD4">
        <w:trPr>
          <w:trHeight w:val="163"/>
          <w:jc w:val="center"/>
        </w:trPr>
        <w:tc>
          <w:tcPr>
            <w:tcW w:w="3315" w:type="dxa"/>
            <w:vMerge/>
            <w:shd w:val="clear" w:color="auto" w:fill="auto"/>
          </w:tcPr>
          <w:p w14:paraId="68442B04" w14:textId="77777777" w:rsidR="00D00CCB" w:rsidRPr="000D5DBF" w:rsidRDefault="00D00CCB" w:rsidP="00BA1297">
            <w:pPr>
              <w:spacing w:before="0" w:after="0"/>
              <w:rPr>
                <w:b/>
                <w:noProof/>
              </w:rPr>
            </w:pPr>
          </w:p>
        </w:tc>
        <w:tc>
          <w:tcPr>
            <w:tcW w:w="5103" w:type="dxa"/>
            <w:tcBorders>
              <w:bottom w:val="single" w:sz="4" w:space="0" w:color="auto"/>
            </w:tcBorders>
            <w:shd w:val="clear" w:color="auto" w:fill="auto"/>
          </w:tcPr>
          <w:p w14:paraId="1A331810" w14:textId="77777777" w:rsidR="00D00CCB" w:rsidRPr="000D5DBF" w:rsidRDefault="00D00CCB" w:rsidP="00BA1297">
            <w:pPr>
              <w:spacing w:before="0" w:after="0"/>
              <w:rPr>
                <w:noProof/>
                <w:sz w:val="18"/>
                <w:szCs w:val="18"/>
              </w:rPr>
            </w:pPr>
            <w:r w:rsidRPr="000D5DBF">
              <w:rPr>
                <w:noProof/>
                <w:sz w:val="20"/>
              </w:rPr>
              <w:fldChar w:fldCharType="begin">
                <w:ffData>
                  <w:name w:val="Check1"/>
                  <w:enabled/>
                  <w:calcOnExit w:val="0"/>
                  <w:checkBox>
                    <w:sizeAuto/>
                    <w:default w:val="0"/>
                  </w:checkBox>
                </w:ffData>
              </w:fldChar>
            </w:r>
            <w:r w:rsidRPr="000D5DBF">
              <w:rPr>
                <w:noProof/>
                <w:sz w:val="20"/>
              </w:rPr>
              <w:instrText xml:space="preserve"> FORMCHECKBOX </w:instrText>
            </w:r>
            <w:r w:rsidR="00B755FE">
              <w:rPr>
                <w:noProof/>
                <w:sz w:val="20"/>
              </w:rPr>
            </w:r>
            <w:r w:rsidR="00B755FE">
              <w:rPr>
                <w:noProof/>
                <w:sz w:val="20"/>
              </w:rPr>
              <w:fldChar w:fldCharType="separate"/>
            </w:r>
            <w:r w:rsidRPr="000D5DBF">
              <w:rPr>
                <w:noProof/>
                <w:sz w:val="20"/>
              </w:rPr>
              <w:fldChar w:fldCharType="end"/>
            </w:r>
            <w:r w:rsidRPr="000D5DBF">
              <w:rPr>
                <w:noProof/>
              </w:rPr>
              <w:t xml:space="preserve"> Kohēzijas fonds</w:t>
            </w:r>
          </w:p>
        </w:tc>
      </w:tr>
      <w:tr w:rsidR="00F0703E" w:rsidRPr="000D5DBF" w14:paraId="05A33258" w14:textId="77777777" w:rsidTr="00F837F9">
        <w:trPr>
          <w:trHeight w:val="163"/>
          <w:jc w:val="center"/>
        </w:trPr>
        <w:tc>
          <w:tcPr>
            <w:tcW w:w="3315" w:type="dxa"/>
            <w:vMerge/>
            <w:shd w:val="clear" w:color="auto" w:fill="auto"/>
          </w:tcPr>
          <w:p w14:paraId="64922257" w14:textId="77777777" w:rsidR="00D00CCB" w:rsidRPr="000D5DBF" w:rsidRDefault="00D00CCB" w:rsidP="00BA1297">
            <w:pPr>
              <w:spacing w:before="0" w:after="0"/>
              <w:rPr>
                <w:b/>
                <w:noProof/>
              </w:rPr>
            </w:pPr>
          </w:p>
        </w:tc>
        <w:tc>
          <w:tcPr>
            <w:tcW w:w="5103" w:type="dxa"/>
            <w:shd w:val="clear" w:color="auto" w:fill="auto"/>
          </w:tcPr>
          <w:p w14:paraId="553C4EAD" w14:textId="77777777" w:rsidR="00D00CCB" w:rsidRPr="000D5DBF" w:rsidRDefault="00996BD4" w:rsidP="00BA1297">
            <w:pPr>
              <w:spacing w:before="0" w:after="0"/>
              <w:rPr>
                <w:i/>
                <w:noProof/>
                <w:sz w:val="18"/>
                <w:szCs w:val="18"/>
              </w:rPr>
            </w:pPr>
            <w:r w:rsidRPr="000D5DBF">
              <w:rPr>
                <w:noProof/>
                <w:sz w:val="20"/>
              </w:rPr>
              <w:fldChar w:fldCharType="begin">
                <w:ffData>
                  <w:name w:val="Check1"/>
                  <w:enabled/>
                  <w:calcOnExit w:val="0"/>
                  <w:checkBox>
                    <w:sizeAuto/>
                    <w:default w:val="0"/>
                  </w:checkBox>
                </w:ffData>
              </w:fldChar>
            </w:r>
            <w:bookmarkStart w:id="1" w:name="Check1"/>
            <w:r w:rsidRPr="000D5DBF">
              <w:rPr>
                <w:noProof/>
                <w:sz w:val="20"/>
              </w:rPr>
              <w:instrText xml:space="preserve"> FORMCHECKBOX </w:instrText>
            </w:r>
            <w:r w:rsidR="00B755FE">
              <w:rPr>
                <w:noProof/>
                <w:sz w:val="20"/>
              </w:rPr>
            </w:r>
            <w:r w:rsidR="00B755FE">
              <w:rPr>
                <w:noProof/>
                <w:sz w:val="20"/>
              </w:rPr>
              <w:fldChar w:fldCharType="separate"/>
            </w:r>
            <w:r w:rsidRPr="000D5DBF">
              <w:rPr>
                <w:noProof/>
                <w:sz w:val="20"/>
              </w:rPr>
              <w:fldChar w:fldCharType="end"/>
            </w:r>
            <w:bookmarkEnd w:id="1"/>
            <w:r w:rsidR="00D00CCB" w:rsidRPr="000D5DBF">
              <w:rPr>
                <w:noProof/>
              </w:rPr>
              <w:t xml:space="preserve"> </w:t>
            </w:r>
            <w:r w:rsidR="00D00CCB" w:rsidRPr="000D5DBF">
              <w:rPr>
                <w:b/>
                <w:noProof/>
              </w:rPr>
              <w:t>ESF+</w:t>
            </w:r>
          </w:p>
        </w:tc>
      </w:tr>
      <w:tr w:rsidR="00F0703E" w:rsidRPr="000D5DBF" w14:paraId="7EFCD5A2" w14:textId="77777777" w:rsidTr="00F837F9">
        <w:trPr>
          <w:trHeight w:val="163"/>
          <w:jc w:val="center"/>
        </w:trPr>
        <w:tc>
          <w:tcPr>
            <w:tcW w:w="3315" w:type="dxa"/>
            <w:vMerge/>
            <w:shd w:val="clear" w:color="auto" w:fill="auto"/>
          </w:tcPr>
          <w:p w14:paraId="60CF183C" w14:textId="77777777" w:rsidR="00D00CCB" w:rsidRPr="000D5DBF" w:rsidRDefault="00D00CCB" w:rsidP="00BA1297">
            <w:pPr>
              <w:spacing w:before="0" w:after="0"/>
              <w:rPr>
                <w:b/>
                <w:noProof/>
              </w:rPr>
            </w:pPr>
          </w:p>
        </w:tc>
        <w:tc>
          <w:tcPr>
            <w:tcW w:w="5103" w:type="dxa"/>
            <w:shd w:val="clear" w:color="auto" w:fill="auto"/>
          </w:tcPr>
          <w:p w14:paraId="03E18D78" w14:textId="77777777" w:rsidR="00D00CCB" w:rsidRPr="000D5DBF" w:rsidRDefault="00D00CCB" w:rsidP="00BA1297">
            <w:pPr>
              <w:spacing w:before="0" w:after="0"/>
              <w:rPr>
                <w:i/>
                <w:noProof/>
                <w:sz w:val="18"/>
                <w:szCs w:val="18"/>
              </w:rPr>
            </w:pPr>
            <w:r w:rsidRPr="000D5DBF">
              <w:rPr>
                <w:noProof/>
                <w:sz w:val="20"/>
              </w:rPr>
              <w:fldChar w:fldCharType="begin">
                <w:ffData>
                  <w:name w:val="Check1"/>
                  <w:enabled/>
                  <w:calcOnExit w:val="0"/>
                  <w:checkBox>
                    <w:sizeAuto/>
                    <w:default w:val="0"/>
                  </w:checkBox>
                </w:ffData>
              </w:fldChar>
            </w:r>
            <w:r w:rsidRPr="000D5DBF">
              <w:rPr>
                <w:noProof/>
                <w:sz w:val="20"/>
              </w:rPr>
              <w:instrText xml:space="preserve"> FORMCHECKBOX </w:instrText>
            </w:r>
            <w:r w:rsidR="00B755FE">
              <w:rPr>
                <w:noProof/>
                <w:sz w:val="20"/>
              </w:rPr>
            </w:r>
            <w:r w:rsidR="00B755FE">
              <w:rPr>
                <w:noProof/>
                <w:sz w:val="20"/>
              </w:rPr>
              <w:fldChar w:fldCharType="separate"/>
            </w:r>
            <w:r w:rsidRPr="000D5DBF">
              <w:rPr>
                <w:noProof/>
                <w:sz w:val="20"/>
              </w:rPr>
              <w:fldChar w:fldCharType="end"/>
            </w:r>
            <w:r w:rsidRPr="000D5DBF">
              <w:rPr>
                <w:noProof/>
              </w:rPr>
              <w:t xml:space="preserve"> EJZF</w:t>
            </w:r>
          </w:p>
        </w:tc>
      </w:tr>
    </w:tbl>
    <w:p w14:paraId="449CAC06" w14:textId="77777777" w:rsidR="00D00CCB" w:rsidRPr="000D5DBF" w:rsidRDefault="00D00CCB" w:rsidP="00BA1297">
      <w:pPr>
        <w:spacing w:before="0" w:after="0"/>
        <w:jc w:val="left"/>
        <w:rPr>
          <w:b/>
          <w:sz w:val="32"/>
        </w:rPr>
      </w:pPr>
    </w:p>
    <w:p w14:paraId="49804BE7" w14:textId="77777777" w:rsidR="00D00CCB" w:rsidRPr="000D5DBF" w:rsidRDefault="00D00CCB" w:rsidP="00BA1297">
      <w:pPr>
        <w:spacing w:before="0" w:after="0"/>
        <w:jc w:val="left"/>
        <w:rPr>
          <w:b/>
          <w:sz w:val="32"/>
        </w:rPr>
      </w:pPr>
    </w:p>
    <w:p w14:paraId="59ECC212" w14:textId="77777777" w:rsidR="00D00CCB" w:rsidRPr="000D5DBF" w:rsidRDefault="00D00CCB" w:rsidP="00BA1297">
      <w:pPr>
        <w:spacing w:before="0" w:after="0"/>
        <w:jc w:val="left"/>
        <w:rPr>
          <w:b/>
          <w:sz w:val="32"/>
        </w:rPr>
      </w:pPr>
    </w:p>
    <w:p w14:paraId="6ADE0E9E" w14:textId="77777777" w:rsidR="00D00CCB" w:rsidRPr="000D5DBF" w:rsidRDefault="00D00CCB" w:rsidP="00BA1297">
      <w:pPr>
        <w:spacing w:before="0" w:after="0"/>
        <w:jc w:val="left"/>
        <w:rPr>
          <w:b/>
          <w:sz w:val="32"/>
        </w:rPr>
      </w:pPr>
      <w:r w:rsidRPr="000D5DBF">
        <w:rPr>
          <w:b/>
          <w:sz w:val="32"/>
        </w:rPr>
        <w:br w:type="page"/>
      </w:r>
    </w:p>
    <w:p w14:paraId="63E3BAAF" w14:textId="77777777" w:rsidR="00D00CCB" w:rsidRPr="000D5DBF" w:rsidRDefault="00D00CCB" w:rsidP="00BA1297">
      <w:pPr>
        <w:spacing w:before="0" w:after="0"/>
        <w:jc w:val="center"/>
        <w:rPr>
          <w:b/>
          <w:sz w:val="28"/>
          <w:szCs w:val="28"/>
        </w:rPr>
      </w:pPr>
      <w:r w:rsidRPr="000D5DBF">
        <w:rPr>
          <w:b/>
          <w:sz w:val="28"/>
          <w:szCs w:val="28"/>
        </w:rPr>
        <w:lastRenderedPageBreak/>
        <w:t>Saturs</w:t>
      </w:r>
    </w:p>
    <w:p w14:paraId="327DAC02" w14:textId="77777777" w:rsidR="00D00CCB" w:rsidRPr="000D5DBF" w:rsidRDefault="00D00CCB" w:rsidP="00BA1297">
      <w:pPr>
        <w:spacing w:before="0" w:after="0"/>
        <w:jc w:val="left"/>
        <w:rPr>
          <w:szCs w:val="24"/>
        </w:rPr>
      </w:pPr>
    </w:p>
    <w:sdt>
      <w:sdtPr>
        <w:rPr>
          <w:rFonts w:ascii="Times New Roman" w:eastAsia="Calibri" w:hAnsi="Times New Roman" w:cs="Times New Roman"/>
          <w:color w:val="auto"/>
          <w:sz w:val="24"/>
          <w:szCs w:val="20"/>
          <w:lang w:val="lv-LV" w:eastAsia="lv-LV" w:bidi="lv-LV"/>
        </w:rPr>
        <w:id w:val="-3288254"/>
        <w:docPartObj>
          <w:docPartGallery w:val="Table of Contents"/>
          <w:docPartUnique/>
        </w:docPartObj>
      </w:sdtPr>
      <w:sdtEndPr>
        <w:rPr>
          <w:b/>
          <w:bCs/>
          <w:noProof/>
        </w:rPr>
      </w:sdtEndPr>
      <w:sdtContent>
        <w:p w14:paraId="1A3C99CD" w14:textId="77777777" w:rsidR="00593A98" w:rsidRPr="000D5DBF" w:rsidRDefault="00593A98" w:rsidP="00BA1297">
          <w:pPr>
            <w:pStyle w:val="TOCHeading"/>
            <w:spacing w:before="0" w:line="240" w:lineRule="auto"/>
            <w:rPr>
              <w:color w:val="auto"/>
              <w:lang w:val="lv-LV"/>
            </w:rPr>
          </w:pPr>
        </w:p>
        <w:p w14:paraId="71815B10" w14:textId="77777777" w:rsidR="00733CAA" w:rsidRDefault="00593A98">
          <w:pPr>
            <w:pStyle w:val="TOC1"/>
            <w:rPr>
              <w:rFonts w:asciiTheme="minorHAnsi" w:eastAsiaTheme="minorEastAsia" w:hAnsiTheme="minorHAnsi" w:cstheme="minorBidi"/>
              <w:noProof/>
              <w:sz w:val="22"/>
              <w:szCs w:val="22"/>
              <w:lang w:bidi="ar-SA"/>
            </w:rPr>
          </w:pPr>
          <w:r w:rsidRPr="000D5DBF">
            <w:rPr>
              <w:b/>
              <w:bCs/>
              <w:noProof/>
            </w:rPr>
            <w:fldChar w:fldCharType="begin"/>
          </w:r>
          <w:r w:rsidRPr="000D5DBF">
            <w:rPr>
              <w:b/>
              <w:bCs/>
              <w:noProof/>
            </w:rPr>
            <w:instrText xml:space="preserve"> TOC \o "1-3" \h \z \u </w:instrText>
          </w:r>
          <w:r w:rsidRPr="000D5DBF">
            <w:rPr>
              <w:b/>
              <w:bCs/>
              <w:noProof/>
            </w:rPr>
            <w:fldChar w:fldCharType="separate"/>
          </w:r>
          <w:hyperlink w:anchor="_Toc62557101" w:history="1">
            <w:r w:rsidR="00733CAA" w:rsidRPr="004A6881">
              <w:rPr>
                <w:rStyle w:val="Hyperlink"/>
                <w:rFonts w:eastAsia="SimSun"/>
                <w:b/>
                <w:noProof/>
                <w:lang w:eastAsia="ja-JP"/>
              </w:rPr>
              <w:t>Izmantotie saīsinājumi un termini</w:t>
            </w:r>
            <w:r w:rsidR="00733CAA">
              <w:rPr>
                <w:noProof/>
                <w:webHidden/>
              </w:rPr>
              <w:tab/>
            </w:r>
            <w:r w:rsidR="00733CAA">
              <w:rPr>
                <w:noProof/>
                <w:webHidden/>
              </w:rPr>
              <w:fldChar w:fldCharType="begin"/>
            </w:r>
            <w:r w:rsidR="00733CAA">
              <w:rPr>
                <w:noProof/>
                <w:webHidden/>
              </w:rPr>
              <w:instrText xml:space="preserve"> PAGEREF _Toc62557101 \h </w:instrText>
            </w:r>
            <w:r w:rsidR="00733CAA">
              <w:rPr>
                <w:noProof/>
                <w:webHidden/>
              </w:rPr>
            </w:r>
            <w:r w:rsidR="00733CAA">
              <w:rPr>
                <w:noProof/>
                <w:webHidden/>
              </w:rPr>
              <w:fldChar w:fldCharType="separate"/>
            </w:r>
            <w:r w:rsidR="00733CAA">
              <w:rPr>
                <w:noProof/>
                <w:webHidden/>
              </w:rPr>
              <w:t>4</w:t>
            </w:r>
            <w:r w:rsidR="00733CAA">
              <w:rPr>
                <w:noProof/>
                <w:webHidden/>
              </w:rPr>
              <w:fldChar w:fldCharType="end"/>
            </w:r>
          </w:hyperlink>
        </w:p>
        <w:p w14:paraId="0A8F7ADD" w14:textId="77777777" w:rsidR="00733CAA" w:rsidRDefault="00B755FE">
          <w:pPr>
            <w:pStyle w:val="TOC1"/>
            <w:rPr>
              <w:rFonts w:asciiTheme="minorHAnsi" w:eastAsiaTheme="minorEastAsia" w:hAnsiTheme="minorHAnsi" w:cstheme="minorBidi"/>
              <w:noProof/>
              <w:sz w:val="22"/>
              <w:szCs w:val="22"/>
              <w:lang w:bidi="ar-SA"/>
            </w:rPr>
          </w:pPr>
          <w:hyperlink w:anchor="_Toc62557102" w:history="1">
            <w:r w:rsidR="00733CAA" w:rsidRPr="004A6881">
              <w:rPr>
                <w:rStyle w:val="Hyperlink"/>
                <w:b/>
                <w:iCs/>
                <w:noProof/>
              </w:rPr>
              <w:t>1.</w:t>
            </w:r>
            <w:r w:rsidR="00733CAA">
              <w:rPr>
                <w:rFonts w:asciiTheme="minorHAnsi" w:eastAsiaTheme="minorEastAsia" w:hAnsiTheme="minorHAnsi" w:cstheme="minorBidi"/>
                <w:noProof/>
                <w:sz w:val="22"/>
                <w:szCs w:val="22"/>
                <w:lang w:bidi="ar-SA"/>
              </w:rPr>
              <w:tab/>
            </w:r>
            <w:r w:rsidR="00733CAA" w:rsidRPr="004A6881">
              <w:rPr>
                <w:rStyle w:val="Hyperlink"/>
                <w:b/>
                <w:noProof/>
              </w:rPr>
              <w:t>Programmas stratēģija: galvenie attīstības politikas uzdevumi un politikas risinājumi</w:t>
            </w:r>
            <w:r w:rsidR="00733CAA">
              <w:rPr>
                <w:noProof/>
                <w:webHidden/>
              </w:rPr>
              <w:tab/>
            </w:r>
            <w:r w:rsidR="00733CAA">
              <w:rPr>
                <w:noProof/>
                <w:webHidden/>
              </w:rPr>
              <w:fldChar w:fldCharType="begin"/>
            </w:r>
            <w:r w:rsidR="00733CAA">
              <w:rPr>
                <w:noProof/>
                <w:webHidden/>
              </w:rPr>
              <w:instrText xml:space="preserve"> PAGEREF _Toc62557102 \h </w:instrText>
            </w:r>
            <w:r w:rsidR="00733CAA">
              <w:rPr>
                <w:noProof/>
                <w:webHidden/>
              </w:rPr>
            </w:r>
            <w:r w:rsidR="00733CAA">
              <w:rPr>
                <w:noProof/>
                <w:webHidden/>
              </w:rPr>
              <w:fldChar w:fldCharType="separate"/>
            </w:r>
            <w:r w:rsidR="00733CAA">
              <w:rPr>
                <w:noProof/>
                <w:webHidden/>
              </w:rPr>
              <w:t>5</w:t>
            </w:r>
            <w:r w:rsidR="00733CAA">
              <w:rPr>
                <w:noProof/>
                <w:webHidden/>
              </w:rPr>
              <w:fldChar w:fldCharType="end"/>
            </w:r>
          </w:hyperlink>
        </w:p>
        <w:p w14:paraId="3D69221D" w14:textId="77777777" w:rsidR="00733CAA" w:rsidRDefault="00B755FE">
          <w:pPr>
            <w:pStyle w:val="TOC2"/>
            <w:tabs>
              <w:tab w:val="left" w:pos="851"/>
              <w:tab w:val="right" w:leader="dot" w:pos="8919"/>
            </w:tabs>
            <w:rPr>
              <w:rFonts w:asciiTheme="minorHAnsi" w:eastAsiaTheme="minorEastAsia" w:hAnsiTheme="minorHAnsi" w:cstheme="minorBidi"/>
              <w:noProof/>
              <w:sz w:val="22"/>
              <w:szCs w:val="22"/>
              <w:lang w:bidi="ar-SA"/>
            </w:rPr>
          </w:pPr>
          <w:hyperlink w:anchor="_Toc62557103" w:history="1">
            <w:r w:rsidR="00733CAA" w:rsidRPr="004A6881">
              <w:rPr>
                <w:rStyle w:val="Hyperlink"/>
                <w:b/>
                <w:noProof/>
              </w:rPr>
              <w:t>1.1.</w:t>
            </w:r>
            <w:r w:rsidR="00733CAA">
              <w:rPr>
                <w:rFonts w:asciiTheme="minorHAnsi" w:eastAsiaTheme="minorEastAsia" w:hAnsiTheme="minorHAnsi" w:cstheme="minorBidi"/>
                <w:noProof/>
                <w:sz w:val="22"/>
                <w:szCs w:val="22"/>
                <w:lang w:bidi="ar-SA"/>
              </w:rPr>
              <w:tab/>
            </w:r>
            <w:r w:rsidR="00733CAA" w:rsidRPr="004A6881">
              <w:rPr>
                <w:rStyle w:val="Hyperlink"/>
                <w:b/>
                <w:noProof/>
              </w:rPr>
              <w:t>Situācijas apraksts</w:t>
            </w:r>
            <w:r w:rsidR="00733CAA">
              <w:rPr>
                <w:noProof/>
                <w:webHidden/>
              </w:rPr>
              <w:tab/>
            </w:r>
            <w:r w:rsidR="00733CAA">
              <w:rPr>
                <w:noProof/>
                <w:webHidden/>
              </w:rPr>
              <w:fldChar w:fldCharType="begin"/>
            </w:r>
            <w:r w:rsidR="00733CAA">
              <w:rPr>
                <w:noProof/>
                <w:webHidden/>
              </w:rPr>
              <w:instrText xml:space="preserve"> PAGEREF _Toc62557103 \h </w:instrText>
            </w:r>
            <w:r w:rsidR="00733CAA">
              <w:rPr>
                <w:noProof/>
                <w:webHidden/>
              </w:rPr>
            </w:r>
            <w:r w:rsidR="00733CAA">
              <w:rPr>
                <w:noProof/>
                <w:webHidden/>
              </w:rPr>
              <w:fldChar w:fldCharType="separate"/>
            </w:r>
            <w:r w:rsidR="00733CAA">
              <w:rPr>
                <w:noProof/>
                <w:webHidden/>
              </w:rPr>
              <w:t>5</w:t>
            </w:r>
            <w:r w:rsidR="00733CAA">
              <w:rPr>
                <w:noProof/>
                <w:webHidden/>
              </w:rPr>
              <w:fldChar w:fldCharType="end"/>
            </w:r>
          </w:hyperlink>
        </w:p>
        <w:p w14:paraId="054E845C" w14:textId="77777777" w:rsidR="00733CAA" w:rsidRDefault="00B755FE">
          <w:pPr>
            <w:pStyle w:val="TOC2"/>
            <w:tabs>
              <w:tab w:val="left" w:pos="851"/>
              <w:tab w:val="right" w:leader="dot" w:pos="8919"/>
            </w:tabs>
            <w:rPr>
              <w:rFonts w:asciiTheme="minorHAnsi" w:eastAsiaTheme="minorEastAsia" w:hAnsiTheme="minorHAnsi" w:cstheme="minorBidi"/>
              <w:noProof/>
              <w:sz w:val="22"/>
              <w:szCs w:val="22"/>
              <w:lang w:bidi="ar-SA"/>
            </w:rPr>
          </w:pPr>
          <w:hyperlink w:anchor="_Toc62557104" w:history="1">
            <w:r w:rsidR="00733CAA" w:rsidRPr="004A6881">
              <w:rPr>
                <w:rStyle w:val="Hyperlink"/>
                <w:b/>
                <w:noProof/>
              </w:rPr>
              <w:t>1.2.</w:t>
            </w:r>
            <w:r w:rsidR="00733CAA">
              <w:rPr>
                <w:rFonts w:asciiTheme="minorHAnsi" w:eastAsiaTheme="minorEastAsia" w:hAnsiTheme="minorHAnsi" w:cstheme="minorBidi"/>
                <w:noProof/>
                <w:sz w:val="22"/>
                <w:szCs w:val="22"/>
                <w:lang w:bidi="ar-SA"/>
              </w:rPr>
              <w:tab/>
            </w:r>
            <w:r w:rsidR="00733CAA" w:rsidRPr="004A6881">
              <w:rPr>
                <w:rStyle w:val="Hyperlink"/>
                <w:b/>
                <w:noProof/>
              </w:rPr>
              <w:t>Ieguldījumu nepieciešamības pamatojums</w:t>
            </w:r>
            <w:r w:rsidR="00733CAA">
              <w:rPr>
                <w:noProof/>
                <w:webHidden/>
              </w:rPr>
              <w:tab/>
            </w:r>
            <w:r w:rsidR="00733CAA">
              <w:rPr>
                <w:noProof/>
                <w:webHidden/>
              </w:rPr>
              <w:fldChar w:fldCharType="begin"/>
            </w:r>
            <w:r w:rsidR="00733CAA">
              <w:rPr>
                <w:noProof/>
                <w:webHidden/>
              </w:rPr>
              <w:instrText xml:space="preserve"> PAGEREF _Toc62557104 \h </w:instrText>
            </w:r>
            <w:r w:rsidR="00733CAA">
              <w:rPr>
                <w:noProof/>
                <w:webHidden/>
              </w:rPr>
            </w:r>
            <w:r w:rsidR="00733CAA">
              <w:rPr>
                <w:noProof/>
                <w:webHidden/>
              </w:rPr>
              <w:fldChar w:fldCharType="separate"/>
            </w:r>
            <w:r w:rsidR="00733CAA">
              <w:rPr>
                <w:noProof/>
                <w:webHidden/>
              </w:rPr>
              <w:t>6</w:t>
            </w:r>
            <w:r w:rsidR="00733CAA">
              <w:rPr>
                <w:noProof/>
                <w:webHidden/>
              </w:rPr>
              <w:fldChar w:fldCharType="end"/>
            </w:r>
          </w:hyperlink>
        </w:p>
        <w:p w14:paraId="30387E63" w14:textId="77777777" w:rsidR="00733CAA" w:rsidRDefault="00B755FE">
          <w:pPr>
            <w:pStyle w:val="TOC2"/>
            <w:tabs>
              <w:tab w:val="left" w:pos="851"/>
              <w:tab w:val="right" w:leader="dot" w:pos="8919"/>
            </w:tabs>
            <w:rPr>
              <w:rFonts w:asciiTheme="minorHAnsi" w:eastAsiaTheme="minorEastAsia" w:hAnsiTheme="minorHAnsi" w:cstheme="minorBidi"/>
              <w:noProof/>
              <w:sz w:val="22"/>
              <w:szCs w:val="22"/>
              <w:lang w:bidi="ar-SA"/>
            </w:rPr>
          </w:pPr>
          <w:hyperlink w:anchor="_Toc62557105" w:history="1">
            <w:r w:rsidR="00733CAA" w:rsidRPr="004A6881">
              <w:rPr>
                <w:rStyle w:val="Hyperlink"/>
                <w:b/>
                <w:noProof/>
              </w:rPr>
              <w:t>1.3.</w:t>
            </w:r>
            <w:r w:rsidR="00733CAA">
              <w:rPr>
                <w:rFonts w:asciiTheme="minorHAnsi" w:eastAsiaTheme="minorEastAsia" w:hAnsiTheme="minorHAnsi" w:cstheme="minorBidi"/>
                <w:noProof/>
                <w:sz w:val="22"/>
                <w:szCs w:val="22"/>
                <w:lang w:bidi="ar-SA"/>
              </w:rPr>
              <w:tab/>
            </w:r>
            <w:r w:rsidR="00733CAA" w:rsidRPr="004A6881">
              <w:rPr>
                <w:rStyle w:val="Hyperlink"/>
                <w:b/>
                <w:noProof/>
              </w:rPr>
              <w:t>Iepriekšējo gadu pieredze</w:t>
            </w:r>
            <w:r w:rsidR="00733CAA">
              <w:rPr>
                <w:noProof/>
                <w:webHidden/>
              </w:rPr>
              <w:tab/>
            </w:r>
            <w:r w:rsidR="00733CAA">
              <w:rPr>
                <w:noProof/>
                <w:webHidden/>
              </w:rPr>
              <w:fldChar w:fldCharType="begin"/>
            </w:r>
            <w:r w:rsidR="00733CAA">
              <w:rPr>
                <w:noProof/>
                <w:webHidden/>
              </w:rPr>
              <w:instrText xml:space="preserve"> PAGEREF _Toc62557105 \h </w:instrText>
            </w:r>
            <w:r w:rsidR="00733CAA">
              <w:rPr>
                <w:noProof/>
                <w:webHidden/>
              </w:rPr>
            </w:r>
            <w:r w:rsidR="00733CAA">
              <w:rPr>
                <w:noProof/>
                <w:webHidden/>
              </w:rPr>
              <w:fldChar w:fldCharType="separate"/>
            </w:r>
            <w:r w:rsidR="00733CAA">
              <w:rPr>
                <w:noProof/>
                <w:webHidden/>
              </w:rPr>
              <w:t>7</w:t>
            </w:r>
            <w:r w:rsidR="00733CAA">
              <w:rPr>
                <w:noProof/>
                <w:webHidden/>
              </w:rPr>
              <w:fldChar w:fldCharType="end"/>
            </w:r>
          </w:hyperlink>
        </w:p>
        <w:p w14:paraId="025561F4" w14:textId="77777777" w:rsidR="00733CAA" w:rsidRDefault="00B755FE">
          <w:pPr>
            <w:pStyle w:val="TOC2"/>
            <w:tabs>
              <w:tab w:val="left" w:pos="851"/>
              <w:tab w:val="right" w:leader="dot" w:pos="8919"/>
            </w:tabs>
            <w:rPr>
              <w:rFonts w:asciiTheme="minorHAnsi" w:eastAsiaTheme="minorEastAsia" w:hAnsiTheme="minorHAnsi" w:cstheme="minorBidi"/>
              <w:noProof/>
              <w:sz w:val="22"/>
              <w:szCs w:val="22"/>
              <w:lang w:bidi="ar-SA"/>
            </w:rPr>
          </w:pPr>
          <w:hyperlink w:anchor="_Toc62557106" w:history="1">
            <w:r w:rsidR="00733CAA" w:rsidRPr="004A6881">
              <w:rPr>
                <w:rStyle w:val="Hyperlink"/>
                <w:b/>
                <w:noProof/>
              </w:rPr>
              <w:t>1.4.</w:t>
            </w:r>
            <w:r w:rsidR="00733CAA">
              <w:rPr>
                <w:rFonts w:asciiTheme="minorHAnsi" w:eastAsiaTheme="minorEastAsia" w:hAnsiTheme="minorHAnsi" w:cstheme="minorBidi"/>
                <w:noProof/>
                <w:sz w:val="22"/>
                <w:szCs w:val="22"/>
                <w:lang w:bidi="ar-SA"/>
              </w:rPr>
              <w:tab/>
            </w:r>
            <w:r w:rsidR="00733CAA" w:rsidRPr="004A6881">
              <w:rPr>
                <w:rStyle w:val="Hyperlink"/>
                <w:b/>
                <w:noProof/>
              </w:rPr>
              <w:t>Plānotie risinājumi, plānotā atbalsta pamatojums</w:t>
            </w:r>
            <w:r w:rsidR="00733CAA">
              <w:rPr>
                <w:noProof/>
                <w:webHidden/>
              </w:rPr>
              <w:tab/>
            </w:r>
            <w:r w:rsidR="00733CAA">
              <w:rPr>
                <w:noProof/>
                <w:webHidden/>
              </w:rPr>
              <w:fldChar w:fldCharType="begin"/>
            </w:r>
            <w:r w:rsidR="00733CAA">
              <w:rPr>
                <w:noProof/>
                <w:webHidden/>
              </w:rPr>
              <w:instrText xml:space="preserve"> PAGEREF _Toc62557106 \h </w:instrText>
            </w:r>
            <w:r w:rsidR="00733CAA">
              <w:rPr>
                <w:noProof/>
                <w:webHidden/>
              </w:rPr>
            </w:r>
            <w:r w:rsidR="00733CAA">
              <w:rPr>
                <w:noProof/>
                <w:webHidden/>
              </w:rPr>
              <w:fldChar w:fldCharType="separate"/>
            </w:r>
            <w:r w:rsidR="00733CAA">
              <w:rPr>
                <w:noProof/>
                <w:webHidden/>
              </w:rPr>
              <w:t>7</w:t>
            </w:r>
            <w:r w:rsidR="00733CAA">
              <w:rPr>
                <w:noProof/>
                <w:webHidden/>
              </w:rPr>
              <w:fldChar w:fldCharType="end"/>
            </w:r>
          </w:hyperlink>
        </w:p>
        <w:p w14:paraId="209B73C8" w14:textId="77777777" w:rsidR="00733CAA" w:rsidRDefault="00B755FE">
          <w:pPr>
            <w:pStyle w:val="TOC2"/>
            <w:tabs>
              <w:tab w:val="left" w:pos="851"/>
              <w:tab w:val="right" w:leader="dot" w:pos="8919"/>
            </w:tabs>
            <w:rPr>
              <w:rFonts w:asciiTheme="minorHAnsi" w:eastAsiaTheme="minorEastAsia" w:hAnsiTheme="minorHAnsi" w:cstheme="minorBidi"/>
              <w:noProof/>
              <w:sz w:val="22"/>
              <w:szCs w:val="22"/>
              <w:lang w:bidi="ar-SA"/>
            </w:rPr>
          </w:pPr>
          <w:hyperlink w:anchor="_Toc62557107" w:history="1">
            <w:r w:rsidR="00733CAA" w:rsidRPr="004A6881">
              <w:rPr>
                <w:rStyle w:val="Hyperlink"/>
                <w:b/>
                <w:noProof/>
              </w:rPr>
              <w:t>1.5.</w:t>
            </w:r>
            <w:r w:rsidR="00733CAA">
              <w:rPr>
                <w:rFonts w:asciiTheme="minorHAnsi" w:eastAsiaTheme="minorEastAsia" w:hAnsiTheme="minorHAnsi" w:cstheme="minorBidi"/>
                <w:noProof/>
                <w:sz w:val="22"/>
                <w:szCs w:val="22"/>
                <w:lang w:bidi="ar-SA"/>
              </w:rPr>
              <w:tab/>
            </w:r>
            <w:r w:rsidR="00733CAA" w:rsidRPr="004A6881">
              <w:rPr>
                <w:rStyle w:val="Hyperlink"/>
                <w:b/>
                <w:noProof/>
              </w:rPr>
              <w:t>Programmas īstenošanas pamatprincipi</w:t>
            </w:r>
            <w:r w:rsidR="00733CAA">
              <w:rPr>
                <w:noProof/>
                <w:webHidden/>
              </w:rPr>
              <w:tab/>
            </w:r>
            <w:r w:rsidR="00733CAA">
              <w:rPr>
                <w:noProof/>
                <w:webHidden/>
              </w:rPr>
              <w:fldChar w:fldCharType="begin"/>
            </w:r>
            <w:r w:rsidR="00733CAA">
              <w:rPr>
                <w:noProof/>
                <w:webHidden/>
              </w:rPr>
              <w:instrText xml:space="preserve"> PAGEREF _Toc62557107 \h </w:instrText>
            </w:r>
            <w:r w:rsidR="00733CAA">
              <w:rPr>
                <w:noProof/>
                <w:webHidden/>
              </w:rPr>
            </w:r>
            <w:r w:rsidR="00733CAA">
              <w:rPr>
                <w:noProof/>
                <w:webHidden/>
              </w:rPr>
              <w:fldChar w:fldCharType="separate"/>
            </w:r>
            <w:r w:rsidR="00733CAA">
              <w:rPr>
                <w:noProof/>
                <w:webHidden/>
              </w:rPr>
              <w:t>8</w:t>
            </w:r>
            <w:r w:rsidR="00733CAA">
              <w:rPr>
                <w:noProof/>
                <w:webHidden/>
              </w:rPr>
              <w:fldChar w:fldCharType="end"/>
            </w:r>
          </w:hyperlink>
        </w:p>
        <w:p w14:paraId="06B58499" w14:textId="77777777" w:rsidR="00733CAA" w:rsidRDefault="00B755FE">
          <w:pPr>
            <w:pStyle w:val="TOC2"/>
            <w:tabs>
              <w:tab w:val="left" w:pos="851"/>
              <w:tab w:val="right" w:leader="dot" w:pos="8919"/>
            </w:tabs>
            <w:rPr>
              <w:rFonts w:asciiTheme="minorHAnsi" w:eastAsiaTheme="minorEastAsia" w:hAnsiTheme="minorHAnsi" w:cstheme="minorBidi"/>
              <w:noProof/>
              <w:sz w:val="22"/>
              <w:szCs w:val="22"/>
              <w:lang w:bidi="ar-SA"/>
            </w:rPr>
          </w:pPr>
          <w:hyperlink w:anchor="_Toc62557108" w:history="1">
            <w:r w:rsidR="00733CAA" w:rsidRPr="004A6881">
              <w:rPr>
                <w:rStyle w:val="Hyperlink"/>
                <w:rFonts w:eastAsia="Times New Roman"/>
                <w:b/>
                <w:noProof/>
              </w:rPr>
              <w:t>1.6.</w:t>
            </w:r>
            <w:r w:rsidR="00733CAA">
              <w:rPr>
                <w:rFonts w:asciiTheme="minorHAnsi" w:eastAsiaTheme="minorEastAsia" w:hAnsiTheme="minorHAnsi" w:cstheme="minorBidi"/>
                <w:noProof/>
                <w:sz w:val="22"/>
                <w:szCs w:val="22"/>
                <w:lang w:bidi="ar-SA"/>
              </w:rPr>
              <w:tab/>
            </w:r>
            <w:r w:rsidR="00733CAA" w:rsidRPr="004A6881">
              <w:rPr>
                <w:rStyle w:val="Hyperlink"/>
                <w:rFonts w:eastAsia="Times New Roman"/>
                <w:b/>
                <w:noProof/>
              </w:rPr>
              <w:t>Programmas nosacījumu elastība</w:t>
            </w:r>
            <w:r w:rsidR="00733CAA">
              <w:rPr>
                <w:noProof/>
                <w:webHidden/>
              </w:rPr>
              <w:tab/>
            </w:r>
            <w:r w:rsidR="00733CAA">
              <w:rPr>
                <w:noProof/>
                <w:webHidden/>
              </w:rPr>
              <w:fldChar w:fldCharType="begin"/>
            </w:r>
            <w:r w:rsidR="00733CAA">
              <w:rPr>
                <w:noProof/>
                <w:webHidden/>
              </w:rPr>
              <w:instrText xml:space="preserve"> PAGEREF _Toc62557108 \h </w:instrText>
            </w:r>
            <w:r w:rsidR="00733CAA">
              <w:rPr>
                <w:noProof/>
                <w:webHidden/>
              </w:rPr>
            </w:r>
            <w:r w:rsidR="00733CAA">
              <w:rPr>
                <w:noProof/>
                <w:webHidden/>
              </w:rPr>
              <w:fldChar w:fldCharType="separate"/>
            </w:r>
            <w:r w:rsidR="00733CAA">
              <w:rPr>
                <w:noProof/>
                <w:webHidden/>
              </w:rPr>
              <w:t>9</w:t>
            </w:r>
            <w:r w:rsidR="00733CAA">
              <w:rPr>
                <w:noProof/>
                <w:webHidden/>
              </w:rPr>
              <w:fldChar w:fldCharType="end"/>
            </w:r>
          </w:hyperlink>
        </w:p>
        <w:p w14:paraId="7CAC89E4" w14:textId="77777777" w:rsidR="00733CAA" w:rsidRDefault="00B755FE">
          <w:pPr>
            <w:pStyle w:val="TOC2"/>
            <w:tabs>
              <w:tab w:val="left" w:pos="851"/>
              <w:tab w:val="right" w:leader="dot" w:pos="8919"/>
            </w:tabs>
            <w:rPr>
              <w:rFonts w:asciiTheme="minorHAnsi" w:eastAsiaTheme="minorEastAsia" w:hAnsiTheme="minorHAnsi" w:cstheme="minorBidi"/>
              <w:noProof/>
              <w:sz w:val="22"/>
              <w:szCs w:val="22"/>
              <w:lang w:bidi="ar-SA"/>
            </w:rPr>
          </w:pPr>
          <w:hyperlink w:anchor="_Toc62557109" w:history="1">
            <w:r w:rsidR="00733CAA" w:rsidRPr="004A6881">
              <w:rPr>
                <w:rStyle w:val="Hyperlink"/>
                <w:rFonts w:eastAsiaTheme="minorHAnsi"/>
                <w:b/>
                <w:noProof/>
              </w:rPr>
              <w:t>1.7.</w:t>
            </w:r>
            <w:r w:rsidR="00733CAA">
              <w:rPr>
                <w:rFonts w:asciiTheme="minorHAnsi" w:eastAsiaTheme="minorEastAsia" w:hAnsiTheme="minorHAnsi" w:cstheme="minorBidi"/>
                <w:noProof/>
                <w:sz w:val="22"/>
                <w:szCs w:val="22"/>
                <w:lang w:bidi="ar-SA"/>
              </w:rPr>
              <w:tab/>
            </w:r>
            <w:r w:rsidR="00733CAA" w:rsidRPr="004A6881">
              <w:rPr>
                <w:rStyle w:val="Hyperlink"/>
                <w:b/>
                <w:noProof/>
              </w:rPr>
              <w:t>Papildināmība ar citām aktivitātēm</w:t>
            </w:r>
            <w:r w:rsidR="00733CAA">
              <w:rPr>
                <w:noProof/>
                <w:webHidden/>
              </w:rPr>
              <w:tab/>
            </w:r>
            <w:r w:rsidR="00733CAA">
              <w:rPr>
                <w:noProof/>
                <w:webHidden/>
              </w:rPr>
              <w:fldChar w:fldCharType="begin"/>
            </w:r>
            <w:r w:rsidR="00733CAA">
              <w:rPr>
                <w:noProof/>
                <w:webHidden/>
              </w:rPr>
              <w:instrText xml:space="preserve"> PAGEREF _Toc62557109 \h </w:instrText>
            </w:r>
            <w:r w:rsidR="00733CAA">
              <w:rPr>
                <w:noProof/>
                <w:webHidden/>
              </w:rPr>
            </w:r>
            <w:r w:rsidR="00733CAA">
              <w:rPr>
                <w:noProof/>
                <w:webHidden/>
              </w:rPr>
              <w:fldChar w:fldCharType="separate"/>
            </w:r>
            <w:r w:rsidR="00733CAA">
              <w:rPr>
                <w:noProof/>
                <w:webHidden/>
              </w:rPr>
              <w:t>9</w:t>
            </w:r>
            <w:r w:rsidR="00733CAA">
              <w:rPr>
                <w:noProof/>
                <w:webHidden/>
              </w:rPr>
              <w:fldChar w:fldCharType="end"/>
            </w:r>
          </w:hyperlink>
        </w:p>
        <w:p w14:paraId="0232E565" w14:textId="77777777" w:rsidR="00733CAA" w:rsidRDefault="00B755FE">
          <w:pPr>
            <w:pStyle w:val="TOC2"/>
            <w:tabs>
              <w:tab w:val="left" w:pos="851"/>
              <w:tab w:val="right" w:leader="dot" w:pos="8919"/>
            </w:tabs>
            <w:rPr>
              <w:rFonts w:asciiTheme="minorHAnsi" w:eastAsiaTheme="minorEastAsia" w:hAnsiTheme="minorHAnsi" w:cstheme="minorBidi"/>
              <w:noProof/>
              <w:sz w:val="22"/>
              <w:szCs w:val="22"/>
              <w:lang w:bidi="ar-SA"/>
            </w:rPr>
          </w:pPr>
          <w:hyperlink w:anchor="_Toc62557110" w:history="1">
            <w:r w:rsidR="00733CAA" w:rsidRPr="004A6881">
              <w:rPr>
                <w:rStyle w:val="Hyperlink"/>
                <w:b/>
                <w:noProof/>
              </w:rPr>
              <w:t>1.8.</w:t>
            </w:r>
            <w:r w:rsidR="00733CAA">
              <w:rPr>
                <w:rFonts w:asciiTheme="minorHAnsi" w:eastAsiaTheme="minorEastAsia" w:hAnsiTheme="minorHAnsi" w:cstheme="minorBidi"/>
                <w:noProof/>
                <w:sz w:val="22"/>
                <w:szCs w:val="22"/>
                <w:lang w:bidi="ar-SA"/>
              </w:rPr>
              <w:tab/>
            </w:r>
            <w:r w:rsidR="00733CAA" w:rsidRPr="004A6881">
              <w:rPr>
                <w:rStyle w:val="Hyperlink"/>
                <w:b/>
                <w:noProof/>
              </w:rPr>
              <w:t>Cita informācija</w:t>
            </w:r>
            <w:r w:rsidR="00733CAA">
              <w:rPr>
                <w:noProof/>
                <w:webHidden/>
              </w:rPr>
              <w:tab/>
            </w:r>
            <w:r w:rsidR="00733CAA">
              <w:rPr>
                <w:noProof/>
                <w:webHidden/>
              </w:rPr>
              <w:fldChar w:fldCharType="begin"/>
            </w:r>
            <w:r w:rsidR="00733CAA">
              <w:rPr>
                <w:noProof/>
                <w:webHidden/>
              </w:rPr>
              <w:instrText xml:space="preserve"> PAGEREF _Toc62557110 \h </w:instrText>
            </w:r>
            <w:r w:rsidR="00733CAA">
              <w:rPr>
                <w:noProof/>
                <w:webHidden/>
              </w:rPr>
            </w:r>
            <w:r w:rsidR="00733CAA">
              <w:rPr>
                <w:noProof/>
                <w:webHidden/>
              </w:rPr>
              <w:fldChar w:fldCharType="separate"/>
            </w:r>
            <w:r w:rsidR="00733CAA">
              <w:rPr>
                <w:noProof/>
                <w:webHidden/>
              </w:rPr>
              <w:t>10</w:t>
            </w:r>
            <w:r w:rsidR="00733CAA">
              <w:rPr>
                <w:noProof/>
                <w:webHidden/>
              </w:rPr>
              <w:fldChar w:fldCharType="end"/>
            </w:r>
          </w:hyperlink>
        </w:p>
        <w:p w14:paraId="75970704" w14:textId="77777777" w:rsidR="00733CAA" w:rsidRDefault="00B755FE">
          <w:pPr>
            <w:pStyle w:val="TOC1"/>
            <w:rPr>
              <w:rFonts w:asciiTheme="minorHAnsi" w:eastAsiaTheme="minorEastAsia" w:hAnsiTheme="minorHAnsi" w:cstheme="minorBidi"/>
              <w:noProof/>
              <w:sz w:val="22"/>
              <w:szCs w:val="22"/>
              <w:lang w:bidi="ar-SA"/>
            </w:rPr>
          </w:pPr>
          <w:hyperlink w:anchor="_Toc62557111" w:history="1">
            <w:r w:rsidR="00733CAA" w:rsidRPr="004A6881">
              <w:rPr>
                <w:rStyle w:val="Hyperlink"/>
                <w:b/>
                <w:noProof/>
              </w:rPr>
              <w:t>2.</w:t>
            </w:r>
            <w:r w:rsidR="00733CAA">
              <w:rPr>
                <w:rFonts w:asciiTheme="minorHAnsi" w:eastAsiaTheme="minorEastAsia" w:hAnsiTheme="minorHAnsi" w:cstheme="minorBidi"/>
                <w:noProof/>
                <w:sz w:val="22"/>
                <w:szCs w:val="22"/>
                <w:lang w:bidi="ar-SA"/>
              </w:rPr>
              <w:tab/>
            </w:r>
            <w:r w:rsidR="00733CAA" w:rsidRPr="004A6881">
              <w:rPr>
                <w:rStyle w:val="Hyperlink"/>
                <w:b/>
                <w:noProof/>
              </w:rPr>
              <w:t>Programmas mērķis</w:t>
            </w:r>
            <w:r w:rsidR="00733CAA">
              <w:rPr>
                <w:noProof/>
                <w:webHidden/>
              </w:rPr>
              <w:tab/>
            </w:r>
            <w:r w:rsidR="00733CAA">
              <w:rPr>
                <w:noProof/>
                <w:webHidden/>
              </w:rPr>
              <w:fldChar w:fldCharType="begin"/>
            </w:r>
            <w:r w:rsidR="00733CAA">
              <w:rPr>
                <w:noProof/>
                <w:webHidden/>
              </w:rPr>
              <w:instrText xml:space="preserve"> PAGEREF _Toc62557111 \h </w:instrText>
            </w:r>
            <w:r w:rsidR="00733CAA">
              <w:rPr>
                <w:noProof/>
                <w:webHidden/>
              </w:rPr>
            </w:r>
            <w:r w:rsidR="00733CAA">
              <w:rPr>
                <w:noProof/>
                <w:webHidden/>
              </w:rPr>
              <w:fldChar w:fldCharType="separate"/>
            </w:r>
            <w:r w:rsidR="00733CAA">
              <w:rPr>
                <w:noProof/>
                <w:webHidden/>
              </w:rPr>
              <w:t>10</w:t>
            </w:r>
            <w:r w:rsidR="00733CAA">
              <w:rPr>
                <w:noProof/>
                <w:webHidden/>
              </w:rPr>
              <w:fldChar w:fldCharType="end"/>
            </w:r>
          </w:hyperlink>
        </w:p>
        <w:p w14:paraId="3DF50E8E" w14:textId="77777777" w:rsidR="00733CAA" w:rsidRDefault="00B755FE">
          <w:pPr>
            <w:pStyle w:val="TOC1"/>
            <w:rPr>
              <w:rFonts w:asciiTheme="minorHAnsi" w:eastAsiaTheme="minorEastAsia" w:hAnsiTheme="minorHAnsi" w:cstheme="minorBidi"/>
              <w:noProof/>
              <w:sz w:val="22"/>
              <w:szCs w:val="22"/>
              <w:lang w:bidi="ar-SA"/>
            </w:rPr>
          </w:pPr>
          <w:hyperlink w:anchor="_Toc62557112" w:history="1">
            <w:r w:rsidR="00733CAA" w:rsidRPr="004A6881">
              <w:rPr>
                <w:rStyle w:val="Hyperlink"/>
                <w:b/>
                <w:noProof/>
              </w:rPr>
              <w:t>3.</w:t>
            </w:r>
            <w:r w:rsidR="00733CAA">
              <w:rPr>
                <w:rFonts w:asciiTheme="minorHAnsi" w:eastAsiaTheme="minorEastAsia" w:hAnsiTheme="minorHAnsi" w:cstheme="minorBidi"/>
                <w:noProof/>
                <w:sz w:val="22"/>
                <w:szCs w:val="22"/>
                <w:lang w:bidi="ar-SA"/>
              </w:rPr>
              <w:tab/>
            </w:r>
            <w:r w:rsidR="00733CAA" w:rsidRPr="004A6881">
              <w:rPr>
                <w:rStyle w:val="Hyperlink"/>
                <w:rFonts w:eastAsia="Times New Roman"/>
                <w:b/>
                <w:noProof/>
              </w:rPr>
              <w:t>Atbalsta veidi</w:t>
            </w:r>
            <w:r w:rsidR="00733CAA">
              <w:rPr>
                <w:noProof/>
                <w:webHidden/>
              </w:rPr>
              <w:tab/>
            </w:r>
            <w:r w:rsidR="00733CAA">
              <w:rPr>
                <w:noProof/>
                <w:webHidden/>
              </w:rPr>
              <w:fldChar w:fldCharType="begin"/>
            </w:r>
            <w:r w:rsidR="00733CAA">
              <w:rPr>
                <w:noProof/>
                <w:webHidden/>
              </w:rPr>
              <w:instrText xml:space="preserve"> PAGEREF _Toc62557112 \h </w:instrText>
            </w:r>
            <w:r w:rsidR="00733CAA">
              <w:rPr>
                <w:noProof/>
                <w:webHidden/>
              </w:rPr>
            </w:r>
            <w:r w:rsidR="00733CAA">
              <w:rPr>
                <w:noProof/>
                <w:webHidden/>
              </w:rPr>
              <w:fldChar w:fldCharType="separate"/>
            </w:r>
            <w:r w:rsidR="00733CAA">
              <w:rPr>
                <w:noProof/>
                <w:webHidden/>
              </w:rPr>
              <w:t>10</w:t>
            </w:r>
            <w:r w:rsidR="00733CAA">
              <w:rPr>
                <w:noProof/>
                <w:webHidden/>
              </w:rPr>
              <w:fldChar w:fldCharType="end"/>
            </w:r>
          </w:hyperlink>
        </w:p>
        <w:p w14:paraId="7D3C2FEE" w14:textId="77777777" w:rsidR="00733CAA" w:rsidRDefault="00B755FE">
          <w:pPr>
            <w:pStyle w:val="TOC1"/>
            <w:rPr>
              <w:rFonts w:asciiTheme="minorHAnsi" w:eastAsiaTheme="minorEastAsia" w:hAnsiTheme="minorHAnsi" w:cstheme="minorBidi"/>
              <w:noProof/>
              <w:sz w:val="22"/>
              <w:szCs w:val="22"/>
              <w:lang w:bidi="ar-SA"/>
            </w:rPr>
          </w:pPr>
          <w:hyperlink w:anchor="_Toc62557113" w:history="1">
            <w:r w:rsidR="00733CAA" w:rsidRPr="004A6881">
              <w:rPr>
                <w:rStyle w:val="Hyperlink"/>
                <w:b/>
                <w:noProof/>
              </w:rPr>
              <w:t>4.</w:t>
            </w:r>
            <w:r w:rsidR="00733CAA">
              <w:rPr>
                <w:rFonts w:asciiTheme="minorHAnsi" w:eastAsiaTheme="minorEastAsia" w:hAnsiTheme="minorHAnsi" w:cstheme="minorBidi"/>
                <w:noProof/>
                <w:sz w:val="22"/>
                <w:szCs w:val="22"/>
                <w:lang w:bidi="ar-SA"/>
              </w:rPr>
              <w:tab/>
            </w:r>
            <w:r w:rsidR="00733CAA" w:rsidRPr="004A6881">
              <w:rPr>
                <w:rStyle w:val="Hyperlink"/>
                <w:b/>
                <w:noProof/>
              </w:rPr>
              <w:t>Galvenās mērķgrupas</w:t>
            </w:r>
            <w:r w:rsidR="00733CAA">
              <w:rPr>
                <w:noProof/>
                <w:webHidden/>
              </w:rPr>
              <w:tab/>
            </w:r>
            <w:r w:rsidR="00733CAA">
              <w:rPr>
                <w:noProof/>
                <w:webHidden/>
              </w:rPr>
              <w:fldChar w:fldCharType="begin"/>
            </w:r>
            <w:r w:rsidR="00733CAA">
              <w:rPr>
                <w:noProof/>
                <w:webHidden/>
              </w:rPr>
              <w:instrText xml:space="preserve"> PAGEREF _Toc62557113 \h </w:instrText>
            </w:r>
            <w:r w:rsidR="00733CAA">
              <w:rPr>
                <w:noProof/>
                <w:webHidden/>
              </w:rPr>
            </w:r>
            <w:r w:rsidR="00733CAA">
              <w:rPr>
                <w:noProof/>
                <w:webHidden/>
              </w:rPr>
              <w:fldChar w:fldCharType="separate"/>
            </w:r>
            <w:r w:rsidR="00733CAA">
              <w:rPr>
                <w:noProof/>
                <w:webHidden/>
              </w:rPr>
              <w:t>11</w:t>
            </w:r>
            <w:r w:rsidR="00733CAA">
              <w:rPr>
                <w:noProof/>
                <w:webHidden/>
              </w:rPr>
              <w:fldChar w:fldCharType="end"/>
            </w:r>
          </w:hyperlink>
        </w:p>
        <w:p w14:paraId="0907AF35" w14:textId="77777777" w:rsidR="00733CAA" w:rsidRDefault="00B755FE">
          <w:pPr>
            <w:pStyle w:val="TOC1"/>
            <w:rPr>
              <w:rFonts w:asciiTheme="minorHAnsi" w:eastAsiaTheme="minorEastAsia" w:hAnsiTheme="minorHAnsi" w:cstheme="minorBidi"/>
              <w:noProof/>
              <w:sz w:val="22"/>
              <w:szCs w:val="22"/>
              <w:lang w:bidi="ar-SA"/>
            </w:rPr>
          </w:pPr>
          <w:hyperlink w:anchor="_Toc62557114" w:history="1">
            <w:r w:rsidR="00733CAA" w:rsidRPr="004A6881">
              <w:rPr>
                <w:rStyle w:val="Hyperlink"/>
                <w:b/>
                <w:noProof/>
              </w:rPr>
              <w:t>5.</w:t>
            </w:r>
            <w:r w:rsidR="00733CAA">
              <w:rPr>
                <w:rFonts w:asciiTheme="minorHAnsi" w:eastAsiaTheme="minorEastAsia" w:hAnsiTheme="minorHAnsi" w:cstheme="minorBidi"/>
                <w:noProof/>
                <w:sz w:val="22"/>
                <w:szCs w:val="22"/>
                <w:lang w:bidi="ar-SA"/>
              </w:rPr>
              <w:tab/>
            </w:r>
            <w:r w:rsidR="00733CAA" w:rsidRPr="004A6881">
              <w:rPr>
                <w:rStyle w:val="Hyperlink"/>
                <w:rFonts w:eastAsia="Times New Roman"/>
                <w:b/>
                <w:noProof/>
              </w:rPr>
              <w:t>Valsts un reģionālo atbalsta shēmu atšifrējums</w:t>
            </w:r>
            <w:r w:rsidR="00733CAA">
              <w:rPr>
                <w:noProof/>
                <w:webHidden/>
              </w:rPr>
              <w:tab/>
            </w:r>
            <w:r w:rsidR="00733CAA">
              <w:rPr>
                <w:noProof/>
                <w:webHidden/>
              </w:rPr>
              <w:fldChar w:fldCharType="begin"/>
            </w:r>
            <w:r w:rsidR="00733CAA">
              <w:rPr>
                <w:noProof/>
                <w:webHidden/>
              </w:rPr>
              <w:instrText xml:space="preserve"> PAGEREF _Toc62557114 \h </w:instrText>
            </w:r>
            <w:r w:rsidR="00733CAA">
              <w:rPr>
                <w:noProof/>
                <w:webHidden/>
              </w:rPr>
            </w:r>
            <w:r w:rsidR="00733CAA">
              <w:rPr>
                <w:noProof/>
                <w:webHidden/>
              </w:rPr>
              <w:fldChar w:fldCharType="separate"/>
            </w:r>
            <w:r w:rsidR="00733CAA">
              <w:rPr>
                <w:noProof/>
                <w:webHidden/>
              </w:rPr>
              <w:t>12</w:t>
            </w:r>
            <w:r w:rsidR="00733CAA">
              <w:rPr>
                <w:noProof/>
                <w:webHidden/>
              </w:rPr>
              <w:fldChar w:fldCharType="end"/>
            </w:r>
          </w:hyperlink>
        </w:p>
        <w:p w14:paraId="06D92D8B" w14:textId="77777777" w:rsidR="00733CAA" w:rsidRDefault="00B755FE">
          <w:pPr>
            <w:pStyle w:val="TOC1"/>
            <w:rPr>
              <w:rFonts w:asciiTheme="minorHAnsi" w:eastAsiaTheme="minorEastAsia" w:hAnsiTheme="minorHAnsi" w:cstheme="minorBidi"/>
              <w:noProof/>
              <w:sz w:val="22"/>
              <w:szCs w:val="22"/>
              <w:lang w:bidi="ar-SA"/>
            </w:rPr>
          </w:pPr>
          <w:hyperlink w:anchor="_Toc62557115" w:history="1">
            <w:r w:rsidR="00733CAA" w:rsidRPr="004A6881">
              <w:rPr>
                <w:rStyle w:val="Hyperlink"/>
                <w:b/>
                <w:noProof/>
              </w:rPr>
              <w:t>6.</w:t>
            </w:r>
            <w:r w:rsidR="00733CAA">
              <w:rPr>
                <w:rFonts w:asciiTheme="minorHAnsi" w:eastAsiaTheme="minorEastAsia" w:hAnsiTheme="minorHAnsi" w:cstheme="minorBidi"/>
                <w:noProof/>
                <w:sz w:val="22"/>
                <w:szCs w:val="22"/>
                <w:lang w:bidi="ar-SA"/>
              </w:rPr>
              <w:tab/>
            </w:r>
            <w:r w:rsidR="00733CAA" w:rsidRPr="004A6881">
              <w:rPr>
                <w:rStyle w:val="Hyperlink"/>
                <w:b/>
                <w:noProof/>
              </w:rPr>
              <w:t>Darbību atlases kritēriji</w:t>
            </w:r>
            <w:r w:rsidR="00733CAA">
              <w:rPr>
                <w:noProof/>
                <w:webHidden/>
              </w:rPr>
              <w:tab/>
            </w:r>
            <w:r w:rsidR="00733CAA">
              <w:rPr>
                <w:noProof/>
                <w:webHidden/>
              </w:rPr>
              <w:fldChar w:fldCharType="begin"/>
            </w:r>
            <w:r w:rsidR="00733CAA">
              <w:rPr>
                <w:noProof/>
                <w:webHidden/>
              </w:rPr>
              <w:instrText xml:space="preserve"> PAGEREF _Toc62557115 \h </w:instrText>
            </w:r>
            <w:r w:rsidR="00733CAA">
              <w:rPr>
                <w:noProof/>
                <w:webHidden/>
              </w:rPr>
            </w:r>
            <w:r w:rsidR="00733CAA">
              <w:rPr>
                <w:noProof/>
                <w:webHidden/>
              </w:rPr>
              <w:fldChar w:fldCharType="separate"/>
            </w:r>
            <w:r w:rsidR="00733CAA">
              <w:rPr>
                <w:noProof/>
                <w:webHidden/>
              </w:rPr>
              <w:t>13</w:t>
            </w:r>
            <w:r w:rsidR="00733CAA">
              <w:rPr>
                <w:noProof/>
                <w:webHidden/>
              </w:rPr>
              <w:fldChar w:fldCharType="end"/>
            </w:r>
          </w:hyperlink>
        </w:p>
        <w:p w14:paraId="54B4E431" w14:textId="77777777" w:rsidR="00733CAA" w:rsidRDefault="00B755FE">
          <w:pPr>
            <w:pStyle w:val="TOC1"/>
            <w:rPr>
              <w:rFonts w:asciiTheme="minorHAnsi" w:eastAsiaTheme="minorEastAsia" w:hAnsiTheme="minorHAnsi" w:cstheme="minorBidi"/>
              <w:noProof/>
              <w:sz w:val="22"/>
              <w:szCs w:val="22"/>
              <w:lang w:bidi="ar-SA"/>
            </w:rPr>
          </w:pPr>
          <w:hyperlink w:anchor="_Toc62557116" w:history="1">
            <w:r w:rsidR="00733CAA" w:rsidRPr="004A6881">
              <w:rPr>
                <w:rStyle w:val="Hyperlink"/>
                <w:b/>
                <w:noProof/>
              </w:rPr>
              <w:t>7.</w:t>
            </w:r>
            <w:r w:rsidR="00733CAA">
              <w:rPr>
                <w:rFonts w:asciiTheme="minorHAnsi" w:eastAsiaTheme="minorEastAsia" w:hAnsiTheme="minorHAnsi" w:cstheme="minorBidi"/>
                <w:noProof/>
                <w:sz w:val="22"/>
                <w:szCs w:val="22"/>
                <w:lang w:bidi="ar-SA"/>
              </w:rPr>
              <w:tab/>
            </w:r>
            <w:r w:rsidR="00733CAA" w:rsidRPr="004A6881">
              <w:rPr>
                <w:rStyle w:val="Hyperlink"/>
                <w:b/>
                <w:noProof/>
              </w:rPr>
              <w:t>Tehniskā palīdzība</w:t>
            </w:r>
            <w:r w:rsidR="00733CAA">
              <w:rPr>
                <w:noProof/>
                <w:webHidden/>
              </w:rPr>
              <w:tab/>
            </w:r>
            <w:r w:rsidR="00733CAA">
              <w:rPr>
                <w:noProof/>
                <w:webHidden/>
              </w:rPr>
              <w:fldChar w:fldCharType="begin"/>
            </w:r>
            <w:r w:rsidR="00733CAA">
              <w:rPr>
                <w:noProof/>
                <w:webHidden/>
              </w:rPr>
              <w:instrText xml:space="preserve"> PAGEREF _Toc62557116 \h </w:instrText>
            </w:r>
            <w:r w:rsidR="00733CAA">
              <w:rPr>
                <w:noProof/>
                <w:webHidden/>
              </w:rPr>
            </w:r>
            <w:r w:rsidR="00733CAA">
              <w:rPr>
                <w:noProof/>
                <w:webHidden/>
              </w:rPr>
              <w:fldChar w:fldCharType="separate"/>
            </w:r>
            <w:r w:rsidR="00733CAA">
              <w:rPr>
                <w:noProof/>
                <w:webHidden/>
              </w:rPr>
              <w:t>14</w:t>
            </w:r>
            <w:r w:rsidR="00733CAA">
              <w:rPr>
                <w:noProof/>
                <w:webHidden/>
              </w:rPr>
              <w:fldChar w:fldCharType="end"/>
            </w:r>
          </w:hyperlink>
        </w:p>
        <w:p w14:paraId="3AA31C92" w14:textId="77777777" w:rsidR="00733CAA" w:rsidRDefault="00B755FE">
          <w:pPr>
            <w:pStyle w:val="TOC1"/>
            <w:rPr>
              <w:rFonts w:asciiTheme="minorHAnsi" w:eastAsiaTheme="minorEastAsia" w:hAnsiTheme="minorHAnsi" w:cstheme="minorBidi"/>
              <w:noProof/>
              <w:sz w:val="22"/>
              <w:szCs w:val="22"/>
              <w:lang w:bidi="ar-SA"/>
            </w:rPr>
          </w:pPr>
          <w:hyperlink w:anchor="_Toc62557117" w:history="1">
            <w:r w:rsidR="00733CAA" w:rsidRPr="004A6881">
              <w:rPr>
                <w:rStyle w:val="Hyperlink"/>
                <w:b/>
                <w:noProof/>
              </w:rPr>
              <w:t>8.</w:t>
            </w:r>
            <w:r w:rsidR="00733CAA">
              <w:rPr>
                <w:rFonts w:asciiTheme="minorHAnsi" w:eastAsiaTheme="minorEastAsia" w:hAnsiTheme="minorHAnsi" w:cstheme="minorBidi"/>
                <w:noProof/>
                <w:sz w:val="22"/>
                <w:szCs w:val="22"/>
                <w:lang w:bidi="ar-SA"/>
              </w:rPr>
              <w:tab/>
            </w:r>
            <w:r w:rsidR="00733CAA" w:rsidRPr="004A6881">
              <w:rPr>
                <w:rStyle w:val="Hyperlink"/>
                <w:b/>
                <w:noProof/>
              </w:rPr>
              <w:t>Partnerība</w:t>
            </w:r>
            <w:r w:rsidR="00733CAA">
              <w:rPr>
                <w:noProof/>
                <w:webHidden/>
              </w:rPr>
              <w:tab/>
            </w:r>
            <w:r w:rsidR="00733CAA">
              <w:rPr>
                <w:noProof/>
                <w:webHidden/>
              </w:rPr>
              <w:fldChar w:fldCharType="begin"/>
            </w:r>
            <w:r w:rsidR="00733CAA">
              <w:rPr>
                <w:noProof/>
                <w:webHidden/>
              </w:rPr>
              <w:instrText xml:space="preserve"> PAGEREF _Toc62557117 \h </w:instrText>
            </w:r>
            <w:r w:rsidR="00733CAA">
              <w:rPr>
                <w:noProof/>
                <w:webHidden/>
              </w:rPr>
            </w:r>
            <w:r w:rsidR="00733CAA">
              <w:rPr>
                <w:noProof/>
                <w:webHidden/>
              </w:rPr>
              <w:fldChar w:fldCharType="separate"/>
            </w:r>
            <w:r w:rsidR="00733CAA">
              <w:rPr>
                <w:noProof/>
                <w:webHidden/>
              </w:rPr>
              <w:t>15</w:t>
            </w:r>
            <w:r w:rsidR="00733CAA">
              <w:rPr>
                <w:noProof/>
                <w:webHidden/>
              </w:rPr>
              <w:fldChar w:fldCharType="end"/>
            </w:r>
          </w:hyperlink>
        </w:p>
        <w:p w14:paraId="1E8BCEAE" w14:textId="77777777" w:rsidR="00733CAA" w:rsidRDefault="00B755FE">
          <w:pPr>
            <w:pStyle w:val="TOC1"/>
            <w:rPr>
              <w:rFonts w:asciiTheme="minorHAnsi" w:eastAsiaTheme="minorEastAsia" w:hAnsiTheme="minorHAnsi" w:cstheme="minorBidi"/>
              <w:noProof/>
              <w:sz w:val="22"/>
              <w:szCs w:val="22"/>
              <w:lang w:bidi="ar-SA"/>
            </w:rPr>
          </w:pPr>
          <w:hyperlink w:anchor="_Toc62557118" w:history="1">
            <w:r w:rsidR="00733CAA" w:rsidRPr="004A6881">
              <w:rPr>
                <w:rStyle w:val="Hyperlink"/>
                <w:b/>
                <w:noProof/>
              </w:rPr>
              <w:t>9.</w:t>
            </w:r>
            <w:r w:rsidR="00733CAA">
              <w:rPr>
                <w:rFonts w:asciiTheme="minorHAnsi" w:eastAsiaTheme="minorEastAsia" w:hAnsiTheme="minorHAnsi" w:cstheme="minorBidi"/>
                <w:noProof/>
                <w:sz w:val="22"/>
                <w:szCs w:val="22"/>
                <w:lang w:bidi="ar-SA"/>
              </w:rPr>
              <w:tab/>
            </w:r>
            <w:r w:rsidR="00733CAA" w:rsidRPr="004A6881">
              <w:rPr>
                <w:rStyle w:val="Hyperlink"/>
                <w:b/>
                <w:noProof/>
              </w:rPr>
              <w:t>Komunikācija un redzamība</w:t>
            </w:r>
            <w:r w:rsidR="00733CAA">
              <w:rPr>
                <w:noProof/>
                <w:webHidden/>
              </w:rPr>
              <w:tab/>
            </w:r>
            <w:r w:rsidR="00733CAA">
              <w:rPr>
                <w:noProof/>
                <w:webHidden/>
              </w:rPr>
              <w:fldChar w:fldCharType="begin"/>
            </w:r>
            <w:r w:rsidR="00733CAA">
              <w:rPr>
                <w:noProof/>
                <w:webHidden/>
              </w:rPr>
              <w:instrText xml:space="preserve"> PAGEREF _Toc62557118 \h </w:instrText>
            </w:r>
            <w:r w:rsidR="00733CAA">
              <w:rPr>
                <w:noProof/>
                <w:webHidden/>
              </w:rPr>
            </w:r>
            <w:r w:rsidR="00733CAA">
              <w:rPr>
                <w:noProof/>
                <w:webHidden/>
              </w:rPr>
              <w:fldChar w:fldCharType="separate"/>
            </w:r>
            <w:r w:rsidR="00733CAA">
              <w:rPr>
                <w:noProof/>
                <w:webHidden/>
              </w:rPr>
              <w:t>16</w:t>
            </w:r>
            <w:r w:rsidR="00733CAA">
              <w:rPr>
                <w:noProof/>
                <w:webHidden/>
              </w:rPr>
              <w:fldChar w:fldCharType="end"/>
            </w:r>
          </w:hyperlink>
        </w:p>
        <w:p w14:paraId="7484A12E" w14:textId="77777777" w:rsidR="00733CAA" w:rsidRDefault="00B755FE">
          <w:pPr>
            <w:pStyle w:val="TOC1"/>
            <w:rPr>
              <w:rFonts w:asciiTheme="minorHAnsi" w:eastAsiaTheme="minorEastAsia" w:hAnsiTheme="minorHAnsi" w:cstheme="minorBidi"/>
              <w:noProof/>
              <w:sz w:val="22"/>
              <w:szCs w:val="22"/>
              <w:lang w:bidi="ar-SA"/>
            </w:rPr>
          </w:pPr>
          <w:hyperlink w:anchor="_Toc62557119" w:history="1">
            <w:r w:rsidR="00733CAA" w:rsidRPr="004A6881">
              <w:rPr>
                <w:rStyle w:val="Hyperlink"/>
                <w:b/>
                <w:noProof/>
              </w:rPr>
              <w:t>10.</w:t>
            </w:r>
            <w:r w:rsidR="00733CAA">
              <w:rPr>
                <w:rFonts w:asciiTheme="minorHAnsi" w:eastAsiaTheme="minorEastAsia" w:hAnsiTheme="minorHAnsi" w:cstheme="minorBidi"/>
                <w:noProof/>
                <w:sz w:val="22"/>
                <w:szCs w:val="22"/>
                <w:lang w:bidi="ar-SA"/>
              </w:rPr>
              <w:tab/>
            </w:r>
            <w:r w:rsidR="00733CAA" w:rsidRPr="004A6881">
              <w:rPr>
                <w:rStyle w:val="Hyperlink"/>
                <w:b/>
                <w:noProof/>
              </w:rPr>
              <w:t>Finanšu plāns</w:t>
            </w:r>
            <w:r w:rsidR="00733CAA">
              <w:rPr>
                <w:noProof/>
                <w:webHidden/>
              </w:rPr>
              <w:tab/>
            </w:r>
            <w:r w:rsidR="00733CAA">
              <w:rPr>
                <w:noProof/>
                <w:webHidden/>
              </w:rPr>
              <w:fldChar w:fldCharType="begin"/>
            </w:r>
            <w:r w:rsidR="00733CAA">
              <w:rPr>
                <w:noProof/>
                <w:webHidden/>
              </w:rPr>
              <w:instrText xml:space="preserve"> PAGEREF _Toc62557119 \h </w:instrText>
            </w:r>
            <w:r w:rsidR="00733CAA">
              <w:rPr>
                <w:noProof/>
                <w:webHidden/>
              </w:rPr>
            </w:r>
            <w:r w:rsidR="00733CAA">
              <w:rPr>
                <w:noProof/>
                <w:webHidden/>
              </w:rPr>
              <w:fldChar w:fldCharType="separate"/>
            </w:r>
            <w:r w:rsidR="00733CAA">
              <w:rPr>
                <w:noProof/>
                <w:webHidden/>
              </w:rPr>
              <w:t>17</w:t>
            </w:r>
            <w:r w:rsidR="00733CAA">
              <w:rPr>
                <w:noProof/>
                <w:webHidden/>
              </w:rPr>
              <w:fldChar w:fldCharType="end"/>
            </w:r>
          </w:hyperlink>
        </w:p>
        <w:p w14:paraId="1F2855DA" w14:textId="77777777" w:rsidR="00733CAA" w:rsidRDefault="00B755FE">
          <w:pPr>
            <w:pStyle w:val="TOC2"/>
            <w:tabs>
              <w:tab w:val="left" w:pos="1100"/>
              <w:tab w:val="right" w:leader="dot" w:pos="8919"/>
            </w:tabs>
            <w:rPr>
              <w:rFonts w:asciiTheme="minorHAnsi" w:eastAsiaTheme="minorEastAsia" w:hAnsiTheme="minorHAnsi" w:cstheme="minorBidi"/>
              <w:noProof/>
              <w:sz w:val="22"/>
              <w:szCs w:val="22"/>
              <w:lang w:bidi="ar-SA"/>
            </w:rPr>
          </w:pPr>
          <w:hyperlink w:anchor="_Toc62557120" w:history="1">
            <w:r w:rsidR="00733CAA" w:rsidRPr="004A6881">
              <w:rPr>
                <w:rStyle w:val="Hyperlink"/>
                <w:rFonts w:eastAsia="Times New Roman"/>
                <w:b/>
                <w:noProof/>
              </w:rPr>
              <w:t>10.1.</w:t>
            </w:r>
            <w:r w:rsidR="00733CAA">
              <w:rPr>
                <w:rFonts w:asciiTheme="minorHAnsi" w:eastAsiaTheme="minorEastAsia" w:hAnsiTheme="minorHAnsi" w:cstheme="minorBidi"/>
                <w:noProof/>
                <w:sz w:val="22"/>
                <w:szCs w:val="22"/>
                <w:lang w:bidi="ar-SA"/>
              </w:rPr>
              <w:tab/>
            </w:r>
            <w:r w:rsidR="00733CAA" w:rsidRPr="004A6881">
              <w:rPr>
                <w:rStyle w:val="Hyperlink"/>
                <w:rFonts w:eastAsia="Times New Roman"/>
                <w:b/>
                <w:noProof/>
              </w:rPr>
              <w:t>Finanšu apropriācijas pa gadiem</w:t>
            </w:r>
            <w:r w:rsidR="00733CAA">
              <w:rPr>
                <w:noProof/>
                <w:webHidden/>
              </w:rPr>
              <w:tab/>
            </w:r>
            <w:r w:rsidR="00733CAA">
              <w:rPr>
                <w:noProof/>
                <w:webHidden/>
              </w:rPr>
              <w:fldChar w:fldCharType="begin"/>
            </w:r>
            <w:r w:rsidR="00733CAA">
              <w:rPr>
                <w:noProof/>
                <w:webHidden/>
              </w:rPr>
              <w:instrText xml:space="preserve"> PAGEREF _Toc62557120 \h </w:instrText>
            </w:r>
            <w:r w:rsidR="00733CAA">
              <w:rPr>
                <w:noProof/>
                <w:webHidden/>
              </w:rPr>
            </w:r>
            <w:r w:rsidR="00733CAA">
              <w:rPr>
                <w:noProof/>
                <w:webHidden/>
              </w:rPr>
              <w:fldChar w:fldCharType="separate"/>
            </w:r>
            <w:r w:rsidR="00733CAA">
              <w:rPr>
                <w:noProof/>
                <w:webHidden/>
              </w:rPr>
              <w:t>17</w:t>
            </w:r>
            <w:r w:rsidR="00733CAA">
              <w:rPr>
                <w:noProof/>
                <w:webHidden/>
              </w:rPr>
              <w:fldChar w:fldCharType="end"/>
            </w:r>
          </w:hyperlink>
        </w:p>
        <w:p w14:paraId="697254A6" w14:textId="77777777" w:rsidR="00733CAA" w:rsidRDefault="00B755FE">
          <w:pPr>
            <w:pStyle w:val="TOC2"/>
            <w:tabs>
              <w:tab w:val="left" w:pos="1100"/>
              <w:tab w:val="right" w:leader="dot" w:pos="8919"/>
            </w:tabs>
            <w:rPr>
              <w:rFonts w:asciiTheme="minorHAnsi" w:eastAsiaTheme="minorEastAsia" w:hAnsiTheme="minorHAnsi" w:cstheme="minorBidi"/>
              <w:noProof/>
              <w:sz w:val="22"/>
              <w:szCs w:val="22"/>
              <w:lang w:bidi="ar-SA"/>
            </w:rPr>
          </w:pPr>
          <w:hyperlink w:anchor="_Toc62557121" w:history="1">
            <w:r w:rsidR="00733CAA" w:rsidRPr="004A6881">
              <w:rPr>
                <w:rStyle w:val="Hyperlink"/>
                <w:rFonts w:eastAsia="Times New Roman"/>
                <w:b/>
                <w:noProof/>
              </w:rPr>
              <w:t>10.2.</w:t>
            </w:r>
            <w:r w:rsidR="00733CAA">
              <w:rPr>
                <w:rFonts w:asciiTheme="minorHAnsi" w:eastAsiaTheme="minorEastAsia" w:hAnsiTheme="minorHAnsi" w:cstheme="minorBidi"/>
                <w:noProof/>
                <w:sz w:val="22"/>
                <w:szCs w:val="22"/>
                <w:lang w:bidi="ar-SA"/>
              </w:rPr>
              <w:tab/>
            </w:r>
            <w:r w:rsidR="00733CAA" w:rsidRPr="004A6881">
              <w:rPr>
                <w:rStyle w:val="Hyperlink"/>
                <w:rFonts w:eastAsia="Times New Roman"/>
                <w:b/>
                <w:noProof/>
              </w:rPr>
              <w:t>Kopējā finanšu apropriācija pa fondiem un valsts līdzfinansējumu</w:t>
            </w:r>
            <w:r w:rsidR="00733CAA">
              <w:rPr>
                <w:noProof/>
                <w:webHidden/>
              </w:rPr>
              <w:tab/>
            </w:r>
            <w:r w:rsidR="00733CAA">
              <w:rPr>
                <w:noProof/>
                <w:webHidden/>
              </w:rPr>
              <w:fldChar w:fldCharType="begin"/>
            </w:r>
            <w:r w:rsidR="00733CAA">
              <w:rPr>
                <w:noProof/>
                <w:webHidden/>
              </w:rPr>
              <w:instrText xml:space="preserve"> PAGEREF _Toc62557121 \h </w:instrText>
            </w:r>
            <w:r w:rsidR="00733CAA">
              <w:rPr>
                <w:noProof/>
                <w:webHidden/>
              </w:rPr>
            </w:r>
            <w:r w:rsidR="00733CAA">
              <w:rPr>
                <w:noProof/>
                <w:webHidden/>
              </w:rPr>
              <w:fldChar w:fldCharType="separate"/>
            </w:r>
            <w:r w:rsidR="00733CAA">
              <w:rPr>
                <w:noProof/>
                <w:webHidden/>
              </w:rPr>
              <w:t>17</w:t>
            </w:r>
            <w:r w:rsidR="00733CAA">
              <w:rPr>
                <w:noProof/>
                <w:webHidden/>
              </w:rPr>
              <w:fldChar w:fldCharType="end"/>
            </w:r>
          </w:hyperlink>
        </w:p>
        <w:p w14:paraId="622656F1" w14:textId="77777777" w:rsidR="00733CAA" w:rsidRDefault="00B755FE">
          <w:pPr>
            <w:pStyle w:val="TOC1"/>
            <w:rPr>
              <w:rFonts w:asciiTheme="minorHAnsi" w:eastAsiaTheme="minorEastAsia" w:hAnsiTheme="minorHAnsi" w:cstheme="minorBidi"/>
              <w:noProof/>
              <w:sz w:val="22"/>
              <w:szCs w:val="22"/>
              <w:lang w:bidi="ar-SA"/>
            </w:rPr>
          </w:pPr>
          <w:hyperlink w:anchor="_Toc62557122" w:history="1">
            <w:r w:rsidR="00733CAA" w:rsidRPr="004A6881">
              <w:rPr>
                <w:rStyle w:val="Hyperlink"/>
                <w:b/>
                <w:noProof/>
              </w:rPr>
              <w:t>11.</w:t>
            </w:r>
            <w:r w:rsidR="00733CAA">
              <w:rPr>
                <w:rFonts w:asciiTheme="minorHAnsi" w:eastAsiaTheme="minorEastAsia" w:hAnsiTheme="minorHAnsi" w:cstheme="minorBidi"/>
                <w:noProof/>
                <w:sz w:val="22"/>
                <w:szCs w:val="22"/>
                <w:lang w:bidi="ar-SA"/>
              </w:rPr>
              <w:tab/>
            </w:r>
            <w:r w:rsidR="00733CAA" w:rsidRPr="004A6881">
              <w:rPr>
                <w:rStyle w:val="Hyperlink"/>
                <w:b/>
                <w:noProof/>
              </w:rPr>
              <w:t>Programmā iesaistītās iestādes</w:t>
            </w:r>
            <w:r w:rsidR="00733CAA">
              <w:rPr>
                <w:noProof/>
                <w:webHidden/>
              </w:rPr>
              <w:tab/>
            </w:r>
            <w:r w:rsidR="00733CAA">
              <w:rPr>
                <w:noProof/>
                <w:webHidden/>
              </w:rPr>
              <w:fldChar w:fldCharType="begin"/>
            </w:r>
            <w:r w:rsidR="00733CAA">
              <w:rPr>
                <w:noProof/>
                <w:webHidden/>
              </w:rPr>
              <w:instrText xml:space="preserve"> PAGEREF _Toc62557122 \h </w:instrText>
            </w:r>
            <w:r w:rsidR="00733CAA">
              <w:rPr>
                <w:noProof/>
                <w:webHidden/>
              </w:rPr>
            </w:r>
            <w:r w:rsidR="00733CAA">
              <w:rPr>
                <w:noProof/>
                <w:webHidden/>
              </w:rPr>
              <w:fldChar w:fldCharType="separate"/>
            </w:r>
            <w:r w:rsidR="00733CAA">
              <w:rPr>
                <w:noProof/>
                <w:webHidden/>
              </w:rPr>
              <w:t>18</w:t>
            </w:r>
            <w:r w:rsidR="00733CAA">
              <w:rPr>
                <w:noProof/>
                <w:webHidden/>
              </w:rPr>
              <w:fldChar w:fldCharType="end"/>
            </w:r>
          </w:hyperlink>
        </w:p>
        <w:p w14:paraId="73E2584E" w14:textId="77777777" w:rsidR="00733CAA" w:rsidRDefault="00B755FE">
          <w:pPr>
            <w:pStyle w:val="TOC1"/>
            <w:rPr>
              <w:rFonts w:asciiTheme="minorHAnsi" w:eastAsiaTheme="minorEastAsia" w:hAnsiTheme="minorHAnsi" w:cstheme="minorBidi"/>
              <w:noProof/>
              <w:sz w:val="22"/>
              <w:szCs w:val="22"/>
              <w:lang w:bidi="ar-SA"/>
            </w:rPr>
          </w:pPr>
          <w:hyperlink w:anchor="_Toc62557123" w:history="1">
            <w:r w:rsidR="00733CAA" w:rsidRPr="004A6881">
              <w:rPr>
                <w:rStyle w:val="Hyperlink"/>
                <w:b/>
                <w:noProof/>
              </w:rPr>
              <w:t>12.</w:t>
            </w:r>
            <w:r w:rsidR="00733CAA">
              <w:rPr>
                <w:rFonts w:asciiTheme="minorHAnsi" w:eastAsiaTheme="minorEastAsia" w:hAnsiTheme="minorHAnsi" w:cstheme="minorBidi"/>
                <w:noProof/>
                <w:sz w:val="22"/>
                <w:szCs w:val="22"/>
                <w:lang w:bidi="ar-SA"/>
              </w:rPr>
              <w:tab/>
            </w:r>
            <w:r w:rsidR="00733CAA" w:rsidRPr="004A6881">
              <w:rPr>
                <w:rStyle w:val="Hyperlink"/>
                <w:b/>
                <w:noProof/>
              </w:rPr>
              <w:t>Sabiedrības līdzdalība</w:t>
            </w:r>
            <w:r w:rsidR="00733CAA">
              <w:rPr>
                <w:noProof/>
                <w:webHidden/>
              </w:rPr>
              <w:tab/>
            </w:r>
            <w:r w:rsidR="00733CAA">
              <w:rPr>
                <w:noProof/>
                <w:webHidden/>
              </w:rPr>
              <w:fldChar w:fldCharType="begin"/>
            </w:r>
            <w:r w:rsidR="00733CAA">
              <w:rPr>
                <w:noProof/>
                <w:webHidden/>
              </w:rPr>
              <w:instrText xml:space="preserve"> PAGEREF _Toc62557123 \h </w:instrText>
            </w:r>
            <w:r w:rsidR="00733CAA">
              <w:rPr>
                <w:noProof/>
                <w:webHidden/>
              </w:rPr>
            </w:r>
            <w:r w:rsidR="00733CAA">
              <w:rPr>
                <w:noProof/>
                <w:webHidden/>
              </w:rPr>
              <w:fldChar w:fldCharType="separate"/>
            </w:r>
            <w:r w:rsidR="00733CAA">
              <w:rPr>
                <w:noProof/>
                <w:webHidden/>
              </w:rPr>
              <w:t>18</w:t>
            </w:r>
            <w:r w:rsidR="00733CAA">
              <w:rPr>
                <w:noProof/>
                <w:webHidden/>
              </w:rPr>
              <w:fldChar w:fldCharType="end"/>
            </w:r>
          </w:hyperlink>
        </w:p>
        <w:p w14:paraId="4DEB7986" w14:textId="77777777" w:rsidR="00593A98" w:rsidRPr="000D5DBF" w:rsidRDefault="00593A98" w:rsidP="00BA1297">
          <w:pPr>
            <w:spacing w:before="0" w:after="0"/>
          </w:pPr>
          <w:r w:rsidRPr="000D5DBF">
            <w:rPr>
              <w:b/>
              <w:bCs/>
              <w:noProof/>
            </w:rPr>
            <w:fldChar w:fldCharType="end"/>
          </w:r>
        </w:p>
      </w:sdtContent>
    </w:sdt>
    <w:p w14:paraId="5DA1D821" w14:textId="77777777" w:rsidR="00D00CCB" w:rsidRPr="000D5DBF" w:rsidRDefault="00D00CCB" w:rsidP="00BA1297">
      <w:pPr>
        <w:spacing w:before="0" w:after="0"/>
        <w:jc w:val="left"/>
        <w:rPr>
          <w:szCs w:val="24"/>
        </w:rPr>
      </w:pPr>
    </w:p>
    <w:p w14:paraId="24ED4AA6" w14:textId="77777777" w:rsidR="00D00CCB" w:rsidRPr="000D5DBF" w:rsidRDefault="00D00CCB" w:rsidP="00BA1297">
      <w:pPr>
        <w:spacing w:before="0" w:after="0"/>
        <w:jc w:val="left"/>
        <w:rPr>
          <w:szCs w:val="24"/>
        </w:rPr>
      </w:pPr>
    </w:p>
    <w:p w14:paraId="3E5581EB" w14:textId="77777777" w:rsidR="00240259" w:rsidRPr="000D5DBF" w:rsidRDefault="00240259" w:rsidP="00BA1297">
      <w:pPr>
        <w:spacing w:before="0" w:after="0"/>
        <w:jc w:val="left"/>
        <w:rPr>
          <w:szCs w:val="24"/>
        </w:rPr>
      </w:pPr>
    </w:p>
    <w:p w14:paraId="7165F660" w14:textId="77777777" w:rsidR="00240259" w:rsidRPr="000D5DBF" w:rsidRDefault="00240259" w:rsidP="00BA1297">
      <w:pPr>
        <w:spacing w:before="0" w:after="0"/>
        <w:jc w:val="left"/>
        <w:rPr>
          <w:szCs w:val="24"/>
        </w:rPr>
      </w:pPr>
    </w:p>
    <w:p w14:paraId="6FA9B131" w14:textId="77777777" w:rsidR="006B0944" w:rsidRPr="000D5DBF" w:rsidRDefault="006B0944" w:rsidP="00BA1297">
      <w:pPr>
        <w:spacing w:before="0" w:after="0"/>
        <w:jc w:val="left"/>
        <w:rPr>
          <w:b/>
          <w:sz w:val="32"/>
        </w:rPr>
      </w:pPr>
      <w:r w:rsidRPr="000D5DBF">
        <w:rPr>
          <w:b/>
          <w:sz w:val="32"/>
        </w:rPr>
        <w:br w:type="page"/>
      </w:r>
    </w:p>
    <w:p w14:paraId="5BFF896E" w14:textId="77777777" w:rsidR="006B0944" w:rsidRPr="000D5DBF" w:rsidRDefault="006B0944" w:rsidP="00BA1297">
      <w:pPr>
        <w:pStyle w:val="Heading1"/>
        <w:spacing w:before="0"/>
        <w:jc w:val="center"/>
        <w:rPr>
          <w:rFonts w:ascii="Times New Roman" w:eastAsia="SimSun" w:hAnsi="Times New Roman" w:cs="Times New Roman"/>
          <w:b/>
          <w:color w:val="auto"/>
          <w:sz w:val="28"/>
          <w:szCs w:val="28"/>
          <w:lang w:eastAsia="ja-JP" w:bidi="ar-SA"/>
        </w:rPr>
      </w:pPr>
      <w:bookmarkStart w:id="2" w:name="_Toc62557101"/>
      <w:r w:rsidRPr="000D5DBF">
        <w:rPr>
          <w:rFonts w:ascii="Times New Roman" w:eastAsia="SimSun" w:hAnsi="Times New Roman" w:cs="Times New Roman"/>
          <w:b/>
          <w:color w:val="auto"/>
          <w:sz w:val="28"/>
          <w:szCs w:val="28"/>
          <w:lang w:eastAsia="ja-JP" w:bidi="ar-SA"/>
        </w:rPr>
        <w:lastRenderedPageBreak/>
        <w:t>Izmantotie saīsinājumi un termini</w:t>
      </w:r>
      <w:bookmarkEnd w:id="2"/>
    </w:p>
    <w:tbl>
      <w:tblPr>
        <w:tblW w:w="0" w:type="auto"/>
        <w:tblInd w:w="611" w:type="dxa"/>
        <w:tblLook w:val="04A0" w:firstRow="1" w:lastRow="0" w:firstColumn="1" w:lastColumn="0" w:noHBand="0" w:noVBand="1"/>
      </w:tblPr>
      <w:tblGrid>
        <w:gridCol w:w="2399"/>
        <w:gridCol w:w="5919"/>
      </w:tblGrid>
      <w:tr w:rsidR="00F0703E" w:rsidRPr="000D5DBF" w14:paraId="7E0FF082" w14:textId="77777777" w:rsidTr="00F837F9">
        <w:trPr>
          <w:trHeight w:val="325"/>
        </w:trPr>
        <w:tc>
          <w:tcPr>
            <w:tcW w:w="2430" w:type="dxa"/>
            <w:shd w:val="clear" w:color="auto" w:fill="auto"/>
          </w:tcPr>
          <w:p w14:paraId="754818B3" w14:textId="77777777" w:rsidR="00571295" w:rsidRPr="000D5DBF" w:rsidRDefault="00571295" w:rsidP="00BA1297">
            <w:pPr>
              <w:tabs>
                <w:tab w:val="left" w:pos="1418"/>
                <w:tab w:val="left" w:pos="1985"/>
              </w:tabs>
              <w:spacing w:before="0" w:after="0"/>
              <w:rPr>
                <w:szCs w:val="24"/>
              </w:rPr>
            </w:pPr>
          </w:p>
          <w:p w14:paraId="69E87FC3" w14:textId="77777777" w:rsidR="006B0944" w:rsidRPr="000D5DBF" w:rsidRDefault="006B0944" w:rsidP="00BA1297">
            <w:pPr>
              <w:tabs>
                <w:tab w:val="left" w:pos="1418"/>
                <w:tab w:val="left" w:pos="1985"/>
              </w:tabs>
              <w:spacing w:before="0" w:after="0"/>
              <w:rPr>
                <w:szCs w:val="24"/>
              </w:rPr>
            </w:pPr>
            <w:r w:rsidRPr="000D5DBF">
              <w:rPr>
                <w:szCs w:val="24"/>
              </w:rPr>
              <w:t>CSP</w:t>
            </w:r>
          </w:p>
        </w:tc>
        <w:tc>
          <w:tcPr>
            <w:tcW w:w="6029" w:type="dxa"/>
            <w:shd w:val="clear" w:color="auto" w:fill="auto"/>
          </w:tcPr>
          <w:p w14:paraId="177A5C0C" w14:textId="77777777" w:rsidR="00571295" w:rsidRPr="000D5DBF" w:rsidRDefault="00571295" w:rsidP="00BA1297">
            <w:pPr>
              <w:tabs>
                <w:tab w:val="left" w:pos="1418"/>
                <w:tab w:val="left" w:pos="1985"/>
              </w:tabs>
              <w:spacing w:before="0" w:after="0"/>
              <w:rPr>
                <w:szCs w:val="24"/>
              </w:rPr>
            </w:pPr>
          </w:p>
          <w:p w14:paraId="4C29E3AB" w14:textId="77777777" w:rsidR="006B0944" w:rsidRPr="000D5DBF" w:rsidRDefault="006B0944" w:rsidP="00BA1297">
            <w:pPr>
              <w:tabs>
                <w:tab w:val="left" w:pos="1418"/>
                <w:tab w:val="left" w:pos="1985"/>
              </w:tabs>
              <w:spacing w:before="0" w:after="0"/>
              <w:rPr>
                <w:szCs w:val="24"/>
              </w:rPr>
            </w:pPr>
            <w:r w:rsidRPr="000D5DBF">
              <w:rPr>
                <w:szCs w:val="24"/>
              </w:rPr>
              <w:t>Centrālā statistikas pārvalde</w:t>
            </w:r>
          </w:p>
        </w:tc>
      </w:tr>
      <w:tr w:rsidR="00F0703E" w:rsidRPr="000D5DBF" w14:paraId="51E11F4F" w14:textId="77777777" w:rsidTr="00F837F9">
        <w:tc>
          <w:tcPr>
            <w:tcW w:w="2430" w:type="dxa"/>
            <w:shd w:val="clear" w:color="auto" w:fill="auto"/>
          </w:tcPr>
          <w:p w14:paraId="448A9FD1" w14:textId="77777777" w:rsidR="006B0944" w:rsidRPr="000D5DBF" w:rsidRDefault="006B0944" w:rsidP="00BA1297">
            <w:pPr>
              <w:tabs>
                <w:tab w:val="left" w:pos="1418"/>
                <w:tab w:val="left" w:pos="1985"/>
              </w:tabs>
              <w:spacing w:before="0" w:after="0"/>
              <w:rPr>
                <w:szCs w:val="24"/>
              </w:rPr>
            </w:pPr>
            <w:r w:rsidRPr="000D5DBF">
              <w:rPr>
                <w:szCs w:val="24"/>
              </w:rPr>
              <w:t>EAFVP</w:t>
            </w:r>
          </w:p>
          <w:p w14:paraId="1521E0AE" w14:textId="77777777" w:rsidR="006B0944" w:rsidRPr="000D5DBF" w:rsidRDefault="006B0944" w:rsidP="00BA1297">
            <w:pPr>
              <w:tabs>
                <w:tab w:val="left" w:pos="1418"/>
                <w:tab w:val="left" w:pos="1985"/>
              </w:tabs>
              <w:spacing w:before="0" w:after="0"/>
              <w:rPr>
                <w:szCs w:val="24"/>
              </w:rPr>
            </w:pPr>
            <w:r w:rsidRPr="000D5DBF">
              <w:rPr>
                <w:szCs w:val="24"/>
              </w:rPr>
              <w:t>EK</w:t>
            </w:r>
          </w:p>
        </w:tc>
        <w:tc>
          <w:tcPr>
            <w:tcW w:w="6029" w:type="dxa"/>
            <w:shd w:val="clear" w:color="auto" w:fill="auto"/>
          </w:tcPr>
          <w:p w14:paraId="4FB53F30" w14:textId="77777777" w:rsidR="006B0944" w:rsidRPr="000D5DBF" w:rsidRDefault="006B0944" w:rsidP="00BA1297">
            <w:pPr>
              <w:tabs>
                <w:tab w:val="left" w:pos="1418"/>
                <w:tab w:val="left" w:pos="1985"/>
              </w:tabs>
              <w:spacing w:before="0" w:after="0"/>
              <w:rPr>
                <w:szCs w:val="24"/>
              </w:rPr>
            </w:pPr>
            <w:r w:rsidRPr="000D5DBF">
              <w:rPr>
                <w:szCs w:val="24"/>
              </w:rPr>
              <w:t>Eiropas Atbalsta fonds vistrūcīgākajām personām</w:t>
            </w:r>
          </w:p>
          <w:p w14:paraId="7745F551" w14:textId="77777777" w:rsidR="006B0944" w:rsidRPr="000D5DBF" w:rsidRDefault="006B0944" w:rsidP="00BA1297">
            <w:pPr>
              <w:tabs>
                <w:tab w:val="left" w:pos="1418"/>
                <w:tab w:val="left" w:pos="1985"/>
              </w:tabs>
              <w:spacing w:before="0" w:after="0"/>
              <w:rPr>
                <w:szCs w:val="24"/>
              </w:rPr>
            </w:pPr>
            <w:r w:rsidRPr="000D5DBF">
              <w:rPr>
                <w:szCs w:val="24"/>
              </w:rPr>
              <w:t>Eiropas Komisija</w:t>
            </w:r>
          </w:p>
        </w:tc>
      </w:tr>
      <w:tr w:rsidR="00F0703E" w:rsidRPr="000D5DBF" w14:paraId="26B97C5A" w14:textId="77777777" w:rsidTr="00F837F9">
        <w:tc>
          <w:tcPr>
            <w:tcW w:w="2430" w:type="dxa"/>
            <w:shd w:val="clear" w:color="auto" w:fill="auto"/>
          </w:tcPr>
          <w:p w14:paraId="447AEF58" w14:textId="77777777" w:rsidR="006B0944" w:rsidRPr="000D5DBF" w:rsidRDefault="006B0944" w:rsidP="00BA1297">
            <w:pPr>
              <w:tabs>
                <w:tab w:val="left" w:pos="1418"/>
                <w:tab w:val="left" w:pos="1985"/>
              </w:tabs>
              <w:spacing w:before="0" w:after="0"/>
              <w:rPr>
                <w:szCs w:val="24"/>
              </w:rPr>
            </w:pPr>
            <w:r w:rsidRPr="000D5DBF">
              <w:rPr>
                <w:szCs w:val="24"/>
              </w:rPr>
              <w:t>ES</w:t>
            </w:r>
          </w:p>
        </w:tc>
        <w:tc>
          <w:tcPr>
            <w:tcW w:w="6029" w:type="dxa"/>
            <w:shd w:val="clear" w:color="auto" w:fill="auto"/>
          </w:tcPr>
          <w:p w14:paraId="3B3CCE0C" w14:textId="77777777" w:rsidR="006B0944" w:rsidRPr="000D5DBF" w:rsidRDefault="006B0944" w:rsidP="00BA1297">
            <w:pPr>
              <w:tabs>
                <w:tab w:val="left" w:pos="1418"/>
                <w:tab w:val="left" w:pos="1985"/>
              </w:tabs>
              <w:spacing w:before="0" w:after="0"/>
              <w:rPr>
                <w:szCs w:val="24"/>
              </w:rPr>
            </w:pPr>
            <w:r w:rsidRPr="000D5DBF">
              <w:rPr>
                <w:szCs w:val="24"/>
              </w:rPr>
              <w:t>Eiropas Savienība</w:t>
            </w:r>
          </w:p>
        </w:tc>
      </w:tr>
      <w:tr w:rsidR="00F0703E" w:rsidRPr="000D5DBF" w14:paraId="49762100" w14:textId="77777777" w:rsidTr="00F837F9">
        <w:tc>
          <w:tcPr>
            <w:tcW w:w="2430" w:type="dxa"/>
            <w:shd w:val="clear" w:color="auto" w:fill="auto"/>
          </w:tcPr>
          <w:p w14:paraId="34E441F1" w14:textId="77777777" w:rsidR="006B0944" w:rsidRPr="000D5DBF" w:rsidRDefault="006B0944" w:rsidP="00BA1297">
            <w:pPr>
              <w:tabs>
                <w:tab w:val="left" w:pos="1418"/>
                <w:tab w:val="left" w:pos="1985"/>
              </w:tabs>
              <w:spacing w:before="0" w:after="0"/>
              <w:rPr>
                <w:szCs w:val="24"/>
              </w:rPr>
            </w:pPr>
            <w:r w:rsidRPr="000D5DBF">
              <w:rPr>
                <w:szCs w:val="24"/>
              </w:rPr>
              <w:t>ESF+</w:t>
            </w:r>
          </w:p>
        </w:tc>
        <w:tc>
          <w:tcPr>
            <w:tcW w:w="6029" w:type="dxa"/>
            <w:shd w:val="clear" w:color="auto" w:fill="auto"/>
          </w:tcPr>
          <w:p w14:paraId="33C28BB3" w14:textId="77777777" w:rsidR="006B0944" w:rsidRPr="000D5DBF" w:rsidRDefault="006B0944" w:rsidP="00BA1297">
            <w:pPr>
              <w:tabs>
                <w:tab w:val="left" w:pos="1418"/>
                <w:tab w:val="left" w:pos="1985"/>
              </w:tabs>
              <w:spacing w:before="0" w:after="0"/>
              <w:rPr>
                <w:szCs w:val="24"/>
              </w:rPr>
            </w:pPr>
            <w:r w:rsidRPr="000D5DBF">
              <w:rPr>
                <w:szCs w:val="24"/>
              </w:rPr>
              <w:t>Eiropas Sociālais fonds</w:t>
            </w:r>
          </w:p>
        </w:tc>
      </w:tr>
      <w:tr w:rsidR="00F0703E" w:rsidRPr="000D5DBF" w14:paraId="49821989" w14:textId="77777777" w:rsidTr="00F837F9">
        <w:tc>
          <w:tcPr>
            <w:tcW w:w="2430" w:type="dxa"/>
            <w:shd w:val="clear" w:color="auto" w:fill="auto"/>
          </w:tcPr>
          <w:p w14:paraId="53DCE812" w14:textId="77777777" w:rsidR="006B0944" w:rsidRPr="000D5DBF" w:rsidRDefault="006B0944" w:rsidP="00BA1297">
            <w:pPr>
              <w:tabs>
                <w:tab w:val="left" w:pos="1418"/>
                <w:tab w:val="left" w:pos="1985"/>
              </w:tabs>
              <w:spacing w:before="0" w:after="0"/>
              <w:rPr>
                <w:szCs w:val="24"/>
              </w:rPr>
            </w:pPr>
            <w:r w:rsidRPr="000D5DBF">
              <w:rPr>
                <w:szCs w:val="24"/>
              </w:rPr>
              <w:t>ESF+ regula</w:t>
            </w:r>
          </w:p>
        </w:tc>
        <w:tc>
          <w:tcPr>
            <w:tcW w:w="6029" w:type="dxa"/>
            <w:shd w:val="clear" w:color="auto" w:fill="auto"/>
          </w:tcPr>
          <w:p w14:paraId="5CBFEA08" w14:textId="77777777" w:rsidR="006B0944" w:rsidRPr="000D5DBF" w:rsidRDefault="006B0944" w:rsidP="00BA1297">
            <w:pPr>
              <w:tabs>
                <w:tab w:val="left" w:pos="1418"/>
                <w:tab w:val="left" w:pos="1985"/>
              </w:tabs>
              <w:spacing w:before="0" w:after="0"/>
              <w:rPr>
                <w:szCs w:val="24"/>
              </w:rPr>
            </w:pPr>
            <w:r w:rsidRPr="000D5DBF">
              <w:rPr>
                <w:szCs w:val="24"/>
              </w:rPr>
              <w:t>Eiropas Parlamenta un Padomes Regulas (ES) priekšlikums par Eiropas Sociālo fondu Plus</w:t>
            </w:r>
          </w:p>
        </w:tc>
      </w:tr>
      <w:tr w:rsidR="00F0703E" w:rsidRPr="000D5DBF" w14:paraId="1E68BF24" w14:textId="77777777" w:rsidTr="00F837F9">
        <w:tc>
          <w:tcPr>
            <w:tcW w:w="2430" w:type="dxa"/>
            <w:shd w:val="clear" w:color="auto" w:fill="auto"/>
          </w:tcPr>
          <w:p w14:paraId="1F1A7470" w14:textId="77777777" w:rsidR="006B0944" w:rsidRPr="000D5DBF" w:rsidRDefault="006B0944" w:rsidP="00BA1297">
            <w:pPr>
              <w:tabs>
                <w:tab w:val="left" w:pos="1418"/>
                <w:tab w:val="left" w:pos="1985"/>
              </w:tabs>
              <w:spacing w:before="0" w:after="0"/>
              <w:rPr>
                <w:szCs w:val="24"/>
              </w:rPr>
            </w:pPr>
            <w:r w:rsidRPr="000D5DBF">
              <w:rPr>
                <w:szCs w:val="24"/>
              </w:rPr>
              <w:t>EU-SILC</w:t>
            </w:r>
          </w:p>
          <w:p w14:paraId="54F1B418" w14:textId="77777777" w:rsidR="006B0944" w:rsidRPr="000D5DBF" w:rsidRDefault="006B0944" w:rsidP="00BA1297">
            <w:pPr>
              <w:tabs>
                <w:tab w:val="left" w:pos="1418"/>
                <w:tab w:val="left" w:pos="1985"/>
              </w:tabs>
              <w:spacing w:before="0" w:after="0"/>
              <w:rPr>
                <w:szCs w:val="24"/>
              </w:rPr>
            </w:pPr>
          </w:p>
          <w:p w14:paraId="5796DA87" w14:textId="77777777" w:rsidR="006B0944" w:rsidRPr="000D5DBF" w:rsidRDefault="006B0944" w:rsidP="00BA1297">
            <w:pPr>
              <w:tabs>
                <w:tab w:val="left" w:pos="1418"/>
                <w:tab w:val="left" w:pos="1985"/>
              </w:tabs>
              <w:spacing w:before="0" w:after="0"/>
              <w:rPr>
                <w:szCs w:val="24"/>
              </w:rPr>
            </w:pPr>
            <w:r w:rsidRPr="000D5DBF">
              <w:rPr>
                <w:szCs w:val="24"/>
              </w:rPr>
              <w:t>FM</w:t>
            </w:r>
          </w:p>
        </w:tc>
        <w:tc>
          <w:tcPr>
            <w:tcW w:w="6029" w:type="dxa"/>
            <w:shd w:val="clear" w:color="auto" w:fill="auto"/>
          </w:tcPr>
          <w:p w14:paraId="514A56C4" w14:textId="77777777" w:rsidR="006B0944" w:rsidRPr="000D5DBF" w:rsidRDefault="006B0944" w:rsidP="00BA1297">
            <w:pPr>
              <w:tabs>
                <w:tab w:val="left" w:pos="1418"/>
                <w:tab w:val="left" w:pos="1985"/>
              </w:tabs>
              <w:spacing w:before="0" w:after="0"/>
              <w:rPr>
                <w:szCs w:val="24"/>
              </w:rPr>
            </w:pPr>
            <w:r w:rsidRPr="000D5DBF">
              <w:rPr>
                <w:szCs w:val="24"/>
              </w:rPr>
              <w:t>The European Union Statistics on Income and Living Conditions</w:t>
            </w:r>
          </w:p>
          <w:p w14:paraId="2BEF825C" w14:textId="77777777" w:rsidR="006B0944" w:rsidRPr="000D5DBF" w:rsidRDefault="006B0944" w:rsidP="00BA1297">
            <w:pPr>
              <w:tabs>
                <w:tab w:val="left" w:pos="1418"/>
                <w:tab w:val="left" w:pos="1985"/>
              </w:tabs>
              <w:spacing w:before="0" w:after="0"/>
              <w:rPr>
                <w:szCs w:val="24"/>
              </w:rPr>
            </w:pPr>
            <w:r w:rsidRPr="000D5DBF">
              <w:rPr>
                <w:szCs w:val="24"/>
              </w:rPr>
              <w:t>Finanšu ministrija</w:t>
            </w:r>
          </w:p>
        </w:tc>
      </w:tr>
      <w:tr w:rsidR="00F0703E" w:rsidRPr="000D5DBF" w14:paraId="3CE2EFA5" w14:textId="77777777" w:rsidTr="00F837F9">
        <w:tc>
          <w:tcPr>
            <w:tcW w:w="2430" w:type="dxa"/>
            <w:shd w:val="clear" w:color="auto" w:fill="auto"/>
          </w:tcPr>
          <w:p w14:paraId="33799900" w14:textId="77777777" w:rsidR="006B0944" w:rsidRPr="000D5DBF" w:rsidRDefault="006B0944" w:rsidP="00BA1297">
            <w:pPr>
              <w:tabs>
                <w:tab w:val="left" w:pos="1418"/>
                <w:tab w:val="left" w:pos="1985"/>
              </w:tabs>
              <w:spacing w:before="0" w:after="0"/>
              <w:rPr>
                <w:szCs w:val="24"/>
              </w:rPr>
            </w:pPr>
            <w:r w:rsidRPr="000D5DBF">
              <w:rPr>
                <w:szCs w:val="24"/>
              </w:rPr>
              <w:t>IZM</w:t>
            </w:r>
          </w:p>
          <w:p w14:paraId="5AEF756E" w14:textId="77777777" w:rsidR="006B0944" w:rsidRPr="000D5DBF" w:rsidRDefault="006B0944" w:rsidP="00BA1297">
            <w:pPr>
              <w:tabs>
                <w:tab w:val="left" w:pos="1418"/>
                <w:tab w:val="left" w:pos="1985"/>
              </w:tabs>
              <w:spacing w:before="0" w:after="0"/>
              <w:rPr>
                <w:szCs w:val="24"/>
              </w:rPr>
            </w:pPr>
            <w:r w:rsidRPr="000D5DBF">
              <w:rPr>
                <w:szCs w:val="24"/>
              </w:rPr>
              <w:t>IS</w:t>
            </w:r>
          </w:p>
        </w:tc>
        <w:tc>
          <w:tcPr>
            <w:tcW w:w="6029" w:type="dxa"/>
            <w:shd w:val="clear" w:color="auto" w:fill="auto"/>
          </w:tcPr>
          <w:p w14:paraId="2F78F466" w14:textId="77777777" w:rsidR="006B0944" w:rsidRPr="000D5DBF" w:rsidRDefault="006B0944" w:rsidP="00BA1297">
            <w:pPr>
              <w:tabs>
                <w:tab w:val="left" w:pos="1418"/>
                <w:tab w:val="left" w:pos="1985"/>
              </w:tabs>
              <w:spacing w:before="0" w:after="0"/>
              <w:rPr>
                <w:szCs w:val="24"/>
              </w:rPr>
            </w:pPr>
            <w:r w:rsidRPr="000D5DBF">
              <w:rPr>
                <w:szCs w:val="24"/>
              </w:rPr>
              <w:t>Izglītības un zinātnes ministrija</w:t>
            </w:r>
          </w:p>
          <w:p w14:paraId="4E44B50F" w14:textId="77777777" w:rsidR="006B0944" w:rsidRPr="000D5DBF" w:rsidRDefault="006B0944" w:rsidP="00BA1297">
            <w:pPr>
              <w:tabs>
                <w:tab w:val="left" w:pos="1418"/>
                <w:tab w:val="left" w:pos="1985"/>
              </w:tabs>
              <w:spacing w:before="0" w:after="0"/>
              <w:rPr>
                <w:szCs w:val="24"/>
              </w:rPr>
            </w:pPr>
            <w:r w:rsidRPr="000D5DBF">
              <w:rPr>
                <w:szCs w:val="24"/>
              </w:rPr>
              <w:t>Informācijas sistēma</w:t>
            </w:r>
          </w:p>
        </w:tc>
      </w:tr>
      <w:tr w:rsidR="00F0703E" w:rsidRPr="000D5DBF" w14:paraId="501898D5" w14:textId="77777777" w:rsidTr="00F837F9">
        <w:tc>
          <w:tcPr>
            <w:tcW w:w="2430" w:type="dxa"/>
            <w:shd w:val="clear" w:color="auto" w:fill="auto"/>
          </w:tcPr>
          <w:p w14:paraId="691055B2" w14:textId="77777777" w:rsidR="006B0944" w:rsidRPr="000D5DBF" w:rsidRDefault="006B0944" w:rsidP="00BA1297">
            <w:pPr>
              <w:tabs>
                <w:tab w:val="left" w:pos="1418"/>
                <w:tab w:val="left" w:pos="1985"/>
              </w:tabs>
              <w:spacing w:before="0" w:after="0"/>
              <w:rPr>
                <w:szCs w:val="24"/>
              </w:rPr>
            </w:pPr>
            <w:r w:rsidRPr="000D5DBF">
              <w:rPr>
                <w:szCs w:val="24"/>
              </w:rPr>
              <w:t>KDG</w:t>
            </w:r>
          </w:p>
        </w:tc>
        <w:tc>
          <w:tcPr>
            <w:tcW w:w="6029" w:type="dxa"/>
            <w:shd w:val="clear" w:color="auto" w:fill="auto"/>
          </w:tcPr>
          <w:p w14:paraId="32B475D1" w14:textId="77777777" w:rsidR="006B0944" w:rsidRPr="000D5DBF" w:rsidRDefault="006B0944" w:rsidP="00BA1297">
            <w:pPr>
              <w:tabs>
                <w:tab w:val="left" w:pos="1418"/>
                <w:tab w:val="left" w:pos="1985"/>
              </w:tabs>
              <w:spacing w:before="0" w:after="0"/>
              <w:rPr>
                <w:szCs w:val="24"/>
              </w:rPr>
            </w:pPr>
            <w:r w:rsidRPr="000D5DBF">
              <w:rPr>
                <w:szCs w:val="24"/>
              </w:rPr>
              <w:t>Konsultatīvā darba grupa</w:t>
            </w:r>
          </w:p>
        </w:tc>
      </w:tr>
      <w:tr w:rsidR="00F0703E" w:rsidRPr="000D5DBF" w14:paraId="55E2657E" w14:textId="77777777" w:rsidTr="00F837F9">
        <w:tc>
          <w:tcPr>
            <w:tcW w:w="2430" w:type="dxa"/>
            <w:shd w:val="clear" w:color="auto" w:fill="auto"/>
          </w:tcPr>
          <w:p w14:paraId="5AAC0F46" w14:textId="77777777" w:rsidR="006B0944" w:rsidRPr="000D5DBF" w:rsidRDefault="006B0944" w:rsidP="00BA1297">
            <w:pPr>
              <w:tabs>
                <w:tab w:val="left" w:pos="1418"/>
                <w:tab w:val="left" w:pos="1985"/>
              </w:tabs>
              <w:spacing w:before="0" w:after="0"/>
              <w:rPr>
                <w:szCs w:val="24"/>
              </w:rPr>
            </w:pPr>
            <w:r w:rsidRPr="000D5DBF">
              <w:rPr>
                <w:szCs w:val="24"/>
              </w:rPr>
              <w:t>KNR</w:t>
            </w:r>
          </w:p>
        </w:tc>
        <w:tc>
          <w:tcPr>
            <w:tcW w:w="6029" w:type="dxa"/>
            <w:shd w:val="clear" w:color="auto" w:fill="auto"/>
          </w:tcPr>
          <w:p w14:paraId="15D2DFDA" w14:textId="77777777" w:rsidR="006B0944" w:rsidRPr="000D5DBF" w:rsidRDefault="006B0944" w:rsidP="00BA1297">
            <w:pPr>
              <w:tabs>
                <w:tab w:val="left" w:pos="1418"/>
                <w:tab w:val="left" w:pos="1985"/>
              </w:tabs>
              <w:spacing w:before="0" w:after="0"/>
              <w:rPr>
                <w:szCs w:val="24"/>
              </w:rPr>
            </w:pPr>
            <w:r w:rsidRPr="000D5DBF">
              <w:rPr>
                <w:szCs w:val="24"/>
              </w:rPr>
              <w:t>Eiropas Parlamenta un Padomes Regulas (ES) priekšlikums,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tc>
      </w:tr>
      <w:tr w:rsidR="00F0703E" w:rsidRPr="000D5DBF" w14:paraId="18DF7E4E" w14:textId="77777777" w:rsidTr="00F837F9">
        <w:tc>
          <w:tcPr>
            <w:tcW w:w="2430" w:type="dxa"/>
            <w:shd w:val="clear" w:color="auto" w:fill="auto"/>
          </w:tcPr>
          <w:p w14:paraId="695C6E8F" w14:textId="77777777" w:rsidR="006B0944" w:rsidRPr="000D5DBF" w:rsidRDefault="006B0944" w:rsidP="00BA1297">
            <w:pPr>
              <w:tabs>
                <w:tab w:val="left" w:pos="1418"/>
                <w:tab w:val="left" w:pos="1985"/>
              </w:tabs>
              <w:spacing w:before="0" w:after="0"/>
              <w:rPr>
                <w:szCs w:val="24"/>
              </w:rPr>
            </w:pPr>
            <w:r w:rsidRPr="000D5DBF">
              <w:rPr>
                <w:szCs w:val="24"/>
              </w:rPr>
              <w:t>LM</w:t>
            </w:r>
          </w:p>
        </w:tc>
        <w:tc>
          <w:tcPr>
            <w:tcW w:w="6029" w:type="dxa"/>
            <w:shd w:val="clear" w:color="auto" w:fill="auto"/>
          </w:tcPr>
          <w:p w14:paraId="1A0A5159" w14:textId="77777777" w:rsidR="006B0944" w:rsidRPr="000D5DBF" w:rsidRDefault="006B0944" w:rsidP="00BA1297">
            <w:pPr>
              <w:tabs>
                <w:tab w:val="left" w:pos="1418"/>
                <w:tab w:val="left" w:pos="1985"/>
              </w:tabs>
              <w:spacing w:before="0" w:after="0"/>
              <w:rPr>
                <w:szCs w:val="24"/>
              </w:rPr>
            </w:pPr>
            <w:r w:rsidRPr="000D5DBF">
              <w:rPr>
                <w:szCs w:val="24"/>
              </w:rPr>
              <w:t>Labklājības ministrija</w:t>
            </w:r>
          </w:p>
        </w:tc>
      </w:tr>
      <w:tr w:rsidR="00F0703E" w:rsidRPr="000D5DBF" w14:paraId="51C899EB" w14:textId="77777777" w:rsidTr="00F837F9">
        <w:tc>
          <w:tcPr>
            <w:tcW w:w="2430" w:type="dxa"/>
            <w:shd w:val="clear" w:color="auto" w:fill="auto"/>
          </w:tcPr>
          <w:p w14:paraId="50FD27F0" w14:textId="77777777" w:rsidR="006B0944" w:rsidRPr="000D5DBF" w:rsidRDefault="006B0944" w:rsidP="00BA1297">
            <w:pPr>
              <w:tabs>
                <w:tab w:val="left" w:pos="1418"/>
                <w:tab w:val="left" w:pos="1985"/>
              </w:tabs>
              <w:spacing w:before="0" w:after="0"/>
              <w:rPr>
                <w:szCs w:val="24"/>
              </w:rPr>
            </w:pPr>
            <w:r w:rsidRPr="000D5DBF">
              <w:rPr>
                <w:szCs w:val="24"/>
              </w:rPr>
              <w:t>MK</w:t>
            </w:r>
          </w:p>
        </w:tc>
        <w:tc>
          <w:tcPr>
            <w:tcW w:w="6029" w:type="dxa"/>
            <w:shd w:val="clear" w:color="auto" w:fill="auto"/>
          </w:tcPr>
          <w:p w14:paraId="1AF20578" w14:textId="77777777" w:rsidR="006B0944" w:rsidRPr="000D5DBF" w:rsidRDefault="006B0944" w:rsidP="00BA1297">
            <w:pPr>
              <w:tabs>
                <w:tab w:val="left" w:pos="1418"/>
                <w:tab w:val="left" w:pos="1985"/>
              </w:tabs>
              <w:spacing w:before="0" w:after="0"/>
              <w:rPr>
                <w:szCs w:val="24"/>
              </w:rPr>
            </w:pPr>
            <w:r w:rsidRPr="000D5DBF">
              <w:rPr>
                <w:szCs w:val="24"/>
              </w:rPr>
              <w:t>Ministru kabinets</w:t>
            </w:r>
          </w:p>
        </w:tc>
      </w:tr>
      <w:tr w:rsidR="00F0703E" w:rsidRPr="000D5DBF" w14:paraId="6BD3E1E7" w14:textId="77777777" w:rsidTr="00F837F9">
        <w:tc>
          <w:tcPr>
            <w:tcW w:w="2430" w:type="dxa"/>
            <w:shd w:val="clear" w:color="auto" w:fill="auto"/>
          </w:tcPr>
          <w:p w14:paraId="17C5B799" w14:textId="77777777" w:rsidR="006B0944" w:rsidRPr="000D5DBF" w:rsidRDefault="006B0944" w:rsidP="00BA1297">
            <w:pPr>
              <w:tabs>
                <w:tab w:val="left" w:pos="1418"/>
                <w:tab w:val="left" w:pos="1985"/>
              </w:tabs>
              <w:spacing w:before="0" w:after="0"/>
              <w:rPr>
                <w:szCs w:val="24"/>
              </w:rPr>
            </w:pPr>
            <w:r w:rsidRPr="000D5DBF">
              <w:rPr>
                <w:szCs w:val="24"/>
              </w:rPr>
              <w:t>NAP 2027</w:t>
            </w:r>
          </w:p>
        </w:tc>
        <w:tc>
          <w:tcPr>
            <w:tcW w:w="6029" w:type="dxa"/>
            <w:shd w:val="clear" w:color="auto" w:fill="auto"/>
          </w:tcPr>
          <w:p w14:paraId="1721194A" w14:textId="77777777" w:rsidR="006B0944" w:rsidRPr="000D5DBF" w:rsidRDefault="006B0944" w:rsidP="00BA1297">
            <w:pPr>
              <w:tabs>
                <w:tab w:val="left" w:pos="1418"/>
                <w:tab w:val="left" w:pos="1985"/>
              </w:tabs>
              <w:spacing w:before="0" w:after="0"/>
              <w:rPr>
                <w:szCs w:val="24"/>
              </w:rPr>
            </w:pPr>
            <w:r w:rsidRPr="000D5DBF">
              <w:rPr>
                <w:szCs w:val="24"/>
              </w:rPr>
              <w:t>Nacionālais attīstības plāns 2021. - 2027. gadam</w:t>
            </w:r>
          </w:p>
        </w:tc>
      </w:tr>
      <w:tr w:rsidR="00F0703E" w:rsidRPr="000D5DBF" w14:paraId="2FA96F7A" w14:textId="77777777" w:rsidTr="00F837F9">
        <w:tc>
          <w:tcPr>
            <w:tcW w:w="2430" w:type="dxa"/>
            <w:shd w:val="clear" w:color="auto" w:fill="auto"/>
          </w:tcPr>
          <w:p w14:paraId="3A8E59B3" w14:textId="77777777" w:rsidR="006B0944" w:rsidRPr="000D5DBF" w:rsidRDefault="006B0944" w:rsidP="00BA1297">
            <w:pPr>
              <w:tabs>
                <w:tab w:val="left" w:pos="1418"/>
                <w:tab w:val="left" w:pos="1985"/>
              </w:tabs>
              <w:spacing w:before="0" w:after="0"/>
              <w:rPr>
                <w:szCs w:val="24"/>
              </w:rPr>
            </w:pPr>
            <w:r w:rsidRPr="000D5DBF">
              <w:rPr>
                <w:szCs w:val="24"/>
              </w:rPr>
              <w:t>NVO</w:t>
            </w:r>
          </w:p>
          <w:p w14:paraId="0213E865" w14:textId="77777777" w:rsidR="006B0944" w:rsidRDefault="006B0944" w:rsidP="00BA1297">
            <w:pPr>
              <w:tabs>
                <w:tab w:val="left" w:pos="1418"/>
                <w:tab w:val="left" w:pos="1985"/>
              </w:tabs>
              <w:spacing w:before="0" w:after="0"/>
              <w:rPr>
                <w:szCs w:val="24"/>
              </w:rPr>
            </w:pPr>
            <w:r w:rsidRPr="000D5DBF">
              <w:rPr>
                <w:szCs w:val="24"/>
              </w:rPr>
              <w:t>PO</w:t>
            </w:r>
          </w:p>
          <w:p w14:paraId="5FF5FB1A" w14:textId="35159919" w:rsidR="007D2B7D" w:rsidRDefault="007D2B7D" w:rsidP="00BA1297">
            <w:pPr>
              <w:tabs>
                <w:tab w:val="left" w:pos="1418"/>
                <w:tab w:val="left" w:pos="1985"/>
              </w:tabs>
              <w:spacing w:before="0" w:after="0"/>
              <w:rPr>
                <w:szCs w:val="24"/>
              </w:rPr>
            </w:pPr>
            <w:r>
              <w:rPr>
                <w:szCs w:val="24"/>
              </w:rPr>
              <w:t>Programma</w:t>
            </w:r>
          </w:p>
          <w:p w14:paraId="35EE4CB9" w14:textId="74DFDE8D" w:rsidR="00EB452F" w:rsidRPr="000D5DBF" w:rsidRDefault="00EB452F" w:rsidP="00BA1297">
            <w:pPr>
              <w:tabs>
                <w:tab w:val="left" w:pos="1418"/>
                <w:tab w:val="left" w:pos="1985"/>
              </w:tabs>
              <w:spacing w:before="0" w:after="0"/>
              <w:rPr>
                <w:szCs w:val="24"/>
              </w:rPr>
            </w:pPr>
            <w:r>
              <w:rPr>
                <w:szCs w:val="24"/>
              </w:rPr>
              <w:t>SAM</w:t>
            </w:r>
          </w:p>
          <w:p w14:paraId="50C71F4A" w14:textId="77777777" w:rsidR="006B0944" w:rsidRPr="000D5DBF" w:rsidRDefault="006B0944" w:rsidP="00BA1297">
            <w:pPr>
              <w:tabs>
                <w:tab w:val="left" w:pos="1418"/>
                <w:tab w:val="left" w:pos="1985"/>
              </w:tabs>
              <w:spacing w:before="0" w:after="0"/>
              <w:rPr>
                <w:szCs w:val="24"/>
              </w:rPr>
            </w:pPr>
            <w:r w:rsidRPr="000D5DBF">
              <w:rPr>
                <w:szCs w:val="24"/>
              </w:rPr>
              <w:t>SIF</w:t>
            </w:r>
          </w:p>
          <w:p w14:paraId="0208475C" w14:textId="77777777" w:rsidR="006B0944" w:rsidRPr="000D5DBF" w:rsidRDefault="006B0944" w:rsidP="00BA1297">
            <w:pPr>
              <w:tabs>
                <w:tab w:val="left" w:pos="1418"/>
                <w:tab w:val="left" w:pos="1985"/>
              </w:tabs>
              <w:spacing w:before="0" w:after="0"/>
              <w:rPr>
                <w:szCs w:val="24"/>
              </w:rPr>
            </w:pPr>
            <w:r w:rsidRPr="000D5DBF">
              <w:rPr>
                <w:szCs w:val="24"/>
              </w:rPr>
              <w:t>OECD</w:t>
            </w:r>
          </w:p>
        </w:tc>
        <w:tc>
          <w:tcPr>
            <w:tcW w:w="6029" w:type="dxa"/>
            <w:shd w:val="clear" w:color="auto" w:fill="auto"/>
          </w:tcPr>
          <w:p w14:paraId="12A64700" w14:textId="77777777" w:rsidR="006B0944" w:rsidRPr="000D5DBF" w:rsidRDefault="006B0944" w:rsidP="00BA1297">
            <w:pPr>
              <w:tabs>
                <w:tab w:val="left" w:pos="1418"/>
                <w:tab w:val="left" w:pos="1985"/>
              </w:tabs>
              <w:spacing w:before="0" w:after="0"/>
              <w:rPr>
                <w:szCs w:val="24"/>
              </w:rPr>
            </w:pPr>
            <w:r w:rsidRPr="000D5DBF">
              <w:rPr>
                <w:szCs w:val="24"/>
              </w:rPr>
              <w:t>Nevalstiskā organizācija</w:t>
            </w:r>
          </w:p>
          <w:p w14:paraId="0FFE95C9" w14:textId="77777777" w:rsidR="006B0944" w:rsidRDefault="006B0944" w:rsidP="00BA1297">
            <w:pPr>
              <w:tabs>
                <w:tab w:val="left" w:pos="1418"/>
                <w:tab w:val="left" w:pos="1985"/>
              </w:tabs>
              <w:spacing w:before="0" w:after="0"/>
              <w:rPr>
                <w:szCs w:val="24"/>
              </w:rPr>
            </w:pPr>
            <w:r w:rsidRPr="000D5DBF">
              <w:rPr>
                <w:szCs w:val="24"/>
              </w:rPr>
              <w:t>Partnerorganizācija</w:t>
            </w:r>
          </w:p>
          <w:p w14:paraId="141AB748" w14:textId="5FE7EC26" w:rsidR="007D2B7D" w:rsidRPr="000D5DBF" w:rsidRDefault="007D2B7D" w:rsidP="00BA1297">
            <w:pPr>
              <w:tabs>
                <w:tab w:val="left" w:pos="1418"/>
                <w:tab w:val="left" w:pos="1985"/>
              </w:tabs>
              <w:spacing w:before="0" w:after="0"/>
              <w:rPr>
                <w:szCs w:val="24"/>
              </w:rPr>
            </w:pPr>
            <w:r w:rsidRPr="007D2B7D">
              <w:rPr>
                <w:szCs w:val="24"/>
              </w:rPr>
              <w:t>ESF+ programma materiālās nenodrošinātības mazināšanai</w:t>
            </w:r>
          </w:p>
          <w:p w14:paraId="120214AD" w14:textId="0BC0BDF1" w:rsidR="00EB452F" w:rsidRDefault="00EB452F" w:rsidP="00BA1297">
            <w:pPr>
              <w:tabs>
                <w:tab w:val="left" w:pos="1418"/>
                <w:tab w:val="left" w:pos="1985"/>
              </w:tabs>
              <w:spacing w:before="0" w:after="0"/>
              <w:rPr>
                <w:szCs w:val="24"/>
              </w:rPr>
            </w:pPr>
            <w:r>
              <w:rPr>
                <w:szCs w:val="24"/>
              </w:rPr>
              <w:t>Specifiskais atbalsta mērķis</w:t>
            </w:r>
          </w:p>
          <w:p w14:paraId="34C4EEC7" w14:textId="77777777" w:rsidR="006B0944" w:rsidRPr="000D5DBF" w:rsidRDefault="006B0944" w:rsidP="00BA1297">
            <w:pPr>
              <w:tabs>
                <w:tab w:val="left" w:pos="1418"/>
                <w:tab w:val="left" w:pos="1985"/>
              </w:tabs>
              <w:spacing w:before="0" w:after="0"/>
              <w:rPr>
                <w:szCs w:val="24"/>
              </w:rPr>
            </w:pPr>
            <w:r w:rsidRPr="000D5DBF">
              <w:rPr>
                <w:szCs w:val="24"/>
              </w:rPr>
              <w:t>Sabiedrības integrācijas fonds</w:t>
            </w:r>
          </w:p>
          <w:p w14:paraId="020908F6" w14:textId="77777777" w:rsidR="006B0944" w:rsidRPr="000D5DBF" w:rsidRDefault="006B0944" w:rsidP="00BA1297">
            <w:pPr>
              <w:tabs>
                <w:tab w:val="left" w:pos="1418"/>
                <w:tab w:val="left" w:pos="1985"/>
              </w:tabs>
              <w:spacing w:before="0" w:after="0"/>
              <w:rPr>
                <w:szCs w:val="24"/>
              </w:rPr>
            </w:pPr>
            <w:r w:rsidRPr="000D5DBF">
              <w:rPr>
                <w:szCs w:val="24"/>
              </w:rPr>
              <w:t>Ekonomiskās sadarbības un attīstības organizācijas</w:t>
            </w:r>
          </w:p>
        </w:tc>
      </w:tr>
      <w:tr w:rsidR="00F0703E" w:rsidRPr="000D5DBF" w14:paraId="4C1CA6C5" w14:textId="77777777" w:rsidTr="00F837F9">
        <w:tc>
          <w:tcPr>
            <w:tcW w:w="2430" w:type="dxa"/>
            <w:shd w:val="clear" w:color="auto" w:fill="auto"/>
          </w:tcPr>
          <w:p w14:paraId="12267850" w14:textId="77777777" w:rsidR="006B0944" w:rsidRPr="000D5DBF" w:rsidRDefault="006B0944" w:rsidP="00BA1297">
            <w:pPr>
              <w:tabs>
                <w:tab w:val="left" w:pos="1418"/>
                <w:tab w:val="left" w:pos="1985"/>
              </w:tabs>
              <w:spacing w:before="0" w:after="0"/>
              <w:rPr>
                <w:szCs w:val="24"/>
              </w:rPr>
            </w:pPr>
            <w:r w:rsidRPr="000D5DBF">
              <w:rPr>
                <w:szCs w:val="24"/>
              </w:rPr>
              <w:t>UK</w:t>
            </w:r>
          </w:p>
        </w:tc>
        <w:tc>
          <w:tcPr>
            <w:tcW w:w="6029" w:type="dxa"/>
            <w:shd w:val="clear" w:color="auto" w:fill="auto"/>
          </w:tcPr>
          <w:p w14:paraId="68E24923" w14:textId="77777777" w:rsidR="006B0944" w:rsidRPr="000D5DBF" w:rsidRDefault="006B0944" w:rsidP="00BA1297">
            <w:pPr>
              <w:tabs>
                <w:tab w:val="left" w:pos="1418"/>
                <w:tab w:val="left" w:pos="1985"/>
              </w:tabs>
              <w:spacing w:before="0" w:after="0"/>
              <w:rPr>
                <w:szCs w:val="24"/>
              </w:rPr>
            </w:pPr>
            <w:r w:rsidRPr="000D5DBF">
              <w:rPr>
                <w:szCs w:val="24"/>
              </w:rPr>
              <w:t>Kohēzijas politikas fondu uzraudzības komiteja</w:t>
            </w:r>
          </w:p>
        </w:tc>
      </w:tr>
      <w:tr w:rsidR="00F0703E" w:rsidRPr="000D5DBF" w14:paraId="4787C851" w14:textId="77777777" w:rsidTr="00F837F9">
        <w:tc>
          <w:tcPr>
            <w:tcW w:w="2430" w:type="dxa"/>
            <w:shd w:val="clear" w:color="auto" w:fill="auto"/>
          </w:tcPr>
          <w:p w14:paraId="0236B25B" w14:textId="77777777" w:rsidR="006B0944" w:rsidRPr="000D5DBF" w:rsidRDefault="006B0944" w:rsidP="00BA1297">
            <w:pPr>
              <w:tabs>
                <w:tab w:val="left" w:pos="1418"/>
                <w:tab w:val="left" w:pos="1985"/>
              </w:tabs>
              <w:spacing w:before="0" w:after="0"/>
              <w:rPr>
                <w:szCs w:val="24"/>
              </w:rPr>
            </w:pPr>
            <w:r w:rsidRPr="000D5DBF">
              <w:rPr>
                <w:szCs w:val="24"/>
              </w:rPr>
              <w:t>VM</w:t>
            </w:r>
          </w:p>
        </w:tc>
        <w:tc>
          <w:tcPr>
            <w:tcW w:w="6029" w:type="dxa"/>
            <w:shd w:val="clear" w:color="auto" w:fill="auto"/>
          </w:tcPr>
          <w:p w14:paraId="0764F7EC" w14:textId="77777777" w:rsidR="006B0944" w:rsidRPr="000D5DBF" w:rsidRDefault="006B0944" w:rsidP="00BA1297">
            <w:pPr>
              <w:tabs>
                <w:tab w:val="left" w:pos="1418"/>
                <w:tab w:val="left" w:pos="1985"/>
              </w:tabs>
              <w:spacing w:before="0" w:after="0"/>
              <w:rPr>
                <w:szCs w:val="24"/>
              </w:rPr>
            </w:pPr>
            <w:r w:rsidRPr="000D5DBF">
              <w:rPr>
                <w:szCs w:val="24"/>
              </w:rPr>
              <w:t>Veselības ministrija</w:t>
            </w:r>
          </w:p>
        </w:tc>
      </w:tr>
      <w:tr w:rsidR="00F0703E" w:rsidRPr="000D5DBF" w14:paraId="3107395C" w14:textId="77777777" w:rsidTr="00F837F9">
        <w:tc>
          <w:tcPr>
            <w:tcW w:w="2430" w:type="dxa"/>
            <w:shd w:val="clear" w:color="auto" w:fill="auto"/>
          </w:tcPr>
          <w:p w14:paraId="3F1CA302" w14:textId="77777777" w:rsidR="006B0944" w:rsidRPr="000D5DBF" w:rsidRDefault="006B0944" w:rsidP="00BA1297">
            <w:pPr>
              <w:tabs>
                <w:tab w:val="left" w:pos="1418"/>
                <w:tab w:val="left" w:pos="1985"/>
              </w:tabs>
              <w:spacing w:before="0" w:after="0"/>
              <w:rPr>
                <w:szCs w:val="24"/>
              </w:rPr>
            </w:pPr>
            <w:r w:rsidRPr="000D5DBF">
              <w:rPr>
                <w:szCs w:val="24"/>
              </w:rPr>
              <w:t>ZM</w:t>
            </w:r>
          </w:p>
        </w:tc>
        <w:tc>
          <w:tcPr>
            <w:tcW w:w="6029" w:type="dxa"/>
            <w:shd w:val="clear" w:color="auto" w:fill="auto"/>
          </w:tcPr>
          <w:p w14:paraId="48A65B3E" w14:textId="77777777" w:rsidR="006B0944" w:rsidRPr="000D5DBF" w:rsidRDefault="006B0944" w:rsidP="00BA1297">
            <w:pPr>
              <w:tabs>
                <w:tab w:val="left" w:pos="1418"/>
                <w:tab w:val="left" w:pos="1985"/>
              </w:tabs>
              <w:spacing w:before="0" w:after="0"/>
              <w:rPr>
                <w:szCs w:val="24"/>
              </w:rPr>
            </w:pPr>
            <w:r w:rsidRPr="000D5DBF">
              <w:rPr>
                <w:szCs w:val="24"/>
              </w:rPr>
              <w:t>Zemkopības ministrija</w:t>
            </w:r>
          </w:p>
        </w:tc>
      </w:tr>
    </w:tbl>
    <w:p w14:paraId="7D303E1C" w14:textId="77777777" w:rsidR="00DB30CD" w:rsidRPr="000D5DBF" w:rsidRDefault="00DB30CD" w:rsidP="00BA1297">
      <w:pPr>
        <w:spacing w:before="0" w:after="0"/>
      </w:pPr>
    </w:p>
    <w:p w14:paraId="3ECBA126" w14:textId="77777777" w:rsidR="006B0944" w:rsidRPr="000D5DBF" w:rsidRDefault="006B0944" w:rsidP="00BA1297">
      <w:pPr>
        <w:spacing w:before="0" w:after="0"/>
      </w:pPr>
    </w:p>
    <w:p w14:paraId="24F1F4B7" w14:textId="77777777" w:rsidR="006B0944" w:rsidRPr="000D5DBF" w:rsidRDefault="006B0944" w:rsidP="00BA1297">
      <w:pPr>
        <w:spacing w:before="0" w:after="0"/>
      </w:pPr>
    </w:p>
    <w:p w14:paraId="7145D603" w14:textId="77777777" w:rsidR="006B0944" w:rsidRPr="000D5DBF" w:rsidRDefault="006B0944" w:rsidP="00BA1297">
      <w:pPr>
        <w:spacing w:before="0" w:after="0"/>
      </w:pPr>
    </w:p>
    <w:p w14:paraId="1F302083" w14:textId="77777777" w:rsidR="006B0944" w:rsidRPr="000D5DBF" w:rsidRDefault="006B0944" w:rsidP="00BA1297">
      <w:pPr>
        <w:spacing w:before="0" w:after="0"/>
      </w:pPr>
    </w:p>
    <w:p w14:paraId="145BF8F7" w14:textId="77777777" w:rsidR="006B0944" w:rsidRPr="000D5DBF" w:rsidRDefault="006B0944" w:rsidP="00BA1297">
      <w:pPr>
        <w:spacing w:before="0" w:after="0"/>
        <w:jc w:val="left"/>
      </w:pPr>
      <w:r w:rsidRPr="000D5DBF">
        <w:br w:type="page"/>
      </w:r>
    </w:p>
    <w:p w14:paraId="276AD820" w14:textId="77777777" w:rsidR="00D27AF9" w:rsidRPr="000D5DBF" w:rsidRDefault="00D27AF9" w:rsidP="00BA1297">
      <w:pPr>
        <w:pStyle w:val="Heading1"/>
        <w:numPr>
          <w:ilvl w:val="0"/>
          <w:numId w:val="30"/>
        </w:numPr>
        <w:spacing w:before="0"/>
        <w:rPr>
          <w:rFonts w:ascii="Times New Roman" w:eastAsia="Times New Roman" w:hAnsi="Times New Roman" w:cs="Times New Roman"/>
          <w:b/>
          <w:iCs/>
          <w:noProof/>
          <w:color w:val="auto"/>
          <w:sz w:val="28"/>
          <w:szCs w:val="28"/>
        </w:rPr>
      </w:pPr>
      <w:bookmarkStart w:id="3" w:name="_Toc62557102"/>
      <w:r w:rsidRPr="000D5DBF">
        <w:rPr>
          <w:rFonts w:ascii="Times New Roman" w:hAnsi="Times New Roman" w:cs="Times New Roman"/>
          <w:b/>
          <w:noProof/>
          <w:color w:val="auto"/>
          <w:sz w:val="28"/>
          <w:szCs w:val="28"/>
        </w:rPr>
        <w:lastRenderedPageBreak/>
        <w:t>Programmas stratēģija: galvenie attīstības politikas uzdevumi un politikas risinājumi</w:t>
      </w:r>
      <w:bookmarkEnd w:id="3"/>
    </w:p>
    <w:p w14:paraId="07F1977B" w14:textId="77777777" w:rsidR="00D27AF9" w:rsidRPr="000D5DBF" w:rsidRDefault="00D27AF9" w:rsidP="00BA1297">
      <w:pPr>
        <w:pStyle w:val="Heading2"/>
        <w:numPr>
          <w:ilvl w:val="1"/>
          <w:numId w:val="30"/>
        </w:numPr>
        <w:spacing w:before="0"/>
        <w:rPr>
          <w:rFonts w:ascii="Times New Roman" w:hAnsi="Times New Roman" w:cs="Times New Roman"/>
          <w:b/>
          <w:color w:val="auto"/>
          <w:sz w:val="24"/>
          <w:szCs w:val="24"/>
        </w:rPr>
      </w:pPr>
      <w:bookmarkStart w:id="4" w:name="_Toc62557103"/>
      <w:r w:rsidRPr="000D5DBF">
        <w:rPr>
          <w:rFonts w:ascii="Times New Roman" w:hAnsi="Times New Roman" w:cs="Times New Roman"/>
          <w:b/>
          <w:color w:val="auto"/>
          <w:sz w:val="24"/>
          <w:szCs w:val="24"/>
        </w:rPr>
        <w:t>Situācijas apraksts</w:t>
      </w:r>
      <w:bookmarkEnd w:id="4"/>
    </w:p>
    <w:p w14:paraId="5A4CF7C3" w14:textId="77777777"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bCs/>
          <w:sz w:val="24"/>
          <w:szCs w:val="24"/>
        </w:rPr>
        <w:t xml:space="preserve">Augsta ienākumu nevienlīdzība, sabiedrības novecošanās, nodarbinātības iespēju un bezdarba reģionālās atšķirības, reģionālās atšķirības sociālās palīdzības un atbalsta pieejamībā – ir tie faktori, kuriem ir būtiska ietekme uz iedzīvotāju labklājības un dzīves kvalitātes līmeni. </w:t>
      </w:r>
      <w:r w:rsidRPr="000D5DBF">
        <w:rPr>
          <w:rFonts w:ascii="Times New Roman" w:hAnsi="Times New Roman" w:cs="Times New Roman"/>
          <w:sz w:val="24"/>
          <w:szCs w:val="24"/>
        </w:rPr>
        <w:t xml:space="preserve">Latvijā ienākumu sadalījums ir viens no nevienlīdzīgākajiem ES – 2018. gadā turīgāko 20 % ienākumi 6,8 reizes pārsniedza trūcīgāko 20 % ienākumus. Tāpat arī nabadzības riskam pakļauto iedzīvotāju īpatsvars ir viens no augstākajiem ES. </w:t>
      </w:r>
      <w:r w:rsidRPr="000D5DBF">
        <w:rPr>
          <w:rFonts w:ascii="Times New Roman" w:hAnsi="Times New Roman" w:cs="Times New Roman"/>
          <w:bCs/>
          <w:sz w:val="24"/>
          <w:szCs w:val="24"/>
        </w:rPr>
        <w:t>Saskaņā ar CSP 2019. gadā veiktās iedzīvotāju aptaujas datiem, 2018. gadā Latvijā nabadzības riskam bija pakļauti 22,9 % iedzīvotāju, kas ir par 0,4 procentpunktiem vairāk nekā 2017. gadā</w:t>
      </w:r>
      <w:r w:rsidRPr="000D5DBF">
        <w:rPr>
          <w:rStyle w:val="FootnoteReference"/>
          <w:rFonts w:ascii="Times New Roman" w:hAnsi="Times New Roman" w:cs="Times New Roman"/>
          <w:bCs/>
          <w:sz w:val="24"/>
          <w:szCs w:val="24"/>
        </w:rPr>
        <w:footnoteReference w:id="1"/>
      </w:r>
      <w:r w:rsidRPr="000D5DBF">
        <w:rPr>
          <w:rFonts w:ascii="Times New Roman" w:hAnsi="Times New Roman" w:cs="Times New Roman"/>
          <w:bCs/>
          <w:sz w:val="24"/>
          <w:szCs w:val="24"/>
        </w:rPr>
        <w:t>. Vislielākais nabadzības riskam pakļauto iedzīvotāju īpatsvars 2018. gadā bija Latgalē (40,4 %) un vismazākais – Pierīgā (14,4 %) un Rīgā (16,1 %). Vidzemē nabadzības riskam bija pakļauti 34,6 % iedzīvotāju, Kurzemē – 27,0 % un Zemgalē – 21,7 % iedzīvotāju</w:t>
      </w:r>
      <w:r w:rsidRPr="000D5DBF">
        <w:rPr>
          <w:rStyle w:val="FootnoteReference"/>
          <w:rFonts w:ascii="Times New Roman" w:hAnsi="Times New Roman" w:cs="Times New Roman"/>
          <w:bCs/>
          <w:sz w:val="24"/>
          <w:szCs w:val="24"/>
        </w:rPr>
        <w:footnoteReference w:id="2"/>
      </w:r>
      <w:r w:rsidRPr="000D5DBF">
        <w:rPr>
          <w:rFonts w:ascii="Times New Roman" w:hAnsi="Times New Roman" w:cs="Times New Roman"/>
          <w:bCs/>
          <w:sz w:val="24"/>
          <w:szCs w:val="24"/>
        </w:rPr>
        <w:t>.</w:t>
      </w:r>
    </w:p>
    <w:p w14:paraId="3DF7CEF0" w14:textId="6E4CC724"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eastAsia="Times New Roman" w:hAnsi="Times New Roman" w:cs="Times New Roman"/>
          <w:bCs/>
          <w:sz w:val="24"/>
          <w:szCs w:val="24"/>
        </w:rPr>
        <w:t>Salīdzinot ar citām grupām, visvairāk nabadzības riskam ir pakļauti seniori</w:t>
      </w:r>
      <w:r w:rsidRPr="000D5DBF" w:rsidDel="00E90B61">
        <w:rPr>
          <w:rFonts w:ascii="Times New Roman" w:eastAsia="Times New Roman" w:hAnsi="Times New Roman" w:cs="Times New Roman"/>
          <w:bCs/>
          <w:sz w:val="24"/>
          <w:szCs w:val="24"/>
        </w:rPr>
        <w:t xml:space="preserve"> </w:t>
      </w:r>
      <w:r w:rsidRPr="000D5DBF">
        <w:rPr>
          <w:rFonts w:ascii="Times New Roman" w:eastAsia="Times New Roman" w:hAnsi="Times New Roman" w:cs="Times New Roman"/>
          <w:iCs/>
          <w:sz w:val="24"/>
          <w:szCs w:val="24"/>
        </w:rPr>
        <w:t>vecumā virs 65 gadiem</w:t>
      </w:r>
      <w:r w:rsidRPr="000D5DBF">
        <w:rPr>
          <w:rFonts w:ascii="Times New Roman" w:eastAsia="Times New Roman" w:hAnsi="Times New Roman" w:cs="Times New Roman"/>
          <w:bCs/>
          <w:sz w:val="24"/>
          <w:szCs w:val="24"/>
        </w:rPr>
        <w:t xml:space="preserve"> </w:t>
      </w:r>
      <w:r w:rsidRPr="000D5DBF">
        <w:rPr>
          <w:rFonts w:ascii="Times New Roman" w:eastAsia="Times New Roman" w:hAnsi="Times New Roman" w:cs="Times New Roman"/>
          <w:iCs/>
          <w:sz w:val="24"/>
          <w:szCs w:val="24"/>
        </w:rPr>
        <w:t>vienas personas mājsaimniecībā</w:t>
      </w:r>
      <w:r w:rsidRPr="000D5DBF">
        <w:rPr>
          <w:rFonts w:ascii="Times New Roman" w:eastAsia="Times New Roman" w:hAnsi="Times New Roman" w:cs="Times New Roman"/>
          <w:bCs/>
          <w:sz w:val="24"/>
          <w:szCs w:val="24"/>
        </w:rPr>
        <w:t>. 2018. gadā tādu bija 74,9 % (2017. gadā – 74,0 %). Otra lielākā nabadzības riskam pakļautā sabiedrības grupa ir šādās mājsaimniecībās dzīvojošas personas vecumā līdz 64 gadiem (2018.</w:t>
      </w:r>
      <w:r w:rsidR="00EA324E" w:rsidRPr="000D5DBF">
        <w:rPr>
          <w:rFonts w:ascii="Times New Roman" w:eastAsia="Times New Roman" w:hAnsi="Times New Roman" w:cs="Times New Roman"/>
          <w:bCs/>
          <w:sz w:val="24"/>
          <w:szCs w:val="24"/>
        </w:rPr>
        <w:t> </w:t>
      </w:r>
      <w:r w:rsidRPr="000D5DBF">
        <w:rPr>
          <w:rFonts w:ascii="Times New Roman" w:hAnsi="Times New Roman" w:cs="Times New Roman"/>
          <w:sz w:val="24"/>
          <w:szCs w:val="24"/>
        </w:rPr>
        <w:t xml:space="preserve">gadā – 31,7 %, </w:t>
      </w:r>
      <w:r w:rsidRPr="000D5DBF">
        <w:rPr>
          <w:rFonts w:ascii="Times New Roman" w:eastAsia="Times New Roman" w:hAnsi="Times New Roman" w:cs="Times New Roman"/>
          <w:bCs/>
          <w:sz w:val="24"/>
          <w:szCs w:val="24"/>
        </w:rPr>
        <w:t>2017. gadā – 31 %). Vismazāk nabadzības riskam pakļauto bija strādājošo iedzīvotāju vidū (8,5 % 2018. gadā un 8,1 % 2017. gadā). Savukārt ievērojami vairāk nabadzības riskam bija pakļauti bezdarbnieki (57,7 % 2018. gadā un 59,5 % 2017. gadā) un pensionāri (52,5 % 2018. gadā un 48,9 % 2017. gadā)</w:t>
      </w:r>
      <w:r w:rsidRPr="000D5DBF">
        <w:rPr>
          <w:rFonts w:ascii="Times New Roman" w:eastAsia="Times New Roman" w:hAnsi="Times New Roman" w:cs="Times New Roman"/>
          <w:bCs/>
          <w:sz w:val="24"/>
          <w:szCs w:val="24"/>
          <w:vertAlign w:val="superscript"/>
        </w:rPr>
        <w:t>2</w:t>
      </w:r>
      <w:r w:rsidRPr="000D5DBF">
        <w:rPr>
          <w:rFonts w:ascii="Times New Roman" w:eastAsia="Times New Roman" w:hAnsi="Times New Roman" w:cs="Times New Roman"/>
          <w:bCs/>
          <w:sz w:val="24"/>
          <w:szCs w:val="24"/>
        </w:rPr>
        <w:t>.</w:t>
      </w:r>
      <w:r w:rsidR="00BA04E4" w:rsidRPr="000D5DBF">
        <w:rPr>
          <w:rFonts w:ascii="Times New Roman" w:eastAsia="Times New Roman" w:hAnsi="Times New Roman" w:cs="Times New Roman"/>
          <w:bCs/>
          <w:sz w:val="24"/>
          <w:szCs w:val="24"/>
        </w:rPr>
        <w:t xml:space="preserve"> </w:t>
      </w:r>
      <w:r w:rsidR="0063447D" w:rsidRPr="000D5DBF">
        <w:rPr>
          <w:rFonts w:ascii="Times New Roman" w:hAnsi="Times New Roman" w:cs="Times New Roman"/>
          <w:bCs/>
          <w:sz w:val="24"/>
          <w:szCs w:val="24"/>
        </w:rPr>
        <w:t>Vērojams, ka samazinājies</w:t>
      </w:r>
      <w:r w:rsidRPr="000D5DBF">
        <w:rPr>
          <w:rFonts w:ascii="Times New Roman" w:hAnsi="Times New Roman" w:cs="Times New Roman"/>
          <w:bCs/>
          <w:sz w:val="24"/>
          <w:szCs w:val="24"/>
        </w:rPr>
        <w:t xml:space="preserve"> nepilno un daudzbērnu ģimeņu nabadzības risks. Nabadzības riska</w:t>
      </w:r>
      <w:r w:rsidR="00EA324E" w:rsidRPr="000D5DBF">
        <w:rPr>
          <w:rFonts w:ascii="Times New Roman" w:hAnsi="Times New Roman" w:cs="Times New Roman"/>
          <w:bCs/>
          <w:sz w:val="24"/>
          <w:szCs w:val="24"/>
        </w:rPr>
        <w:t>m 2018. gadā bija pakļauti 26,2 </w:t>
      </w:r>
      <w:r w:rsidRPr="000D5DBF">
        <w:rPr>
          <w:rFonts w:ascii="Times New Roman" w:hAnsi="Times New Roman" w:cs="Times New Roman"/>
          <w:bCs/>
          <w:sz w:val="24"/>
          <w:szCs w:val="24"/>
        </w:rPr>
        <w:t xml:space="preserve">% ģimeņu ar vienu pieaugušo un bērniem (2017. gadā – 32,6 %) un 16,7 % daudzbērnu ģimenes ar diviem pieaugušajiem un trim vai vairāk bērniem (2017. gadā – 20,7 %). </w:t>
      </w:r>
      <w:r w:rsidRPr="000D5DBF">
        <w:rPr>
          <w:rStyle w:val="FootnoteReference"/>
          <w:rFonts w:ascii="Times New Roman" w:hAnsi="Times New Roman" w:cs="Times New Roman"/>
          <w:bCs/>
          <w:sz w:val="24"/>
          <w:szCs w:val="24"/>
        </w:rPr>
        <w:footnoteReference w:id="3"/>
      </w:r>
      <w:r w:rsidRPr="000D5DBF">
        <w:rPr>
          <w:rFonts w:ascii="Times New Roman" w:hAnsi="Times New Roman" w:cs="Times New Roman"/>
          <w:bCs/>
          <w:sz w:val="24"/>
          <w:szCs w:val="24"/>
        </w:rPr>
        <w:t xml:space="preserve"> </w:t>
      </w:r>
    </w:p>
    <w:p w14:paraId="66CAA6CD" w14:textId="77777777"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sz w:val="24"/>
          <w:szCs w:val="24"/>
        </w:rPr>
        <w:t>Latvijā ir arī viens no visaugstākajiem dziļas materiālās nenodrošinātības rādītājiem ES. Lai gan iedzīvotāju dziļas materiālās nenodrošinātības rādītāja izmaiņas Latvijā liecina par situācijas uzlabošanos (no 16,4 % 2015. gadā uz 7,8 % 2019. gadā</w:t>
      </w:r>
      <w:r w:rsidRPr="000D5DBF">
        <w:rPr>
          <w:rStyle w:val="FootnoteReference"/>
          <w:rFonts w:ascii="Times New Roman" w:hAnsi="Times New Roman" w:cs="Times New Roman"/>
          <w:sz w:val="24"/>
          <w:szCs w:val="24"/>
        </w:rPr>
        <w:footnoteReference w:id="4"/>
      </w:r>
      <w:r w:rsidRPr="000D5DBF">
        <w:rPr>
          <w:rFonts w:ascii="Times New Roman" w:hAnsi="Times New Roman" w:cs="Times New Roman"/>
          <w:sz w:val="24"/>
          <w:szCs w:val="24"/>
        </w:rPr>
        <w:t>), tas joprojām pārsniedz ES vidējos rādītājus (5,9 %). Turklāt, vērtējot šo rādītāju par mājsaimniecību tipiem, secināts, ka grupā “</w:t>
      </w:r>
      <w:r w:rsidRPr="000D5DBF">
        <w:rPr>
          <w:rFonts w:ascii="Times New Roman" w:hAnsi="Times New Roman" w:cs="Times New Roman"/>
          <w:bCs/>
          <w:sz w:val="24"/>
          <w:szCs w:val="24"/>
        </w:rPr>
        <w:t>Viens pieaugušais ar bērniem”</w:t>
      </w:r>
      <w:r w:rsidRPr="000D5DBF">
        <w:rPr>
          <w:rFonts w:ascii="Times New Roman" w:hAnsi="Times New Roman" w:cs="Times New Roman"/>
          <w:sz w:val="24"/>
          <w:szCs w:val="24"/>
        </w:rPr>
        <w:t xml:space="preserve"> nenodrošinātības īpatsvars 2019. gadā bija tāds pats kā grupai “Viena persona 65+” (abām grupām 15,3 %)</w:t>
      </w:r>
      <w:r w:rsidRPr="000D5DBF">
        <w:rPr>
          <w:rStyle w:val="FootnoteReference"/>
          <w:rFonts w:ascii="Times New Roman" w:hAnsi="Times New Roman" w:cs="Times New Roman"/>
          <w:sz w:val="24"/>
          <w:szCs w:val="24"/>
        </w:rPr>
        <w:footnoteReference w:id="5"/>
      </w:r>
      <w:r w:rsidRPr="000D5DBF">
        <w:rPr>
          <w:rFonts w:ascii="Times New Roman" w:hAnsi="Times New Roman" w:cs="Times New Roman"/>
          <w:sz w:val="24"/>
          <w:szCs w:val="24"/>
        </w:rPr>
        <w:t xml:space="preserve">. </w:t>
      </w:r>
    </w:p>
    <w:p w14:paraId="076DE99B" w14:textId="77777777" w:rsidR="00B310FD"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bCs/>
          <w:sz w:val="24"/>
          <w:szCs w:val="24"/>
        </w:rPr>
        <w:t>LM apkopotie dati par vistrūcīgākajām personām un pašvaldību sociālo pabalstu saņēmējiem norāda uz iedzīvotāju skaitu, kam ir īpaši apgrūtināta pamatvajadzību apmierināšana. 2019.</w:t>
      </w:r>
      <w:r w:rsidR="00EA324E" w:rsidRPr="000D5DBF">
        <w:rPr>
          <w:rFonts w:ascii="Times New Roman" w:hAnsi="Times New Roman" w:cs="Times New Roman"/>
          <w:bCs/>
          <w:sz w:val="24"/>
          <w:szCs w:val="24"/>
        </w:rPr>
        <w:t> </w:t>
      </w:r>
      <w:r w:rsidRPr="000D5DBF">
        <w:rPr>
          <w:rFonts w:ascii="Times New Roman" w:hAnsi="Times New Roman" w:cs="Times New Roman"/>
          <w:bCs/>
          <w:sz w:val="24"/>
          <w:szCs w:val="24"/>
        </w:rPr>
        <w:t>gada laikā trūcīgas persona</w:t>
      </w:r>
      <w:r w:rsidR="00EA324E" w:rsidRPr="000D5DBF">
        <w:rPr>
          <w:rFonts w:ascii="Times New Roman" w:hAnsi="Times New Roman" w:cs="Times New Roman"/>
          <w:bCs/>
          <w:sz w:val="24"/>
          <w:szCs w:val="24"/>
        </w:rPr>
        <w:t>s statuss tika piešķirts 41 522 </w:t>
      </w:r>
      <w:r w:rsidRPr="000D5DBF">
        <w:rPr>
          <w:rFonts w:ascii="Times New Roman" w:hAnsi="Times New Roman" w:cs="Times New Roman"/>
          <w:bCs/>
          <w:sz w:val="24"/>
          <w:szCs w:val="24"/>
        </w:rPr>
        <w:t>personām, t.sk. 10 349 bērniem (24,9</w:t>
      </w:r>
      <w:r w:rsidR="00EA324E" w:rsidRPr="000D5DBF">
        <w:rPr>
          <w:rFonts w:ascii="Times New Roman" w:hAnsi="Times New Roman" w:cs="Times New Roman"/>
          <w:bCs/>
          <w:sz w:val="24"/>
          <w:szCs w:val="24"/>
        </w:rPr>
        <w:t> </w:t>
      </w:r>
      <w:r w:rsidRPr="000D5DBF">
        <w:rPr>
          <w:rFonts w:ascii="Times New Roman" w:hAnsi="Times New Roman" w:cs="Times New Roman"/>
          <w:bCs/>
          <w:sz w:val="24"/>
          <w:szCs w:val="24"/>
        </w:rPr>
        <w:t xml:space="preserve">%) un maznodrošinātas personas statuss piešķirts 45 564 personām, t.sk. </w:t>
      </w:r>
      <w:r w:rsidR="00EA324E" w:rsidRPr="000D5DBF">
        <w:rPr>
          <w:rFonts w:ascii="Times New Roman" w:hAnsi="Times New Roman" w:cs="Times New Roman"/>
          <w:bCs/>
          <w:sz w:val="24"/>
          <w:szCs w:val="24"/>
        </w:rPr>
        <w:t>6512 </w:t>
      </w:r>
      <w:r w:rsidRPr="000D5DBF">
        <w:rPr>
          <w:rFonts w:ascii="Times New Roman" w:hAnsi="Times New Roman" w:cs="Times New Roman"/>
          <w:bCs/>
          <w:sz w:val="24"/>
          <w:szCs w:val="24"/>
        </w:rPr>
        <w:t>bērniem (14,29</w:t>
      </w:r>
      <w:r w:rsidR="00EA324E" w:rsidRPr="000D5DBF">
        <w:rPr>
          <w:rFonts w:ascii="Times New Roman" w:hAnsi="Times New Roman" w:cs="Times New Roman"/>
          <w:bCs/>
          <w:sz w:val="24"/>
          <w:szCs w:val="24"/>
        </w:rPr>
        <w:t> </w:t>
      </w:r>
      <w:r w:rsidRPr="000D5DBF">
        <w:rPr>
          <w:rFonts w:ascii="Times New Roman" w:hAnsi="Times New Roman" w:cs="Times New Roman"/>
          <w:bCs/>
          <w:sz w:val="24"/>
          <w:szCs w:val="24"/>
        </w:rPr>
        <w:t>%). Savukārt dažādus pašvaldības sociālās palīdzības pabalstus pēc ienākumu testēšanas 2019.</w:t>
      </w:r>
      <w:r w:rsidR="00EA324E" w:rsidRPr="000D5DBF">
        <w:rPr>
          <w:rFonts w:ascii="Times New Roman" w:hAnsi="Times New Roman" w:cs="Times New Roman"/>
          <w:bCs/>
          <w:sz w:val="24"/>
          <w:szCs w:val="24"/>
        </w:rPr>
        <w:t> gadā saņēma 64 010 </w:t>
      </w:r>
      <w:r w:rsidRPr="000D5DBF">
        <w:rPr>
          <w:rFonts w:ascii="Times New Roman" w:hAnsi="Times New Roman" w:cs="Times New Roman"/>
          <w:bCs/>
          <w:sz w:val="24"/>
          <w:szCs w:val="24"/>
        </w:rPr>
        <w:t>ģimene</w:t>
      </w:r>
      <w:r w:rsidR="00EA324E" w:rsidRPr="000D5DBF">
        <w:rPr>
          <w:rFonts w:ascii="Times New Roman" w:hAnsi="Times New Roman" w:cs="Times New Roman"/>
          <w:bCs/>
          <w:sz w:val="24"/>
          <w:szCs w:val="24"/>
        </w:rPr>
        <w:t>s</w:t>
      </w:r>
      <w:r w:rsidRPr="000D5DBF">
        <w:rPr>
          <w:rFonts w:ascii="Times New Roman" w:hAnsi="Times New Roman" w:cs="Times New Roman"/>
          <w:bCs/>
          <w:sz w:val="24"/>
          <w:szCs w:val="24"/>
        </w:rPr>
        <w:t xml:space="preserve"> ar kopējo personu skaitu tajās 109 357</w:t>
      </w:r>
      <w:r w:rsidRPr="000D5DBF">
        <w:rPr>
          <w:rStyle w:val="FootnoteReference"/>
          <w:rFonts w:ascii="Times New Roman" w:hAnsi="Times New Roman" w:cs="Times New Roman"/>
          <w:bCs/>
          <w:sz w:val="24"/>
          <w:szCs w:val="24"/>
        </w:rPr>
        <w:footnoteReference w:id="6"/>
      </w:r>
      <w:r w:rsidRPr="000D5DBF">
        <w:rPr>
          <w:rFonts w:ascii="Times New Roman" w:hAnsi="Times New Roman" w:cs="Times New Roman"/>
          <w:bCs/>
          <w:sz w:val="24"/>
          <w:szCs w:val="24"/>
        </w:rPr>
        <w:t>.</w:t>
      </w:r>
    </w:p>
    <w:p w14:paraId="1EA79EB3" w14:textId="77777777" w:rsidR="00D27AF9" w:rsidRPr="000D5DBF" w:rsidRDefault="00D27AF9" w:rsidP="00BA1297">
      <w:pPr>
        <w:pStyle w:val="Heading2"/>
        <w:numPr>
          <w:ilvl w:val="1"/>
          <w:numId w:val="30"/>
        </w:numPr>
        <w:spacing w:before="0"/>
        <w:rPr>
          <w:rFonts w:ascii="Times New Roman" w:hAnsi="Times New Roman" w:cs="Times New Roman"/>
          <w:b/>
          <w:color w:val="auto"/>
          <w:sz w:val="24"/>
          <w:szCs w:val="24"/>
        </w:rPr>
      </w:pPr>
      <w:bookmarkStart w:id="5" w:name="_Toc62557104"/>
      <w:r w:rsidRPr="000D5DBF">
        <w:rPr>
          <w:rFonts w:ascii="Times New Roman" w:hAnsi="Times New Roman" w:cs="Times New Roman"/>
          <w:b/>
          <w:color w:val="auto"/>
          <w:sz w:val="24"/>
          <w:szCs w:val="24"/>
        </w:rPr>
        <w:lastRenderedPageBreak/>
        <w:t>Ieguldījumu nepieciešamības pamatojums</w:t>
      </w:r>
      <w:bookmarkEnd w:id="5"/>
    </w:p>
    <w:p w14:paraId="1F800622" w14:textId="77777777"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sz w:val="24"/>
          <w:szCs w:val="24"/>
        </w:rPr>
        <w:t>EK savā 27.02.2019. publicētajā ikgadējā ziņojumā par Latviju</w:t>
      </w:r>
      <w:r w:rsidRPr="000D5DBF">
        <w:rPr>
          <w:rStyle w:val="FootnoteReference"/>
          <w:rFonts w:ascii="Times New Roman" w:hAnsi="Times New Roman" w:cs="Times New Roman"/>
          <w:sz w:val="24"/>
          <w:szCs w:val="24"/>
        </w:rPr>
        <w:footnoteReference w:id="7"/>
      </w:r>
      <w:r w:rsidRPr="000D5DBF">
        <w:rPr>
          <w:rFonts w:ascii="Times New Roman" w:hAnsi="Times New Roman" w:cs="Times New Roman"/>
          <w:sz w:val="24"/>
          <w:szCs w:val="24"/>
        </w:rPr>
        <w:t xml:space="preserve"> (</w:t>
      </w:r>
      <w:r w:rsidRPr="000D5DBF">
        <w:rPr>
          <w:rFonts w:ascii="Times New Roman" w:hAnsi="Times New Roman" w:cs="Times New Roman"/>
          <w:i/>
          <w:sz w:val="24"/>
          <w:szCs w:val="24"/>
        </w:rPr>
        <w:t>2019 Country Report – Latvia</w:t>
      </w:r>
      <w:r w:rsidRPr="000D5DBF">
        <w:rPr>
          <w:rFonts w:ascii="Times New Roman" w:hAnsi="Times New Roman" w:cs="Times New Roman"/>
          <w:sz w:val="24"/>
          <w:szCs w:val="24"/>
        </w:rPr>
        <w:t>) secina, ka Latvijā saglabājas augsts nabadzības un sociālās atstumtības līmenis, īpaši vecāka gadagājuma personām, personām ar invaliditāti, bezdarbniekiem. Ienākumu nevienlīdzība norādīta kā galvenais izaicinājums. EK ieskatā augstas prioritātes ieguldījumi plānojami sociālās iekļaušanas sekmēšanai, nodarbinātības uzlabošanai, kā arī materiālās nenodrošinātības problēmas risināšanai, sniedzot pārtikas un pamata materiālo palīdzību, apvienojot to ar papildpasākumiem.</w:t>
      </w:r>
    </w:p>
    <w:p w14:paraId="0D77F64F" w14:textId="77777777"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sz w:val="24"/>
          <w:szCs w:val="24"/>
        </w:rPr>
        <w:t xml:space="preserve">Valsts </w:t>
      </w:r>
      <w:r w:rsidRPr="000D5DBF">
        <w:rPr>
          <w:rFonts w:ascii="Times New Roman" w:hAnsi="Times New Roman" w:cs="Times New Roman"/>
          <w:bCs/>
          <w:sz w:val="24"/>
          <w:szCs w:val="24"/>
        </w:rPr>
        <w:t>uzdevums ir u</w:t>
      </w:r>
      <w:r w:rsidR="003732AF" w:rsidRPr="000D5DBF">
        <w:rPr>
          <w:rFonts w:ascii="Times New Roman" w:hAnsi="Times New Roman" w:cs="Times New Roman"/>
          <w:bCs/>
          <w:sz w:val="24"/>
          <w:szCs w:val="24"/>
        </w:rPr>
        <w:t>zņemties rūpes par</w:t>
      </w:r>
      <w:r w:rsidRPr="000D5DBF">
        <w:rPr>
          <w:rFonts w:ascii="Times New Roman" w:hAnsi="Times New Roman" w:cs="Times New Roman"/>
          <w:bCs/>
          <w:sz w:val="24"/>
          <w:szCs w:val="24"/>
        </w:rPr>
        <w:t xml:space="preserve"> grūtībās nonākušām personām, palīdzot nodrošināt tām pamatvajadzības un veicinot to iekļaušanos sabiedrībā, </w:t>
      </w:r>
      <w:r w:rsidR="0043369F" w:rsidRPr="000D5DBF">
        <w:rPr>
          <w:rFonts w:ascii="Times New Roman" w:hAnsi="Times New Roman" w:cs="Times New Roman"/>
          <w:bCs/>
          <w:sz w:val="24"/>
          <w:szCs w:val="24"/>
        </w:rPr>
        <w:t>ja</w:t>
      </w:r>
      <w:r w:rsidRPr="000D5DBF">
        <w:rPr>
          <w:rFonts w:ascii="Times New Roman" w:hAnsi="Times New Roman" w:cs="Times New Roman"/>
          <w:bCs/>
          <w:sz w:val="24"/>
          <w:szCs w:val="24"/>
        </w:rPr>
        <w:t xml:space="preserve"> tās </w:t>
      </w:r>
      <w:r w:rsidR="0043369F" w:rsidRPr="000D5DBF">
        <w:rPr>
          <w:rFonts w:ascii="Times New Roman" w:hAnsi="Times New Roman" w:cs="Times New Roman"/>
          <w:bCs/>
          <w:sz w:val="24"/>
          <w:szCs w:val="24"/>
        </w:rPr>
        <w:t>nespēj</w:t>
      </w:r>
      <w:r w:rsidRPr="000D5DBF">
        <w:rPr>
          <w:rFonts w:ascii="Times New Roman" w:hAnsi="Times New Roman" w:cs="Times New Roman"/>
          <w:bCs/>
          <w:sz w:val="24"/>
          <w:szCs w:val="24"/>
        </w:rPr>
        <w:t xml:space="preserve"> </w:t>
      </w:r>
      <w:r w:rsidR="0043369F" w:rsidRPr="000D5DBF">
        <w:rPr>
          <w:rFonts w:ascii="Times New Roman" w:hAnsi="Times New Roman" w:cs="Times New Roman"/>
          <w:bCs/>
          <w:sz w:val="24"/>
          <w:szCs w:val="24"/>
        </w:rPr>
        <w:t xml:space="preserve">vai tām ir ierobežotas iespējas </w:t>
      </w:r>
      <w:r w:rsidR="003732AF" w:rsidRPr="000D5DBF">
        <w:rPr>
          <w:rFonts w:ascii="Times New Roman" w:hAnsi="Times New Roman" w:cs="Times New Roman"/>
          <w:bCs/>
          <w:sz w:val="24"/>
          <w:szCs w:val="24"/>
        </w:rPr>
        <w:t>pašām to nodrošināt</w:t>
      </w:r>
      <w:r w:rsidRPr="000D5DBF">
        <w:rPr>
          <w:rFonts w:ascii="Times New Roman" w:hAnsi="Times New Roman" w:cs="Times New Roman"/>
          <w:bCs/>
          <w:sz w:val="24"/>
          <w:szCs w:val="24"/>
        </w:rPr>
        <w:t xml:space="preserve">. </w:t>
      </w:r>
      <w:r w:rsidR="0017055F" w:rsidRPr="000D5DBF">
        <w:rPr>
          <w:rFonts w:ascii="Times New Roman" w:hAnsi="Times New Roman" w:cs="Times New Roman"/>
          <w:bCs/>
          <w:sz w:val="24"/>
          <w:szCs w:val="24"/>
        </w:rPr>
        <w:t>Valsts normatīvajā regulējumā sociālās aizs</w:t>
      </w:r>
      <w:r w:rsidR="00C27E07" w:rsidRPr="000D5DBF">
        <w:rPr>
          <w:rFonts w:ascii="Times New Roman" w:hAnsi="Times New Roman" w:cs="Times New Roman"/>
          <w:bCs/>
          <w:sz w:val="24"/>
          <w:szCs w:val="24"/>
        </w:rPr>
        <w:t>ardzības jomā noteikti s</w:t>
      </w:r>
      <w:r w:rsidR="00D04DD4" w:rsidRPr="000D5DBF">
        <w:rPr>
          <w:rFonts w:ascii="Times New Roman" w:hAnsi="Times New Roman" w:cs="Times New Roman"/>
          <w:bCs/>
          <w:sz w:val="24"/>
          <w:szCs w:val="24"/>
        </w:rPr>
        <w:t>ociālās palīdzības pabalstu veidi:</w:t>
      </w:r>
      <w:r w:rsidR="00C27E07" w:rsidRPr="000D5DBF">
        <w:rPr>
          <w:rFonts w:ascii="Times New Roman" w:hAnsi="Times New Roman" w:cs="Times New Roman"/>
          <w:bCs/>
          <w:sz w:val="24"/>
          <w:szCs w:val="24"/>
        </w:rPr>
        <w:t xml:space="preserve"> p</w:t>
      </w:r>
      <w:r w:rsidR="00D04DD4" w:rsidRPr="000D5DBF">
        <w:rPr>
          <w:rFonts w:ascii="Times New Roman" w:hAnsi="Times New Roman" w:cs="Times New Roman"/>
          <w:bCs/>
          <w:sz w:val="24"/>
          <w:szCs w:val="24"/>
        </w:rPr>
        <w:t xml:space="preserve">amata sociālās palīdzības pabalsti </w:t>
      </w:r>
      <w:r w:rsidR="00C27E07" w:rsidRPr="000D5DBF">
        <w:rPr>
          <w:rFonts w:ascii="Times New Roman" w:hAnsi="Times New Roman" w:cs="Times New Roman"/>
          <w:bCs/>
          <w:sz w:val="24"/>
          <w:szCs w:val="24"/>
        </w:rPr>
        <w:t>un p</w:t>
      </w:r>
      <w:r w:rsidR="00D04DD4" w:rsidRPr="000D5DBF">
        <w:rPr>
          <w:rFonts w:ascii="Times New Roman" w:hAnsi="Times New Roman" w:cs="Times New Roman"/>
          <w:bCs/>
          <w:sz w:val="24"/>
          <w:szCs w:val="24"/>
        </w:rPr>
        <w:t>apildu sociālās palīdzības pabalsti</w:t>
      </w:r>
      <w:r w:rsidR="00C27E07" w:rsidRPr="000D5DBF">
        <w:rPr>
          <w:rFonts w:ascii="Times New Roman" w:hAnsi="Times New Roman" w:cs="Times New Roman"/>
          <w:bCs/>
          <w:sz w:val="24"/>
          <w:szCs w:val="24"/>
        </w:rPr>
        <w:t>. Papil</w:t>
      </w:r>
      <w:r w:rsidR="009E1894" w:rsidRPr="000D5DBF">
        <w:rPr>
          <w:rFonts w:ascii="Times New Roman" w:hAnsi="Times New Roman" w:cs="Times New Roman"/>
          <w:bCs/>
          <w:sz w:val="24"/>
          <w:szCs w:val="24"/>
        </w:rPr>
        <w:t>du sociālās palīdzības pabalsti, ko p</w:t>
      </w:r>
      <w:r w:rsidR="00202795" w:rsidRPr="000D5DBF">
        <w:rPr>
          <w:rFonts w:ascii="Times New Roman" w:hAnsi="Times New Roman" w:cs="Times New Roman"/>
          <w:bCs/>
          <w:sz w:val="24"/>
          <w:szCs w:val="24"/>
        </w:rPr>
        <w:t>iešķir pašvaldības, ir atkarīgi</w:t>
      </w:r>
      <w:r w:rsidRPr="000D5DBF">
        <w:rPr>
          <w:rFonts w:ascii="Times New Roman" w:hAnsi="Times New Roman" w:cs="Times New Roman"/>
          <w:bCs/>
          <w:sz w:val="24"/>
          <w:szCs w:val="24"/>
        </w:rPr>
        <w:t xml:space="preserve"> no </w:t>
      </w:r>
      <w:r w:rsidR="009E1894" w:rsidRPr="000D5DBF">
        <w:rPr>
          <w:rFonts w:ascii="Times New Roman" w:hAnsi="Times New Roman" w:cs="Times New Roman"/>
          <w:bCs/>
          <w:sz w:val="24"/>
          <w:szCs w:val="24"/>
        </w:rPr>
        <w:t>to</w:t>
      </w:r>
      <w:r w:rsidRPr="000D5DBF">
        <w:rPr>
          <w:rFonts w:ascii="Times New Roman" w:hAnsi="Times New Roman" w:cs="Times New Roman"/>
          <w:bCs/>
          <w:sz w:val="24"/>
          <w:szCs w:val="24"/>
        </w:rPr>
        <w:t xml:space="preserve"> sociālās politikas un finansiālajām iespējām.</w:t>
      </w:r>
    </w:p>
    <w:p w14:paraId="511A6EB5" w14:textId="77777777" w:rsidR="0076764F" w:rsidRPr="0076764F" w:rsidRDefault="0076764F" w:rsidP="0076764F">
      <w:pPr>
        <w:pStyle w:val="ListParagraph"/>
        <w:numPr>
          <w:ilvl w:val="0"/>
          <w:numId w:val="2"/>
        </w:numPr>
        <w:spacing w:after="0" w:line="240" w:lineRule="auto"/>
        <w:ind w:left="567" w:hanging="567"/>
        <w:jc w:val="both"/>
        <w:rPr>
          <w:rFonts w:ascii="Times New Roman" w:hAnsi="Times New Roman" w:cs="Times New Roman"/>
          <w:bCs/>
          <w:sz w:val="24"/>
          <w:szCs w:val="24"/>
        </w:rPr>
      </w:pPr>
      <w:r w:rsidRPr="0076764F">
        <w:rPr>
          <w:rFonts w:ascii="Times New Roman" w:hAnsi="Times New Roman" w:cs="Times New Roman"/>
          <w:bCs/>
          <w:sz w:val="24"/>
          <w:szCs w:val="24"/>
        </w:rPr>
        <w:t>Ar mērķi sekmēt iedzīvotāju sociālo iekļaušanu, mazinot ienākumu nevienlīdzību un nabadzību, attīstot pieejamu un individuālajām vajadzībām atbilstošu sociālo pakalpojumu un juridiskā atbalsta sistēmu, kā arī veicinot augstu un iekļaujošu nodarbinātību un kvalitatīvu darba vidi, Latvijas valsts ir izstrādājusi plānošanas dokumenta projektu “</w:t>
      </w:r>
      <w:r w:rsidRPr="0076764F">
        <w:rPr>
          <w:rFonts w:ascii="Times New Roman" w:hAnsi="Times New Roman" w:cs="Times New Roman"/>
          <w:sz w:val="24"/>
          <w:szCs w:val="24"/>
        </w:rPr>
        <w:t>Sociālās aizsardzības un darba tirgus politikas pamatnostādnes 2021. - 2027. gadam”. Tajā, balstoties uz pastāvošiem izaicinājumiem – pieaugošs nabadzības risks pensijas vecuma iedzīvotājiem, ko ietekmē sabiedrības novecošanās; dažādi sociālie pabalsti būtiski nemazina nabadzības risku sakarā ar finanšu krīzes un neparedzētas politikas izmaiņu ietekmi uz sociālās aizsardzības sistēmas stabilitāti; augsts iedzīvotāju skaits, kuri nav tiesīgi saņem pabalstus vai arī tos saņem mazā apmērā, jo izdevumi sociālai aizsardzībai valstī ir v</w:t>
      </w:r>
      <w:r w:rsidRPr="0076764F">
        <w:rPr>
          <w:rFonts w:ascii="Times New Roman" w:hAnsi="Times New Roman" w:cs="Times New Roman"/>
          <w:bCs/>
          <w:sz w:val="24"/>
          <w:szCs w:val="24"/>
        </w:rPr>
        <w:t>ieni no zemākajiem starp ES dalībvalstīm</w:t>
      </w:r>
      <w:r w:rsidRPr="0076764F">
        <w:rPr>
          <w:rFonts w:ascii="Times New Roman" w:hAnsi="Times New Roman" w:cs="Times New Roman"/>
          <w:sz w:val="24"/>
          <w:szCs w:val="24"/>
        </w:rPr>
        <w:t>, noteikts rīcības virziens “Ilgtspējīga, stabila un adekvāta sociālā aizsardzība” ar šādiem uzdevumiem:</w:t>
      </w:r>
    </w:p>
    <w:p w14:paraId="7E15F1B0" w14:textId="77777777" w:rsidR="0076764F" w:rsidRPr="0076764F" w:rsidRDefault="0076764F" w:rsidP="0076764F">
      <w:pPr>
        <w:pStyle w:val="ListParagraph"/>
        <w:numPr>
          <w:ilvl w:val="0"/>
          <w:numId w:val="32"/>
        </w:numPr>
        <w:spacing w:after="0" w:line="240" w:lineRule="auto"/>
        <w:ind w:left="993" w:hanging="284"/>
        <w:jc w:val="both"/>
        <w:rPr>
          <w:rFonts w:ascii="Times New Roman" w:hAnsi="Times New Roman" w:cs="Times New Roman"/>
          <w:bCs/>
          <w:sz w:val="24"/>
          <w:szCs w:val="24"/>
        </w:rPr>
      </w:pPr>
      <w:r w:rsidRPr="0076764F">
        <w:rPr>
          <w:rFonts w:ascii="Times New Roman" w:hAnsi="Times New Roman" w:cs="Times New Roman"/>
          <w:bCs/>
          <w:sz w:val="24"/>
          <w:szCs w:val="24"/>
        </w:rPr>
        <w:t>vidējā termiņā mērķtiecīgi pārskatīt pabalstus, kuru apmēri un nosacījumi nav ilgstoši mainīti;</w:t>
      </w:r>
    </w:p>
    <w:p w14:paraId="2AE5E845" w14:textId="77777777" w:rsidR="0076764F" w:rsidRPr="0076764F" w:rsidRDefault="0076764F" w:rsidP="0076764F">
      <w:pPr>
        <w:pStyle w:val="ListParagraph"/>
        <w:numPr>
          <w:ilvl w:val="0"/>
          <w:numId w:val="32"/>
        </w:numPr>
        <w:spacing w:after="0" w:line="240" w:lineRule="auto"/>
        <w:ind w:left="993" w:hanging="284"/>
        <w:jc w:val="both"/>
        <w:rPr>
          <w:rFonts w:ascii="Times New Roman" w:hAnsi="Times New Roman" w:cs="Times New Roman"/>
          <w:bCs/>
          <w:sz w:val="24"/>
          <w:szCs w:val="24"/>
        </w:rPr>
      </w:pPr>
      <w:r w:rsidRPr="0076764F">
        <w:rPr>
          <w:rFonts w:ascii="Times New Roman" w:hAnsi="Times New Roman" w:cs="Times New Roman"/>
          <w:bCs/>
          <w:sz w:val="24"/>
          <w:szCs w:val="24"/>
        </w:rPr>
        <w:t>ilgtermiņā turpināt paaugstināt finansiālo atbalstu iedzīvotājiem sociālās aizsardzības sistēmas ietvaros; sekmēt sociālās apdrošināšanas sistēmas noturīgumu un finansiāli ilgtspējību, nodrošināt, ka universālā un ienākumu testētā sociālo pabalstu sistēma ir sabalansēta un savstarpēji papildinoša.</w:t>
      </w:r>
    </w:p>
    <w:p w14:paraId="510C784E" w14:textId="77777777" w:rsidR="0076764F" w:rsidRPr="0076764F" w:rsidRDefault="0076764F" w:rsidP="0076764F">
      <w:pPr>
        <w:pStyle w:val="ListParagraph"/>
        <w:numPr>
          <w:ilvl w:val="0"/>
          <w:numId w:val="2"/>
        </w:numPr>
        <w:spacing w:after="0" w:line="240" w:lineRule="auto"/>
        <w:ind w:left="567" w:hanging="567"/>
        <w:jc w:val="both"/>
        <w:rPr>
          <w:rFonts w:ascii="Times New Roman" w:hAnsi="Times New Roman" w:cs="Times New Roman"/>
          <w:bCs/>
          <w:sz w:val="24"/>
          <w:szCs w:val="24"/>
        </w:rPr>
      </w:pPr>
      <w:r w:rsidRPr="0076764F">
        <w:rPr>
          <w:rFonts w:ascii="Times New Roman" w:hAnsi="Times New Roman" w:cs="Times New Roman"/>
          <w:bCs/>
          <w:sz w:val="24"/>
          <w:szCs w:val="24"/>
        </w:rPr>
        <w:t>Dokumenta projektā “</w:t>
      </w:r>
      <w:r w:rsidRPr="0076764F">
        <w:rPr>
          <w:rFonts w:ascii="Times New Roman" w:hAnsi="Times New Roman" w:cs="Times New Roman"/>
          <w:sz w:val="24"/>
          <w:szCs w:val="24"/>
        </w:rPr>
        <w:t xml:space="preserve">Sociālās aizsardzības un darba tirgus politikas pamatnostādnes 2021. - 2027. gadam” </w:t>
      </w:r>
      <w:r w:rsidRPr="0076764F">
        <w:rPr>
          <w:rFonts w:ascii="Times New Roman" w:hAnsi="Times New Roman" w:cs="Times New Roman"/>
          <w:bCs/>
          <w:sz w:val="24"/>
          <w:szCs w:val="24"/>
        </w:rPr>
        <w:t>noteikto pasākumu izpildes rezultātā ir plānots sasniegt šādus rādītājus:</w:t>
      </w:r>
    </w:p>
    <w:p w14:paraId="66702EFC" w14:textId="77777777" w:rsidR="0076764F" w:rsidRPr="0076764F" w:rsidRDefault="0076764F" w:rsidP="0076764F">
      <w:pPr>
        <w:pStyle w:val="ListParagraph"/>
        <w:numPr>
          <w:ilvl w:val="0"/>
          <w:numId w:val="33"/>
        </w:numPr>
        <w:spacing w:after="0" w:line="240" w:lineRule="auto"/>
        <w:ind w:left="993" w:hanging="284"/>
        <w:jc w:val="both"/>
        <w:rPr>
          <w:rFonts w:ascii="Times New Roman" w:hAnsi="Times New Roman" w:cs="Times New Roman"/>
          <w:bCs/>
          <w:sz w:val="24"/>
          <w:szCs w:val="24"/>
        </w:rPr>
      </w:pPr>
      <w:r w:rsidRPr="0076764F">
        <w:rPr>
          <w:rFonts w:ascii="Times New Roman" w:hAnsi="Times New Roman" w:cs="Times New Roman"/>
          <w:bCs/>
          <w:sz w:val="24"/>
          <w:szCs w:val="24"/>
        </w:rPr>
        <w:t>valsts sniegtais materiālais atbalsts mazina nabadzības risku vismaz par 20 %;</w:t>
      </w:r>
    </w:p>
    <w:p w14:paraId="78C773E7" w14:textId="77777777" w:rsidR="0076764F" w:rsidRPr="0076764F" w:rsidRDefault="0076764F" w:rsidP="0076764F">
      <w:pPr>
        <w:pStyle w:val="ListParagraph"/>
        <w:numPr>
          <w:ilvl w:val="0"/>
          <w:numId w:val="33"/>
        </w:numPr>
        <w:spacing w:after="0" w:line="240" w:lineRule="auto"/>
        <w:ind w:left="993" w:hanging="284"/>
        <w:jc w:val="both"/>
        <w:rPr>
          <w:rFonts w:ascii="Times New Roman" w:hAnsi="Times New Roman" w:cs="Times New Roman"/>
          <w:bCs/>
          <w:sz w:val="24"/>
          <w:szCs w:val="24"/>
        </w:rPr>
      </w:pPr>
      <w:r w:rsidRPr="0076764F">
        <w:rPr>
          <w:rFonts w:ascii="Times New Roman" w:hAnsi="Times New Roman" w:cs="Times New Roman"/>
          <w:bCs/>
          <w:sz w:val="24"/>
          <w:szCs w:val="24"/>
        </w:rPr>
        <w:t>līdz 11 % samazinās personu īpatsvars, kuru ienākumi ir zem trūcīgas mājsaimniecības ienākumu sliekšņa;</w:t>
      </w:r>
    </w:p>
    <w:p w14:paraId="16B65683" w14:textId="77777777" w:rsidR="0076764F" w:rsidRPr="0076764F" w:rsidRDefault="0076764F" w:rsidP="0076764F">
      <w:pPr>
        <w:pStyle w:val="ListParagraph"/>
        <w:numPr>
          <w:ilvl w:val="0"/>
          <w:numId w:val="33"/>
        </w:numPr>
        <w:spacing w:after="0" w:line="240" w:lineRule="auto"/>
        <w:ind w:left="993" w:hanging="284"/>
        <w:jc w:val="both"/>
        <w:rPr>
          <w:rFonts w:ascii="Times New Roman" w:hAnsi="Times New Roman" w:cs="Times New Roman"/>
          <w:bCs/>
          <w:sz w:val="24"/>
          <w:szCs w:val="24"/>
        </w:rPr>
      </w:pPr>
      <w:r w:rsidRPr="0076764F">
        <w:rPr>
          <w:rFonts w:ascii="Times New Roman" w:hAnsi="Times New Roman" w:cs="Times New Roman"/>
          <w:bCs/>
          <w:sz w:val="24"/>
          <w:szCs w:val="24"/>
        </w:rPr>
        <w:t>jaunpiešķirto pensiju atvietojuma līmenis 2027. gadā nav mazāks kā 40 %.</w:t>
      </w:r>
    </w:p>
    <w:p w14:paraId="6C21A126" w14:textId="77777777" w:rsidR="0076764F" w:rsidRPr="0076764F" w:rsidRDefault="0076764F" w:rsidP="0076764F">
      <w:pPr>
        <w:pStyle w:val="ListParagraph"/>
        <w:numPr>
          <w:ilvl w:val="0"/>
          <w:numId w:val="2"/>
        </w:numPr>
        <w:spacing w:after="0" w:line="240" w:lineRule="auto"/>
        <w:ind w:left="567" w:hanging="567"/>
        <w:jc w:val="both"/>
        <w:rPr>
          <w:rFonts w:ascii="Times New Roman" w:eastAsia="Calibri" w:hAnsi="Times New Roman" w:cs="Times New Roman"/>
          <w:noProof/>
          <w:sz w:val="24"/>
          <w:szCs w:val="24"/>
        </w:rPr>
      </w:pPr>
      <w:r w:rsidRPr="0076764F">
        <w:rPr>
          <w:rFonts w:ascii="Times New Roman" w:hAnsi="Times New Roman" w:cs="Times New Roman"/>
          <w:noProof/>
          <w:sz w:val="24"/>
          <w:szCs w:val="24"/>
        </w:rPr>
        <w:t>Jau 2020. gada nogalē, valstī pieņemot likumu “Grozījumi Sociālo pakalpojumu un sociālās palīdzības likumā”, kurā noteikts garantēto minimālo ienākumu un trūcīgas mājsaimniecības ienākumu slieksnis, ir veikti pirmie soļi “Sociālās aizsardzības un darba tirgus politikas pamatnostādnēs 2021. - 2027. gadam” noteikto uzdevumu izpildē (skat. vairāk informācijas sadaļā “</w:t>
      </w:r>
      <w:r w:rsidRPr="0076764F">
        <w:rPr>
          <w:rFonts w:ascii="Times New Roman" w:eastAsia="Calibri" w:hAnsi="Times New Roman" w:cs="Times New Roman"/>
          <w:noProof/>
          <w:sz w:val="24"/>
          <w:szCs w:val="24"/>
        </w:rPr>
        <w:t>Valsts un reģionālo atbalsta shēmu atšifrējums”).</w:t>
      </w:r>
    </w:p>
    <w:p w14:paraId="61302C88" w14:textId="77777777" w:rsidR="0076764F" w:rsidRPr="0076764F" w:rsidRDefault="0076764F" w:rsidP="0076764F">
      <w:pPr>
        <w:pStyle w:val="ListParagraph"/>
        <w:numPr>
          <w:ilvl w:val="0"/>
          <w:numId w:val="2"/>
        </w:numPr>
        <w:spacing w:after="0" w:line="240" w:lineRule="auto"/>
        <w:ind w:left="567" w:hanging="567"/>
        <w:jc w:val="both"/>
        <w:rPr>
          <w:rFonts w:ascii="Times New Roman" w:eastAsia="Calibri" w:hAnsi="Times New Roman" w:cs="Times New Roman"/>
          <w:noProof/>
          <w:sz w:val="24"/>
          <w:szCs w:val="24"/>
        </w:rPr>
      </w:pPr>
      <w:r w:rsidRPr="0076764F">
        <w:rPr>
          <w:rFonts w:ascii="Times New Roman" w:eastAsia="Calibri" w:hAnsi="Times New Roman" w:cs="Times New Roman"/>
          <w:noProof/>
          <w:sz w:val="24"/>
          <w:szCs w:val="24"/>
        </w:rPr>
        <w:t>Vienlaikus atzīmējams, ka nabadzības riskam visvairāk pakļauto mājsaimniecību ienākumu stabilizēšanā ir būtiska nozīme sociālajiem transfertiem un citai sociālajai palīdzībai.</w:t>
      </w:r>
    </w:p>
    <w:p w14:paraId="102955D2" w14:textId="4BE5BBD1" w:rsidR="0076764F" w:rsidRPr="0076764F" w:rsidRDefault="0076764F" w:rsidP="0076764F">
      <w:pPr>
        <w:pStyle w:val="ListParagraph"/>
        <w:numPr>
          <w:ilvl w:val="0"/>
          <w:numId w:val="2"/>
        </w:numPr>
        <w:ind w:left="567" w:hanging="567"/>
        <w:jc w:val="both"/>
        <w:rPr>
          <w:rFonts w:ascii="Times New Roman" w:hAnsi="Times New Roman" w:cs="Times New Roman"/>
          <w:sz w:val="24"/>
          <w:szCs w:val="24"/>
        </w:rPr>
      </w:pPr>
      <w:r w:rsidRPr="0076764F">
        <w:rPr>
          <w:rFonts w:ascii="Times New Roman" w:hAnsi="Times New Roman" w:cs="Times New Roman"/>
          <w:sz w:val="24"/>
          <w:szCs w:val="24"/>
        </w:rPr>
        <w:lastRenderedPageBreak/>
        <w:t xml:space="preserve">Pārtikas atbalsta un pamata materiālās palīdzības saņemšana ļauj zemu ienākumu mājsaimniecībām uzlabot materiālo situāciju, </w:t>
      </w:r>
      <w:r w:rsidR="00AB09E9" w:rsidRPr="0076764F">
        <w:rPr>
          <w:rFonts w:ascii="Times New Roman" w:hAnsi="Times New Roman" w:cs="Times New Roman"/>
          <w:sz w:val="24"/>
          <w:szCs w:val="24"/>
        </w:rPr>
        <w:t>atslogojot budžetu,</w:t>
      </w:r>
      <w:r w:rsidRPr="0076764F">
        <w:rPr>
          <w:rFonts w:ascii="Times New Roman" w:hAnsi="Times New Roman" w:cs="Times New Roman"/>
          <w:sz w:val="24"/>
          <w:szCs w:val="24"/>
        </w:rPr>
        <w:t xml:space="preserve"> un ietaupīt līdzekļus, ko novirzīt papildu pārtikas iegādei, citām pamatvajadzībām un bērnu ārpusskolas izglītības pasākumiem. Sniegtais atbalsts kopā ar dalību neformāli izglītojošajos un socializēšanās papildpasākumos sniedz iespēju cilvēkiem uzsākt risināt viņu sociāli ekonomiskās problēmas, kas ir pirmais solis viņu sociālās iekļaušanas procesā un priekšnoteikums cieņpilnai dzīvei.</w:t>
      </w:r>
    </w:p>
    <w:p w14:paraId="66348CFF" w14:textId="25B16946" w:rsidR="004E6D38" w:rsidRPr="004E6D38" w:rsidRDefault="0060434A" w:rsidP="004E6D38">
      <w:pPr>
        <w:pStyle w:val="Heading2"/>
        <w:numPr>
          <w:ilvl w:val="1"/>
          <w:numId w:val="30"/>
        </w:numPr>
        <w:spacing w:before="0"/>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6" w:name="_Toc62557105"/>
      <w:r w:rsidR="004E6D38" w:rsidRPr="004E6D38">
        <w:rPr>
          <w:rFonts w:ascii="Times New Roman" w:hAnsi="Times New Roman" w:cs="Times New Roman"/>
          <w:b/>
          <w:color w:val="auto"/>
          <w:sz w:val="24"/>
          <w:szCs w:val="24"/>
        </w:rPr>
        <w:t>Iepriekšējo gadu pieredze</w:t>
      </w:r>
      <w:bookmarkEnd w:id="6"/>
    </w:p>
    <w:p w14:paraId="0911F6E5" w14:textId="77777777" w:rsidR="004E6D38" w:rsidRPr="004E6D38" w:rsidRDefault="004E6D38" w:rsidP="004E6D38">
      <w:pPr>
        <w:pStyle w:val="ListParagraph"/>
        <w:numPr>
          <w:ilvl w:val="0"/>
          <w:numId w:val="2"/>
        </w:numPr>
        <w:ind w:left="567" w:hanging="567"/>
        <w:jc w:val="both"/>
        <w:rPr>
          <w:rFonts w:ascii="Times New Roman" w:hAnsi="Times New Roman" w:cs="Times New Roman"/>
          <w:sz w:val="24"/>
          <w:szCs w:val="24"/>
        </w:rPr>
      </w:pPr>
      <w:r w:rsidRPr="004E6D38">
        <w:rPr>
          <w:rFonts w:ascii="Times New Roman" w:hAnsi="Times New Roman" w:cs="Times New Roman"/>
          <w:sz w:val="24"/>
          <w:szCs w:val="24"/>
        </w:rPr>
        <w:t>2014.–2020. gada plānošanas periodā īstenotās EAFVP darbības programmas “Pārtikas un pamata materiālās palīdzības sniegšana vistrūcīgākajām personām 2014. - 2020. gada plānošanas periodā” ietvaros veiktā strukturētā apsekojuma rezultāti liecina, ka:</w:t>
      </w:r>
    </w:p>
    <w:p w14:paraId="11396405" w14:textId="77777777" w:rsidR="004E6D38" w:rsidRPr="004E6D38" w:rsidRDefault="004E6D38" w:rsidP="004E6D38">
      <w:pPr>
        <w:pStyle w:val="ListParagraph"/>
        <w:numPr>
          <w:ilvl w:val="0"/>
          <w:numId w:val="34"/>
        </w:numPr>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pārtikas un pamata materiālās palīdzības atbalsts ir sasniedzis ģimenes, kuras ir trūcīgas vai nonākušas krīzes situācijā;</w:t>
      </w:r>
    </w:p>
    <w:p w14:paraId="61BEC977" w14:textId="77777777" w:rsidR="004E6D38" w:rsidRPr="004E6D38" w:rsidRDefault="004E6D38" w:rsidP="004E6D38">
      <w:pPr>
        <w:pStyle w:val="ListParagraph"/>
        <w:numPr>
          <w:ilvl w:val="0"/>
          <w:numId w:val="34"/>
        </w:numPr>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pārtikas un pamata materiālās palīdzības atbalsts ir atvieglojis vistrūcīgāko iedzīvotāju un mājsaimniecību budžeta slogu;</w:t>
      </w:r>
    </w:p>
    <w:p w14:paraId="6F43B62A" w14:textId="77777777" w:rsidR="004E6D38" w:rsidRPr="004E6D38" w:rsidRDefault="004E6D38" w:rsidP="004E6D38">
      <w:pPr>
        <w:pStyle w:val="ListParagraph"/>
        <w:numPr>
          <w:ilvl w:val="0"/>
          <w:numId w:val="34"/>
        </w:numPr>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ietvaros organizēto papildpasākumu veidi un iesaiste tajos ir pamatā apmierinoša;</w:t>
      </w:r>
    </w:p>
    <w:p w14:paraId="13B06498" w14:textId="77777777" w:rsidR="004E6D38" w:rsidRPr="004E6D38" w:rsidRDefault="004E6D38" w:rsidP="004E6D38">
      <w:pPr>
        <w:pStyle w:val="ListParagraph"/>
        <w:numPr>
          <w:ilvl w:val="0"/>
          <w:numId w:val="34"/>
        </w:numPr>
        <w:ind w:left="993" w:hanging="426"/>
        <w:jc w:val="both"/>
        <w:rPr>
          <w:rFonts w:ascii="Times New Roman" w:hAnsi="Times New Roman" w:cs="Times New Roman"/>
          <w:sz w:val="24"/>
          <w:szCs w:val="24"/>
        </w:rPr>
      </w:pPr>
      <w:r w:rsidRPr="004E6D38">
        <w:rPr>
          <w:rFonts w:ascii="Times New Roman" w:hAnsi="Times New Roman" w:cs="Times New Roman"/>
          <w:sz w:val="24"/>
          <w:szCs w:val="24"/>
        </w:rPr>
        <w:t>Pārtikas un pamata materiālās palīdzības atbalsts sasniedzis augstu apmierinātības vērtējumu un atbilstību atbalsta saņēmēju vajadzībām;</w:t>
      </w:r>
    </w:p>
    <w:p w14:paraId="710FCE18" w14:textId="77777777" w:rsidR="004E6D38" w:rsidRPr="004E6D38" w:rsidRDefault="004E6D38" w:rsidP="004E6D38">
      <w:pPr>
        <w:pStyle w:val="ListParagraph"/>
        <w:numPr>
          <w:ilvl w:val="0"/>
          <w:numId w:val="34"/>
        </w:numPr>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atbalsta pieejamība ir nodrošināta;</w:t>
      </w:r>
    </w:p>
    <w:p w14:paraId="06625560" w14:textId="77777777" w:rsidR="004E6D38" w:rsidRPr="004E6D38" w:rsidRDefault="004E6D38" w:rsidP="004E6D38">
      <w:pPr>
        <w:pStyle w:val="ListParagraph"/>
        <w:numPr>
          <w:ilvl w:val="0"/>
          <w:numId w:val="34"/>
        </w:numPr>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darbības programmā izvēlētie atbalsta veidi un mērķa grupas ir pamatā atbilstošas situācijai.</w:t>
      </w:r>
    </w:p>
    <w:p w14:paraId="31C4066F" w14:textId="77777777" w:rsidR="00A24883" w:rsidRPr="000D5DBF" w:rsidRDefault="00A24883" w:rsidP="00BA1297">
      <w:pPr>
        <w:spacing w:before="0" w:after="0"/>
        <w:rPr>
          <w:bCs/>
          <w:szCs w:val="24"/>
        </w:rPr>
      </w:pPr>
    </w:p>
    <w:p w14:paraId="4837A5AB" w14:textId="77777777" w:rsidR="00D27AF9" w:rsidRPr="000D5DBF" w:rsidRDefault="00D27AF9" w:rsidP="00BA1297">
      <w:pPr>
        <w:pStyle w:val="Heading2"/>
        <w:numPr>
          <w:ilvl w:val="1"/>
          <w:numId w:val="30"/>
        </w:numPr>
        <w:spacing w:before="0"/>
        <w:rPr>
          <w:rFonts w:ascii="Times New Roman" w:hAnsi="Times New Roman" w:cs="Times New Roman"/>
          <w:b/>
          <w:color w:val="auto"/>
          <w:sz w:val="24"/>
          <w:szCs w:val="24"/>
        </w:rPr>
      </w:pPr>
      <w:bookmarkStart w:id="7" w:name="_Toc62557106"/>
      <w:r w:rsidRPr="000D5DBF">
        <w:rPr>
          <w:rFonts w:ascii="Times New Roman" w:hAnsi="Times New Roman" w:cs="Times New Roman"/>
          <w:b/>
          <w:color w:val="auto"/>
          <w:sz w:val="24"/>
          <w:szCs w:val="24"/>
        </w:rPr>
        <w:t>Plānotie risinājumi, plānotā atbalsta pamatojums</w:t>
      </w:r>
      <w:bookmarkEnd w:id="7"/>
    </w:p>
    <w:p w14:paraId="19DB66B1" w14:textId="1810CC19" w:rsidR="00D27AF9" w:rsidRPr="000D5DBF" w:rsidRDefault="0014187C"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P</w:t>
      </w:r>
      <w:r w:rsidR="00D27AF9" w:rsidRPr="000D5DBF">
        <w:rPr>
          <w:rFonts w:ascii="Times New Roman" w:hAnsi="Times New Roman" w:cs="Times New Roman"/>
          <w:bCs/>
          <w:sz w:val="24"/>
          <w:szCs w:val="24"/>
        </w:rPr>
        <w:t>rogramma</w:t>
      </w:r>
      <w:r>
        <w:rPr>
          <w:rFonts w:ascii="Times New Roman" w:hAnsi="Times New Roman" w:cs="Times New Roman"/>
          <w:bCs/>
          <w:sz w:val="24"/>
          <w:szCs w:val="24"/>
        </w:rPr>
        <w:t>s</w:t>
      </w:r>
      <w:r w:rsidR="00D27AF9" w:rsidRPr="000D5DBF">
        <w:rPr>
          <w:rFonts w:ascii="Times New Roman" w:hAnsi="Times New Roman" w:cs="Times New Roman"/>
          <w:bCs/>
          <w:sz w:val="24"/>
          <w:szCs w:val="24"/>
        </w:rPr>
        <w:t xml:space="preserve"> 2021. – 2027. gadam ietvaros </w:t>
      </w:r>
      <w:r w:rsidR="00D27AF9" w:rsidRPr="000D5DBF">
        <w:rPr>
          <w:rFonts w:ascii="Times New Roman" w:hAnsi="Times New Roman" w:cs="Times New Roman"/>
          <w:noProof/>
          <w:sz w:val="24"/>
          <w:szCs w:val="24"/>
        </w:rPr>
        <w:t>paredz atbalstīt šādu materiālās nenodrošinātības veidu risināšanu:</w:t>
      </w:r>
    </w:p>
    <w:p w14:paraId="10FF586A" w14:textId="540C7D41" w:rsidR="00D27AF9" w:rsidRPr="000D5DBF" w:rsidRDefault="00AB09E9" w:rsidP="00BA1297">
      <w:pPr>
        <w:pStyle w:val="ListParagraph"/>
        <w:numPr>
          <w:ilvl w:val="0"/>
          <w:numId w:val="3"/>
        </w:numPr>
        <w:spacing w:after="0" w:line="240" w:lineRule="auto"/>
        <w:ind w:left="993" w:hanging="426"/>
        <w:jc w:val="both"/>
        <w:rPr>
          <w:rFonts w:ascii="Times New Roman" w:hAnsi="Times New Roman" w:cs="Times New Roman"/>
          <w:noProof/>
          <w:sz w:val="24"/>
          <w:szCs w:val="24"/>
        </w:rPr>
      </w:pPr>
      <w:r>
        <w:rPr>
          <w:rFonts w:ascii="Times New Roman" w:hAnsi="Times New Roman" w:cs="Times New Roman"/>
          <w:noProof/>
          <w:sz w:val="24"/>
          <w:szCs w:val="24"/>
        </w:rPr>
        <w:t>nenodrošinātība ar pārtiku;</w:t>
      </w:r>
    </w:p>
    <w:p w14:paraId="2EEF9241" w14:textId="197F93B8" w:rsidR="00D27AF9" w:rsidRPr="000D5DBF" w:rsidRDefault="00AB09E9" w:rsidP="00BA1297">
      <w:pPr>
        <w:pStyle w:val="ListParagraph"/>
        <w:numPr>
          <w:ilvl w:val="0"/>
          <w:numId w:val="3"/>
        </w:numPr>
        <w:spacing w:after="0" w:line="240" w:lineRule="auto"/>
        <w:ind w:left="993" w:hanging="426"/>
        <w:jc w:val="both"/>
        <w:rPr>
          <w:rFonts w:ascii="Times New Roman" w:hAnsi="Times New Roman" w:cs="Times New Roman"/>
          <w:noProof/>
          <w:sz w:val="24"/>
          <w:szCs w:val="24"/>
        </w:rPr>
      </w:pPr>
      <w:r>
        <w:rPr>
          <w:rFonts w:ascii="Times New Roman" w:hAnsi="Times New Roman" w:cs="Times New Roman"/>
          <w:noProof/>
          <w:sz w:val="24"/>
          <w:szCs w:val="24"/>
        </w:rPr>
        <w:t>p</w:t>
      </w:r>
      <w:r w:rsidR="00D27AF9" w:rsidRPr="000D5DBF">
        <w:rPr>
          <w:rFonts w:ascii="Times New Roman" w:hAnsi="Times New Roman" w:cs="Times New Roman"/>
          <w:noProof/>
          <w:sz w:val="24"/>
          <w:szCs w:val="24"/>
        </w:rPr>
        <w:t>amata materiālā nenodrošinātība.</w:t>
      </w:r>
    </w:p>
    <w:p w14:paraId="37CAA6D9" w14:textId="77777777" w:rsidR="00D27AF9" w:rsidRPr="000D5DBF" w:rsidRDefault="00D27AF9" w:rsidP="00BA1297">
      <w:pPr>
        <w:spacing w:before="0" w:after="0"/>
        <w:ind w:left="567"/>
        <w:rPr>
          <w:noProof/>
          <w:szCs w:val="24"/>
        </w:rPr>
      </w:pPr>
      <w:r w:rsidRPr="000D5DBF">
        <w:rPr>
          <w:noProof/>
          <w:szCs w:val="24"/>
        </w:rPr>
        <w:t>Materiālās nenodrošinātības mazināšanas aktivitātes tiks apvienotas ar papildpasākumu sociālās atstumtības mazināšanai organizēšanu.</w:t>
      </w:r>
    </w:p>
    <w:p w14:paraId="746FA780" w14:textId="77777777" w:rsidR="00D27AF9" w:rsidRPr="000D5DBF" w:rsidRDefault="00F55AF4"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Atzīmējams, ka personām līdz ar pārtiku</w:t>
      </w:r>
      <w:r w:rsidR="00D27AF9" w:rsidRPr="000D5DBF">
        <w:rPr>
          <w:rFonts w:ascii="Times New Roman" w:hAnsi="Times New Roman" w:cs="Times New Roman"/>
          <w:noProof/>
          <w:sz w:val="24"/>
          <w:szCs w:val="24"/>
        </w:rPr>
        <w:t xml:space="preserve"> kā </w:t>
      </w:r>
      <w:r w:rsidRPr="000D5DBF">
        <w:rPr>
          <w:rFonts w:ascii="Times New Roman" w:hAnsi="Times New Roman" w:cs="Times New Roman"/>
          <w:noProof/>
          <w:sz w:val="24"/>
          <w:szCs w:val="24"/>
        </w:rPr>
        <w:t>primāro</w:t>
      </w:r>
      <w:r w:rsidR="00D27AF9" w:rsidRPr="000D5DBF">
        <w:rPr>
          <w:rFonts w:ascii="Times New Roman" w:hAnsi="Times New Roman" w:cs="Times New Roman"/>
          <w:noProof/>
          <w:sz w:val="24"/>
          <w:szCs w:val="24"/>
        </w:rPr>
        <w:t xml:space="preserve"> pamatvajadzīb</w:t>
      </w:r>
      <w:r w:rsidRPr="000D5DBF">
        <w:rPr>
          <w:rFonts w:ascii="Times New Roman" w:hAnsi="Times New Roman" w:cs="Times New Roman"/>
          <w:noProof/>
          <w:sz w:val="24"/>
          <w:szCs w:val="24"/>
        </w:rPr>
        <w:t>u vienlīdz svarīgs ir</w:t>
      </w:r>
      <w:r w:rsidR="00DC67EB" w:rsidRPr="000D5DBF">
        <w:rPr>
          <w:rFonts w:ascii="Times New Roman" w:hAnsi="Times New Roman" w:cs="Times New Roman"/>
          <w:noProof/>
          <w:sz w:val="24"/>
          <w:szCs w:val="24"/>
        </w:rPr>
        <w:t xml:space="preserve"> </w:t>
      </w:r>
      <w:r w:rsidR="00D27AF9" w:rsidRPr="000D5DBF">
        <w:rPr>
          <w:rFonts w:ascii="Times New Roman" w:hAnsi="Times New Roman" w:cs="Times New Roman"/>
          <w:noProof/>
          <w:sz w:val="24"/>
          <w:szCs w:val="24"/>
        </w:rPr>
        <w:t>higiēnas vajadzību atbilstošs nodrošinājums. Personīgās higiēnas ievērošana ir aktuāla problēma tieši nabadzībai visvairāk pakļautajiem iedzīvotājiem, jo to ienākumi pamatā tiek tērēt</w:t>
      </w:r>
      <w:r w:rsidR="00516D57" w:rsidRPr="000D5DBF">
        <w:rPr>
          <w:rFonts w:ascii="Times New Roman" w:hAnsi="Times New Roman" w:cs="Times New Roman"/>
          <w:noProof/>
          <w:sz w:val="24"/>
          <w:szCs w:val="24"/>
        </w:rPr>
        <w:t>i pārtikas iegādei un ar mājokli</w:t>
      </w:r>
      <w:r w:rsidR="00D27AF9" w:rsidRPr="000D5DBF">
        <w:rPr>
          <w:rFonts w:ascii="Times New Roman" w:hAnsi="Times New Roman" w:cs="Times New Roman"/>
          <w:noProof/>
          <w:sz w:val="24"/>
          <w:szCs w:val="24"/>
        </w:rPr>
        <w:t xml:space="preserve"> </w:t>
      </w:r>
      <w:r w:rsidR="00516D57" w:rsidRPr="000D5DBF">
        <w:rPr>
          <w:rFonts w:ascii="Times New Roman" w:hAnsi="Times New Roman" w:cs="Times New Roman"/>
          <w:noProof/>
          <w:sz w:val="24"/>
          <w:szCs w:val="24"/>
        </w:rPr>
        <w:t xml:space="preserve">saistītajiem </w:t>
      </w:r>
      <w:r w:rsidR="00D27AF9" w:rsidRPr="000D5DBF">
        <w:rPr>
          <w:rFonts w:ascii="Times New Roman" w:hAnsi="Times New Roman" w:cs="Times New Roman"/>
          <w:noProof/>
          <w:sz w:val="24"/>
          <w:szCs w:val="24"/>
        </w:rPr>
        <w:t>komunālajiem maksājumiem, kā rezultātā personīgās higiēnas un saimniecības preču iegādei visbiežāk nepietiek līdzekļu. Personīgās higiēnas ievērošana veicina cilvēka veselības saglabāšanu un nostiprināšanu, un tai ir ne tikai individuāla, bet arī sociāla nozīme, jo tās neievērošana var būt par cēloni dažādām slimībām, kuras var izplatīties ģimenes un apkārtējo sabiedrības locekļu vidū. Īpaši tas ir svarīgi dažādu infekcijas slīmību plašas izpaltības situ</w:t>
      </w:r>
      <w:r w:rsidR="00DC67EB" w:rsidRPr="000D5DBF">
        <w:rPr>
          <w:rFonts w:ascii="Times New Roman" w:hAnsi="Times New Roman" w:cs="Times New Roman"/>
          <w:noProof/>
          <w:sz w:val="24"/>
          <w:szCs w:val="24"/>
        </w:rPr>
        <w:t>ācijās, kā, piemēram, 2020. </w:t>
      </w:r>
      <w:r w:rsidR="00D27AF9" w:rsidRPr="000D5DBF">
        <w:rPr>
          <w:rFonts w:ascii="Times New Roman" w:hAnsi="Times New Roman" w:cs="Times New Roman"/>
          <w:noProof/>
          <w:sz w:val="24"/>
          <w:szCs w:val="24"/>
        </w:rPr>
        <w:t>gadā Covid-19 infekcijas izplatības laikā.</w:t>
      </w:r>
    </w:p>
    <w:p w14:paraId="7A79BD14" w14:textId="266EB9B6"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Lai gan Latvijā ģimenes ar bērniem nav skaitliski </w:t>
      </w:r>
      <w:r w:rsidR="00624881" w:rsidRPr="000D5DBF">
        <w:rPr>
          <w:rFonts w:ascii="Times New Roman" w:hAnsi="Times New Roman" w:cs="Times New Roman"/>
          <w:noProof/>
          <w:sz w:val="24"/>
          <w:szCs w:val="24"/>
        </w:rPr>
        <w:t>lielākā</w:t>
      </w:r>
      <w:r w:rsidRPr="000D5DBF">
        <w:rPr>
          <w:rFonts w:ascii="Times New Roman" w:hAnsi="Times New Roman" w:cs="Times New Roman"/>
          <w:noProof/>
          <w:sz w:val="24"/>
          <w:szCs w:val="24"/>
        </w:rPr>
        <w:t xml:space="preserve"> sociālā grupa atbalsta gala saņēmēju vidū, tām </w:t>
      </w:r>
      <w:r w:rsidR="000A0A81">
        <w:rPr>
          <w:rFonts w:ascii="Times New Roman" w:hAnsi="Times New Roman" w:cs="Times New Roman"/>
          <w:bCs/>
          <w:sz w:val="24"/>
          <w:szCs w:val="24"/>
        </w:rPr>
        <w:t>P</w:t>
      </w:r>
      <w:r w:rsidR="000A0A81" w:rsidRPr="000D5DBF">
        <w:rPr>
          <w:rFonts w:ascii="Times New Roman" w:hAnsi="Times New Roman" w:cs="Times New Roman"/>
          <w:bCs/>
          <w:sz w:val="24"/>
          <w:szCs w:val="24"/>
        </w:rPr>
        <w:t>rogramma</w:t>
      </w:r>
      <w:r w:rsidR="000A0A81">
        <w:rPr>
          <w:rFonts w:ascii="Times New Roman" w:hAnsi="Times New Roman" w:cs="Times New Roman"/>
          <w:bCs/>
          <w:sz w:val="24"/>
          <w:szCs w:val="24"/>
        </w:rPr>
        <w:t xml:space="preserve">s </w:t>
      </w:r>
      <w:r w:rsidRPr="000D5DBF">
        <w:rPr>
          <w:rFonts w:ascii="Times New Roman" w:hAnsi="Times New Roman" w:cs="Times New Roman"/>
          <w:noProof/>
          <w:sz w:val="24"/>
          <w:szCs w:val="24"/>
        </w:rPr>
        <w:t>ietvaros tiek paredzēts papildu atbalsts (</w:t>
      </w:r>
      <w:r w:rsidR="00845720" w:rsidRPr="000D5DBF">
        <w:rPr>
          <w:rFonts w:ascii="Times New Roman" w:hAnsi="Times New Roman" w:cs="Times New Roman"/>
          <w:noProof/>
          <w:sz w:val="24"/>
          <w:szCs w:val="24"/>
        </w:rPr>
        <w:t>skat. informāciju 3. sadaļā</w:t>
      </w:r>
      <w:r w:rsidR="00127002" w:rsidRPr="000D5DBF">
        <w:rPr>
          <w:rFonts w:ascii="Times New Roman" w:hAnsi="Times New Roman" w:cs="Times New Roman"/>
          <w:noProof/>
          <w:sz w:val="24"/>
          <w:szCs w:val="24"/>
        </w:rPr>
        <w:t>). Vērā ir ņemts dažādos socio</w:t>
      </w:r>
      <w:r w:rsidRPr="000D5DBF">
        <w:rPr>
          <w:rFonts w:ascii="Times New Roman" w:hAnsi="Times New Roman" w:cs="Times New Roman"/>
          <w:noProof/>
          <w:sz w:val="24"/>
          <w:szCs w:val="24"/>
        </w:rPr>
        <w:t xml:space="preserve">loģiskajos pētījumos iegūts secinājums, ka bērni, kas uzaug nabadzīgās mājsaimniecībās, arī vēlāk savā dzīvē visticamāk nespēj izkļūt no nabadzības slazda, kas rada riskus nabadzības atražošanai </w:t>
      </w:r>
      <w:r w:rsidRPr="000D5DBF">
        <w:rPr>
          <w:rFonts w:ascii="Times New Roman" w:hAnsi="Times New Roman" w:cs="Times New Roman"/>
          <w:noProof/>
          <w:sz w:val="24"/>
          <w:szCs w:val="24"/>
        </w:rPr>
        <w:lastRenderedPageBreak/>
        <w:t xml:space="preserve">paaudzēs. </w:t>
      </w:r>
      <w:r w:rsidR="00637F2B" w:rsidRPr="000D5DBF">
        <w:rPr>
          <w:rFonts w:ascii="Times New Roman" w:hAnsi="Times New Roman" w:cs="Times New Roman"/>
          <w:noProof/>
          <w:sz w:val="24"/>
          <w:szCs w:val="24"/>
        </w:rPr>
        <w:t>Zemu ienākumu mājsaimniecību bērni nereti dzīvo neatbilstošos</w:t>
      </w:r>
      <w:r w:rsidRPr="000D5DBF">
        <w:rPr>
          <w:rFonts w:ascii="Times New Roman" w:hAnsi="Times New Roman" w:cs="Times New Roman"/>
          <w:noProof/>
          <w:sz w:val="24"/>
          <w:szCs w:val="24"/>
        </w:rPr>
        <w:t xml:space="preserve"> sadzīves </w:t>
      </w:r>
      <w:r w:rsidR="00637F2B" w:rsidRPr="000D5DBF">
        <w:rPr>
          <w:rFonts w:ascii="Times New Roman" w:hAnsi="Times New Roman" w:cs="Times New Roman"/>
          <w:noProof/>
          <w:sz w:val="24"/>
          <w:szCs w:val="24"/>
        </w:rPr>
        <w:t>apstākļos, kuros līdzekļu trūkuma dēļ nevar ievērot</w:t>
      </w:r>
      <w:r w:rsidR="00624881" w:rsidRPr="000D5DBF">
        <w:rPr>
          <w:rFonts w:ascii="Times New Roman" w:hAnsi="Times New Roman" w:cs="Times New Roman"/>
          <w:noProof/>
          <w:sz w:val="24"/>
          <w:szCs w:val="24"/>
        </w:rPr>
        <w:t xml:space="preserve"> </w:t>
      </w:r>
      <w:r w:rsidR="00637F2B" w:rsidRPr="000D5DBF">
        <w:rPr>
          <w:rFonts w:ascii="Times New Roman" w:hAnsi="Times New Roman" w:cs="Times New Roman"/>
          <w:noProof/>
          <w:sz w:val="24"/>
          <w:szCs w:val="24"/>
        </w:rPr>
        <w:t>personīgo higiēnu</w:t>
      </w:r>
      <w:r w:rsidR="00887B44" w:rsidRPr="000D5DBF">
        <w:rPr>
          <w:rFonts w:ascii="Times New Roman" w:hAnsi="Times New Roman" w:cs="Times New Roman"/>
          <w:noProof/>
          <w:sz w:val="24"/>
          <w:szCs w:val="24"/>
        </w:rPr>
        <w:t xml:space="preserve">, </w:t>
      </w:r>
      <w:r w:rsidRPr="000D5DBF">
        <w:rPr>
          <w:rFonts w:ascii="Times New Roman" w:hAnsi="Times New Roman" w:cs="Times New Roman"/>
          <w:noProof/>
          <w:sz w:val="24"/>
          <w:szCs w:val="24"/>
        </w:rPr>
        <w:t>kā arī</w:t>
      </w:r>
      <w:r w:rsidR="00887B44" w:rsidRPr="000D5DBF">
        <w:rPr>
          <w:rFonts w:ascii="Times New Roman" w:hAnsi="Times New Roman" w:cs="Times New Roman"/>
          <w:noProof/>
          <w:sz w:val="24"/>
          <w:szCs w:val="24"/>
        </w:rPr>
        <w:t xml:space="preserve"> nevar iegādāties</w:t>
      </w:r>
      <w:r w:rsidRPr="000D5DBF">
        <w:rPr>
          <w:rFonts w:ascii="Times New Roman" w:hAnsi="Times New Roman" w:cs="Times New Roman"/>
          <w:noProof/>
          <w:sz w:val="24"/>
          <w:szCs w:val="24"/>
        </w:rPr>
        <w:t xml:space="preserve"> mācībā</w:t>
      </w:r>
      <w:r w:rsidR="00887B44" w:rsidRPr="000D5DBF">
        <w:rPr>
          <w:rFonts w:ascii="Times New Roman" w:hAnsi="Times New Roman" w:cs="Times New Roman"/>
          <w:noProof/>
          <w:sz w:val="24"/>
          <w:szCs w:val="24"/>
        </w:rPr>
        <w:t>m nepieciešamos materiālus</w:t>
      </w:r>
      <w:r w:rsidRPr="000D5DBF">
        <w:rPr>
          <w:rFonts w:ascii="Times New Roman" w:hAnsi="Times New Roman" w:cs="Times New Roman"/>
          <w:noProof/>
          <w:sz w:val="24"/>
          <w:szCs w:val="24"/>
        </w:rPr>
        <w:t>.</w:t>
      </w:r>
    </w:p>
    <w:p w14:paraId="2B57918B" w14:textId="4DD7227C" w:rsidR="00D27AF9" w:rsidRPr="000D5DBF" w:rsidRDefault="00FA2BA2"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Pirmajos divos bērna dzīves gados ir vairākas neatliekamu izdevumu pozīcijas, kas ievērojami maina ģimenes finanšu plānošanu, īpaši gadījumos, kad ienākumi ir ierobežoti, proti, ģimene ir trūcīga vai nonākusi krīzes situācijā. Tā rezultātā ģimenē var pasliktināties zīdaiņu un mazo bērnu uzturs, kā arī </w:t>
      </w:r>
      <w:r w:rsidR="00953E4C" w:rsidRPr="000D5DBF">
        <w:rPr>
          <w:rFonts w:ascii="Times New Roman" w:hAnsi="Times New Roman" w:cs="Times New Roman"/>
          <w:noProof/>
          <w:sz w:val="24"/>
          <w:szCs w:val="24"/>
        </w:rPr>
        <w:t xml:space="preserve">trūkt higiēnas līdzekļu viņu </w:t>
      </w:r>
      <w:r w:rsidR="00D27AF9" w:rsidRPr="000D5DBF">
        <w:rPr>
          <w:rFonts w:ascii="Times New Roman" w:hAnsi="Times New Roman" w:cs="Times New Roman"/>
          <w:noProof/>
          <w:sz w:val="24"/>
          <w:szCs w:val="24"/>
        </w:rPr>
        <w:t>kopšanai un aprūpei</w:t>
      </w:r>
      <w:r w:rsidR="00953E4C" w:rsidRPr="000D5DBF">
        <w:rPr>
          <w:rFonts w:ascii="Times New Roman" w:hAnsi="Times New Roman" w:cs="Times New Roman"/>
          <w:noProof/>
          <w:sz w:val="24"/>
          <w:szCs w:val="24"/>
        </w:rPr>
        <w:t>.</w:t>
      </w:r>
      <w:r w:rsidR="000D76A5" w:rsidRPr="000D5DBF">
        <w:rPr>
          <w:rFonts w:ascii="Times New Roman" w:hAnsi="Times New Roman" w:cs="Times New Roman"/>
          <w:noProof/>
          <w:sz w:val="24"/>
          <w:szCs w:val="24"/>
        </w:rPr>
        <w:t xml:space="preserve"> </w:t>
      </w:r>
      <w:r w:rsidR="00D27AF9" w:rsidRPr="000D5DBF">
        <w:rPr>
          <w:rFonts w:ascii="Times New Roman" w:hAnsi="Times New Roman" w:cs="Times New Roman"/>
          <w:noProof/>
          <w:sz w:val="24"/>
          <w:szCs w:val="24"/>
        </w:rPr>
        <w:t>Bērnu līdz 2 gadiem ēdināšanai ir raksturīga atšķirīga ēdienkarte un nepieciešama ēdienu atsevišķa pagatavošana, nekā pārējiem pieaugušajiem ģimenes locekļiem. Tāpat zīdaiņu un mazo bērnu apkopšanai ir nepieciešamas specifiskas higiēnas preces, piemēram, autiņbiksītes.</w:t>
      </w:r>
    </w:p>
    <w:p w14:paraId="59773CEA" w14:textId="77777777"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Vecāku ierobežotie finansiālie līdzekļi var būt iemesls, kādēļ bērni nevēlas apmeklēt skolu, regulāri kavē vai pat pamet to. Mērķēts atbalsts individuālo mācību piederumu nodrošināšanai (piemēram, kancelejas piederumi, skolas soma, materiāli, kurus izmantojot mācību procesā skolēns rada priekšmetu vai produktu savām vajadzībām, u.c.) izglītojamiem ģimenēs ar zemiem ienākumiem var sniegt būtisku ieguldījumu bērna pašvērtējuma stiprināšanai viņa turpmākai socializācijai sabiedrībā.</w:t>
      </w:r>
    </w:p>
    <w:p w14:paraId="4E68B86B" w14:textId="579739B7" w:rsidR="00D27AF9" w:rsidRPr="000D5DBF" w:rsidRDefault="00BA52E1"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J</w:t>
      </w:r>
      <w:r w:rsidR="00D27AF9" w:rsidRPr="000D5DBF">
        <w:rPr>
          <w:rFonts w:ascii="Times New Roman" w:hAnsi="Times New Roman" w:cs="Times New Roman"/>
          <w:noProof/>
          <w:sz w:val="24"/>
          <w:szCs w:val="24"/>
        </w:rPr>
        <w:t xml:space="preserve">āatzīmē, ka </w:t>
      </w:r>
      <w:r w:rsidRPr="000D5DBF">
        <w:rPr>
          <w:rFonts w:ascii="Times New Roman" w:hAnsi="Times New Roman" w:cs="Times New Roman"/>
          <w:noProof/>
          <w:sz w:val="24"/>
          <w:szCs w:val="24"/>
        </w:rPr>
        <w:t xml:space="preserve">krīzes situācijās </w:t>
      </w:r>
      <w:r w:rsidR="004568B1" w:rsidRPr="000D5DBF">
        <w:rPr>
          <w:rFonts w:ascii="Times New Roman" w:hAnsi="Times New Roman" w:cs="Times New Roman"/>
          <w:noProof/>
          <w:sz w:val="24"/>
          <w:szCs w:val="24"/>
        </w:rPr>
        <w:t xml:space="preserve">citu sociālo grupu starpā </w:t>
      </w:r>
      <w:r w:rsidRPr="000D5DBF">
        <w:rPr>
          <w:rFonts w:ascii="Times New Roman" w:hAnsi="Times New Roman" w:cs="Times New Roman"/>
          <w:noProof/>
          <w:sz w:val="24"/>
          <w:szCs w:val="24"/>
        </w:rPr>
        <w:t xml:space="preserve">visievainojamākās ir </w:t>
      </w:r>
      <w:r w:rsidR="00D27AF9" w:rsidRPr="000D5DBF">
        <w:rPr>
          <w:rFonts w:ascii="Times New Roman" w:hAnsi="Times New Roman" w:cs="Times New Roman"/>
          <w:noProof/>
          <w:sz w:val="24"/>
          <w:szCs w:val="24"/>
        </w:rPr>
        <w:t>mājsaimniecības ar bērniem. Piemēram, 2020. gada pavasarī Covid-19 infekcijas uzliesmojuma laikā, kad valstī bija izsludināta pirmā ārkārtējā situācija, no krīzes situācijā nonākušām personām bērnu skaits par 10 % palielināja trūcīgu un maznodrošinātu ģimeņu bērnu kopskaitu (turpretī personas vecumā 65+ bija tikai 2 %)</w:t>
      </w:r>
      <w:r w:rsidR="004568B1" w:rsidRPr="000D5DBF">
        <w:rPr>
          <w:rFonts w:ascii="Times New Roman" w:hAnsi="Times New Roman" w:cs="Times New Roman"/>
          <w:noProof/>
          <w:sz w:val="24"/>
          <w:szCs w:val="24"/>
        </w:rPr>
        <w:t xml:space="preserve"> Tas liecin</w:t>
      </w:r>
      <w:r w:rsidR="00D27AF9" w:rsidRPr="000D5DBF">
        <w:rPr>
          <w:rFonts w:ascii="Times New Roman" w:hAnsi="Times New Roman" w:cs="Times New Roman"/>
          <w:noProof/>
          <w:sz w:val="24"/>
          <w:szCs w:val="24"/>
        </w:rPr>
        <w:t>a, ka pēc atbalsta krīzes situācijā vēršas vairāk ģimenes ar bērniem, kuru ienākumi ir atkarīgi no darba un atalgojuma pieejamības. Dīkstāve vai bezdarbs veido īslaicīgu krīzes situāciju, kurā jebkurš atbalsts ir ļoti būtisks.</w:t>
      </w:r>
    </w:p>
    <w:p w14:paraId="2277D1CA" w14:textId="6C0B2951" w:rsidR="00A03CFE" w:rsidRPr="000D5DBF" w:rsidRDefault="000A0A81"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i </w:t>
      </w:r>
      <w:r w:rsidR="00A03CFE" w:rsidRPr="000D5DBF">
        <w:rPr>
          <w:rFonts w:ascii="Times New Roman" w:hAnsi="Times New Roman" w:cs="Times New Roman"/>
          <w:bCs/>
          <w:sz w:val="24"/>
          <w:szCs w:val="24"/>
        </w:rPr>
        <w:t>piešķirtā kop</w:t>
      </w:r>
      <w:r w:rsidR="00266617" w:rsidRPr="000D5DBF">
        <w:rPr>
          <w:rFonts w:ascii="Times New Roman" w:hAnsi="Times New Roman" w:cs="Times New Roman"/>
          <w:bCs/>
          <w:sz w:val="24"/>
          <w:szCs w:val="24"/>
        </w:rPr>
        <w:t>ējā finansējuma ietvaros plāno</w:t>
      </w:r>
      <w:r w:rsidR="00A03CFE" w:rsidRPr="000D5DBF">
        <w:rPr>
          <w:rFonts w:ascii="Times New Roman" w:hAnsi="Times New Roman" w:cs="Times New Roman"/>
          <w:bCs/>
          <w:sz w:val="24"/>
          <w:szCs w:val="24"/>
        </w:rPr>
        <w:t>ts nodrošināt atbalstu indikatīvi 59 tūkstošiem unikālo personu gadā, tajā skaitā:</w:t>
      </w:r>
    </w:p>
    <w:p w14:paraId="69B801F4" w14:textId="3C3D1AC4" w:rsidR="00A03CFE" w:rsidRPr="000D5DBF" w:rsidRDefault="00A03CFE" w:rsidP="00BA1297">
      <w:pPr>
        <w:pStyle w:val="ListParagraph"/>
        <w:numPr>
          <w:ilvl w:val="0"/>
          <w:numId w:val="31"/>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bCs/>
          <w:sz w:val="24"/>
          <w:szCs w:val="24"/>
        </w:rPr>
        <w:t>34 tūkstošiem unikālo personu mājsaimniecībās, kurās ir pensionāri, cilvēki ar invaliditāti, pirmspensijas vec</w:t>
      </w:r>
      <w:r w:rsidR="00266617" w:rsidRPr="000D5DBF">
        <w:rPr>
          <w:rFonts w:ascii="Times New Roman" w:hAnsi="Times New Roman" w:cs="Times New Roman"/>
          <w:bCs/>
          <w:sz w:val="24"/>
          <w:szCs w:val="24"/>
        </w:rPr>
        <w:t>uma ilgstošie bezdarbnieki u.c.</w:t>
      </w:r>
      <w:r w:rsidRPr="000D5DBF">
        <w:rPr>
          <w:rFonts w:ascii="Times New Roman" w:hAnsi="Times New Roman" w:cs="Times New Roman"/>
          <w:bCs/>
          <w:sz w:val="24"/>
          <w:szCs w:val="24"/>
        </w:rPr>
        <w:t>;</w:t>
      </w:r>
    </w:p>
    <w:p w14:paraId="532FEA18" w14:textId="59FD5CB8" w:rsidR="00706A16" w:rsidRPr="000D5DBF" w:rsidRDefault="00A03CFE" w:rsidP="00BA1297">
      <w:pPr>
        <w:pStyle w:val="ListParagraph"/>
        <w:numPr>
          <w:ilvl w:val="0"/>
          <w:numId w:val="31"/>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bCs/>
          <w:sz w:val="24"/>
          <w:szCs w:val="24"/>
        </w:rPr>
        <w:t>25 tūkstošiem unikālo per</w:t>
      </w:r>
      <w:r w:rsidR="00266617" w:rsidRPr="000D5DBF">
        <w:rPr>
          <w:rFonts w:ascii="Times New Roman" w:hAnsi="Times New Roman" w:cs="Times New Roman"/>
          <w:bCs/>
          <w:sz w:val="24"/>
          <w:szCs w:val="24"/>
        </w:rPr>
        <w:t>sonu mājsaimniecībās ar bērniem</w:t>
      </w:r>
      <w:r w:rsidRPr="000D5DBF">
        <w:rPr>
          <w:rFonts w:ascii="Times New Roman" w:hAnsi="Times New Roman" w:cs="Times New Roman"/>
          <w:bCs/>
          <w:sz w:val="24"/>
          <w:szCs w:val="24"/>
        </w:rPr>
        <w:t>.</w:t>
      </w:r>
    </w:p>
    <w:p w14:paraId="2D8C9CA8" w14:textId="33E41932" w:rsidR="00A41487" w:rsidRPr="000D5DBF" w:rsidRDefault="00A41487" w:rsidP="00BA1297">
      <w:pPr>
        <w:spacing w:before="0" w:after="0"/>
        <w:ind w:left="567"/>
        <w:rPr>
          <w:noProof/>
          <w:szCs w:val="24"/>
        </w:rPr>
      </w:pPr>
      <w:r w:rsidRPr="003139A2">
        <w:rPr>
          <w:noProof/>
          <w:szCs w:val="24"/>
        </w:rPr>
        <w:t xml:space="preserve">Kopējā </w:t>
      </w:r>
      <w:r w:rsidR="009F7587" w:rsidRPr="003139A2">
        <w:rPr>
          <w:noProof/>
          <w:szCs w:val="24"/>
        </w:rPr>
        <w:t xml:space="preserve">pieejamā </w:t>
      </w:r>
      <w:r w:rsidRPr="003139A2">
        <w:rPr>
          <w:noProof/>
          <w:szCs w:val="24"/>
        </w:rPr>
        <w:t>finansējuma ietvaros pārtikas</w:t>
      </w:r>
      <w:r w:rsidR="00A9701B">
        <w:rPr>
          <w:noProof/>
          <w:szCs w:val="24"/>
        </w:rPr>
        <w:t xml:space="preserve"> atbalstam, t.sk</w:t>
      </w:r>
      <w:r w:rsidR="00A648E3" w:rsidRPr="003139A2">
        <w:rPr>
          <w:noProof/>
          <w:szCs w:val="24"/>
        </w:rPr>
        <w:t>.</w:t>
      </w:r>
      <w:r w:rsidR="00A9701B">
        <w:rPr>
          <w:noProof/>
          <w:szCs w:val="24"/>
        </w:rPr>
        <w:t xml:space="preserve"> </w:t>
      </w:r>
      <w:r w:rsidR="00A648E3" w:rsidRPr="003139A2">
        <w:rPr>
          <w:noProof/>
          <w:szCs w:val="24"/>
        </w:rPr>
        <w:t>gatavām maltītēm,</w:t>
      </w:r>
      <w:r w:rsidRPr="003139A2">
        <w:rPr>
          <w:noProof/>
          <w:szCs w:val="24"/>
        </w:rPr>
        <w:t xml:space="preserve"> </w:t>
      </w:r>
      <w:r w:rsidR="000D5DBF" w:rsidRPr="003139A2">
        <w:rPr>
          <w:noProof/>
          <w:szCs w:val="24"/>
        </w:rPr>
        <w:t>plā</w:t>
      </w:r>
      <w:r w:rsidRPr="003139A2">
        <w:rPr>
          <w:noProof/>
          <w:szCs w:val="24"/>
        </w:rPr>
        <w:t xml:space="preserve">nots novirzīt </w:t>
      </w:r>
      <w:r w:rsidR="007E25F5">
        <w:rPr>
          <w:noProof/>
          <w:szCs w:val="24"/>
        </w:rPr>
        <w:t>indikatīvi 75 </w:t>
      </w:r>
      <w:r w:rsidRPr="003139A2">
        <w:rPr>
          <w:noProof/>
          <w:szCs w:val="24"/>
        </w:rPr>
        <w:t>%, b</w:t>
      </w:r>
      <w:r w:rsidR="00A648E3" w:rsidRPr="003139A2">
        <w:rPr>
          <w:noProof/>
          <w:szCs w:val="24"/>
        </w:rPr>
        <w:t>e</w:t>
      </w:r>
      <w:r w:rsidR="000D5DBF" w:rsidRPr="003139A2">
        <w:rPr>
          <w:noProof/>
          <w:szCs w:val="24"/>
        </w:rPr>
        <w:t>t</w:t>
      </w:r>
      <w:r w:rsidR="00A648E3" w:rsidRPr="003139A2">
        <w:rPr>
          <w:noProof/>
          <w:szCs w:val="24"/>
        </w:rPr>
        <w:t xml:space="preserve"> pamata materiālaj</w:t>
      </w:r>
      <w:r w:rsidR="003139A2" w:rsidRPr="003139A2">
        <w:rPr>
          <w:noProof/>
          <w:szCs w:val="24"/>
        </w:rPr>
        <w:t>a</w:t>
      </w:r>
      <w:r w:rsidR="00A648E3" w:rsidRPr="003139A2">
        <w:rPr>
          <w:noProof/>
          <w:szCs w:val="24"/>
        </w:rPr>
        <w:t xml:space="preserve">i palīdzībai, tostarp higiēnas un saimniecības precēm un mācību piederumiem </w:t>
      </w:r>
      <w:r w:rsidR="007E25F5">
        <w:rPr>
          <w:noProof/>
          <w:szCs w:val="24"/>
        </w:rPr>
        <w:t>– 25 </w:t>
      </w:r>
      <w:r w:rsidRPr="003139A2">
        <w:rPr>
          <w:noProof/>
          <w:szCs w:val="24"/>
        </w:rPr>
        <w:t>%.</w:t>
      </w:r>
    </w:p>
    <w:p w14:paraId="2D08A250" w14:textId="77777777" w:rsidR="00A41487" w:rsidRPr="000D5DBF" w:rsidRDefault="00A41487" w:rsidP="00BA1297">
      <w:pPr>
        <w:spacing w:before="0" w:after="0"/>
        <w:rPr>
          <w:noProof/>
          <w:szCs w:val="24"/>
        </w:rPr>
      </w:pPr>
    </w:p>
    <w:p w14:paraId="2B7614F0" w14:textId="37B6196E" w:rsidR="00D27AF9" w:rsidRPr="000D5DBF" w:rsidRDefault="00235CD3" w:rsidP="00BA1297">
      <w:pPr>
        <w:pStyle w:val="Heading2"/>
        <w:numPr>
          <w:ilvl w:val="1"/>
          <w:numId w:val="30"/>
        </w:numPr>
        <w:spacing w:before="0"/>
        <w:rPr>
          <w:rFonts w:ascii="Times New Roman" w:hAnsi="Times New Roman" w:cs="Times New Roman"/>
          <w:b/>
          <w:color w:val="auto"/>
          <w:sz w:val="24"/>
          <w:szCs w:val="24"/>
        </w:rPr>
      </w:pPr>
      <w:bookmarkStart w:id="8" w:name="_Toc62557107"/>
      <w:r w:rsidRPr="000D5DBF">
        <w:rPr>
          <w:rFonts w:ascii="Times New Roman" w:hAnsi="Times New Roman" w:cs="Times New Roman"/>
          <w:b/>
          <w:color w:val="auto"/>
          <w:sz w:val="24"/>
          <w:szCs w:val="24"/>
        </w:rPr>
        <w:t>Programmas īstenošanas pamatp</w:t>
      </w:r>
      <w:r w:rsidR="00D27AF9" w:rsidRPr="000D5DBF">
        <w:rPr>
          <w:rFonts w:ascii="Times New Roman" w:hAnsi="Times New Roman" w:cs="Times New Roman"/>
          <w:b/>
          <w:color w:val="auto"/>
          <w:sz w:val="24"/>
          <w:szCs w:val="24"/>
        </w:rPr>
        <w:t>rincipi</w:t>
      </w:r>
      <w:bookmarkEnd w:id="8"/>
    </w:p>
    <w:p w14:paraId="75CA8272" w14:textId="3554B7D4" w:rsidR="00D94AEC" w:rsidRPr="003C3761" w:rsidRDefault="000A0A81"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D27AF9" w:rsidRPr="002D5DF2">
        <w:rPr>
          <w:rFonts w:ascii="Times New Roman" w:hAnsi="Times New Roman" w:cs="Times New Roman"/>
          <w:bCs/>
          <w:sz w:val="24"/>
          <w:szCs w:val="24"/>
        </w:rPr>
        <w:t xml:space="preserve">īstenošanā tiks ievēroti šādi principi: informācijas un vides pieejamība, </w:t>
      </w:r>
      <w:r w:rsidR="00531E57" w:rsidRPr="002D5DF2">
        <w:rPr>
          <w:rFonts w:ascii="Times New Roman" w:hAnsi="Times New Roman" w:cs="Times New Roman"/>
          <w:bCs/>
          <w:sz w:val="24"/>
          <w:szCs w:val="24"/>
        </w:rPr>
        <w:t>dzimumu</w:t>
      </w:r>
      <w:r w:rsidR="00D27AF9" w:rsidRPr="002D5DF2">
        <w:rPr>
          <w:rFonts w:ascii="Times New Roman" w:hAnsi="Times New Roman" w:cs="Times New Roman"/>
          <w:bCs/>
          <w:sz w:val="24"/>
          <w:szCs w:val="24"/>
        </w:rPr>
        <w:t xml:space="preserve"> līdztiesība, vienlīdzīgu iespēju nodrošināšana, nediskriminācija vecuma, dzimuma, rases, etniskās izcelsmes, reliģijas vai pārliecības, invaliditātes,</w:t>
      </w:r>
      <w:r w:rsidR="00531E57" w:rsidRPr="002D5DF2">
        <w:rPr>
          <w:rFonts w:ascii="Times New Roman" w:hAnsi="Times New Roman" w:cs="Times New Roman"/>
          <w:bCs/>
          <w:sz w:val="24"/>
          <w:szCs w:val="24"/>
        </w:rPr>
        <w:t xml:space="preserve"> dzimumorientācijas dēļ</w:t>
      </w:r>
      <w:r w:rsidR="00D27AF9" w:rsidRPr="002D5DF2">
        <w:rPr>
          <w:rFonts w:ascii="Times New Roman" w:hAnsi="Times New Roman" w:cs="Times New Roman"/>
          <w:bCs/>
          <w:sz w:val="24"/>
          <w:szCs w:val="24"/>
        </w:rPr>
        <w:t>.</w:t>
      </w:r>
      <w:r w:rsidR="002D5DF2" w:rsidRPr="002D5DF2">
        <w:rPr>
          <w:rFonts w:ascii="Times New Roman" w:hAnsi="Times New Roman" w:cs="Times New Roman"/>
          <w:bCs/>
          <w:sz w:val="24"/>
          <w:szCs w:val="24"/>
        </w:rPr>
        <w:t xml:space="preserve"> </w:t>
      </w:r>
      <w:r w:rsidR="00D33591" w:rsidRPr="002D5DF2">
        <w:rPr>
          <w:rFonts w:ascii="Times New Roman" w:hAnsi="Times New Roman" w:cs="Times New Roman"/>
          <w:bCs/>
          <w:sz w:val="24"/>
          <w:szCs w:val="24"/>
        </w:rPr>
        <w:t>Programmas īstenošanā un uzraudzībā tiks nodrošināta pārredzamības</w:t>
      </w:r>
      <w:r w:rsidR="002D5DF2" w:rsidRPr="002D5DF2">
        <w:rPr>
          <w:rFonts w:ascii="Times New Roman" w:hAnsi="Times New Roman" w:cs="Times New Roman"/>
          <w:bCs/>
          <w:sz w:val="24"/>
          <w:szCs w:val="24"/>
        </w:rPr>
        <w:t xml:space="preserve"> </w:t>
      </w:r>
      <w:r w:rsidR="00D33591" w:rsidRPr="002D5DF2">
        <w:rPr>
          <w:rFonts w:ascii="Times New Roman" w:hAnsi="Times New Roman" w:cs="Times New Roman"/>
          <w:bCs/>
          <w:sz w:val="24"/>
          <w:szCs w:val="24"/>
        </w:rPr>
        <w:t xml:space="preserve">un pareizas finanšu pārvaldības </w:t>
      </w:r>
      <w:r w:rsidR="002D5DF2" w:rsidRPr="002D5DF2">
        <w:rPr>
          <w:rFonts w:ascii="Times New Roman" w:hAnsi="Times New Roman" w:cs="Times New Roman"/>
          <w:bCs/>
          <w:sz w:val="24"/>
          <w:szCs w:val="24"/>
        </w:rPr>
        <w:t>principa ievērošana, kā arī nevajadzīgā administratīvā sloga samazināšana.</w:t>
      </w:r>
    </w:p>
    <w:p w14:paraId="6EC03376" w14:textId="63F85CA0"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bCs/>
          <w:sz w:val="24"/>
          <w:szCs w:val="24"/>
        </w:rPr>
        <w:t>Pārtikas un pamat</w:t>
      </w:r>
      <w:r w:rsidR="00A24883" w:rsidRPr="000D5DBF">
        <w:rPr>
          <w:rFonts w:ascii="Times New Roman" w:hAnsi="Times New Roman" w:cs="Times New Roman"/>
          <w:bCs/>
          <w:sz w:val="24"/>
          <w:szCs w:val="24"/>
        </w:rPr>
        <w:t xml:space="preserve">a </w:t>
      </w:r>
      <w:r w:rsidRPr="000D5DBF">
        <w:rPr>
          <w:rFonts w:ascii="Times New Roman" w:hAnsi="Times New Roman" w:cs="Times New Roman"/>
          <w:bCs/>
          <w:sz w:val="24"/>
          <w:szCs w:val="24"/>
        </w:rPr>
        <w:t xml:space="preserve">materiālās palīdzības </w:t>
      </w:r>
      <w:r w:rsidRPr="000D5DBF">
        <w:rPr>
          <w:rFonts w:ascii="Times New Roman" w:eastAsia="Times New Roman" w:hAnsi="Times New Roman" w:cs="Times New Roman"/>
          <w:noProof/>
          <w:sz w:val="24"/>
          <w:szCs w:val="24"/>
        </w:rPr>
        <w:t>izdalīšanai</w:t>
      </w:r>
      <w:r w:rsidRPr="000D5DBF">
        <w:rPr>
          <w:rFonts w:ascii="Times New Roman" w:hAnsi="Times New Roman" w:cs="Times New Roman"/>
          <w:bCs/>
          <w:sz w:val="24"/>
          <w:szCs w:val="24"/>
        </w:rPr>
        <w:t xml:space="preserve"> tiks iepirktas tikai tādas preces, kas </w:t>
      </w:r>
      <w:r w:rsidRPr="000D5DBF">
        <w:rPr>
          <w:rFonts w:ascii="Times New Roman" w:eastAsia="Times New Roman" w:hAnsi="Times New Roman" w:cs="Times New Roman"/>
          <w:noProof/>
          <w:sz w:val="24"/>
          <w:szCs w:val="24"/>
        </w:rPr>
        <w:t xml:space="preserve">atbilst ES tiesību aktiem par patēriņa preču </w:t>
      </w:r>
      <w:r w:rsidR="006B1BCE" w:rsidRPr="000D5DBF">
        <w:rPr>
          <w:rFonts w:ascii="Times New Roman" w:eastAsia="Times New Roman" w:hAnsi="Times New Roman" w:cs="Times New Roman"/>
          <w:noProof/>
          <w:sz w:val="24"/>
          <w:szCs w:val="24"/>
        </w:rPr>
        <w:t>drošu</w:t>
      </w:r>
      <w:r w:rsidRPr="000D5DBF">
        <w:rPr>
          <w:rFonts w:ascii="Times New Roman" w:eastAsia="Times New Roman" w:hAnsi="Times New Roman" w:cs="Times New Roman"/>
          <w:noProof/>
          <w:sz w:val="24"/>
          <w:szCs w:val="24"/>
        </w:rPr>
        <w:t xml:space="preserve">mu. Preču izvēlē tiks ņemti vērā klimata un vides aizsardzības aspekti, pārtikas atkritumu daudzuma samazināšanas princips, to atbilstība </w:t>
      </w:r>
      <w:r w:rsidRPr="000D5DBF">
        <w:rPr>
          <w:rFonts w:ascii="Times New Roman" w:hAnsi="Times New Roman" w:cs="Times New Roman"/>
          <w:bCs/>
          <w:sz w:val="24"/>
          <w:szCs w:val="24"/>
        </w:rPr>
        <w:t>veselīga uztura nosacījumiem.</w:t>
      </w:r>
    </w:p>
    <w:p w14:paraId="5E831EB1" w14:textId="77777777"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noProof/>
          <w:sz w:val="24"/>
          <w:szCs w:val="24"/>
        </w:rPr>
        <w:t xml:space="preserve">Pārtikas un materiālās palīdzības preču klāsts pamatā ir izveidots 2014. – 2020. gada plānošanas periodā EAFVP darbības programmas īstenošanas ietvaros sadarbībā ar NVO un labdarības organizāciju pārstāvjiem, dietologiem, ekspertiem no ZM, VM un IZM. Optimālā produktu klāsta noteikšanā ievērota katra produkta uzturvērtība, tā atbilstība veselīgam uzturam un piemērotība izdalīšanai, produkta derīguma termiņa ilgums, apstāklis, ka to uzglabāšanai nav nepieciešams speciāls temperatūras režīms, kā </w:t>
      </w:r>
      <w:r w:rsidRPr="000D5DBF">
        <w:rPr>
          <w:rFonts w:ascii="Times New Roman" w:hAnsi="Times New Roman" w:cs="Times New Roman"/>
          <w:noProof/>
          <w:sz w:val="24"/>
          <w:szCs w:val="24"/>
        </w:rPr>
        <w:lastRenderedPageBreak/>
        <w:t xml:space="preserve">arī iespējamais produktu pagatavošanas veids. Produktu klāsta noteikšanā un pilnveidē ņemti vērā ikgadēji EAFVP ieviešanas novērtēšanā noskaidrotie atbalsta gala saņēmēju viedokļi un ieteikumi, nodrošinot lielāku komplektā esošo produktu daudzveidību un uzturvielu sabalansētību. Vienlaikus atbalsta apjoms ir paredzēts </w:t>
      </w:r>
      <w:r w:rsidRPr="000D5DBF">
        <w:rPr>
          <w:rFonts w:ascii="Times New Roman" w:hAnsi="Times New Roman" w:cs="Times New Roman"/>
          <w:sz w:val="24"/>
          <w:szCs w:val="24"/>
          <w:lang w:eastAsia="en-US" w:bidi="ar-SA"/>
        </w:rPr>
        <w:t>ierobežotā apjomā, neveicinot atkarības no atbalsta veidošanos.</w:t>
      </w:r>
    </w:p>
    <w:p w14:paraId="673D4AA2" w14:textId="4BFB1823" w:rsidR="00D27AF9" w:rsidRPr="000D5DBF" w:rsidRDefault="00D27AF9" w:rsidP="00BA1297">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noProof/>
          <w:sz w:val="24"/>
          <w:szCs w:val="24"/>
        </w:rPr>
        <w:t xml:space="preserve">Atbalsta komplektos iekļaujamo preču iepirkšanā tiks </w:t>
      </w:r>
      <w:r w:rsidR="001B64DE" w:rsidRPr="000D5DBF">
        <w:rPr>
          <w:rFonts w:ascii="Times New Roman" w:hAnsi="Times New Roman" w:cs="Times New Roman"/>
          <w:noProof/>
          <w:sz w:val="24"/>
          <w:szCs w:val="24"/>
        </w:rPr>
        <w:t xml:space="preserve">piemērots vides aizsardzības </w:t>
      </w:r>
      <w:r w:rsidRPr="000D5DBF">
        <w:rPr>
          <w:rFonts w:ascii="Times New Roman" w:hAnsi="Times New Roman" w:cs="Times New Roman"/>
          <w:noProof/>
          <w:sz w:val="24"/>
          <w:szCs w:val="24"/>
        </w:rPr>
        <w:t xml:space="preserve">princips, preču iepirkumu nosacījumos </w:t>
      </w:r>
      <w:r w:rsidR="006C0BC9" w:rsidRPr="000D5DBF">
        <w:rPr>
          <w:rFonts w:ascii="Times New Roman" w:hAnsi="Times New Roman" w:cs="Times New Roman"/>
          <w:noProof/>
          <w:sz w:val="24"/>
          <w:szCs w:val="24"/>
        </w:rPr>
        <w:t>iekļaujot</w:t>
      </w:r>
      <w:r w:rsidRPr="000D5DBF">
        <w:rPr>
          <w:rFonts w:ascii="Times New Roman" w:hAnsi="Times New Roman" w:cs="Times New Roman"/>
          <w:noProof/>
          <w:sz w:val="24"/>
          <w:szCs w:val="24"/>
        </w:rPr>
        <w:t xml:space="preserve"> prasības:</w:t>
      </w:r>
    </w:p>
    <w:p w14:paraId="35651CFE" w14:textId="77777777" w:rsidR="00D27AF9" w:rsidRPr="000D5DBF" w:rsidRDefault="00D27AF9" w:rsidP="00BA1297">
      <w:pPr>
        <w:pStyle w:val="ListParagraph"/>
        <w:numPr>
          <w:ilvl w:val="0"/>
          <w:numId w:val="4"/>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iepakojumam, kas atbilst videi draudzīgam iepakojumam vai iepakojumam, kura lielākā daļa ir otrreizēji pārstrādājama, vai iepakojumam, ko preču piegādātājs pieņem atkārtotai izmantošanai; </w:t>
      </w:r>
    </w:p>
    <w:p w14:paraId="03160495" w14:textId="77777777" w:rsidR="00D27AF9" w:rsidRPr="000D5DBF" w:rsidRDefault="00D27AF9" w:rsidP="00BA1297">
      <w:pPr>
        <w:pStyle w:val="ListParagraph"/>
        <w:numPr>
          <w:ilvl w:val="0"/>
          <w:numId w:val="4"/>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preču transportēšanai, kas ir videi draudzīga, lai piegādes laikā nodrošinātu samazinātu vides piesārņojumu ar autotransporta izplūdes gāzēm un veicinātu ceļa infrastruktūras slodzes samazināšanu u.c.</w:t>
      </w:r>
    </w:p>
    <w:p w14:paraId="7EBA8677" w14:textId="3AD3579D" w:rsidR="00D27AF9" w:rsidRPr="000D5DBF" w:rsidRDefault="00336114" w:rsidP="00BA1297">
      <w:pPr>
        <w:pStyle w:val="ListParagraph"/>
        <w:numPr>
          <w:ilvl w:val="0"/>
          <w:numId w:val="2"/>
        </w:numPr>
        <w:spacing w:after="0" w:line="240" w:lineRule="auto"/>
        <w:ind w:left="567" w:hanging="567"/>
        <w:rPr>
          <w:rFonts w:ascii="Times New Roman" w:hAnsi="Times New Roman" w:cs="Times New Roman"/>
          <w:noProof/>
          <w:sz w:val="24"/>
          <w:szCs w:val="24"/>
        </w:rPr>
      </w:pPr>
      <w:r w:rsidRPr="000D5DBF">
        <w:rPr>
          <w:rFonts w:ascii="Times New Roman" w:hAnsi="Times New Roman" w:cs="Times New Roman"/>
          <w:noProof/>
          <w:sz w:val="24"/>
          <w:szCs w:val="24"/>
        </w:rPr>
        <w:t>Preču iepirkšanā priekšroku dodot:</w:t>
      </w:r>
    </w:p>
    <w:p w14:paraId="54C5883B" w14:textId="76AF4339" w:rsidR="00D27AF9" w:rsidRPr="000D5DBF" w:rsidRDefault="003107A0" w:rsidP="00BA1297">
      <w:pPr>
        <w:pStyle w:val="ListParagraph"/>
        <w:numPr>
          <w:ilvl w:val="0"/>
          <w:numId w:val="5"/>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pārtikas precēm</w:t>
      </w:r>
      <w:r w:rsidR="00D27AF9" w:rsidRPr="000D5DBF">
        <w:rPr>
          <w:rFonts w:ascii="Times New Roman" w:hAnsi="Times New Roman" w:cs="Times New Roman"/>
          <w:noProof/>
          <w:sz w:val="24"/>
          <w:szCs w:val="24"/>
        </w:rPr>
        <w:t>, kas atbilst bioloģiskās lauksaimniecības vai nacionālās pārtikas kvalitātes shēmu prasībām;</w:t>
      </w:r>
    </w:p>
    <w:p w14:paraId="390819B9" w14:textId="0598702A" w:rsidR="00D27AF9" w:rsidRPr="000D5DBF" w:rsidRDefault="003107A0" w:rsidP="00BA1297">
      <w:pPr>
        <w:pStyle w:val="ListParagraph"/>
        <w:numPr>
          <w:ilvl w:val="0"/>
          <w:numId w:val="5"/>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higiēnas precēm un mācību piederumiem,</w:t>
      </w:r>
      <w:r w:rsidR="00D27AF9" w:rsidRPr="000D5DBF">
        <w:rPr>
          <w:rFonts w:ascii="Times New Roman" w:hAnsi="Times New Roman" w:cs="Times New Roman"/>
          <w:noProof/>
          <w:sz w:val="24"/>
          <w:szCs w:val="24"/>
        </w:rPr>
        <w:t xml:space="preserve"> kas ir videi draudzīgas u.c.</w:t>
      </w:r>
    </w:p>
    <w:p w14:paraId="06CFA354" w14:textId="77777777" w:rsidR="00D27AF9" w:rsidRPr="000D5DBF" w:rsidRDefault="00D27AF9" w:rsidP="00BA1297">
      <w:pPr>
        <w:spacing w:before="0" w:after="0"/>
        <w:rPr>
          <w:noProof/>
          <w:szCs w:val="24"/>
        </w:rPr>
      </w:pPr>
    </w:p>
    <w:p w14:paraId="66B98E2D" w14:textId="276320F1" w:rsidR="00D27AF9" w:rsidRPr="000D5DBF" w:rsidRDefault="00225D19" w:rsidP="00BA1297">
      <w:pPr>
        <w:pStyle w:val="Heading2"/>
        <w:numPr>
          <w:ilvl w:val="1"/>
          <w:numId w:val="30"/>
        </w:numPr>
        <w:spacing w:before="0"/>
        <w:rPr>
          <w:rFonts w:ascii="Times New Roman" w:eastAsia="Times New Roman" w:hAnsi="Times New Roman" w:cs="Times New Roman"/>
          <w:b/>
          <w:noProof/>
          <w:color w:val="auto"/>
          <w:sz w:val="24"/>
          <w:szCs w:val="24"/>
        </w:rPr>
      </w:pPr>
      <w:bookmarkStart w:id="9" w:name="_Toc62557108"/>
      <w:r w:rsidRPr="000D5DBF">
        <w:rPr>
          <w:rFonts w:ascii="Times New Roman" w:eastAsia="Times New Roman" w:hAnsi="Times New Roman" w:cs="Times New Roman"/>
          <w:b/>
          <w:noProof/>
          <w:color w:val="auto"/>
          <w:sz w:val="24"/>
          <w:szCs w:val="24"/>
        </w:rPr>
        <w:t xml:space="preserve">Programmas nosacījumu </w:t>
      </w:r>
      <w:r w:rsidR="00B55B44" w:rsidRPr="000D5DBF">
        <w:rPr>
          <w:rFonts w:ascii="Times New Roman" w:eastAsia="Times New Roman" w:hAnsi="Times New Roman" w:cs="Times New Roman"/>
          <w:b/>
          <w:noProof/>
          <w:color w:val="auto"/>
          <w:sz w:val="24"/>
          <w:szCs w:val="24"/>
        </w:rPr>
        <w:t>elastība</w:t>
      </w:r>
      <w:bookmarkEnd w:id="9"/>
    </w:p>
    <w:p w14:paraId="77904B2E" w14:textId="5EB8F6FA" w:rsidR="00D27AF9" w:rsidRPr="000D5DBF" w:rsidRDefault="00D27AF9" w:rsidP="00BA1297">
      <w:pPr>
        <w:numPr>
          <w:ilvl w:val="0"/>
          <w:numId w:val="2"/>
        </w:numPr>
        <w:spacing w:before="0" w:after="0"/>
        <w:ind w:left="567" w:hanging="567"/>
        <w:contextualSpacing/>
        <w:rPr>
          <w:rFonts w:eastAsiaTheme="minorHAnsi"/>
          <w:noProof/>
          <w:szCs w:val="24"/>
        </w:rPr>
      </w:pPr>
      <w:r w:rsidRPr="000D5DBF">
        <w:rPr>
          <w:rFonts w:eastAsiaTheme="minorHAnsi"/>
          <w:noProof/>
          <w:szCs w:val="24"/>
        </w:rPr>
        <w:t xml:space="preserve">Plānošanas periodā, pamatojoties uz atbalsta gala saņēmēju </w:t>
      </w:r>
      <w:r w:rsidR="00386D86" w:rsidRPr="000D5DBF">
        <w:rPr>
          <w:rFonts w:eastAsiaTheme="minorHAnsi"/>
          <w:noProof/>
          <w:szCs w:val="24"/>
        </w:rPr>
        <w:t xml:space="preserve">sociāli demogrāfiskā profila, t.sk. </w:t>
      </w:r>
      <w:r w:rsidRPr="000D5DBF">
        <w:rPr>
          <w:rFonts w:eastAsiaTheme="minorHAnsi"/>
          <w:noProof/>
          <w:szCs w:val="24"/>
        </w:rPr>
        <w:t xml:space="preserve">vecumstruktūras izmaiņām, </w:t>
      </w:r>
      <w:r w:rsidR="00386D86" w:rsidRPr="000D5DBF">
        <w:rPr>
          <w:rFonts w:eastAsiaTheme="minorHAnsi"/>
          <w:noProof/>
          <w:szCs w:val="24"/>
        </w:rPr>
        <w:t>nodarbošanās un sociālās piederības izmaiņām</w:t>
      </w:r>
      <w:r w:rsidRPr="000D5DBF">
        <w:rPr>
          <w:rFonts w:eastAsiaTheme="minorHAnsi"/>
          <w:noProof/>
          <w:szCs w:val="24"/>
        </w:rPr>
        <w:t>, atbalsta veidi un to apjoms var tikt pārskatīts.</w:t>
      </w:r>
    </w:p>
    <w:p w14:paraId="36C3064B" w14:textId="3A27ADC0" w:rsidR="00B57FC3" w:rsidRPr="000D5DBF" w:rsidRDefault="007D6C7C" w:rsidP="00BA1297">
      <w:pPr>
        <w:numPr>
          <w:ilvl w:val="0"/>
          <w:numId w:val="2"/>
        </w:numPr>
        <w:spacing w:before="0" w:after="0"/>
        <w:ind w:left="567" w:hanging="567"/>
        <w:contextualSpacing/>
        <w:rPr>
          <w:rFonts w:eastAsiaTheme="minorHAnsi"/>
          <w:noProof/>
          <w:szCs w:val="24"/>
        </w:rPr>
      </w:pPr>
      <w:r w:rsidRPr="000D5DBF">
        <w:rPr>
          <w:rFonts w:eastAsiaTheme="minorHAnsi"/>
          <w:szCs w:val="24"/>
        </w:rPr>
        <w:t>Mainoties sociāli ekonomiskajai situācijai</w:t>
      </w:r>
      <w:r w:rsidR="00B57FC3" w:rsidRPr="000D5DBF">
        <w:rPr>
          <w:rFonts w:eastAsiaTheme="minorHAnsi"/>
          <w:szCs w:val="24"/>
        </w:rPr>
        <w:t xml:space="preserve"> i</w:t>
      </w:r>
      <w:r w:rsidR="00D27AF9" w:rsidRPr="000D5DBF">
        <w:rPr>
          <w:rFonts w:eastAsiaTheme="minorHAnsi"/>
          <w:szCs w:val="24"/>
        </w:rPr>
        <w:t>r iespējamas izmaiņas atbalsta saņemšanas nosacījumos, saturā vai at</w:t>
      </w:r>
      <w:r w:rsidR="00B57FC3" w:rsidRPr="000D5DBF">
        <w:rPr>
          <w:rFonts w:eastAsiaTheme="minorHAnsi"/>
          <w:szCs w:val="24"/>
        </w:rPr>
        <w:t>balsta sniegšanas organizācijā.</w:t>
      </w:r>
    </w:p>
    <w:p w14:paraId="688BD653" w14:textId="77777777" w:rsidR="00D27AF9" w:rsidRPr="000D5DBF" w:rsidRDefault="00D27AF9" w:rsidP="00BA1297">
      <w:pPr>
        <w:spacing w:before="0" w:after="0"/>
        <w:contextualSpacing/>
        <w:rPr>
          <w:rFonts w:eastAsiaTheme="minorHAnsi"/>
          <w:szCs w:val="24"/>
        </w:rPr>
      </w:pPr>
    </w:p>
    <w:p w14:paraId="57AA2E47" w14:textId="76E3A051" w:rsidR="00C36492" w:rsidRPr="000D5DBF" w:rsidRDefault="00C36492" w:rsidP="00BA1297">
      <w:pPr>
        <w:pStyle w:val="Heading2"/>
        <w:numPr>
          <w:ilvl w:val="1"/>
          <w:numId w:val="30"/>
        </w:numPr>
        <w:spacing w:before="0"/>
        <w:rPr>
          <w:rFonts w:ascii="Times New Roman" w:eastAsiaTheme="minorHAnsi" w:hAnsi="Times New Roman" w:cs="Times New Roman"/>
          <w:b/>
          <w:color w:val="auto"/>
          <w:sz w:val="24"/>
          <w:szCs w:val="24"/>
        </w:rPr>
      </w:pPr>
      <w:bookmarkStart w:id="10" w:name="_Toc62557109"/>
      <w:r w:rsidRPr="000D5DBF">
        <w:rPr>
          <w:rFonts w:ascii="Times New Roman" w:hAnsi="Times New Roman" w:cs="Times New Roman"/>
          <w:b/>
          <w:color w:val="auto"/>
          <w:sz w:val="24"/>
          <w:szCs w:val="24"/>
        </w:rPr>
        <w:t xml:space="preserve">Papildināmība ar citām </w:t>
      </w:r>
      <w:r w:rsidR="00970FAE" w:rsidRPr="000D5DBF">
        <w:rPr>
          <w:rFonts w:ascii="Times New Roman" w:hAnsi="Times New Roman" w:cs="Times New Roman"/>
          <w:b/>
          <w:color w:val="auto"/>
          <w:sz w:val="24"/>
          <w:szCs w:val="24"/>
        </w:rPr>
        <w:t>aktivitātēm</w:t>
      </w:r>
      <w:bookmarkEnd w:id="10"/>
    </w:p>
    <w:p w14:paraId="36BE4ADC" w14:textId="77777777" w:rsidR="00C36492" w:rsidRPr="000D5DBF" w:rsidRDefault="00C36492" w:rsidP="00BA1297">
      <w:pPr>
        <w:spacing w:before="0" w:after="0"/>
        <w:contextualSpacing/>
        <w:rPr>
          <w:rFonts w:eastAsiaTheme="minorHAnsi"/>
          <w:szCs w:val="24"/>
        </w:rPr>
      </w:pPr>
    </w:p>
    <w:p w14:paraId="244009F9" w14:textId="719F71A4" w:rsidR="00E04B24" w:rsidRPr="00E04B24" w:rsidRDefault="00CB056F" w:rsidP="00BA1297">
      <w:pPr>
        <w:pStyle w:val="ListParagraph"/>
        <w:numPr>
          <w:ilvl w:val="0"/>
          <w:numId w:val="2"/>
        </w:numPr>
        <w:spacing w:after="0" w:line="240" w:lineRule="auto"/>
        <w:ind w:left="567" w:hanging="567"/>
        <w:jc w:val="both"/>
        <w:rPr>
          <w:rFonts w:ascii="Times New Roman" w:hAnsi="Times New Roman" w:cs="Times New Roman"/>
          <w:sz w:val="24"/>
          <w:szCs w:val="24"/>
        </w:rPr>
      </w:pPr>
      <w:r w:rsidRPr="00E04B24">
        <w:rPr>
          <w:rFonts w:ascii="Times New Roman" w:hAnsi="Times New Roman" w:cs="Times New Roman"/>
          <w:sz w:val="24"/>
          <w:szCs w:val="24"/>
        </w:rPr>
        <w:t>E</w:t>
      </w:r>
      <w:r w:rsidR="00C36492" w:rsidRPr="00E04B24">
        <w:rPr>
          <w:rFonts w:ascii="Times New Roman" w:hAnsi="Times New Roman" w:cs="Times New Roman"/>
          <w:sz w:val="24"/>
          <w:szCs w:val="24"/>
        </w:rPr>
        <w:t>SF</w:t>
      </w:r>
      <w:r w:rsidRPr="00E04B24">
        <w:rPr>
          <w:rFonts w:ascii="Times New Roman" w:hAnsi="Times New Roman" w:cs="Times New Roman"/>
          <w:sz w:val="24"/>
          <w:szCs w:val="24"/>
        </w:rPr>
        <w:t>+</w:t>
      </w:r>
      <w:r w:rsidR="00C36492" w:rsidRPr="00E04B24">
        <w:rPr>
          <w:rFonts w:ascii="Times New Roman" w:hAnsi="Times New Roman" w:cs="Times New Roman"/>
          <w:sz w:val="24"/>
          <w:szCs w:val="24"/>
        </w:rPr>
        <w:t xml:space="preserve"> līdzfinansētā </w:t>
      </w:r>
      <w:r w:rsidRPr="00E04B24">
        <w:rPr>
          <w:rFonts w:ascii="Times New Roman" w:hAnsi="Times New Roman" w:cs="Times New Roman"/>
          <w:sz w:val="24"/>
          <w:szCs w:val="24"/>
        </w:rPr>
        <w:t xml:space="preserve">“Darbības programma Latvijai 2021. – 2027. gadam” </w:t>
      </w:r>
      <w:r w:rsidR="00C36492" w:rsidRPr="00E04B24">
        <w:rPr>
          <w:rFonts w:ascii="Times New Roman" w:hAnsi="Times New Roman" w:cs="Times New Roman"/>
          <w:sz w:val="24"/>
          <w:szCs w:val="24"/>
        </w:rPr>
        <w:t>izvirza atsevi</w:t>
      </w:r>
      <w:r w:rsidR="0049511F">
        <w:rPr>
          <w:rFonts w:ascii="Times New Roman" w:hAnsi="Times New Roman" w:cs="Times New Roman"/>
          <w:sz w:val="24"/>
          <w:szCs w:val="24"/>
        </w:rPr>
        <w:t>šķus SAM</w:t>
      </w:r>
      <w:r w:rsidR="00C36492" w:rsidRPr="00E04B24">
        <w:rPr>
          <w:rFonts w:ascii="Times New Roman" w:hAnsi="Times New Roman" w:cs="Times New Roman"/>
          <w:sz w:val="24"/>
          <w:szCs w:val="24"/>
        </w:rPr>
        <w:t xml:space="preserve">, kuru ietvaros paredzēts atbalsts trūcīgām un maznodrošinātām personām, kas vienlaikus var būt arī </w:t>
      </w:r>
      <w:r w:rsidR="00887902">
        <w:rPr>
          <w:rFonts w:ascii="Times New Roman" w:hAnsi="Times New Roman" w:cs="Times New Roman"/>
          <w:bCs/>
          <w:sz w:val="24"/>
          <w:szCs w:val="24"/>
        </w:rPr>
        <w:t>P</w:t>
      </w:r>
      <w:r w:rsidR="00887902" w:rsidRPr="000D5DBF">
        <w:rPr>
          <w:rFonts w:ascii="Times New Roman" w:hAnsi="Times New Roman" w:cs="Times New Roman"/>
          <w:bCs/>
          <w:sz w:val="24"/>
          <w:szCs w:val="24"/>
        </w:rPr>
        <w:t>rogramma</w:t>
      </w:r>
      <w:r w:rsidR="00887902">
        <w:rPr>
          <w:rFonts w:ascii="Times New Roman" w:hAnsi="Times New Roman" w:cs="Times New Roman"/>
          <w:bCs/>
          <w:sz w:val="24"/>
          <w:szCs w:val="24"/>
        </w:rPr>
        <w:t>s</w:t>
      </w:r>
      <w:r w:rsidR="00C36492" w:rsidRPr="00E04B24">
        <w:rPr>
          <w:rFonts w:ascii="Times New Roman" w:hAnsi="Times New Roman" w:cs="Times New Roman"/>
          <w:sz w:val="24"/>
          <w:szCs w:val="24"/>
        </w:rPr>
        <w:t xml:space="preserve"> mērķa grupa, piemēram, </w:t>
      </w:r>
      <w:r w:rsidR="00C603B2" w:rsidRPr="00E04B24">
        <w:rPr>
          <w:rFonts w:ascii="Times New Roman" w:hAnsi="Times New Roman" w:cs="Times New Roman"/>
          <w:sz w:val="24"/>
          <w:szCs w:val="24"/>
        </w:rPr>
        <w:t>4.3.1. SAM “Veicināt sociāli atstumto kopienu, migrantu un nelabvēlīgā situācijā esošo grupu sociāli ekonomisko integrāciju, izmantojot integrētus pasākumus, tostarp mājokļu un sociālo pakalpojumu jomā”, 4.3.3. SAM “Uzlabot visu darba meklētāju, jo īpaši jauniešu, ilgstošo bezdarbnieku un nelabvēlīgā situācijā esošu grupu, kā arī neaktīvo personu piekļuvi nodarbinātībai, veicināt pašnodarbinātību un sociālo ekonomiku” un 4.3.6. SAM “Veicināt nabadzības vai sociālās atstumtības riskam pakļauto cilvēku, tostarp vistrūcīgāko un bērnu, sociālo integrāciju”.</w:t>
      </w:r>
    </w:p>
    <w:p w14:paraId="1CC86BEF" w14:textId="7BC86914" w:rsidR="00E04B24" w:rsidRPr="00E04B24" w:rsidRDefault="00C36492" w:rsidP="00BA1297">
      <w:pPr>
        <w:pStyle w:val="ListParagraph"/>
        <w:numPr>
          <w:ilvl w:val="0"/>
          <w:numId w:val="2"/>
        </w:numPr>
        <w:spacing w:after="0" w:line="240" w:lineRule="auto"/>
        <w:ind w:left="567" w:hanging="567"/>
        <w:jc w:val="both"/>
        <w:rPr>
          <w:rFonts w:ascii="Times New Roman" w:hAnsi="Times New Roman" w:cs="Times New Roman"/>
          <w:sz w:val="24"/>
          <w:szCs w:val="24"/>
        </w:rPr>
      </w:pPr>
      <w:r w:rsidRPr="00E04B24">
        <w:rPr>
          <w:rFonts w:ascii="Times New Roman" w:hAnsi="Times New Roman" w:cs="Times New Roman"/>
          <w:sz w:val="24"/>
          <w:szCs w:val="24"/>
        </w:rPr>
        <w:t xml:space="preserve">Papildus, </w:t>
      </w:r>
      <w:r w:rsidR="00CE12C9">
        <w:rPr>
          <w:rFonts w:ascii="Times New Roman" w:hAnsi="Times New Roman" w:cs="Times New Roman"/>
          <w:bCs/>
          <w:sz w:val="24"/>
          <w:szCs w:val="24"/>
        </w:rPr>
        <w:t>P</w:t>
      </w:r>
      <w:r w:rsidR="00CE12C9" w:rsidRPr="000D5DBF">
        <w:rPr>
          <w:rFonts w:ascii="Times New Roman" w:hAnsi="Times New Roman" w:cs="Times New Roman"/>
          <w:bCs/>
          <w:sz w:val="24"/>
          <w:szCs w:val="24"/>
        </w:rPr>
        <w:t>rogramma</w:t>
      </w:r>
      <w:r w:rsidR="00CE12C9">
        <w:rPr>
          <w:rFonts w:ascii="Times New Roman" w:hAnsi="Times New Roman" w:cs="Times New Roman"/>
          <w:bCs/>
          <w:sz w:val="24"/>
          <w:szCs w:val="24"/>
        </w:rPr>
        <w:t xml:space="preserve">s </w:t>
      </w:r>
      <w:r w:rsidRPr="00E04B24">
        <w:rPr>
          <w:rFonts w:ascii="Times New Roman" w:hAnsi="Times New Roman" w:cs="Times New Roman"/>
          <w:sz w:val="24"/>
          <w:szCs w:val="24"/>
        </w:rPr>
        <w:t xml:space="preserve">mērķa grupas situāciju ietekmēs arī plānotais </w:t>
      </w:r>
      <w:r w:rsidR="00EE1F73" w:rsidRPr="00E04B24">
        <w:rPr>
          <w:rFonts w:ascii="Times New Roman" w:hAnsi="Times New Roman" w:cs="Times New Roman"/>
          <w:sz w:val="24"/>
          <w:szCs w:val="24"/>
        </w:rPr>
        <w:t xml:space="preserve">“Darbības programma Latvijai 2021. – 2027. gadam” </w:t>
      </w:r>
      <w:r w:rsidRPr="00E04B24">
        <w:rPr>
          <w:rFonts w:ascii="Times New Roman" w:hAnsi="Times New Roman" w:cs="Times New Roman"/>
          <w:sz w:val="24"/>
          <w:szCs w:val="24"/>
        </w:rPr>
        <w:t>atbalsts sociālo dienestu darba efektivitātes un darbinieku profesionalitātes paaugstināšanai</w:t>
      </w:r>
      <w:r w:rsidR="00983750" w:rsidRPr="00E04B24">
        <w:rPr>
          <w:rFonts w:ascii="Times New Roman" w:hAnsi="Times New Roman" w:cs="Times New Roman"/>
          <w:sz w:val="24"/>
          <w:szCs w:val="24"/>
        </w:rPr>
        <w:t>, piemēram, izstrādājot sociālo darbinieku profesionālās kompetenc</w:t>
      </w:r>
      <w:r w:rsidR="00E04B24" w:rsidRPr="00E04B24">
        <w:rPr>
          <w:rFonts w:ascii="Times New Roman" w:hAnsi="Times New Roman" w:cs="Times New Roman"/>
          <w:sz w:val="24"/>
          <w:szCs w:val="24"/>
        </w:rPr>
        <w:t>es pilnveides mācību programmu.</w:t>
      </w:r>
    </w:p>
    <w:p w14:paraId="05EAD8CD" w14:textId="58A540B0" w:rsidR="00E04B24" w:rsidRPr="00E04B24" w:rsidRDefault="00C36492" w:rsidP="00BA1297">
      <w:pPr>
        <w:pStyle w:val="ListParagraph"/>
        <w:numPr>
          <w:ilvl w:val="0"/>
          <w:numId w:val="2"/>
        </w:numPr>
        <w:spacing w:after="0" w:line="240" w:lineRule="auto"/>
        <w:ind w:left="567" w:hanging="567"/>
        <w:jc w:val="both"/>
        <w:rPr>
          <w:rFonts w:ascii="Times New Roman" w:hAnsi="Times New Roman" w:cs="Times New Roman"/>
          <w:sz w:val="24"/>
          <w:szCs w:val="24"/>
        </w:rPr>
      </w:pPr>
      <w:r w:rsidRPr="00E04B24">
        <w:rPr>
          <w:rFonts w:ascii="Times New Roman" w:hAnsi="Times New Roman" w:cs="Times New Roman"/>
          <w:sz w:val="24"/>
          <w:szCs w:val="24"/>
        </w:rPr>
        <w:t xml:space="preserve">Vadošā iestāde un sadarbības iestāde īstenos pasākumus </w:t>
      </w:r>
      <w:r w:rsidR="0017231E">
        <w:rPr>
          <w:rFonts w:ascii="Times New Roman" w:hAnsi="Times New Roman" w:cs="Times New Roman"/>
          <w:bCs/>
          <w:sz w:val="24"/>
          <w:szCs w:val="24"/>
        </w:rPr>
        <w:t>P</w:t>
      </w:r>
      <w:r w:rsidR="0017231E" w:rsidRPr="000D5DBF">
        <w:rPr>
          <w:rFonts w:ascii="Times New Roman" w:hAnsi="Times New Roman" w:cs="Times New Roman"/>
          <w:bCs/>
          <w:sz w:val="24"/>
          <w:szCs w:val="24"/>
        </w:rPr>
        <w:t>rogramma</w:t>
      </w:r>
      <w:r w:rsidR="0017231E">
        <w:rPr>
          <w:rFonts w:ascii="Times New Roman" w:hAnsi="Times New Roman" w:cs="Times New Roman"/>
          <w:bCs/>
          <w:sz w:val="24"/>
          <w:szCs w:val="24"/>
        </w:rPr>
        <w:t>s</w:t>
      </w:r>
      <w:r w:rsidRPr="00E04B24">
        <w:rPr>
          <w:rFonts w:ascii="Times New Roman" w:hAnsi="Times New Roman" w:cs="Times New Roman"/>
          <w:sz w:val="24"/>
          <w:szCs w:val="24"/>
        </w:rPr>
        <w:t xml:space="preserve"> plānošanas, </w:t>
      </w:r>
      <w:r w:rsidR="00C603B2" w:rsidRPr="00E04B24">
        <w:rPr>
          <w:rFonts w:ascii="Times New Roman" w:hAnsi="Times New Roman" w:cs="Times New Roman"/>
          <w:sz w:val="24"/>
          <w:szCs w:val="24"/>
        </w:rPr>
        <w:t>īstenošanas</w:t>
      </w:r>
      <w:r w:rsidRPr="00E04B24">
        <w:rPr>
          <w:rFonts w:ascii="Times New Roman" w:hAnsi="Times New Roman" w:cs="Times New Roman"/>
          <w:sz w:val="24"/>
          <w:szCs w:val="24"/>
        </w:rPr>
        <w:t xml:space="preserve"> un uzraudzības posmos, lai novērstu darbību dubultās finansēšanas risku. Demarkācija ar </w:t>
      </w:r>
      <w:r w:rsidR="00C603B2" w:rsidRPr="00E04B24">
        <w:rPr>
          <w:rFonts w:ascii="Times New Roman" w:hAnsi="Times New Roman" w:cs="Times New Roman"/>
          <w:sz w:val="24"/>
          <w:szCs w:val="24"/>
        </w:rPr>
        <w:t>citām aktivitātēm</w:t>
      </w:r>
      <w:r w:rsidRPr="00E04B24">
        <w:rPr>
          <w:rFonts w:ascii="Times New Roman" w:hAnsi="Times New Roman" w:cs="Times New Roman"/>
          <w:sz w:val="24"/>
          <w:szCs w:val="24"/>
        </w:rPr>
        <w:t xml:space="preserve"> tiks nodrošināta pēc atbalstāmām darbībām, un </w:t>
      </w:r>
      <w:r w:rsidR="00353C27">
        <w:rPr>
          <w:rFonts w:ascii="Times New Roman" w:hAnsi="Times New Roman" w:cs="Times New Roman"/>
          <w:bCs/>
          <w:sz w:val="24"/>
          <w:szCs w:val="24"/>
        </w:rPr>
        <w:t>P</w:t>
      </w:r>
      <w:r w:rsidR="00353C27" w:rsidRPr="000D5DBF">
        <w:rPr>
          <w:rFonts w:ascii="Times New Roman" w:hAnsi="Times New Roman" w:cs="Times New Roman"/>
          <w:bCs/>
          <w:sz w:val="24"/>
          <w:szCs w:val="24"/>
        </w:rPr>
        <w:t>rogramma</w:t>
      </w:r>
      <w:r w:rsidR="00353C27">
        <w:rPr>
          <w:rFonts w:ascii="Times New Roman" w:hAnsi="Times New Roman" w:cs="Times New Roman"/>
          <w:bCs/>
          <w:sz w:val="24"/>
          <w:szCs w:val="24"/>
        </w:rPr>
        <w:t>s</w:t>
      </w:r>
      <w:r w:rsidRPr="00E04B24">
        <w:rPr>
          <w:rFonts w:ascii="Times New Roman" w:hAnsi="Times New Roman" w:cs="Times New Roman"/>
          <w:sz w:val="24"/>
          <w:szCs w:val="24"/>
        </w:rPr>
        <w:t xml:space="preserve"> finansējums netiks pie</w:t>
      </w:r>
      <w:r w:rsidR="00C603B2" w:rsidRPr="00E04B24">
        <w:rPr>
          <w:rFonts w:ascii="Times New Roman" w:hAnsi="Times New Roman" w:cs="Times New Roman"/>
          <w:sz w:val="24"/>
          <w:szCs w:val="24"/>
        </w:rPr>
        <w:t>šķirts darbībām, ko atbalsta citas darbības programmas</w:t>
      </w:r>
      <w:r w:rsidR="00144975" w:rsidRPr="00E04B24">
        <w:rPr>
          <w:rFonts w:ascii="Times New Roman" w:hAnsi="Times New Roman" w:cs="Times New Roman"/>
          <w:sz w:val="24"/>
          <w:szCs w:val="24"/>
        </w:rPr>
        <w:t>.</w:t>
      </w:r>
    </w:p>
    <w:p w14:paraId="5811DBF7" w14:textId="3B4C7EB0" w:rsidR="00C36492" w:rsidRPr="00E04B24" w:rsidRDefault="0017231E" w:rsidP="00BA1297">
      <w:pPr>
        <w:pStyle w:val="ListParagraph"/>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144975" w:rsidRPr="00E04B24">
        <w:rPr>
          <w:rFonts w:ascii="Times New Roman" w:hAnsi="Times New Roman" w:cs="Times New Roman"/>
          <w:sz w:val="24"/>
          <w:szCs w:val="24"/>
        </w:rPr>
        <w:t>va</w:t>
      </w:r>
      <w:r w:rsidR="00C36492" w:rsidRPr="00E04B24">
        <w:rPr>
          <w:rFonts w:ascii="Times New Roman" w:hAnsi="Times New Roman" w:cs="Times New Roman"/>
          <w:sz w:val="24"/>
          <w:szCs w:val="24"/>
        </w:rPr>
        <w:t xml:space="preserve">dībā </w:t>
      </w:r>
      <w:r w:rsidR="00144975" w:rsidRPr="00E04B24">
        <w:rPr>
          <w:rFonts w:ascii="Times New Roman" w:hAnsi="Times New Roman" w:cs="Times New Roman"/>
          <w:sz w:val="24"/>
          <w:szCs w:val="24"/>
        </w:rPr>
        <w:t xml:space="preserve">un uzraudzībā </w:t>
      </w:r>
      <w:r w:rsidR="00C36492" w:rsidRPr="00E04B24">
        <w:rPr>
          <w:rFonts w:ascii="Times New Roman" w:hAnsi="Times New Roman" w:cs="Times New Roman"/>
          <w:sz w:val="24"/>
          <w:szCs w:val="24"/>
        </w:rPr>
        <w:t xml:space="preserve">iesaistīto </w:t>
      </w:r>
      <w:r w:rsidR="00144975" w:rsidRPr="00E04B24">
        <w:rPr>
          <w:rFonts w:ascii="Times New Roman" w:hAnsi="Times New Roman" w:cs="Times New Roman"/>
          <w:sz w:val="24"/>
          <w:szCs w:val="24"/>
        </w:rPr>
        <w:t>institūciju</w:t>
      </w:r>
      <w:r w:rsidR="00C36492" w:rsidRPr="00E04B24">
        <w:rPr>
          <w:rFonts w:ascii="Times New Roman" w:hAnsi="Times New Roman" w:cs="Times New Roman"/>
          <w:sz w:val="24"/>
          <w:szCs w:val="24"/>
        </w:rPr>
        <w:t xml:space="preserve"> uzdevums būs nodrošināt PO ar aktuālu informāciju par </w:t>
      </w:r>
      <w:r w:rsidR="00144975" w:rsidRPr="00E04B24">
        <w:rPr>
          <w:rFonts w:ascii="Times New Roman" w:hAnsi="Times New Roman" w:cs="Times New Roman"/>
          <w:sz w:val="24"/>
          <w:szCs w:val="24"/>
        </w:rPr>
        <w:t>“Darbības programmas Latvijai 2021. – 2027. gadam”</w:t>
      </w:r>
      <w:r w:rsidR="00C36492" w:rsidRPr="00E04B24">
        <w:rPr>
          <w:rFonts w:ascii="Times New Roman" w:hAnsi="Times New Roman" w:cs="Times New Roman"/>
          <w:sz w:val="24"/>
          <w:szCs w:val="24"/>
        </w:rPr>
        <w:t xml:space="preserve"> līdzfinansētajiem projektiem, pasākumiem un pakalpojumiem, kas pieejami </w:t>
      </w: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s</w:t>
      </w:r>
      <w:r w:rsidR="00C36492" w:rsidRPr="00E04B24">
        <w:rPr>
          <w:rFonts w:ascii="Times New Roman" w:hAnsi="Times New Roman" w:cs="Times New Roman"/>
          <w:sz w:val="24"/>
          <w:szCs w:val="24"/>
        </w:rPr>
        <w:t xml:space="preserve"> mērķa grupai, iespējami tuvu dzīvesvietai, lai PO informētu par šīm iespējām </w:t>
      </w:r>
      <w:r w:rsidR="00144975" w:rsidRPr="00E04B24">
        <w:rPr>
          <w:rFonts w:ascii="Times New Roman" w:hAnsi="Times New Roman" w:cs="Times New Roman"/>
          <w:sz w:val="24"/>
          <w:szCs w:val="24"/>
        </w:rPr>
        <w:t>atbalsta gala</w:t>
      </w:r>
      <w:r w:rsidR="00A54626" w:rsidRPr="00E04B24">
        <w:rPr>
          <w:rFonts w:ascii="Times New Roman" w:hAnsi="Times New Roman" w:cs="Times New Roman"/>
          <w:sz w:val="24"/>
          <w:szCs w:val="24"/>
        </w:rPr>
        <w:t xml:space="preserve"> saņēmējus.</w:t>
      </w:r>
    </w:p>
    <w:p w14:paraId="3EA78775" w14:textId="77777777" w:rsidR="00C36492" w:rsidRPr="000D5DBF" w:rsidRDefault="00C36492" w:rsidP="00BA1297">
      <w:pPr>
        <w:spacing w:before="0" w:after="0"/>
        <w:contextualSpacing/>
        <w:rPr>
          <w:rFonts w:eastAsiaTheme="minorHAnsi"/>
          <w:szCs w:val="24"/>
        </w:rPr>
      </w:pPr>
    </w:p>
    <w:p w14:paraId="3C047104" w14:textId="77777777" w:rsidR="00D27AF9" w:rsidRPr="000D5DBF" w:rsidRDefault="00D27AF9" w:rsidP="00BA1297">
      <w:pPr>
        <w:pStyle w:val="Heading2"/>
        <w:numPr>
          <w:ilvl w:val="1"/>
          <w:numId w:val="30"/>
        </w:numPr>
        <w:spacing w:before="0"/>
        <w:rPr>
          <w:rFonts w:ascii="Times New Roman" w:hAnsi="Times New Roman" w:cs="Times New Roman"/>
          <w:b/>
          <w:color w:val="auto"/>
          <w:sz w:val="24"/>
          <w:szCs w:val="24"/>
        </w:rPr>
      </w:pPr>
      <w:bookmarkStart w:id="11" w:name="_Toc62557110"/>
      <w:r w:rsidRPr="000D5DBF">
        <w:rPr>
          <w:rFonts w:ascii="Times New Roman" w:hAnsi="Times New Roman" w:cs="Times New Roman"/>
          <w:b/>
          <w:color w:val="auto"/>
          <w:sz w:val="24"/>
          <w:szCs w:val="24"/>
        </w:rPr>
        <w:t>Cita informācija</w:t>
      </w:r>
      <w:bookmarkEnd w:id="11"/>
    </w:p>
    <w:p w14:paraId="1170744F" w14:textId="22FA1FE2" w:rsidR="00D27AF9" w:rsidRPr="00CC6B98" w:rsidRDefault="00D27AF9"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noProof/>
          <w:sz w:val="24"/>
          <w:szCs w:val="24"/>
        </w:rPr>
        <w:t xml:space="preserve">Atzīmējams, ka papildus </w:t>
      </w:r>
      <w:r w:rsidR="00E81D0F">
        <w:rPr>
          <w:rFonts w:ascii="Times New Roman" w:hAnsi="Times New Roman" w:cs="Times New Roman"/>
          <w:bCs/>
          <w:sz w:val="24"/>
          <w:szCs w:val="24"/>
        </w:rPr>
        <w:t>P</w:t>
      </w:r>
      <w:r w:rsidR="00E81D0F" w:rsidRPr="000D5DBF">
        <w:rPr>
          <w:rFonts w:ascii="Times New Roman" w:hAnsi="Times New Roman" w:cs="Times New Roman"/>
          <w:bCs/>
          <w:sz w:val="24"/>
          <w:szCs w:val="24"/>
        </w:rPr>
        <w:t>rogramma</w:t>
      </w:r>
      <w:r w:rsidR="00E81D0F">
        <w:rPr>
          <w:rFonts w:ascii="Times New Roman" w:hAnsi="Times New Roman" w:cs="Times New Roman"/>
          <w:bCs/>
          <w:sz w:val="24"/>
          <w:szCs w:val="24"/>
        </w:rPr>
        <w:t xml:space="preserve">s </w:t>
      </w:r>
      <w:r w:rsidRPr="000D5DBF">
        <w:rPr>
          <w:rFonts w:ascii="Times New Roman" w:hAnsi="Times New Roman" w:cs="Times New Roman"/>
          <w:noProof/>
          <w:sz w:val="24"/>
          <w:szCs w:val="24"/>
        </w:rPr>
        <w:t xml:space="preserve">ietvaros plānotajam atbalstam zemu ienākumu mājsaimniecībām pieejams arī cits pārtikas atbalsts, ko PO saņem kā ziedojumus no dažādiem uzņēmumiem, t.sk. lielveikaliem, zemnieku saimniecībām u.c. Pārtikas ziedojumu dalīšana vistrūcīgākajām personām vai to izmantošana maltīšu pagatavošanā zupas virtuvēs atkarīga no PO kapacitātes un ziedojumu pieejamības un to piesaistes iespējām. Tam nav noteiktas regularitātes un pārklājums visā Latvijas teritorijā. </w:t>
      </w:r>
      <w:r w:rsidR="00E81D0F">
        <w:rPr>
          <w:rFonts w:ascii="Times New Roman" w:hAnsi="Times New Roman" w:cs="Times New Roman"/>
          <w:bCs/>
          <w:sz w:val="24"/>
          <w:szCs w:val="24"/>
        </w:rPr>
        <w:t>P</w:t>
      </w:r>
      <w:r w:rsidR="00E81D0F" w:rsidRPr="000D5DBF">
        <w:rPr>
          <w:rFonts w:ascii="Times New Roman" w:hAnsi="Times New Roman" w:cs="Times New Roman"/>
          <w:bCs/>
          <w:sz w:val="24"/>
          <w:szCs w:val="24"/>
        </w:rPr>
        <w:t>rogramma</w:t>
      </w:r>
      <w:r w:rsidR="00E81D0F">
        <w:rPr>
          <w:rFonts w:ascii="Times New Roman" w:hAnsi="Times New Roman" w:cs="Times New Roman"/>
          <w:bCs/>
          <w:sz w:val="24"/>
          <w:szCs w:val="24"/>
        </w:rPr>
        <w:t>s</w:t>
      </w:r>
      <w:r w:rsidRPr="000D5DBF">
        <w:rPr>
          <w:rFonts w:ascii="Times New Roman" w:hAnsi="Times New Roman" w:cs="Times New Roman"/>
          <w:noProof/>
          <w:sz w:val="24"/>
          <w:szCs w:val="24"/>
        </w:rPr>
        <w:t xml:space="preserve"> ietvaros izdevumi par ziedotās pārtikas preču transportēšanu, uzglabāšanu un izdali, kā arī ar to saistītiem informatīviem pasākumiem, netiek segti.</w:t>
      </w:r>
    </w:p>
    <w:p w14:paraId="6BB30513" w14:textId="77777777" w:rsidR="00CC6B98" w:rsidRPr="000D5DBF" w:rsidRDefault="00CC6B98" w:rsidP="00CC6B98">
      <w:pPr>
        <w:pStyle w:val="ListParagraph"/>
        <w:spacing w:after="0" w:line="240" w:lineRule="auto"/>
        <w:ind w:left="567"/>
        <w:jc w:val="both"/>
        <w:rPr>
          <w:rFonts w:ascii="Times New Roman" w:eastAsia="Times New Roman" w:hAnsi="Times New Roman" w:cs="Times New Roman"/>
          <w:noProof/>
          <w:sz w:val="24"/>
          <w:szCs w:val="24"/>
        </w:rPr>
      </w:pPr>
    </w:p>
    <w:p w14:paraId="222AA39D" w14:textId="77777777" w:rsidR="00482835" w:rsidRPr="000D5DBF" w:rsidRDefault="00482835" w:rsidP="00BA1297">
      <w:pPr>
        <w:pStyle w:val="Heading1"/>
        <w:numPr>
          <w:ilvl w:val="0"/>
          <w:numId w:val="30"/>
        </w:numPr>
        <w:spacing w:before="0"/>
        <w:rPr>
          <w:rFonts w:ascii="Times New Roman" w:hAnsi="Times New Roman" w:cs="Times New Roman"/>
          <w:b/>
          <w:noProof/>
          <w:color w:val="auto"/>
          <w:sz w:val="28"/>
          <w:szCs w:val="28"/>
        </w:rPr>
      </w:pPr>
      <w:bookmarkStart w:id="12" w:name="_Toc62557111"/>
      <w:r w:rsidRPr="000D5DBF">
        <w:rPr>
          <w:rFonts w:ascii="Times New Roman" w:hAnsi="Times New Roman" w:cs="Times New Roman"/>
          <w:b/>
          <w:noProof/>
          <w:color w:val="auto"/>
          <w:sz w:val="28"/>
          <w:szCs w:val="28"/>
        </w:rPr>
        <w:t>Programmas mērķis</w:t>
      </w:r>
      <w:bookmarkEnd w:id="12"/>
    </w:p>
    <w:p w14:paraId="58D37841" w14:textId="6EE9D06C" w:rsidR="00482835" w:rsidRPr="000D5DBF" w:rsidRDefault="00E81D0F"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 </w:t>
      </w:r>
      <w:r w:rsidR="00482835" w:rsidRPr="000D5DBF">
        <w:rPr>
          <w:rFonts w:ascii="Times New Roman" w:hAnsi="Times New Roman" w:cs="Times New Roman"/>
          <w:noProof/>
          <w:sz w:val="24"/>
          <w:szCs w:val="24"/>
        </w:rPr>
        <w:t>sniegs būtisku ieguldījumu savstarpēji papildinošā atbalsta sistēmā, kurā valsts un pašvaldību sociālās drošības sistēmas pasākumi kopā ar pārtikas un pamata materiālo palīdzību nekavējoši un elastīgi nodrošina nabadzības un sociālās atstumtības riskam pakļauto vai krīzes situācijā esošu cilvēku pamatvajadzības un ievērojamai daļai palīdz virzīties uz sociālo spēju atjaunošanu vai piemērošanos noteiktajai situācijai, nodrošinot cilvēka cienīgu dzīves līmeni visos dzīves posmos.</w:t>
      </w:r>
    </w:p>
    <w:p w14:paraId="43B9349F" w14:textId="5E0B3A19" w:rsidR="00482835" w:rsidRPr="000D5DBF" w:rsidRDefault="00E81D0F"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DE6BEF" w:rsidRPr="000D5DBF">
        <w:rPr>
          <w:rFonts w:ascii="Times New Roman" w:hAnsi="Times New Roman" w:cs="Times New Roman"/>
          <w:noProof/>
          <w:sz w:val="24"/>
          <w:szCs w:val="24"/>
        </w:rPr>
        <w:t>konkrētais mērķis ir mazināt materiālo nenodrošinātību un sociālo atstumtību personām zemu ienākumu mājsaimniecībās: 1) sniedzot pārtikas un pamata materiālo palīdzību; 2) organizējot papildpasākumus sociālās atstumtības mazināšanai.</w:t>
      </w:r>
    </w:p>
    <w:p w14:paraId="33249DE4" w14:textId="77777777" w:rsidR="00482835" w:rsidRPr="000D5DBF" w:rsidRDefault="0097772F"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noProof/>
          <w:sz w:val="24"/>
          <w:szCs w:val="24"/>
        </w:rPr>
        <w:t xml:space="preserve">Balstoties uz 2014. - 2020. </w:t>
      </w:r>
      <w:r w:rsidR="00DE6BEF" w:rsidRPr="000D5DBF">
        <w:rPr>
          <w:rFonts w:ascii="Times New Roman" w:hAnsi="Times New Roman" w:cs="Times New Roman"/>
          <w:noProof/>
          <w:sz w:val="24"/>
          <w:szCs w:val="24"/>
        </w:rPr>
        <w:t>gada plānošanas periodā veiktās ikgadējās EAFVP ieviešanas novērtēšanas rezultātiem</w:t>
      </w:r>
      <w:r w:rsidR="00DE6BEF" w:rsidRPr="000D5DBF">
        <w:rPr>
          <w:rStyle w:val="FootnoteReference"/>
          <w:rFonts w:ascii="Times New Roman" w:hAnsi="Times New Roman" w:cs="Times New Roman"/>
          <w:noProof/>
          <w:sz w:val="24"/>
          <w:szCs w:val="24"/>
        </w:rPr>
        <w:footnoteReference w:id="8"/>
      </w:r>
      <w:r w:rsidR="00DE6BEF" w:rsidRPr="000D5DBF">
        <w:rPr>
          <w:rFonts w:ascii="Times New Roman" w:hAnsi="Times New Roman" w:cs="Times New Roman"/>
          <w:noProof/>
          <w:sz w:val="24"/>
          <w:szCs w:val="24"/>
        </w:rPr>
        <w:t>, tika izdarīti secinājumi, ka EAFVP pārtikas atbalsts un pamata materiālās palīdzība ir atvieglojusi vistrūcīgāko iedzīvotāju un mājsaimniecību budžeta slogu, ietaupītos līdzekļus ļaujot novirzīt citiem nepieciešamajiem tēriņiem, tādiem kā papildu pārtikas, apavu un apģērbu iegādei, ārsta apmeklējumam un medikamentu iegādei, bērnu ārpusskolas nodarbību apmaksai.</w:t>
      </w:r>
    </w:p>
    <w:p w14:paraId="35FB14E9" w14:textId="77777777" w:rsidR="0060434A" w:rsidRPr="00BC6B54" w:rsidRDefault="00DE6BEF"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noProof/>
          <w:sz w:val="24"/>
          <w:szCs w:val="24"/>
        </w:rPr>
        <w:t>Tāpat 2014.</w:t>
      </w:r>
      <w:r w:rsidR="0097772F" w:rsidRPr="000D5DBF">
        <w:rPr>
          <w:rFonts w:ascii="Times New Roman" w:hAnsi="Times New Roman" w:cs="Times New Roman"/>
          <w:noProof/>
          <w:sz w:val="24"/>
          <w:szCs w:val="24"/>
        </w:rPr>
        <w:t> </w:t>
      </w:r>
      <w:r w:rsidRPr="000D5DBF">
        <w:rPr>
          <w:rFonts w:ascii="Times New Roman" w:hAnsi="Times New Roman" w:cs="Times New Roman"/>
          <w:noProof/>
          <w:sz w:val="24"/>
          <w:szCs w:val="24"/>
        </w:rPr>
        <w:t>-</w:t>
      </w:r>
      <w:r w:rsidR="0097772F" w:rsidRPr="000D5DBF">
        <w:rPr>
          <w:rFonts w:ascii="Times New Roman" w:hAnsi="Times New Roman" w:cs="Times New Roman"/>
          <w:noProof/>
          <w:sz w:val="24"/>
          <w:szCs w:val="24"/>
        </w:rPr>
        <w:t> </w:t>
      </w:r>
      <w:r w:rsidRPr="000D5DBF">
        <w:rPr>
          <w:rFonts w:ascii="Times New Roman" w:hAnsi="Times New Roman" w:cs="Times New Roman"/>
          <w:noProof/>
          <w:sz w:val="24"/>
          <w:szCs w:val="24"/>
        </w:rPr>
        <w:t>2</w:t>
      </w:r>
      <w:r w:rsidR="0097772F" w:rsidRPr="000D5DBF">
        <w:rPr>
          <w:rFonts w:ascii="Times New Roman" w:hAnsi="Times New Roman" w:cs="Times New Roman"/>
          <w:noProof/>
          <w:sz w:val="24"/>
          <w:szCs w:val="24"/>
        </w:rPr>
        <w:t>020. </w:t>
      </w:r>
      <w:r w:rsidRPr="000D5DBF">
        <w:rPr>
          <w:rFonts w:ascii="Times New Roman" w:hAnsi="Times New Roman" w:cs="Times New Roman"/>
          <w:noProof/>
          <w:sz w:val="24"/>
          <w:szCs w:val="24"/>
        </w:rPr>
        <w:t>gada plānošanas perioda EAFVP ieviešanas vi</w:t>
      </w:r>
      <w:r w:rsidR="0097772F" w:rsidRPr="000D5DBF">
        <w:rPr>
          <w:rFonts w:ascii="Times New Roman" w:hAnsi="Times New Roman" w:cs="Times New Roman"/>
          <w:noProof/>
          <w:sz w:val="24"/>
          <w:szCs w:val="24"/>
        </w:rPr>
        <w:t xml:space="preserve">dusposma novērtējuma rezultāti </w:t>
      </w:r>
      <w:r w:rsidRPr="000D5DBF">
        <w:rPr>
          <w:rFonts w:ascii="Times New Roman" w:hAnsi="Times New Roman" w:cs="Times New Roman"/>
          <w:noProof/>
          <w:sz w:val="24"/>
          <w:szCs w:val="24"/>
        </w:rPr>
        <w:t>liecināja, ka atbalstītie pārtikas nodrošināšanas, materiālās palīdzības sniegšanas un sociālās iekļaušanas pasākumi būtiski palīdz vistrūcīgākajām personām, tostarp tām, kuras citādi nesaņemtu vispārējo sociālo palīdzību vai kurām nepieciešams tūlītējs atbalsts.</w:t>
      </w:r>
    </w:p>
    <w:p w14:paraId="1EC9FD69" w14:textId="3ECBAAF8" w:rsidR="00DE6BEF" w:rsidRPr="0060434A" w:rsidRDefault="0060434A"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60434A">
        <w:rPr>
          <w:rFonts w:ascii="Times New Roman" w:hAnsi="Times New Roman" w:cs="Times New Roman"/>
          <w:noProof/>
          <w:sz w:val="24"/>
          <w:szCs w:val="24"/>
        </w:rPr>
        <w:t>Ņemot vērā esošos izaicinājumus valsts sociālās aizsardzības jomā, kā arī augstu ienākumu nevienlīdzību un</w:t>
      </w:r>
      <w:r w:rsidRPr="0060434A">
        <w:rPr>
          <w:rFonts w:ascii="Times New Roman" w:hAnsi="Times New Roman" w:cs="Times New Roman"/>
          <w:sz w:val="24"/>
          <w:szCs w:val="24"/>
        </w:rPr>
        <w:t xml:space="preserve"> sociālās atstumtības līmeni, </w:t>
      </w:r>
      <w:r w:rsidRPr="0060434A">
        <w:rPr>
          <w:rFonts w:ascii="Times New Roman" w:hAnsi="Times New Roman" w:cs="Times New Roman"/>
          <w:noProof/>
          <w:sz w:val="24"/>
          <w:szCs w:val="24"/>
        </w:rPr>
        <w:t xml:space="preserve">ir būtiski </w:t>
      </w:r>
      <w:r w:rsidRPr="0060434A">
        <w:rPr>
          <w:rFonts w:ascii="Times New Roman" w:eastAsia="Times New Roman" w:hAnsi="Times New Roman" w:cs="Times New Roman"/>
          <w:noProof/>
          <w:sz w:val="24"/>
          <w:szCs w:val="24"/>
        </w:rPr>
        <w:t>turpināt pārtikas atbalsta un materiālās palīdzības aktivitātes zemu ienākumu mājsaimniecībām, īpaši tām, kuras nevar vai kurām ir apgrūtinātas iespējas mainīt savu situāciju, izmantojot šim mērķim ESF+ finansējumu.</w:t>
      </w:r>
    </w:p>
    <w:p w14:paraId="460B66DB" w14:textId="77777777" w:rsidR="00D27FCE" w:rsidRPr="000D5DBF" w:rsidRDefault="00D27FCE" w:rsidP="00BA1297">
      <w:pPr>
        <w:spacing w:before="0" w:after="0"/>
        <w:rPr>
          <w:rFonts w:eastAsia="Times New Roman"/>
          <w:noProof/>
          <w:szCs w:val="24"/>
        </w:rPr>
      </w:pPr>
    </w:p>
    <w:p w14:paraId="3E75C4DD" w14:textId="77777777" w:rsidR="00D27FCE" w:rsidRPr="000D5DBF" w:rsidRDefault="00D27FCE" w:rsidP="00BA1297">
      <w:pPr>
        <w:pStyle w:val="Heading1"/>
        <w:numPr>
          <w:ilvl w:val="0"/>
          <w:numId w:val="30"/>
        </w:numPr>
        <w:spacing w:before="0"/>
        <w:rPr>
          <w:rFonts w:ascii="Times New Roman" w:eastAsia="Times New Roman" w:hAnsi="Times New Roman" w:cs="Times New Roman"/>
          <w:b/>
          <w:noProof/>
          <w:color w:val="auto"/>
          <w:sz w:val="28"/>
          <w:szCs w:val="28"/>
        </w:rPr>
      </w:pPr>
      <w:bookmarkStart w:id="13" w:name="_Toc62557112"/>
      <w:r w:rsidRPr="000D5DBF">
        <w:rPr>
          <w:rFonts w:ascii="Times New Roman" w:eastAsia="Times New Roman" w:hAnsi="Times New Roman" w:cs="Times New Roman"/>
          <w:b/>
          <w:noProof/>
          <w:color w:val="auto"/>
          <w:sz w:val="28"/>
          <w:szCs w:val="28"/>
        </w:rPr>
        <w:t>Atbalsta veidi</w:t>
      </w:r>
      <w:bookmarkEnd w:id="13"/>
    </w:p>
    <w:p w14:paraId="0352B53C" w14:textId="156ECFE7" w:rsidR="00D27FCE" w:rsidRPr="000D5DBF" w:rsidRDefault="00E81D0F"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i </w:t>
      </w:r>
      <w:r w:rsidR="00D27FCE" w:rsidRPr="000D5DBF">
        <w:rPr>
          <w:rFonts w:ascii="Times New Roman" w:hAnsi="Times New Roman" w:cs="Times New Roman"/>
          <w:noProof/>
          <w:sz w:val="24"/>
          <w:szCs w:val="24"/>
        </w:rPr>
        <w:t>pieejamā finansējuma ietvaros zemu ienākumu mājsaimniecībām tiks nodrošināts atbalsts:</w:t>
      </w:r>
    </w:p>
    <w:p w14:paraId="16FF799E" w14:textId="77777777" w:rsidR="00D27FCE" w:rsidRPr="000D5DBF" w:rsidRDefault="00D27FCE" w:rsidP="00BA1297">
      <w:pPr>
        <w:pStyle w:val="ListParagraph"/>
        <w:numPr>
          <w:ilvl w:val="0"/>
          <w:numId w:val="10"/>
        </w:numPr>
        <w:spacing w:after="0" w:line="240" w:lineRule="auto"/>
        <w:ind w:left="851" w:hanging="425"/>
        <w:jc w:val="both"/>
        <w:rPr>
          <w:rFonts w:ascii="Times New Roman" w:hAnsi="Times New Roman" w:cs="Times New Roman"/>
          <w:noProof/>
          <w:sz w:val="24"/>
          <w:szCs w:val="24"/>
        </w:rPr>
      </w:pPr>
      <w:r w:rsidRPr="000D5DBF">
        <w:rPr>
          <w:rFonts w:ascii="Times New Roman" w:hAnsi="Times New Roman" w:cs="Times New Roman"/>
          <w:noProof/>
          <w:sz w:val="24"/>
          <w:szCs w:val="24"/>
        </w:rPr>
        <w:t>visām personām bez vecuma ierobežojuma – pārtikas komplekti un gatavās maltītes zupas virtuvēs, kā arī higiēnas un saimniecības preču komplekti;</w:t>
      </w:r>
    </w:p>
    <w:p w14:paraId="61E96C6E" w14:textId="77777777" w:rsidR="00D27FCE" w:rsidRPr="000D5DBF" w:rsidRDefault="00D27FCE" w:rsidP="00BA1297">
      <w:pPr>
        <w:pStyle w:val="ListParagraph"/>
        <w:numPr>
          <w:ilvl w:val="0"/>
          <w:numId w:val="10"/>
        </w:numPr>
        <w:spacing w:after="0" w:line="240" w:lineRule="auto"/>
        <w:ind w:left="851" w:hanging="425"/>
        <w:jc w:val="both"/>
        <w:rPr>
          <w:rFonts w:ascii="Times New Roman" w:hAnsi="Times New Roman" w:cs="Times New Roman"/>
          <w:noProof/>
          <w:sz w:val="24"/>
          <w:szCs w:val="24"/>
        </w:rPr>
      </w:pPr>
      <w:r w:rsidRPr="000D5DBF">
        <w:rPr>
          <w:rFonts w:ascii="Times New Roman" w:hAnsi="Times New Roman" w:cs="Times New Roman"/>
          <w:noProof/>
          <w:sz w:val="24"/>
          <w:szCs w:val="24"/>
        </w:rPr>
        <w:t>ģimenēm ar bērniem līdz divu gadu vecumam – papildu pārtikas komplekti un higiēnas preces zīdaiņiem un maziem bērniem;</w:t>
      </w:r>
    </w:p>
    <w:p w14:paraId="52F1941F" w14:textId="77777777" w:rsidR="00D27FCE" w:rsidRPr="000D5DBF" w:rsidRDefault="00D27FCE" w:rsidP="00BA1297">
      <w:pPr>
        <w:pStyle w:val="ListParagraph"/>
        <w:numPr>
          <w:ilvl w:val="0"/>
          <w:numId w:val="10"/>
        </w:numPr>
        <w:spacing w:after="0" w:line="240" w:lineRule="auto"/>
        <w:ind w:left="851" w:hanging="425"/>
        <w:jc w:val="both"/>
        <w:rPr>
          <w:rFonts w:ascii="Times New Roman" w:hAnsi="Times New Roman" w:cs="Times New Roman"/>
          <w:noProof/>
          <w:sz w:val="24"/>
          <w:szCs w:val="24"/>
        </w:rPr>
      </w:pPr>
      <w:r w:rsidRPr="000D5DBF">
        <w:rPr>
          <w:rFonts w:ascii="Times New Roman" w:hAnsi="Times New Roman" w:cs="Times New Roman"/>
          <w:noProof/>
          <w:sz w:val="24"/>
          <w:szCs w:val="24"/>
        </w:rPr>
        <w:t>ģimenēm ar skolas vecuma bērniem no 5 līdz 16 gadiem – individuālie mācību piederumi.</w:t>
      </w:r>
    </w:p>
    <w:p w14:paraId="18CC5323" w14:textId="5E34EF24" w:rsidR="00D27FCE" w:rsidRPr="00DE30E0" w:rsidRDefault="00D27FCE"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Pārtikas un </w:t>
      </w:r>
      <w:r w:rsidR="00E34BA0" w:rsidRPr="000D5DBF">
        <w:rPr>
          <w:rFonts w:ascii="Times New Roman" w:hAnsi="Times New Roman" w:cs="Times New Roman"/>
          <w:noProof/>
          <w:sz w:val="24"/>
          <w:szCs w:val="24"/>
        </w:rPr>
        <w:t xml:space="preserve">pamata </w:t>
      </w:r>
      <w:r w:rsidRPr="000D5DBF">
        <w:rPr>
          <w:rFonts w:ascii="Times New Roman" w:hAnsi="Times New Roman" w:cs="Times New Roman"/>
          <w:noProof/>
          <w:sz w:val="24"/>
          <w:szCs w:val="24"/>
        </w:rPr>
        <w:t xml:space="preserve">materiālās palīdzības preču iegādi nodrošinās SIF, kuram ir pieredze ārvalstu finanšu instrumentu projektu ieviešanā un publisko iepirkumu veikšanā. SIF </w:t>
      </w:r>
      <w:r w:rsidRPr="000D5DBF">
        <w:rPr>
          <w:rFonts w:ascii="Times New Roman" w:hAnsi="Times New Roman" w:cs="Times New Roman"/>
          <w:noProof/>
          <w:sz w:val="24"/>
          <w:szCs w:val="24"/>
        </w:rPr>
        <w:lastRenderedPageBreak/>
        <w:t xml:space="preserve">organizēs pārtikas un </w:t>
      </w:r>
      <w:r w:rsidR="00DE30E0">
        <w:rPr>
          <w:rFonts w:ascii="Times New Roman" w:hAnsi="Times New Roman" w:cs="Times New Roman"/>
          <w:noProof/>
          <w:sz w:val="24"/>
          <w:szCs w:val="24"/>
        </w:rPr>
        <w:t xml:space="preserve">pamata </w:t>
      </w:r>
      <w:r w:rsidRPr="000D5DBF">
        <w:rPr>
          <w:rFonts w:ascii="Times New Roman" w:hAnsi="Times New Roman" w:cs="Times New Roman"/>
          <w:noProof/>
          <w:sz w:val="24"/>
          <w:szCs w:val="24"/>
        </w:rPr>
        <w:t xml:space="preserve">materiālās </w:t>
      </w:r>
      <w:r w:rsidRPr="00DE30E0">
        <w:rPr>
          <w:rFonts w:ascii="Times New Roman" w:hAnsi="Times New Roman" w:cs="Times New Roman"/>
          <w:noProof/>
          <w:sz w:val="24"/>
          <w:szCs w:val="24"/>
        </w:rPr>
        <w:t xml:space="preserve">palīdzības preču iegādi jau nokomplektētos iepakojumos (turpmāk – atbalsta komplekti) </w:t>
      </w:r>
      <w:r w:rsidR="00DE30E0" w:rsidRPr="00DE30E0">
        <w:rPr>
          <w:rFonts w:ascii="Times New Roman" w:hAnsi="Times New Roman" w:cs="Times New Roman"/>
          <w:noProof/>
          <w:sz w:val="24"/>
          <w:szCs w:val="24"/>
        </w:rPr>
        <w:t>atbilstoši normatīvajiem aktiem publisko iepirkumu jomā</w:t>
      </w:r>
      <w:r w:rsidR="00DE30E0">
        <w:rPr>
          <w:rFonts w:ascii="Times New Roman" w:hAnsi="Times New Roman" w:cs="Times New Roman"/>
          <w:noProof/>
          <w:sz w:val="24"/>
          <w:szCs w:val="24"/>
        </w:rPr>
        <w:t xml:space="preserve">. </w:t>
      </w:r>
      <w:r w:rsidR="00D85214" w:rsidRPr="00DE30E0">
        <w:rPr>
          <w:rFonts w:ascii="Times New Roman" w:hAnsi="Times New Roman" w:cs="Times New Roman"/>
          <w:noProof/>
          <w:sz w:val="24"/>
          <w:szCs w:val="24"/>
        </w:rPr>
        <w:t>Iep</w:t>
      </w:r>
      <w:r w:rsidRPr="00DE30E0">
        <w:rPr>
          <w:rFonts w:ascii="Times New Roman" w:hAnsi="Times New Roman" w:cs="Times New Roman"/>
          <w:noProof/>
          <w:sz w:val="24"/>
          <w:szCs w:val="24"/>
        </w:rPr>
        <w:t>i</w:t>
      </w:r>
      <w:r w:rsidR="00D85214" w:rsidRPr="00DE30E0">
        <w:rPr>
          <w:rFonts w:ascii="Times New Roman" w:hAnsi="Times New Roman" w:cs="Times New Roman"/>
          <w:noProof/>
          <w:sz w:val="24"/>
          <w:szCs w:val="24"/>
        </w:rPr>
        <w:t>r</w:t>
      </w:r>
      <w:r w:rsidRPr="00DE30E0">
        <w:rPr>
          <w:rFonts w:ascii="Times New Roman" w:hAnsi="Times New Roman" w:cs="Times New Roman"/>
          <w:noProof/>
          <w:sz w:val="24"/>
          <w:szCs w:val="24"/>
        </w:rPr>
        <w:t>kuma līgumā ar izvēlēto piegādātāju tiks paredzēta atbalsta komplektu nogādāšana uz PO uzglabāšanas vietām, tostarp uz zupas virtuvēm.</w:t>
      </w:r>
    </w:p>
    <w:p w14:paraId="719E3270" w14:textId="77777777" w:rsidR="00D27FCE" w:rsidRPr="000D5DBF" w:rsidRDefault="00D27FCE"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PO nodrošinās atbalsta komplektu un gatavo maltīšu izdalīšanu visā Latvijā – indikatīvi 450 izdales vietās. Piegādātājs nodrošinās atbalsta komplektu nogādāšanu līdz katrai no izdales vietām. Vienlaikus netiek izslēgti gadījumi, kad PO var organizēt atbalsta komplektu tālāku transportēšanu uz citām izdales vietām. Atbalsta izdali PO var veikt šādos veidos:</w:t>
      </w:r>
    </w:p>
    <w:p w14:paraId="5D01F2E3" w14:textId="7FEA32C4" w:rsidR="00D27FCE" w:rsidRPr="008D73C0" w:rsidRDefault="00D27FCE" w:rsidP="00BA1297">
      <w:pPr>
        <w:pStyle w:val="ListParagraph"/>
        <w:numPr>
          <w:ilvl w:val="0"/>
          <w:numId w:val="7"/>
        </w:numPr>
        <w:spacing w:after="0" w:line="240" w:lineRule="auto"/>
        <w:ind w:left="993" w:hanging="426"/>
        <w:jc w:val="both"/>
        <w:rPr>
          <w:rFonts w:ascii="Times New Roman" w:hAnsi="Times New Roman" w:cs="Times New Roman"/>
          <w:noProof/>
          <w:sz w:val="24"/>
          <w:szCs w:val="24"/>
        </w:rPr>
      </w:pPr>
      <w:r w:rsidRPr="008D73C0">
        <w:rPr>
          <w:rFonts w:ascii="Times New Roman" w:hAnsi="Times New Roman" w:cs="Times New Roman"/>
          <w:noProof/>
          <w:sz w:val="24"/>
          <w:szCs w:val="24"/>
        </w:rPr>
        <w:t>izdales vietā –</w:t>
      </w:r>
      <w:r w:rsidR="00FE522D">
        <w:rPr>
          <w:rFonts w:ascii="Times New Roman" w:hAnsi="Times New Roman" w:cs="Times New Roman"/>
          <w:noProof/>
          <w:sz w:val="24"/>
          <w:szCs w:val="24"/>
        </w:rPr>
        <w:t xml:space="preserve"> </w:t>
      </w:r>
      <w:r w:rsidRPr="008D73C0">
        <w:rPr>
          <w:rFonts w:ascii="Times New Roman" w:hAnsi="Times New Roman" w:cs="Times New Roman"/>
          <w:noProof/>
          <w:sz w:val="24"/>
          <w:szCs w:val="24"/>
        </w:rPr>
        <w:t>higiēnas prasībām atbilstošās telp</w:t>
      </w:r>
      <w:r w:rsidR="008D73C0">
        <w:rPr>
          <w:rFonts w:ascii="Times New Roman" w:hAnsi="Times New Roman" w:cs="Times New Roman"/>
          <w:noProof/>
          <w:sz w:val="24"/>
          <w:szCs w:val="24"/>
        </w:rPr>
        <w:t>ā</w:t>
      </w:r>
      <w:r w:rsidRPr="008D73C0">
        <w:rPr>
          <w:rFonts w:ascii="Times New Roman" w:hAnsi="Times New Roman" w:cs="Times New Roman"/>
          <w:noProof/>
          <w:sz w:val="24"/>
          <w:szCs w:val="24"/>
        </w:rPr>
        <w:t>s</w:t>
      </w:r>
      <w:r w:rsidR="00B66155">
        <w:rPr>
          <w:rFonts w:ascii="Times New Roman" w:hAnsi="Times New Roman" w:cs="Times New Roman"/>
          <w:noProof/>
          <w:sz w:val="24"/>
          <w:szCs w:val="24"/>
        </w:rPr>
        <w:t>:</w:t>
      </w:r>
      <w:r w:rsidRPr="008D73C0">
        <w:rPr>
          <w:rFonts w:ascii="Times New Roman" w:hAnsi="Times New Roman" w:cs="Times New Roman"/>
          <w:noProof/>
          <w:sz w:val="24"/>
          <w:szCs w:val="24"/>
        </w:rPr>
        <w:t xml:space="preserve"> </w:t>
      </w:r>
      <w:r w:rsidR="008D73C0">
        <w:rPr>
          <w:rFonts w:ascii="Times New Roman" w:hAnsi="Times New Roman" w:cs="Times New Roman"/>
          <w:noProof/>
          <w:sz w:val="24"/>
          <w:szCs w:val="24"/>
        </w:rPr>
        <w:t xml:space="preserve">PO piederošās telpās, </w:t>
      </w:r>
      <w:r w:rsidRPr="008D73C0">
        <w:rPr>
          <w:rFonts w:ascii="Times New Roman" w:hAnsi="Times New Roman" w:cs="Times New Roman"/>
          <w:noProof/>
          <w:sz w:val="24"/>
          <w:szCs w:val="24"/>
        </w:rPr>
        <w:t xml:space="preserve">tās nomājot vai vienojoties ar telpu īpašnieku par </w:t>
      </w:r>
      <w:r w:rsidR="008D73C0">
        <w:rPr>
          <w:rFonts w:ascii="Times New Roman" w:hAnsi="Times New Roman" w:cs="Times New Roman"/>
          <w:noProof/>
          <w:sz w:val="24"/>
          <w:szCs w:val="24"/>
        </w:rPr>
        <w:t>to</w:t>
      </w:r>
      <w:r w:rsidR="008D73C0" w:rsidRPr="008D73C0">
        <w:rPr>
          <w:rFonts w:ascii="Times New Roman" w:hAnsi="Times New Roman" w:cs="Times New Roman"/>
          <w:noProof/>
          <w:sz w:val="24"/>
          <w:szCs w:val="24"/>
        </w:rPr>
        <w:t xml:space="preserve"> </w:t>
      </w:r>
      <w:r w:rsidRPr="008D73C0">
        <w:rPr>
          <w:rFonts w:ascii="Times New Roman" w:hAnsi="Times New Roman" w:cs="Times New Roman"/>
          <w:noProof/>
          <w:sz w:val="24"/>
          <w:szCs w:val="24"/>
        </w:rPr>
        <w:t xml:space="preserve">izmantošanu atbalsta dalīšanai gala saņēmējiem; </w:t>
      </w:r>
    </w:p>
    <w:p w14:paraId="2ECFE694" w14:textId="5FDD91BB" w:rsidR="00D27FCE" w:rsidRPr="000D5DBF" w:rsidRDefault="00D27FCE" w:rsidP="00BA1297">
      <w:pPr>
        <w:pStyle w:val="ListParagraph"/>
        <w:numPr>
          <w:ilvl w:val="0"/>
          <w:numId w:val="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PO </w:t>
      </w:r>
      <w:r w:rsidR="004A0757">
        <w:rPr>
          <w:rFonts w:ascii="Times New Roman" w:hAnsi="Times New Roman" w:cs="Times New Roman"/>
          <w:noProof/>
          <w:sz w:val="24"/>
          <w:szCs w:val="24"/>
        </w:rPr>
        <w:t xml:space="preserve">pati </w:t>
      </w:r>
      <w:r w:rsidR="0083415C">
        <w:rPr>
          <w:rFonts w:ascii="Times New Roman" w:hAnsi="Times New Roman" w:cs="Times New Roman"/>
          <w:noProof/>
          <w:sz w:val="24"/>
          <w:szCs w:val="24"/>
        </w:rPr>
        <w:t xml:space="preserve">vai </w:t>
      </w:r>
      <w:r w:rsidRPr="000D5DBF">
        <w:rPr>
          <w:rFonts w:ascii="Times New Roman" w:hAnsi="Times New Roman" w:cs="Times New Roman"/>
          <w:noProof/>
          <w:sz w:val="24"/>
          <w:szCs w:val="24"/>
        </w:rPr>
        <w:t>sadarbībā ar sociālo d</w:t>
      </w:r>
      <w:r w:rsidR="004A2D3B" w:rsidRPr="000D5DBF">
        <w:rPr>
          <w:rFonts w:ascii="Times New Roman" w:hAnsi="Times New Roman" w:cs="Times New Roman"/>
          <w:noProof/>
          <w:sz w:val="24"/>
          <w:szCs w:val="24"/>
        </w:rPr>
        <w:t>ienestu</w:t>
      </w:r>
      <w:r w:rsidRPr="000D5DBF">
        <w:rPr>
          <w:rFonts w:ascii="Times New Roman" w:hAnsi="Times New Roman" w:cs="Times New Roman"/>
          <w:noProof/>
          <w:sz w:val="24"/>
          <w:szCs w:val="24"/>
        </w:rPr>
        <w:t xml:space="preserve"> var atbalstu nogādāt atbalsta gala saņēmēju dzīvesvietā, ja personu nokļūšana izdales viet</w:t>
      </w:r>
      <w:r w:rsidR="004A2D3B" w:rsidRPr="000D5DBF">
        <w:rPr>
          <w:rFonts w:ascii="Times New Roman" w:hAnsi="Times New Roman" w:cs="Times New Roman"/>
          <w:noProof/>
          <w:sz w:val="24"/>
          <w:szCs w:val="24"/>
        </w:rPr>
        <w:t>ā ir apgrūtināta (</w:t>
      </w:r>
      <w:r w:rsidRPr="000D5DBF">
        <w:rPr>
          <w:rFonts w:ascii="Times New Roman" w:hAnsi="Times New Roman" w:cs="Times New Roman"/>
          <w:noProof/>
          <w:sz w:val="24"/>
          <w:szCs w:val="24"/>
        </w:rPr>
        <w:t>pārvietošanās grūtības</w:t>
      </w:r>
      <w:r w:rsidR="004A2D3B" w:rsidRPr="000D5DBF">
        <w:rPr>
          <w:rFonts w:ascii="Times New Roman" w:hAnsi="Times New Roman" w:cs="Times New Roman"/>
          <w:noProof/>
          <w:sz w:val="24"/>
          <w:szCs w:val="24"/>
        </w:rPr>
        <w:t>, slimība</w:t>
      </w:r>
      <w:r w:rsidRPr="000D5DBF">
        <w:rPr>
          <w:rFonts w:ascii="Times New Roman" w:hAnsi="Times New Roman" w:cs="Times New Roman"/>
          <w:noProof/>
          <w:sz w:val="24"/>
          <w:szCs w:val="24"/>
        </w:rPr>
        <w:t xml:space="preserve"> u.c.);</w:t>
      </w:r>
    </w:p>
    <w:p w14:paraId="78CD75C2" w14:textId="77777777" w:rsidR="00D27FCE" w:rsidRPr="000D5DBF" w:rsidRDefault="00D27FCE" w:rsidP="00BA1297">
      <w:pPr>
        <w:pStyle w:val="ListParagraph"/>
        <w:numPr>
          <w:ilvl w:val="0"/>
          <w:numId w:val="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PO vai tās sadarbības organizācijām veicot gatavo maltīšu izdali, tā var nodrošināt iespējas ēšanai uz vietas vai maltītes līdzi ņemšanai.</w:t>
      </w:r>
    </w:p>
    <w:p w14:paraId="7D2B83F1" w14:textId="3FBBD9D5" w:rsidR="00D27FCE" w:rsidRPr="000D5DBF" w:rsidRDefault="00D27FCE"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Vienlaikus atbalsta gala saņēmējiem tiks nodrošināta iespēja piedalīties papildpasākumos sociālās atstumtības mazināšanai. PO, izsniedzot atbalstu, izvērtē mājsaimniecības vajadzības un piedāvā tās locekļiem iespēju brīvprātīgi piedalīties informatīvajos, neformāli izglītōjošajos un socializēšanas pasākumos, kā arī saņemt individuālās konsultācijas vai piedalīties atbalsta vai pašpalīdzības grupās. PO nodrošina, ka papildpasākumi mazina personu sociālo atstumtību, kā arī veicina personu patstāvību savu sociālo problēmu vai krīzes situācijas rezultātā radušos problēmu risināšanā ilgtermiņā. Pap</w:t>
      </w:r>
      <w:r w:rsidR="005536E0">
        <w:rPr>
          <w:rFonts w:ascii="Times New Roman" w:hAnsi="Times New Roman" w:cs="Times New Roman"/>
          <w:noProof/>
          <w:sz w:val="24"/>
          <w:szCs w:val="24"/>
        </w:rPr>
        <w:t>ildpasākumu īstenošanas kārtība</w:t>
      </w:r>
      <w:r w:rsidRPr="000D5DBF">
        <w:rPr>
          <w:rFonts w:ascii="Times New Roman" w:hAnsi="Times New Roman" w:cs="Times New Roman"/>
          <w:noProof/>
          <w:sz w:val="24"/>
          <w:szCs w:val="24"/>
        </w:rPr>
        <w:t xml:space="preserve"> tiks noteikta MK noteikumos par </w:t>
      </w:r>
      <w:r w:rsidR="0055391D">
        <w:rPr>
          <w:rFonts w:ascii="Times New Roman" w:hAnsi="Times New Roman" w:cs="Times New Roman"/>
          <w:bCs/>
          <w:sz w:val="24"/>
          <w:szCs w:val="24"/>
        </w:rPr>
        <w:t>P</w:t>
      </w:r>
      <w:r w:rsidR="0055391D" w:rsidRPr="000D5DBF">
        <w:rPr>
          <w:rFonts w:ascii="Times New Roman" w:hAnsi="Times New Roman" w:cs="Times New Roman"/>
          <w:bCs/>
          <w:sz w:val="24"/>
          <w:szCs w:val="24"/>
        </w:rPr>
        <w:t>rogramma</w:t>
      </w:r>
      <w:r w:rsidR="0055391D">
        <w:rPr>
          <w:rFonts w:ascii="Times New Roman" w:hAnsi="Times New Roman" w:cs="Times New Roman"/>
          <w:bCs/>
          <w:sz w:val="24"/>
          <w:szCs w:val="24"/>
        </w:rPr>
        <w:t xml:space="preserve">s </w:t>
      </w:r>
      <w:r w:rsidRPr="000D5DBF">
        <w:rPr>
          <w:rFonts w:ascii="Times New Roman" w:hAnsi="Times New Roman" w:cs="Times New Roman"/>
          <w:noProof/>
          <w:sz w:val="24"/>
          <w:szCs w:val="24"/>
        </w:rPr>
        <w:t>īstenošanu.</w:t>
      </w:r>
    </w:p>
    <w:p w14:paraId="0971A71F" w14:textId="05E83B0F" w:rsidR="00D27FCE" w:rsidRPr="000D5DBF" w:rsidRDefault="00D27FCE"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Papildpasākumi tiks organizeti visā Latvijas teritorijā. Tie saturiski var atšķirtie</w:t>
      </w:r>
      <w:r w:rsidR="002D5A02" w:rsidRPr="000D5DBF">
        <w:rPr>
          <w:rFonts w:ascii="Times New Roman" w:hAnsi="Times New Roman" w:cs="Times New Roman"/>
          <w:noProof/>
          <w:sz w:val="24"/>
          <w:szCs w:val="24"/>
        </w:rPr>
        <w:t>s, ņemot vērā PO rīcībā esošos</w:t>
      </w:r>
      <w:r w:rsidRPr="000D5DBF">
        <w:rPr>
          <w:rFonts w:ascii="Times New Roman" w:hAnsi="Times New Roman" w:cs="Times New Roman"/>
          <w:noProof/>
          <w:sz w:val="24"/>
          <w:szCs w:val="24"/>
        </w:rPr>
        <w:t xml:space="preserve"> resursus, reģionu īpatnības un lauku un pilsētu atšķirības. PO papildpasākumus īsteno pati vai nodrošina to īstenošanu, slēdzot līgumu ar pakalpojumu sniedzēju.</w:t>
      </w:r>
    </w:p>
    <w:p w14:paraId="6824F965" w14:textId="77777777" w:rsidR="00D27FCE" w:rsidRPr="000D5DBF" w:rsidRDefault="00D27FCE" w:rsidP="00BA1297">
      <w:pPr>
        <w:spacing w:before="0" w:after="0"/>
        <w:rPr>
          <w:noProof/>
          <w:szCs w:val="24"/>
        </w:rPr>
      </w:pPr>
    </w:p>
    <w:p w14:paraId="6D808D2D" w14:textId="77777777" w:rsidR="00D27FCE" w:rsidRPr="000D5DBF" w:rsidRDefault="00D27FCE" w:rsidP="00BA1297">
      <w:pPr>
        <w:pStyle w:val="Heading1"/>
        <w:numPr>
          <w:ilvl w:val="0"/>
          <w:numId w:val="30"/>
        </w:numPr>
        <w:spacing w:before="0"/>
        <w:rPr>
          <w:rFonts w:ascii="Times New Roman" w:hAnsi="Times New Roman" w:cs="Times New Roman"/>
          <w:b/>
          <w:noProof/>
          <w:color w:val="auto"/>
          <w:sz w:val="28"/>
          <w:szCs w:val="28"/>
        </w:rPr>
      </w:pPr>
      <w:bookmarkStart w:id="14" w:name="_Toc62557113"/>
      <w:r w:rsidRPr="000D5DBF">
        <w:rPr>
          <w:rFonts w:ascii="Times New Roman" w:hAnsi="Times New Roman" w:cs="Times New Roman"/>
          <w:b/>
          <w:noProof/>
          <w:color w:val="auto"/>
          <w:sz w:val="28"/>
          <w:szCs w:val="28"/>
        </w:rPr>
        <w:t>Galvenās mērķgrupas</w:t>
      </w:r>
      <w:bookmarkEnd w:id="14"/>
    </w:p>
    <w:p w14:paraId="7375BA62" w14:textId="59565E3E" w:rsidR="00D27FCE" w:rsidRPr="004E6A2A" w:rsidRDefault="0014157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eastAsia="Times New Roman" w:hAnsi="Times New Roman" w:cs="Times New Roman"/>
          <w:iCs/>
          <w:noProof/>
          <w:sz w:val="24"/>
          <w:szCs w:val="24"/>
        </w:rPr>
        <w:t>Programmas galvenā mērķa grupa ir</w:t>
      </w:r>
      <w:r w:rsidR="00D27FCE" w:rsidRPr="000D5DBF">
        <w:rPr>
          <w:rFonts w:ascii="Times New Roman" w:eastAsia="Times New Roman" w:hAnsi="Times New Roman" w:cs="Times New Roman"/>
          <w:iCs/>
          <w:noProof/>
          <w:sz w:val="24"/>
          <w:szCs w:val="24"/>
        </w:rPr>
        <w:t xml:space="preserve"> personas zemu ienākumu mājsaimniecībās, īpaši tās, kuru locekļi nevar vai kuriem ir apgrūtinātas iespējas mainīt savu situāciju (piemēram, mājsaimniecības ar bērniem, cilvēki ar invaliditāti, vecāka gadagājuma personas, personas krīzes situācijā).</w:t>
      </w:r>
    </w:p>
    <w:p w14:paraId="067C2E07" w14:textId="6D258290" w:rsidR="00D27FCE" w:rsidRPr="004E6A2A" w:rsidRDefault="004E6A2A"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eastAsia="Times New Roman" w:hAnsi="Times New Roman" w:cs="Times New Roman"/>
          <w:iCs/>
          <w:noProof/>
          <w:sz w:val="24"/>
          <w:szCs w:val="24"/>
        </w:rPr>
        <w:t xml:space="preserve">Nosacījumus mājsaimniecības ienākumu sliekšņu noteikšanai </w:t>
      </w:r>
      <w:r w:rsidR="00763191" w:rsidRPr="004E6A2A">
        <w:rPr>
          <w:rFonts w:ascii="Times New Roman" w:eastAsia="Times New Roman" w:hAnsi="Times New Roman" w:cs="Times New Roman"/>
          <w:iCs/>
          <w:noProof/>
          <w:sz w:val="24"/>
          <w:szCs w:val="24"/>
        </w:rPr>
        <w:t xml:space="preserve">ierosinās LM. </w:t>
      </w:r>
      <w:r w:rsidR="00D27FCE" w:rsidRPr="004E6A2A">
        <w:rPr>
          <w:rFonts w:ascii="Times New Roman" w:eastAsia="Times New Roman" w:hAnsi="Times New Roman" w:cs="Times New Roman"/>
          <w:iCs/>
          <w:noProof/>
          <w:sz w:val="24"/>
          <w:szCs w:val="24"/>
        </w:rPr>
        <w:t xml:space="preserve">Detalizēti </w:t>
      </w:r>
      <w:r>
        <w:rPr>
          <w:rFonts w:ascii="Times New Roman" w:eastAsia="Times New Roman" w:hAnsi="Times New Roman" w:cs="Times New Roman"/>
          <w:iCs/>
          <w:noProof/>
          <w:sz w:val="24"/>
          <w:szCs w:val="24"/>
        </w:rPr>
        <w:t xml:space="preserve">nosacījumi </w:t>
      </w:r>
      <w:r w:rsidR="00D27FCE" w:rsidRPr="004E6A2A">
        <w:rPr>
          <w:rFonts w:ascii="Times New Roman" w:eastAsia="Times New Roman" w:hAnsi="Times New Roman" w:cs="Times New Roman"/>
          <w:iCs/>
          <w:noProof/>
          <w:sz w:val="24"/>
          <w:szCs w:val="24"/>
        </w:rPr>
        <w:t xml:space="preserve">tiks noteikti MK noteikumos par </w:t>
      </w:r>
      <w:r w:rsidR="00340301">
        <w:rPr>
          <w:rFonts w:ascii="Times New Roman" w:eastAsia="Times New Roman" w:hAnsi="Times New Roman" w:cs="Times New Roman"/>
          <w:iCs/>
          <w:noProof/>
          <w:sz w:val="24"/>
          <w:szCs w:val="24"/>
        </w:rPr>
        <w:t>Programmas</w:t>
      </w:r>
      <w:r w:rsidR="00D27FCE" w:rsidRPr="004E6A2A">
        <w:rPr>
          <w:rFonts w:ascii="Times New Roman" w:eastAsia="Times New Roman" w:hAnsi="Times New Roman" w:cs="Times New Roman"/>
          <w:iCs/>
          <w:noProof/>
          <w:sz w:val="24"/>
          <w:szCs w:val="24"/>
        </w:rPr>
        <w:t xml:space="preserve"> īstenošanu, pēc iespējas izmantojot jau darbojošos mehānismus un nepalielinot administratīvo slogu iesaistītajiem, konsultējoties ar KDG. Plānošanas perioda laikā, ņemot vērā statistikas un sociāli demogrāfiskos </w:t>
      </w:r>
      <w:r w:rsidR="00763191" w:rsidRPr="004E6A2A">
        <w:rPr>
          <w:rFonts w:ascii="Times New Roman" w:eastAsia="Times New Roman" w:hAnsi="Times New Roman" w:cs="Times New Roman"/>
          <w:iCs/>
          <w:noProof/>
          <w:sz w:val="24"/>
          <w:szCs w:val="24"/>
        </w:rPr>
        <w:t xml:space="preserve">un sociāli ekonomiskos </w:t>
      </w:r>
      <w:r w:rsidR="00D27FCE" w:rsidRPr="004E6A2A">
        <w:rPr>
          <w:rFonts w:ascii="Times New Roman" w:eastAsia="Times New Roman" w:hAnsi="Times New Roman" w:cs="Times New Roman"/>
          <w:iCs/>
          <w:noProof/>
          <w:sz w:val="24"/>
          <w:szCs w:val="24"/>
        </w:rPr>
        <w:t xml:space="preserve">rādītājus, </w:t>
      </w:r>
      <w:r>
        <w:rPr>
          <w:rFonts w:ascii="Times New Roman" w:eastAsia="Times New Roman" w:hAnsi="Times New Roman" w:cs="Times New Roman"/>
          <w:iCs/>
          <w:noProof/>
          <w:sz w:val="24"/>
          <w:szCs w:val="24"/>
        </w:rPr>
        <w:t xml:space="preserve">nosacījumus </w:t>
      </w:r>
      <w:r w:rsidR="00763191" w:rsidRPr="004E6A2A">
        <w:rPr>
          <w:rFonts w:ascii="Times New Roman" w:eastAsia="Times New Roman" w:hAnsi="Times New Roman" w:cs="Times New Roman"/>
          <w:iCs/>
          <w:noProof/>
          <w:sz w:val="24"/>
          <w:szCs w:val="24"/>
        </w:rPr>
        <w:t>ienākumu sliekšņu noteikšanai</w:t>
      </w:r>
      <w:r w:rsidR="00D27FCE" w:rsidRPr="004E6A2A">
        <w:rPr>
          <w:rFonts w:ascii="Times New Roman" w:eastAsia="Times New Roman" w:hAnsi="Times New Roman" w:cs="Times New Roman"/>
          <w:iCs/>
          <w:noProof/>
          <w:sz w:val="24"/>
          <w:szCs w:val="24"/>
        </w:rPr>
        <w:t xml:space="preserve"> varēs </w:t>
      </w:r>
      <w:r w:rsidR="00763191" w:rsidRPr="004E6A2A">
        <w:rPr>
          <w:rFonts w:ascii="Times New Roman" w:eastAsia="Times New Roman" w:hAnsi="Times New Roman" w:cs="Times New Roman"/>
          <w:iCs/>
          <w:noProof/>
          <w:sz w:val="24"/>
          <w:szCs w:val="24"/>
        </w:rPr>
        <w:t>pārskatīt</w:t>
      </w:r>
      <w:r w:rsidR="00D27FCE" w:rsidRPr="004E6A2A">
        <w:rPr>
          <w:rFonts w:ascii="Times New Roman" w:eastAsia="Times New Roman" w:hAnsi="Times New Roman" w:cs="Times New Roman"/>
          <w:iCs/>
          <w:noProof/>
          <w:sz w:val="24"/>
          <w:szCs w:val="24"/>
        </w:rPr>
        <w:t>. Šāda pieeja saskaņota un to atbalsta KDG.</w:t>
      </w:r>
    </w:p>
    <w:p w14:paraId="4A50E6F5" w14:textId="011896A7" w:rsidR="00B4279C" w:rsidRPr="00403EC9" w:rsidRDefault="00340301"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403EC9">
        <w:rPr>
          <w:rFonts w:ascii="Times New Roman" w:hAnsi="Times New Roman" w:cs="Times New Roman"/>
          <w:iCs/>
          <w:noProof/>
          <w:sz w:val="24"/>
          <w:szCs w:val="24"/>
        </w:rPr>
        <w:t>MK noteikumi</w:t>
      </w:r>
      <w:r w:rsidR="00D27FCE" w:rsidRPr="00403EC9">
        <w:rPr>
          <w:rFonts w:ascii="Times New Roman" w:hAnsi="Times New Roman" w:cs="Times New Roman"/>
          <w:iCs/>
          <w:noProof/>
          <w:sz w:val="24"/>
          <w:szCs w:val="24"/>
        </w:rPr>
        <w:t xml:space="preserve"> par </w:t>
      </w:r>
      <w:r w:rsidRPr="00403EC9">
        <w:rPr>
          <w:rFonts w:ascii="Times New Roman" w:hAnsi="Times New Roman" w:cs="Times New Roman"/>
          <w:iCs/>
          <w:noProof/>
          <w:sz w:val="24"/>
          <w:szCs w:val="24"/>
        </w:rPr>
        <w:t>Programmas</w:t>
      </w:r>
      <w:r w:rsidR="00D27FCE" w:rsidRPr="00403EC9">
        <w:rPr>
          <w:rFonts w:ascii="Times New Roman" w:hAnsi="Times New Roman" w:cs="Times New Roman"/>
          <w:iCs/>
          <w:noProof/>
          <w:sz w:val="24"/>
          <w:szCs w:val="24"/>
        </w:rPr>
        <w:t xml:space="preserve"> īstenošanu</w:t>
      </w:r>
      <w:r w:rsidRPr="00403EC9">
        <w:rPr>
          <w:rFonts w:ascii="Times New Roman" w:hAnsi="Times New Roman" w:cs="Times New Roman"/>
          <w:iCs/>
          <w:noProof/>
          <w:sz w:val="24"/>
          <w:szCs w:val="24"/>
        </w:rPr>
        <w:t xml:space="preserve"> </w:t>
      </w:r>
      <w:r w:rsidR="00D27FCE" w:rsidRPr="00403EC9">
        <w:rPr>
          <w:rFonts w:ascii="Times New Roman" w:eastAsia="Times New Roman" w:hAnsi="Times New Roman" w:cs="Times New Roman"/>
          <w:iCs/>
          <w:noProof/>
          <w:sz w:val="24"/>
          <w:szCs w:val="24"/>
        </w:rPr>
        <w:t xml:space="preserve">ir sasaistē ar sociālās aizsardzības normatīvo regulējumu Latvijā. Tam mainoties, veicamas arī izmaiņas </w:t>
      </w:r>
      <w:r w:rsidRPr="00403EC9">
        <w:rPr>
          <w:rFonts w:ascii="Times New Roman" w:eastAsia="Times New Roman" w:hAnsi="Times New Roman" w:cs="Times New Roman"/>
          <w:iCs/>
          <w:noProof/>
          <w:sz w:val="24"/>
          <w:szCs w:val="24"/>
        </w:rPr>
        <w:t>Programmas</w:t>
      </w:r>
      <w:r w:rsidR="00B4279C" w:rsidRPr="00403EC9">
        <w:rPr>
          <w:rFonts w:ascii="Times New Roman" w:eastAsia="Times New Roman" w:hAnsi="Times New Roman" w:cs="Times New Roman"/>
          <w:iCs/>
          <w:noProof/>
          <w:sz w:val="24"/>
          <w:szCs w:val="24"/>
        </w:rPr>
        <w:t xml:space="preserve"> </w:t>
      </w:r>
      <w:r w:rsidR="00B4279C" w:rsidRPr="00403EC9">
        <w:rPr>
          <w:rFonts w:ascii="Times New Roman" w:hAnsi="Times New Roman" w:cs="Times New Roman"/>
          <w:noProof/>
          <w:sz w:val="24"/>
          <w:szCs w:val="24"/>
        </w:rPr>
        <w:t>īstenošanas nosacījumos saistībā ar iespēju zemu ienākumu mājsaimniecībām izmantot savas so</w:t>
      </w:r>
      <w:r w:rsidR="00403EC9" w:rsidRPr="00403EC9">
        <w:rPr>
          <w:rFonts w:ascii="Times New Roman" w:hAnsi="Times New Roman" w:cs="Times New Roman"/>
          <w:noProof/>
          <w:sz w:val="24"/>
          <w:szCs w:val="24"/>
        </w:rPr>
        <w:t>ciālās tiesības saņemt atbalstu (skat. informāciju sadaļā “Valsts un reģionālo atbalsta shēmu atšifrējums”).</w:t>
      </w:r>
    </w:p>
    <w:p w14:paraId="64FE6FB9" w14:textId="52AC0F41" w:rsidR="00D27FCE" w:rsidRPr="00340301" w:rsidRDefault="00D27FCE"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340301">
        <w:rPr>
          <w:rFonts w:ascii="Times New Roman" w:eastAsia="Times New Roman" w:hAnsi="Times New Roman" w:cs="Times New Roman"/>
          <w:iCs/>
          <w:noProof/>
          <w:sz w:val="24"/>
          <w:szCs w:val="24"/>
        </w:rPr>
        <w:t xml:space="preserve">No 2021. gada 1. janvāra pārtikas atbalsta un </w:t>
      </w:r>
      <w:r w:rsidR="00F47C5D">
        <w:rPr>
          <w:rFonts w:ascii="Times New Roman" w:eastAsia="Times New Roman" w:hAnsi="Times New Roman" w:cs="Times New Roman"/>
          <w:iCs/>
          <w:noProof/>
          <w:sz w:val="24"/>
          <w:szCs w:val="24"/>
        </w:rPr>
        <w:t xml:space="preserve">pamata </w:t>
      </w:r>
      <w:r w:rsidRPr="00340301">
        <w:rPr>
          <w:rFonts w:ascii="Times New Roman" w:eastAsia="Times New Roman" w:hAnsi="Times New Roman" w:cs="Times New Roman"/>
          <w:iCs/>
          <w:noProof/>
          <w:sz w:val="24"/>
          <w:szCs w:val="24"/>
        </w:rPr>
        <w:t xml:space="preserve">materiālās palīdzības gala saņēmēji </w:t>
      </w:r>
      <w:r w:rsidR="00B00012" w:rsidRPr="00340301">
        <w:rPr>
          <w:rFonts w:ascii="Times New Roman" w:eastAsia="Times New Roman" w:hAnsi="Times New Roman" w:cs="Times New Roman"/>
          <w:iCs/>
          <w:noProof/>
          <w:sz w:val="24"/>
          <w:szCs w:val="24"/>
        </w:rPr>
        <w:t>ir</w:t>
      </w:r>
      <w:r w:rsidR="003B7043" w:rsidRPr="00340301">
        <w:rPr>
          <w:rFonts w:ascii="Times New Roman" w:eastAsia="Times New Roman" w:hAnsi="Times New Roman" w:cs="Times New Roman"/>
          <w:iCs/>
          <w:noProof/>
          <w:sz w:val="24"/>
          <w:szCs w:val="24"/>
        </w:rPr>
        <w:t xml:space="preserve"> mājsaimniecības, kurām pašvaldības sociālais dienests izsniedzis rakstisku izziņu</w:t>
      </w:r>
      <w:r w:rsidR="00031449" w:rsidRPr="00340301">
        <w:rPr>
          <w:rFonts w:ascii="Times New Roman" w:eastAsia="Times New Roman" w:hAnsi="Times New Roman" w:cs="Times New Roman"/>
          <w:iCs/>
          <w:noProof/>
          <w:sz w:val="24"/>
          <w:szCs w:val="24"/>
        </w:rPr>
        <w:t xml:space="preserve"> par</w:t>
      </w:r>
      <w:r w:rsidRPr="00340301">
        <w:rPr>
          <w:rFonts w:ascii="Times New Roman" w:eastAsia="Times New Roman" w:hAnsi="Times New Roman" w:cs="Times New Roman"/>
          <w:iCs/>
          <w:noProof/>
          <w:sz w:val="24"/>
          <w:szCs w:val="24"/>
        </w:rPr>
        <w:t>:</w:t>
      </w:r>
    </w:p>
    <w:p w14:paraId="1010FA5B" w14:textId="4CC81744" w:rsidR="00D27FCE" w:rsidRPr="000D5DBF" w:rsidRDefault="00D27FCE" w:rsidP="00BA1297">
      <w:pPr>
        <w:pStyle w:val="ListParagraph"/>
        <w:numPr>
          <w:ilvl w:val="0"/>
          <w:numId w:val="9"/>
        </w:numPr>
        <w:spacing w:after="0" w:line="240" w:lineRule="auto"/>
        <w:ind w:left="993" w:hanging="426"/>
        <w:jc w:val="both"/>
        <w:rPr>
          <w:rFonts w:ascii="Times New Roman" w:eastAsia="Times New Roman" w:hAnsi="Times New Roman" w:cs="Times New Roman"/>
          <w:iCs/>
          <w:noProof/>
          <w:sz w:val="24"/>
          <w:szCs w:val="24"/>
        </w:rPr>
      </w:pPr>
      <w:r w:rsidRPr="000D5DBF">
        <w:rPr>
          <w:rFonts w:ascii="Times New Roman" w:eastAsia="Times New Roman" w:hAnsi="Times New Roman" w:cs="Times New Roman"/>
          <w:iCs/>
          <w:noProof/>
          <w:sz w:val="24"/>
          <w:szCs w:val="24"/>
        </w:rPr>
        <w:lastRenderedPageBreak/>
        <w:t>tās atbilstību trūcīgas mājsaimniecības statusam</w:t>
      </w:r>
      <w:r w:rsidRPr="000D5DBF">
        <w:rPr>
          <w:rStyle w:val="FootnoteReference"/>
          <w:rFonts w:ascii="Times New Roman" w:eastAsia="Times New Roman" w:hAnsi="Times New Roman" w:cs="Times New Roman"/>
          <w:iCs/>
          <w:noProof/>
          <w:sz w:val="24"/>
          <w:szCs w:val="24"/>
        </w:rPr>
        <w:footnoteReference w:id="9"/>
      </w:r>
      <w:r w:rsidRPr="000D5DBF">
        <w:rPr>
          <w:rFonts w:ascii="Times New Roman" w:eastAsia="Times New Roman" w:hAnsi="Times New Roman" w:cs="Times New Roman"/>
          <w:iCs/>
          <w:noProof/>
          <w:sz w:val="24"/>
          <w:szCs w:val="24"/>
        </w:rPr>
        <w:t>;</w:t>
      </w:r>
    </w:p>
    <w:p w14:paraId="766128FB" w14:textId="333165D8" w:rsidR="00D27FCE" w:rsidRPr="000D5DBF" w:rsidRDefault="00D27FCE" w:rsidP="00BA1297">
      <w:pPr>
        <w:pStyle w:val="ListParagraph"/>
        <w:numPr>
          <w:ilvl w:val="0"/>
          <w:numId w:val="9"/>
        </w:numPr>
        <w:spacing w:after="0" w:line="240" w:lineRule="auto"/>
        <w:ind w:left="993" w:hanging="426"/>
        <w:jc w:val="both"/>
        <w:rPr>
          <w:rFonts w:ascii="Times New Roman" w:eastAsia="Times New Roman" w:hAnsi="Times New Roman" w:cs="Times New Roman"/>
          <w:iCs/>
          <w:noProof/>
          <w:sz w:val="24"/>
          <w:szCs w:val="24"/>
        </w:rPr>
      </w:pPr>
      <w:r w:rsidRPr="000D5DBF">
        <w:rPr>
          <w:rFonts w:ascii="Times New Roman" w:eastAsia="Times New Roman" w:hAnsi="Times New Roman" w:cs="Times New Roman"/>
          <w:iCs/>
          <w:noProof/>
          <w:sz w:val="24"/>
          <w:szCs w:val="24"/>
        </w:rPr>
        <w:t>tās atbilstību maznodrošinātas mājsaimniecības statusam un tās rīcībā esošie ienākumi uz vienu ekvivalento patērētāju mājsaimniecībā nepārsniedz 327 euro pirmajai vai vienīgajai personai mājsaimniecībā, bet katrai nākamai p</w:t>
      </w:r>
      <w:r w:rsidR="00C97278" w:rsidRPr="000D5DBF">
        <w:rPr>
          <w:rFonts w:ascii="Times New Roman" w:eastAsia="Times New Roman" w:hAnsi="Times New Roman" w:cs="Times New Roman"/>
          <w:iCs/>
          <w:noProof/>
          <w:sz w:val="24"/>
          <w:szCs w:val="24"/>
        </w:rPr>
        <w:t>ersonai mājsaimniecībā 229 euro;</w:t>
      </w:r>
    </w:p>
    <w:p w14:paraId="40885EC4" w14:textId="3A56AD43" w:rsidR="0006223A" w:rsidRPr="00A50120" w:rsidRDefault="003B7043" w:rsidP="00BA1297">
      <w:pPr>
        <w:pStyle w:val="ListParagraph"/>
        <w:numPr>
          <w:ilvl w:val="0"/>
          <w:numId w:val="9"/>
        </w:numPr>
        <w:spacing w:after="0" w:line="240" w:lineRule="auto"/>
        <w:ind w:left="993" w:hanging="426"/>
        <w:jc w:val="both"/>
        <w:rPr>
          <w:rFonts w:ascii="Times New Roman" w:eastAsia="Times New Roman" w:hAnsi="Times New Roman" w:cs="Times New Roman"/>
          <w:iCs/>
          <w:noProof/>
          <w:sz w:val="24"/>
          <w:szCs w:val="24"/>
        </w:rPr>
      </w:pPr>
      <w:r w:rsidRPr="000D5DBF">
        <w:rPr>
          <w:rFonts w:ascii="Times New Roman" w:eastAsia="Times New Roman" w:hAnsi="Times New Roman" w:cs="Times New Roman"/>
          <w:iCs/>
          <w:noProof/>
          <w:sz w:val="24"/>
          <w:szCs w:val="24"/>
        </w:rPr>
        <w:t>mājsaimniecības</w:t>
      </w:r>
      <w:r w:rsidR="00C97278" w:rsidRPr="000D5DBF">
        <w:rPr>
          <w:rFonts w:ascii="Times New Roman" w:eastAsia="Times New Roman" w:hAnsi="Times New Roman" w:cs="Times New Roman"/>
          <w:iCs/>
          <w:noProof/>
          <w:sz w:val="24"/>
          <w:szCs w:val="24"/>
        </w:rPr>
        <w:t xml:space="preserve"> </w:t>
      </w:r>
      <w:r w:rsidRPr="000D5DBF">
        <w:rPr>
          <w:rFonts w:ascii="Times New Roman" w:eastAsia="Times New Roman" w:hAnsi="Times New Roman" w:cs="Times New Roman"/>
          <w:iCs/>
          <w:noProof/>
          <w:sz w:val="24"/>
          <w:szCs w:val="24"/>
        </w:rPr>
        <w:t xml:space="preserve">nonākšanu </w:t>
      </w:r>
      <w:r w:rsidR="00A50120">
        <w:rPr>
          <w:rFonts w:ascii="Times New Roman" w:eastAsia="Times New Roman" w:hAnsi="Times New Roman" w:cs="Times New Roman"/>
          <w:iCs/>
          <w:noProof/>
          <w:sz w:val="24"/>
          <w:szCs w:val="24"/>
        </w:rPr>
        <w:t>krīzes situacijā.</w:t>
      </w:r>
    </w:p>
    <w:p w14:paraId="2A41B264" w14:textId="4F782C65" w:rsidR="00A50120" w:rsidRDefault="00A50120" w:rsidP="00BA1297">
      <w:pPr>
        <w:spacing w:before="0" w:after="0"/>
        <w:ind w:left="567"/>
        <w:rPr>
          <w:rFonts w:eastAsia="Times New Roman"/>
          <w:noProof/>
          <w:szCs w:val="24"/>
        </w:rPr>
      </w:pPr>
      <w:r>
        <w:rPr>
          <w:rFonts w:eastAsia="Times New Roman"/>
          <w:noProof/>
          <w:szCs w:val="24"/>
        </w:rPr>
        <w:t xml:space="preserve">Vienlaikus šīm mājsaimniecībām ir iespēja piedalīties Programmas līdzfinansētajos papildpasākumos </w:t>
      </w:r>
      <w:r w:rsidRPr="00A50120">
        <w:rPr>
          <w:rFonts w:eastAsia="Times New Roman"/>
          <w:noProof/>
          <w:szCs w:val="24"/>
        </w:rPr>
        <w:t>sociālās atstumtības mazināšanai</w:t>
      </w:r>
      <w:r>
        <w:rPr>
          <w:rFonts w:eastAsia="Times New Roman"/>
          <w:noProof/>
          <w:szCs w:val="24"/>
        </w:rPr>
        <w:t>.</w:t>
      </w:r>
    </w:p>
    <w:p w14:paraId="03E800CA" w14:textId="67CDE3D6" w:rsidR="00950741" w:rsidRDefault="00A50120" w:rsidP="00BA1297">
      <w:pPr>
        <w:spacing w:before="0" w:after="0"/>
        <w:ind w:left="567"/>
        <w:rPr>
          <w:rFonts w:eastAsia="Times New Roman"/>
          <w:noProof/>
          <w:szCs w:val="24"/>
        </w:rPr>
      </w:pPr>
      <w:r>
        <w:rPr>
          <w:rFonts w:eastAsia="Times New Roman"/>
          <w:noProof/>
          <w:szCs w:val="24"/>
        </w:rPr>
        <w:t xml:space="preserve">Savukārt </w:t>
      </w:r>
      <w:r w:rsidRPr="00A50120">
        <w:rPr>
          <w:rFonts w:eastAsia="Times New Roman"/>
          <w:noProof/>
          <w:szCs w:val="24"/>
        </w:rPr>
        <w:t xml:space="preserve">zupas virtuvēs </w:t>
      </w:r>
      <w:r w:rsidR="00B529CD">
        <w:rPr>
          <w:rFonts w:eastAsia="Times New Roman"/>
          <w:noProof/>
          <w:szCs w:val="24"/>
        </w:rPr>
        <w:t>pārtikas atbalsta</w:t>
      </w:r>
      <w:r>
        <w:rPr>
          <w:rFonts w:eastAsia="Times New Roman"/>
          <w:noProof/>
          <w:szCs w:val="24"/>
        </w:rPr>
        <w:t xml:space="preserve"> –</w:t>
      </w:r>
      <w:r w:rsidR="00B529CD">
        <w:rPr>
          <w:rFonts w:eastAsia="Times New Roman"/>
          <w:noProof/>
          <w:szCs w:val="24"/>
        </w:rPr>
        <w:t xml:space="preserve"> gatavo maltīšu</w:t>
      </w:r>
      <w:r w:rsidRPr="00A50120">
        <w:rPr>
          <w:rFonts w:eastAsia="Times New Roman"/>
          <w:noProof/>
          <w:szCs w:val="24"/>
        </w:rPr>
        <w:t xml:space="preserve"> saņem</w:t>
      </w:r>
      <w:r w:rsidR="00B529CD">
        <w:rPr>
          <w:rFonts w:eastAsia="Times New Roman"/>
          <w:noProof/>
          <w:szCs w:val="24"/>
        </w:rPr>
        <w:t>šanai</w:t>
      </w:r>
      <w:r w:rsidRPr="00A50120">
        <w:rPr>
          <w:rFonts w:eastAsia="Times New Roman"/>
          <w:noProof/>
          <w:szCs w:val="24"/>
        </w:rPr>
        <w:t xml:space="preserve"> </w:t>
      </w:r>
      <w:r w:rsidR="00B529CD">
        <w:rPr>
          <w:rFonts w:eastAsia="Times New Roman"/>
          <w:noProof/>
          <w:szCs w:val="24"/>
        </w:rPr>
        <w:t>iepriekš minēto izziņu uzrādīšana nav nepieciešama.</w:t>
      </w:r>
    </w:p>
    <w:p w14:paraId="0A32B122" w14:textId="77777777" w:rsidR="00AF580F" w:rsidRPr="000D5DBF" w:rsidRDefault="00AF580F" w:rsidP="00BA1297">
      <w:pPr>
        <w:spacing w:before="0" w:after="0"/>
        <w:rPr>
          <w:rFonts w:eastAsia="Times New Roman"/>
          <w:noProof/>
          <w:szCs w:val="24"/>
        </w:rPr>
      </w:pPr>
    </w:p>
    <w:p w14:paraId="7672EF7D" w14:textId="77777777" w:rsidR="00950741" w:rsidRPr="000D5DBF" w:rsidRDefault="0095663F" w:rsidP="00BA1297">
      <w:pPr>
        <w:pStyle w:val="Heading1"/>
        <w:numPr>
          <w:ilvl w:val="0"/>
          <w:numId w:val="30"/>
        </w:numPr>
        <w:spacing w:before="0"/>
        <w:rPr>
          <w:rFonts w:ascii="Times New Roman" w:eastAsia="Times New Roman" w:hAnsi="Times New Roman" w:cs="Times New Roman"/>
          <w:b/>
          <w:noProof/>
          <w:color w:val="auto"/>
          <w:sz w:val="28"/>
          <w:szCs w:val="28"/>
        </w:rPr>
      </w:pPr>
      <w:bookmarkStart w:id="15" w:name="_Toc62557114"/>
      <w:r w:rsidRPr="000D5DBF">
        <w:rPr>
          <w:rFonts w:ascii="Times New Roman" w:eastAsia="Times New Roman" w:hAnsi="Times New Roman" w:cs="Times New Roman"/>
          <w:b/>
          <w:noProof/>
          <w:color w:val="auto"/>
          <w:sz w:val="28"/>
          <w:szCs w:val="28"/>
        </w:rPr>
        <w:t>Valsts un reģionālo atbalsta shēmu atšifrējums</w:t>
      </w:r>
      <w:bookmarkEnd w:id="15"/>
    </w:p>
    <w:p w14:paraId="325A91C3" w14:textId="77777777" w:rsidR="00950741" w:rsidRPr="000D5DBF" w:rsidRDefault="0095663F" w:rsidP="00BA1297">
      <w:pPr>
        <w:spacing w:before="0" w:after="0"/>
        <w:rPr>
          <w:rFonts w:eastAsia="Times New Roman"/>
          <w:i/>
          <w:noProof/>
          <w:szCs w:val="24"/>
        </w:rPr>
      </w:pPr>
      <w:r w:rsidRPr="000D5DBF">
        <w:rPr>
          <w:rFonts w:eastAsia="Times New Roman"/>
          <w:i/>
          <w:noProof/>
          <w:szCs w:val="24"/>
        </w:rPr>
        <w:t>Teksta lauks [2000 rakstzīmes]</w:t>
      </w:r>
    </w:p>
    <w:p w14:paraId="49EBAE6C" w14:textId="77777777" w:rsidR="001B41CF" w:rsidRPr="000D5DBF" w:rsidRDefault="00AE3B17"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sz w:val="24"/>
          <w:szCs w:val="24"/>
        </w:rPr>
        <w:t>Sociālās drošības sistēmu</w:t>
      </w:r>
      <w:r w:rsidRPr="000D5DBF">
        <w:rPr>
          <w:rStyle w:val="FootnoteReference"/>
          <w:rFonts w:ascii="Times New Roman" w:hAnsi="Times New Roman" w:cs="Times New Roman"/>
          <w:sz w:val="24"/>
          <w:szCs w:val="24"/>
        </w:rPr>
        <w:footnoteReference w:id="10"/>
      </w:r>
      <w:r w:rsidRPr="000D5DBF">
        <w:rPr>
          <w:rFonts w:ascii="Times New Roman" w:hAnsi="Times New Roman" w:cs="Times New Roman"/>
          <w:sz w:val="24"/>
          <w:szCs w:val="24"/>
        </w:rPr>
        <w:t xml:space="preserve"> Latvijā veido: sociālā apdrošināšana</w:t>
      </w:r>
      <w:r w:rsidRPr="000D5DBF">
        <w:rPr>
          <w:rStyle w:val="FootnoteReference"/>
          <w:rFonts w:ascii="Times New Roman" w:hAnsi="Times New Roman" w:cs="Times New Roman"/>
          <w:sz w:val="24"/>
          <w:szCs w:val="24"/>
        </w:rPr>
        <w:footnoteReference w:id="11"/>
      </w:r>
      <w:r w:rsidRPr="000D5DBF">
        <w:rPr>
          <w:rFonts w:ascii="Times New Roman" w:hAnsi="Times New Roman" w:cs="Times New Roman"/>
          <w:sz w:val="24"/>
          <w:szCs w:val="24"/>
        </w:rPr>
        <w:t>, valsts sociālie pabalsti</w:t>
      </w:r>
      <w:r w:rsidRPr="000D5DBF">
        <w:rPr>
          <w:rStyle w:val="FootnoteReference"/>
          <w:rFonts w:ascii="Times New Roman" w:hAnsi="Times New Roman" w:cs="Times New Roman"/>
          <w:sz w:val="24"/>
          <w:szCs w:val="24"/>
        </w:rPr>
        <w:footnoteReference w:id="12"/>
      </w:r>
      <w:r w:rsidRPr="000D5DBF">
        <w:rPr>
          <w:rFonts w:ascii="Times New Roman" w:hAnsi="Times New Roman" w:cs="Times New Roman"/>
          <w:sz w:val="24"/>
          <w:szCs w:val="24"/>
        </w:rPr>
        <w:t xml:space="preserve"> un pašvaldību sociālās palīdzības pabalsti un sociālie pakalpojumi</w:t>
      </w:r>
      <w:r w:rsidRPr="000D5DBF">
        <w:rPr>
          <w:rStyle w:val="FootnoteReference"/>
          <w:rFonts w:ascii="Times New Roman" w:hAnsi="Times New Roman" w:cs="Times New Roman"/>
          <w:sz w:val="24"/>
          <w:szCs w:val="24"/>
        </w:rPr>
        <w:footnoteReference w:id="13"/>
      </w:r>
      <w:r w:rsidRPr="000D5DBF">
        <w:rPr>
          <w:rFonts w:ascii="Times New Roman" w:hAnsi="Times New Roman" w:cs="Times New Roman"/>
          <w:sz w:val="24"/>
          <w:szCs w:val="24"/>
        </w:rPr>
        <w:t>. Līdz ar to atbalsta sniegšana iedzīvotājiem ar zemiem un ļoti zemiem ienākumiem ir skatāma kompleksi. Valsts un pašvaldību sniegtie atbalsta mehānismi ir savstarpēji papildinoši un veido solidāru pieeju iedzīvotāju labklājības nodrošināšanai, lai nodrošinātu dažādu un visaptverošu pasākumu kompleksu, tādējādi maksimāli sekmējot cilvēka iespējas saņemt savām individuālām vajadzībām pietuvinātu atbalstu gan finansiālā izteiksmē, gan pakalpojumu veidā, kas vienlaikus ir samērīgs ar citu grupu situāciju un tām sniegto atbalstu.</w:t>
      </w:r>
    </w:p>
    <w:p w14:paraId="718F3F12" w14:textId="77777777" w:rsidR="001B41CF" w:rsidRPr="000D5DBF" w:rsidRDefault="001B41CF"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noProof/>
          <w:sz w:val="24"/>
          <w:szCs w:val="24"/>
        </w:rPr>
        <w:t>Latvijā pēdējos gados spēkā esošajos tiesību aktos noteiktie ienākumu līmeņi, kas iedzīvotājiem ar zemiem un ļoti zemiem ienākumiem dod iespējas pretendēt uz noteiktu valsts un pašvaldības atbalstu, bija nemainīgi zemi un nesniedza iespēju tikt ārā no nabadzības slazda un veidot finansiāli neatkarīgu dzīvi.</w:t>
      </w:r>
    </w:p>
    <w:p w14:paraId="1F738D94" w14:textId="77777777" w:rsidR="008B78E9" w:rsidRPr="000D5DBF" w:rsidRDefault="008B78E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2020. gadā plašu diskusiju rezultātā panākta vienošanās par relatīvās metodes</w:t>
      </w:r>
      <w:r w:rsidRPr="000D5DBF">
        <w:rPr>
          <w:rStyle w:val="FootnoteReference"/>
          <w:rFonts w:ascii="Times New Roman" w:hAnsi="Times New Roman" w:cs="Times New Roman"/>
          <w:noProof/>
          <w:sz w:val="24"/>
          <w:szCs w:val="24"/>
        </w:rPr>
        <w:footnoteReference w:id="14"/>
      </w:r>
      <w:r w:rsidRPr="000D5DBF">
        <w:rPr>
          <w:rFonts w:ascii="Times New Roman" w:hAnsi="Times New Roman" w:cs="Times New Roman"/>
          <w:noProof/>
          <w:sz w:val="24"/>
          <w:szCs w:val="24"/>
        </w:rPr>
        <w:t xml:space="preserve"> izmantošanu minimālo ienākumu sliekšņu noteikšanā,</w:t>
      </w:r>
      <w:r w:rsidRPr="000D5DBF">
        <w:rPr>
          <w:rFonts w:ascii="Times New Roman" w:hAnsi="Times New Roman" w:cs="Times New Roman"/>
          <w:sz w:val="24"/>
          <w:szCs w:val="24"/>
        </w:rPr>
        <w:t xml:space="preserve"> </w:t>
      </w:r>
      <w:r w:rsidRPr="000D5DBF">
        <w:rPr>
          <w:rFonts w:ascii="Times New Roman" w:hAnsi="Times New Roman" w:cs="Times New Roman"/>
          <w:noProof/>
          <w:sz w:val="24"/>
          <w:szCs w:val="24"/>
        </w:rPr>
        <w:t>kura saistīta ar reālo sociālekonomisko situāciju valstī, ņemot vērā ienākumus dažādās sabiedrības grupās, tādējādi nosakot minimālo ienākumu sliekšņus sociālās aizsardzības jomā kā proporciju no ienākumu mediānas.</w:t>
      </w:r>
    </w:p>
    <w:p w14:paraId="2F0B19F1" w14:textId="5B5DCE5B" w:rsidR="008B78E9" w:rsidRPr="000D5DBF" w:rsidRDefault="008B78E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Saeimā 2020. gada 24. novembrī pieņemtajā likumā “Grozījumi Sociālo pakalpojumu un sociālās palīdzības likumā” noteikts garantēto minimālo ienākumu</w:t>
      </w:r>
      <w:r w:rsidR="0000493A" w:rsidRPr="000D5DBF">
        <w:rPr>
          <w:rFonts w:ascii="Times New Roman" w:hAnsi="Times New Roman" w:cs="Times New Roman"/>
          <w:noProof/>
          <w:sz w:val="24"/>
          <w:szCs w:val="24"/>
        </w:rPr>
        <w:t>,</w:t>
      </w:r>
      <w:r w:rsidRPr="000D5DBF">
        <w:rPr>
          <w:rFonts w:ascii="Times New Roman" w:hAnsi="Times New Roman" w:cs="Times New Roman"/>
          <w:noProof/>
          <w:sz w:val="24"/>
          <w:szCs w:val="24"/>
        </w:rPr>
        <w:t xml:space="preserve"> trūcīgas māj</w:t>
      </w:r>
      <w:r w:rsidR="00D84885">
        <w:rPr>
          <w:rFonts w:ascii="Times New Roman" w:hAnsi="Times New Roman" w:cs="Times New Roman"/>
          <w:noProof/>
          <w:sz w:val="24"/>
          <w:szCs w:val="24"/>
        </w:rPr>
        <w:t>saimniecības ienākumu slieksnis</w:t>
      </w:r>
      <w:r w:rsidR="00AE18CE">
        <w:rPr>
          <w:rFonts w:ascii="Times New Roman" w:hAnsi="Times New Roman" w:cs="Times New Roman"/>
          <w:noProof/>
          <w:sz w:val="24"/>
          <w:szCs w:val="24"/>
          <w:vertAlign w:val="superscript"/>
        </w:rPr>
        <w:t>9</w:t>
      </w:r>
      <w:r w:rsidR="00D84885">
        <w:rPr>
          <w:rFonts w:ascii="Times New Roman" w:hAnsi="Times New Roman" w:cs="Times New Roman"/>
          <w:noProof/>
          <w:sz w:val="24"/>
          <w:szCs w:val="24"/>
        </w:rPr>
        <w:t xml:space="preserve"> </w:t>
      </w:r>
      <w:r w:rsidRPr="000D5DBF">
        <w:rPr>
          <w:rFonts w:ascii="Times New Roman" w:hAnsi="Times New Roman" w:cs="Times New Roman"/>
          <w:noProof/>
          <w:sz w:val="24"/>
          <w:szCs w:val="24"/>
        </w:rPr>
        <w:t>un katras pašvaldības tiesības pašvaldību saistošajos noteikumos noteikt maznodrošinātas mā</w:t>
      </w:r>
      <w:r w:rsidR="00AE3ACE">
        <w:rPr>
          <w:rFonts w:ascii="Times New Roman" w:hAnsi="Times New Roman" w:cs="Times New Roman"/>
          <w:noProof/>
          <w:sz w:val="24"/>
          <w:szCs w:val="24"/>
        </w:rPr>
        <w:t>jsaimniecības ienākumu slieksni</w:t>
      </w:r>
      <w:r w:rsidR="00D84885">
        <w:rPr>
          <w:rStyle w:val="FootnoteReference"/>
          <w:rFonts w:ascii="Times New Roman" w:hAnsi="Times New Roman" w:cs="Times New Roman"/>
          <w:noProof/>
          <w:sz w:val="24"/>
          <w:szCs w:val="24"/>
        </w:rPr>
        <w:footnoteReference w:id="15"/>
      </w:r>
      <w:r w:rsidRPr="000D5DBF">
        <w:rPr>
          <w:rFonts w:ascii="Times New Roman" w:hAnsi="Times New Roman" w:cs="Times New Roman"/>
          <w:noProof/>
          <w:sz w:val="24"/>
          <w:szCs w:val="24"/>
        </w:rPr>
        <w:t xml:space="preserve">. Paredzēts, ka likuma </w:t>
      </w:r>
      <w:r w:rsidR="00937392" w:rsidRPr="000D5DBF">
        <w:rPr>
          <w:rFonts w:ascii="Times New Roman" w:hAnsi="Times New Roman" w:cs="Times New Roman"/>
          <w:noProof/>
          <w:sz w:val="24"/>
          <w:szCs w:val="24"/>
        </w:rPr>
        <w:t>piemērošana mazin</w:t>
      </w:r>
      <w:r w:rsidRPr="000D5DBF">
        <w:rPr>
          <w:rFonts w:ascii="Times New Roman" w:hAnsi="Times New Roman" w:cs="Times New Roman"/>
          <w:noProof/>
          <w:sz w:val="24"/>
          <w:szCs w:val="24"/>
        </w:rPr>
        <w:t>ās nevienlīdzību dažādu pašvaldību iedzīvotāju vidū un sniegs atbalstu zemu ienākumu mājsaimniecībām. Likums stāsies spēkā 2021. gada 1. janvārī.</w:t>
      </w:r>
    </w:p>
    <w:p w14:paraId="57EF0EB6" w14:textId="022C7A88" w:rsidR="00AE3B17" w:rsidRPr="000D5DBF" w:rsidRDefault="00B22D36"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Papildus valsts un paš</w:t>
      </w:r>
      <w:r w:rsidR="00AE3B17" w:rsidRPr="000D5DBF">
        <w:rPr>
          <w:rFonts w:ascii="Times New Roman" w:hAnsi="Times New Roman" w:cs="Times New Roman"/>
          <w:noProof/>
          <w:sz w:val="24"/>
          <w:szCs w:val="24"/>
        </w:rPr>
        <w:t>valdību atbalstam, arī nevalstiskās un reliģiskās organizācijas vistrūcīgākajiem iedzīvotājiem piedāvā pārtikas atbalstu un pamata materiālo palīdzību, k</w:t>
      </w:r>
      <w:r w:rsidR="00E274C4" w:rsidRPr="000D5DBF">
        <w:rPr>
          <w:rFonts w:ascii="Times New Roman" w:hAnsi="Times New Roman" w:cs="Times New Roman"/>
          <w:noProof/>
          <w:sz w:val="24"/>
          <w:szCs w:val="24"/>
        </w:rPr>
        <w:t>uras</w:t>
      </w:r>
      <w:r w:rsidR="00AE3B17" w:rsidRPr="000D5DBF">
        <w:rPr>
          <w:rFonts w:ascii="Times New Roman" w:hAnsi="Times New Roman" w:cs="Times New Roman"/>
          <w:noProof/>
          <w:sz w:val="24"/>
          <w:szCs w:val="24"/>
        </w:rPr>
        <w:t xml:space="preserve"> apjoms un izdales intensitāte atkarīga no organizāciju kapacitātes un ir atšķirīga reģionālā pārklājumā.</w:t>
      </w:r>
    </w:p>
    <w:p w14:paraId="091445FF" w14:textId="09877386" w:rsidR="00AE3B17" w:rsidRPr="0040123E" w:rsidRDefault="0040123E"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40123E">
        <w:rPr>
          <w:rFonts w:ascii="Times New Roman" w:hAnsi="Times New Roman" w:cs="Times New Roman"/>
          <w:noProof/>
          <w:sz w:val="24"/>
          <w:szCs w:val="24"/>
        </w:rPr>
        <w:lastRenderedPageBreak/>
        <w:t>Programmas</w:t>
      </w:r>
      <w:r w:rsidR="00AE3B17" w:rsidRPr="0040123E">
        <w:rPr>
          <w:rFonts w:ascii="Times New Roman" w:hAnsi="Times New Roman" w:cs="Times New Roman"/>
          <w:noProof/>
          <w:sz w:val="24"/>
          <w:szCs w:val="24"/>
        </w:rPr>
        <w:t xml:space="preserve"> ietvaros visā valsts teritorijā sniegtais atbalsts papildinās </w:t>
      </w:r>
      <w:r w:rsidRPr="0040123E">
        <w:rPr>
          <w:rFonts w:ascii="Times New Roman" w:hAnsi="Times New Roman" w:cs="Times New Roman"/>
          <w:noProof/>
          <w:sz w:val="24"/>
          <w:szCs w:val="24"/>
        </w:rPr>
        <w:t xml:space="preserve">valsts, </w:t>
      </w:r>
      <w:r w:rsidR="00AE3B17" w:rsidRPr="0040123E">
        <w:rPr>
          <w:rFonts w:ascii="Times New Roman" w:hAnsi="Times New Roman" w:cs="Times New Roman"/>
          <w:noProof/>
          <w:sz w:val="24"/>
          <w:szCs w:val="24"/>
        </w:rPr>
        <w:t>pašvaldību</w:t>
      </w:r>
      <w:r w:rsidR="00E81112" w:rsidRPr="0040123E">
        <w:rPr>
          <w:rFonts w:ascii="Times New Roman" w:hAnsi="Times New Roman" w:cs="Times New Roman"/>
          <w:noProof/>
          <w:sz w:val="24"/>
          <w:szCs w:val="24"/>
        </w:rPr>
        <w:t xml:space="preserve">, nevalstisko un reliģisko organizāciju </w:t>
      </w:r>
      <w:r w:rsidR="00AE3B17" w:rsidRPr="0040123E">
        <w:rPr>
          <w:rFonts w:ascii="Times New Roman" w:hAnsi="Times New Roman" w:cs="Times New Roman"/>
          <w:noProof/>
          <w:sz w:val="24"/>
          <w:szCs w:val="24"/>
        </w:rPr>
        <w:t>atbalstu vistrūcīgāko iedzīvotāju</w:t>
      </w:r>
      <w:r w:rsidRPr="0040123E">
        <w:rPr>
          <w:rFonts w:ascii="Times New Roman" w:hAnsi="Times New Roman" w:cs="Times New Roman"/>
          <w:noProof/>
          <w:sz w:val="24"/>
          <w:szCs w:val="24"/>
        </w:rPr>
        <w:t xml:space="preserve"> pamatvajadzību apmierināšanai.</w:t>
      </w:r>
    </w:p>
    <w:p w14:paraId="1098FA25" w14:textId="77777777" w:rsidR="00AE3ACE" w:rsidRPr="000D5DBF" w:rsidRDefault="00AE3ACE" w:rsidP="00BA1297">
      <w:pPr>
        <w:spacing w:before="0" w:after="0"/>
        <w:rPr>
          <w:rFonts w:eastAsia="Times New Roman"/>
          <w:noProof/>
          <w:szCs w:val="24"/>
        </w:rPr>
      </w:pPr>
    </w:p>
    <w:p w14:paraId="1C304FD7" w14:textId="77777777" w:rsidR="00AE3B17" w:rsidRPr="000D5DBF" w:rsidRDefault="005116D4" w:rsidP="00BA1297">
      <w:pPr>
        <w:pStyle w:val="Heading1"/>
        <w:numPr>
          <w:ilvl w:val="0"/>
          <w:numId w:val="30"/>
        </w:numPr>
        <w:spacing w:before="0"/>
        <w:rPr>
          <w:rFonts w:ascii="Times New Roman" w:eastAsia="Times New Roman" w:hAnsi="Times New Roman" w:cs="Times New Roman"/>
          <w:b/>
          <w:noProof/>
          <w:color w:val="auto"/>
          <w:sz w:val="28"/>
          <w:szCs w:val="28"/>
        </w:rPr>
      </w:pPr>
      <w:bookmarkStart w:id="16" w:name="_Toc62557115"/>
      <w:r w:rsidRPr="000D5DBF">
        <w:rPr>
          <w:rFonts w:ascii="Times New Roman" w:hAnsi="Times New Roman" w:cs="Times New Roman"/>
          <w:b/>
          <w:noProof/>
          <w:color w:val="auto"/>
          <w:sz w:val="28"/>
          <w:szCs w:val="28"/>
        </w:rPr>
        <w:t>Darbību atlases kritēriji</w:t>
      </w:r>
      <w:bookmarkEnd w:id="16"/>
    </w:p>
    <w:p w14:paraId="671DF7AE" w14:textId="3FB1ED65" w:rsidR="00FB35B9" w:rsidRPr="000D5DBF" w:rsidRDefault="00333A45"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FB35B9" w:rsidRPr="000D5DBF">
        <w:rPr>
          <w:rFonts w:ascii="Times New Roman" w:hAnsi="Times New Roman" w:cs="Times New Roman"/>
          <w:noProof/>
          <w:sz w:val="24"/>
          <w:szCs w:val="24"/>
        </w:rPr>
        <w:t>mērķa sasniegšanu nodrošinās darbību veidi:</w:t>
      </w:r>
    </w:p>
    <w:p w14:paraId="03B3C2CE" w14:textId="77777777" w:rsidR="00FB35B9" w:rsidRPr="000D5DBF" w:rsidRDefault="00FB35B9" w:rsidP="00BA1297">
      <w:pPr>
        <w:pStyle w:val="ListParagraph"/>
        <w:numPr>
          <w:ilvl w:val="0"/>
          <w:numId w:val="16"/>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pārtikas un/vai pamata materiālās palīdzības iegāde (t.sk. transportēšana uz PO uzglabāšanas vietām). Darbībā </w:t>
      </w:r>
      <w:r w:rsidRPr="00DF7AA3">
        <w:rPr>
          <w:rFonts w:ascii="Times New Roman" w:hAnsi="Times New Roman" w:cs="Times New Roman"/>
          <w:noProof/>
          <w:sz w:val="24"/>
          <w:szCs w:val="24"/>
        </w:rPr>
        <w:t>ievēro normatīvos aktus publisko iepirkumu jomā.</w:t>
      </w:r>
      <w:r w:rsidRPr="000D5DBF">
        <w:rPr>
          <w:rFonts w:ascii="Times New Roman" w:hAnsi="Times New Roman" w:cs="Times New Roman"/>
          <w:noProof/>
          <w:sz w:val="24"/>
          <w:szCs w:val="24"/>
        </w:rPr>
        <w:t xml:space="preserve"> Katra darbība aptver 12 līdz 36 mēnešus;</w:t>
      </w:r>
    </w:p>
    <w:p w14:paraId="2244FE3A" w14:textId="77777777" w:rsidR="00FB35B9" w:rsidRPr="000D5DBF" w:rsidRDefault="00FB35B9" w:rsidP="00BA1297">
      <w:pPr>
        <w:pStyle w:val="ListParagraph"/>
        <w:numPr>
          <w:ilvl w:val="0"/>
          <w:numId w:val="16"/>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pārtikas un/vai pamata materiālās palīdzības izdalīšana mērķa grupai, to apvienojot ar papildpasākumu īstenošanu. Katra darbība aptver 12 līdz 36 mēnešus;</w:t>
      </w:r>
    </w:p>
    <w:p w14:paraId="4BD9C30C" w14:textId="77777777" w:rsidR="00FB35B9" w:rsidRPr="000D5DBF" w:rsidRDefault="00FB35B9" w:rsidP="00BA1297">
      <w:pPr>
        <w:pStyle w:val="ListParagraph"/>
        <w:numPr>
          <w:ilvl w:val="0"/>
          <w:numId w:val="16"/>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TP darbības </w:t>
      </w:r>
      <w:r w:rsidR="00642E7E" w:rsidRPr="000D5DBF">
        <w:rPr>
          <w:rFonts w:ascii="Times New Roman" w:hAnsi="Times New Roman" w:cs="Times New Roman"/>
          <w:noProof/>
          <w:sz w:val="24"/>
          <w:szCs w:val="24"/>
        </w:rPr>
        <w:t>atbilstoši KNR priekšlikuma 30. panta 5. </w:t>
      </w:r>
      <w:r w:rsidRPr="000D5DBF">
        <w:rPr>
          <w:rFonts w:ascii="Times New Roman" w:hAnsi="Times New Roman" w:cs="Times New Roman"/>
          <w:noProof/>
          <w:sz w:val="24"/>
          <w:szCs w:val="24"/>
        </w:rPr>
        <w:t>punktā noteiktajam.</w:t>
      </w:r>
    </w:p>
    <w:p w14:paraId="7C1C843D" w14:textId="77777777" w:rsidR="00FB35B9" w:rsidRPr="000D5DBF" w:rsidRDefault="00FB35B9" w:rsidP="00BA1297">
      <w:pPr>
        <w:pStyle w:val="ListParagraph"/>
        <w:numPr>
          <w:ilvl w:val="0"/>
          <w:numId w:val="2"/>
        </w:numPr>
        <w:spacing w:after="0" w:line="240" w:lineRule="auto"/>
        <w:ind w:left="567" w:hanging="567"/>
        <w:rPr>
          <w:rFonts w:ascii="Times New Roman" w:hAnsi="Times New Roman" w:cs="Times New Roman"/>
          <w:noProof/>
          <w:sz w:val="24"/>
          <w:szCs w:val="24"/>
        </w:rPr>
      </w:pPr>
      <w:r w:rsidRPr="000D5DBF">
        <w:rPr>
          <w:rFonts w:ascii="Times New Roman" w:hAnsi="Times New Roman" w:cs="Times New Roman"/>
          <w:noProof/>
          <w:sz w:val="24"/>
          <w:szCs w:val="24"/>
        </w:rPr>
        <w:t>Visiem darbību veidiem piemēro šādus kopējos kritērijus:</w:t>
      </w:r>
    </w:p>
    <w:p w14:paraId="6D0A130A" w14:textId="77777777" w:rsidR="00FB35B9" w:rsidRPr="000D5DBF" w:rsidRDefault="00FB35B9" w:rsidP="00BA1297">
      <w:pPr>
        <w:pStyle w:val="ListParagraph"/>
        <w:numPr>
          <w:ilvl w:val="1"/>
          <w:numId w:val="1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darbība atbilst </w:t>
      </w:r>
      <w:r w:rsidR="00642E7E" w:rsidRPr="000D5DBF">
        <w:rPr>
          <w:rFonts w:ascii="Times New Roman" w:hAnsi="Times New Roman" w:cs="Times New Roman"/>
          <w:noProof/>
          <w:sz w:val="24"/>
          <w:szCs w:val="24"/>
        </w:rPr>
        <w:t>KNR priekšlikuma 30. un 57. </w:t>
      </w:r>
      <w:r w:rsidRPr="000D5DBF">
        <w:rPr>
          <w:rFonts w:ascii="Times New Roman" w:hAnsi="Times New Roman" w:cs="Times New Roman"/>
          <w:noProof/>
          <w:sz w:val="24"/>
          <w:szCs w:val="24"/>
        </w:rPr>
        <w:t xml:space="preserve">pantā, ESF+ </w:t>
      </w:r>
      <w:r w:rsidR="00642E7E" w:rsidRPr="000D5DBF">
        <w:rPr>
          <w:rFonts w:ascii="Times New Roman" w:hAnsi="Times New Roman" w:cs="Times New Roman"/>
          <w:noProof/>
          <w:sz w:val="24"/>
          <w:szCs w:val="24"/>
        </w:rPr>
        <w:t>regulas priekšlikuma 14. un 20. </w:t>
      </w:r>
      <w:r w:rsidRPr="000D5DBF">
        <w:rPr>
          <w:rFonts w:ascii="Times New Roman" w:hAnsi="Times New Roman" w:cs="Times New Roman"/>
          <w:noProof/>
          <w:sz w:val="24"/>
          <w:szCs w:val="24"/>
        </w:rPr>
        <w:t>pantā norādītajiem attiecināmības noteikumiem;</w:t>
      </w:r>
    </w:p>
    <w:p w14:paraId="368962A4" w14:textId="78818474" w:rsidR="00FB35B9" w:rsidRPr="000D5DBF" w:rsidRDefault="00FB35B9" w:rsidP="00BA1297">
      <w:pPr>
        <w:pStyle w:val="ListParagraph"/>
        <w:numPr>
          <w:ilvl w:val="1"/>
          <w:numId w:val="1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darbība atbilst </w:t>
      </w:r>
      <w:r w:rsidR="0041792F">
        <w:rPr>
          <w:rFonts w:ascii="Times New Roman" w:hAnsi="Times New Roman" w:cs="Times New Roman"/>
          <w:bCs/>
          <w:sz w:val="24"/>
          <w:szCs w:val="24"/>
        </w:rPr>
        <w:t>P</w:t>
      </w:r>
      <w:r w:rsidR="0041792F" w:rsidRPr="000D5DBF">
        <w:rPr>
          <w:rFonts w:ascii="Times New Roman" w:hAnsi="Times New Roman" w:cs="Times New Roman"/>
          <w:bCs/>
          <w:sz w:val="24"/>
          <w:szCs w:val="24"/>
        </w:rPr>
        <w:t>rogramma</w:t>
      </w:r>
      <w:r w:rsidR="0041792F">
        <w:rPr>
          <w:rFonts w:ascii="Times New Roman" w:hAnsi="Times New Roman" w:cs="Times New Roman"/>
          <w:bCs/>
          <w:sz w:val="24"/>
          <w:szCs w:val="24"/>
        </w:rPr>
        <w:t xml:space="preserve">s </w:t>
      </w:r>
      <w:r w:rsidRPr="000D5DBF">
        <w:rPr>
          <w:rFonts w:ascii="Times New Roman" w:hAnsi="Times New Roman" w:cs="Times New Roman"/>
          <w:noProof/>
          <w:sz w:val="24"/>
          <w:szCs w:val="24"/>
        </w:rPr>
        <w:t>atbalsta jomai;</w:t>
      </w:r>
    </w:p>
    <w:p w14:paraId="4F99F8BB" w14:textId="77777777" w:rsidR="00FB35B9" w:rsidRPr="000D5DBF" w:rsidRDefault="00FB35B9" w:rsidP="00BA1297">
      <w:pPr>
        <w:pStyle w:val="ListParagraph"/>
        <w:numPr>
          <w:ilvl w:val="1"/>
          <w:numId w:val="1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darbību atlas</w:t>
      </w:r>
      <w:r w:rsidR="00642E7E" w:rsidRPr="000D5DBF">
        <w:rPr>
          <w:rFonts w:ascii="Times New Roman" w:hAnsi="Times New Roman" w:cs="Times New Roman"/>
          <w:noProof/>
          <w:sz w:val="24"/>
          <w:szCs w:val="24"/>
        </w:rPr>
        <w:t>ē ievēroti KNR priekšlikuma 67.panta 1.-4. </w:t>
      </w:r>
      <w:r w:rsidRPr="000D5DBF">
        <w:rPr>
          <w:rFonts w:ascii="Times New Roman" w:hAnsi="Times New Roman" w:cs="Times New Roman"/>
          <w:noProof/>
          <w:sz w:val="24"/>
          <w:szCs w:val="24"/>
        </w:rPr>
        <w:t>punktā u</w:t>
      </w:r>
      <w:r w:rsidR="00642E7E" w:rsidRPr="000D5DBF">
        <w:rPr>
          <w:rFonts w:ascii="Times New Roman" w:hAnsi="Times New Roman" w:cs="Times New Roman"/>
          <w:noProof/>
          <w:sz w:val="24"/>
          <w:szCs w:val="24"/>
        </w:rPr>
        <w:t>n ESF+ regulas priekšlikuma 17. </w:t>
      </w:r>
      <w:r w:rsidRPr="000D5DBF">
        <w:rPr>
          <w:rFonts w:ascii="Times New Roman" w:hAnsi="Times New Roman" w:cs="Times New Roman"/>
          <w:noProof/>
          <w:sz w:val="24"/>
          <w:szCs w:val="24"/>
        </w:rPr>
        <w:t>pantā noteiktie principi;</w:t>
      </w:r>
    </w:p>
    <w:p w14:paraId="60E7FEE4" w14:textId="77777777" w:rsidR="00FB35B9" w:rsidRPr="000D5DBF" w:rsidRDefault="00FB35B9" w:rsidP="00BA1297">
      <w:pPr>
        <w:pStyle w:val="ListParagraph"/>
        <w:numPr>
          <w:ilvl w:val="1"/>
          <w:numId w:val="1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darbību īstenošanā piemēro</w:t>
      </w:r>
      <w:r w:rsidR="00642E7E" w:rsidRPr="000D5DBF">
        <w:rPr>
          <w:rFonts w:ascii="Times New Roman" w:hAnsi="Times New Roman" w:cs="Times New Roman"/>
          <w:noProof/>
          <w:sz w:val="24"/>
          <w:szCs w:val="24"/>
        </w:rPr>
        <w:t>ti ESF+ regulas priekšlikuma 6. panta 1. </w:t>
      </w:r>
      <w:r w:rsidRPr="000D5DBF">
        <w:rPr>
          <w:rFonts w:ascii="Times New Roman" w:hAnsi="Times New Roman" w:cs="Times New Roman"/>
          <w:noProof/>
          <w:sz w:val="24"/>
          <w:szCs w:val="24"/>
        </w:rPr>
        <w:t>punktā noteiktie principi.</w:t>
      </w:r>
    </w:p>
    <w:p w14:paraId="3F2A4C51" w14:textId="77777777" w:rsidR="00FB35B9" w:rsidRPr="000D5DBF" w:rsidRDefault="00FB35B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Pirmā veida darbību atlasē piemēro šādu specifisko kritēriju: darbība nodrošina pārtikas vai pamata materiālās palīdzības piegādi uz izdales vietām visā Latvijas teritorijā.</w:t>
      </w:r>
    </w:p>
    <w:p w14:paraId="54BE90F2" w14:textId="77777777" w:rsidR="00FB35B9" w:rsidRPr="000D5DBF" w:rsidRDefault="00FB35B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Specifiskie kritēriji, ko piemēro otrā veida darbību atlasei:</w:t>
      </w:r>
    </w:p>
    <w:p w14:paraId="2DCB85BB" w14:textId="69376EB1" w:rsidR="00642E7E" w:rsidRPr="000D5DBF" w:rsidRDefault="00FB35B9" w:rsidP="00BA1297">
      <w:pPr>
        <w:pStyle w:val="ListParagraph"/>
        <w:numPr>
          <w:ilvl w:val="0"/>
          <w:numId w:val="19"/>
        </w:numPr>
        <w:spacing w:after="0" w:line="240" w:lineRule="auto"/>
        <w:ind w:left="993" w:hanging="426"/>
        <w:rPr>
          <w:rFonts w:ascii="Times New Roman" w:hAnsi="Times New Roman" w:cs="Times New Roman"/>
          <w:noProof/>
          <w:sz w:val="24"/>
          <w:szCs w:val="24"/>
        </w:rPr>
      </w:pPr>
      <w:r w:rsidRPr="000D5DBF">
        <w:rPr>
          <w:rFonts w:ascii="Times New Roman" w:hAnsi="Times New Roman" w:cs="Times New Roman"/>
          <w:noProof/>
          <w:sz w:val="24"/>
          <w:szCs w:val="24"/>
        </w:rPr>
        <w:t xml:space="preserve">darbības īsteno </w:t>
      </w:r>
      <w:r w:rsidR="00C87F56" w:rsidRPr="000D5DBF">
        <w:rPr>
          <w:rFonts w:ascii="Times New Roman" w:hAnsi="Times New Roman" w:cs="Times New Roman"/>
          <w:noProof/>
          <w:sz w:val="24"/>
          <w:szCs w:val="24"/>
        </w:rPr>
        <w:t xml:space="preserve">atklātā </w:t>
      </w:r>
      <w:r w:rsidRPr="000D5DBF">
        <w:rPr>
          <w:rFonts w:ascii="Times New Roman" w:hAnsi="Times New Roman" w:cs="Times New Roman"/>
          <w:noProof/>
          <w:sz w:val="24"/>
          <w:szCs w:val="24"/>
        </w:rPr>
        <w:t>konkursa kārtībā atlasītās PO;</w:t>
      </w:r>
    </w:p>
    <w:p w14:paraId="73D62D66" w14:textId="77777777" w:rsidR="00FB35B9" w:rsidRPr="000D5DBF" w:rsidRDefault="00FB35B9" w:rsidP="00BA1297">
      <w:pPr>
        <w:pStyle w:val="ListParagraph"/>
        <w:numPr>
          <w:ilvl w:val="0"/>
          <w:numId w:val="19"/>
        </w:numPr>
        <w:spacing w:after="0" w:line="240" w:lineRule="auto"/>
        <w:ind w:left="993" w:hanging="426"/>
        <w:rPr>
          <w:rFonts w:ascii="Times New Roman" w:hAnsi="Times New Roman" w:cs="Times New Roman"/>
          <w:noProof/>
          <w:sz w:val="24"/>
          <w:szCs w:val="24"/>
        </w:rPr>
      </w:pPr>
      <w:r w:rsidRPr="000D5DBF">
        <w:rPr>
          <w:rFonts w:ascii="Times New Roman" w:hAnsi="Times New Roman" w:cs="Times New Roman"/>
          <w:noProof/>
          <w:sz w:val="24"/>
          <w:szCs w:val="24"/>
        </w:rPr>
        <w:t>PO ir pietiekama kapacitāte otrā veida darbības nodrošināšanai.</w:t>
      </w:r>
    </w:p>
    <w:p w14:paraId="7A98936B" w14:textId="5111FEF0" w:rsidR="00FB35B9" w:rsidRPr="000D5DBF" w:rsidRDefault="00FB35B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Specifiskais kritērijs, ko piemēro </w:t>
      </w:r>
      <w:r w:rsidR="00A74EB7" w:rsidRPr="000D5DBF">
        <w:rPr>
          <w:rFonts w:ascii="Times New Roman" w:hAnsi="Times New Roman" w:cs="Times New Roman"/>
          <w:noProof/>
          <w:sz w:val="24"/>
          <w:szCs w:val="24"/>
        </w:rPr>
        <w:t>trešās darbības</w:t>
      </w:r>
      <w:r w:rsidRPr="000D5DBF">
        <w:rPr>
          <w:rFonts w:ascii="Times New Roman" w:hAnsi="Times New Roman" w:cs="Times New Roman"/>
          <w:noProof/>
          <w:sz w:val="24"/>
          <w:szCs w:val="24"/>
        </w:rPr>
        <w:t xml:space="preserve"> atlasei – darbība atbilst KNR regulas priekšlikuma 30. panta 1. punktā noteiktajam un </w:t>
      </w:r>
      <w:r w:rsidR="0041792F">
        <w:rPr>
          <w:rFonts w:ascii="Times New Roman" w:hAnsi="Times New Roman" w:cs="Times New Roman"/>
          <w:bCs/>
          <w:sz w:val="24"/>
          <w:szCs w:val="24"/>
        </w:rPr>
        <w:t>P</w:t>
      </w:r>
      <w:r w:rsidR="0041792F" w:rsidRPr="000D5DBF">
        <w:rPr>
          <w:rFonts w:ascii="Times New Roman" w:hAnsi="Times New Roman" w:cs="Times New Roman"/>
          <w:bCs/>
          <w:sz w:val="24"/>
          <w:szCs w:val="24"/>
        </w:rPr>
        <w:t>rogramma</w:t>
      </w:r>
      <w:r w:rsidR="0041792F">
        <w:rPr>
          <w:rFonts w:ascii="Times New Roman" w:hAnsi="Times New Roman" w:cs="Times New Roman"/>
          <w:bCs/>
          <w:sz w:val="24"/>
          <w:szCs w:val="24"/>
        </w:rPr>
        <w:t xml:space="preserve">s </w:t>
      </w:r>
      <w:r w:rsidRPr="000D5DBF">
        <w:rPr>
          <w:rFonts w:ascii="Times New Roman" w:hAnsi="Times New Roman" w:cs="Times New Roman"/>
          <w:noProof/>
          <w:sz w:val="24"/>
          <w:szCs w:val="24"/>
        </w:rPr>
        <w:t>vadībā un kontrolē iesaistīto iestāžu atbildībai.</w:t>
      </w:r>
    </w:p>
    <w:p w14:paraId="4A5C6954" w14:textId="49F28CD2" w:rsidR="00FB35B9" w:rsidRPr="000D5DBF" w:rsidRDefault="00FB35B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Sadarbības iestāde (SIF) nodrošina </w:t>
      </w:r>
      <w:r w:rsidR="003F4D40" w:rsidRPr="000D5DBF">
        <w:rPr>
          <w:rFonts w:ascii="Times New Roman" w:hAnsi="Times New Roman" w:cs="Times New Roman"/>
          <w:noProof/>
          <w:sz w:val="24"/>
          <w:szCs w:val="24"/>
        </w:rPr>
        <w:t>pirmās un otrās darbības</w:t>
      </w:r>
      <w:r w:rsidRPr="000D5DBF">
        <w:rPr>
          <w:rFonts w:ascii="Times New Roman" w:hAnsi="Times New Roman" w:cs="Times New Roman"/>
          <w:noProof/>
          <w:sz w:val="24"/>
          <w:szCs w:val="24"/>
        </w:rPr>
        <w:t xml:space="preserve"> atlasi:</w:t>
      </w:r>
    </w:p>
    <w:p w14:paraId="5641A64A" w14:textId="722F32CD" w:rsidR="00FB35B9" w:rsidRPr="000D5DBF" w:rsidRDefault="00FB35B9" w:rsidP="00BA1297">
      <w:pPr>
        <w:pStyle w:val="ListParagraph"/>
        <w:numPr>
          <w:ilvl w:val="1"/>
          <w:numId w:val="15"/>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slēdzot vienošanos ar </w:t>
      </w:r>
      <w:r w:rsidR="0041792F">
        <w:rPr>
          <w:rFonts w:ascii="Times New Roman" w:hAnsi="Times New Roman" w:cs="Times New Roman"/>
          <w:bCs/>
          <w:sz w:val="24"/>
          <w:szCs w:val="24"/>
        </w:rPr>
        <w:t>P</w:t>
      </w:r>
      <w:r w:rsidR="0041792F" w:rsidRPr="000D5DBF">
        <w:rPr>
          <w:rFonts w:ascii="Times New Roman" w:hAnsi="Times New Roman" w:cs="Times New Roman"/>
          <w:bCs/>
          <w:sz w:val="24"/>
          <w:szCs w:val="24"/>
        </w:rPr>
        <w:t>rogramma</w:t>
      </w:r>
      <w:r w:rsidR="0041792F">
        <w:rPr>
          <w:rFonts w:ascii="Times New Roman" w:hAnsi="Times New Roman" w:cs="Times New Roman"/>
          <w:bCs/>
          <w:sz w:val="24"/>
          <w:szCs w:val="24"/>
        </w:rPr>
        <w:t>s</w:t>
      </w:r>
      <w:r w:rsidRPr="000D5DBF">
        <w:rPr>
          <w:rFonts w:ascii="Times New Roman" w:hAnsi="Times New Roman" w:cs="Times New Roman"/>
          <w:noProof/>
          <w:sz w:val="24"/>
          <w:szCs w:val="24"/>
        </w:rPr>
        <w:t xml:space="preserve"> atbalstītās darbības “Pārtikas un pamata materiālās palīdzības iegāde” publiskā iepirkuma nodrošinātāju – SIF, paredzot, tostarp, publiskā iepirkuma dokumentācijas izstrādes, iepirkuma norises un iepirkuma līguma noslēgšanas vai grozīšanas nosacījumu dokumentēšanas, kā arī līgumsaistību izpildes uzraudzības nodrošināšanu. SIF nodrošina, ka funkcijas, ko tas pilda kā sadarbības iestāde, ir nodalītas no funkcijām, ko tas pilda kā iepirkuma nodrošinātājs (funkcijas nodrošinās divas atsevišķas SIF struktūrvienības). </w:t>
      </w:r>
    </w:p>
    <w:p w14:paraId="2F953881" w14:textId="77777777" w:rsidR="00FB35B9" w:rsidRPr="000D5DBF" w:rsidRDefault="00FB35B9" w:rsidP="00BA1297">
      <w:pPr>
        <w:pStyle w:val="ListParagraph"/>
        <w:numPr>
          <w:ilvl w:val="1"/>
          <w:numId w:val="15"/>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veicot PO atlasi, izsludina atklātu iesniegumu konkursu.</w:t>
      </w:r>
    </w:p>
    <w:p w14:paraId="0AA57B9E" w14:textId="77777777" w:rsidR="00FB35B9" w:rsidRPr="000D5DBF" w:rsidRDefault="00FB35B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PO</w:t>
      </w:r>
      <w:r w:rsidR="00E469B6" w:rsidRPr="000D5DBF">
        <w:rPr>
          <w:rFonts w:ascii="Times New Roman" w:hAnsi="Times New Roman" w:cs="Times New Roman"/>
          <w:noProof/>
          <w:sz w:val="24"/>
          <w:szCs w:val="24"/>
        </w:rPr>
        <w:t xml:space="preserve"> a</w:t>
      </w:r>
      <w:r w:rsidRPr="000D5DBF">
        <w:rPr>
          <w:rFonts w:ascii="Times New Roman" w:hAnsi="Times New Roman" w:cs="Times New Roman"/>
          <w:noProof/>
          <w:sz w:val="24"/>
          <w:szCs w:val="24"/>
        </w:rPr>
        <w:t>tlasē ņem vērā šajā sadaļā norādītos atbilstības un kvalitātes vērtēšanas kritērijus.</w:t>
      </w:r>
    </w:p>
    <w:p w14:paraId="09840C35" w14:textId="77777777" w:rsidR="00FB35B9" w:rsidRPr="000D5DBF" w:rsidRDefault="00FB35B9" w:rsidP="00BA1297">
      <w:pPr>
        <w:spacing w:before="0" w:after="0"/>
        <w:ind w:firstLine="567"/>
        <w:rPr>
          <w:noProof/>
          <w:szCs w:val="24"/>
        </w:rPr>
      </w:pPr>
      <w:r w:rsidRPr="000D5DBF">
        <w:rPr>
          <w:noProof/>
          <w:szCs w:val="24"/>
        </w:rPr>
        <w:t>Atbilstības kritēriji:</w:t>
      </w:r>
    </w:p>
    <w:p w14:paraId="29D4FC63" w14:textId="77777777" w:rsidR="00FB35B9" w:rsidRPr="000D5DBF" w:rsidRDefault="00FB35B9" w:rsidP="00BA1297">
      <w:pPr>
        <w:pStyle w:val="ListParagraph"/>
        <w:numPr>
          <w:ilvl w:val="0"/>
          <w:numId w:val="20"/>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PO ir viens no šādiem statusiem:</w:t>
      </w:r>
    </w:p>
    <w:p w14:paraId="6AE31F1B" w14:textId="77777777" w:rsidR="00E469B6" w:rsidRPr="000D5DBF" w:rsidRDefault="00E469B6" w:rsidP="00BA1297">
      <w:pPr>
        <w:pStyle w:val="ListParagraph"/>
        <w:numPr>
          <w:ilvl w:val="0"/>
          <w:numId w:val="21"/>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organizācija ir reģistrēta atbilstoši biedrību un nodibinājumu vai reliģisko organizāciju statusu reglamentējošo normatīvo aktu prasībām, un tās darbības veids iepriekšējos 12 mēnešus no iesnieguma iesniegšanas brīža ir bijis labdarība vai sociāli mazaizsargāto personu grupu sociālās labklājības celšana;</w:t>
      </w:r>
    </w:p>
    <w:p w14:paraId="262D310B" w14:textId="77777777" w:rsidR="00E469B6" w:rsidRPr="000D5DBF" w:rsidRDefault="00E469B6" w:rsidP="00BA1297">
      <w:pPr>
        <w:pStyle w:val="ListParagraph"/>
        <w:numPr>
          <w:ilvl w:val="0"/>
          <w:numId w:val="21"/>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pašvaldība vai tās iestāde;</w:t>
      </w:r>
    </w:p>
    <w:p w14:paraId="2EBF2B91" w14:textId="77777777" w:rsidR="00E469B6" w:rsidRPr="000D5DBF" w:rsidRDefault="00E469B6" w:rsidP="00BA1297">
      <w:pPr>
        <w:pStyle w:val="ListParagraph"/>
        <w:numPr>
          <w:ilvl w:val="0"/>
          <w:numId w:val="20"/>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PO ir administratīva, finansiāla un darbības spēja, lai nodrošinātu:</w:t>
      </w:r>
    </w:p>
    <w:p w14:paraId="76F738D5" w14:textId="12ABB509" w:rsidR="00FB35B9" w:rsidRPr="000D5DBF" w:rsidRDefault="00FB35B9" w:rsidP="00BA1297">
      <w:pPr>
        <w:pStyle w:val="ListParagraph"/>
        <w:numPr>
          <w:ilvl w:val="0"/>
          <w:numId w:val="22"/>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pārtikas un pamata materiālās </w:t>
      </w:r>
      <w:r w:rsidR="00C917A3" w:rsidRPr="000D5DBF">
        <w:rPr>
          <w:rFonts w:ascii="Times New Roman" w:hAnsi="Times New Roman" w:cs="Times New Roman"/>
          <w:noProof/>
          <w:sz w:val="24"/>
          <w:szCs w:val="24"/>
        </w:rPr>
        <w:t xml:space="preserve">palīdzības </w:t>
      </w:r>
      <w:r w:rsidRPr="000D5DBF">
        <w:rPr>
          <w:rFonts w:ascii="Times New Roman" w:hAnsi="Times New Roman" w:cs="Times New Roman"/>
          <w:noProof/>
          <w:sz w:val="24"/>
          <w:szCs w:val="24"/>
        </w:rPr>
        <w:t>p</w:t>
      </w:r>
      <w:r w:rsidR="00C917A3" w:rsidRPr="000D5DBF">
        <w:rPr>
          <w:rFonts w:ascii="Times New Roman" w:hAnsi="Times New Roman" w:cs="Times New Roman"/>
          <w:noProof/>
          <w:sz w:val="24"/>
          <w:szCs w:val="24"/>
        </w:rPr>
        <w:t>reču</w:t>
      </w:r>
      <w:r w:rsidRPr="000D5DBF">
        <w:rPr>
          <w:rFonts w:ascii="Times New Roman" w:hAnsi="Times New Roman" w:cs="Times New Roman"/>
          <w:noProof/>
          <w:sz w:val="24"/>
          <w:szCs w:val="24"/>
        </w:rPr>
        <w:t xml:space="preserve"> drošu uzglabāšanu un izdalīšanu personām, kas ir tiesīgas attiecīgo atbalstu saņemt;</w:t>
      </w:r>
    </w:p>
    <w:p w14:paraId="054C3772" w14:textId="77777777" w:rsidR="00FB35B9" w:rsidRPr="000D5DBF" w:rsidRDefault="00FB35B9" w:rsidP="00BA1297">
      <w:pPr>
        <w:pStyle w:val="ListParagraph"/>
        <w:numPr>
          <w:ilvl w:val="0"/>
          <w:numId w:val="22"/>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papildpasākumus;</w:t>
      </w:r>
    </w:p>
    <w:p w14:paraId="57F7D1D3" w14:textId="77777777" w:rsidR="00FB35B9" w:rsidRPr="000D5DBF" w:rsidRDefault="00FB35B9" w:rsidP="00BA1297">
      <w:pPr>
        <w:pStyle w:val="ListParagraph"/>
        <w:numPr>
          <w:ilvl w:val="0"/>
          <w:numId w:val="22"/>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ar darbību īstenošanu saistīto informācijas un publicitātes, uzraudzības un novērtēšanas prasību ievērošanu.</w:t>
      </w:r>
    </w:p>
    <w:p w14:paraId="59397B72" w14:textId="77777777" w:rsidR="00FB35B9" w:rsidRPr="000D5DBF" w:rsidRDefault="00FB35B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lastRenderedPageBreak/>
        <w:t>PO kvalitātes vērtēšanas kritēriji:</w:t>
      </w:r>
    </w:p>
    <w:p w14:paraId="0D419E8E" w14:textId="77777777" w:rsidR="00FB35B9" w:rsidRPr="000D5DBF" w:rsidRDefault="00FB35B9" w:rsidP="00BA1297">
      <w:pPr>
        <w:pStyle w:val="ListParagraph"/>
        <w:numPr>
          <w:ilvl w:val="0"/>
          <w:numId w:val="18"/>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pieredzes ilgums labdarībā un sociālās labklājības celšanā sociāli mazaizsargāto personu grupām;</w:t>
      </w:r>
    </w:p>
    <w:p w14:paraId="296C74C5" w14:textId="77777777" w:rsidR="00FB35B9" w:rsidRPr="000D5DBF" w:rsidRDefault="00FB35B9" w:rsidP="00BA1297">
      <w:pPr>
        <w:pStyle w:val="ListParagraph"/>
        <w:numPr>
          <w:ilvl w:val="0"/>
          <w:numId w:val="18"/>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pieredzes ilgums publiskā finansējuma (ES, valsts vai pašvaldību) apsaimniekošanā;</w:t>
      </w:r>
    </w:p>
    <w:p w14:paraId="40C87279" w14:textId="77777777" w:rsidR="00FB35B9" w:rsidRPr="000D5DBF" w:rsidRDefault="00FB35B9" w:rsidP="00BA1297">
      <w:pPr>
        <w:pStyle w:val="ListParagraph"/>
        <w:numPr>
          <w:ilvl w:val="0"/>
          <w:numId w:val="18"/>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tieša vai netieša pieredze iesniegumā plānoto papildpasākumu īstenošanā; </w:t>
      </w:r>
    </w:p>
    <w:p w14:paraId="64DC5BAE" w14:textId="77777777" w:rsidR="00FB35B9" w:rsidRPr="000D5DBF" w:rsidRDefault="00FB35B9" w:rsidP="00BA1297">
      <w:pPr>
        <w:pStyle w:val="ListParagraph"/>
        <w:numPr>
          <w:ilvl w:val="0"/>
          <w:numId w:val="18"/>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teritoriālais pārklājums. </w:t>
      </w:r>
    </w:p>
    <w:p w14:paraId="74B6063D" w14:textId="6737EAD5" w:rsidR="00FB35B9" w:rsidRPr="000D5DBF" w:rsidRDefault="00FB35B9"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Lai nodrošinātu atbalsta sniegšanas nepārtrauktību pārejas periodā no 2014. – 2020. gada plānošanas perioda uz 2021. – 2027. gada plānošanas periodu, </w:t>
      </w:r>
      <w:r w:rsidR="0041792F">
        <w:rPr>
          <w:rFonts w:ascii="Times New Roman" w:hAnsi="Times New Roman" w:cs="Times New Roman"/>
          <w:bCs/>
          <w:sz w:val="24"/>
          <w:szCs w:val="24"/>
        </w:rPr>
        <w:t>P</w:t>
      </w:r>
      <w:r w:rsidR="0041792F" w:rsidRPr="000D5DBF">
        <w:rPr>
          <w:rFonts w:ascii="Times New Roman" w:hAnsi="Times New Roman" w:cs="Times New Roman"/>
          <w:bCs/>
          <w:sz w:val="24"/>
          <w:szCs w:val="24"/>
        </w:rPr>
        <w:t>rogramma</w:t>
      </w:r>
      <w:r w:rsidR="0041792F">
        <w:rPr>
          <w:rFonts w:ascii="Times New Roman" w:hAnsi="Times New Roman" w:cs="Times New Roman"/>
          <w:bCs/>
          <w:sz w:val="24"/>
          <w:szCs w:val="24"/>
        </w:rPr>
        <w:t>s</w:t>
      </w:r>
      <w:r w:rsidRPr="000D5DBF">
        <w:rPr>
          <w:rFonts w:ascii="Times New Roman" w:hAnsi="Times New Roman" w:cs="Times New Roman"/>
          <w:noProof/>
          <w:sz w:val="24"/>
          <w:szCs w:val="24"/>
        </w:rPr>
        <w:t xml:space="preserve"> īstenošanas sākumā pārtikas un/vai pamata materiālās palīdzības izdali mērķa grupai un papildpasākumus turpina nodrošināt PO, ar kurām noslēgti līgumi/vienošanās EAFVP darbības programmas ietvaros pēdējās veiktās atlases rezultātā. Pirms šo līgumu/vienošanos beigu termiņu datuma iestāšanās tiks veikta PO atlase turpmākai pārtikas un/vai pamata materiālās palīdzības izdalei vistrūcīgākajām personām.</w:t>
      </w:r>
    </w:p>
    <w:p w14:paraId="65ECAB2B" w14:textId="77777777" w:rsidR="0032541C" w:rsidRPr="000D5DBF" w:rsidRDefault="0032541C" w:rsidP="00BA1297">
      <w:pPr>
        <w:spacing w:before="0" w:after="0"/>
        <w:rPr>
          <w:noProof/>
          <w:szCs w:val="24"/>
        </w:rPr>
      </w:pPr>
    </w:p>
    <w:p w14:paraId="436F8E47" w14:textId="77777777" w:rsidR="0032541C" w:rsidRPr="000D5DBF" w:rsidRDefault="00DF1ABB" w:rsidP="00BA1297">
      <w:pPr>
        <w:pStyle w:val="Heading1"/>
        <w:numPr>
          <w:ilvl w:val="0"/>
          <w:numId w:val="30"/>
        </w:numPr>
        <w:spacing w:before="0"/>
        <w:rPr>
          <w:rFonts w:ascii="Times New Roman" w:hAnsi="Times New Roman" w:cs="Times New Roman"/>
          <w:b/>
          <w:noProof/>
          <w:color w:val="auto"/>
          <w:sz w:val="28"/>
          <w:szCs w:val="28"/>
        </w:rPr>
      </w:pPr>
      <w:bookmarkStart w:id="17" w:name="_Toc62557116"/>
      <w:r w:rsidRPr="000D5DBF">
        <w:rPr>
          <w:rFonts w:ascii="Times New Roman" w:hAnsi="Times New Roman" w:cs="Times New Roman"/>
          <w:b/>
          <w:noProof/>
          <w:color w:val="auto"/>
          <w:sz w:val="28"/>
          <w:szCs w:val="28"/>
        </w:rPr>
        <w:t>Tehniskā</w:t>
      </w:r>
      <w:r w:rsidR="0032541C" w:rsidRPr="000D5DBF">
        <w:rPr>
          <w:rFonts w:ascii="Times New Roman" w:hAnsi="Times New Roman" w:cs="Times New Roman"/>
          <w:b/>
          <w:noProof/>
          <w:color w:val="auto"/>
          <w:sz w:val="28"/>
          <w:szCs w:val="28"/>
        </w:rPr>
        <w:t xml:space="preserve"> palīdzība</w:t>
      </w:r>
      <w:bookmarkEnd w:id="17"/>
    </w:p>
    <w:p w14:paraId="2D6BF943" w14:textId="50B70565" w:rsidR="0032541C" w:rsidRPr="000D5DBF" w:rsidRDefault="0032541C"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Times New Roman" w:hAnsi="Times New Roman" w:cs="Times New Roman"/>
          <w:noProof/>
          <w:sz w:val="24"/>
          <w:szCs w:val="24"/>
        </w:rPr>
        <w:t xml:space="preserve">Latvija plāno 5 % no </w:t>
      </w:r>
      <w:r w:rsidR="003C67C2">
        <w:rPr>
          <w:rFonts w:ascii="Times New Roman" w:hAnsi="Times New Roman" w:cs="Times New Roman"/>
          <w:bCs/>
          <w:sz w:val="24"/>
          <w:szCs w:val="24"/>
        </w:rPr>
        <w:t>Programmā</w:t>
      </w:r>
      <w:r w:rsidRPr="000D5DBF">
        <w:rPr>
          <w:rFonts w:ascii="Times New Roman" w:hAnsi="Times New Roman" w:cs="Times New Roman"/>
          <w:noProof/>
          <w:sz w:val="24"/>
          <w:szCs w:val="24"/>
        </w:rPr>
        <w:t xml:space="preserve"> </w:t>
      </w:r>
      <w:r w:rsidRPr="000D5DBF">
        <w:rPr>
          <w:rFonts w:ascii="Times New Roman" w:eastAsia="Times New Roman" w:hAnsi="Times New Roman" w:cs="Times New Roman"/>
          <w:noProof/>
          <w:sz w:val="24"/>
          <w:szCs w:val="24"/>
        </w:rPr>
        <w:t xml:space="preserve">kopā plānotajiem publiskā sektora izdevumiem izmantot kā tehniskās palīdzības finansējumu KNR regulas priekšlikuma 30. panta 5. punkta izpratnē: kā vienotas likmes finansējumu, ko piemēro starpposma maksājuma pieteikumos EK iekļautajai attiecināmo izdevumu summai. Tehniskās palīdzības finansējums tiks izmantots </w:t>
      </w:r>
      <w:r w:rsidR="00E04E26" w:rsidRPr="00EE4C12">
        <w:rPr>
          <w:rFonts w:ascii="Times New Roman" w:eastAsia="Times New Roman" w:hAnsi="Times New Roman" w:cs="Times New Roman"/>
          <w:noProof/>
          <w:sz w:val="24"/>
          <w:szCs w:val="24"/>
        </w:rPr>
        <w:t>Programmas</w:t>
      </w:r>
      <w:r w:rsidR="00E04E26" w:rsidRPr="000D5DBF">
        <w:rPr>
          <w:rFonts w:ascii="Times New Roman" w:eastAsia="Times New Roman" w:hAnsi="Times New Roman" w:cs="Times New Roman"/>
          <w:noProof/>
          <w:sz w:val="24"/>
          <w:szCs w:val="24"/>
        </w:rPr>
        <w:t xml:space="preserve"> </w:t>
      </w:r>
      <w:r w:rsidRPr="000D5DBF">
        <w:rPr>
          <w:rFonts w:ascii="Times New Roman" w:eastAsia="Times New Roman" w:hAnsi="Times New Roman" w:cs="Times New Roman"/>
          <w:noProof/>
          <w:sz w:val="24"/>
          <w:szCs w:val="24"/>
        </w:rPr>
        <w:t>sagatavošanas, uzraudzības, kontroles, revīzijas, izvērtēšanas, komunikācijas, redzamības un administratīvām darbībām.</w:t>
      </w:r>
    </w:p>
    <w:p w14:paraId="224640D4" w14:textId="7E518903" w:rsidR="0032541C" w:rsidRPr="000D5DBF" w:rsidRDefault="003C67C2"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32541C" w:rsidRPr="000D5DBF">
        <w:rPr>
          <w:rFonts w:ascii="Times New Roman" w:eastAsia="Times New Roman" w:hAnsi="Times New Roman" w:cs="Times New Roman"/>
          <w:noProof/>
          <w:sz w:val="24"/>
          <w:szCs w:val="24"/>
        </w:rPr>
        <w:t>pārvaldībā un kontrolē iesaistītās iestādes (vadošā iestāde, sadarbības iestāde, revīzijas iestāde) izmantos tehniskās palīdzības finansējumu, lai nodrošinātu KNR priekšlikumā noteikto funkciju izpildi.</w:t>
      </w:r>
    </w:p>
    <w:p w14:paraId="7C31D569" w14:textId="6FC6590F" w:rsidR="0032541C" w:rsidRPr="000D5DBF" w:rsidRDefault="0032541C"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Times New Roman" w:hAnsi="Times New Roman" w:cs="Times New Roman"/>
          <w:noProof/>
          <w:sz w:val="24"/>
          <w:szCs w:val="24"/>
        </w:rPr>
        <w:t xml:space="preserve">Vadošā iestāde izstrādās </w:t>
      </w:r>
      <w:r w:rsidR="003C67C2">
        <w:rPr>
          <w:rFonts w:ascii="Times New Roman" w:hAnsi="Times New Roman" w:cs="Times New Roman"/>
          <w:bCs/>
          <w:sz w:val="24"/>
          <w:szCs w:val="24"/>
        </w:rPr>
        <w:t>P</w:t>
      </w:r>
      <w:r w:rsidR="003C67C2" w:rsidRPr="000D5DBF">
        <w:rPr>
          <w:rFonts w:ascii="Times New Roman" w:hAnsi="Times New Roman" w:cs="Times New Roman"/>
          <w:bCs/>
          <w:sz w:val="24"/>
          <w:szCs w:val="24"/>
        </w:rPr>
        <w:t>rogramma</w:t>
      </w:r>
      <w:r w:rsidR="003C67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vadības likuma projektu, kurā tiks noteikti pienākumi vai funkcijas, kuras uzdotas s</w:t>
      </w:r>
      <w:r w:rsidR="002704FC" w:rsidRPr="000D5DBF">
        <w:rPr>
          <w:rFonts w:ascii="Times New Roman" w:eastAsia="Times New Roman" w:hAnsi="Times New Roman" w:cs="Times New Roman"/>
          <w:noProof/>
          <w:sz w:val="24"/>
          <w:szCs w:val="24"/>
        </w:rPr>
        <w:t>adarbības un revīzijas iestādei</w:t>
      </w:r>
      <w:r w:rsidRPr="000D5DBF">
        <w:rPr>
          <w:rFonts w:ascii="Times New Roman" w:eastAsia="Times New Roman" w:hAnsi="Times New Roman" w:cs="Times New Roman"/>
          <w:noProof/>
          <w:sz w:val="24"/>
          <w:szCs w:val="24"/>
        </w:rPr>
        <w:t xml:space="preserve">. Vienlaikus tiks noslēgta starpresoru vienošanās starp LM kā </w:t>
      </w:r>
      <w:r w:rsidR="00663FA8">
        <w:rPr>
          <w:rFonts w:ascii="Times New Roman" w:hAnsi="Times New Roman" w:cs="Times New Roman"/>
          <w:bCs/>
          <w:sz w:val="24"/>
          <w:szCs w:val="24"/>
        </w:rPr>
        <w:t>P</w:t>
      </w:r>
      <w:r w:rsidR="00663FA8" w:rsidRPr="000D5DBF">
        <w:rPr>
          <w:rFonts w:ascii="Times New Roman" w:hAnsi="Times New Roman" w:cs="Times New Roman"/>
          <w:bCs/>
          <w:sz w:val="24"/>
          <w:szCs w:val="24"/>
        </w:rPr>
        <w:t>rogramma</w:t>
      </w:r>
      <w:r w:rsidR="00663FA8">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vadošo iestādi un </w:t>
      </w:r>
      <w:r w:rsidR="005206F9" w:rsidRPr="000D5DBF">
        <w:rPr>
          <w:rFonts w:ascii="Times New Roman" w:eastAsia="Times New Roman" w:hAnsi="Times New Roman" w:cs="Times New Roman"/>
          <w:noProof/>
          <w:sz w:val="24"/>
          <w:szCs w:val="24"/>
        </w:rPr>
        <w:t xml:space="preserve">SIF kā </w:t>
      </w:r>
      <w:r w:rsidRPr="000D5DBF">
        <w:rPr>
          <w:rFonts w:ascii="Times New Roman" w:eastAsia="Times New Roman" w:hAnsi="Times New Roman" w:cs="Times New Roman"/>
          <w:noProof/>
          <w:sz w:val="24"/>
          <w:szCs w:val="24"/>
        </w:rPr>
        <w:t xml:space="preserve">sadarbības iestādi, kā arī </w:t>
      </w:r>
      <w:r w:rsidR="005206F9" w:rsidRPr="000D5DBF">
        <w:rPr>
          <w:rFonts w:ascii="Times New Roman" w:eastAsia="Times New Roman" w:hAnsi="Times New Roman" w:cs="Times New Roman"/>
          <w:noProof/>
          <w:sz w:val="24"/>
          <w:szCs w:val="24"/>
        </w:rPr>
        <w:t xml:space="preserve">FM kā </w:t>
      </w:r>
      <w:r w:rsidRPr="000D5DBF">
        <w:rPr>
          <w:rFonts w:ascii="Times New Roman" w:eastAsia="Times New Roman" w:hAnsi="Times New Roman" w:cs="Times New Roman"/>
          <w:noProof/>
          <w:sz w:val="24"/>
          <w:szCs w:val="24"/>
        </w:rPr>
        <w:t>revīzijas iestādi.</w:t>
      </w:r>
    </w:p>
    <w:p w14:paraId="1ED51987" w14:textId="69CC2B4E" w:rsidR="0032541C" w:rsidRPr="000D5DBF" w:rsidRDefault="00663FA8"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32541C" w:rsidRPr="000D5DBF">
        <w:rPr>
          <w:rFonts w:ascii="Times New Roman" w:eastAsia="Times New Roman" w:hAnsi="Times New Roman" w:cs="Times New Roman"/>
          <w:noProof/>
          <w:sz w:val="24"/>
          <w:szCs w:val="24"/>
        </w:rPr>
        <w:t xml:space="preserve">īstenošanai un uzraudzībai pamatā tiks izmantota 2014. – 2021. gada plānošanas periodā izstrādātā Darbības programmas “Pārtikas un pamata materiālās palīdzības sniegšanai vistrūcīgākajām personām 2014.-2020. gada plānošanas periodā” vadības un kontroles sistēma. Tajā tiks </w:t>
      </w:r>
      <w:r w:rsidR="008666DC" w:rsidRPr="000D5DBF">
        <w:rPr>
          <w:rFonts w:ascii="Times New Roman" w:eastAsia="Times New Roman" w:hAnsi="Times New Roman" w:cs="Times New Roman"/>
          <w:noProof/>
          <w:sz w:val="24"/>
          <w:szCs w:val="24"/>
        </w:rPr>
        <w:t>aktualiz</w:t>
      </w:r>
      <w:r w:rsidR="0032541C" w:rsidRPr="000D5DBF">
        <w:rPr>
          <w:rFonts w:ascii="Times New Roman" w:eastAsia="Times New Roman" w:hAnsi="Times New Roman" w:cs="Times New Roman"/>
          <w:noProof/>
          <w:sz w:val="24"/>
          <w:szCs w:val="24"/>
        </w:rPr>
        <w:t>ētas vadošās un sadarbības iestādes funkcijas, kā arī i</w:t>
      </w:r>
      <w:r w:rsidR="008666DC" w:rsidRPr="000D5DBF">
        <w:rPr>
          <w:rFonts w:ascii="Times New Roman" w:eastAsia="Times New Roman" w:hAnsi="Times New Roman" w:cs="Times New Roman"/>
          <w:noProof/>
          <w:sz w:val="24"/>
          <w:szCs w:val="24"/>
        </w:rPr>
        <w:t>ekļauta informācija par jaunās</w:t>
      </w:r>
      <w:r w:rsidR="0032541C" w:rsidRPr="000D5DBF">
        <w:rPr>
          <w:rFonts w:ascii="Times New Roman" w:eastAsia="Times New Roman" w:hAnsi="Times New Roman" w:cs="Times New Roman"/>
          <w:noProof/>
          <w:sz w:val="24"/>
          <w:szCs w:val="24"/>
        </w:rPr>
        <w:t xml:space="preserve"> IS izveidi uzraudzībai, novērtēšanai, finanšu pārvaldībai, pārbaudei un revīzijai nepieciešamo datu reģistrēšanai un glabāšanai. </w:t>
      </w:r>
      <w:r w:rsidR="008666DC" w:rsidRPr="000D5DBF">
        <w:rPr>
          <w:rFonts w:ascii="Times New Roman" w:eastAsia="Times New Roman" w:hAnsi="Times New Roman" w:cs="Times New Roman"/>
          <w:noProof/>
          <w:sz w:val="24"/>
          <w:szCs w:val="24"/>
        </w:rPr>
        <w:t>IS</w:t>
      </w:r>
      <w:r w:rsidR="0032541C" w:rsidRPr="000D5DBF">
        <w:rPr>
          <w:rFonts w:ascii="Times New Roman" w:eastAsia="Times New Roman" w:hAnsi="Times New Roman" w:cs="Times New Roman"/>
          <w:noProof/>
          <w:sz w:val="24"/>
          <w:szCs w:val="24"/>
        </w:rPr>
        <w:t xml:space="preserve"> tiks veidota, izmantojot </w:t>
      </w:r>
      <w:r w:rsidR="0032541C" w:rsidRPr="000D5DBF">
        <w:rPr>
          <w:rFonts w:ascii="Times New Roman" w:eastAsia="Times New Roman" w:hAnsi="Times New Roman" w:cs="Times New Roman"/>
          <w:i/>
          <w:noProof/>
          <w:sz w:val="24"/>
          <w:szCs w:val="24"/>
        </w:rPr>
        <w:t>web</w:t>
      </w:r>
      <w:r w:rsidR="0032541C" w:rsidRPr="000D5DBF">
        <w:rPr>
          <w:rFonts w:ascii="Times New Roman" w:eastAsia="Times New Roman" w:hAnsi="Times New Roman" w:cs="Times New Roman"/>
          <w:noProof/>
          <w:sz w:val="24"/>
          <w:szCs w:val="24"/>
        </w:rPr>
        <w:t xml:space="preserve"> servera tehnoloģijas, un tajā datus varēs ievadīt gan iekšējie, gan ārējie lietotāji, kas atvieglos administratīvo slogu visiem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0032541C" w:rsidRPr="000D5DBF">
        <w:rPr>
          <w:rFonts w:ascii="Times New Roman" w:eastAsia="Times New Roman" w:hAnsi="Times New Roman" w:cs="Times New Roman"/>
          <w:noProof/>
          <w:sz w:val="24"/>
          <w:szCs w:val="24"/>
        </w:rPr>
        <w:t xml:space="preserve"> īstenošanā</w:t>
      </w:r>
      <w:r w:rsidR="008666DC" w:rsidRPr="000D5DBF">
        <w:rPr>
          <w:rFonts w:ascii="Times New Roman" w:eastAsia="Times New Roman" w:hAnsi="Times New Roman" w:cs="Times New Roman"/>
          <w:noProof/>
          <w:sz w:val="24"/>
          <w:szCs w:val="24"/>
        </w:rPr>
        <w:t>, vadībā</w:t>
      </w:r>
      <w:r w:rsidR="0032541C" w:rsidRPr="000D5DBF">
        <w:rPr>
          <w:rFonts w:ascii="Times New Roman" w:eastAsia="Times New Roman" w:hAnsi="Times New Roman" w:cs="Times New Roman"/>
          <w:noProof/>
          <w:sz w:val="24"/>
          <w:szCs w:val="24"/>
        </w:rPr>
        <w:t xml:space="preserve"> un uzraudzībā iesaistītajiem.</w:t>
      </w:r>
    </w:p>
    <w:p w14:paraId="70411799" w14:textId="242D2CC7" w:rsidR="0032541C" w:rsidRPr="000D5DBF" w:rsidRDefault="004F59C2"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32541C" w:rsidRPr="000D5DBF">
        <w:rPr>
          <w:rFonts w:ascii="Times New Roman" w:eastAsia="Times New Roman" w:hAnsi="Times New Roman" w:cs="Times New Roman"/>
          <w:noProof/>
          <w:sz w:val="24"/>
          <w:szCs w:val="24"/>
        </w:rPr>
        <w:t xml:space="preserve">ietvaros </w:t>
      </w:r>
      <w:r w:rsidR="008666DC" w:rsidRPr="000D5DBF">
        <w:rPr>
          <w:rFonts w:ascii="Times New Roman" w:eastAsia="Times New Roman" w:hAnsi="Times New Roman" w:cs="Times New Roman"/>
          <w:noProof/>
          <w:sz w:val="24"/>
          <w:szCs w:val="24"/>
        </w:rPr>
        <w:t xml:space="preserve">finansējuma </w:t>
      </w:r>
      <w:r w:rsidR="0032541C" w:rsidRPr="000D5DBF">
        <w:rPr>
          <w:rFonts w:ascii="Times New Roman" w:eastAsia="Times New Roman" w:hAnsi="Times New Roman" w:cs="Times New Roman"/>
          <w:noProof/>
          <w:sz w:val="24"/>
          <w:szCs w:val="24"/>
        </w:rPr>
        <w:t>saņēmējiem tiks izvirzītas ziņošanas prasības, kas</w:t>
      </w:r>
      <w:r w:rsidR="0032541C" w:rsidRPr="000D5DBF">
        <w:rPr>
          <w:rFonts w:ascii="Times New Roman" w:hAnsi="Times New Roman"/>
          <w:sz w:val="24"/>
          <w:szCs w:val="24"/>
          <w:lang w:eastAsia="en-US" w:bidi="ar-SA"/>
        </w:rPr>
        <w:t xml:space="preserve"> </w:t>
      </w:r>
      <w:r w:rsidR="0032541C" w:rsidRPr="000D5DBF">
        <w:rPr>
          <w:rFonts w:ascii="Times New Roman" w:eastAsia="Times New Roman" w:hAnsi="Times New Roman" w:cs="Times New Roman"/>
          <w:noProof/>
          <w:sz w:val="24"/>
          <w:szCs w:val="24"/>
        </w:rPr>
        <w:t>pamatā balstīsies uz KNR un ESF+ regulas priekšlikumā, kā arī citos deleģētajos aktos (ja attiecināms)</w:t>
      </w:r>
      <w:r w:rsidR="0032541C" w:rsidRPr="000D5DBF">
        <w:rPr>
          <w:rFonts w:ascii="Times New Roman" w:eastAsia="Times New Roman" w:hAnsi="Times New Roman" w:cs="Times New Roman"/>
          <w:noProof/>
          <w:sz w:val="24"/>
          <w:szCs w:val="24"/>
          <w:vertAlign w:val="superscript"/>
        </w:rPr>
        <w:t xml:space="preserve"> </w:t>
      </w:r>
      <w:r w:rsidR="0032541C" w:rsidRPr="000D5DBF">
        <w:rPr>
          <w:rFonts w:ascii="Times New Roman" w:eastAsia="Times New Roman" w:hAnsi="Times New Roman" w:cs="Times New Roman"/>
          <w:noProof/>
          <w:sz w:val="24"/>
          <w:szCs w:val="24"/>
        </w:rPr>
        <w:t>noteiktajām datu apjoma un uzkrāšanas prasībām.</w:t>
      </w:r>
    </w:p>
    <w:p w14:paraId="0C333455" w14:textId="77777777" w:rsidR="0032541C" w:rsidRPr="000D5DBF" w:rsidRDefault="0032541C"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Times New Roman" w:hAnsi="Times New Roman" w:cs="Times New Roman"/>
          <w:noProof/>
          <w:sz w:val="24"/>
          <w:szCs w:val="24"/>
        </w:rPr>
        <w:t>Publiskā iepirkuma nodrošinātājam – SIF tiks izvirzīta prasība katru ceturksni ziņot sadarbības iestādei uz PO glabāšanas vietām faktiski piegādāto pārtikas atbalstu un pamata materiālo palīdzību, nodrošinot atbilstošus attaisnojuma dokumentus un revīzijas liecības. Savukārt PO tiks izvirzīta prasība katru ceturksni sniegt sadarbības iestādei informāciju par</w:t>
      </w:r>
      <w:r w:rsidRPr="000D5DBF">
        <w:rPr>
          <w:rFonts w:ascii="Times New Roman" w:hAnsi="Times New Roman" w:cs="Times New Roman"/>
          <w:sz w:val="24"/>
          <w:szCs w:val="24"/>
        </w:rPr>
        <w:t xml:space="preserve"> </w:t>
      </w:r>
      <w:r w:rsidRPr="000D5DBF">
        <w:rPr>
          <w:rFonts w:ascii="Times New Roman" w:eastAsia="Times New Roman" w:hAnsi="Times New Roman" w:cs="Times New Roman"/>
          <w:noProof/>
          <w:sz w:val="24"/>
          <w:szCs w:val="24"/>
        </w:rPr>
        <w:t xml:space="preserve">pārskata periodā izdalīto pārtikas un pamata materiālās palīdzības komplektu skaitu, organizēto papildpasākumu skaitu un tajos piedalījušos personu skaitu, nodrošinot uzskaiti par izdalīto atbalstu un attaisnojamos dokumentus par organizētajiem papildpasākumiem. Papildus PO tiks noteikts vienu reizi gadā sniegt informāciju sadarbības iestādei par atbalstu saņēmušo unikālo personu skaitu un to </w:t>
      </w:r>
      <w:r w:rsidRPr="000D5DBF">
        <w:rPr>
          <w:rFonts w:ascii="Times New Roman" w:eastAsia="Times New Roman" w:hAnsi="Times New Roman" w:cs="Times New Roman"/>
          <w:noProof/>
          <w:sz w:val="24"/>
          <w:szCs w:val="24"/>
        </w:rPr>
        <w:lastRenderedPageBreak/>
        <w:t>sadalījumu pa sociāli demogrāfiskām grupām. Atbalsta gala saņēmēju personas datus nav paredzēts uzkrāt.</w:t>
      </w:r>
    </w:p>
    <w:p w14:paraId="236B5C26" w14:textId="7935D20F" w:rsidR="0032541C" w:rsidRPr="000D5DBF" w:rsidRDefault="00FF6245"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Times New Roman" w:hAnsi="Times New Roman" w:cs="Times New Roman"/>
          <w:noProof/>
          <w:sz w:val="24"/>
          <w:szCs w:val="24"/>
        </w:rPr>
        <w:t xml:space="preserve">Sadarbības iestāde uzkrās IS datus par noteiktajā pārskata periodā </w:t>
      </w:r>
      <w:r w:rsidR="001D322F" w:rsidRPr="000D5DBF">
        <w:rPr>
          <w:rFonts w:ascii="Times New Roman" w:eastAsia="Times New Roman" w:hAnsi="Times New Roman" w:cs="Times New Roman"/>
          <w:noProof/>
          <w:sz w:val="24"/>
          <w:szCs w:val="24"/>
        </w:rPr>
        <w:t>finansējuma saņēmēja (</w:t>
      </w:r>
      <w:r w:rsidRPr="000D5DBF">
        <w:rPr>
          <w:rFonts w:ascii="Times New Roman" w:eastAsia="Times New Roman" w:hAnsi="Times New Roman" w:cs="Times New Roman"/>
          <w:noProof/>
          <w:sz w:val="24"/>
          <w:szCs w:val="24"/>
        </w:rPr>
        <w:t>SIF</w:t>
      </w:r>
      <w:r w:rsidR="001D322F" w:rsidRPr="000D5DBF">
        <w:rPr>
          <w:rFonts w:ascii="Times New Roman" w:eastAsia="Times New Roman" w:hAnsi="Times New Roman" w:cs="Times New Roman"/>
          <w:noProof/>
          <w:sz w:val="24"/>
          <w:szCs w:val="24"/>
        </w:rPr>
        <w:t>)</w:t>
      </w:r>
      <w:r w:rsidRPr="000D5DBF">
        <w:rPr>
          <w:rFonts w:ascii="Times New Roman" w:eastAsia="Times New Roman" w:hAnsi="Times New Roman" w:cs="Times New Roman"/>
          <w:noProof/>
          <w:sz w:val="24"/>
          <w:szCs w:val="24"/>
        </w:rPr>
        <w:t xml:space="preserve"> un PO sniegto informāciju par:</w:t>
      </w:r>
    </w:p>
    <w:p w14:paraId="68BAEB47" w14:textId="77777777" w:rsidR="0032541C" w:rsidRPr="000D5DBF" w:rsidRDefault="0032541C" w:rsidP="00BA1297">
      <w:pPr>
        <w:pStyle w:val="ListParagraph"/>
        <w:numPr>
          <w:ilvl w:val="0"/>
          <w:numId w:val="24"/>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sasniegtajiem resursu rādītājiem un iznākuma rādītājiem, kas raksturo izdalīto pārtikas atbalstu un pamata materiālo palīdzību;</w:t>
      </w:r>
    </w:p>
    <w:p w14:paraId="65E0FBF3" w14:textId="77777777" w:rsidR="0032541C" w:rsidRPr="000D5DBF" w:rsidRDefault="0032541C" w:rsidP="00BA1297">
      <w:pPr>
        <w:pStyle w:val="ListParagraph"/>
        <w:numPr>
          <w:ilvl w:val="0"/>
          <w:numId w:val="24"/>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rezultātu rādītājiem, kas raksturo pārtikas atbalstu;</w:t>
      </w:r>
    </w:p>
    <w:p w14:paraId="032E8E78" w14:textId="77777777" w:rsidR="0032541C" w:rsidRPr="000D5DBF" w:rsidRDefault="0032541C" w:rsidP="00BA1297">
      <w:pPr>
        <w:pStyle w:val="ListParagraph"/>
        <w:numPr>
          <w:ilvl w:val="0"/>
          <w:numId w:val="24"/>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rezultātu rādītājiem, kas raksturo pamata materiālo palīdzību.</w:t>
      </w:r>
    </w:p>
    <w:p w14:paraId="2C1C485E" w14:textId="35E411F2" w:rsidR="0032541C" w:rsidRPr="000D5DBF" w:rsidRDefault="0032541C"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Sadarbības iestāde atbilstoši ārējam un izstrādātajam iekšējam normatīvajam regulējumam uzraudzīs </w:t>
      </w:r>
      <w:r w:rsidR="00AC3A26" w:rsidRPr="000D5DBF">
        <w:rPr>
          <w:rFonts w:ascii="Times New Roman" w:eastAsia="Times New Roman" w:hAnsi="Times New Roman" w:cs="Times New Roman"/>
          <w:noProof/>
          <w:sz w:val="24"/>
          <w:szCs w:val="24"/>
        </w:rPr>
        <w:t xml:space="preserve">finansējuma </w:t>
      </w:r>
      <w:r w:rsidRPr="000D5DBF">
        <w:rPr>
          <w:rFonts w:ascii="Times New Roman" w:eastAsia="Times New Roman" w:hAnsi="Times New Roman" w:cs="Times New Roman"/>
          <w:noProof/>
          <w:sz w:val="24"/>
          <w:szCs w:val="24"/>
        </w:rPr>
        <w:t>saņēmēju sniegtos datus par iepirkto, piegādāto un faktiski sn</w:t>
      </w:r>
      <w:r w:rsidR="00AC3A26" w:rsidRPr="000D5DBF">
        <w:rPr>
          <w:rFonts w:ascii="Times New Roman" w:eastAsia="Times New Roman" w:hAnsi="Times New Roman" w:cs="Times New Roman"/>
          <w:noProof/>
          <w:sz w:val="24"/>
          <w:szCs w:val="24"/>
        </w:rPr>
        <w:t>iegto atbalstu gala saņēmējiem.</w:t>
      </w:r>
    </w:p>
    <w:p w14:paraId="54110F86" w14:textId="3B94C338" w:rsidR="0032541C" w:rsidRPr="000D5DBF" w:rsidRDefault="0032541C"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Vadošā iestāde nodrošinās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kopējo uzraudzību:</w:t>
      </w:r>
    </w:p>
    <w:p w14:paraId="2D8D5C33" w14:textId="1473D502" w:rsidR="0032541C" w:rsidRPr="000D5DBF" w:rsidRDefault="0032541C" w:rsidP="00BA1297">
      <w:pPr>
        <w:pStyle w:val="ListParagraph"/>
        <w:numPr>
          <w:ilvl w:val="0"/>
          <w:numId w:val="25"/>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organizējot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īstenošanas uzraudzības sanāksmes;</w:t>
      </w:r>
    </w:p>
    <w:p w14:paraId="2316E62C" w14:textId="034475D7" w:rsidR="0032541C" w:rsidRPr="000D5DBF" w:rsidRDefault="0032541C" w:rsidP="00BA1297">
      <w:pPr>
        <w:pStyle w:val="ListParagraph"/>
        <w:numPr>
          <w:ilvl w:val="0"/>
          <w:numId w:val="25"/>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veicot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vadības likumā sadarbības iestādei noteikto funkciju izpildes kvalitātes novērtējumu;</w:t>
      </w:r>
    </w:p>
    <w:p w14:paraId="4088F110" w14:textId="77777777" w:rsidR="0032541C" w:rsidRPr="000D5DBF" w:rsidRDefault="0032541C" w:rsidP="00BA1297">
      <w:pPr>
        <w:pStyle w:val="ListParagraph"/>
        <w:numPr>
          <w:ilvl w:val="0"/>
          <w:numId w:val="25"/>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veicot maksājumu pieprasījumu saskaņošanu un nepieciešamības gadījumā pārbaudes atbalstāmo darbību īstenošanas vietās.</w:t>
      </w:r>
    </w:p>
    <w:p w14:paraId="6094CCCD" w14:textId="3AB83873" w:rsidR="0032541C" w:rsidRPr="000D5DBF" w:rsidRDefault="0032541C" w:rsidP="00BA1297">
      <w:pPr>
        <w:pStyle w:val="ListParagraph"/>
        <w:spacing w:after="0" w:line="240" w:lineRule="auto"/>
        <w:ind w:left="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Vienlaikus vadošā iestāde īstenos</w:t>
      </w:r>
      <w:r w:rsidRPr="000D5DBF">
        <w:t xml:space="preserve">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īstenošanas risku pārvaldību un krāpšanas risku apkarošanas pasākumus.</w:t>
      </w:r>
    </w:p>
    <w:p w14:paraId="4781B415" w14:textId="05CFEF02" w:rsidR="0032541C" w:rsidRPr="000D5DBF" w:rsidRDefault="004F59C2"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s</w:t>
      </w:r>
      <w:r w:rsidR="0032541C" w:rsidRPr="000D5DBF">
        <w:rPr>
          <w:rFonts w:ascii="Times New Roman" w:eastAsia="Times New Roman" w:hAnsi="Times New Roman" w:cs="Times New Roman"/>
          <w:noProof/>
          <w:sz w:val="24"/>
          <w:szCs w:val="24"/>
        </w:rPr>
        <w:t xml:space="preserve"> novērtēšanas nolūkā vadošā iestāde:</w:t>
      </w:r>
    </w:p>
    <w:p w14:paraId="276FCEA6" w14:textId="3E67B187" w:rsidR="00693958" w:rsidRDefault="00226E45" w:rsidP="00BA1297">
      <w:pPr>
        <w:pStyle w:val="ListParagraph"/>
        <w:numPr>
          <w:ilvl w:val="0"/>
          <w:numId w:val="26"/>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nodrošinās </w:t>
      </w:r>
      <w:r w:rsidR="0032541C" w:rsidRPr="000D5DBF">
        <w:rPr>
          <w:rFonts w:ascii="Times New Roman" w:eastAsia="Times New Roman" w:hAnsi="Times New Roman" w:cs="Times New Roman"/>
          <w:noProof/>
          <w:sz w:val="24"/>
          <w:szCs w:val="24"/>
        </w:rPr>
        <w:t>ikgadēj</w:t>
      </w:r>
      <w:r w:rsidRPr="000D5DBF">
        <w:rPr>
          <w:rFonts w:ascii="Times New Roman" w:eastAsia="Times New Roman" w:hAnsi="Times New Roman" w:cs="Times New Roman"/>
          <w:noProof/>
          <w:sz w:val="24"/>
          <w:szCs w:val="24"/>
        </w:rPr>
        <w:t>ās atbalsta gala saņēmēju aptaujas</w:t>
      </w:r>
      <w:r w:rsidR="00AD05C5">
        <w:rPr>
          <w:rFonts w:ascii="Times New Roman" w:eastAsia="Times New Roman" w:hAnsi="Times New Roman" w:cs="Times New Roman"/>
          <w:noProof/>
          <w:sz w:val="24"/>
          <w:szCs w:val="24"/>
        </w:rPr>
        <w:t xml:space="preserve"> īstenošanu,</w:t>
      </w:r>
      <w:r w:rsidR="00CD1D14">
        <w:rPr>
          <w:rFonts w:ascii="Times New Roman" w:eastAsia="Times New Roman" w:hAnsi="Times New Roman" w:cs="Times New Roman"/>
          <w:noProof/>
          <w:sz w:val="24"/>
          <w:szCs w:val="24"/>
        </w:rPr>
        <w:t xml:space="preserve"> kas ļaus novērtēt P</w:t>
      </w:r>
      <w:r w:rsidR="0032541C" w:rsidRPr="000D5DBF">
        <w:rPr>
          <w:rFonts w:ascii="Times New Roman" w:eastAsia="Times New Roman" w:hAnsi="Times New Roman" w:cs="Times New Roman"/>
          <w:noProof/>
          <w:sz w:val="24"/>
          <w:szCs w:val="24"/>
        </w:rPr>
        <w:t>rogrammas efektivitāti un lietderību;</w:t>
      </w:r>
    </w:p>
    <w:p w14:paraId="01355346" w14:textId="0757880E" w:rsidR="0032541C" w:rsidRPr="00693958" w:rsidRDefault="00693958" w:rsidP="00BA1297">
      <w:pPr>
        <w:pStyle w:val="ListParagraph"/>
        <w:numPr>
          <w:ilvl w:val="0"/>
          <w:numId w:val="26"/>
        </w:numPr>
        <w:spacing w:after="0" w:line="240" w:lineRule="auto"/>
        <w:ind w:left="993" w:hanging="426"/>
        <w:jc w:val="both"/>
        <w:rPr>
          <w:rFonts w:ascii="Times New Roman" w:eastAsia="Times New Roman" w:hAnsi="Times New Roman" w:cs="Times New Roman"/>
          <w:noProof/>
          <w:sz w:val="24"/>
          <w:szCs w:val="24"/>
        </w:rPr>
      </w:pPr>
      <w:r w:rsidRPr="00693958">
        <w:rPr>
          <w:rFonts w:ascii="Times New Roman" w:eastAsia="Times New Roman" w:hAnsi="Times New Roman" w:cs="Times New Roman"/>
          <w:noProof/>
          <w:sz w:val="24"/>
          <w:szCs w:val="24"/>
        </w:rPr>
        <w:t xml:space="preserve">nolūkā pārbaudīt Programmas veikumu organizēs ikgadējās </w:t>
      </w:r>
      <w:r w:rsidR="00226E45" w:rsidRPr="00693958">
        <w:rPr>
          <w:rFonts w:ascii="Times New Roman" w:eastAsia="Times New Roman" w:hAnsi="Times New Roman" w:cs="Times New Roman"/>
          <w:noProof/>
          <w:sz w:val="24"/>
          <w:szCs w:val="24"/>
        </w:rPr>
        <w:t xml:space="preserve">novērtēšanas sanāksmes ar EK, </w:t>
      </w:r>
      <w:r w:rsidR="0032541C" w:rsidRPr="00693958">
        <w:rPr>
          <w:rFonts w:ascii="Times New Roman" w:eastAsia="Times New Roman" w:hAnsi="Times New Roman" w:cs="Times New Roman"/>
          <w:noProof/>
          <w:sz w:val="24"/>
          <w:szCs w:val="24"/>
        </w:rPr>
        <w:t xml:space="preserve">KDG </w:t>
      </w:r>
      <w:r w:rsidR="00226E45" w:rsidRPr="00693958">
        <w:rPr>
          <w:rFonts w:ascii="Times New Roman" w:eastAsia="Times New Roman" w:hAnsi="Times New Roman" w:cs="Times New Roman"/>
          <w:noProof/>
          <w:sz w:val="24"/>
          <w:szCs w:val="24"/>
        </w:rPr>
        <w:t xml:space="preserve">un </w:t>
      </w:r>
      <w:r w:rsidR="009734CA" w:rsidRPr="00693958">
        <w:rPr>
          <w:rFonts w:ascii="Times New Roman" w:eastAsia="Times New Roman" w:hAnsi="Times New Roman" w:cs="Times New Roman"/>
          <w:noProof/>
          <w:sz w:val="24"/>
          <w:szCs w:val="24"/>
        </w:rPr>
        <w:t>Programmas vadībā un uzraudzībā</w:t>
      </w:r>
      <w:r w:rsidR="00226E45" w:rsidRPr="00693958">
        <w:rPr>
          <w:rFonts w:ascii="Times New Roman" w:eastAsia="Times New Roman" w:hAnsi="Times New Roman" w:cs="Times New Roman"/>
          <w:noProof/>
          <w:sz w:val="24"/>
          <w:szCs w:val="24"/>
        </w:rPr>
        <w:t xml:space="preserve"> iesaistīto </w:t>
      </w:r>
      <w:r w:rsidR="009734CA" w:rsidRPr="00693958">
        <w:rPr>
          <w:rFonts w:ascii="Times New Roman" w:eastAsia="Times New Roman" w:hAnsi="Times New Roman" w:cs="Times New Roman"/>
          <w:noProof/>
          <w:sz w:val="24"/>
          <w:szCs w:val="24"/>
        </w:rPr>
        <w:t xml:space="preserve">institūciju pārstāvju </w:t>
      </w:r>
      <w:r w:rsidR="0032541C" w:rsidRPr="00693958">
        <w:rPr>
          <w:rFonts w:ascii="Times New Roman" w:eastAsia="Times New Roman" w:hAnsi="Times New Roman" w:cs="Times New Roman"/>
          <w:noProof/>
          <w:sz w:val="24"/>
          <w:szCs w:val="24"/>
        </w:rPr>
        <w:t>dalību;</w:t>
      </w:r>
    </w:p>
    <w:p w14:paraId="75C842C6" w14:textId="4AFA8FF6" w:rsidR="0032541C" w:rsidRPr="00B439CC" w:rsidRDefault="00226E45" w:rsidP="00BA1297">
      <w:pPr>
        <w:pStyle w:val="ListParagraph"/>
        <w:numPr>
          <w:ilvl w:val="0"/>
          <w:numId w:val="26"/>
        </w:numPr>
        <w:spacing w:after="0" w:line="240" w:lineRule="auto"/>
        <w:ind w:left="993" w:hanging="426"/>
        <w:jc w:val="both"/>
        <w:rPr>
          <w:rFonts w:ascii="Times New Roman" w:eastAsia="Times New Roman" w:hAnsi="Times New Roman" w:cs="Times New Roman"/>
          <w:noProof/>
          <w:sz w:val="24"/>
          <w:szCs w:val="24"/>
        </w:rPr>
      </w:pPr>
      <w:r w:rsidRPr="00B439CC">
        <w:rPr>
          <w:rFonts w:ascii="Times New Roman" w:eastAsia="Times New Roman" w:hAnsi="Times New Roman" w:cs="Times New Roman"/>
          <w:noProof/>
          <w:sz w:val="24"/>
          <w:szCs w:val="24"/>
        </w:rPr>
        <w:t xml:space="preserve">veiks </w:t>
      </w:r>
      <w:r w:rsidR="00137222">
        <w:rPr>
          <w:rFonts w:ascii="Times New Roman" w:eastAsia="Times New Roman" w:hAnsi="Times New Roman" w:cs="Times New Roman"/>
          <w:noProof/>
          <w:sz w:val="24"/>
          <w:szCs w:val="24"/>
        </w:rPr>
        <w:t>P</w:t>
      </w:r>
      <w:r w:rsidR="0032541C" w:rsidRPr="00B439CC">
        <w:rPr>
          <w:rFonts w:ascii="Times New Roman" w:eastAsia="Times New Roman" w:hAnsi="Times New Roman" w:cs="Times New Roman"/>
          <w:noProof/>
          <w:sz w:val="24"/>
          <w:szCs w:val="24"/>
        </w:rPr>
        <w:t>rogrammas ietekmes novērtējumu.</w:t>
      </w:r>
    </w:p>
    <w:p w14:paraId="1EB6956D" w14:textId="2D625F5E" w:rsidR="0032541C" w:rsidRPr="000D5DBF" w:rsidRDefault="0032541C" w:rsidP="00BA1297">
      <w:pPr>
        <w:spacing w:before="0" w:after="0"/>
        <w:ind w:left="567"/>
        <w:rPr>
          <w:rFonts w:eastAsia="Times New Roman"/>
          <w:noProof/>
          <w:szCs w:val="24"/>
        </w:rPr>
      </w:pPr>
      <w:r w:rsidRPr="00B439CC">
        <w:rPr>
          <w:rFonts w:eastAsia="Times New Roman"/>
          <w:noProof/>
          <w:szCs w:val="24"/>
        </w:rPr>
        <w:t xml:space="preserve">Vadošā iestāde nodrošinās </w:t>
      </w:r>
      <w:r w:rsidR="00CE2913">
        <w:rPr>
          <w:bCs/>
          <w:szCs w:val="24"/>
        </w:rPr>
        <w:t>P</w:t>
      </w:r>
      <w:r w:rsidR="00CE2913" w:rsidRPr="000D5DBF">
        <w:rPr>
          <w:bCs/>
          <w:szCs w:val="24"/>
        </w:rPr>
        <w:t>rogramma</w:t>
      </w:r>
      <w:r w:rsidR="00CE2913">
        <w:rPr>
          <w:bCs/>
          <w:szCs w:val="24"/>
        </w:rPr>
        <w:t>s</w:t>
      </w:r>
      <w:r w:rsidRPr="00B439CC">
        <w:rPr>
          <w:rFonts w:eastAsia="Times New Roman"/>
          <w:noProof/>
          <w:szCs w:val="24"/>
        </w:rPr>
        <w:t xml:space="preserve"> nobeiguma īstenošanas ziņojuma sagatavošanu un iesniegšanu EK.</w:t>
      </w:r>
    </w:p>
    <w:p w14:paraId="5D8F4067" w14:textId="77777777" w:rsidR="00391ADF" w:rsidRPr="000D5DBF" w:rsidRDefault="00391ADF" w:rsidP="00BA1297">
      <w:pPr>
        <w:spacing w:before="0" w:after="0"/>
        <w:ind w:left="567"/>
        <w:rPr>
          <w:rFonts w:eastAsia="Times New Roman"/>
          <w:noProof/>
          <w:szCs w:val="24"/>
        </w:rPr>
      </w:pPr>
    </w:p>
    <w:p w14:paraId="5BA68609" w14:textId="77777777" w:rsidR="0032541C" w:rsidRPr="000D5DBF" w:rsidRDefault="00B65BDD" w:rsidP="00BA1297">
      <w:pPr>
        <w:pStyle w:val="Heading1"/>
        <w:numPr>
          <w:ilvl w:val="0"/>
          <w:numId w:val="30"/>
        </w:numPr>
        <w:spacing w:before="0"/>
        <w:rPr>
          <w:rFonts w:ascii="Times New Roman" w:hAnsi="Times New Roman" w:cs="Times New Roman"/>
          <w:b/>
          <w:noProof/>
          <w:color w:val="auto"/>
          <w:sz w:val="28"/>
          <w:szCs w:val="28"/>
        </w:rPr>
      </w:pPr>
      <w:bookmarkStart w:id="18" w:name="_Toc62557117"/>
      <w:r w:rsidRPr="000D5DBF">
        <w:rPr>
          <w:rFonts w:ascii="Times New Roman" w:hAnsi="Times New Roman" w:cs="Times New Roman"/>
          <w:b/>
          <w:noProof/>
          <w:color w:val="auto"/>
          <w:sz w:val="28"/>
          <w:szCs w:val="28"/>
        </w:rPr>
        <w:t>Partnerība</w:t>
      </w:r>
      <w:bookmarkEnd w:id="18"/>
    </w:p>
    <w:p w14:paraId="6B564265" w14:textId="5617EB30" w:rsidR="00B65BDD" w:rsidRPr="000D5DBF" w:rsidRDefault="002B2A41"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B65BDD" w:rsidRPr="000D5DBF">
        <w:rPr>
          <w:rFonts w:ascii="Times New Roman" w:hAnsi="Times New Roman" w:cs="Times New Roman"/>
          <w:noProof/>
          <w:sz w:val="24"/>
          <w:szCs w:val="24"/>
        </w:rPr>
        <w:t>2021. – 2027. gada plānošanas procesā turpināta partnerība ar pilsoniskās sabiedrības, tajā skaitā atbalsta gala saņēmēju interešu pārstāvošo organizāciju, valsts un pašvaldību institūciju pārstāvjiem, kuri darbojās EAFVP KDG 2014. – 2020. </w:t>
      </w:r>
      <w:r w:rsidR="001840D3" w:rsidRPr="000D5DBF">
        <w:rPr>
          <w:rFonts w:ascii="Times New Roman" w:hAnsi="Times New Roman" w:cs="Times New Roman"/>
          <w:noProof/>
          <w:sz w:val="24"/>
          <w:szCs w:val="24"/>
        </w:rPr>
        <w:t>gada</w:t>
      </w:r>
      <w:r w:rsidR="00B65BDD" w:rsidRPr="000D5DBF">
        <w:rPr>
          <w:rFonts w:ascii="Times New Roman" w:hAnsi="Times New Roman" w:cs="Times New Roman"/>
          <w:noProof/>
          <w:sz w:val="24"/>
          <w:szCs w:val="24"/>
        </w:rPr>
        <w:t xml:space="preserve"> plānošanas periodā. Par sadarbības turpināšanu </w:t>
      </w:r>
      <w:r w:rsidR="00353C27">
        <w:rPr>
          <w:rFonts w:ascii="Times New Roman" w:hAnsi="Times New Roman" w:cs="Times New Roman"/>
          <w:bCs/>
          <w:sz w:val="24"/>
          <w:szCs w:val="24"/>
        </w:rPr>
        <w:t>P</w:t>
      </w:r>
      <w:r w:rsidR="00353C27" w:rsidRPr="000D5DBF">
        <w:rPr>
          <w:rFonts w:ascii="Times New Roman" w:hAnsi="Times New Roman" w:cs="Times New Roman"/>
          <w:bCs/>
          <w:sz w:val="24"/>
          <w:szCs w:val="24"/>
        </w:rPr>
        <w:t>rogramma</w:t>
      </w:r>
      <w:r w:rsidR="00353C27">
        <w:rPr>
          <w:rFonts w:ascii="Times New Roman" w:hAnsi="Times New Roman" w:cs="Times New Roman"/>
          <w:bCs/>
          <w:sz w:val="24"/>
          <w:szCs w:val="24"/>
        </w:rPr>
        <w:t>s</w:t>
      </w:r>
      <w:r w:rsidR="00B65BDD" w:rsidRPr="000D5DBF">
        <w:rPr>
          <w:rFonts w:ascii="Times New Roman" w:hAnsi="Times New Roman" w:cs="Times New Roman"/>
          <w:noProof/>
          <w:sz w:val="24"/>
          <w:szCs w:val="24"/>
        </w:rPr>
        <w:t xml:space="preserve"> īstenošanā 2021.–2027. gada plānošanas periodā ar KDG dalībniekiem panākta konceptuālā vienošanās</w:t>
      </w:r>
    </w:p>
    <w:p w14:paraId="673E012B" w14:textId="6394DA2D" w:rsidR="00B65BDD" w:rsidRPr="000D5DBF" w:rsidRDefault="00B65BDD"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Calibri" w:hAnsi="Times New Roman" w:cs="Times New Roman"/>
          <w:noProof/>
          <w:sz w:val="24"/>
          <w:szCs w:val="24"/>
        </w:rPr>
        <w:t xml:space="preserve">KDG dalībnieki pamatā atbalsta </w:t>
      </w:r>
      <w:r w:rsidR="002B2A41">
        <w:rPr>
          <w:rFonts w:ascii="Times New Roman" w:hAnsi="Times New Roman" w:cs="Times New Roman"/>
          <w:bCs/>
          <w:sz w:val="24"/>
          <w:szCs w:val="24"/>
        </w:rPr>
        <w:t>Programmā</w:t>
      </w:r>
      <w:r w:rsidRPr="000D5DBF">
        <w:rPr>
          <w:rFonts w:ascii="Times New Roman" w:eastAsia="Calibri" w:hAnsi="Times New Roman" w:cs="Times New Roman"/>
          <w:noProof/>
          <w:sz w:val="24"/>
          <w:szCs w:val="24"/>
        </w:rPr>
        <w:t xml:space="preserve"> iekļaujamos pasākumus un atbalsta sniegšanas nosacījumus zemu ienākumu mājsaimniecībām. KDG piedalīsies arī visos turpmākos </w:t>
      </w:r>
      <w:r w:rsidR="002B2A41">
        <w:rPr>
          <w:rFonts w:ascii="Times New Roman" w:hAnsi="Times New Roman" w:cs="Times New Roman"/>
          <w:bCs/>
          <w:sz w:val="24"/>
          <w:szCs w:val="24"/>
        </w:rPr>
        <w:t>P</w:t>
      </w:r>
      <w:r w:rsidR="002B2A41" w:rsidRPr="000D5DBF">
        <w:rPr>
          <w:rFonts w:ascii="Times New Roman" w:hAnsi="Times New Roman" w:cs="Times New Roman"/>
          <w:bCs/>
          <w:sz w:val="24"/>
          <w:szCs w:val="24"/>
        </w:rPr>
        <w:t>rogramma</w:t>
      </w:r>
      <w:r w:rsidR="002B2A41">
        <w:rPr>
          <w:rFonts w:ascii="Times New Roman" w:hAnsi="Times New Roman" w:cs="Times New Roman"/>
          <w:bCs/>
          <w:sz w:val="24"/>
          <w:szCs w:val="24"/>
        </w:rPr>
        <w:t>s</w:t>
      </w:r>
      <w:r w:rsidRPr="000D5DBF">
        <w:rPr>
          <w:rFonts w:ascii="Times New Roman" w:eastAsia="Calibri" w:hAnsi="Times New Roman" w:cs="Times New Roman"/>
          <w:noProof/>
          <w:sz w:val="24"/>
          <w:szCs w:val="24"/>
        </w:rPr>
        <w:t xml:space="preserve"> plānošanas posmos.</w:t>
      </w:r>
    </w:p>
    <w:p w14:paraId="50BFBECA" w14:textId="216219E9" w:rsidR="00B65BDD" w:rsidRPr="000D5DBF" w:rsidRDefault="00B65BDD"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Calibri" w:hAnsi="Times New Roman" w:cs="Times New Roman"/>
          <w:noProof/>
          <w:sz w:val="24"/>
          <w:szCs w:val="24"/>
        </w:rPr>
        <w:t xml:space="preserve">Saskaņā ar KNR 33. panta 5. punkta nosacījumiem UK izveide </w:t>
      </w:r>
      <w:r w:rsidR="002B2A41">
        <w:rPr>
          <w:rFonts w:ascii="Times New Roman" w:hAnsi="Times New Roman" w:cs="Times New Roman"/>
          <w:bCs/>
          <w:sz w:val="24"/>
          <w:szCs w:val="24"/>
        </w:rPr>
        <w:t>P</w:t>
      </w:r>
      <w:r w:rsidR="002B2A41" w:rsidRPr="000D5DBF">
        <w:rPr>
          <w:rFonts w:ascii="Times New Roman" w:hAnsi="Times New Roman" w:cs="Times New Roman"/>
          <w:bCs/>
          <w:sz w:val="24"/>
          <w:szCs w:val="24"/>
        </w:rPr>
        <w:t>rogramma</w:t>
      </w:r>
      <w:r w:rsidR="002B2A41">
        <w:rPr>
          <w:rFonts w:ascii="Times New Roman" w:hAnsi="Times New Roman" w:cs="Times New Roman"/>
          <w:bCs/>
          <w:sz w:val="24"/>
          <w:szCs w:val="24"/>
        </w:rPr>
        <w:t>i</w:t>
      </w:r>
      <w:r w:rsidRPr="000D5DBF">
        <w:rPr>
          <w:rFonts w:ascii="Times New Roman" w:eastAsia="Calibri" w:hAnsi="Times New Roman" w:cs="Times New Roman"/>
          <w:noProof/>
          <w:sz w:val="24"/>
          <w:szCs w:val="24"/>
        </w:rPr>
        <w:t xml:space="preserve"> nav nepieciešama. To aizstāj KNR 36. panta 3. punktā noteiktā ikgadējā veikuma izvērtēšanas sanāksme, kurā balstoties uz esošās KDG dalībnieku un PO pieredzi un ekspertīzi tiks nodrošināta 2021. - 2027. gada plānošanas perioda </w:t>
      </w:r>
      <w:r w:rsidR="002B2A41">
        <w:rPr>
          <w:rFonts w:ascii="Times New Roman" w:hAnsi="Times New Roman" w:cs="Times New Roman"/>
          <w:bCs/>
          <w:sz w:val="24"/>
          <w:szCs w:val="24"/>
        </w:rPr>
        <w:t>P</w:t>
      </w:r>
      <w:r w:rsidR="002B2A41" w:rsidRPr="000D5DBF">
        <w:rPr>
          <w:rFonts w:ascii="Times New Roman" w:hAnsi="Times New Roman" w:cs="Times New Roman"/>
          <w:bCs/>
          <w:sz w:val="24"/>
          <w:szCs w:val="24"/>
        </w:rPr>
        <w:t>rogramma</w:t>
      </w:r>
      <w:r w:rsidR="002B2A41">
        <w:rPr>
          <w:rFonts w:ascii="Times New Roman" w:hAnsi="Times New Roman" w:cs="Times New Roman"/>
          <w:bCs/>
          <w:sz w:val="24"/>
          <w:szCs w:val="24"/>
        </w:rPr>
        <w:t xml:space="preserve">s </w:t>
      </w:r>
      <w:r w:rsidRPr="000D5DBF">
        <w:rPr>
          <w:rFonts w:ascii="Times New Roman" w:eastAsia="Calibri" w:hAnsi="Times New Roman" w:cs="Times New Roman"/>
          <w:noProof/>
          <w:sz w:val="24"/>
          <w:szCs w:val="24"/>
        </w:rPr>
        <w:t>īstenošanas progresa uzraudzība un izvērtēšana.</w:t>
      </w:r>
    </w:p>
    <w:p w14:paraId="670721FF" w14:textId="22688ADD" w:rsidR="00B65BDD" w:rsidRPr="000D5DBF" w:rsidRDefault="00B65BDD"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Calibri" w:hAnsi="Times New Roman" w:cs="Times New Roman"/>
          <w:noProof/>
          <w:sz w:val="24"/>
          <w:szCs w:val="24"/>
        </w:rPr>
        <w:t>KDG locekļi iesaistāmi EK organizētajos pasākumos labās prakses pārņemšanai un tās piemērošanai un popularizēšanai Latvijā, kā a</w:t>
      </w:r>
      <w:r w:rsidR="00445DF4" w:rsidRPr="000D5DBF">
        <w:rPr>
          <w:rFonts w:ascii="Times New Roman" w:eastAsia="Calibri" w:hAnsi="Times New Roman" w:cs="Times New Roman"/>
          <w:noProof/>
          <w:sz w:val="24"/>
          <w:szCs w:val="24"/>
        </w:rPr>
        <w:t>rī sava darba pieredzes nodošan</w:t>
      </w:r>
      <w:r w:rsidRPr="000D5DBF">
        <w:rPr>
          <w:rFonts w:ascii="Times New Roman" w:eastAsia="Calibri" w:hAnsi="Times New Roman" w:cs="Times New Roman"/>
          <w:noProof/>
          <w:sz w:val="24"/>
          <w:szCs w:val="24"/>
        </w:rPr>
        <w:t>ai citiem iesaistītajiem.</w:t>
      </w:r>
    </w:p>
    <w:p w14:paraId="17B032F1" w14:textId="20F9FC4D" w:rsidR="00B65BDD" w:rsidRPr="000D5DBF" w:rsidRDefault="00B65BDD"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Nepieciešamības gadījumā </w:t>
      </w:r>
      <w:r w:rsidR="004132F5">
        <w:rPr>
          <w:rFonts w:ascii="Times New Roman" w:hAnsi="Times New Roman" w:cs="Times New Roman"/>
          <w:bCs/>
          <w:sz w:val="24"/>
          <w:szCs w:val="24"/>
        </w:rPr>
        <w:t>P</w:t>
      </w:r>
      <w:r w:rsidR="004132F5" w:rsidRPr="000D5DBF">
        <w:rPr>
          <w:rFonts w:ascii="Times New Roman" w:hAnsi="Times New Roman" w:cs="Times New Roman"/>
          <w:bCs/>
          <w:sz w:val="24"/>
          <w:szCs w:val="24"/>
        </w:rPr>
        <w:t>rogramma</w:t>
      </w:r>
      <w:r w:rsidR="004132F5">
        <w:rPr>
          <w:rFonts w:ascii="Times New Roman" w:hAnsi="Times New Roman" w:cs="Times New Roman"/>
          <w:bCs/>
          <w:sz w:val="24"/>
          <w:szCs w:val="24"/>
        </w:rPr>
        <w:t xml:space="preserve">s </w:t>
      </w:r>
      <w:r w:rsidRPr="000D5DBF">
        <w:rPr>
          <w:rFonts w:ascii="Times New Roman" w:hAnsi="Times New Roman" w:cs="Times New Roman"/>
          <w:noProof/>
          <w:sz w:val="24"/>
          <w:szCs w:val="24"/>
        </w:rPr>
        <w:t xml:space="preserve">īstenošanas posmā </w:t>
      </w:r>
      <w:r w:rsidRPr="000D5DBF">
        <w:rPr>
          <w:rFonts w:ascii="Times New Roman" w:eastAsia="Calibri" w:hAnsi="Times New Roman" w:cs="Times New Roman"/>
          <w:noProof/>
          <w:sz w:val="24"/>
          <w:szCs w:val="24"/>
        </w:rPr>
        <w:t>K</w:t>
      </w:r>
      <w:r w:rsidRPr="000D5DBF">
        <w:rPr>
          <w:rFonts w:ascii="Times New Roman" w:hAnsi="Times New Roman" w:cs="Times New Roman"/>
          <w:noProof/>
          <w:sz w:val="24"/>
          <w:szCs w:val="24"/>
        </w:rPr>
        <w:t>DG sastāvs var tikt paplašināts vai tikt piesaistīti nozaru ministrijas eksperti viedokļa par atbalsta veidu maiņu vai papildināšanu sniegšanai.</w:t>
      </w:r>
    </w:p>
    <w:p w14:paraId="5D9F1254" w14:textId="39596B07" w:rsidR="00B65BDD" w:rsidRPr="000D5DBF" w:rsidRDefault="004132F5" w:rsidP="00BA1297">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sidR="00CC6B98">
        <w:rPr>
          <w:rFonts w:ascii="Times New Roman" w:hAnsi="Times New Roman" w:cs="Times New Roman"/>
          <w:bCs/>
          <w:sz w:val="24"/>
          <w:szCs w:val="24"/>
        </w:rPr>
        <w:t xml:space="preserve">s </w:t>
      </w:r>
      <w:r w:rsidR="00B65BDD" w:rsidRPr="000D5DBF">
        <w:rPr>
          <w:rFonts w:ascii="Times New Roman" w:hAnsi="Times New Roman" w:cs="Times New Roman"/>
          <w:noProof/>
          <w:sz w:val="24"/>
          <w:szCs w:val="24"/>
        </w:rPr>
        <w:t>vadošās iestādes pārstāvis piedalīsies citu programmu uzraudzības komitejās un sadarbības forumos, tādējādi n</w:t>
      </w:r>
      <w:r w:rsidR="00B67CBB" w:rsidRPr="000D5DBF">
        <w:rPr>
          <w:rFonts w:ascii="Times New Roman" w:hAnsi="Times New Roman" w:cs="Times New Roman"/>
          <w:noProof/>
          <w:sz w:val="24"/>
          <w:szCs w:val="24"/>
        </w:rPr>
        <w:t>odrošinot partnerību</w:t>
      </w:r>
      <w:r w:rsidR="00B65BDD" w:rsidRPr="000D5DBF">
        <w:rPr>
          <w:rFonts w:ascii="Times New Roman" w:hAnsi="Times New Roman" w:cs="Times New Roman"/>
          <w:noProof/>
          <w:sz w:val="24"/>
          <w:szCs w:val="24"/>
        </w:rPr>
        <w:t>.</w:t>
      </w:r>
    </w:p>
    <w:p w14:paraId="3A8F04FF" w14:textId="77777777" w:rsidR="00575FD7" w:rsidRPr="000D5DBF" w:rsidRDefault="00575FD7" w:rsidP="00BA1297">
      <w:pPr>
        <w:pStyle w:val="ListParagraph"/>
        <w:spacing w:after="0" w:line="240" w:lineRule="auto"/>
        <w:ind w:left="567"/>
        <w:jc w:val="both"/>
        <w:rPr>
          <w:rFonts w:ascii="Times New Roman" w:hAnsi="Times New Roman" w:cs="Times New Roman"/>
          <w:noProof/>
          <w:sz w:val="24"/>
          <w:szCs w:val="24"/>
        </w:rPr>
      </w:pPr>
    </w:p>
    <w:p w14:paraId="1BBF745E" w14:textId="77777777" w:rsidR="00B65BDD" w:rsidRPr="000D5DBF" w:rsidRDefault="00B65BDD" w:rsidP="00BA1297">
      <w:pPr>
        <w:pStyle w:val="Heading1"/>
        <w:numPr>
          <w:ilvl w:val="0"/>
          <w:numId w:val="30"/>
        </w:numPr>
        <w:spacing w:before="0"/>
        <w:rPr>
          <w:rFonts w:ascii="Times New Roman" w:hAnsi="Times New Roman" w:cs="Times New Roman"/>
          <w:b/>
          <w:noProof/>
          <w:color w:val="auto"/>
          <w:sz w:val="28"/>
          <w:szCs w:val="28"/>
        </w:rPr>
      </w:pPr>
      <w:bookmarkStart w:id="19" w:name="_Toc62557118"/>
      <w:r w:rsidRPr="000D5DBF">
        <w:rPr>
          <w:rFonts w:ascii="Times New Roman" w:hAnsi="Times New Roman" w:cs="Times New Roman"/>
          <w:b/>
          <w:noProof/>
          <w:color w:val="auto"/>
          <w:sz w:val="28"/>
          <w:szCs w:val="28"/>
        </w:rPr>
        <w:t>Komunikācija un redzamība</w:t>
      </w:r>
      <w:bookmarkEnd w:id="19"/>
    </w:p>
    <w:p w14:paraId="1FE4B42C" w14:textId="0F85DCA1" w:rsidR="001840D3" w:rsidRPr="000D5DBF" w:rsidRDefault="001840D3"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sz w:val="24"/>
          <w:szCs w:val="24"/>
        </w:rPr>
        <w:t xml:space="preserve">Paredzēts, ka FM nodrošinās stratēģisku un koordinētu KP fondu komunikāciju Latvijas un ES ietvaros, paplašinot un attīstot jau esošo Komunikācijas vadības darba grupu, kas veiksmīgi darbojās 2014. – 2020. gada plānošanas periodā. LM kā </w:t>
      </w:r>
      <w:r w:rsidR="004132F5">
        <w:rPr>
          <w:rFonts w:ascii="Times New Roman" w:hAnsi="Times New Roman" w:cs="Times New Roman"/>
          <w:bCs/>
          <w:sz w:val="24"/>
          <w:szCs w:val="24"/>
        </w:rPr>
        <w:t>P</w:t>
      </w:r>
      <w:r w:rsidR="004132F5" w:rsidRPr="000D5DBF">
        <w:rPr>
          <w:rFonts w:ascii="Times New Roman" w:hAnsi="Times New Roman" w:cs="Times New Roman"/>
          <w:bCs/>
          <w:sz w:val="24"/>
          <w:szCs w:val="24"/>
        </w:rPr>
        <w:t>rogramma</w:t>
      </w:r>
      <w:r w:rsidR="004132F5">
        <w:rPr>
          <w:rFonts w:ascii="Times New Roman" w:hAnsi="Times New Roman" w:cs="Times New Roman"/>
          <w:bCs/>
          <w:sz w:val="24"/>
          <w:szCs w:val="24"/>
        </w:rPr>
        <w:t>s</w:t>
      </w:r>
      <w:r w:rsidRPr="000D5DBF">
        <w:rPr>
          <w:rFonts w:ascii="Times New Roman" w:hAnsi="Times New Roman" w:cs="Times New Roman"/>
          <w:sz w:val="24"/>
          <w:szCs w:val="24"/>
        </w:rPr>
        <w:t xml:space="preserve"> </w:t>
      </w:r>
      <w:r w:rsidRPr="000D5DBF">
        <w:rPr>
          <w:rFonts w:ascii="Times New Roman" w:eastAsia="Times New Roman" w:hAnsi="Times New Roman" w:cs="Times New Roman"/>
          <w:noProof/>
          <w:sz w:val="24"/>
          <w:szCs w:val="24"/>
        </w:rPr>
        <w:t>vadošā iestāde nozīmēs komunikācijas koordinatoru darbam Komunikācijas vadības darba grupā.</w:t>
      </w:r>
      <w:r w:rsidRPr="000D5DBF">
        <w:rPr>
          <w:rFonts w:ascii="Times New Roman" w:eastAsia="Calibri" w:hAnsi="Times New Roman" w:cs="Times New Roman"/>
          <w:sz w:val="24"/>
          <w:szCs w:val="24"/>
        </w:rPr>
        <w:t xml:space="preserve"> </w:t>
      </w:r>
      <w:r w:rsidRPr="000D5DBF">
        <w:rPr>
          <w:rFonts w:ascii="Times New Roman" w:eastAsia="Times New Roman" w:hAnsi="Times New Roman" w:cs="Times New Roman"/>
          <w:noProof/>
          <w:sz w:val="24"/>
          <w:szCs w:val="24"/>
        </w:rPr>
        <w:t>Komunikācijas aktivitāšu izvērtējums notiks KP fondu komunikācijas stratēģijas ieviešanas ietvaros.</w:t>
      </w:r>
    </w:p>
    <w:p w14:paraId="23E0C664" w14:textId="2543D894" w:rsidR="001840D3" w:rsidRPr="000D5DBF" w:rsidRDefault="001840D3"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sz w:val="24"/>
          <w:szCs w:val="24"/>
        </w:rPr>
        <w:t xml:space="preserve">Informācija par </w:t>
      </w:r>
      <w:r w:rsidR="002538F6">
        <w:rPr>
          <w:rFonts w:ascii="Times New Roman" w:hAnsi="Times New Roman" w:cs="Times New Roman"/>
          <w:bCs/>
          <w:sz w:val="24"/>
          <w:szCs w:val="24"/>
        </w:rPr>
        <w:t>P</w:t>
      </w:r>
      <w:r w:rsidR="002538F6" w:rsidRPr="000D5DBF">
        <w:rPr>
          <w:rFonts w:ascii="Times New Roman" w:hAnsi="Times New Roman" w:cs="Times New Roman"/>
          <w:bCs/>
          <w:sz w:val="24"/>
          <w:szCs w:val="24"/>
        </w:rPr>
        <w:t>rogramma</w:t>
      </w:r>
      <w:r w:rsidR="002538F6">
        <w:rPr>
          <w:rFonts w:ascii="Times New Roman" w:hAnsi="Times New Roman" w:cs="Times New Roman"/>
          <w:bCs/>
          <w:sz w:val="24"/>
          <w:szCs w:val="24"/>
        </w:rPr>
        <w:t xml:space="preserve">s </w:t>
      </w:r>
      <w:r w:rsidRPr="000D5DBF">
        <w:rPr>
          <w:rFonts w:ascii="Times New Roman" w:hAnsi="Times New Roman" w:cs="Times New Roman"/>
          <w:noProof/>
          <w:sz w:val="24"/>
          <w:szCs w:val="24"/>
        </w:rPr>
        <w:t xml:space="preserve">ietvaros </w:t>
      </w:r>
      <w:r w:rsidRPr="000D5DBF">
        <w:rPr>
          <w:rFonts w:ascii="Times New Roman" w:hAnsi="Times New Roman" w:cs="Times New Roman"/>
          <w:sz w:val="24"/>
          <w:szCs w:val="24"/>
          <w:lang w:bidi="ar-SA"/>
        </w:rPr>
        <w:t xml:space="preserve">atbalstītajām darbībām, nozīmi un rezultātiem tiks ievietota </w:t>
      </w:r>
      <w:r w:rsidRPr="000D5DBF">
        <w:rPr>
          <w:rFonts w:ascii="Times New Roman" w:eastAsia="Times New Roman" w:hAnsi="Times New Roman" w:cs="Times New Roman"/>
          <w:noProof/>
          <w:sz w:val="24"/>
          <w:szCs w:val="24"/>
        </w:rPr>
        <w:t>vienotā tīmekļa vietnē.</w:t>
      </w:r>
    </w:p>
    <w:p w14:paraId="0127ABF8" w14:textId="4A966EEE" w:rsidR="001840D3" w:rsidRPr="000D5DBF" w:rsidRDefault="001840D3"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Sešu mēnešu laikā pēc </w:t>
      </w:r>
      <w:r w:rsidR="002538F6">
        <w:rPr>
          <w:rFonts w:ascii="Times New Roman" w:hAnsi="Times New Roman" w:cs="Times New Roman"/>
          <w:bCs/>
          <w:sz w:val="24"/>
          <w:szCs w:val="24"/>
        </w:rPr>
        <w:t>P</w:t>
      </w:r>
      <w:r w:rsidR="002538F6" w:rsidRPr="000D5DBF">
        <w:rPr>
          <w:rFonts w:ascii="Times New Roman" w:hAnsi="Times New Roman" w:cs="Times New Roman"/>
          <w:bCs/>
          <w:sz w:val="24"/>
          <w:szCs w:val="24"/>
        </w:rPr>
        <w:t>rogramma</w:t>
      </w:r>
      <w:r w:rsidR="002538F6">
        <w:rPr>
          <w:rFonts w:ascii="Times New Roman" w:hAnsi="Times New Roman" w:cs="Times New Roman"/>
          <w:bCs/>
          <w:sz w:val="24"/>
          <w:szCs w:val="24"/>
        </w:rPr>
        <w:t xml:space="preserve">s </w:t>
      </w:r>
      <w:r w:rsidRPr="000D5DBF">
        <w:rPr>
          <w:rFonts w:ascii="Times New Roman" w:eastAsia="Times New Roman" w:hAnsi="Times New Roman" w:cs="Times New Roman"/>
          <w:noProof/>
          <w:sz w:val="24"/>
          <w:szCs w:val="24"/>
        </w:rPr>
        <w:t xml:space="preserve">apstiprināšanas LM tīmekļa vietnē būs pieejama informācija par </w:t>
      </w:r>
      <w:r w:rsidR="00154C8A">
        <w:rPr>
          <w:rFonts w:ascii="Times New Roman" w:hAnsi="Times New Roman" w:cs="Times New Roman"/>
          <w:sz w:val="24"/>
          <w:szCs w:val="24"/>
        </w:rPr>
        <w:t>P</w:t>
      </w:r>
      <w:r w:rsidRPr="000D5DBF">
        <w:rPr>
          <w:rFonts w:ascii="Times New Roman" w:hAnsi="Times New Roman" w:cs="Times New Roman"/>
          <w:sz w:val="24"/>
          <w:szCs w:val="24"/>
        </w:rPr>
        <w:t xml:space="preserve">rogrammas </w:t>
      </w:r>
      <w:r w:rsidRPr="000D5DBF">
        <w:rPr>
          <w:rFonts w:ascii="Times New Roman" w:eastAsia="Times New Roman" w:hAnsi="Times New Roman" w:cs="Times New Roman"/>
          <w:noProof/>
          <w:sz w:val="24"/>
          <w:szCs w:val="24"/>
        </w:rPr>
        <w:t>mērķiem, atbalstītajām darbībām un piešķirto finansējumu.</w:t>
      </w:r>
    </w:p>
    <w:p w14:paraId="69FD0110" w14:textId="77777777" w:rsidR="001840D3" w:rsidRPr="000D5DBF" w:rsidRDefault="001840D3"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LM un sadarbības iestādes tīmekļa vietnē tiks publiskota visa uz atklātiem konkursiem attiecināma informācija atbilstoši KNR 44. panta 2. un 3. punktā noteiktajam.</w:t>
      </w:r>
    </w:p>
    <w:p w14:paraId="2A1EB6F4" w14:textId="6A039CED" w:rsidR="001840D3" w:rsidRPr="000D5DBF" w:rsidRDefault="001840D3"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Noslēgtajās vienošanās vai līgumos ar finansējuma saņēmējiem tiks iekļauta prasība nodrošināt pārredzamību un informēšanu par </w:t>
      </w:r>
      <w:r w:rsidR="002538F6">
        <w:rPr>
          <w:rFonts w:ascii="Times New Roman" w:hAnsi="Times New Roman" w:cs="Times New Roman"/>
          <w:bCs/>
          <w:sz w:val="24"/>
          <w:szCs w:val="24"/>
        </w:rPr>
        <w:t>Programmu</w:t>
      </w:r>
      <w:r w:rsidRPr="000D5DBF">
        <w:rPr>
          <w:rFonts w:ascii="Times New Roman" w:hAnsi="Times New Roman" w:cs="Times New Roman"/>
          <w:sz w:val="24"/>
          <w:szCs w:val="24"/>
        </w:rPr>
        <w:t xml:space="preserve"> atbilstoši </w:t>
      </w:r>
      <w:r w:rsidRPr="000D5DBF">
        <w:rPr>
          <w:rFonts w:ascii="Times New Roman" w:eastAsia="Times New Roman" w:hAnsi="Times New Roman" w:cs="Times New Roman"/>
          <w:noProof/>
          <w:sz w:val="24"/>
          <w:szCs w:val="24"/>
        </w:rPr>
        <w:t>KNR 45. panta 1. punktā noteiktajam.</w:t>
      </w:r>
    </w:p>
    <w:p w14:paraId="775D8268" w14:textId="607C69A3" w:rsidR="001840D3" w:rsidRPr="000D5DBF" w:rsidRDefault="002538F6"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1840D3" w:rsidRPr="000D5DBF">
        <w:rPr>
          <w:rFonts w:ascii="Times New Roman" w:hAnsi="Times New Roman" w:cs="Times New Roman"/>
          <w:sz w:val="24"/>
          <w:szCs w:val="24"/>
        </w:rPr>
        <w:t>vadošā iestāde, sadarbības iestāde un finansējuma saņēmēji, veicot redzamības, pārredzamības un komunikācijas aktivitātes, izmantos ES emblēmu saskaņā ar KNR VIII pielikuma noteikumiem.</w:t>
      </w:r>
    </w:p>
    <w:p w14:paraId="72850360" w14:textId="4F390B47" w:rsidR="001840D3" w:rsidRPr="000D5DBF" w:rsidRDefault="002538F6" w:rsidP="00BA1297">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360F18" w:rsidRPr="000D5DBF">
        <w:rPr>
          <w:rFonts w:ascii="Times New Roman" w:hAnsi="Times New Roman" w:cs="Times New Roman"/>
          <w:sz w:val="24"/>
          <w:szCs w:val="24"/>
        </w:rPr>
        <w:t>ietvaros b</w:t>
      </w:r>
      <w:r w:rsidR="001840D3" w:rsidRPr="000D5DBF">
        <w:rPr>
          <w:rFonts w:ascii="Times New Roman" w:hAnsi="Times New Roman" w:cs="Times New Roman"/>
          <w:sz w:val="24"/>
          <w:szCs w:val="24"/>
        </w:rPr>
        <w:t>ūtiska ir kvalitatīvas un savlaicīgas informācijas nodrošināšana šādām mērķauditorijas grupām:</w:t>
      </w:r>
    </w:p>
    <w:p w14:paraId="73DF7D72" w14:textId="20596B39" w:rsidR="001840D3" w:rsidRPr="000D5DBF" w:rsidRDefault="008C1381" w:rsidP="00BA1297">
      <w:pPr>
        <w:pStyle w:val="ListParagraph"/>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w:t>
      </w:r>
      <w:r w:rsidR="001840D3" w:rsidRPr="000D5DBF">
        <w:rPr>
          <w:rFonts w:ascii="Times New Roman" w:hAnsi="Times New Roman" w:cs="Times New Roman"/>
          <w:sz w:val="24"/>
          <w:szCs w:val="24"/>
        </w:rPr>
        <w:t>rogrammas atbalsta gala saņēmēji;</w:t>
      </w:r>
    </w:p>
    <w:p w14:paraId="5FDC7D1E" w14:textId="77777777" w:rsidR="001840D3" w:rsidRPr="000D5DBF" w:rsidRDefault="001840D3" w:rsidP="00BA1297">
      <w:pPr>
        <w:pStyle w:val="ListParagraph"/>
        <w:numPr>
          <w:ilvl w:val="0"/>
          <w:numId w:val="29"/>
        </w:numPr>
        <w:spacing w:after="0" w:line="240" w:lineRule="auto"/>
        <w:ind w:left="993" w:hanging="426"/>
        <w:jc w:val="both"/>
        <w:rPr>
          <w:rFonts w:ascii="Times New Roman" w:hAnsi="Times New Roman" w:cs="Times New Roman"/>
          <w:sz w:val="24"/>
          <w:szCs w:val="24"/>
        </w:rPr>
      </w:pPr>
      <w:r w:rsidRPr="000D5DBF">
        <w:rPr>
          <w:rFonts w:ascii="Times New Roman" w:hAnsi="Times New Roman" w:cs="Times New Roman"/>
          <w:sz w:val="24"/>
          <w:szCs w:val="24"/>
        </w:rPr>
        <w:t>Potenciālie finansējuma saņēmēji – partnerorganizācijas: nevalstiskas un reliģiskās organizācijas, pašvaldības un to iestādes;</w:t>
      </w:r>
    </w:p>
    <w:p w14:paraId="28B8C7BC" w14:textId="7A71F216" w:rsidR="001840D3" w:rsidRPr="000D5DBF" w:rsidRDefault="001840D3" w:rsidP="00BA1297">
      <w:pPr>
        <w:pStyle w:val="ListParagraph"/>
        <w:numPr>
          <w:ilvl w:val="0"/>
          <w:numId w:val="29"/>
        </w:numPr>
        <w:spacing w:after="0" w:line="240" w:lineRule="auto"/>
        <w:ind w:left="993" w:hanging="426"/>
        <w:jc w:val="both"/>
        <w:rPr>
          <w:rFonts w:ascii="Times New Roman" w:hAnsi="Times New Roman" w:cs="Times New Roman"/>
          <w:sz w:val="24"/>
          <w:szCs w:val="24"/>
        </w:rPr>
      </w:pPr>
      <w:r w:rsidRPr="000D5DBF">
        <w:rPr>
          <w:rFonts w:ascii="Times New Roman" w:hAnsi="Times New Roman" w:cs="Times New Roman"/>
          <w:sz w:val="24"/>
          <w:szCs w:val="24"/>
        </w:rPr>
        <w:t xml:space="preserve">Ieinteresētās puses </w:t>
      </w:r>
      <w:r w:rsidR="008C1381">
        <w:rPr>
          <w:rFonts w:ascii="Times New Roman" w:hAnsi="Times New Roman" w:cs="Times New Roman"/>
          <w:sz w:val="24"/>
          <w:szCs w:val="24"/>
        </w:rPr>
        <w:t>–</w:t>
      </w:r>
      <w:r w:rsidRPr="000D5DBF">
        <w:rPr>
          <w:rFonts w:ascii="Times New Roman" w:hAnsi="Times New Roman" w:cs="Times New Roman"/>
          <w:sz w:val="24"/>
          <w:szCs w:val="24"/>
        </w:rPr>
        <w:t xml:space="preserve"> KDG;</w:t>
      </w:r>
    </w:p>
    <w:p w14:paraId="53D336FC" w14:textId="7CB158A3" w:rsidR="001840D3" w:rsidRPr="000D5DBF" w:rsidRDefault="008C1381" w:rsidP="00BA1297">
      <w:pPr>
        <w:pStyle w:val="ListParagraph"/>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w:t>
      </w:r>
      <w:r w:rsidR="001840D3" w:rsidRPr="000D5DBF">
        <w:rPr>
          <w:rFonts w:ascii="Times New Roman" w:hAnsi="Times New Roman" w:cs="Times New Roman"/>
          <w:sz w:val="24"/>
          <w:szCs w:val="24"/>
        </w:rPr>
        <w:t>rogrammas vadībā</w:t>
      </w:r>
      <w:r>
        <w:rPr>
          <w:rFonts w:ascii="Times New Roman" w:hAnsi="Times New Roman" w:cs="Times New Roman"/>
          <w:sz w:val="24"/>
          <w:szCs w:val="24"/>
        </w:rPr>
        <w:t xml:space="preserve"> un uzraudzībā</w:t>
      </w:r>
      <w:r w:rsidR="001840D3" w:rsidRPr="000D5DBF">
        <w:rPr>
          <w:rFonts w:ascii="Times New Roman" w:hAnsi="Times New Roman" w:cs="Times New Roman"/>
          <w:sz w:val="24"/>
          <w:szCs w:val="24"/>
        </w:rPr>
        <w:t xml:space="preserve"> iesaistītās institūcijas;</w:t>
      </w:r>
    </w:p>
    <w:p w14:paraId="68F14A85" w14:textId="77777777" w:rsidR="001840D3" w:rsidRPr="000D5DBF" w:rsidRDefault="001840D3" w:rsidP="00BA1297">
      <w:pPr>
        <w:pStyle w:val="ListParagraph"/>
        <w:numPr>
          <w:ilvl w:val="0"/>
          <w:numId w:val="29"/>
        </w:numPr>
        <w:spacing w:after="0" w:line="240" w:lineRule="auto"/>
        <w:ind w:left="993" w:hanging="426"/>
        <w:jc w:val="both"/>
        <w:rPr>
          <w:rFonts w:ascii="Times New Roman" w:hAnsi="Times New Roman" w:cs="Times New Roman"/>
          <w:sz w:val="24"/>
          <w:szCs w:val="24"/>
        </w:rPr>
      </w:pPr>
      <w:r w:rsidRPr="000D5DBF">
        <w:rPr>
          <w:rFonts w:ascii="Times New Roman" w:hAnsi="Times New Roman" w:cs="Times New Roman"/>
          <w:sz w:val="24"/>
          <w:szCs w:val="24"/>
        </w:rPr>
        <w:t>Sabiedrība kopumā;</w:t>
      </w:r>
    </w:p>
    <w:p w14:paraId="0BC4BC84" w14:textId="09DBD4E3" w:rsidR="001840D3" w:rsidRPr="000D5DBF" w:rsidRDefault="001840D3" w:rsidP="00BA1297">
      <w:pPr>
        <w:pStyle w:val="ListParagraph"/>
        <w:numPr>
          <w:ilvl w:val="0"/>
          <w:numId w:val="29"/>
        </w:numPr>
        <w:spacing w:after="0" w:line="240" w:lineRule="auto"/>
        <w:ind w:left="993" w:hanging="426"/>
        <w:jc w:val="both"/>
        <w:rPr>
          <w:rFonts w:ascii="Times New Roman" w:hAnsi="Times New Roman" w:cs="Times New Roman"/>
          <w:sz w:val="24"/>
          <w:szCs w:val="24"/>
        </w:rPr>
      </w:pPr>
      <w:r w:rsidRPr="000D5DBF">
        <w:rPr>
          <w:rFonts w:ascii="Times New Roman" w:hAnsi="Times New Roman" w:cs="Times New Roman"/>
          <w:sz w:val="24"/>
          <w:szCs w:val="24"/>
        </w:rPr>
        <w:t xml:space="preserve">Korporatīvās (iekšējās) auditorijas: valsts pārvaldes un ES fondu vadībā </w:t>
      </w:r>
      <w:r w:rsidR="008C1381">
        <w:rPr>
          <w:rFonts w:ascii="Times New Roman" w:hAnsi="Times New Roman" w:cs="Times New Roman"/>
          <w:sz w:val="24"/>
          <w:szCs w:val="24"/>
        </w:rPr>
        <w:t xml:space="preserve">un uzraudzībā </w:t>
      </w:r>
      <w:r w:rsidRPr="000D5DBF">
        <w:rPr>
          <w:rFonts w:ascii="Times New Roman" w:hAnsi="Times New Roman" w:cs="Times New Roman"/>
          <w:sz w:val="24"/>
          <w:szCs w:val="24"/>
        </w:rPr>
        <w:t>iesaistīto iestāžu darbinieki.</w:t>
      </w:r>
    </w:p>
    <w:p w14:paraId="7A481312" w14:textId="505CFF9C" w:rsidR="000D0773" w:rsidRPr="00CC6B98" w:rsidRDefault="008C1381" w:rsidP="00733CAA">
      <w:pPr>
        <w:pStyle w:val="ListParagraph"/>
        <w:numPr>
          <w:ilvl w:val="0"/>
          <w:numId w:val="2"/>
        </w:numPr>
        <w:spacing w:after="0" w:line="240" w:lineRule="auto"/>
        <w:ind w:left="567" w:hanging="539"/>
        <w:jc w:val="both"/>
        <w:rPr>
          <w:rFonts w:ascii="Times New Roman" w:hAnsi="Times New Roman" w:cs="Times New Roman"/>
          <w:sz w:val="24"/>
          <w:szCs w:val="24"/>
        </w:rPr>
      </w:pPr>
      <w:r w:rsidRPr="00A86E57">
        <w:rPr>
          <w:rFonts w:ascii="Times New Roman" w:hAnsi="Times New Roman" w:cs="Times New Roman"/>
          <w:sz w:val="24"/>
          <w:szCs w:val="24"/>
        </w:rPr>
        <w:t>Informācijas par P</w:t>
      </w:r>
      <w:r w:rsidR="001840D3" w:rsidRPr="00A86E57">
        <w:rPr>
          <w:rFonts w:ascii="Times New Roman" w:hAnsi="Times New Roman" w:cs="Times New Roman"/>
          <w:sz w:val="24"/>
          <w:szCs w:val="24"/>
        </w:rPr>
        <w:t xml:space="preserve">rogrammu izplatīšanai izmantojams plašs komunikācijas kanālu </w:t>
      </w:r>
      <w:r w:rsidR="00D85B3E">
        <w:rPr>
          <w:rFonts w:ascii="Times New Roman" w:hAnsi="Times New Roman" w:cs="Times New Roman"/>
          <w:sz w:val="24"/>
          <w:szCs w:val="24"/>
        </w:rPr>
        <w:t>tīkls, kas nodrošina</w:t>
      </w:r>
      <w:r w:rsidR="001840D3" w:rsidRPr="00A86E57">
        <w:rPr>
          <w:rFonts w:ascii="Times New Roman" w:hAnsi="Times New Roman" w:cs="Times New Roman"/>
          <w:sz w:val="24"/>
          <w:szCs w:val="24"/>
        </w:rPr>
        <w:t xml:space="preserve"> visām mērķa grupām objektīvu un izs</w:t>
      </w:r>
      <w:r w:rsidR="00D85B3E">
        <w:rPr>
          <w:rFonts w:ascii="Times New Roman" w:hAnsi="Times New Roman" w:cs="Times New Roman"/>
          <w:sz w:val="24"/>
          <w:szCs w:val="24"/>
        </w:rPr>
        <w:t>meļošu informāciju.</w:t>
      </w:r>
      <w:r w:rsidR="00FD6936">
        <w:rPr>
          <w:rFonts w:ascii="Times New Roman" w:hAnsi="Times New Roman" w:cs="Times New Roman"/>
          <w:sz w:val="24"/>
          <w:szCs w:val="24"/>
        </w:rPr>
        <w:t xml:space="preserve"> </w:t>
      </w:r>
      <w:r w:rsidR="00D85B3E" w:rsidRPr="00FD6936">
        <w:rPr>
          <w:rFonts w:ascii="Times New Roman" w:hAnsi="Times New Roman" w:cs="Times New Roman"/>
          <w:sz w:val="24"/>
          <w:szCs w:val="24"/>
        </w:rPr>
        <w:t xml:space="preserve">Atbalsta gala saņēmēju informēšanu par atbalsta saņemšanas nosacījumiem veic pašvaldību sociālie dienesti, kur </w:t>
      </w:r>
      <w:r w:rsidR="00FD6936">
        <w:rPr>
          <w:rFonts w:ascii="Times New Roman" w:hAnsi="Times New Roman" w:cs="Times New Roman"/>
          <w:sz w:val="24"/>
          <w:szCs w:val="24"/>
        </w:rPr>
        <w:t>mājsaimniecības</w:t>
      </w:r>
      <w:r w:rsidR="00D85B3E" w:rsidRPr="00FD6936">
        <w:rPr>
          <w:rFonts w:ascii="Times New Roman" w:hAnsi="Times New Roman" w:cs="Times New Roman"/>
          <w:sz w:val="24"/>
          <w:szCs w:val="24"/>
        </w:rPr>
        <w:t xml:space="preserve"> vēršas tiesību uz atbalstu saņemšanai. Sociālais dienests atzīts kā populārākais informācijas kanāls EAFVP darbības programmas īstenošanas l</w:t>
      </w:r>
      <w:r w:rsidR="00D85B3E" w:rsidRPr="008F6977">
        <w:rPr>
          <w:rFonts w:ascii="Times New Roman" w:hAnsi="Times New Roman" w:cs="Times New Roman"/>
          <w:sz w:val="24"/>
          <w:szCs w:val="24"/>
        </w:rPr>
        <w:t>aikā</w:t>
      </w:r>
      <w:r w:rsidR="00FD6936" w:rsidRPr="008F6977">
        <w:rPr>
          <w:rFonts w:ascii="Times New Roman" w:hAnsi="Times New Roman" w:cs="Times New Roman"/>
          <w:sz w:val="24"/>
          <w:szCs w:val="24"/>
        </w:rPr>
        <w:t xml:space="preserve">. </w:t>
      </w:r>
      <w:r w:rsidR="00FA6931" w:rsidRPr="008F6977">
        <w:rPr>
          <w:rFonts w:ascii="Times New Roman" w:hAnsi="Times New Roman" w:cs="Times New Roman"/>
          <w:sz w:val="24"/>
          <w:szCs w:val="24"/>
        </w:rPr>
        <w:t>Vienlaikus t</w:t>
      </w:r>
      <w:r w:rsidR="001840D3" w:rsidRPr="008F6977">
        <w:rPr>
          <w:rFonts w:ascii="Times New Roman" w:hAnsi="Times New Roman" w:cs="Times New Roman"/>
          <w:sz w:val="24"/>
          <w:szCs w:val="24"/>
        </w:rPr>
        <w:t xml:space="preserve">iks izmantoti jau </w:t>
      </w:r>
      <w:r w:rsidR="005E7BE5" w:rsidRPr="008F6977">
        <w:rPr>
          <w:rFonts w:ascii="Times New Roman" w:hAnsi="Times New Roman" w:cs="Times New Roman"/>
          <w:sz w:val="24"/>
          <w:szCs w:val="24"/>
        </w:rPr>
        <w:t>līdz šim</w:t>
      </w:r>
      <w:r w:rsidR="001D550C" w:rsidRPr="008F6977">
        <w:rPr>
          <w:rFonts w:ascii="Times New Roman" w:hAnsi="Times New Roman" w:cs="Times New Roman"/>
          <w:sz w:val="24"/>
          <w:szCs w:val="24"/>
        </w:rPr>
        <w:t xml:space="preserve"> izmantotie</w:t>
      </w:r>
      <w:r w:rsidR="001840D3" w:rsidRPr="008F6977">
        <w:rPr>
          <w:rFonts w:ascii="Times New Roman" w:hAnsi="Times New Roman" w:cs="Times New Roman"/>
          <w:sz w:val="24"/>
          <w:szCs w:val="24"/>
        </w:rPr>
        <w:t xml:space="preserve"> komunikācijas kanāli – vadošās un sadarbības iestādes tīmekļa vietnes, sociālo tīklu konti, d</w:t>
      </w:r>
      <w:r w:rsidR="008F6977" w:rsidRPr="008F6977">
        <w:rPr>
          <w:rFonts w:ascii="Times New Roman" w:hAnsi="Times New Roman" w:cs="Times New Roman"/>
          <w:sz w:val="24"/>
          <w:szCs w:val="24"/>
        </w:rPr>
        <w:t>rukātie materiāli (infografikas</w:t>
      </w:r>
      <w:r w:rsidR="001840D3" w:rsidRPr="008F6977">
        <w:rPr>
          <w:rFonts w:ascii="Times New Roman" w:hAnsi="Times New Roman" w:cs="Times New Roman"/>
          <w:sz w:val="24"/>
          <w:szCs w:val="24"/>
        </w:rPr>
        <w:t>). Mazākā mērā informācijas sniegšanai tiks izmantoti plašsaziņas līdzekļi, informatīvie pasākumi (semināri, preses</w:t>
      </w:r>
      <w:r w:rsidR="008F6977" w:rsidRPr="008F6977">
        <w:rPr>
          <w:rFonts w:ascii="Times New Roman" w:hAnsi="Times New Roman" w:cs="Times New Roman"/>
          <w:sz w:val="24"/>
          <w:szCs w:val="24"/>
        </w:rPr>
        <w:t xml:space="preserve"> konferences), vides reklāma.</w:t>
      </w:r>
    </w:p>
    <w:p w14:paraId="4D476EC2" w14:textId="77777777" w:rsidR="00C83ED9" w:rsidRPr="000D5DBF" w:rsidRDefault="00C83ED9" w:rsidP="00BA1297">
      <w:pPr>
        <w:spacing w:before="0" w:after="0"/>
        <w:rPr>
          <w:noProof/>
          <w:szCs w:val="24"/>
        </w:rPr>
      </w:pPr>
    </w:p>
    <w:p w14:paraId="4870E41D" w14:textId="77777777" w:rsidR="00C83ED9" w:rsidRPr="000D5DBF" w:rsidRDefault="00C83ED9" w:rsidP="00BA1297">
      <w:pPr>
        <w:spacing w:before="0" w:after="0"/>
        <w:rPr>
          <w:noProof/>
          <w:szCs w:val="24"/>
        </w:rPr>
        <w:sectPr w:rsidR="00C83ED9" w:rsidRPr="000D5DBF" w:rsidSect="00C84AC9">
          <w:footerReference w:type="default" r:id="rId8"/>
          <w:pgSz w:w="11906" w:h="16838"/>
          <w:pgMar w:top="1134" w:right="1276" w:bottom="1440" w:left="1701" w:header="708" w:footer="708" w:gutter="0"/>
          <w:cols w:space="708"/>
          <w:titlePg/>
          <w:docGrid w:linePitch="360"/>
        </w:sectPr>
      </w:pPr>
    </w:p>
    <w:p w14:paraId="2DEC0BFF" w14:textId="77777777" w:rsidR="00B65BDD" w:rsidRPr="000D5DBF" w:rsidRDefault="00486440" w:rsidP="00BA1297">
      <w:pPr>
        <w:pStyle w:val="Heading1"/>
        <w:numPr>
          <w:ilvl w:val="0"/>
          <w:numId w:val="30"/>
        </w:numPr>
        <w:spacing w:before="0"/>
        <w:rPr>
          <w:rFonts w:ascii="Times New Roman" w:hAnsi="Times New Roman" w:cs="Times New Roman"/>
          <w:b/>
          <w:noProof/>
          <w:color w:val="auto"/>
          <w:sz w:val="28"/>
          <w:szCs w:val="28"/>
        </w:rPr>
      </w:pPr>
      <w:bookmarkStart w:id="20" w:name="_Toc62557119"/>
      <w:r w:rsidRPr="000D5DBF">
        <w:rPr>
          <w:rFonts w:ascii="Times New Roman" w:hAnsi="Times New Roman" w:cs="Times New Roman"/>
          <w:b/>
          <w:noProof/>
          <w:color w:val="auto"/>
          <w:sz w:val="28"/>
          <w:szCs w:val="28"/>
        </w:rPr>
        <w:lastRenderedPageBreak/>
        <w:t>Finanšu</w:t>
      </w:r>
      <w:r w:rsidR="00B65BDD" w:rsidRPr="000D5DBF">
        <w:rPr>
          <w:rFonts w:ascii="Times New Roman" w:hAnsi="Times New Roman" w:cs="Times New Roman"/>
          <w:b/>
          <w:noProof/>
          <w:color w:val="auto"/>
          <w:sz w:val="28"/>
          <w:szCs w:val="28"/>
        </w:rPr>
        <w:t xml:space="preserve"> plāns</w:t>
      </w:r>
      <w:bookmarkEnd w:id="20"/>
    </w:p>
    <w:p w14:paraId="5394F8D9" w14:textId="77777777" w:rsidR="00E02DDA" w:rsidRPr="000D5DBF" w:rsidRDefault="00E02DDA" w:rsidP="00BA1297">
      <w:pPr>
        <w:spacing w:before="0" w:after="0"/>
        <w:rPr>
          <w:rFonts w:eastAsia="Times New Roman"/>
          <w:noProof/>
          <w:szCs w:val="24"/>
        </w:rPr>
      </w:pPr>
    </w:p>
    <w:p w14:paraId="151B740D" w14:textId="77777777" w:rsidR="00DF1ABB" w:rsidRPr="000D5DBF" w:rsidRDefault="00486440" w:rsidP="00BA1297">
      <w:pPr>
        <w:pStyle w:val="Heading2"/>
        <w:numPr>
          <w:ilvl w:val="1"/>
          <w:numId w:val="30"/>
        </w:numPr>
        <w:spacing w:before="0"/>
        <w:rPr>
          <w:rFonts w:ascii="Times New Roman" w:eastAsia="Times New Roman" w:hAnsi="Times New Roman" w:cs="Times New Roman"/>
          <w:b/>
          <w:noProof/>
          <w:color w:val="auto"/>
          <w:sz w:val="24"/>
          <w:szCs w:val="24"/>
        </w:rPr>
      </w:pPr>
      <w:bookmarkStart w:id="21" w:name="_Toc62557120"/>
      <w:r w:rsidRPr="000D5DBF">
        <w:rPr>
          <w:rFonts w:ascii="Times New Roman" w:eastAsia="Times New Roman" w:hAnsi="Times New Roman" w:cs="Times New Roman"/>
          <w:b/>
          <w:noProof/>
          <w:color w:val="auto"/>
          <w:sz w:val="24"/>
          <w:szCs w:val="24"/>
        </w:rPr>
        <w:t>Finanšu apropriācijas pa gadiem</w:t>
      </w:r>
      <w:bookmarkEnd w:id="21"/>
    </w:p>
    <w:p w14:paraId="593FDAAE" w14:textId="77777777" w:rsidR="00DF1ABB" w:rsidRPr="000D5DBF" w:rsidRDefault="00DF1ABB" w:rsidP="00BA1297">
      <w:pPr>
        <w:spacing w:before="0" w:after="0"/>
        <w:rPr>
          <w:rFonts w:eastAsia="Times New Roman"/>
          <w:noProof/>
          <w:szCs w:val="24"/>
        </w:rPr>
      </w:pPr>
    </w:p>
    <w:tbl>
      <w:tblPr>
        <w:tblStyle w:val="TableGrid"/>
        <w:tblW w:w="14170" w:type="dxa"/>
        <w:tblLook w:val="04A0" w:firstRow="1" w:lastRow="0" w:firstColumn="1" w:lastColumn="0" w:noHBand="0" w:noVBand="1"/>
      </w:tblPr>
      <w:tblGrid>
        <w:gridCol w:w="988"/>
        <w:gridCol w:w="2268"/>
        <w:gridCol w:w="1417"/>
        <w:gridCol w:w="1418"/>
        <w:gridCol w:w="1275"/>
        <w:gridCol w:w="1276"/>
        <w:gridCol w:w="1276"/>
        <w:gridCol w:w="1417"/>
        <w:gridCol w:w="1276"/>
        <w:gridCol w:w="1559"/>
      </w:tblGrid>
      <w:tr w:rsidR="00F0703E" w:rsidRPr="000D5DBF" w14:paraId="20C1F5DD" w14:textId="77777777" w:rsidTr="00A82F52">
        <w:tc>
          <w:tcPr>
            <w:tcW w:w="14170" w:type="dxa"/>
            <w:gridSpan w:val="10"/>
          </w:tcPr>
          <w:p w14:paraId="01B53BC0" w14:textId="77777777" w:rsidR="00A82F52" w:rsidRPr="000D5DBF" w:rsidRDefault="0077598E" w:rsidP="00BA1297">
            <w:pPr>
              <w:spacing w:before="0" w:after="0"/>
              <w:rPr>
                <w:noProof/>
                <w:szCs w:val="24"/>
              </w:rPr>
            </w:pPr>
            <w:r w:rsidRPr="000D5DBF">
              <w:rPr>
                <w:noProof/>
                <w:szCs w:val="24"/>
              </w:rPr>
              <w:t>1</w:t>
            </w:r>
            <w:r w:rsidR="00A82F52" w:rsidRPr="000D5DBF">
              <w:rPr>
                <w:noProof/>
                <w:szCs w:val="24"/>
              </w:rPr>
              <w:t>. tabula. Finanšu apropriācijas pa gadiem</w:t>
            </w:r>
          </w:p>
        </w:tc>
      </w:tr>
      <w:tr w:rsidR="00F0703E" w:rsidRPr="000D5DBF" w14:paraId="790709E7" w14:textId="77777777" w:rsidTr="0091096B">
        <w:tc>
          <w:tcPr>
            <w:tcW w:w="988" w:type="dxa"/>
          </w:tcPr>
          <w:p w14:paraId="4C01F335" w14:textId="77777777" w:rsidR="00A82F52" w:rsidRPr="000D5DBF" w:rsidRDefault="00A82F52" w:rsidP="00BA1297">
            <w:pPr>
              <w:spacing w:before="0" w:after="0"/>
              <w:rPr>
                <w:b/>
                <w:noProof/>
                <w:szCs w:val="24"/>
              </w:rPr>
            </w:pPr>
            <w:r w:rsidRPr="000D5DBF">
              <w:rPr>
                <w:b/>
                <w:noProof/>
                <w:szCs w:val="24"/>
              </w:rPr>
              <w:t>Fonds</w:t>
            </w:r>
          </w:p>
        </w:tc>
        <w:tc>
          <w:tcPr>
            <w:tcW w:w="2268" w:type="dxa"/>
          </w:tcPr>
          <w:p w14:paraId="01DC1385" w14:textId="77777777" w:rsidR="00A82F52" w:rsidRPr="000D5DBF" w:rsidRDefault="00A82F52" w:rsidP="00BA1297">
            <w:pPr>
              <w:spacing w:before="0" w:after="0"/>
              <w:rPr>
                <w:b/>
                <w:noProof/>
                <w:szCs w:val="24"/>
              </w:rPr>
            </w:pPr>
            <w:r w:rsidRPr="000D5DBF">
              <w:rPr>
                <w:b/>
                <w:noProof/>
                <w:szCs w:val="24"/>
              </w:rPr>
              <w:t>Reģiona kategorija</w:t>
            </w:r>
          </w:p>
        </w:tc>
        <w:tc>
          <w:tcPr>
            <w:tcW w:w="1417" w:type="dxa"/>
          </w:tcPr>
          <w:p w14:paraId="72E591EE" w14:textId="77777777" w:rsidR="00A82F52" w:rsidRPr="000D5DBF" w:rsidRDefault="00A82F52" w:rsidP="00BA1297">
            <w:pPr>
              <w:spacing w:before="0" w:after="0"/>
              <w:jc w:val="center"/>
              <w:rPr>
                <w:b/>
                <w:noProof/>
                <w:szCs w:val="24"/>
              </w:rPr>
            </w:pPr>
            <w:r w:rsidRPr="000D5DBF">
              <w:rPr>
                <w:b/>
                <w:noProof/>
                <w:szCs w:val="24"/>
              </w:rPr>
              <w:t>2021</w:t>
            </w:r>
          </w:p>
        </w:tc>
        <w:tc>
          <w:tcPr>
            <w:tcW w:w="1418" w:type="dxa"/>
          </w:tcPr>
          <w:p w14:paraId="6C1C55A4" w14:textId="77777777" w:rsidR="00A82F52" w:rsidRPr="000D5DBF" w:rsidRDefault="00A82F52" w:rsidP="00BA1297">
            <w:pPr>
              <w:spacing w:before="0" w:after="0"/>
              <w:jc w:val="center"/>
              <w:rPr>
                <w:b/>
                <w:noProof/>
                <w:szCs w:val="24"/>
              </w:rPr>
            </w:pPr>
            <w:r w:rsidRPr="000D5DBF">
              <w:rPr>
                <w:b/>
                <w:noProof/>
                <w:szCs w:val="24"/>
              </w:rPr>
              <w:t>2022</w:t>
            </w:r>
          </w:p>
        </w:tc>
        <w:tc>
          <w:tcPr>
            <w:tcW w:w="1275" w:type="dxa"/>
          </w:tcPr>
          <w:p w14:paraId="160E6101" w14:textId="77777777" w:rsidR="00A82F52" w:rsidRPr="000D5DBF" w:rsidRDefault="00A82F52" w:rsidP="00BA1297">
            <w:pPr>
              <w:spacing w:before="0" w:after="0"/>
              <w:jc w:val="center"/>
              <w:rPr>
                <w:b/>
                <w:noProof/>
                <w:szCs w:val="24"/>
              </w:rPr>
            </w:pPr>
            <w:r w:rsidRPr="000D5DBF">
              <w:rPr>
                <w:b/>
                <w:noProof/>
                <w:szCs w:val="24"/>
              </w:rPr>
              <w:t>2023</w:t>
            </w:r>
          </w:p>
        </w:tc>
        <w:tc>
          <w:tcPr>
            <w:tcW w:w="1276" w:type="dxa"/>
          </w:tcPr>
          <w:p w14:paraId="40AC108C" w14:textId="77777777" w:rsidR="00A82F52" w:rsidRPr="000D5DBF" w:rsidRDefault="00A82F52" w:rsidP="00BA1297">
            <w:pPr>
              <w:spacing w:before="0" w:after="0"/>
              <w:jc w:val="center"/>
              <w:rPr>
                <w:b/>
                <w:noProof/>
                <w:szCs w:val="24"/>
              </w:rPr>
            </w:pPr>
            <w:r w:rsidRPr="000D5DBF">
              <w:rPr>
                <w:b/>
                <w:noProof/>
                <w:szCs w:val="24"/>
              </w:rPr>
              <w:t>2024</w:t>
            </w:r>
          </w:p>
        </w:tc>
        <w:tc>
          <w:tcPr>
            <w:tcW w:w="1276" w:type="dxa"/>
          </w:tcPr>
          <w:p w14:paraId="240392A5" w14:textId="77777777" w:rsidR="00A82F52" w:rsidRPr="000D5DBF" w:rsidRDefault="00A82F52" w:rsidP="00BA1297">
            <w:pPr>
              <w:spacing w:before="0" w:after="0"/>
              <w:jc w:val="center"/>
              <w:rPr>
                <w:b/>
                <w:noProof/>
                <w:szCs w:val="24"/>
              </w:rPr>
            </w:pPr>
            <w:r w:rsidRPr="000D5DBF">
              <w:rPr>
                <w:b/>
                <w:noProof/>
                <w:szCs w:val="24"/>
              </w:rPr>
              <w:t>2025</w:t>
            </w:r>
          </w:p>
        </w:tc>
        <w:tc>
          <w:tcPr>
            <w:tcW w:w="1417" w:type="dxa"/>
          </w:tcPr>
          <w:p w14:paraId="381D77DE" w14:textId="77777777" w:rsidR="00A82F52" w:rsidRPr="000D5DBF" w:rsidRDefault="00A82F52" w:rsidP="00BA1297">
            <w:pPr>
              <w:spacing w:before="0" w:after="0"/>
              <w:jc w:val="center"/>
              <w:rPr>
                <w:b/>
                <w:noProof/>
                <w:szCs w:val="24"/>
              </w:rPr>
            </w:pPr>
            <w:r w:rsidRPr="000D5DBF">
              <w:rPr>
                <w:b/>
                <w:noProof/>
                <w:szCs w:val="24"/>
              </w:rPr>
              <w:t>2026</w:t>
            </w:r>
          </w:p>
        </w:tc>
        <w:tc>
          <w:tcPr>
            <w:tcW w:w="1276" w:type="dxa"/>
          </w:tcPr>
          <w:p w14:paraId="5D8C54C4" w14:textId="77777777" w:rsidR="00A82F52" w:rsidRPr="000D5DBF" w:rsidRDefault="00A82F52" w:rsidP="00BA1297">
            <w:pPr>
              <w:spacing w:before="0" w:after="0"/>
              <w:jc w:val="center"/>
              <w:rPr>
                <w:b/>
                <w:noProof/>
                <w:szCs w:val="24"/>
              </w:rPr>
            </w:pPr>
            <w:r w:rsidRPr="000D5DBF">
              <w:rPr>
                <w:b/>
                <w:noProof/>
                <w:szCs w:val="24"/>
              </w:rPr>
              <w:t>2027</w:t>
            </w:r>
          </w:p>
        </w:tc>
        <w:tc>
          <w:tcPr>
            <w:tcW w:w="1559" w:type="dxa"/>
          </w:tcPr>
          <w:p w14:paraId="6B9CCA3A" w14:textId="77777777" w:rsidR="00A82F52" w:rsidRPr="000D5DBF" w:rsidRDefault="00A82F52" w:rsidP="00BA1297">
            <w:pPr>
              <w:spacing w:before="0" w:after="0"/>
              <w:jc w:val="center"/>
              <w:rPr>
                <w:b/>
                <w:noProof/>
                <w:szCs w:val="24"/>
              </w:rPr>
            </w:pPr>
            <w:r w:rsidRPr="000D5DBF">
              <w:rPr>
                <w:b/>
                <w:noProof/>
                <w:szCs w:val="24"/>
              </w:rPr>
              <w:t>Kopā</w:t>
            </w:r>
          </w:p>
        </w:tc>
      </w:tr>
      <w:tr w:rsidR="00F0703E" w:rsidRPr="000D5DBF" w14:paraId="1C6BD0F5" w14:textId="77777777" w:rsidTr="0091096B">
        <w:trPr>
          <w:trHeight w:val="616"/>
        </w:trPr>
        <w:tc>
          <w:tcPr>
            <w:tcW w:w="988" w:type="dxa"/>
          </w:tcPr>
          <w:p w14:paraId="2AE07299" w14:textId="0115C5E2" w:rsidR="00A82F52" w:rsidRPr="000D5DBF" w:rsidRDefault="00AE1C23" w:rsidP="00BA1297">
            <w:pPr>
              <w:spacing w:before="0" w:after="0"/>
              <w:rPr>
                <w:noProof/>
                <w:szCs w:val="24"/>
              </w:rPr>
            </w:pPr>
            <w:r w:rsidRPr="000D5DBF">
              <w:rPr>
                <w:noProof/>
                <w:szCs w:val="24"/>
              </w:rPr>
              <w:t>ESF+</w:t>
            </w:r>
          </w:p>
        </w:tc>
        <w:tc>
          <w:tcPr>
            <w:tcW w:w="2268" w:type="dxa"/>
          </w:tcPr>
          <w:p w14:paraId="7F991C70" w14:textId="77777777" w:rsidR="00A82F52" w:rsidRPr="000D5DBF" w:rsidRDefault="00A82F52" w:rsidP="00BA1297">
            <w:pPr>
              <w:spacing w:before="0" w:after="0"/>
              <w:rPr>
                <w:noProof/>
                <w:szCs w:val="24"/>
              </w:rPr>
            </w:pPr>
            <w:r w:rsidRPr="000D5DBF">
              <w:rPr>
                <w:noProof/>
                <w:szCs w:val="24"/>
              </w:rPr>
              <w:t>Mazāk attīstīts</w:t>
            </w:r>
          </w:p>
        </w:tc>
        <w:tc>
          <w:tcPr>
            <w:tcW w:w="1417" w:type="dxa"/>
            <w:vAlign w:val="center"/>
          </w:tcPr>
          <w:p w14:paraId="2FE4F21E" w14:textId="77777777" w:rsidR="00A82F52" w:rsidRPr="000D5DBF" w:rsidRDefault="00A82F52" w:rsidP="00BA1297">
            <w:pPr>
              <w:spacing w:before="0" w:after="0"/>
              <w:ind w:hanging="223"/>
              <w:jc w:val="center"/>
              <w:rPr>
                <w:szCs w:val="24"/>
              </w:rPr>
            </w:pPr>
            <w:r w:rsidRPr="000D5DBF">
              <w:rPr>
                <w:szCs w:val="24"/>
              </w:rPr>
              <w:t>5 030 747</w:t>
            </w:r>
          </w:p>
        </w:tc>
        <w:tc>
          <w:tcPr>
            <w:tcW w:w="1418" w:type="dxa"/>
            <w:vAlign w:val="center"/>
          </w:tcPr>
          <w:p w14:paraId="7D29456E" w14:textId="77777777" w:rsidR="00A82F52" w:rsidRPr="000D5DBF" w:rsidRDefault="00A82F52" w:rsidP="00BA1297">
            <w:pPr>
              <w:spacing w:before="0" w:after="0"/>
              <w:ind w:hanging="223"/>
              <w:jc w:val="center"/>
              <w:rPr>
                <w:szCs w:val="24"/>
              </w:rPr>
            </w:pPr>
            <w:r w:rsidRPr="000D5DBF">
              <w:rPr>
                <w:szCs w:val="24"/>
              </w:rPr>
              <w:t>5 131 362</w:t>
            </w:r>
          </w:p>
        </w:tc>
        <w:tc>
          <w:tcPr>
            <w:tcW w:w="1275" w:type="dxa"/>
            <w:vAlign w:val="center"/>
          </w:tcPr>
          <w:p w14:paraId="335999AD" w14:textId="77777777" w:rsidR="00A82F52" w:rsidRPr="000D5DBF" w:rsidRDefault="00A82F52" w:rsidP="00BA1297">
            <w:pPr>
              <w:spacing w:before="0" w:after="0"/>
              <w:ind w:hanging="223"/>
              <w:jc w:val="center"/>
              <w:rPr>
                <w:szCs w:val="24"/>
              </w:rPr>
            </w:pPr>
            <w:r w:rsidRPr="000D5DBF">
              <w:rPr>
                <w:szCs w:val="24"/>
              </w:rPr>
              <w:t>5 233 989</w:t>
            </w:r>
          </w:p>
        </w:tc>
        <w:tc>
          <w:tcPr>
            <w:tcW w:w="1276" w:type="dxa"/>
            <w:vAlign w:val="center"/>
          </w:tcPr>
          <w:p w14:paraId="0F69607C" w14:textId="77777777" w:rsidR="00A82F52" w:rsidRPr="000D5DBF" w:rsidRDefault="00A82F52" w:rsidP="00BA1297">
            <w:pPr>
              <w:spacing w:before="0" w:after="0"/>
              <w:ind w:hanging="223"/>
              <w:jc w:val="center"/>
              <w:rPr>
                <w:szCs w:val="24"/>
              </w:rPr>
            </w:pPr>
            <w:r w:rsidRPr="000D5DBF">
              <w:rPr>
                <w:szCs w:val="24"/>
              </w:rPr>
              <w:t>5 338 669</w:t>
            </w:r>
          </w:p>
        </w:tc>
        <w:tc>
          <w:tcPr>
            <w:tcW w:w="1276" w:type="dxa"/>
            <w:vAlign w:val="center"/>
          </w:tcPr>
          <w:p w14:paraId="58A73855" w14:textId="77777777" w:rsidR="00A82F52" w:rsidRPr="000D5DBF" w:rsidRDefault="00A82F52" w:rsidP="00BA1297">
            <w:pPr>
              <w:spacing w:before="0" w:after="0"/>
              <w:ind w:hanging="223"/>
              <w:jc w:val="center"/>
              <w:rPr>
                <w:szCs w:val="24"/>
              </w:rPr>
            </w:pPr>
            <w:r w:rsidRPr="000D5DBF">
              <w:rPr>
                <w:szCs w:val="24"/>
              </w:rPr>
              <w:t>5 445 442</w:t>
            </w:r>
          </w:p>
        </w:tc>
        <w:tc>
          <w:tcPr>
            <w:tcW w:w="1417" w:type="dxa"/>
            <w:vAlign w:val="center"/>
          </w:tcPr>
          <w:p w14:paraId="2228F311" w14:textId="77777777" w:rsidR="00A82F52" w:rsidRPr="000D5DBF" w:rsidRDefault="00A82F52" w:rsidP="00BA1297">
            <w:pPr>
              <w:spacing w:before="0" w:after="0"/>
              <w:ind w:hanging="223"/>
              <w:jc w:val="center"/>
              <w:rPr>
                <w:szCs w:val="24"/>
              </w:rPr>
            </w:pPr>
            <w:r w:rsidRPr="000D5DBF">
              <w:rPr>
                <w:szCs w:val="24"/>
              </w:rPr>
              <w:t>5 554 351</w:t>
            </w:r>
          </w:p>
        </w:tc>
        <w:tc>
          <w:tcPr>
            <w:tcW w:w="1276" w:type="dxa"/>
            <w:vAlign w:val="center"/>
          </w:tcPr>
          <w:p w14:paraId="18019304" w14:textId="77777777" w:rsidR="00A82F52" w:rsidRPr="000D5DBF" w:rsidRDefault="00A82F52" w:rsidP="00BA1297">
            <w:pPr>
              <w:spacing w:before="0" w:after="0"/>
              <w:ind w:hanging="223"/>
              <w:jc w:val="center"/>
              <w:rPr>
                <w:szCs w:val="24"/>
              </w:rPr>
            </w:pPr>
            <w:r w:rsidRPr="000D5DBF">
              <w:rPr>
                <w:szCs w:val="24"/>
              </w:rPr>
              <w:t>5 665 440</w:t>
            </w:r>
          </w:p>
        </w:tc>
        <w:tc>
          <w:tcPr>
            <w:tcW w:w="1559" w:type="dxa"/>
            <w:vAlign w:val="center"/>
          </w:tcPr>
          <w:p w14:paraId="0F71D101" w14:textId="77777777" w:rsidR="00A82F52" w:rsidRPr="000D5DBF" w:rsidRDefault="00A82F52" w:rsidP="00BA1297">
            <w:pPr>
              <w:spacing w:before="0" w:after="0"/>
              <w:ind w:left="-18" w:hanging="79"/>
              <w:jc w:val="center"/>
              <w:rPr>
                <w:noProof/>
                <w:szCs w:val="24"/>
              </w:rPr>
            </w:pPr>
            <w:r w:rsidRPr="000D5DBF">
              <w:rPr>
                <w:b/>
                <w:noProof/>
                <w:szCs w:val="24"/>
              </w:rPr>
              <w:t>37 400 000</w:t>
            </w:r>
            <w:r w:rsidRPr="000D5DBF">
              <w:rPr>
                <w:rStyle w:val="FootnoteReference"/>
                <w:b/>
                <w:noProof/>
                <w:szCs w:val="24"/>
              </w:rPr>
              <w:footnoteReference w:id="16"/>
            </w:r>
          </w:p>
        </w:tc>
      </w:tr>
    </w:tbl>
    <w:p w14:paraId="135D9978" w14:textId="77777777" w:rsidR="009C7274" w:rsidRPr="000D5DBF" w:rsidRDefault="009C7274" w:rsidP="00BA1297">
      <w:pPr>
        <w:spacing w:before="0" w:after="0"/>
        <w:rPr>
          <w:rFonts w:eastAsia="Times New Roman"/>
          <w:noProof/>
          <w:szCs w:val="24"/>
        </w:rPr>
      </w:pPr>
    </w:p>
    <w:p w14:paraId="08D53FBA" w14:textId="77777777" w:rsidR="00A82F52" w:rsidRPr="000D5DBF" w:rsidRDefault="00A6784E" w:rsidP="00BA1297">
      <w:pPr>
        <w:pStyle w:val="Heading2"/>
        <w:numPr>
          <w:ilvl w:val="1"/>
          <w:numId w:val="30"/>
        </w:numPr>
        <w:spacing w:before="0"/>
        <w:rPr>
          <w:rFonts w:ascii="Times New Roman" w:eastAsia="Times New Roman" w:hAnsi="Times New Roman" w:cs="Times New Roman"/>
          <w:b/>
          <w:noProof/>
          <w:color w:val="auto"/>
          <w:sz w:val="24"/>
          <w:szCs w:val="24"/>
        </w:rPr>
      </w:pPr>
      <w:bookmarkStart w:id="22" w:name="_Toc62557121"/>
      <w:r w:rsidRPr="000D5DBF">
        <w:rPr>
          <w:rFonts w:ascii="Times New Roman" w:eastAsia="Times New Roman" w:hAnsi="Times New Roman" w:cs="Times New Roman"/>
          <w:b/>
          <w:noProof/>
          <w:color w:val="auto"/>
          <w:sz w:val="24"/>
          <w:szCs w:val="24"/>
        </w:rPr>
        <w:t>Kopējā finanšu apropriācija pa fondiem un valsts līdzfinansējumu</w:t>
      </w:r>
      <w:bookmarkEnd w:id="22"/>
    </w:p>
    <w:p w14:paraId="77FA7FB5" w14:textId="77777777" w:rsidR="00DF1ABB" w:rsidRPr="000D5DBF" w:rsidRDefault="00DF1ABB" w:rsidP="00BA1297">
      <w:pPr>
        <w:spacing w:before="0" w:after="0"/>
        <w:rPr>
          <w:rFonts w:eastAsia="Times New Roman"/>
          <w:noProof/>
          <w:szCs w:val="24"/>
        </w:rPr>
      </w:pPr>
    </w:p>
    <w:tbl>
      <w:tblPr>
        <w:tblStyle w:val="TableGrid"/>
        <w:tblW w:w="0" w:type="auto"/>
        <w:jc w:val="center"/>
        <w:tblLayout w:type="fixed"/>
        <w:tblLook w:val="04A0" w:firstRow="1" w:lastRow="0" w:firstColumn="1" w:lastColumn="0" w:noHBand="0" w:noVBand="1"/>
      </w:tblPr>
      <w:tblGrid>
        <w:gridCol w:w="1057"/>
        <w:gridCol w:w="1206"/>
        <w:gridCol w:w="1276"/>
        <w:gridCol w:w="992"/>
        <w:gridCol w:w="1276"/>
        <w:gridCol w:w="1296"/>
        <w:gridCol w:w="1539"/>
        <w:gridCol w:w="1276"/>
        <w:gridCol w:w="992"/>
        <w:gridCol w:w="1515"/>
        <w:gridCol w:w="1829"/>
      </w:tblGrid>
      <w:tr w:rsidR="00F0703E" w:rsidRPr="000D5DBF" w14:paraId="53117444" w14:textId="77777777" w:rsidTr="00A61272">
        <w:trPr>
          <w:jc w:val="center"/>
        </w:trPr>
        <w:tc>
          <w:tcPr>
            <w:tcW w:w="14254" w:type="dxa"/>
            <w:gridSpan w:val="11"/>
          </w:tcPr>
          <w:p w14:paraId="60024B59" w14:textId="77777777" w:rsidR="007723FF" w:rsidRPr="000D5DBF" w:rsidRDefault="007723FF" w:rsidP="00BA1297">
            <w:pPr>
              <w:spacing w:before="0" w:after="0"/>
              <w:rPr>
                <w:b/>
                <w:noProof/>
                <w:szCs w:val="24"/>
              </w:rPr>
            </w:pPr>
            <w:r w:rsidRPr="000D5DBF">
              <w:rPr>
                <w:b/>
                <w:noProof/>
                <w:szCs w:val="24"/>
              </w:rPr>
              <w:t>2. tabula. Kopējās finanšu apropriācijas pa fondiem un valsts līdzfinansējums</w:t>
            </w:r>
          </w:p>
        </w:tc>
      </w:tr>
      <w:tr w:rsidR="00F0703E" w:rsidRPr="000D5DBF" w14:paraId="34C00249" w14:textId="77777777" w:rsidTr="00A61272">
        <w:trPr>
          <w:jc w:val="center"/>
        </w:trPr>
        <w:tc>
          <w:tcPr>
            <w:tcW w:w="1057" w:type="dxa"/>
            <w:vMerge w:val="restart"/>
          </w:tcPr>
          <w:p w14:paraId="5FA633DC" w14:textId="0471FE34" w:rsidR="00A61272" w:rsidRPr="000D5DBF" w:rsidRDefault="007723FF" w:rsidP="00BA1297">
            <w:pPr>
              <w:spacing w:before="0" w:after="0"/>
              <w:jc w:val="center"/>
              <w:rPr>
                <w:noProof/>
                <w:szCs w:val="24"/>
              </w:rPr>
            </w:pPr>
            <w:r w:rsidRPr="000D5DBF">
              <w:rPr>
                <w:noProof/>
                <w:szCs w:val="24"/>
              </w:rPr>
              <w:t>Politikas mērķa</w:t>
            </w:r>
            <w:r w:rsidR="00A61272">
              <w:rPr>
                <w:noProof/>
                <w:szCs w:val="24"/>
              </w:rPr>
              <w:t xml:space="preserve"> </w:t>
            </w:r>
            <w:r w:rsidRPr="000D5DBF">
              <w:rPr>
                <w:noProof/>
                <w:szCs w:val="24"/>
              </w:rPr>
              <w:t>Nr. vai TP</w:t>
            </w:r>
          </w:p>
        </w:tc>
        <w:tc>
          <w:tcPr>
            <w:tcW w:w="1206" w:type="dxa"/>
            <w:vMerge w:val="restart"/>
          </w:tcPr>
          <w:p w14:paraId="062072FD" w14:textId="77777777" w:rsidR="007723FF" w:rsidRPr="000D5DBF" w:rsidRDefault="007723FF" w:rsidP="00BA1297">
            <w:pPr>
              <w:spacing w:before="0" w:after="0"/>
              <w:jc w:val="center"/>
              <w:rPr>
                <w:noProof/>
                <w:szCs w:val="24"/>
              </w:rPr>
            </w:pPr>
            <w:r w:rsidRPr="000D5DBF">
              <w:rPr>
                <w:noProof/>
                <w:szCs w:val="24"/>
              </w:rPr>
              <w:t>Prioritāte</w:t>
            </w:r>
          </w:p>
        </w:tc>
        <w:tc>
          <w:tcPr>
            <w:tcW w:w="1276" w:type="dxa"/>
            <w:vMerge w:val="restart"/>
          </w:tcPr>
          <w:p w14:paraId="25E81540" w14:textId="77777777" w:rsidR="007723FF" w:rsidRPr="00A61272" w:rsidRDefault="007723FF" w:rsidP="00BA1297">
            <w:pPr>
              <w:spacing w:before="0" w:after="0"/>
              <w:jc w:val="center"/>
              <w:rPr>
                <w:noProof/>
                <w:sz w:val="20"/>
              </w:rPr>
            </w:pPr>
            <w:r w:rsidRPr="00A61272">
              <w:rPr>
                <w:noProof/>
                <w:sz w:val="20"/>
              </w:rPr>
              <w:t>ES atbalsta (kopējā vai publiskā) aprēķina bāze</w:t>
            </w:r>
          </w:p>
        </w:tc>
        <w:tc>
          <w:tcPr>
            <w:tcW w:w="992" w:type="dxa"/>
            <w:vMerge w:val="restart"/>
          </w:tcPr>
          <w:p w14:paraId="5383FAB6" w14:textId="77777777" w:rsidR="007723FF" w:rsidRPr="000D5DBF" w:rsidRDefault="007723FF" w:rsidP="00BA1297">
            <w:pPr>
              <w:spacing w:before="0" w:after="0"/>
              <w:jc w:val="center"/>
              <w:rPr>
                <w:noProof/>
                <w:szCs w:val="24"/>
              </w:rPr>
            </w:pPr>
            <w:r w:rsidRPr="000D5DBF">
              <w:rPr>
                <w:noProof/>
                <w:szCs w:val="24"/>
              </w:rPr>
              <w:t>Fonds</w:t>
            </w:r>
          </w:p>
        </w:tc>
        <w:tc>
          <w:tcPr>
            <w:tcW w:w="1276" w:type="dxa"/>
            <w:vMerge w:val="restart"/>
          </w:tcPr>
          <w:p w14:paraId="0935F661" w14:textId="453AF8F1" w:rsidR="007723FF" w:rsidRPr="000D5DBF" w:rsidRDefault="00A61272" w:rsidP="00BA1297">
            <w:pPr>
              <w:spacing w:before="0" w:after="0"/>
              <w:jc w:val="center"/>
              <w:rPr>
                <w:noProof/>
                <w:szCs w:val="24"/>
              </w:rPr>
            </w:pPr>
            <w:r>
              <w:rPr>
                <w:noProof/>
                <w:szCs w:val="24"/>
              </w:rPr>
              <w:t>Reģiona kategorija</w:t>
            </w:r>
          </w:p>
        </w:tc>
        <w:tc>
          <w:tcPr>
            <w:tcW w:w="1296" w:type="dxa"/>
            <w:vMerge w:val="restart"/>
          </w:tcPr>
          <w:p w14:paraId="7639AE0B" w14:textId="77777777" w:rsidR="007723FF" w:rsidRPr="000D5DBF" w:rsidRDefault="007723FF" w:rsidP="00BA1297">
            <w:pPr>
              <w:spacing w:before="0" w:after="0"/>
              <w:jc w:val="center"/>
              <w:rPr>
                <w:noProof/>
                <w:szCs w:val="24"/>
              </w:rPr>
            </w:pPr>
            <w:r w:rsidRPr="000D5DBF">
              <w:rPr>
                <w:noProof/>
                <w:szCs w:val="24"/>
              </w:rPr>
              <w:t>ES iemaksa</w:t>
            </w:r>
          </w:p>
        </w:tc>
        <w:tc>
          <w:tcPr>
            <w:tcW w:w="1539" w:type="dxa"/>
            <w:vMerge w:val="restart"/>
          </w:tcPr>
          <w:p w14:paraId="1DD6CECA" w14:textId="77777777" w:rsidR="007723FF" w:rsidRPr="000D5DBF" w:rsidRDefault="007723FF" w:rsidP="00BA1297">
            <w:pPr>
              <w:spacing w:before="0" w:after="0"/>
              <w:jc w:val="center"/>
              <w:rPr>
                <w:noProof/>
                <w:szCs w:val="24"/>
              </w:rPr>
            </w:pPr>
            <w:r w:rsidRPr="000D5DBF">
              <w:rPr>
                <w:noProof/>
                <w:szCs w:val="24"/>
              </w:rPr>
              <w:t>Valsts ieguldījums</w:t>
            </w:r>
          </w:p>
        </w:tc>
        <w:tc>
          <w:tcPr>
            <w:tcW w:w="2268" w:type="dxa"/>
            <w:gridSpan w:val="2"/>
          </w:tcPr>
          <w:p w14:paraId="54C7D959" w14:textId="77777777" w:rsidR="007723FF" w:rsidRPr="000D5DBF" w:rsidRDefault="007723FF" w:rsidP="00BA1297">
            <w:pPr>
              <w:spacing w:before="0" w:after="0"/>
              <w:jc w:val="center"/>
              <w:rPr>
                <w:noProof/>
                <w:szCs w:val="24"/>
              </w:rPr>
            </w:pPr>
            <w:r w:rsidRPr="000D5DBF">
              <w:rPr>
                <w:noProof/>
                <w:szCs w:val="24"/>
              </w:rPr>
              <w:t>Valsts ieguldījuma indikatīvs sadalījums</w:t>
            </w:r>
          </w:p>
        </w:tc>
        <w:tc>
          <w:tcPr>
            <w:tcW w:w="1515" w:type="dxa"/>
            <w:vMerge w:val="restart"/>
          </w:tcPr>
          <w:p w14:paraId="11EA0D7E" w14:textId="77777777" w:rsidR="007723FF" w:rsidRPr="000D5DBF" w:rsidRDefault="007723FF" w:rsidP="00BA1297">
            <w:pPr>
              <w:spacing w:before="0" w:after="0"/>
              <w:jc w:val="center"/>
              <w:rPr>
                <w:noProof/>
                <w:szCs w:val="24"/>
              </w:rPr>
            </w:pPr>
            <w:r w:rsidRPr="000D5DBF">
              <w:rPr>
                <w:noProof/>
                <w:szCs w:val="24"/>
              </w:rPr>
              <w:t>Kopā</w:t>
            </w:r>
          </w:p>
        </w:tc>
        <w:tc>
          <w:tcPr>
            <w:tcW w:w="1829" w:type="dxa"/>
            <w:vMerge w:val="restart"/>
          </w:tcPr>
          <w:p w14:paraId="5B144C4D" w14:textId="77777777" w:rsidR="007723FF" w:rsidRPr="000D5DBF" w:rsidRDefault="007723FF" w:rsidP="00BA1297">
            <w:pPr>
              <w:spacing w:before="0" w:after="0"/>
              <w:jc w:val="center"/>
              <w:rPr>
                <w:noProof/>
                <w:szCs w:val="24"/>
              </w:rPr>
            </w:pPr>
            <w:r w:rsidRPr="000D5DBF">
              <w:rPr>
                <w:noProof/>
                <w:szCs w:val="24"/>
              </w:rPr>
              <w:t>Līdzfinansējuma likme</w:t>
            </w:r>
          </w:p>
        </w:tc>
      </w:tr>
      <w:tr w:rsidR="00F0703E" w:rsidRPr="000D5DBF" w14:paraId="7A57751C" w14:textId="77777777" w:rsidTr="00A61272">
        <w:trPr>
          <w:trHeight w:val="170"/>
          <w:jc w:val="center"/>
        </w:trPr>
        <w:tc>
          <w:tcPr>
            <w:tcW w:w="1057" w:type="dxa"/>
            <w:vMerge/>
          </w:tcPr>
          <w:p w14:paraId="45247BF7" w14:textId="77777777" w:rsidR="007723FF" w:rsidRPr="000D5DBF" w:rsidRDefault="007723FF" w:rsidP="00BA1297">
            <w:pPr>
              <w:spacing w:before="0" w:after="0"/>
              <w:rPr>
                <w:b/>
                <w:noProof/>
                <w:szCs w:val="24"/>
              </w:rPr>
            </w:pPr>
          </w:p>
        </w:tc>
        <w:tc>
          <w:tcPr>
            <w:tcW w:w="1206" w:type="dxa"/>
            <w:vMerge/>
            <w:tcBorders>
              <w:bottom w:val="nil"/>
            </w:tcBorders>
          </w:tcPr>
          <w:p w14:paraId="23B49D95" w14:textId="77777777" w:rsidR="007723FF" w:rsidRPr="000D5DBF" w:rsidRDefault="007723FF" w:rsidP="00BA1297">
            <w:pPr>
              <w:spacing w:before="0" w:after="0"/>
              <w:rPr>
                <w:b/>
                <w:noProof/>
                <w:szCs w:val="24"/>
              </w:rPr>
            </w:pPr>
          </w:p>
        </w:tc>
        <w:tc>
          <w:tcPr>
            <w:tcW w:w="1276" w:type="dxa"/>
            <w:vMerge/>
            <w:tcBorders>
              <w:bottom w:val="nil"/>
            </w:tcBorders>
          </w:tcPr>
          <w:p w14:paraId="630E115A" w14:textId="77777777" w:rsidR="007723FF" w:rsidRPr="000D5DBF" w:rsidRDefault="007723FF" w:rsidP="00BA1297">
            <w:pPr>
              <w:spacing w:before="0" w:after="0"/>
              <w:rPr>
                <w:b/>
                <w:noProof/>
                <w:szCs w:val="24"/>
              </w:rPr>
            </w:pPr>
          </w:p>
        </w:tc>
        <w:tc>
          <w:tcPr>
            <w:tcW w:w="992" w:type="dxa"/>
            <w:vMerge/>
            <w:tcBorders>
              <w:bottom w:val="nil"/>
            </w:tcBorders>
          </w:tcPr>
          <w:p w14:paraId="2DBC9AB0" w14:textId="77777777" w:rsidR="007723FF" w:rsidRPr="000D5DBF" w:rsidRDefault="007723FF" w:rsidP="00BA1297">
            <w:pPr>
              <w:spacing w:before="0" w:after="0"/>
              <w:rPr>
                <w:b/>
                <w:noProof/>
                <w:szCs w:val="24"/>
              </w:rPr>
            </w:pPr>
          </w:p>
        </w:tc>
        <w:tc>
          <w:tcPr>
            <w:tcW w:w="1276" w:type="dxa"/>
            <w:vMerge/>
            <w:tcBorders>
              <w:bottom w:val="nil"/>
            </w:tcBorders>
          </w:tcPr>
          <w:p w14:paraId="3787287B" w14:textId="77777777" w:rsidR="007723FF" w:rsidRPr="000D5DBF" w:rsidRDefault="007723FF" w:rsidP="00BA1297">
            <w:pPr>
              <w:spacing w:before="0" w:after="0"/>
              <w:rPr>
                <w:b/>
                <w:noProof/>
                <w:szCs w:val="24"/>
              </w:rPr>
            </w:pPr>
          </w:p>
        </w:tc>
        <w:tc>
          <w:tcPr>
            <w:tcW w:w="1296" w:type="dxa"/>
            <w:vMerge/>
            <w:tcBorders>
              <w:bottom w:val="nil"/>
            </w:tcBorders>
          </w:tcPr>
          <w:p w14:paraId="5728C8A7" w14:textId="77777777" w:rsidR="007723FF" w:rsidRPr="000D5DBF" w:rsidRDefault="007723FF" w:rsidP="00BA1297">
            <w:pPr>
              <w:spacing w:before="0" w:after="0"/>
              <w:rPr>
                <w:b/>
                <w:noProof/>
                <w:szCs w:val="24"/>
              </w:rPr>
            </w:pPr>
          </w:p>
        </w:tc>
        <w:tc>
          <w:tcPr>
            <w:tcW w:w="1539" w:type="dxa"/>
            <w:vMerge/>
            <w:tcBorders>
              <w:bottom w:val="nil"/>
            </w:tcBorders>
          </w:tcPr>
          <w:p w14:paraId="52A6A3EE" w14:textId="77777777" w:rsidR="007723FF" w:rsidRPr="000D5DBF" w:rsidRDefault="007723FF" w:rsidP="00BA1297">
            <w:pPr>
              <w:spacing w:before="0" w:after="0"/>
              <w:rPr>
                <w:b/>
                <w:noProof/>
                <w:szCs w:val="24"/>
              </w:rPr>
            </w:pPr>
          </w:p>
        </w:tc>
        <w:tc>
          <w:tcPr>
            <w:tcW w:w="1276" w:type="dxa"/>
            <w:tcBorders>
              <w:bottom w:val="nil"/>
            </w:tcBorders>
          </w:tcPr>
          <w:p w14:paraId="5DEBC590" w14:textId="77777777" w:rsidR="007723FF" w:rsidRPr="00A61272" w:rsidRDefault="007723FF" w:rsidP="00BA1297">
            <w:pPr>
              <w:spacing w:before="0" w:after="0"/>
              <w:rPr>
                <w:noProof/>
                <w:sz w:val="22"/>
                <w:szCs w:val="22"/>
              </w:rPr>
            </w:pPr>
            <w:r w:rsidRPr="00A61272">
              <w:rPr>
                <w:noProof/>
                <w:sz w:val="22"/>
                <w:szCs w:val="22"/>
              </w:rPr>
              <w:t xml:space="preserve">publisks </w:t>
            </w:r>
          </w:p>
        </w:tc>
        <w:tc>
          <w:tcPr>
            <w:tcW w:w="992" w:type="dxa"/>
            <w:tcBorders>
              <w:bottom w:val="nil"/>
            </w:tcBorders>
          </w:tcPr>
          <w:p w14:paraId="390718ED" w14:textId="77777777" w:rsidR="007723FF" w:rsidRPr="00A61272" w:rsidRDefault="007723FF" w:rsidP="00BA1297">
            <w:pPr>
              <w:spacing w:before="0" w:after="0"/>
              <w:rPr>
                <w:noProof/>
                <w:sz w:val="22"/>
                <w:szCs w:val="22"/>
              </w:rPr>
            </w:pPr>
            <w:r w:rsidRPr="00A61272">
              <w:rPr>
                <w:noProof/>
                <w:sz w:val="22"/>
                <w:szCs w:val="22"/>
              </w:rPr>
              <w:t xml:space="preserve">privāts </w:t>
            </w:r>
          </w:p>
        </w:tc>
        <w:tc>
          <w:tcPr>
            <w:tcW w:w="1515" w:type="dxa"/>
            <w:vMerge/>
            <w:tcBorders>
              <w:bottom w:val="nil"/>
            </w:tcBorders>
          </w:tcPr>
          <w:p w14:paraId="6054205A" w14:textId="77777777" w:rsidR="007723FF" w:rsidRPr="000D5DBF" w:rsidRDefault="007723FF" w:rsidP="00BA1297">
            <w:pPr>
              <w:spacing w:before="0" w:after="0"/>
              <w:rPr>
                <w:b/>
                <w:noProof/>
                <w:szCs w:val="24"/>
              </w:rPr>
            </w:pPr>
          </w:p>
        </w:tc>
        <w:tc>
          <w:tcPr>
            <w:tcW w:w="1829" w:type="dxa"/>
            <w:vMerge/>
            <w:tcBorders>
              <w:bottom w:val="nil"/>
            </w:tcBorders>
          </w:tcPr>
          <w:p w14:paraId="1669F7E3" w14:textId="77777777" w:rsidR="007723FF" w:rsidRPr="000D5DBF" w:rsidRDefault="007723FF" w:rsidP="00BA1297">
            <w:pPr>
              <w:spacing w:before="0" w:after="0"/>
              <w:rPr>
                <w:b/>
                <w:noProof/>
                <w:szCs w:val="24"/>
              </w:rPr>
            </w:pPr>
          </w:p>
        </w:tc>
      </w:tr>
      <w:tr w:rsidR="00F0703E" w:rsidRPr="000D5DBF" w14:paraId="6071CB09" w14:textId="77777777" w:rsidTr="00BE3AB9">
        <w:trPr>
          <w:trHeight w:val="290"/>
          <w:jc w:val="center"/>
        </w:trPr>
        <w:tc>
          <w:tcPr>
            <w:tcW w:w="1057" w:type="dxa"/>
            <w:vMerge w:val="restart"/>
          </w:tcPr>
          <w:p w14:paraId="2431C797" w14:textId="77777777" w:rsidR="00A61272" w:rsidRDefault="00A61272" w:rsidP="00BA1297">
            <w:pPr>
              <w:spacing w:before="0" w:after="0"/>
              <w:rPr>
                <w:noProof/>
                <w:szCs w:val="24"/>
              </w:rPr>
            </w:pPr>
          </w:p>
          <w:p w14:paraId="0834B57A" w14:textId="4069F5B7" w:rsidR="00A61272" w:rsidRPr="000D5DBF" w:rsidRDefault="00A61272" w:rsidP="00BA1297">
            <w:pPr>
              <w:spacing w:before="0" w:after="0"/>
              <w:jc w:val="center"/>
              <w:rPr>
                <w:noProof/>
                <w:szCs w:val="24"/>
              </w:rPr>
            </w:pPr>
            <w:r>
              <w:rPr>
                <w:noProof/>
                <w:szCs w:val="24"/>
              </w:rPr>
              <w:t>PM 4</w:t>
            </w:r>
          </w:p>
        </w:tc>
        <w:tc>
          <w:tcPr>
            <w:tcW w:w="1206" w:type="dxa"/>
            <w:tcBorders>
              <w:top w:val="nil"/>
            </w:tcBorders>
          </w:tcPr>
          <w:p w14:paraId="6922B800" w14:textId="77777777" w:rsidR="007723FF" w:rsidRPr="000D5DBF" w:rsidRDefault="007723FF" w:rsidP="00BA1297">
            <w:pPr>
              <w:spacing w:before="0" w:after="0"/>
              <w:rPr>
                <w:noProof/>
                <w:szCs w:val="24"/>
              </w:rPr>
            </w:pPr>
          </w:p>
        </w:tc>
        <w:tc>
          <w:tcPr>
            <w:tcW w:w="1276" w:type="dxa"/>
            <w:tcBorders>
              <w:top w:val="nil"/>
            </w:tcBorders>
          </w:tcPr>
          <w:p w14:paraId="73F9B80E" w14:textId="77777777" w:rsidR="007723FF" w:rsidRPr="000D5DBF" w:rsidRDefault="007723FF" w:rsidP="00BA1297">
            <w:pPr>
              <w:spacing w:before="0" w:after="0"/>
              <w:rPr>
                <w:noProof/>
                <w:szCs w:val="24"/>
              </w:rPr>
            </w:pPr>
          </w:p>
        </w:tc>
        <w:tc>
          <w:tcPr>
            <w:tcW w:w="992" w:type="dxa"/>
            <w:tcBorders>
              <w:top w:val="nil"/>
            </w:tcBorders>
          </w:tcPr>
          <w:p w14:paraId="4E16EC0B" w14:textId="77777777" w:rsidR="007723FF" w:rsidRPr="000D5DBF" w:rsidRDefault="007723FF" w:rsidP="00BA1297">
            <w:pPr>
              <w:spacing w:before="0" w:after="0"/>
              <w:rPr>
                <w:noProof/>
                <w:szCs w:val="24"/>
              </w:rPr>
            </w:pPr>
          </w:p>
        </w:tc>
        <w:tc>
          <w:tcPr>
            <w:tcW w:w="1276" w:type="dxa"/>
            <w:tcBorders>
              <w:top w:val="nil"/>
            </w:tcBorders>
          </w:tcPr>
          <w:p w14:paraId="606A3EAE" w14:textId="77777777" w:rsidR="007723FF" w:rsidRPr="000D5DBF" w:rsidRDefault="007723FF" w:rsidP="00BA1297">
            <w:pPr>
              <w:spacing w:before="0" w:after="0"/>
              <w:jc w:val="center"/>
              <w:rPr>
                <w:noProof/>
                <w:szCs w:val="24"/>
              </w:rPr>
            </w:pPr>
          </w:p>
        </w:tc>
        <w:tc>
          <w:tcPr>
            <w:tcW w:w="1296" w:type="dxa"/>
            <w:tcBorders>
              <w:top w:val="nil"/>
            </w:tcBorders>
          </w:tcPr>
          <w:p w14:paraId="66F38D7F" w14:textId="77777777" w:rsidR="007723FF" w:rsidRPr="000D5DBF" w:rsidRDefault="007723FF" w:rsidP="00BA1297">
            <w:pPr>
              <w:spacing w:before="0" w:after="0"/>
              <w:jc w:val="center"/>
              <w:rPr>
                <w:noProof/>
                <w:szCs w:val="24"/>
              </w:rPr>
            </w:pPr>
            <w:r w:rsidRPr="000D5DBF">
              <w:rPr>
                <w:noProof/>
                <w:szCs w:val="24"/>
              </w:rPr>
              <w:t>(a)</w:t>
            </w:r>
          </w:p>
        </w:tc>
        <w:tc>
          <w:tcPr>
            <w:tcW w:w="1539" w:type="dxa"/>
            <w:tcBorders>
              <w:top w:val="nil"/>
            </w:tcBorders>
          </w:tcPr>
          <w:p w14:paraId="28883DBF" w14:textId="77777777" w:rsidR="007723FF" w:rsidRPr="000D5DBF" w:rsidRDefault="007723FF" w:rsidP="00BA1297">
            <w:pPr>
              <w:spacing w:before="0" w:after="0"/>
              <w:jc w:val="center"/>
              <w:rPr>
                <w:noProof/>
                <w:szCs w:val="24"/>
              </w:rPr>
            </w:pPr>
            <w:r w:rsidRPr="000D5DBF">
              <w:rPr>
                <w:noProof/>
                <w:szCs w:val="24"/>
              </w:rPr>
              <w:t>(b)=(c)+(d)</w:t>
            </w:r>
          </w:p>
        </w:tc>
        <w:tc>
          <w:tcPr>
            <w:tcW w:w="1276" w:type="dxa"/>
            <w:tcBorders>
              <w:top w:val="nil"/>
            </w:tcBorders>
          </w:tcPr>
          <w:p w14:paraId="0DB57E7D" w14:textId="77777777" w:rsidR="007723FF" w:rsidRPr="000D5DBF" w:rsidRDefault="007723FF" w:rsidP="00BA1297">
            <w:pPr>
              <w:spacing w:before="0" w:after="0"/>
              <w:jc w:val="center"/>
              <w:rPr>
                <w:noProof/>
                <w:szCs w:val="24"/>
              </w:rPr>
            </w:pPr>
            <w:r w:rsidRPr="000D5DBF">
              <w:rPr>
                <w:noProof/>
                <w:szCs w:val="24"/>
              </w:rPr>
              <w:t>(c)</w:t>
            </w:r>
          </w:p>
        </w:tc>
        <w:tc>
          <w:tcPr>
            <w:tcW w:w="992" w:type="dxa"/>
            <w:tcBorders>
              <w:top w:val="nil"/>
            </w:tcBorders>
          </w:tcPr>
          <w:p w14:paraId="06C23A6F" w14:textId="77777777" w:rsidR="007723FF" w:rsidRPr="000D5DBF" w:rsidRDefault="007723FF" w:rsidP="00BA1297">
            <w:pPr>
              <w:spacing w:before="0" w:after="0"/>
              <w:jc w:val="center"/>
              <w:rPr>
                <w:noProof/>
                <w:szCs w:val="24"/>
              </w:rPr>
            </w:pPr>
            <w:r w:rsidRPr="000D5DBF">
              <w:rPr>
                <w:noProof/>
                <w:szCs w:val="24"/>
              </w:rPr>
              <w:t>(d)</w:t>
            </w:r>
          </w:p>
        </w:tc>
        <w:tc>
          <w:tcPr>
            <w:tcW w:w="1515" w:type="dxa"/>
            <w:tcBorders>
              <w:top w:val="nil"/>
            </w:tcBorders>
          </w:tcPr>
          <w:p w14:paraId="64487091" w14:textId="77777777" w:rsidR="007723FF" w:rsidRPr="000D5DBF" w:rsidRDefault="00552333" w:rsidP="00BA1297">
            <w:pPr>
              <w:spacing w:before="0" w:after="0"/>
              <w:jc w:val="center"/>
              <w:rPr>
                <w:noProof/>
                <w:szCs w:val="24"/>
              </w:rPr>
            </w:pPr>
            <w:r w:rsidRPr="000D5DBF">
              <w:rPr>
                <w:noProof/>
                <w:szCs w:val="24"/>
              </w:rPr>
              <w:t>(e)=(a)+(b)</w:t>
            </w:r>
          </w:p>
        </w:tc>
        <w:tc>
          <w:tcPr>
            <w:tcW w:w="1829" w:type="dxa"/>
            <w:tcBorders>
              <w:top w:val="nil"/>
            </w:tcBorders>
          </w:tcPr>
          <w:p w14:paraId="4A134603" w14:textId="77777777" w:rsidR="007723FF" w:rsidRPr="000D5DBF" w:rsidRDefault="00552333" w:rsidP="00BA1297">
            <w:pPr>
              <w:spacing w:before="0" w:after="0"/>
              <w:jc w:val="center"/>
              <w:rPr>
                <w:noProof/>
                <w:szCs w:val="24"/>
              </w:rPr>
            </w:pPr>
            <w:r w:rsidRPr="000D5DBF">
              <w:rPr>
                <w:noProof/>
                <w:szCs w:val="24"/>
              </w:rPr>
              <w:t>(f)=(a)/(e)</w:t>
            </w:r>
          </w:p>
        </w:tc>
      </w:tr>
      <w:tr w:rsidR="00F0703E" w:rsidRPr="000D5DBF" w14:paraId="10283431" w14:textId="77777777" w:rsidTr="00A61272">
        <w:trPr>
          <w:jc w:val="center"/>
        </w:trPr>
        <w:tc>
          <w:tcPr>
            <w:tcW w:w="1057" w:type="dxa"/>
            <w:vMerge/>
          </w:tcPr>
          <w:p w14:paraId="526C69BC" w14:textId="77777777" w:rsidR="007723FF" w:rsidRPr="000D5DBF" w:rsidRDefault="007723FF" w:rsidP="00BA1297">
            <w:pPr>
              <w:spacing w:before="0" w:after="0"/>
              <w:rPr>
                <w:b/>
                <w:noProof/>
                <w:szCs w:val="24"/>
              </w:rPr>
            </w:pPr>
          </w:p>
        </w:tc>
        <w:tc>
          <w:tcPr>
            <w:tcW w:w="1206" w:type="dxa"/>
          </w:tcPr>
          <w:p w14:paraId="2421437D" w14:textId="16773B37" w:rsidR="007723FF" w:rsidRPr="00A61272" w:rsidRDefault="00A61272" w:rsidP="00BA1297">
            <w:pPr>
              <w:spacing w:before="0" w:after="0"/>
              <w:rPr>
                <w:noProof/>
                <w:szCs w:val="24"/>
              </w:rPr>
            </w:pPr>
            <w:r w:rsidRPr="00A61272">
              <w:rPr>
                <w:noProof/>
                <w:szCs w:val="24"/>
              </w:rPr>
              <w:t>n/a</w:t>
            </w:r>
          </w:p>
        </w:tc>
        <w:tc>
          <w:tcPr>
            <w:tcW w:w="1276" w:type="dxa"/>
          </w:tcPr>
          <w:p w14:paraId="2B26E55B" w14:textId="772776B5" w:rsidR="007723FF" w:rsidRPr="00A61272" w:rsidRDefault="00A61272" w:rsidP="00BA1297">
            <w:pPr>
              <w:spacing w:before="0" w:after="0"/>
              <w:rPr>
                <w:noProof/>
                <w:szCs w:val="24"/>
              </w:rPr>
            </w:pPr>
            <w:r w:rsidRPr="00A61272">
              <w:rPr>
                <w:noProof/>
                <w:szCs w:val="24"/>
              </w:rPr>
              <w:t>n/a</w:t>
            </w:r>
          </w:p>
        </w:tc>
        <w:tc>
          <w:tcPr>
            <w:tcW w:w="992" w:type="dxa"/>
          </w:tcPr>
          <w:p w14:paraId="0E39B0D3" w14:textId="18E14DED" w:rsidR="007723FF" w:rsidRPr="00A61272" w:rsidRDefault="00A61272" w:rsidP="00BA1297">
            <w:pPr>
              <w:spacing w:before="0" w:after="0"/>
              <w:rPr>
                <w:noProof/>
                <w:szCs w:val="24"/>
              </w:rPr>
            </w:pPr>
            <w:r w:rsidRPr="00A61272">
              <w:rPr>
                <w:noProof/>
                <w:szCs w:val="24"/>
              </w:rPr>
              <w:t>ESF+</w:t>
            </w:r>
          </w:p>
        </w:tc>
        <w:tc>
          <w:tcPr>
            <w:tcW w:w="1276" w:type="dxa"/>
          </w:tcPr>
          <w:p w14:paraId="56413D2F" w14:textId="77777777" w:rsidR="007723FF" w:rsidRPr="00A61272" w:rsidRDefault="007723FF" w:rsidP="00BA1297">
            <w:pPr>
              <w:spacing w:before="0" w:after="0"/>
              <w:rPr>
                <w:noProof/>
                <w:szCs w:val="24"/>
              </w:rPr>
            </w:pPr>
            <w:r w:rsidRPr="00A61272">
              <w:rPr>
                <w:noProof/>
                <w:szCs w:val="24"/>
              </w:rPr>
              <w:t>Mazāk attīstīts</w:t>
            </w:r>
          </w:p>
        </w:tc>
        <w:tc>
          <w:tcPr>
            <w:tcW w:w="1296" w:type="dxa"/>
          </w:tcPr>
          <w:p w14:paraId="1FD50633" w14:textId="77777777" w:rsidR="007723FF" w:rsidRPr="00A61272" w:rsidRDefault="007723FF" w:rsidP="00BA1297">
            <w:pPr>
              <w:spacing w:before="0" w:after="0"/>
              <w:jc w:val="center"/>
              <w:rPr>
                <w:noProof/>
                <w:szCs w:val="24"/>
              </w:rPr>
            </w:pPr>
            <w:r w:rsidRPr="00A61272">
              <w:rPr>
                <w:noProof/>
                <w:szCs w:val="24"/>
              </w:rPr>
              <w:t>37 400 000</w:t>
            </w:r>
          </w:p>
        </w:tc>
        <w:tc>
          <w:tcPr>
            <w:tcW w:w="1539" w:type="dxa"/>
          </w:tcPr>
          <w:p w14:paraId="4A5B8900" w14:textId="77777777" w:rsidR="007723FF" w:rsidRPr="00A61272" w:rsidRDefault="007723FF" w:rsidP="00BA1297">
            <w:pPr>
              <w:spacing w:before="0" w:after="0"/>
              <w:jc w:val="center"/>
              <w:rPr>
                <w:noProof/>
                <w:szCs w:val="24"/>
              </w:rPr>
            </w:pPr>
            <w:r w:rsidRPr="00A61272">
              <w:rPr>
                <w:noProof/>
                <w:szCs w:val="24"/>
              </w:rPr>
              <w:t>6 600 000</w:t>
            </w:r>
          </w:p>
        </w:tc>
        <w:tc>
          <w:tcPr>
            <w:tcW w:w="1276" w:type="dxa"/>
          </w:tcPr>
          <w:p w14:paraId="34A3A0DD" w14:textId="77777777" w:rsidR="007723FF" w:rsidRPr="00A61272" w:rsidRDefault="007723FF" w:rsidP="00BA1297">
            <w:pPr>
              <w:spacing w:before="0" w:after="0"/>
              <w:jc w:val="center"/>
              <w:rPr>
                <w:noProof/>
                <w:szCs w:val="24"/>
              </w:rPr>
            </w:pPr>
            <w:r w:rsidRPr="00A61272">
              <w:rPr>
                <w:noProof/>
                <w:szCs w:val="24"/>
              </w:rPr>
              <w:t>6 600 000</w:t>
            </w:r>
          </w:p>
        </w:tc>
        <w:tc>
          <w:tcPr>
            <w:tcW w:w="992" w:type="dxa"/>
          </w:tcPr>
          <w:p w14:paraId="045F0C4A" w14:textId="77777777" w:rsidR="007723FF" w:rsidRPr="00A61272" w:rsidRDefault="007723FF" w:rsidP="00BA1297">
            <w:pPr>
              <w:spacing w:before="0" w:after="0"/>
              <w:jc w:val="center"/>
              <w:rPr>
                <w:noProof/>
                <w:szCs w:val="24"/>
              </w:rPr>
            </w:pPr>
            <w:r w:rsidRPr="00A61272">
              <w:rPr>
                <w:noProof/>
                <w:szCs w:val="24"/>
              </w:rPr>
              <w:t>0,00</w:t>
            </w:r>
          </w:p>
        </w:tc>
        <w:tc>
          <w:tcPr>
            <w:tcW w:w="1515" w:type="dxa"/>
          </w:tcPr>
          <w:p w14:paraId="4D6729BB" w14:textId="77777777" w:rsidR="007723FF" w:rsidRPr="00A61272" w:rsidRDefault="007723FF" w:rsidP="00BA1297">
            <w:pPr>
              <w:spacing w:before="0" w:after="0"/>
              <w:jc w:val="center"/>
              <w:rPr>
                <w:noProof/>
                <w:szCs w:val="24"/>
              </w:rPr>
            </w:pPr>
            <w:r w:rsidRPr="00A61272">
              <w:rPr>
                <w:noProof/>
                <w:szCs w:val="24"/>
              </w:rPr>
              <w:t>44 000 000</w:t>
            </w:r>
          </w:p>
        </w:tc>
        <w:tc>
          <w:tcPr>
            <w:tcW w:w="1829" w:type="dxa"/>
          </w:tcPr>
          <w:p w14:paraId="09B8C347" w14:textId="77777777" w:rsidR="007723FF" w:rsidRPr="00A61272" w:rsidRDefault="007723FF" w:rsidP="00BA1297">
            <w:pPr>
              <w:spacing w:before="0" w:after="0"/>
              <w:jc w:val="center"/>
              <w:rPr>
                <w:noProof/>
                <w:szCs w:val="24"/>
              </w:rPr>
            </w:pPr>
            <w:r w:rsidRPr="00A61272">
              <w:rPr>
                <w:noProof/>
                <w:szCs w:val="24"/>
              </w:rPr>
              <w:t xml:space="preserve">0,85 </w:t>
            </w:r>
            <w:r w:rsidRPr="00A61272">
              <w:rPr>
                <w:rStyle w:val="FootnoteReference"/>
                <w:noProof/>
                <w:szCs w:val="24"/>
              </w:rPr>
              <w:footnoteReference w:id="17"/>
            </w:r>
          </w:p>
        </w:tc>
      </w:tr>
    </w:tbl>
    <w:p w14:paraId="758C303C" w14:textId="77777777" w:rsidR="004951E2" w:rsidRPr="000D5DBF" w:rsidRDefault="004951E2" w:rsidP="00BA1297">
      <w:pPr>
        <w:spacing w:before="0" w:after="0"/>
      </w:pPr>
    </w:p>
    <w:p w14:paraId="1E235F51" w14:textId="77777777" w:rsidR="007723FF" w:rsidRPr="000D5DBF" w:rsidRDefault="007723FF" w:rsidP="00BA1297">
      <w:pPr>
        <w:spacing w:before="0" w:after="0"/>
      </w:pPr>
    </w:p>
    <w:p w14:paraId="4E0C6118" w14:textId="77777777" w:rsidR="004951E2" w:rsidRPr="000D5DBF" w:rsidRDefault="004951E2" w:rsidP="00BA1297">
      <w:pPr>
        <w:spacing w:before="0" w:after="0"/>
        <w:sectPr w:rsidR="004951E2" w:rsidRPr="000D5DBF" w:rsidSect="00C83ED9">
          <w:pgSz w:w="16838" w:h="11906" w:orient="landscape"/>
          <w:pgMar w:top="1701" w:right="1134" w:bottom="1276" w:left="1440" w:header="708" w:footer="708" w:gutter="0"/>
          <w:cols w:space="708"/>
          <w:docGrid w:linePitch="360"/>
        </w:sectPr>
      </w:pPr>
    </w:p>
    <w:p w14:paraId="7419C78D" w14:textId="3DC12CAD" w:rsidR="00DD4BEE" w:rsidRPr="00DD4BEE" w:rsidRDefault="004951E2" w:rsidP="00DD4BEE">
      <w:pPr>
        <w:pStyle w:val="Heading1"/>
        <w:numPr>
          <w:ilvl w:val="0"/>
          <w:numId w:val="30"/>
        </w:numPr>
        <w:spacing w:before="0"/>
        <w:rPr>
          <w:rFonts w:ascii="Times New Roman" w:hAnsi="Times New Roman" w:cs="Times New Roman"/>
          <w:b/>
          <w:color w:val="auto"/>
          <w:sz w:val="28"/>
          <w:szCs w:val="28"/>
        </w:rPr>
      </w:pPr>
      <w:bookmarkStart w:id="23" w:name="_Toc62557122"/>
      <w:r w:rsidRPr="000D5DBF">
        <w:rPr>
          <w:rFonts w:ascii="Times New Roman" w:hAnsi="Times New Roman" w:cs="Times New Roman"/>
          <w:b/>
          <w:color w:val="auto"/>
          <w:sz w:val="28"/>
          <w:szCs w:val="28"/>
        </w:rPr>
        <w:lastRenderedPageBreak/>
        <w:t>Programmā iesaistītās iestādes</w:t>
      </w:r>
      <w:bookmarkEnd w:id="23"/>
      <w:r w:rsidRPr="000D5DBF">
        <w:rPr>
          <w:rFonts w:ascii="Times New Roman" w:hAnsi="Times New Roman" w:cs="Times New Roman"/>
          <w:b/>
          <w:color w:val="auto"/>
          <w:sz w:val="28"/>
          <w:szCs w:val="28"/>
        </w:rPr>
        <w:t xml:space="preserve"> </w:t>
      </w:r>
    </w:p>
    <w:p w14:paraId="2CA763C0" w14:textId="77777777" w:rsidR="004951E2" w:rsidRPr="000D5DBF" w:rsidRDefault="004951E2" w:rsidP="00BA1297">
      <w:pPr>
        <w:spacing w:before="0" w:after="0"/>
      </w:pPr>
    </w:p>
    <w:tbl>
      <w:tblPr>
        <w:tblStyle w:val="TableGrid"/>
        <w:tblW w:w="0" w:type="auto"/>
        <w:tblLook w:val="04A0" w:firstRow="1" w:lastRow="0" w:firstColumn="1" w:lastColumn="0" w:noHBand="0" w:noVBand="1"/>
      </w:tblPr>
      <w:tblGrid>
        <w:gridCol w:w="2181"/>
        <w:gridCol w:w="2127"/>
        <w:gridCol w:w="1972"/>
        <w:gridCol w:w="2639"/>
      </w:tblGrid>
      <w:tr w:rsidR="004951E2" w:rsidRPr="000D5DBF" w14:paraId="254668B7" w14:textId="77777777" w:rsidTr="00226E45">
        <w:tc>
          <w:tcPr>
            <w:tcW w:w="9288" w:type="dxa"/>
            <w:gridSpan w:val="4"/>
          </w:tcPr>
          <w:p w14:paraId="2CAA8894" w14:textId="77777777" w:rsidR="004951E2" w:rsidRPr="000D5DBF" w:rsidRDefault="004951E2" w:rsidP="00BA1297">
            <w:pPr>
              <w:spacing w:before="0" w:after="0"/>
              <w:rPr>
                <w:b/>
                <w:noProof/>
                <w:sz w:val="20"/>
              </w:rPr>
            </w:pPr>
            <w:r w:rsidRPr="000D5DBF">
              <w:rPr>
                <w:b/>
                <w:noProof/>
                <w:sz w:val="20"/>
              </w:rPr>
              <w:t>3. tabula. Programmā iesaistītās iestādes</w:t>
            </w:r>
          </w:p>
        </w:tc>
      </w:tr>
      <w:tr w:rsidR="004951E2" w:rsidRPr="000D5DBF" w14:paraId="4B21101C" w14:textId="77777777" w:rsidTr="00226E45">
        <w:tc>
          <w:tcPr>
            <w:tcW w:w="2452" w:type="dxa"/>
          </w:tcPr>
          <w:p w14:paraId="192BEAE2" w14:textId="77777777" w:rsidR="004951E2" w:rsidRPr="000D5DBF" w:rsidRDefault="004951E2" w:rsidP="00BA1297">
            <w:pPr>
              <w:spacing w:before="0" w:after="0"/>
              <w:rPr>
                <w:b/>
                <w:noProof/>
                <w:sz w:val="20"/>
              </w:rPr>
            </w:pPr>
            <w:r w:rsidRPr="000D5DBF">
              <w:rPr>
                <w:b/>
                <w:noProof/>
                <w:sz w:val="20"/>
              </w:rPr>
              <w:t xml:space="preserve">Programmā iesaistītās iestādes </w:t>
            </w:r>
          </w:p>
        </w:tc>
        <w:tc>
          <w:tcPr>
            <w:tcW w:w="2403" w:type="dxa"/>
          </w:tcPr>
          <w:p w14:paraId="44DE8EA2" w14:textId="77777777" w:rsidR="004951E2" w:rsidRPr="000D5DBF" w:rsidRDefault="004951E2" w:rsidP="00BA1297">
            <w:pPr>
              <w:spacing w:before="0" w:after="0"/>
              <w:rPr>
                <w:b/>
                <w:noProof/>
                <w:sz w:val="20"/>
              </w:rPr>
            </w:pPr>
            <w:r w:rsidRPr="000D5DBF">
              <w:rPr>
                <w:b/>
                <w:noProof/>
                <w:sz w:val="20"/>
              </w:rPr>
              <w:t>Iestādes nosaukums</w:t>
            </w:r>
          </w:p>
        </w:tc>
        <w:tc>
          <w:tcPr>
            <w:tcW w:w="2057" w:type="dxa"/>
          </w:tcPr>
          <w:p w14:paraId="2912AEFA" w14:textId="77777777" w:rsidR="004951E2" w:rsidRPr="000D5DBF" w:rsidRDefault="004951E2" w:rsidP="00BA1297">
            <w:pPr>
              <w:spacing w:before="0" w:after="0"/>
              <w:rPr>
                <w:b/>
                <w:noProof/>
                <w:sz w:val="20"/>
              </w:rPr>
            </w:pPr>
            <w:r w:rsidRPr="000D5DBF">
              <w:rPr>
                <w:b/>
                <w:noProof/>
                <w:sz w:val="20"/>
              </w:rPr>
              <w:t>Kontaktpersonas vārds, uzvārds</w:t>
            </w:r>
            <w:r w:rsidRPr="000D5DBF">
              <w:rPr>
                <w:noProof/>
              </w:rPr>
              <w:t xml:space="preserve"> </w:t>
            </w:r>
          </w:p>
        </w:tc>
        <w:tc>
          <w:tcPr>
            <w:tcW w:w="2376" w:type="dxa"/>
          </w:tcPr>
          <w:p w14:paraId="4CCF634B" w14:textId="77777777" w:rsidR="004951E2" w:rsidRPr="000D5DBF" w:rsidRDefault="004951E2" w:rsidP="00BA1297">
            <w:pPr>
              <w:spacing w:before="0" w:after="0"/>
              <w:rPr>
                <w:b/>
                <w:noProof/>
                <w:sz w:val="20"/>
              </w:rPr>
            </w:pPr>
            <w:r w:rsidRPr="000D5DBF">
              <w:rPr>
                <w:b/>
                <w:noProof/>
                <w:sz w:val="20"/>
              </w:rPr>
              <w:t>E-pasts</w:t>
            </w:r>
          </w:p>
        </w:tc>
      </w:tr>
      <w:tr w:rsidR="004951E2" w:rsidRPr="000D5DBF" w14:paraId="7D0B35D8" w14:textId="77777777" w:rsidTr="00226E45">
        <w:tc>
          <w:tcPr>
            <w:tcW w:w="2452" w:type="dxa"/>
          </w:tcPr>
          <w:p w14:paraId="4E73D02C" w14:textId="77777777" w:rsidR="004951E2" w:rsidRPr="000D5DBF" w:rsidRDefault="004951E2" w:rsidP="00BA1297">
            <w:pPr>
              <w:spacing w:before="0" w:after="0"/>
              <w:rPr>
                <w:noProof/>
                <w:sz w:val="20"/>
              </w:rPr>
            </w:pPr>
            <w:r w:rsidRPr="000D5DBF">
              <w:rPr>
                <w:noProof/>
                <w:sz w:val="20"/>
              </w:rPr>
              <w:t>Vadošā iestāde</w:t>
            </w:r>
          </w:p>
        </w:tc>
        <w:tc>
          <w:tcPr>
            <w:tcW w:w="2403" w:type="dxa"/>
          </w:tcPr>
          <w:p w14:paraId="4C060532" w14:textId="77777777" w:rsidR="004951E2" w:rsidRPr="000D5DBF" w:rsidRDefault="004951E2" w:rsidP="00BA1297">
            <w:pPr>
              <w:spacing w:before="0" w:after="0"/>
              <w:rPr>
                <w:noProof/>
                <w:sz w:val="20"/>
              </w:rPr>
            </w:pPr>
            <w:r w:rsidRPr="000D5DBF">
              <w:rPr>
                <w:noProof/>
                <w:sz w:val="20"/>
              </w:rPr>
              <w:t>LR Labklājības ministrija</w:t>
            </w:r>
          </w:p>
        </w:tc>
        <w:tc>
          <w:tcPr>
            <w:tcW w:w="2057" w:type="dxa"/>
          </w:tcPr>
          <w:p w14:paraId="1E022782" w14:textId="77777777" w:rsidR="004951E2" w:rsidRPr="000D5DBF" w:rsidRDefault="004951E2" w:rsidP="00BA1297">
            <w:pPr>
              <w:spacing w:before="0" w:after="0"/>
              <w:rPr>
                <w:noProof/>
                <w:sz w:val="20"/>
              </w:rPr>
            </w:pPr>
            <w:r w:rsidRPr="000D5DBF">
              <w:rPr>
                <w:noProof/>
                <w:sz w:val="20"/>
              </w:rPr>
              <w:t>Lauma Grafa</w:t>
            </w:r>
            <w:r w:rsidR="0042702C" w:rsidRPr="000D5DBF">
              <w:rPr>
                <w:noProof/>
                <w:sz w:val="20"/>
              </w:rPr>
              <w:t>, Vadošās iestādes vadītāja</w:t>
            </w:r>
          </w:p>
        </w:tc>
        <w:tc>
          <w:tcPr>
            <w:tcW w:w="2376" w:type="dxa"/>
          </w:tcPr>
          <w:p w14:paraId="53B25F9F" w14:textId="77777777" w:rsidR="004951E2" w:rsidRPr="000D5DBF" w:rsidRDefault="004951E2" w:rsidP="00BA1297">
            <w:pPr>
              <w:spacing w:before="0" w:after="0"/>
              <w:rPr>
                <w:noProof/>
                <w:sz w:val="20"/>
              </w:rPr>
            </w:pPr>
            <w:r w:rsidRPr="000D5DBF">
              <w:rPr>
                <w:noProof/>
                <w:sz w:val="20"/>
              </w:rPr>
              <w:t>lauma.grafa@lm.gov.lv</w:t>
            </w:r>
          </w:p>
        </w:tc>
      </w:tr>
      <w:tr w:rsidR="004951E2" w:rsidRPr="000D5DBF" w14:paraId="470B5707" w14:textId="77777777" w:rsidTr="00226E45">
        <w:tc>
          <w:tcPr>
            <w:tcW w:w="2452" w:type="dxa"/>
          </w:tcPr>
          <w:p w14:paraId="321D8C91" w14:textId="77777777" w:rsidR="004951E2" w:rsidRPr="000D5DBF" w:rsidRDefault="004951E2" w:rsidP="00BA1297">
            <w:pPr>
              <w:spacing w:before="0" w:after="0"/>
              <w:rPr>
                <w:noProof/>
                <w:sz w:val="20"/>
              </w:rPr>
            </w:pPr>
            <w:r w:rsidRPr="000D5DBF">
              <w:rPr>
                <w:noProof/>
                <w:sz w:val="20"/>
              </w:rPr>
              <w:t xml:space="preserve">Sadarbības iestāde </w:t>
            </w:r>
          </w:p>
        </w:tc>
        <w:tc>
          <w:tcPr>
            <w:tcW w:w="2403" w:type="dxa"/>
          </w:tcPr>
          <w:p w14:paraId="32A65C23" w14:textId="77777777" w:rsidR="004951E2" w:rsidRPr="000D5DBF" w:rsidRDefault="004951E2" w:rsidP="00BA1297">
            <w:pPr>
              <w:spacing w:before="0" w:after="0"/>
              <w:rPr>
                <w:noProof/>
                <w:sz w:val="20"/>
              </w:rPr>
            </w:pPr>
            <w:r w:rsidRPr="000D5DBF">
              <w:rPr>
                <w:noProof/>
                <w:sz w:val="20"/>
              </w:rPr>
              <w:t>Sabiedrības integrācijas fonds</w:t>
            </w:r>
          </w:p>
        </w:tc>
        <w:tc>
          <w:tcPr>
            <w:tcW w:w="2057" w:type="dxa"/>
          </w:tcPr>
          <w:p w14:paraId="33296CCD" w14:textId="77777777" w:rsidR="004951E2" w:rsidRPr="000D5DBF" w:rsidRDefault="004951E2" w:rsidP="00BA1297">
            <w:pPr>
              <w:spacing w:before="0" w:after="0"/>
              <w:rPr>
                <w:noProof/>
                <w:sz w:val="20"/>
              </w:rPr>
            </w:pPr>
            <w:r w:rsidRPr="000D5DBF">
              <w:rPr>
                <w:noProof/>
                <w:sz w:val="20"/>
              </w:rPr>
              <w:t>Reinis Lasmanis</w:t>
            </w:r>
            <w:r w:rsidR="0042702C" w:rsidRPr="000D5DBF">
              <w:rPr>
                <w:noProof/>
                <w:sz w:val="20"/>
              </w:rPr>
              <w:t>, Sadarbības iestādes vadītājs</w:t>
            </w:r>
          </w:p>
        </w:tc>
        <w:tc>
          <w:tcPr>
            <w:tcW w:w="2376" w:type="dxa"/>
          </w:tcPr>
          <w:p w14:paraId="573FD641" w14:textId="77777777" w:rsidR="004951E2" w:rsidRPr="000D5DBF" w:rsidRDefault="004951E2" w:rsidP="00BA1297">
            <w:pPr>
              <w:spacing w:before="0" w:after="0"/>
              <w:rPr>
                <w:noProof/>
                <w:sz w:val="20"/>
              </w:rPr>
            </w:pPr>
            <w:r w:rsidRPr="000D5DBF">
              <w:rPr>
                <w:noProof/>
                <w:sz w:val="20"/>
              </w:rPr>
              <w:t>reinis.lasmanis@sif.gov.lv</w:t>
            </w:r>
          </w:p>
        </w:tc>
      </w:tr>
      <w:tr w:rsidR="004951E2" w:rsidRPr="000D5DBF" w14:paraId="6ED6BE6E" w14:textId="77777777" w:rsidTr="00226E45">
        <w:tc>
          <w:tcPr>
            <w:tcW w:w="2452" w:type="dxa"/>
          </w:tcPr>
          <w:p w14:paraId="19167219" w14:textId="77777777" w:rsidR="004951E2" w:rsidRPr="000D5DBF" w:rsidRDefault="004951E2" w:rsidP="00BA1297">
            <w:pPr>
              <w:spacing w:before="0" w:after="0"/>
              <w:rPr>
                <w:noProof/>
                <w:sz w:val="20"/>
              </w:rPr>
            </w:pPr>
            <w:r w:rsidRPr="000D5DBF">
              <w:rPr>
                <w:noProof/>
                <w:sz w:val="20"/>
              </w:rPr>
              <w:t>Revīzijas iestāde</w:t>
            </w:r>
          </w:p>
        </w:tc>
        <w:tc>
          <w:tcPr>
            <w:tcW w:w="2403" w:type="dxa"/>
          </w:tcPr>
          <w:p w14:paraId="0D23F8A9" w14:textId="77777777" w:rsidR="004951E2" w:rsidRPr="000D5DBF" w:rsidRDefault="004951E2" w:rsidP="00BA1297">
            <w:pPr>
              <w:spacing w:before="0" w:after="0"/>
              <w:rPr>
                <w:noProof/>
                <w:sz w:val="20"/>
              </w:rPr>
            </w:pPr>
            <w:r w:rsidRPr="000D5DBF">
              <w:rPr>
                <w:noProof/>
                <w:sz w:val="20"/>
              </w:rPr>
              <w:t>LR Finanšu ministrija</w:t>
            </w:r>
          </w:p>
        </w:tc>
        <w:tc>
          <w:tcPr>
            <w:tcW w:w="2057" w:type="dxa"/>
          </w:tcPr>
          <w:p w14:paraId="38071B20" w14:textId="77777777" w:rsidR="004951E2" w:rsidRPr="000D5DBF" w:rsidRDefault="0042702C" w:rsidP="00BA1297">
            <w:pPr>
              <w:spacing w:before="0" w:after="0"/>
              <w:rPr>
                <w:noProof/>
                <w:sz w:val="20"/>
              </w:rPr>
            </w:pPr>
            <w:r w:rsidRPr="000D5DBF">
              <w:rPr>
                <w:noProof/>
                <w:sz w:val="20"/>
              </w:rPr>
              <w:t>Nata Lasmane, ES fondu revīzijas departamenta direktore</w:t>
            </w:r>
          </w:p>
        </w:tc>
        <w:tc>
          <w:tcPr>
            <w:tcW w:w="2376" w:type="dxa"/>
          </w:tcPr>
          <w:p w14:paraId="03A86927" w14:textId="77777777" w:rsidR="004951E2" w:rsidRPr="000D5DBF" w:rsidRDefault="004951E2" w:rsidP="00BA1297">
            <w:pPr>
              <w:spacing w:before="0" w:after="0"/>
              <w:rPr>
                <w:noProof/>
                <w:sz w:val="20"/>
              </w:rPr>
            </w:pPr>
            <w:r w:rsidRPr="000D5DBF">
              <w:rPr>
                <w:noProof/>
                <w:sz w:val="20"/>
              </w:rPr>
              <w:t>nata.lasmane@fm.gov.lv</w:t>
            </w:r>
          </w:p>
        </w:tc>
      </w:tr>
      <w:tr w:rsidR="004951E2" w:rsidRPr="000D5DBF" w14:paraId="29156107" w14:textId="77777777" w:rsidTr="00226E45">
        <w:tc>
          <w:tcPr>
            <w:tcW w:w="2452" w:type="dxa"/>
          </w:tcPr>
          <w:p w14:paraId="3F5463D1" w14:textId="77777777" w:rsidR="004951E2" w:rsidRPr="000D5DBF" w:rsidRDefault="004951E2" w:rsidP="00BA1297">
            <w:pPr>
              <w:spacing w:before="0" w:after="0"/>
              <w:rPr>
                <w:noProof/>
                <w:sz w:val="20"/>
              </w:rPr>
            </w:pPr>
            <w:r w:rsidRPr="000D5DBF">
              <w:rPr>
                <w:noProof/>
                <w:sz w:val="20"/>
              </w:rPr>
              <w:t>Struktūra, kas saņem maksājumus no Komisijas</w:t>
            </w:r>
          </w:p>
        </w:tc>
        <w:tc>
          <w:tcPr>
            <w:tcW w:w="2403" w:type="dxa"/>
          </w:tcPr>
          <w:p w14:paraId="23862B75" w14:textId="77777777" w:rsidR="004951E2" w:rsidRPr="000D5DBF" w:rsidRDefault="004951E2" w:rsidP="00BA1297">
            <w:pPr>
              <w:spacing w:before="0" w:after="0"/>
              <w:rPr>
                <w:noProof/>
                <w:sz w:val="20"/>
              </w:rPr>
            </w:pPr>
            <w:r w:rsidRPr="000D5DBF">
              <w:rPr>
                <w:noProof/>
                <w:sz w:val="20"/>
              </w:rPr>
              <w:t>Valsts kase</w:t>
            </w:r>
          </w:p>
        </w:tc>
        <w:tc>
          <w:tcPr>
            <w:tcW w:w="2057" w:type="dxa"/>
          </w:tcPr>
          <w:p w14:paraId="6D3DFBDF" w14:textId="77777777" w:rsidR="004951E2" w:rsidRPr="000D5DBF" w:rsidRDefault="0042702C" w:rsidP="00BA1297">
            <w:pPr>
              <w:spacing w:before="0" w:after="0"/>
              <w:rPr>
                <w:noProof/>
                <w:sz w:val="20"/>
              </w:rPr>
            </w:pPr>
            <w:r w:rsidRPr="000D5DBF">
              <w:rPr>
                <w:noProof/>
                <w:sz w:val="20"/>
              </w:rPr>
              <w:t>Kaspars Āboliņš, Valsts kases pārvaldnieks</w:t>
            </w:r>
          </w:p>
        </w:tc>
        <w:tc>
          <w:tcPr>
            <w:tcW w:w="2376" w:type="dxa"/>
          </w:tcPr>
          <w:p w14:paraId="7DF48814" w14:textId="65671291" w:rsidR="004951E2" w:rsidRPr="000D5DBF" w:rsidRDefault="00D4794F" w:rsidP="00BA1297">
            <w:pPr>
              <w:spacing w:before="0" w:after="0"/>
              <w:rPr>
                <w:noProof/>
                <w:sz w:val="20"/>
              </w:rPr>
            </w:pPr>
            <w:r w:rsidRPr="00D4794F">
              <w:rPr>
                <w:noProof/>
                <w:sz w:val="20"/>
              </w:rPr>
              <w:t>Kaspars.Abolins@kase.gov.lv</w:t>
            </w:r>
          </w:p>
        </w:tc>
      </w:tr>
    </w:tbl>
    <w:p w14:paraId="34380377" w14:textId="77777777" w:rsidR="004951E2" w:rsidRPr="000D5DBF" w:rsidRDefault="004951E2" w:rsidP="00BA1297">
      <w:pPr>
        <w:spacing w:before="0" w:after="0"/>
      </w:pPr>
    </w:p>
    <w:p w14:paraId="63E9AF5D" w14:textId="77777777" w:rsidR="004951E2" w:rsidRDefault="004951E2" w:rsidP="00BA1297">
      <w:pPr>
        <w:spacing w:before="0" w:after="0"/>
      </w:pPr>
    </w:p>
    <w:p w14:paraId="66FB0E53" w14:textId="77777777" w:rsidR="00A66A7C" w:rsidRDefault="00A66A7C" w:rsidP="00BA1297">
      <w:pPr>
        <w:spacing w:before="0" w:after="0"/>
      </w:pPr>
    </w:p>
    <w:p w14:paraId="1A983B21" w14:textId="35E12A72" w:rsidR="00DD4BEE" w:rsidRPr="00A26006" w:rsidRDefault="00DD4BEE" w:rsidP="00A26006">
      <w:pPr>
        <w:pStyle w:val="Heading1"/>
        <w:numPr>
          <w:ilvl w:val="0"/>
          <w:numId w:val="30"/>
        </w:numPr>
        <w:rPr>
          <w:rFonts w:ascii="Times New Roman" w:hAnsi="Times New Roman" w:cs="Times New Roman"/>
          <w:b/>
          <w:color w:val="auto"/>
          <w:sz w:val="28"/>
          <w:szCs w:val="28"/>
        </w:rPr>
      </w:pPr>
      <w:bookmarkStart w:id="24" w:name="_Toc62557123"/>
      <w:r w:rsidRPr="00A26006">
        <w:rPr>
          <w:rFonts w:ascii="Times New Roman" w:hAnsi="Times New Roman" w:cs="Times New Roman"/>
          <w:b/>
          <w:color w:val="auto"/>
          <w:sz w:val="28"/>
          <w:szCs w:val="28"/>
        </w:rPr>
        <w:t>Sabiedrības līdzdalība</w:t>
      </w:r>
      <w:bookmarkEnd w:id="24"/>
    </w:p>
    <w:p w14:paraId="48617DE3" w14:textId="77777777" w:rsidR="00A66A7C" w:rsidRDefault="00A66A7C" w:rsidP="00BA1297">
      <w:pPr>
        <w:spacing w:before="0" w:after="0"/>
      </w:pPr>
    </w:p>
    <w:p w14:paraId="3A1E78B4" w14:textId="120AEFBF" w:rsidR="00D865EB" w:rsidRPr="00D865EB" w:rsidRDefault="009B25D5" w:rsidP="00733CAA">
      <w:pPr>
        <w:pStyle w:val="ListParagraph"/>
        <w:numPr>
          <w:ilvl w:val="0"/>
          <w:numId w:val="2"/>
        </w:numPr>
        <w:spacing w:after="0" w:line="240" w:lineRule="auto"/>
        <w:ind w:left="567" w:hanging="567"/>
        <w:jc w:val="both"/>
        <w:rPr>
          <w:rFonts w:ascii="Times New Roman" w:hAnsi="Times New Roman" w:cs="Times New Roman"/>
          <w:sz w:val="24"/>
          <w:szCs w:val="24"/>
        </w:rPr>
      </w:pPr>
      <w:r w:rsidRPr="00D865EB">
        <w:rPr>
          <w:rFonts w:ascii="Times New Roman" w:hAnsi="Times New Roman" w:cs="Times New Roman"/>
          <w:sz w:val="24"/>
          <w:szCs w:val="24"/>
        </w:rPr>
        <w:t xml:space="preserve">Programmas projekta izstrādes procesā nodrošināta sabiedrības līdzdalība. Tās rezultātā saņemtie </w:t>
      </w:r>
      <w:r w:rsidRPr="00D865EB">
        <w:rPr>
          <w:rFonts w:ascii="Times New Roman" w:hAnsi="Times New Roman" w:cs="Times New Roman"/>
          <w:bCs/>
          <w:sz w:val="24"/>
          <w:szCs w:val="24"/>
        </w:rPr>
        <w:t xml:space="preserve">iebildumi un priekšlikumi apkopoti, kā </w:t>
      </w:r>
      <w:r w:rsidR="00D865EB" w:rsidRPr="00D865EB">
        <w:rPr>
          <w:rFonts w:ascii="Times New Roman" w:hAnsi="Times New Roman" w:cs="Times New Roman"/>
          <w:bCs/>
          <w:sz w:val="24"/>
          <w:szCs w:val="24"/>
        </w:rPr>
        <w:t xml:space="preserve">arī LM skaidrojumi atspoguļoti LM tīmekļa vietnē: </w:t>
      </w:r>
      <w:hyperlink r:id="rId9" w:history="1">
        <w:r w:rsidR="00D865EB" w:rsidRPr="00D865EB">
          <w:rPr>
            <w:rFonts w:ascii="Times New Roman" w:eastAsia="Calibri" w:hAnsi="Times New Roman" w:cs="Times New Roman"/>
            <w:sz w:val="24"/>
            <w:szCs w:val="20"/>
          </w:rPr>
          <w:t>https://www.lm.gov.lv/lv/esf-programmas-materialas-nenodrosinatibas-mazinasanai-2021-2027-gadam-projekts</w:t>
        </w:r>
      </w:hyperlink>
      <w:r w:rsidR="00D865EB">
        <w:rPr>
          <w:rFonts w:ascii="Times New Roman" w:eastAsia="Calibri" w:hAnsi="Times New Roman" w:cs="Times New Roman"/>
          <w:sz w:val="24"/>
          <w:szCs w:val="20"/>
        </w:rPr>
        <w:t>.</w:t>
      </w:r>
    </w:p>
    <w:p w14:paraId="3B52664A" w14:textId="77777777" w:rsidR="009B25D5" w:rsidRDefault="009B25D5" w:rsidP="009B25D5">
      <w:pPr>
        <w:spacing w:after="0"/>
      </w:pPr>
    </w:p>
    <w:p w14:paraId="5F275158" w14:textId="77777777" w:rsidR="00A66A7C" w:rsidRDefault="00A66A7C" w:rsidP="00BA1297">
      <w:pPr>
        <w:spacing w:before="0" w:after="0"/>
      </w:pPr>
    </w:p>
    <w:p w14:paraId="32B162E7" w14:textId="77777777" w:rsidR="0094235B" w:rsidRPr="00F4543C" w:rsidRDefault="0094235B" w:rsidP="0094235B">
      <w:pPr>
        <w:spacing w:after="0"/>
        <w:rPr>
          <w:sz w:val="28"/>
          <w:szCs w:val="28"/>
        </w:rPr>
      </w:pPr>
    </w:p>
    <w:p w14:paraId="5A2BF9EE" w14:textId="77777777" w:rsidR="0094235B" w:rsidRPr="00F4543C" w:rsidRDefault="0094235B" w:rsidP="0094235B">
      <w:pPr>
        <w:spacing w:after="0"/>
        <w:rPr>
          <w:sz w:val="28"/>
          <w:szCs w:val="28"/>
        </w:rPr>
      </w:pPr>
      <w:r>
        <w:rPr>
          <w:sz w:val="28"/>
          <w:szCs w:val="28"/>
        </w:rPr>
        <w:t>Labklājības ministre</w:t>
      </w:r>
      <w:r w:rsidRPr="00F4543C">
        <w:rPr>
          <w:sz w:val="28"/>
          <w:szCs w:val="28"/>
        </w:rPr>
        <w:tab/>
      </w:r>
      <w:r w:rsidRPr="00F4543C">
        <w:rPr>
          <w:sz w:val="28"/>
          <w:szCs w:val="28"/>
        </w:rPr>
        <w:tab/>
      </w:r>
      <w:r w:rsidRPr="00F4543C">
        <w:rPr>
          <w:sz w:val="28"/>
          <w:szCs w:val="28"/>
        </w:rPr>
        <w:tab/>
      </w:r>
      <w:r w:rsidRPr="00F4543C">
        <w:rPr>
          <w:sz w:val="28"/>
          <w:szCs w:val="28"/>
        </w:rPr>
        <w:tab/>
      </w:r>
      <w:r w:rsidRPr="00F4543C">
        <w:rPr>
          <w:sz w:val="28"/>
          <w:szCs w:val="28"/>
        </w:rPr>
        <w:tab/>
      </w:r>
      <w:r w:rsidRPr="00F4543C">
        <w:rPr>
          <w:sz w:val="28"/>
          <w:szCs w:val="28"/>
        </w:rPr>
        <w:tab/>
      </w:r>
      <w:r w:rsidRPr="00F4543C">
        <w:rPr>
          <w:sz w:val="28"/>
          <w:szCs w:val="28"/>
        </w:rPr>
        <w:tab/>
      </w:r>
      <w:r>
        <w:rPr>
          <w:sz w:val="28"/>
          <w:szCs w:val="28"/>
        </w:rPr>
        <w:t>R. Petraviča</w:t>
      </w:r>
    </w:p>
    <w:p w14:paraId="641FFA46" w14:textId="77777777" w:rsidR="0094235B" w:rsidRDefault="0094235B" w:rsidP="0094235B">
      <w:pPr>
        <w:pStyle w:val="Header"/>
        <w:tabs>
          <w:tab w:val="clear" w:pos="4153"/>
          <w:tab w:val="clear" w:pos="8306"/>
        </w:tabs>
        <w:rPr>
          <w:sz w:val="20"/>
        </w:rPr>
      </w:pPr>
    </w:p>
    <w:p w14:paraId="39D12EF7" w14:textId="77777777" w:rsidR="0094235B" w:rsidRPr="00F4543C" w:rsidRDefault="0094235B" w:rsidP="0094235B">
      <w:pPr>
        <w:pStyle w:val="Header"/>
        <w:tabs>
          <w:tab w:val="clear" w:pos="4153"/>
          <w:tab w:val="clear" w:pos="8306"/>
        </w:tabs>
        <w:rPr>
          <w:sz w:val="20"/>
        </w:rPr>
      </w:pPr>
    </w:p>
    <w:p w14:paraId="290383E9" w14:textId="77777777" w:rsidR="0094235B" w:rsidRDefault="0094235B" w:rsidP="0094235B">
      <w:pPr>
        <w:pStyle w:val="Header"/>
        <w:tabs>
          <w:tab w:val="clear" w:pos="4153"/>
          <w:tab w:val="clear" w:pos="8306"/>
        </w:tabs>
        <w:rPr>
          <w:sz w:val="20"/>
        </w:rPr>
      </w:pPr>
    </w:p>
    <w:p w14:paraId="06E854BE" w14:textId="77777777" w:rsidR="0094235B" w:rsidRPr="00F4543C" w:rsidRDefault="0094235B" w:rsidP="0094235B">
      <w:pPr>
        <w:pStyle w:val="Header"/>
        <w:tabs>
          <w:tab w:val="clear" w:pos="4153"/>
          <w:tab w:val="clear" w:pos="8306"/>
        </w:tabs>
        <w:rPr>
          <w:sz w:val="20"/>
        </w:rPr>
      </w:pPr>
    </w:p>
    <w:p w14:paraId="1A07C15C" w14:textId="76816CF8" w:rsidR="0094235B" w:rsidRPr="00F4543C" w:rsidRDefault="0094235B" w:rsidP="0094235B">
      <w:pPr>
        <w:pStyle w:val="Header"/>
        <w:tabs>
          <w:tab w:val="clear" w:pos="4153"/>
          <w:tab w:val="clear" w:pos="8306"/>
        </w:tabs>
        <w:rPr>
          <w:sz w:val="20"/>
        </w:rPr>
      </w:pPr>
      <w:r w:rsidRPr="0015194E">
        <w:rPr>
          <w:sz w:val="20"/>
        </w:rPr>
        <w:fldChar w:fldCharType="begin"/>
      </w:r>
      <w:r w:rsidRPr="00F4543C">
        <w:rPr>
          <w:sz w:val="20"/>
        </w:rPr>
        <w:instrText xml:space="preserve"> DATE  \@ "yyyy.MM.dd. H:mm"  \* MERGEFORMAT </w:instrText>
      </w:r>
      <w:r w:rsidRPr="0015194E">
        <w:rPr>
          <w:sz w:val="20"/>
        </w:rPr>
        <w:fldChar w:fldCharType="separate"/>
      </w:r>
      <w:r w:rsidR="004B56BA">
        <w:rPr>
          <w:noProof/>
          <w:sz w:val="20"/>
        </w:rPr>
        <w:t>2021.01.26. 13:41</w:t>
      </w:r>
      <w:r w:rsidRPr="0015194E">
        <w:rPr>
          <w:sz w:val="20"/>
        </w:rPr>
        <w:fldChar w:fldCharType="end"/>
      </w:r>
    </w:p>
    <w:p w14:paraId="20143DF0" w14:textId="36986096" w:rsidR="00CF0FF2" w:rsidRDefault="00183144" w:rsidP="0094235B">
      <w:pPr>
        <w:pStyle w:val="Header"/>
        <w:tabs>
          <w:tab w:val="clear" w:pos="4153"/>
          <w:tab w:val="clear" w:pos="8306"/>
        </w:tabs>
        <w:rPr>
          <w:sz w:val="20"/>
        </w:rPr>
      </w:pPr>
      <w:r>
        <w:rPr>
          <w:sz w:val="20"/>
        </w:rPr>
        <w:t>5687</w:t>
      </w:r>
    </w:p>
    <w:p w14:paraId="0E8FB2C7" w14:textId="77777777" w:rsidR="0094235B" w:rsidRPr="00F4543C" w:rsidRDefault="0094235B" w:rsidP="0094235B">
      <w:pPr>
        <w:pStyle w:val="Header"/>
        <w:tabs>
          <w:tab w:val="clear" w:pos="4153"/>
          <w:tab w:val="clear" w:pos="8306"/>
        </w:tabs>
        <w:rPr>
          <w:sz w:val="20"/>
        </w:rPr>
      </w:pPr>
      <w:r>
        <w:rPr>
          <w:sz w:val="20"/>
        </w:rPr>
        <w:t>A. Stratane</w:t>
      </w:r>
    </w:p>
    <w:p w14:paraId="39CA2BB9" w14:textId="77777777" w:rsidR="0094235B" w:rsidRDefault="0094235B" w:rsidP="0094235B">
      <w:pPr>
        <w:pStyle w:val="Header"/>
        <w:tabs>
          <w:tab w:val="clear" w:pos="4153"/>
          <w:tab w:val="clear" w:pos="8306"/>
        </w:tabs>
        <w:rPr>
          <w:sz w:val="20"/>
        </w:rPr>
      </w:pPr>
      <w:r w:rsidRPr="00F4543C">
        <w:rPr>
          <w:sz w:val="20"/>
        </w:rPr>
        <w:t>Tālr.</w:t>
      </w:r>
      <w:r>
        <w:rPr>
          <w:sz w:val="20"/>
        </w:rPr>
        <w:t xml:space="preserve">: </w:t>
      </w:r>
      <w:r w:rsidRPr="00FC26DC">
        <w:rPr>
          <w:sz w:val="20"/>
        </w:rPr>
        <w:t xml:space="preserve">67021653 </w:t>
      </w:r>
    </w:p>
    <w:p w14:paraId="1BFC3139" w14:textId="77777777" w:rsidR="0094235B" w:rsidRPr="00F4543C" w:rsidRDefault="0094235B" w:rsidP="0094235B">
      <w:pPr>
        <w:pStyle w:val="Header"/>
        <w:tabs>
          <w:tab w:val="clear" w:pos="4153"/>
          <w:tab w:val="clear" w:pos="8306"/>
        </w:tabs>
      </w:pPr>
      <w:r>
        <w:rPr>
          <w:sz w:val="20"/>
        </w:rPr>
        <w:t>Aurika.Stratane@lm.gov.lv</w:t>
      </w:r>
      <w:r w:rsidRPr="0015194E">
        <w:rPr>
          <w:sz w:val="20"/>
        </w:rPr>
        <w:fldChar w:fldCharType="begin"/>
      </w:r>
      <w:r w:rsidRPr="00F4543C">
        <w:rPr>
          <w:sz w:val="20"/>
        </w:rPr>
        <w:instrText xml:space="preserve"> COMMENTS   \* MERGEFORMAT </w:instrText>
      </w:r>
      <w:r w:rsidRPr="0015194E">
        <w:rPr>
          <w:sz w:val="20"/>
        </w:rPr>
        <w:fldChar w:fldCharType="end"/>
      </w:r>
    </w:p>
    <w:p w14:paraId="7D5D8C76" w14:textId="77777777" w:rsidR="00A66A7C" w:rsidRDefault="00A66A7C" w:rsidP="00BA1297">
      <w:pPr>
        <w:spacing w:before="0" w:after="0"/>
      </w:pPr>
    </w:p>
    <w:p w14:paraId="08E28B4D" w14:textId="77777777" w:rsidR="00A66A7C" w:rsidRDefault="00A66A7C" w:rsidP="00BA1297">
      <w:pPr>
        <w:spacing w:before="0" w:after="0"/>
      </w:pPr>
    </w:p>
    <w:p w14:paraId="7606B9E6" w14:textId="77777777" w:rsidR="00A66A7C" w:rsidRPr="000D5DBF" w:rsidRDefault="00A66A7C" w:rsidP="00BA1297">
      <w:pPr>
        <w:spacing w:before="0" w:after="0"/>
      </w:pPr>
    </w:p>
    <w:sectPr w:rsidR="00A66A7C" w:rsidRPr="000D5DBF" w:rsidSect="004951E2">
      <w:pgSz w:w="11906" w:h="16838"/>
      <w:pgMar w:top="1134" w:right="1276"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16B66" w14:textId="77777777" w:rsidR="00B755FE" w:rsidRDefault="00B755FE" w:rsidP="00D27AF9">
      <w:pPr>
        <w:spacing w:before="0" w:after="0"/>
      </w:pPr>
      <w:r>
        <w:separator/>
      </w:r>
    </w:p>
  </w:endnote>
  <w:endnote w:type="continuationSeparator" w:id="0">
    <w:p w14:paraId="61A5B194" w14:textId="77777777" w:rsidR="00B755FE" w:rsidRDefault="00B755FE" w:rsidP="00D27A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112321"/>
      <w:docPartObj>
        <w:docPartGallery w:val="Page Numbers (Bottom of Page)"/>
        <w:docPartUnique/>
      </w:docPartObj>
    </w:sdtPr>
    <w:sdtEndPr>
      <w:rPr>
        <w:noProof/>
      </w:rPr>
    </w:sdtEndPr>
    <w:sdtContent>
      <w:p w14:paraId="72E69FA6" w14:textId="30651D53" w:rsidR="009B25D5" w:rsidRDefault="009B25D5">
        <w:pPr>
          <w:pStyle w:val="Footer"/>
          <w:jc w:val="right"/>
        </w:pPr>
        <w:r>
          <w:fldChar w:fldCharType="begin"/>
        </w:r>
        <w:r>
          <w:instrText xml:space="preserve"> PAGE   \* MERGEFORMAT </w:instrText>
        </w:r>
        <w:r>
          <w:fldChar w:fldCharType="separate"/>
        </w:r>
        <w:r w:rsidR="00183144">
          <w:rPr>
            <w:noProof/>
          </w:rPr>
          <w:t>18</w:t>
        </w:r>
        <w:r>
          <w:rPr>
            <w:noProof/>
          </w:rPr>
          <w:fldChar w:fldCharType="end"/>
        </w:r>
      </w:p>
    </w:sdtContent>
  </w:sdt>
  <w:p w14:paraId="2ED7DE26" w14:textId="2519A404" w:rsidR="009B25D5" w:rsidRPr="002B2CC3" w:rsidRDefault="009B25D5">
    <w:pPr>
      <w:pStyle w:val="Footer"/>
      <w:rPr>
        <w:sz w:val="20"/>
      </w:rPr>
    </w:pPr>
    <w:r w:rsidRPr="002B2CC3">
      <w:rPr>
        <w:sz w:val="20"/>
      </w:rPr>
      <w:fldChar w:fldCharType="begin"/>
    </w:r>
    <w:r w:rsidRPr="002B2CC3">
      <w:rPr>
        <w:sz w:val="20"/>
      </w:rPr>
      <w:instrText xml:space="preserve"> FILENAME \* MERGEFORMAT </w:instrText>
    </w:r>
    <w:r w:rsidRPr="002B2CC3">
      <w:rPr>
        <w:sz w:val="20"/>
      </w:rPr>
      <w:fldChar w:fldCharType="separate"/>
    </w:r>
    <w:r w:rsidRPr="002B2CC3">
      <w:rPr>
        <w:noProof/>
        <w:sz w:val="20"/>
      </w:rPr>
      <w:t>LMProg_20012021_ESF+MNM21_27</w:t>
    </w:r>
    <w:r w:rsidRPr="002B2CC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70DF" w14:textId="77777777" w:rsidR="00B755FE" w:rsidRDefault="00B755FE" w:rsidP="00D27AF9">
      <w:pPr>
        <w:spacing w:before="0" w:after="0"/>
      </w:pPr>
      <w:r>
        <w:separator/>
      </w:r>
    </w:p>
  </w:footnote>
  <w:footnote w:type="continuationSeparator" w:id="0">
    <w:p w14:paraId="3494A7A6" w14:textId="77777777" w:rsidR="00B755FE" w:rsidRDefault="00B755FE" w:rsidP="00D27AF9">
      <w:pPr>
        <w:spacing w:before="0" w:after="0"/>
      </w:pPr>
      <w:r>
        <w:continuationSeparator/>
      </w:r>
    </w:p>
  </w:footnote>
  <w:footnote w:id="1">
    <w:p w14:paraId="3D3526B2" w14:textId="77777777" w:rsidR="009B25D5" w:rsidRPr="003F4B5A" w:rsidRDefault="009B25D5" w:rsidP="00D27AF9">
      <w:pPr>
        <w:pStyle w:val="FootnoteText"/>
        <w:ind w:left="0" w:firstLine="0"/>
        <w:jc w:val="left"/>
        <w:rPr>
          <w:sz w:val="16"/>
          <w:szCs w:val="16"/>
        </w:rPr>
      </w:pPr>
      <w:r w:rsidRPr="003F4B5A">
        <w:rPr>
          <w:rStyle w:val="FootnoteReference"/>
          <w:sz w:val="16"/>
          <w:szCs w:val="16"/>
        </w:rPr>
        <w:footnoteRef/>
      </w:r>
      <w:r w:rsidRPr="003F4B5A">
        <w:rPr>
          <w:sz w:val="16"/>
          <w:szCs w:val="16"/>
        </w:rPr>
        <w:t xml:space="preserve"> EU-SILC, 2019, Nabadzības risks un sociālā atstumtība Latvijā, pieejams: </w:t>
      </w:r>
      <w:hyperlink r:id="rId1" w:history="1">
        <w:r w:rsidRPr="003F4B5A">
          <w:rPr>
            <w:rStyle w:val="Hyperlink"/>
            <w:color w:val="auto"/>
            <w:sz w:val="16"/>
            <w:szCs w:val="16"/>
          </w:rPr>
          <w:t>https://www.csb.gov.lv/sites/default/files/publication/2020-01/Nr_08_Nabadzibas_risks_un_sociala_atstumtiba_Latvija_2019_%2820_00%29%20LV.pdf</w:t>
        </w:r>
      </w:hyperlink>
      <w:r w:rsidRPr="003F4B5A">
        <w:rPr>
          <w:sz w:val="16"/>
          <w:szCs w:val="16"/>
        </w:rPr>
        <w:t>, skatīts 16.07.2020.</w:t>
      </w:r>
    </w:p>
  </w:footnote>
  <w:footnote w:id="2">
    <w:p w14:paraId="3B1A5195" w14:textId="77777777" w:rsidR="009B25D5" w:rsidRPr="003F4B5A" w:rsidRDefault="009B25D5" w:rsidP="00D27AF9">
      <w:pPr>
        <w:pStyle w:val="FootnoteText"/>
        <w:ind w:left="0" w:firstLine="0"/>
        <w:jc w:val="left"/>
        <w:rPr>
          <w:sz w:val="16"/>
          <w:szCs w:val="16"/>
        </w:rPr>
      </w:pPr>
      <w:r w:rsidRPr="003F4B5A">
        <w:rPr>
          <w:rStyle w:val="FootnoteReference"/>
          <w:sz w:val="16"/>
          <w:szCs w:val="16"/>
        </w:rPr>
        <w:footnoteRef/>
      </w:r>
      <w:r w:rsidRPr="003F4B5A">
        <w:rPr>
          <w:sz w:val="16"/>
          <w:szCs w:val="16"/>
        </w:rPr>
        <w:t xml:space="preserve"> CSP, nabadzība un nevienlīdzība NIG150 pieejams: </w:t>
      </w:r>
      <w:hyperlink r:id="rId2" w:history="1">
        <w:r w:rsidRPr="003F4B5A">
          <w:rPr>
            <w:rStyle w:val="Hyperlink"/>
            <w:color w:val="auto"/>
            <w:sz w:val="16"/>
            <w:szCs w:val="16"/>
          </w:rPr>
          <w:t>https://data1.csb.gov.lv/pxweb/lv/sociala/sociala__nabadz_nevienl__monetara_nab/NIG150.px</w:t>
        </w:r>
      </w:hyperlink>
      <w:r w:rsidRPr="003F4B5A">
        <w:rPr>
          <w:sz w:val="16"/>
          <w:szCs w:val="16"/>
        </w:rPr>
        <w:t xml:space="preserve">, skatīts 16.07.2020. </w:t>
      </w:r>
    </w:p>
  </w:footnote>
  <w:footnote w:id="3">
    <w:p w14:paraId="7BB88F93" w14:textId="77777777" w:rsidR="009B25D5" w:rsidRPr="003F4B5A" w:rsidRDefault="009B25D5" w:rsidP="00D27AF9">
      <w:pPr>
        <w:pStyle w:val="FootnoteText"/>
        <w:ind w:left="0" w:firstLine="0"/>
        <w:jc w:val="left"/>
        <w:rPr>
          <w:sz w:val="16"/>
          <w:szCs w:val="16"/>
        </w:rPr>
      </w:pPr>
      <w:r w:rsidRPr="003F4B5A">
        <w:rPr>
          <w:rStyle w:val="FootnoteReference"/>
          <w:sz w:val="16"/>
          <w:szCs w:val="16"/>
        </w:rPr>
        <w:footnoteRef/>
      </w:r>
      <w:r w:rsidRPr="003F4B5A">
        <w:rPr>
          <w:sz w:val="16"/>
          <w:szCs w:val="16"/>
        </w:rPr>
        <w:t xml:space="preserve">NIG050. Nabadzības riska indekss pēc mājsaimniecības tipa (%) </w:t>
      </w:r>
      <w:hyperlink r:id="rId3" w:history="1">
        <w:r w:rsidRPr="003F4B5A">
          <w:rPr>
            <w:rStyle w:val="Hyperlink"/>
            <w:color w:val="auto"/>
            <w:sz w:val="16"/>
            <w:szCs w:val="16"/>
          </w:rPr>
          <w:t>https://data1.csb.gov.lv/pxweb/lv/sociala/sociala__nabadz_nevienl__monetara_nab/NIG050.px</w:t>
        </w:r>
      </w:hyperlink>
      <w:r w:rsidRPr="003F4B5A">
        <w:rPr>
          <w:sz w:val="16"/>
          <w:szCs w:val="16"/>
        </w:rPr>
        <w:t>,  skatīts 11.09.2020.</w:t>
      </w:r>
    </w:p>
  </w:footnote>
  <w:footnote w:id="4">
    <w:p w14:paraId="7269016C" w14:textId="77777777" w:rsidR="009B25D5" w:rsidRPr="003F4B5A" w:rsidRDefault="009B25D5" w:rsidP="00D27AF9">
      <w:pPr>
        <w:pStyle w:val="FootnoteText"/>
        <w:ind w:left="0" w:firstLine="0"/>
        <w:jc w:val="left"/>
        <w:rPr>
          <w:sz w:val="16"/>
          <w:szCs w:val="16"/>
        </w:rPr>
      </w:pPr>
      <w:r w:rsidRPr="003F4B5A">
        <w:rPr>
          <w:rStyle w:val="FootnoteReference"/>
          <w:sz w:val="16"/>
          <w:szCs w:val="16"/>
        </w:rPr>
        <w:footnoteRef/>
      </w:r>
      <w:r w:rsidRPr="003F4B5A">
        <w:rPr>
          <w:sz w:val="16"/>
          <w:szCs w:val="16"/>
        </w:rPr>
        <w:t xml:space="preserve"> CSP, Materiālā nenodrošinātība Latvijā 2019.gadā, pieejams: </w:t>
      </w:r>
      <w:hyperlink r:id="rId4" w:history="1">
        <w:r w:rsidRPr="003F4B5A">
          <w:rPr>
            <w:rStyle w:val="Hyperlink"/>
            <w:color w:val="auto"/>
            <w:sz w:val="16"/>
            <w:szCs w:val="16"/>
          </w:rPr>
          <w:t>https://www.csb.gov.lv/lv/statistika/statistikas-temas/socialie-procesi/nabadziba/meklet-tema/415-materiala-nenodrosinatiba-latvija-2019-gada</w:t>
        </w:r>
      </w:hyperlink>
      <w:r w:rsidRPr="003F4B5A">
        <w:rPr>
          <w:sz w:val="16"/>
          <w:szCs w:val="16"/>
        </w:rPr>
        <w:t>, skatīts 16.07.2020.</w:t>
      </w:r>
    </w:p>
  </w:footnote>
  <w:footnote w:id="5">
    <w:p w14:paraId="4168725D" w14:textId="77777777" w:rsidR="009B25D5" w:rsidRPr="003F4B5A" w:rsidRDefault="009B25D5" w:rsidP="00D27AF9">
      <w:pPr>
        <w:pStyle w:val="FootnoteText"/>
        <w:ind w:left="0" w:firstLine="0"/>
        <w:jc w:val="left"/>
        <w:rPr>
          <w:sz w:val="16"/>
          <w:szCs w:val="16"/>
        </w:rPr>
      </w:pPr>
      <w:r w:rsidRPr="003F4B5A">
        <w:rPr>
          <w:rStyle w:val="FootnoteReference"/>
          <w:sz w:val="16"/>
          <w:szCs w:val="16"/>
        </w:rPr>
        <w:footnoteRef/>
      </w:r>
      <w:r w:rsidRPr="003F4B5A">
        <w:rPr>
          <w:sz w:val="16"/>
          <w:szCs w:val="16"/>
        </w:rPr>
        <w:t xml:space="preserve"> CSP, MNG140 Iedzīvotāju dziļa materiālā nenodrošinātība (%) 2019.</w:t>
      </w:r>
      <w:r w:rsidRPr="003F4B5A">
        <w:t xml:space="preserve">gadā, </w:t>
      </w:r>
      <w:r w:rsidRPr="003F4B5A">
        <w:rPr>
          <w:sz w:val="16"/>
          <w:szCs w:val="16"/>
        </w:rPr>
        <w:t xml:space="preserve">pieejams: </w:t>
      </w:r>
      <w:hyperlink r:id="rId5" w:history="1">
        <w:r w:rsidRPr="003F4B5A">
          <w:rPr>
            <w:rStyle w:val="Hyperlink"/>
            <w:color w:val="auto"/>
            <w:sz w:val="16"/>
            <w:szCs w:val="16"/>
          </w:rPr>
          <w:t>http://data1.csb.gov.lv/pxweb/lv/sociala/sociala__nabadz_nevienl__matnenodr/MNG140.px/table/tableViewLayout1/</w:t>
        </w:r>
      </w:hyperlink>
      <w:r w:rsidRPr="003F4B5A">
        <w:rPr>
          <w:sz w:val="16"/>
          <w:szCs w:val="16"/>
        </w:rPr>
        <w:t>, skatīts 29.09.2020.</w:t>
      </w:r>
    </w:p>
  </w:footnote>
  <w:footnote w:id="6">
    <w:p w14:paraId="5EF82370" w14:textId="77777777" w:rsidR="009B25D5" w:rsidRPr="00F63EDF" w:rsidRDefault="009B25D5" w:rsidP="00D27AF9">
      <w:pPr>
        <w:pStyle w:val="FootnoteText"/>
        <w:ind w:left="0" w:firstLine="0"/>
        <w:rPr>
          <w:color w:val="0070C0"/>
          <w:sz w:val="16"/>
          <w:szCs w:val="16"/>
        </w:rPr>
      </w:pPr>
      <w:r w:rsidRPr="003F4B5A">
        <w:rPr>
          <w:rStyle w:val="FootnoteReference"/>
          <w:sz w:val="16"/>
          <w:szCs w:val="16"/>
        </w:rPr>
        <w:footnoteRef/>
      </w:r>
      <w:r w:rsidRPr="003F4B5A">
        <w:rPr>
          <w:sz w:val="16"/>
          <w:szCs w:val="16"/>
        </w:rPr>
        <w:t xml:space="preserve"> LM, Publikācijas, pētījumi un statistika, pieejams: </w:t>
      </w:r>
      <w:hyperlink r:id="rId6" w:history="1">
        <w:r w:rsidRPr="003F4B5A">
          <w:rPr>
            <w:rStyle w:val="Hyperlink"/>
            <w:color w:val="auto"/>
            <w:sz w:val="16"/>
            <w:szCs w:val="16"/>
          </w:rPr>
          <w:t>www.lm.gov.lv/lv/publikacijas-petijumi-un-statistika/statistika/valsts-statistika-socialo-pakalpojumu-un-socialas-palidzibas-joma</w:t>
        </w:r>
      </w:hyperlink>
      <w:r w:rsidRPr="003F4B5A">
        <w:rPr>
          <w:sz w:val="16"/>
          <w:szCs w:val="16"/>
        </w:rPr>
        <w:t>, skatīts 16.07.2020.</w:t>
      </w:r>
    </w:p>
  </w:footnote>
  <w:footnote w:id="7">
    <w:p w14:paraId="70746EBB" w14:textId="77777777" w:rsidR="009B25D5" w:rsidRPr="00CB7AE4" w:rsidRDefault="009B25D5" w:rsidP="00D27AF9">
      <w:pPr>
        <w:pStyle w:val="FootnoteText"/>
        <w:rPr>
          <w:color w:val="0070C0"/>
        </w:rPr>
      </w:pPr>
      <w:r w:rsidRPr="003F4B5A">
        <w:rPr>
          <w:rStyle w:val="FootnoteReference"/>
          <w:sz w:val="16"/>
          <w:szCs w:val="16"/>
        </w:rPr>
        <w:footnoteRef/>
      </w:r>
      <w:r w:rsidRPr="003F4B5A">
        <w:rPr>
          <w:sz w:val="16"/>
          <w:szCs w:val="16"/>
        </w:rPr>
        <w:t xml:space="preserve"> https://ec.europa.eu/info/sites/info/files/file_import/2019-european-semester-country-report-latvia_lv.pdf</w:t>
      </w:r>
    </w:p>
  </w:footnote>
  <w:footnote w:id="8">
    <w:p w14:paraId="3DC8DD1E" w14:textId="77777777" w:rsidR="009B25D5" w:rsidRPr="00F63EDF" w:rsidRDefault="009B25D5" w:rsidP="00DE6BEF">
      <w:pPr>
        <w:pStyle w:val="FootnoteText"/>
        <w:ind w:left="0" w:firstLine="0"/>
        <w:rPr>
          <w:sz w:val="16"/>
          <w:szCs w:val="16"/>
        </w:rPr>
      </w:pPr>
      <w:r w:rsidRPr="003F4B5A">
        <w:rPr>
          <w:rStyle w:val="FootnoteReference"/>
          <w:sz w:val="16"/>
          <w:szCs w:val="16"/>
        </w:rPr>
        <w:footnoteRef/>
      </w:r>
      <w:r w:rsidRPr="003F4B5A">
        <w:rPr>
          <w:sz w:val="16"/>
          <w:szCs w:val="16"/>
        </w:rPr>
        <w:t xml:space="preserve"> http://www.lm.gov.lv/lv/es-finansejums/eiropas-atbalsta-fonds-vistrucigakajam-personam/fonda-novertesanas-zinojumi</w:t>
      </w:r>
    </w:p>
  </w:footnote>
  <w:footnote w:id="9">
    <w:p w14:paraId="5DD79200" w14:textId="77777777" w:rsidR="009B25D5" w:rsidRDefault="009B25D5" w:rsidP="00D27FCE">
      <w:pPr>
        <w:pStyle w:val="FootnoteText"/>
        <w:ind w:left="0" w:firstLine="0"/>
      </w:pPr>
      <w:r w:rsidRPr="00434E90">
        <w:rPr>
          <w:rStyle w:val="FootnoteReference"/>
          <w:sz w:val="16"/>
          <w:szCs w:val="16"/>
        </w:rPr>
        <w:footnoteRef/>
      </w:r>
      <w:r>
        <w:rPr>
          <w:sz w:val="16"/>
          <w:szCs w:val="16"/>
        </w:rPr>
        <w:t xml:space="preserve"> T</w:t>
      </w:r>
      <w:r w:rsidRPr="00434E90">
        <w:rPr>
          <w:sz w:val="16"/>
          <w:szCs w:val="16"/>
        </w:rPr>
        <w:t>rūcīgas mājsaimn</w:t>
      </w:r>
      <w:r>
        <w:rPr>
          <w:sz w:val="16"/>
          <w:szCs w:val="16"/>
        </w:rPr>
        <w:t>iecības ienākumu slieksnis: 272 </w:t>
      </w:r>
      <w:r w:rsidRPr="00434E90">
        <w:rPr>
          <w:sz w:val="16"/>
          <w:szCs w:val="16"/>
        </w:rPr>
        <w:t>euro pirmajai vai vienīgajai</w:t>
      </w:r>
      <w:r>
        <w:rPr>
          <w:sz w:val="16"/>
          <w:szCs w:val="16"/>
        </w:rPr>
        <w:t xml:space="preserve"> personai mājsaimniecībā un 190 </w:t>
      </w:r>
      <w:r w:rsidRPr="00434E90">
        <w:rPr>
          <w:sz w:val="16"/>
          <w:szCs w:val="16"/>
        </w:rPr>
        <w:t>euro pārējām personām mājsaimniecībā</w:t>
      </w:r>
    </w:p>
  </w:footnote>
  <w:footnote w:id="10">
    <w:p w14:paraId="3208FC7E" w14:textId="77777777" w:rsidR="009B25D5" w:rsidRPr="003F4B5A" w:rsidRDefault="009B25D5" w:rsidP="00AE3B17">
      <w:pPr>
        <w:pStyle w:val="FootnoteText"/>
        <w:rPr>
          <w:sz w:val="16"/>
          <w:szCs w:val="16"/>
        </w:rPr>
      </w:pPr>
      <w:r w:rsidRPr="003F4B5A">
        <w:rPr>
          <w:rStyle w:val="FootnoteReference"/>
          <w:sz w:val="16"/>
          <w:szCs w:val="16"/>
        </w:rPr>
        <w:footnoteRef/>
      </w:r>
      <w:r w:rsidRPr="003F4B5A">
        <w:rPr>
          <w:sz w:val="16"/>
          <w:szCs w:val="16"/>
        </w:rPr>
        <w:t xml:space="preserve"> Likums “Par sociālo drošību”.</w:t>
      </w:r>
    </w:p>
  </w:footnote>
  <w:footnote w:id="11">
    <w:p w14:paraId="1DCB363B" w14:textId="77777777" w:rsidR="009B25D5" w:rsidRPr="003F4B5A" w:rsidRDefault="009B25D5" w:rsidP="00AE3B17">
      <w:pPr>
        <w:pStyle w:val="FootnoteText"/>
        <w:rPr>
          <w:sz w:val="16"/>
          <w:szCs w:val="16"/>
        </w:rPr>
      </w:pPr>
      <w:r w:rsidRPr="003F4B5A">
        <w:rPr>
          <w:rStyle w:val="FootnoteReference"/>
          <w:sz w:val="16"/>
          <w:szCs w:val="16"/>
        </w:rPr>
        <w:footnoteRef/>
      </w:r>
      <w:r w:rsidRPr="003F4B5A">
        <w:rPr>
          <w:sz w:val="16"/>
          <w:szCs w:val="16"/>
        </w:rPr>
        <w:t xml:space="preserve"> Likums “Par sociālo apdrošināšanu”.</w:t>
      </w:r>
    </w:p>
  </w:footnote>
  <w:footnote w:id="12">
    <w:p w14:paraId="17EC41B7" w14:textId="77777777" w:rsidR="009B25D5" w:rsidRPr="003F4B5A" w:rsidRDefault="009B25D5" w:rsidP="00AE3B17">
      <w:pPr>
        <w:pStyle w:val="FootnoteText"/>
        <w:rPr>
          <w:sz w:val="16"/>
          <w:szCs w:val="16"/>
        </w:rPr>
      </w:pPr>
      <w:r w:rsidRPr="003F4B5A">
        <w:rPr>
          <w:rStyle w:val="FootnoteReference"/>
          <w:sz w:val="16"/>
          <w:szCs w:val="16"/>
        </w:rPr>
        <w:footnoteRef/>
      </w:r>
      <w:r w:rsidRPr="003F4B5A">
        <w:rPr>
          <w:sz w:val="16"/>
          <w:szCs w:val="16"/>
        </w:rPr>
        <w:t xml:space="preserve"> Valsts sociālo pabalstu likums.</w:t>
      </w:r>
    </w:p>
  </w:footnote>
  <w:footnote w:id="13">
    <w:p w14:paraId="5DA1B982" w14:textId="77777777" w:rsidR="009B25D5" w:rsidRPr="007170F6" w:rsidRDefault="009B25D5" w:rsidP="00AE3B17">
      <w:pPr>
        <w:pStyle w:val="FootnoteText"/>
      </w:pPr>
      <w:r w:rsidRPr="003F4B5A">
        <w:rPr>
          <w:rStyle w:val="FootnoteReference"/>
          <w:sz w:val="16"/>
          <w:szCs w:val="16"/>
        </w:rPr>
        <w:footnoteRef/>
      </w:r>
      <w:r w:rsidRPr="003F4B5A">
        <w:rPr>
          <w:sz w:val="16"/>
          <w:szCs w:val="16"/>
        </w:rPr>
        <w:t xml:space="preserve"> Sociālo pakalpojumu un sociālās palīdzības likums.</w:t>
      </w:r>
    </w:p>
  </w:footnote>
  <w:footnote w:id="14">
    <w:p w14:paraId="20569AA1" w14:textId="77777777" w:rsidR="009B25D5" w:rsidRPr="00D84885" w:rsidRDefault="009B25D5" w:rsidP="00D84885">
      <w:pPr>
        <w:pStyle w:val="FootnoteText"/>
        <w:ind w:left="0" w:firstLine="0"/>
        <w:rPr>
          <w:sz w:val="16"/>
          <w:szCs w:val="16"/>
        </w:rPr>
      </w:pPr>
      <w:r w:rsidRPr="00D84885">
        <w:rPr>
          <w:rStyle w:val="FootnoteReference"/>
          <w:sz w:val="16"/>
          <w:szCs w:val="16"/>
        </w:rPr>
        <w:footnoteRef/>
      </w:r>
      <w:r w:rsidRPr="00D84885">
        <w:rPr>
          <w:sz w:val="16"/>
          <w:szCs w:val="16"/>
        </w:rPr>
        <w:t xml:space="preserve"> Metode piedāvāta 2014. gadā MK atbalstītajā LM izstrādātajā koncepcijā "Par minimālā ienākuma līmeņa noteikšanu"</w:t>
      </w:r>
    </w:p>
  </w:footnote>
  <w:footnote w:id="15">
    <w:p w14:paraId="6B930ABD" w14:textId="2A7C467E" w:rsidR="009B25D5" w:rsidRPr="00D84885" w:rsidRDefault="009B25D5" w:rsidP="00D84885">
      <w:pPr>
        <w:pStyle w:val="FootnoteText"/>
        <w:ind w:left="0" w:firstLine="0"/>
        <w:rPr>
          <w:sz w:val="16"/>
          <w:szCs w:val="16"/>
        </w:rPr>
      </w:pPr>
      <w:r w:rsidRPr="00D84885">
        <w:rPr>
          <w:rStyle w:val="FootnoteReference"/>
          <w:sz w:val="16"/>
          <w:szCs w:val="16"/>
        </w:rPr>
        <w:footnoteRef/>
      </w:r>
      <w:r w:rsidRPr="00D84885">
        <w:rPr>
          <w:sz w:val="16"/>
          <w:szCs w:val="16"/>
        </w:rPr>
        <w:t xml:space="preserve"> pašvaldību saistošajos noteikumos nosakāms maznodrošinātas mājsaimniecības ienākumu slieksnis, kas būtu augstāks nekā trūcīgas mājsaimniecības ienākumu slieksnis, bet nepārsniegtu 436 euro pirmajai vai vienīgajai personai mājsaimniecībā un 305 euro pārējām personām mājsaimniecībā.</w:t>
      </w:r>
    </w:p>
  </w:footnote>
  <w:footnote w:id="16">
    <w:p w14:paraId="049F72BF" w14:textId="77777777" w:rsidR="009B25D5" w:rsidRPr="00BE3AB9" w:rsidRDefault="009B25D5" w:rsidP="00A82F52">
      <w:pPr>
        <w:pStyle w:val="FootnoteText"/>
      </w:pPr>
      <w:r w:rsidRPr="00BE3AB9">
        <w:rPr>
          <w:rStyle w:val="FootnoteReference"/>
          <w:sz w:val="18"/>
          <w:szCs w:val="18"/>
        </w:rPr>
        <w:footnoteRef/>
      </w:r>
      <w:r w:rsidRPr="00BE3AB9">
        <w:rPr>
          <w:sz w:val="18"/>
          <w:szCs w:val="18"/>
        </w:rPr>
        <w:t xml:space="preserve"> atbilstoši 07.09.2020. pēdējiem ESF+ regulas priekšlikuma grozījumu piedāvājumam – 85 % ES līdzfinansējuma likme</w:t>
      </w:r>
    </w:p>
  </w:footnote>
  <w:footnote w:id="17">
    <w:p w14:paraId="05A95621" w14:textId="77777777" w:rsidR="009B25D5" w:rsidRPr="00BE3AB9" w:rsidRDefault="009B25D5" w:rsidP="007723FF">
      <w:pPr>
        <w:pStyle w:val="FootnoteText"/>
        <w:rPr>
          <w:sz w:val="18"/>
          <w:szCs w:val="18"/>
        </w:rPr>
      </w:pPr>
      <w:r w:rsidRPr="00BE3AB9">
        <w:rPr>
          <w:rStyle w:val="FootnoteReference"/>
          <w:sz w:val="18"/>
          <w:szCs w:val="18"/>
        </w:rPr>
        <w:footnoteRef/>
      </w:r>
      <w:r w:rsidRPr="00BE3AB9">
        <w:rPr>
          <w:sz w:val="18"/>
          <w:szCs w:val="18"/>
        </w:rPr>
        <w:t xml:space="preserve"> ES līdzfinansējuma likmei 85 % atbilstoši 07.09.2020. pēdējiem ESF+ regulas priekšlikuma grozījumu piedāvājumam.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A72"/>
    <w:multiLevelType w:val="hybridMultilevel"/>
    <w:tmpl w:val="CBB68E22"/>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0B5570C9"/>
    <w:multiLevelType w:val="hybridMultilevel"/>
    <w:tmpl w:val="EDD0E214"/>
    <w:lvl w:ilvl="0" w:tplc="ABAC9B14">
      <w:start w:val="1"/>
      <w:numFmt w:val="lowerLetter"/>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CE4F2E"/>
    <w:multiLevelType w:val="hybridMultilevel"/>
    <w:tmpl w:val="AC2451AE"/>
    <w:lvl w:ilvl="0" w:tplc="D90AF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DD6351"/>
    <w:multiLevelType w:val="hybridMultilevel"/>
    <w:tmpl w:val="E86C2586"/>
    <w:lvl w:ilvl="0" w:tplc="04260011">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15:restartNumberingAfterBreak="0">
    <w:nsid w:val="138A523A"/>
    <w:multiLevelType w:val="hybridMultilevel"/>
    <w:tmpl w:val="E3EC9642"/>
    <w:lvl w:ilvl="0" w:tplc="5A305D96">
      <w:start w:val="1"/>
      <w:numFmt w:val="decimal"/>
      <w:lvlText w:val="(%1)"/>
      <w:lvlJc w:val="left"/>
      <w:pPr>
        <w:ind w:left="720" w:hanging="360"/>
      </w:pPr>
      <w:rPr>
        <w:rFonts w:eastAsia="Calibri" w:hint="default"/>
      </w:rPr>
    </w:lvl>
    <w:lvl w:ilvl="1" w:tplc="FE2A4EC0">
      <w:start w:val="2021"/>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1C3163"/>
    <w:multiLevelType w:val="multilevel"/>
    <w:tmpl w:val="C15C8D46"/>
    <w:lvl w:ilvl="0">
      <w:start w:val="1"/>
      <w:numFmt w:val="decimal"/>
      <w:lvlText w:val="(%1)"/>
      <w:lvlJc w:val="left"/>
      <w:pPr>
        <w:tabs>
          <w:tab w:val="num" w:pos="142"/>
        </w:tabs>
        <w:ind w:left="502" w:hanging="360"/>
      </w:pPr>
      <w:rPr>
        <w:rFonts w:ascii="Times New Roman" w:eastAsia="SimSun" w:hAnsi="Times New Roman" w:cs="Times New Roman"/>
        <w:b w:val="0"/>
        <w:i w:val="0"/>
        <w:color w:val="auto"/>
        <w:sz w:val="24"/>
        <w:szCs w:val="24"/>
      </w:rPr>
    </w:lvl>
    <w:lvl w:ilvl="1">
      <w:start w:val="1"/>
      <w:numFmt w:val="decimal"/>
      <w:lvlText w:val="%2."/>
      <w:lvlJc w:val="left"/>
      <w:pPr>
        <w:tabs>
          <w:tab w:val="num" w:pos="0"/>
        </w:tabs>
        <w:ind w:left="1440" w:hanging="360"/>
      </w:pPr>
      <w:rPr>
        <w:rFonts w:hint="default"/>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EE74780"/>
    <w:multiLevelType w:val="hybridMultilevel"/>
    <w:tmpl w:val="CAD49C5A"/>
    <w:lvl w:ilvl="0" w:tplc="A7CA5B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FA41A76"/>
    <w:multiLevelType w:val="hybridMultilevel"/>
    <w:tmpl w:val="8A46050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A95BAE"/>
    <w:multiLevelType w:val="hybridMultilevel"/>
    <w:tmpl w:val="519ADD6C"/>
    <w:lvl w:ilvl="0" w:tplc="4CF25B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223A4615"/>
    <w:multiLevelType w:val="multilevel"/>
    <w:tmpl w:val="0DB42A28"/>
    <w:lvl w:ilvl="0">
      <w:start w:val="1"/>
      <w:numFmt w:val="decimal"/>
      <w:lvlText w:val="%1."/>
      <w:lvlJc w:val="left"/>
      <w:pPr>
        <w:ind w:left="502" w:hanging="360"/>
      </w:pPr>
      <w:rPr>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2327428A"/>
    <w:multiLevelType w:val="hybridMultilevel"/>
    <w:tmpl w:val="1E284864"/>
    <w:lvl w:ilvl="0" w:tplc="F4DC42AC">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67E613E"/>
    <w:multiLevelType w:val="hybridMultilevel"/>
    <w:tmpl w:val="84808E58"/>
    <w:lvl w:ilvl="0" w:tplc="0B6C9D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485F9B"/>
    <w:multiLevelType w:val="hybridMultilevel"/>
    <w:tmpl w:val="FBAA5214"/>
    <w:lvl w:ilvl="0" w:tplc="5A305D96">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393EBF"/>
    <w:multiLevelType w:val="hybridMultilevel"/>
    <w:tmpl w:val="4EBE5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DD25E1"/>
    <w:multiLevelType w:val="hybridMultilevel"/>
    <w:tmpl w:val="044428AA"/>
    <w:lvl w:ilvl="0" w:tplc="69B84ED8">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36133A12"/>
    <w:multiLevelType w:val="hybridMultilevel"/>
    <w:tmpl w:val="FDBCC6CE"/>
    <w:lvl w:ilvl="0" w:tplc="0B6C9D6A">
      <w:start w:val="1"/>
      <w:numFmt w:val="bullet"/>
      <w:lvlText w:val=""/>
      <w:lvlJc w:val="left"/>
      <w:pPr>
        <w:ind w:left="1287" w:hanging="360"/>
      </w:pPr>
      <w:rPr>
        <w:rFonts w:ascii="Symbol" w:hAnsi="Symbol" w:hint="default"/>
      </w:rPr>
    </w:lvl>
    <w:lvl w:ilvl="1" w:tplc="04260011">
      <w:start w:val="1"/>
      <w:numFmt w:val="decimal"/>
      <w:lvlText w:val="%2)"/>
      <w:lvlJc w:val="left"/>
      <w:pPr>
        <w:ind w:left="2007" w:hanging="360"/>
      </w:pPr>
      <w:rPr>
        <w:rFonts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3E3D78F4"/>
    <w:multiLevelType w:val="hybridMultilevel"/>
    <w:tmpl w:val="FD540FC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F624CC8"/>
    <w:multiLevelType w:val="hybridMultilevel"/>
    <w:tmpl w:val="AC500A96"/>
    <w:lvl w:ilvl="0" w:tplc="82963266">
      <w:start w:val="1"/>
      <w:numFmt w:val="decimal"/>
      <w:lvlText w:val="%1)"/>
      <w:lvlJc w:val="righ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186863"/>
    <w:multiLevelType w:val="hybridMultilevel"/>
    <w:tmpl w:val="CD00FF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D46A3B"/>
    <w:multiLevelType w:val="hybridMultilevel"/>
    <w:tmpl w:val="4B9C0212"/>
    <w:lvl w:ilvl="0" w:tplc="0B6C9D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D201FD"/>
    <w:multiLevelType w:val="hybridMultilevel"/>
    <w:tmpl w:val="3A645D18"/>
    <w:lvl w:ilvl="0" w:tplc="98047F5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527774E6"/>
    <w:multiLevelType w:val="hybridMultilevel"/>
    <w:tmpl w:val="F526709E"/>
    <w:lvl w:ilvl="0" w:tplc="0B6C9D6A">
      <w:start w:val="1"/>
      <w:numFmt w:val="bullet"/>
      <w:lvlText w:val=""/>
      <w:lvlJc w:val="left"/>
      <w:pPr>
        <w:ind w:left="720" w:hanging="360"/>
      </w:pPr>
      <w:rPr>
        <w:rFonts w:ascii="Symbol" w:hAnsi="Symbol" w:hint="default"/>
      </w:rPr>
    </w:lvl>
    <w:lvl w:ilvl="1" w:tplc="04260011">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C20C27"/>
    <w:multiLevelType w:val="hybridMultilevel"/>
    <w:tmpl w:val="D09C8308"/>
    <w:lvl w:ilvl="0" w:tplc="018CD0F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54103E71"/>
    <w:multiLevelType w:val="hybridMultilevel"/>
    <w:tmpl w:val="AB0A4898"/>
    <w:lvl w:ilvl="0" w:tplc="4736683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A8692C"/>
    <w:multiLevelType w:val="hybridMultilevel"/>
    <w:tmpl w:val="FDA4126E"/>
    <w:lvl w:ilvl="0" w:tplc="0B6C9D6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97D4A79"/>
    <w:multiLevelType w:val="hybridMultilevel"/>
    <w:tmpl w:val="CA441E1C"/>
    <w:lvl w:ilvl="0" w:tplc="4F5E5E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AE22B2"/>
    <w:multiLevelType w:val="hybridMultilevel"/>
    <w:tmpl w:val="885EE4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42692E"/>
    <w:multiLevelType w:val="hybridMultilevel"/>
    <w:tmpl w:val="8D56994A"/>
    <w:lvl w:ilvl="0" w:tplc="04260011">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8" w15:restartNumberingAfterBreak="0">
    <w:nsid w:val="671B530C"/>
    <w:multiLevelType w:val="hybridMultilevel"/>
    <w:tmpl w:val="5FC8D0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7E46E2"/>
    <w:multiLevelType w:val="hybridMultilevel"/>
    <w:tmpl w:val="AC2451AE"/>
    <w:lvl w:ilvl="0" w:tplc="D90AF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A23F91"/>
    <w:multiLevelType w:val="hybridMultilevel"/>
    <w:tmpl w:val="A2C86F90"/>
    <w:lvl w:ilvl="0" w:tplc="0B6C9D6A">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75AC1915"/>
    <w:multiLevelType w:val="hybridMultilevel"/>
    <w:tmpl w:val="C38679AA"/>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654D2D"/>
    <w:multiLevelType w:val="multilevel"/>
    <w:tmpl w:val="2946BD96"/>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F574D6"/>
    <w:multiLevelType w:val="hybridMultilevel"/>
    <w:tmpl w:val="EE7C980C"/>
    <w:lvl w:ilvl="0" w:tplc="7A9E783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26"/>
  </w:num>
  <w:num w:numId="5">
    <w:abstractNumId w:val="27"/>
  </w:num>
  <w:num w:numId="6">
    <w:abstractNumId w:val="16"/>
  </w:num>
  <w:num w:numId="7">
    <w:abstractNumId w:val="8"/>
  </w:num>
  <w:num w:numId="8">
    <w:abstractNumId w:val="33"/>
  </w:num>
  <w:num w:numId="9">
    <w:abstractNumId w:val="30"/>
  </w:num>
  <w:num w:numId="10">
    <w:abstractNumId w:val="3"/>
  </w:num>
  <w:num w:numId="11">
    <w:abstractNumId w:val="29"/>
  </w:num>
  <w:num w:numId="12">
    <w:abstractNumId w:val="25"/>
  </w:num>
  <w:num w:numId="13">
    <w:abstractNumId w:val="4"/>
  </w:num>
  <w:num w:numId="14">
    <w:abstractNumId w:val="17"/>
  </w:num>
  <w:num w:numId="15">
    <w:abstractNumId w:val="21"/>
  </w:num>
  <w:num w:numId="16">
    <w:abstractNumId w:val="10"/>
  </w:num>
  <w:num w:numId="17">
    <w:abstractNumId w:val="15"/>
  </w:num>
  <w:num w:numId="18">
    <w:abstractNumId w:val="18"/>
  </w:num>
  <w:num w:numId="19">
    <w:abstractNumId w:val="13"/>
  </w:num>
  <w:num w:numId="20">
    <w:abstractNumId w:val="28"/>
  </w:num>
  <w:num w:numId="21">
    <w:abstractNumId w:val="31"/>
  </w:num>
  <w:num w:numId="22">
    <w:abstractNumId w:val="7"/>
  </w:num>
  <w:num w:numId="23">
    <w:abstractNumId w:val="23"/>
  </w:num>
  <w:num w:numId="24">
    <w:abstractNumId w:val="20"/>
  </w:num>
  <w:num w:numId="25">
    <w:abstractNumId w:val="22"/>
  </w:num>
  <w:num w:numId="26">
    <w:abstractNumId w:val="6"/>
  </w:num>
  <w:num w:numId="27">
    <w:abstractNumId w:val="5"/>
  </w:num>
  <w:num w:numId="28">
    <w:abstractNumId w:val="12"/>
  </w:num>
  <w:num w:numId="29">
    <w:abstractNumId w:val="1"/>
  </w:num>
  <w:num w:numId="30">
    <w:abstractNumId w:val="32"/>
  </w:num>
  <w:num w:numId="31">
    <w:abstractNumId w:val="14"/>
  </w:num>
  <w:num w:numId="32">
    <w:abstractNumId w:val="24"/>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B3"/>
    <w:rsid w:val="0000493A"/>
    <w:rsid w:val="00011E58"/>
    <w:rsid w:val="00012023"/>
    <w:rsid w:val="00022391"/>
    <w:rsid w:val="00026797"/>
    <w:rsid w:val="00031449"/>
    <w:rsid w:val="00056EC3"/>
    <w:rsid w:val="0006223A"/>
    <w:rsid w:val="00070624"/>
    <w:rsid w:val="0007411E"/>
    <w:rsid w:val="00090ED8"/>
    <w:rsid w:val="0009794D"/>
    <w:rsid w:val="000A0A81"/>
    <w:rsid w:val="000B2D93"/>
    <w:rsid w:val="000B7F0A"/>
    <w:rsid w:val="000C09B2"/>
    <w:rsid w:val="000D0773"/>
    <w:rsid w:val="000D5DBF"/>
    <w:rsid w:val="000D76A5"/>
    <w:rsid w:val="000E3B10"/>
    <w:rsid w:val="000F053A"/>
    <w:rsid w:val="0011065D"/>
    <w:rsid w:val="00127002"/>
    <w:rsid w:val="0012789E"/>
    <w:rsid w:val="00137222"/>
    <w:rsid w:val="00141579"/>
    <w:rsid w:val="0014187C"/>
    <w:rsid w:val="00144975"/>
    <w:rsid w:val="00154C8A"/>
    <w:rsid w:val="00154FCC"/>
    <w:rsid w:val="00157984"/>
    <w:rsid w:val="0017055F"/>
    <w:rsid w:val="0017231E"/>
    <w:rsid w:val="00183144"/>
    <w:rsid w:val="00183FFE"/>
    <w:rsid w:val="001840D3"/>
    <w:rsid w:val="00194331"/>
    <w:rsid w:val="001A16BF"/>
    <w:rsid w:val="001B41CF"/>
    <w:rsid w:val="001B64DE"/>
    <w:rsid w:val="001D2160"/>
    <w:rsid w:val="001D322F"/>
    <w:rsid w:val="001D550C"/>
    <w:rsid w:val="001E7DF0"/>
    <w:rsid w:val="00202795"/>
    <w:rsid w:val="00220708"/>
    <w:rsid w:val="00223CF6"/>
    <w:rsid w:val="00225D19"/>
    <w:rsid w:val="00226E45"/>
    <w:rsid w:val="00235CD3"/>
    <w:rsid w:val="00240259"/>
    <w:rsid w:val="00245DD3"/>
    <w:rsid w:val="002538F6"/>
    <w:rsid w:val="00255527"/>
    <w:rsid w:val="00266617"/>
    <w:rsid w:val="002704FC"/>
    <w:rsid w:val="00292CE3"/>
    <w:rsid w:val="002935A1"/>
    <w:rsid w:val="002A7967"/>
    <w:rsid w:val="002B2A41"/>
    <w:rsid w:val="002B2CC3"/>
    <w:rsid w:val="002C1D7A"/>
    <w:rsid w:val="002C6A3C"/>
    <w:rsid w:val="002D5A02"/>
    <w:rsid w:val="002D5DF2"/>
    <w:rsid w:val="002E0DA5"/>
    <w:rsid w:val="002E58D0"/>
    <w:rsid w:val="002E5FB2"/>
    <w:rsid w:val="00307BE8"/>
    <w:rsid w:val="003107A0"/>
    <w:rsid w:val="003139A2"/>
    <w:rsid w:val="00317333"/>
    <w:rsid w:val="0032541C"/>
    <w:rsid w:val="00333A45"/>
    <w:rsid w:val="00336114"/>
    <w:rsid w:val="00340301"/>
    <w:rsid w:val="003418C5"/>
    <w:rsid w:val="00346955"/>
    <w:rsid w:val="00353C27"/>
    <w:rsid w:val="00360F18"/>
    <w:rsid w:val="00371895"/>
    <w:rsid w:val="003732AF"/>
    <w:rsid w:val="00374D61"/>
    <w:rsid w:val="00382AD1"/>
    <w:rsid w:val="00386D86"/>
    <w:rsid w:val="00391ADF"/>
    <w:rsid w:val="00395097"/>
    <w:rsid w:val="003A16BB"/>
    <w:rsid w:val="003B6B61"/>
    <w:rsid w:val="003B7043"/>
    <w:rsid w:val="003C3761"/>
    <w:rsid w:val="003C67C2"/>
    <w:rsid w:val="003E6204"/>
    <w:rsid w:val="003F29F7"/>
    <w:rsid w:val="003F4B5A"/>
    <w:rsid w:val="003F4D40"/>
    <w:rsid w:val="0040123E"/>
    <w:rsid w:val="00403EC9"/>
    <w:rsid w:val="00406403"/>
    <w:rsid w:val="004132F5"/>
    <w:rsid w:val="004148C0"/>
    <w:rsid w:val="0041792F"/>
    <w:rsid w:val="0042702C"/>
    <w:rsid w:val="0043369F"/>
    <w:rsid w:val="00445DF4"/>
    <w:rsid w:val="0044647F"/>
    <w:rsid w:val="004568B1"/>
    <w:rsid w:val="00465217"/>
    <w:rsid w:val="004716D2"/>
    <w:rsid w:val="00482835"/>
    <w:rsid w:val="00486440"/>
    <w:rsid w:val="0049511F"/>
    <w:rsid w:val="004951E2"/>
    <w:rsid w:val="004A0757"/>
    <w:rsid w:val="004A2D3B"/>
    <w:rsid w:val="004B56BA"/>
    <w:rsid w:val="004B57B2"/>
    <w:rsid w:val="004E0BC7"/>
    <w:rsid w:val="004E6A2A"/>
    <w:rsid w:val="004E6D38"/>
    <w:rsid w:val="004F59C2"/>
    <w:rsid w:val="005116D4"/>
    <w:rsid w:val="00516D57"/>
    <w:rsid w:val="005206F9"/>
    <w:rsid w:val="00530806"/>
    <w:rsid w:val="00531E57"/>
    <w:rsid w:val="00550280"/>
    <w:rsid w:val="00552333"/>
    <w:rsid w:val="005536E0"/>
    <w:rsid w:val="0055391D"/>
    <w:rsid w:val="00571295"/>
    <w:rsid w:val="00575FD7"/>
    <w:rsid w:val="00593A98"/>
    <w:rsid w:val="005978C4"/>
    <w:rsid w:val="005A6B8E"/>
    <w:rsid w:val="005E7BE5"/>
    <w:rsid w:val="0060434A"/>
    <w:rsid w:val="00624881"/>
    <w:rsid w:val="006275E5"/>
    <w:rsid w:val="0063447D"/>
    <w:rsid w:val="00637F2B"/>
    <w:rsid w:val="00642E7E"/>
    <w:rsid w:val="00645299"/>
    <w:rsid w:val="00657704"/>
    <w:rsid w:val="0066144D"/>
    <w:rsid w:val="00662D4B"/>
    <w:rsid w:val="00663FA8"/>
    <w:rsid w:val="00673570"/>
    <w:rsid w:val="00685909"/>
    <w:rsid w:val="00693958"/>
    <w:rsid w:val="006B0944"/>
    <w:rsid w:val="006B1BCE"/>
    <w:rsid w:val="006C0BC9"/>
    <w:rsid w:val="006F04F0"/>
    <w:rsid w:val="00706A16"/>
    <w:rsid w:val="00720103"/>
    <w:rsid w:val="00727EB2"/>
    <w:rsid w:val="00733CAA"/>
    <w:rsid w:val="00737B00"/>
    <w:rsid w:val="007425F0"/>
    <w:rsid w:val="00756369"/>
    <w:rsid w:val="00763191"/>
    <w:rsid w:val="0076764F"/>
    <w:rsid w:val="007723FF"/>
    <w:rsid w:val="0077598E"/>
    <w:rsid w:val="007818E8"/>
    <w:rsid w:val="007C22EB"/>
    <w:rsid w:val="007D2B7D"/>
    <w:rsid w:val="007D6C7C"/>
    <w:rsid w:val="007E25F5"/>
    <w:rsid w:val="007E3289"/>
    <w:rsid w:val="008040FB"/>
    <w:rsid w:val="008056DA"/>
    <w:rsid w:val="008105CE"/>
    <w:rsid w:val="0083415C"/>
    <w:rsid w:val="008359B5"/>
    <w:rsid w:val="00845720"/>
    <w:rsid w:val="00845B6D"/>
    <w:rsid w:val="008666DC"/>
    <w:rsid w:val="00886826"/>
    <w:rsid w:val="00887902"/>
    <w:rsid w:val="00887B44"/>
    <w:rsid w:val="008B78E9"/>
    <w:rsid w:val="008C1381"/>
    <w:rsid w:val="008D73C0"/>
    <w:rsid w:val="008E3020"/>
    <w:rsid w:val="008E3BE1"/>
    <w:rsid w:val="008F6977"/>
    <w:rsid w:val="00901065"/>
    <w:rsid w:val="0091096B"/>
    <w:rsid w:val="009157FB"/>
    <w:rsid w:val="0092434E"/>
    <w:rsid w:val="00937392"/>
    <w:rsid w:val="0094235B"/>
    <w:rsid w:val="00947445"/>
    <w:rsid w:val="00950741"/>
    <w:rsid w:val="00952C71"/>
    <w:rsid w:val="00953E4C"/>
    <w:rsid w:val="0095663F"/>
    <w:rsid w:val="00970FAE"/>
    <w:rsid w:val="009734CA"/>
    <w:rsid w:val="0097772F"/>
    <w:rsid w:val="00983750"/>
    <w:rsid w:val="00995AF9"/>
    <w:rsid w:val="00996BD4"/>
    <w:rsid w:val="00997206"/>
    <w:rsid w:val="009B03E1"/>
    <w:rsid w:val="009B25D5"/>
    <w:rsid w:val="009C6D79"/>
    <w:rsid w:val="009C7274"/>
    <w:rsid w:val="009E1894"/>
    <w:rsid w:val="009E418F"/>
    <w:rsid w:val="009F126B"/>
    <w:rsid w:val="009F7587"/>
    <w:rsid w:val="00A03CFE"/>
    <w:rsid w:val="00A145B0"/>
    <w:rsid w:val="00A24883"/>
    <w:rsid w:val="00A26006"/>
    <w:rsid w:val="00A41487"/>
    <w:rsid w:val="00A50120"/>
    <w:rsid w:val="00A5048D"/>
    <w:rsid w:val="00A54626"/>
    <w:rsid w:val="00A61272"/>
    <w:rsid w:val="00A62D01"/>
    <w:rsid w:val="00A648E3"/>
    <w:rsid w:val="00A66A7C"/>
    <w:rsid w:val="00A6784E"/>
    <w:rsid w:val="00A74DB3"/>
    <w:rsid w:val="00A74EB7"/>
    <w:rsid w:val="00A82F52"/>
    <w:rsid w:val="00A83CB4"/>
    <w:rsid w:val="00A86E57"/>
    <w:rsid w:val="00A9701B"/>
    <w:rsid w:val="00AB018E"/>
    <w:rsid w:val="00AB09E9"/>
    <w:rsid w:val="00AB15CF"/>
    <w:rsid w:val="00AB4E25"/>
    <w:rsid w:val="00AC3A26"/>
    <w:rsid w:val="00AD05C5"/>
    <w:rsid w:val="00AD3CE2"/>
    <w:rsid w:val="00AD51BE"/>
    <w:rsid w:val="00AE18CE"/>
    <w:rsid w:val="00AE1C23"/>
    <w:rsid w:val="00AE3ACE"/>
    <w:rsid w:val="00AE3B17"/>
    <w:rsid w:val="00AE3B29"/>
    <w:rsid w:val="00AF580F"/>
    <w:rsid w:val="00B00012"/>
    <w:rsid w:val="00B22D36"/>
    <w:rsid w:val="00B310FD"/>
    <w:rsid w:val="00B4279C"/>
    <w:rsid w:val="00B439CC"/>
    <w:rsid w:val="00B464A3"/>
    <w:rsid w:val="00B529CD"/>
    <w:rsid w:val="00B55B44"/>
    <w:rsid w:val="00B57FC3"/>
    <w:rsid w:val="00B65BDD"/>
    <w:rsid w:val="00B66155"/>
    <w:rsid w:val="00B67CBB"/>
    <w:rsid w:val="00B755FE"/>
    <w:rsid w:val="00B970AC"/>
    <w:rsid w:val="00BA04CA"/>
    <w:rsid w:val="00BA04E4"/>
    <w:rsid w:val="00BA1297"/>
    <w:rsid w:val="00BA52E1"/>
    <w:rsid w:val="00BC3761"/>
    <w:rsid w:val="00BC6B54"/>
    <w:rsid w:val="00BD79AC"/>
    <w:rsid w:val="00BE3AB9"/>
    <w:rsid w:val="00BF7401"/>
    <w:rsid w:val="00C27E07"/>
    <w:rsid w:val="00C359B8"/>
    <w:rsid w:val="00C36492"/>
    <w:rsid w:val="00C37737"/>
    <w:rsid w:val="00C43130"/>
    <w:rsid w:val="00C603B2"/>
    <w:rsid w:val="00C83ED9"/>
    <w:rsid w:val="00C84AC9"/>
    <w:rsid w:val="00C87F56"/>
    <w:rsid w:val="00C917A3"/>
    <w:rsid w:val="00C92F98"/>
    <w:rsid w:val="00C97278"/>
    <w:rsid w:val="00CB056F"/>
    <w:rsid w:val="00CC287A"/>
    <w:rsid w:val="00CC6B98"/>
    <w:rsid w:val="00CD108F"/>
    <w:rsid w:val="00CD1D14"/>
    <w:rsid w:val="00CE12C9"/>
    <w:rsid w:val="00CE2913"/>
    <w:rsid w:val="00CE7D43"/>
    <w:rsid w:val="00CF0FF2"/>
    <w:rsid w:val="00D00CCB"/>
    <w:rsid w:val="00D013E0"/>
    <w:rsid w:val="00D0471C"/>
    <w:rsid w:val="00D04DD4"/>
    <w:rsid w:val="00D16087"/>
    <w:rsid w:val="00D24523"/>
    <w:rsid w:val="00D27AF9"/>
    <w:rsid w:val="00D27FCE"/>
    <w:rsid w:val="00D33591"/>
    <w:rsid w:val="00D3425B"/>
    <w:rsid w:val="00D355DE"/>
    <w:rsid w:val="00D4794F"/>
    <w:rsid w:val="00D55AF5"/>
    <w:rsid w:val="00D73C51"/>
    <w:rsid w:val="00D84885"/>
    <w:rsid w:val="00D85214"/>
    <w:rsid w:val="00D85B3E"/>
    <w:rsid w:val="00D865EB"/>
    <w:rsid w:val="00D94AEC"/>
    <w:rsid w:val="00DA1F37"/>
    <w:rsid w:val="00DB30CD"/>
    <w:rsid w:val="00DB63FE"/>
    <w:rsid w:val="00DC538F"/>
    <w:rsid w:val="00DC67EB"/>
    <w:rsid w:val="00DD4BEE"/>
    <w:rsid w:val="00DE2417"/>
    <w:rsid w:val="00DE30E0"/>
    <w:rsid w:val="00DE6BEF"/>
    <w:rsid w:val="00DF1ABB"/>
    <w:rsid w:val="00DF72C5"/>
    <w:rsid w:val="00DF7AA3"/>
    <w:rsid w:val="00E002F3"/>
    <w:rsid w:val="00E02DDA"/>
    <w:rsid w:val="00E04B24"/>
    <w:rsid w:val="00E04E26"/>
    <w:rsid w:val="00E21B73"/>
    <w:rsid w:val="00E274C4"/>
    <w:rsid w:val="00E349AA"/>
    <w:rsid w:val="00E34BA0"/>
    <w:rsid w:val="00E469B6"/>
    <w:rsid w:val="00E81112"/>
    <w:rsid w:val="00E81D0F"/>
    <w:rsid w:val="00EA324E"/>
    <w:rsid w:val="00EB17C9"/>
    <w:rsid w:val="00EB452F"/>
    <w:rsid w:val="00EC6FF6"/>
    <w:rsid w:val="00EE1F73"/>
    <w:rsid w:val="00EE4C12"/>
    <w:rsid w:val="00EF1F88"/>
    <w:rsid w:val="00F04323"/>
    <w:rsid w:val="00F0703E"/>
    <w:rsid w:val="00F15FBF"/>
    <w:rsid w:val="00F262A6"/>
    <w:rsid w:val="00F26C80"/>
    <w:rsid w:val="00F31500"/>
    <w:rsid w:val="00F47C5D"/>
    <w:rsid w:val="00F55AF4"/>
    <w:rsid w:val="00F57B7E"/>
    <w:rsid w:val="00F61B06"/>
    <w:rsid w:val="00F837F9"/>
    <w:rsid w:val="00F85BA3"/>
    <w:rsid w:val="00F87835"/>
    <w:rsid w:val="00F9202B"/>
    <w:rsid w:val="00FA2BA2"/>
    <w:rsid w:val="00FA6931"/>
    <w:rsid w:val="00FB35B9"/>
    <w:rsid w:val="00FC5699"/>
    <w:rsid w:val="00FD6936"/>
    <w:rsid w:val="00FE0124"/>
    <w:rsid w:val="00FE522D"/>
    <w:rsid w:val="00FE5404"/>
    <w:rsid w:val="00FF20EF"/>
    <w:rsid w:val="00FF6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0E19"/>
  <w15:chartTrackingRefBased/>
  <w15:docId w15:val="{7A020E0C-9A9D-4509-8C9C-CA7E12A2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944"/>
    <w:pPr>
      <w:spacing w:before="120" w:after="120" w:line="240" w:lineRule="auto"/>
      <w:jc w:val="both"/>
    </w:pPr>
    <w:rPr>
      <w:rFonts w:ascii="Times New Roman" w:eastAsia="Calibri" w:hAnsi="Times New Roman" w:cs="Times New Roman"/>
      <w:sz w:val="24"/>
      <w:szCs w:val="20"/>
      <w:lang w:eastAsia="lv-LV" w:bidi="lv-LV"/>
    </w:rPr>
  </w:style>
  <w:style w:type="paragraph" w:styleId="Heading1">
    <w:name w:val="heading 1"/>
    <w:basedOn w:val="Normal"/>
    <w:next w:val="Normal"/>
    <w:link w:val="Heading1Char"/>
    <w:uiPriority w:val="9"/>
    <w:qFormat/>
    <w:rsid w:val="000F0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2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aukums">
    <w:name w:val="Nosaukums"/>
    <w:basedOn w:val="Title"/>
    <w:link w:val="NosaukumsChar"/>
    <w:qFormat/>
    <w:rsid w:val="006B0944"/>
    <w:pPr>
      <w:spacing w:line="360" w:lineRule="auto"/>
      <w:jc w:val="center"/>
    </w:pPr>
    <w:rPr>
      <w:rFonts w:ascii="Calibri Light" w:eastAsia="Times New Roman" w:hAnsi="Calibri Light" w:cs="Times New Roman"/>
      <w:b/>
      <w:lang w:eastAsia="en-US" w:bidi="ar-SA"/>
    </w:rPr>
  </w:style>
  <w:style w:type="character" w:customStyle="1" w:styleId="NosaukumsChar">
    <w:name w:val="Nosaukums Char"/>
    <w:link w:val="Nosaukums"/>
    <w:rsid w:val="006B0944"/>
    <w:rPr>
      <w:rFonts w:ascii="Calibri Light" w:eastAsia="Times New Roman" w:hAnsi="Calibri Light" w:cs="Times New Roman"/>
      <w:b/>
      <w:spacing w:val="-10"/>
      <w:kern w:val="28"/>
      <w:sz w:val="56"/>
      <w:szCs w:val="56"/>
    </w:rPr>
  </w:style>
  <w:style w:type="paragraph" w:styleId="Title">
    <w:name w:val="Title"/>
    <w:basedOn w:val="Normal"/>
    <w:next w:val="Normal"/>
    <w:link w:val="TitleChar"/>
    <w:uiPriority w:val="10"/>
    <w:qFormat/>
    <w:rsid w:val="006B094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944"/>
    <w:rPr>
      <w:rFonts w:asciiTheme="majorHAnsi" w:eastAsiaTheme="majorEastAsia" w:hAnsiTheme="majorHAnsi" w:cstheme="majorBidi"/>
      <w:spacing w:val="-10"/>
      <w:kern w:val="28"/>
      <w:sz w:val="56"/>
      <w:szCs w:val="56"/>
      <w:lang w:eastAsia="lv-LV" w:bidi="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C"/>
    <w:basedOn w:val="Normal"/>
    <w:link w:val="FootnoteTextChar"/>
    <w:uiPriority w:val="99"/>
    <w:unhideWhenUsed/>
    <w:qFormat/>
    <w:rsid w:val="00D27AF9"/>
    <w:pPr>
      <w:spacing w:before="0" w:after="0"/>
      <w:ind w:left="720" w:hanging="720"/>
    </w:pPr>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D27AF9"/>
    <w:rPr>
      <w:rFonts w:ascii="Times New Roman" w:eastAsia="Calibri" w:hAnsi="Times New Roman" w:cs="Times New Roman"/>
      <w:sz w:val="20"/>
      <w:szCs w:val="20"/>
      <w:lang w:eastAsia="lv-LV" w:bidi="lv-LV"/>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D27AF9"/>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D27AF9"/>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D27AF9"/>
    <w:rPr>
      <w:lang w:eastAsia="lv-LV" w:bidi="lv-LV"/>
    </w:rPr>
  </w:style>
  <w:style w:type="character" w:styleId="Hyperlink">
    <w:name w:val="Hyperlink"/>
    <w:uiPriority w:val="99"/>
    <w:unhideWhenUsed/>
    <w:rsid w:val="00D27AF9"/>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D27AF9"/>
    <w:pPr>
      <w:spacing w:before="0" w:after="160" w:line="240" w:lineRule="exact"/>
    </w:pPr>
    <w:rPr>
      <w:rFonts w:asciiTheme="minorHAnsi" w:eastAsiaTheme="minorHAnsi" w:hAnsiTheme="minorHAnsi" w:cstheme="minorBidi"/>
      <w:sz w:val="22"/>
      <w:szCs w:val="22"/>
      <w:vertAlign w:val="superscript"/>
      <w:lang w:eastAsia="en-US" w:bidi="ar-SA"/>
    </w:rPr>
  </w:style>
  <w:style w:type="character" w:customStyle="1" w:styleId="Heading1Char">
    <w:name w:val="Heading 1 Char"/>
    <w:basedOn w:val="DefaultParagraphFont"/>
    <w:link w:val="Heading1"/>
    <w:uiPriority w:val="9"/>
    <w:rsid w:val="000F053A"/>
    <w:rPr>
      <w:rFonts w:asciiTheme="majorHAnsi" w:eastAsiaTheme="majorEastAsia" w:hAnsiTheme="majorHAnsi" w:cstheme="majorBidi"/>
      <w:color w:val="2E74B5" w:themeColor="accent1" w:themeShade="BF"/>
      <w:sz w:val="32"/>
      <w:szCs w:val="32"/>
      <w:lang w:eastAsia="lv-LV" w:bidi="lv-LV"/>
    </w:rPr>
  </w:style>
  <w:style w:type="paragraph" w:styleId="TOCHeading">
    <w:name w:val="TOC Heading"/>
    <w:basedOn w:val="Heading1"/>
    <w:next w:val="Normal"/>
    <w:uiPriority w:val="39"/>
    <w:unhideWhenUsed/>
    <w:qFormat/>
    <w:rsid w:val="00593A98"/>
    <w:pPr>
      <w:spacing w:line="259" w:lineRule="auto"/>
      <w:jc w:val="left"/>
      <w:outlineLvl w:val="9"/>
    </w:pPr>
    <w:rPr>
      <w:lang w:val="en-US" w:eastAsia="en-US" w:bidi="ar-SA"/>
    </w:rPr>
  </w:style>
  <w:style w:type="paragraph" w:styleId="TOC1">
    <w:name w:val="toc 1"/>
    <w:basedOn w:val="Normal"/>
    <w:next w:val="Normal"/>
    <w:autoRedefine/>
    <w:uiPriority w:val="39"/>
    <w:unhideWhenUsed/>
    <w:rsid w:val="00DB63FE"/>
    <w:pPr>
      <w:tabs>
        <w:tab w:val="left" w:pos="851"/>
        <w:tab w:val="right" w:leader="dot" w:pos="8919"/>
      </w:tabs>
      <w:spacing w:after="100"/>
      <w:ind w:left="851" w:hanging="567"/>
    </w:pPr>
  </w:style>
  <w:style w:type="character" w:customStyle="1" w:styleId="Heading2Char">
    <w:name w:val="Heading 2 Char"/>
    <w:basedOn w:val="DefaultParagraphFont"/>
    <w:link w:val="Heading2"/>
    <w:uiPriority w:val="9"/>
    <w:rsid w:val="00240259"/>
    <w:rPr>
      <w:rFonts w:asciiTheme="majorHAnsi" w:eastAsiaTheme="majorEastAsia" w:hAnsiTheme="majorHAnsi" w:cstheme="majorBidi"/>
      <w:color w:val="2E74B5" w:themeColor="accent1" w:themeShade="BF"/>
      <w:sz w:val="26"/>
      <w:szCs w:val="26"/>
      <w:lang w:eastAsia="lv-LV" w:bidi="lv-LV"/>
    </w:rPr>
  </w:style>
  <w:style w:type="paragraph" w:styleId="TOC2">
    <w:name w:val="toc 2"/>
    <w:basedOn w:val="Normal"/>
    <w:next w:val="Normal"/>
    <w:autoRedefine/>
    <w:uiPriority w:val="39"/>
    <w:unhideWhenUsed/>
    <w:rsid w:val="003A16BB"/>
    <w:pPr>
      <w:spacing w:after="100"/>
      <w:ind w:left="240"/>
    </w:pPr>
  </w:style>
  <w:style w:type="table" w:styleId="TableGrid">
    <w:name w:val="Table Grid"/>
    <w:basedOn w:val="TableNormal"/>
    <w:uiPriority w:val="59"/>
    <w:unhideWhenUsed/>
    <w:rsid w:val="00A82F52"/>
    <w:pPr>
      <w:spacing w:after="0" w:line="240" w:lineRule="auto"/>
    </w:pPr>
    <w:rPr>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B8E"/>
    <w:rPr>
      <w:sz w:val="16"/>
      <w:szCs w:val="16"/>
    </w:rPr>
  </w:style>
  <w:style w:type="paragraph" w:styleId="CommentText">
    <w:name w:val="annotation text"/>
    <w:basedOn w:val="Normal"/>
    <w:link w:val="CommentTextChar"/>
    <w:uiPriority w:val="99"/>
    <w:semiHidden/>
    <w:unhideWhenUsed/>
    <w:rsid w:val="005A6B8E"/>
    <w:rPr>
      <w:sz w:val="20"/>
    </w:rPr>
  </w:style>
  <w:style w:type="character" w:customStyle="1" w:styleId="CommentTextChar">
    <w:name w:val="Comment Text Char"/>
    <w:basedOn w:val="DefaultParagraphFont"/>
    <w:link w:val="CommentText"/>
    <w:uiPriority w:val="99"/>
    <w:semiHidden/>
    <w:rsid w:val="005A6B8E"/>
    <w:rPr>
      <w:rFonts w:ascii="Times New Roman" w:eastAsia="Calibri" w:hAnsi="Times New Roman" w:cs="Times New Roman"/>
      <w:sz w:val="20"/>
      <w:szCs w:val="20"/>
      <w:lang w:eastAsia="lv-LV" w:bidi="lv-LV"/>
    </w:rPr>
  </w:style>
  <w:style w:type="paragraph" w:styleId="CommentSubject">
    <w:name w:val="annotation subject"/>
    <w:basedOn w:val="CommentText"/>
    <w:next w:val="CommentText"/>
    <w:link w:val="CommentSubjectChar"/>
    <w:uiPriority w:val="99"/>
    <w:semiHidden/>
    <w:unhideWhenUsed/>
    <w:rsid w:val="005A6B8E"/>
    <w:rPr>
      <w:b/>
      <w:bCs/>
    </w:rPr>
  </w:style>
  <w:style w:type="character" w:customStyle="1" w:styleId="CommentSubjectChar">
    <w:name w:val="Comment Subject Char"/>
    <w:basedOn w:val="CommentTextChar"/>
    <w:link w:val="CommentSubject"/>
    <w:uiPriority w:val="99"/>
    <w:semiHidden/>
    <w:rsid w:val="005A6B8E"/>
    <w:rPr>
      <w:rFonts w:ascii="Times New Roman" w:eastAsia="Calibri" w:hAnsi="Times New Roman" w:cs="Times New Roman"/>
      <w:b/>
      <w:bCs/>
      <w:sz w:val="20"/>
      <w:szCs w:val="20"/>
      <w:lang w:eastAsia="lv-LV" w:bidi="lv-LV"/>
    </w:rPr>
  </w:style>
  <w:style w:type="paragraph" w:styleId="BalloonText">
    <w:name w:val="Balloon Text"/>
    <w:basedOn w:val="Normal"/>
    <w:link w:val="BalloonTextChar"/>
    <w:uiPriority w:val="99"/>
    <w:semiHidden/>
    <w:unhideWhenUsed/>
    <w:rsid w:val="005A6B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B8E"/>
    <w:rPr>
      <w:rFonts w:ascii="Segoe UI" w:eastAsia="Calibri" w:hAnsi="Segoe UI" w:cs="Segoe UI"/>
      <w:sz w:val="18"/>
      <w:szCs w:val="18"/>
      <w:lang w:eastAsia="lv-LV" w:bidi="lv-LV"/>
    </w:rPr>
  </w:style>
  <w:style w:type="paragraph" w:styleId="Header">
    <w:name w:val="header"/>
    <w:basedOn w:val="Normal"/>
    <w:link w:val="HeaderChar"/>
    <w:unhideWhenUsed/>
    <w:rsid w:val="004148C0"/>
    <w:pPr>
      <w:tabs>
        <w:tab w:val="center" w:pos="4153"/>
        <w:tab w:val="right" w:pos="8306"/>
      </w:tabs>
      <w:spacing w:before="0" w:after="0"/>
    </w:pPr>
  </w:style>
  <w:style w:type="character" w:customStyle="1" w:styleId="HeaderChar">
    <w:name w:val="Header Char"/>
    <w:basedOn w:val="DefaultParagraphFont"/>
    <w:link w:val="Header"/>
    <w:rsid w:val="004148C0"/>
    <w:rPr>
      <w:rFonts w:ascii="Times New Roman" w:eastAsia="Calibri" w:hAnsi="Times New Roman" w:cs="Times New Roman"/>
      <w:sz w:val="24"/>
      <w:szCs w:val="20"/>
      <w:lang w:eastAsia="lv-LV" w:bidi="lv-LV"/>
    </w:rPr>
  </w:style>
  <w:style w:type="paragraph" w:styleId="Footer">
    <w:name w:val="footer"/>
    <w:basedOn w:val="Normal"/>
    <w:link w:val="FooterChar"/>
    <w:uiPriority w:val="99"/>
    <w:unhideWhenUsed/>
    <w:rsid w:val="004148C0"/>
    <w:pPr>
      <w:tabs>
        <w:tab w:val="center" w:pos="4153"/>
        <w:tab w:val="right" w:pos="8306"/>
      </w:tabs>
      <w:spacing w:before="0" w:after="0"/>
    </w:pPr>
  </w:style>
  <w:style w:type="character" w:customStyle="1" w:styleId="FooterChar">
    <w:name w:val="Footer Char"/>
    <w:basedOn w:val="DefaultParagraphFont"/>
    <w:link w:val="Footer"/>
    <w:uiPriority w:val="99"/>
    <w:rsid w:val="004148C0"/>
    <w:rPr>
      <w:rFonts w:ascii="Times New Roman" w:eastAsia="Calibri" w:hAnsi="Times New Roman" w:cs="Times New Roman"/>
      <w:sz w:val="24"/>
      <w:szCs w:val="20"/>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m.gov.lv/lv/esf-programmas-materialas-nenodrosinatibas-mazinasanai-2021-2027-gadam-projek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ata1.csb.gov.lv/pxweb/lv/sociala/sociala__nabadz_nevienl__monetara_nab/NIG050.px" TargetMode="External"/><Relationship Id="rId2" Type="http://schemas.openxmlformats.org/officeDocument/2006/relationships/hyperlink" Target="https://data1.csb.gov.lv/pxweb/lv/sociala/sociala__nabadz_nevienl__monetara_nab/NIG150.px" TargetMode="External"/><Relationship Id="rId1" Type="http://schemas.openxmlformats.org/officeDocument/2006/relationships/hyperlink" Target="https://www.csb.gov.lv/sites/default/files/publication/2020-01/Nr_08_Nabadzibas_risks_un_sociala_atstumtiba_Latvija_2019_%2820_00%29%20LV.pdf" TargetMode="External"/><Relationship Id="rId6" Type="http://schemas.openxmlformats.org/officeDocument/2006/relationships/hyperlink" Target="http://www.lm.gov.lv/lv/publikacijas-petijumi-un-statistika/statistika/valsts-statistika-socialo-pakalpojumu-un-socialas-palidzibas-joma" TargetMode="External"/><Relationship Id="rId5" Type="http://schemas.openxmlformats.org/officeDocument/2006/relationships/hyperlink" Target="http://data1.csb.gov.lv/pxweb/lv/sociala/sociala__nabadz_nevienl__matnenodr/MNG140.px/table/tableViewLayout1/" TargetMode="External"/><Relationship Id="rId4" Type="http://schemas.openxmlformats.org/officeDocument/2006/relationships/hyperlink" Target="https://www.csb.gov.lv/lv/statistika/statistikas-temas/socialie-procesi/nabadziba/meklet-tema/415-materiala-nenodrosinatiba-latvija-2019-g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E703-2F11-48F1-A96F-5738729C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28898</Words>
  <Characters>16473</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Aurika Stratane</dc:creator>
  <cp:keywords/>
  <dc:description/>
  <cp:lastModifiedBy>Jekaterina Borovika</cp:lastModifiedBy>
  <cp:revision>2</cp:revision>
  <dcterms:created xsi:type="dcterms:W3CDTF">2021-01-26T11:42:00Z</dcterms:created>
  <dcterms:modified xsi:type="dcterms:W3CDTF">2021-01-26T11:42:00Z</dcterms:modified>
</cp:coreProperties>
</file>