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A0F" w:rsidRPr="00FA5F97" w:rsidRDefault="00286DB8" w:rsidP="00FE6B5B">
      <w:pPr>
        <w:spacing w:after="0" w:line="240" w:lineRule="auto"/>
        <w:ind w:firstLine="567"/>
        <w:jc w:val="center"/>
        <w:rPr>
          <w:rFonts w:ascii="Times New Roman" w:eastAsia="Times New Roman" w:hAnsi="Times New Roman"/>
          <w:b/>
          <w:color w:val="000000" w:themeColor="text1"/>
          <w:sz w:val="28"/>
          <w:szCs w:val="28"/>
        </w:rPr>
      </w:pPr>
      <w:r w:rsidRPr="00FA5F97">
        <w:rPr>
          <w:rFonts w:ascii="Times New Roman" w:eastAsia="Times New Roman" w:hAnsi="Times New Roman"/>
          <w:b/>
          <w:color w:val="000000" w:themeColor="text1"/>
          <w:sz w:val="28"/>
          <w:szCs w:val="28"/>
        </w:rPr>
        <w:t>Informatīvais ziņojums par SARS-CoV-2 antigēna noteikšanas testa veikšanu sociālās aprūpes centros</w:t>
      </w:r>
    </w:p>
    <w:p w:rsidR="00FE6B5B" w:rsidRPr="00FA5F97" w:rsidRDefault="00FE6B5B" w:rsidP="00FE6B5B">
      <w:pPr>
        <w:spacing w:after="0" w:line="240" w:lineRule="auto"/>
        <w:ind w:firstLine="567"/>
        <w:jc w:val="both"/>
        <w:rPr>
          <w:rFonts w:ascii="Times New Roman" w:eastAsia="Times New Roman" w:hAnsi="Times New Roman"/>
          <w:color w:val="000000" w:themeColor="text1"/>
          <w:sz w:val="24"/>
          <w:szCs w:val="24"/>
        </w:rPr>
      </w:pPr>
    </w:p>
    <w:p w:rsidR="00A25C9B" w:rsidRPr="00FA5F97" w:rsidRDefault="00FE6B5B" w:rsidP="003F3D4A">
      <w:pPr>
        <w:spacing w:after="0" w:line="240" w:lineRule="auto"/>
        <w:ind w:firstLine="567"/>
        <w:jc w:val="both"/>
        <w:rPr>
          <w:rFonts w:ascii="Times New Roman" w:eastAsia="Times New Roman" w:hAnsi="Times New Roman"/>
          <w:color w:val="000000" w:themeColor="text1"/>
          <w:sz w:val="24"/>
          <w:szCs w:val="24"/>
        </w:rPr>
      </w:pPr>
      <w:r w:rsidRPr="00FA5F97">
        <w:rPr>
          <w:rFonts w:ascii="Times New Roman" w:eastAsia="Times New Roman" w:hAnsi="Times New Roman"/>
          <w:color w:val="000000" w:themeColor="text1"/>
          <w:sz w:val="24"/>
          <w:szCs w:val="24"/>
        </w:rPr>
        <w:t>Informatīvais ziņojums “Par SARS-CoV-2 antigēna noteikšanas testa veikšanu sociālās aprūpes centros” (turpmāk – ziņojums) izstrādāts saskaņā ar Ministru kabineta 2021. gada 12. janvāra sēd</w:t>
      </w:r>
      <w:r w:rsidR="00F80594">
        <w:rPr>
          <w:rFonts w:ascii="Times New Roman" w:eastAsia="Times New Roman" w:hAnsi="Times New Roman"/>
          <w:color w:val="000000" w:themeColor="text1"/>
          <w:sz w:val="24"/>
          <w:szCs w:val="24"/>
        </w:rPr>
        <w:t>es</w:t>
      </w:r>
      <w:r w:rsidR="00BA6827">
        <w:rPr>
          <w:rFonts w:ascii="Times New Roman" w:eastAsia="Times New Roman" w:hAnsi="Times New Roman"/>
          <w:color w:val="000000" w:themeColor="text1"/>
          <w:sz w:val="24"/>
          <w:szCs w:val="24"/>
        </w:rPr>
        <w:t xml:space="preserve"> </w:t>
      </w:r>
      <w:r w:rsidR="00BA6827" w:rsidRPr="00BA6827">
        <w:rPr>
          <w:rFonts w:ascii="Times New Roman" w:eastAsia="Times New Roman" w:hAnsi="Times New Roman"/>
          <w:color w:val="000000" w:themeColor="text1"/>
          <w:sz w:val="24"/>
          <w:szCs w:val="24"/>
        </w:rPr>
        <w:t>protokola Nr. 4 1.§ 6. punkt</w:t>
      </w:r>
      <w:r w:rsidR="00BA6827">
        <w:rPr>
          <w:rFonts w:ascii="Times New Roman" w:eastAsia="Times New Roman" w:hAnsi="Times New Roman"/>
          <w:color w:val="000000" w:themeColor="text1"/>
          <w:sz w:val="24"/>
          <w:szCs w:val="24"/>
        </w:rPr>
        <w:t>u</w:t>
      </w:r>
      <w:r w:rsidR="00A25C9B" w:rsidRPr="00FA5F97">
        <w:rPr>
          <w:rFonts w:ascii="Times New Roman" w:eastAsia="Times New Roman" w:hAnsi="Times New Roman"/>
          <w:color w:val="000000" w:themeColor="text1"/>
          <w:sz w:val="24"/>
          <w:szCs w:val="24"/>
        </w:rPr>
        <w:t>:</w:t>
      </w:r>
      <w:r w:rsidR="003F3D4A" w:rsidRPr="00FA5F97">
        <w:rPr>
          <w:rFonts w:ascii="Times New Roman" w:eastAsia="Times New Roman" w:hAnsi="Times New Roman"/>
          <w:color w:val="000000" w:themeColor="text1"/>
          <w:sz w:val="24"/>
          <w:szCs w:val="24"/>
        </w:rPr>
        <w:t xml:space="preserve"> </w:t>
      </w:r>
      <w:r w:rsidR="00A25C9B" w:rsidRPr="00FA5F97">
        <w:rPr>
          <w:rFonts w:ascii="Times New Roman" w:eastAsia="Times New Roman" w:hAnsi="Times New Roman"/>
          <w:color w:val="000000" w:themeColor="text1"/>
          <w:sz w:val="24"/>
          <w:szCs w:val="24"/>
        </w:rPr>
        <w:t>L</w:t>
      </w:r>
      <w:r w:rsidR="003F3D4A" w:rsidRPr="00FA5F97">
        <w:rPr>
          <w:rFonts w:ascii="Times New Roman" w:eastAsia="Times New Roman" w:hAnsi="Times New Roman"/>
          <w:color w:val="000000" w:themeColor="text1"/>
          <w:sz w:val="24"/>
          <w:szCs w:val="24"/>
        </w:rPr>
        <w:t>abklājības ministrijai (turpmāk – LM)</w:t>
      </w:r>
      <w:r w:rsidR="00A25C9B" w:rsidRPr="00FA5F97">
        <w:rPr>
          <w:rFonts w:ascii="Times New Roman" w:eastAsia="Times New Roman" w:hAnsi="Times New Roman"/>
          <w:color w:val="000000" w:themeColor="text1"/>
          <w:sz w:val="24"/>
          <w:szCs w:val="24"/>
        </w:rPr>
        <w:t xml:space="preserve"> iesniegt informāciju par plānoto eksprestestēšanas norisi sociālās aprūpes centros izskatīšanai Ministru kabineta 2021. gada 14. janvāra sēdē</w:t>
      </w:r>
      <w:r w:rsidR="00AC10DC">
        <w:rPr>
          <w:rFonts w:ascii="Times New Roman" w:eastAsia="Times New Roman" w:hAnsi="Times New Roman"/>
          <w:color w:val="000000" w:themeColor="text1"/>
          <w:sz w:val="24"/>
          <w:szCs w:val="24"/>
        </w:rPr>
        <w:t xml:space="preserve"> un tā mērķis ir papildināt veicamos pasākumus Covid-19 izplatības mazināšanai sociālās aprūpes centru klientu un darbinieku vidū, ņemot vērā epidemiologu ieteikumus.</w:t>
      </w:r>
    </w:p>
    <w:p w:rsidR="00F25C91" w:rsidRPr="00FA5F97" w:rsidRDefault="00F37B8B" w:rsidP="00286DB8">
      <w:pPr>
        <w:spacing w:after="0" w:line="240" w:lineRule="auto"/>
        <w:ind w:firstLine="567"/>
        <w:jc w:val="both"/>
        <w:rPr>
          <w:rFonts w:ascii="Times New Roman" w:eastAsia="Times New Roman" w:hAnsi="Times New Roman"/>
          <w:bCs/>
          <w:color w:val="000000" w:themeColor="text1"/>
          <w:sz w:val="24"/>
          <w:szCs w:val="24"/>
        </w:rPr>
      </w:pPr>
      <w:r w:rsidRPr="00FA5F97">
        <w:rPr>
          <w:rFonts w:ascii="Times New Roman" w:eastAsia="Times New Roman" w:hAnsi="Times New Roman"/>
          <w:bCs/>
          <w:color w:val="000000" w:themeColor="text1"/>
          <w:sz w:val="24"/>
          <w:szCs w:val="24"/>
        </w:rPr>
        <w:t>P</w:t>
      </w:r>
      <w:r w:rsidR="00876B57" w:rsidRPr="00FA5F97">
        <w:rPr>
          <w:rFonts w:ascii="Times New Roman" w:eastAsia="Times New Roman" w:hAnsi="Times New Roman"/>
          <w:bCs/>
          <w:color w:val="000000" w:themeColor="text1"/>
          <w:sz w:val="24"/>
          <w:szCs w:val="24"/>
        </w:rPr>
        <w:t>ersonas, kuras dzīvo ilgstošas sociālās aprūpes institūcijās (tai skaitā valsts un pašvaldību sociālās aprūpes centros) ir viena no lielākajām</w:t>
      </w:r>
      <w:r w:rsidR="0045329E" w:rsidRPr="00FA5F97">
        <w:rPr>
          <w:rFonts w:ascii="Times New Roman" w:eastAsia="Times New Roman" w:hAnsi="Times New Roman"/>
          <w:bCs/>
          <w:color w:val="000000" w:themeColor="text1"/>
          <w:sz w:val="24"/>
          <w:szCs w:val="24"/>
        </w:rPr>
        <w:t xml:space="preserve"> infekcijas Covid-19</w:t>
      </w:r>
      <w:r w:rsidR="00876B57" w:rsidRPr="00FA5F97">
        <w:rPr>
          <w:rFonts w:ascii="Times New Roman" w:eastAsia="Times New Roman" w:hAnsi="Times New Roman"/>
          <w:bCs/>
          <w:color w:val="000000" w:themeColor="text1"/>
          <w:sz w:val="24"/>
          <w:szCs w:val="24"/>
        </w:rPr>
        <w:t xml:space="preserve"> riska grupām</w:t>
      </w:r>
      <w:r w:rsidR="0045329E" w:rsidRPr="00FA5F97">
        <w:rPr>
          <w:rFonts w:ascii="Times New Roman" w:eastAsia="Times New Roman" w:hAnsi="Times New Roman"/>
          <w:bCs/>
          <w:color w:val="000000" w:themeColor="text1"/>
          <w:sz w:val="24"/>
          <w:szCs w:val="24"/>
        </w:rPr>
        <w:t>, ku</w:t>
      </w:r>
      <w:r w:rsidR="00AC10DC">
        <w:rPr>
          <w:rFonts w:ascii="Times New Roman" w:eastAsia="Times New Roman" w:hAnsi="Times New Roman"/>
          <w:bCs/>
          <w:color w:val="000000" w:themeColor="text1"/>
          <w:sz w:val="24"/>
          <w:szCs w:val="24"/>
        </w:rPr>
        <w:t>ru esošā veselības stāvokļa un slimību dēļ ir jāveic īpaši pasākumi, lai mazinātu Covid-19 inficēšanās riskus.</w:t>
      </w:r>
    </w:p>
    <w:p w:rsidR="00F25C91" w:rsidRPr="00FA5F97" w:rsidRDefault="00F25C91" w:rsidP="00286DB8">
      <w:pPr>
        <w:spacing w:after="0" w:line="240" w:lineRule="auto"/>
        <w:ind w:firstLine="567"/>
        <w:jc w:val="both"/>
        <w:rPr>
          <w:rFonts w:ascii="Times New Roman" w:eastAsia="Times New Roman" w:hAnsi="Times New Roman"/>
          <w:bCs/>
          <w:color w:val="000000" w:themeColor="text1"/>
          <w:sz w:val="24"/>
          <w:szCs w:val="24"/>
        </w:rPr>
      </w:pPr>
    </w:p>
    <w:p w:rsidR="00F25C91" w:rsidRPr="00FA5F97" w:rsidRDefault="00F25C91" w:rsidP="00F25C91">
      <w:pPr>
        <w:spacing w:after="0"/>
        <w:rPr>
          <w:b/>
          <w:sz w:val="18"/>
          <w:szCs w:val="18"/>
        </w:rPr>
      </w:pPr>
      <w:r w:rsidRPr="00FA5F97">
        <w:rPr>
          <w:b/>
          <w:sz w:val="18"/>
          <w:szCs w:val="18"/>
        </w:rPr>
        <w:t>Apstiprināto Covid-19 gadījumu skaits Latvijā sociālās aprūpes centros un ārstniecības iestādēs, kas sniedz sociālo aprūpi</w:t>
      </w:r>
      <w:r w:rsidR="00785142" w:rsidRPr="00FA5F97">
        <w:rPr>
          <w:b/>
          <w:sz w:val="18"/>
          <w:szCs w:val="18"/>
        </w:rPr>
        <w:t xml:space="preserve"> (gan klienti, gan darbinieki)</w:t>
      </w:r>
      <w:r w:rsidRPr="00FA5F97">
        <w:rPr>
          <w:b/>
          <w:sz w:val="18"/>
          <w:szCs w:val="18"/>
        </w:rPr>
        <w:t>:</w:t>
      </w:r>
    </w:p>
    <w:tbl>
      <w:tblPr>
        <w:tblW w:w="0" w:type="auto"/>
        <w:tblCellMar>
          <w:left w:w="0" w:type="dxa"/>
          <w:right w:w="0" w:type="dxa"/>
        </w:tblCellMar>
        <w:tblLook w:val="04A0" w:firstRow="1" w:lastRow="0" w:firstColumn="1" w:lastColumn="0" w:noHBand="0" w:noVBand="1"/>
      </w:tblPr>
      <w:tblGrid>
        <w:gridCol w:w="2037"/>
        <w:gridCol w:w="2077"/>
        <w:gridCol w:w="2077"/>
        <w:gridCol w:w="2294"/>
      </w:tblGrid>
      <w:tr w:rsidR="00F25C91" w:rsidRPr="00FA5F97" w:rsidTr="003721CF">
        <w:tc>
          <w:tcPr>
            <w:tcW w:w="2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b/>
                <w:bCs/>
              </w:rPr>
            </w:pPr>
            <w:r w:rsidRPr="00FA5F97">
              <w:rPr>
                <w:rFonts w:ascii="Times New Roman" w:hAnsi="Times New Roman" w:cs="Times New Roman"/>
                <w:b/>
                <w:bCs/>
              </w:rPr>
              <w:t>Mēnesis</w:t>
            </w:r>
          </w:p>
        </w:tc>
        <w:tc>
          <w:tcPr>
            <w:tcW w:w="2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b/>
                <w:bCs/>
              </w:rPr>
            </w:pPr>
            <w:r w:rsidRPr="00FA5F97">
              <w:rPr>
                <w:rFonts w:ascii="Times New Roman" w:hAnsi="Times New Roman" w:cs="Times New Roman"/>
                <w:b/>
                <w:bCs/>
              </w:rPr>
              <w:t>Covid-19 skaits kopā</w:t>
            </w:r>
          </w:p>
        </w:tc>
        <w:tc>
          <w:tcPr>
            <w:tcW w:w="2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b/>
                <w:bCs/>
              </w:rPr>
            </w:pPr>
            <w:r w:rsidRPr="00FA5F97">
              <w:rPr>
                <w:rFonts w:ascii="Times New Roman" w:hAnsi="Times New Roman" w:cs="Times New Roman"/>
                <w:b/>
                <w:bCs/>
              </w:rPr>
              <w:t>t.sk. saistīti ar sociālo aprūpi</w:t>
            </w:r>
          </w:p>
        </w:tc>
        <w:tc>
          <w:tcPr>
            <w:tcW w:w="2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b/>
                <w:bCs/>
              </w:rPr>
            </w:pPr>
            <w:r w:rsidRPr="00FA5F97">
              <w:rPr>
                <w:rFonts w:ascii="Times New Roman" w:hAnsi="Times New Roman" w:cs="Times New Roman"/>
                <w:b/>
                <w:bCs/>
              </w:rPr>
              <w:t>%</w:t>
            </w:r>
          </w:p>
        </w:tc>
      </w:tr>
      <w:tr w:rsidR="00F25C91" w:rsidRPr="00FA5F97" w:rsidTr="003721CF">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Septembris</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428</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3</w:t>
            </w:r>
          </w:p>
        </w:tc>
        <w:tc>
          <w:tcPr>
            <w:tcW w:w="2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0,7</w:t>
            </w:r>
          </w:p>
        </w:tc>
      </w:tr>
      <w:tr w:rsidR="00F25C91" w:rsidRPr="00FA5F97" w:rsidTr="003721CF">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Oktobris</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4070</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66</w:t>
            </w:r>
          </w:p>
        </w:tc>
        <w:tc>
          <w:tcPr>
            <w:tcW w:w="2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1,6</w:t>
            </w:r>
          </w:p>
        </w:tc>
      </w:tr>
      <w:tr w:rsidR="00F25C91" w:rsidRPr="00FA5F97" w:rsidTr="003721CF">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Novembris</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11181</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826</w:t>
            </w:r>
          </w:p>
        </w:tc>
        <w:tc>
          <w:tcPr>
            <w:tcW w:w="2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7,4</w:t>
            </w:r>
          </w:p>
        </w:tc>
      </w:tr>
      <w:tr w:rsidR="00F25C91" w:rsidRPr="00FA5F97" w:rsidTr="003721CF">
        <w:trPr>
          <w:trHeight w:val="248"/>
        </w:trPr>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Decembris</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23829</w:t>
            </w:r>
          </w:p>
        </w:tc>
        <w:tc>
          <w:tcPr>
            <w:tcW w:w="2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3184</w:t>
            </w:r>
          </w:p>
        </w:tc>
        <w:tc>
          <w:tcPr>
            <w:tcW w:w="2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5C91" w:rsidRPr="00FA5F97" w:rsidRDefault="00F25C91" w:rsidP="003721CF">
            <w:pPr>
              <w:jc w:val="center"/>
              <w:rPr>
                <w:rFonts w:ascii="Times New Roman" w:hAnsi="Times New Roman" w:cs="Times New Roman"/>
              </w:rPr>
            </w:pPr>
            <w:r w:rsidRPr="00FA5F97">
              <w:rPr>
                <w:rFonts w:ascii="Times New Roman" w:hAnsi="Times New Roman" w:cs="Times New Roman"/>
              </w:rPr>
              <w:t>13,4</w:t>
            </w:r>
          </w:p>
        </w:tc>
      </w:tr>
    </w:tbl>
    <w:p w:rsidR="00F25C91" w:rsidRPr="00FA5F97" w:rsidRDefault="00785142" w:rsidP="00785142">
      <w:pPr>
        <w:jc w:val="right"/>
        <w:rPr>
          <w:b/>
          <w:sz w:val="18"/>
          <w:szCs w:val="18"/>
        </w:rPr>
      </w:pPr>
      <w:r w:rsidRPr="00FA5F97">
        <w:rPr>
          <w:b/>
          <w:sz w:val="18"/>
          <w:szCs w:val="18"/>
        </w:rPr>
        <w:t>Datu avots: SPKC</w:t>
      </w:r>
    </w:p>
    <w:p w:rsidR="00F25C91" w:rsidRPr="00FA5F97" w:rsidRDefault="002B0326" w:rsidP="00EE2B0D">
      <w:pPr>
        <w:spacing w:line="240" w:lineRule="auto"/>
        <w:ind w:firstLine="567"/>
        <w:jc w:val="both"/>
        <w:rPr>
          <w:rFonts w:ascii="Times New Roman" w:eastAsia="Times New Roman" w:hAnsi="Times New Roman"/>
          <w:bCs/>
          <w:color w:val="000000" w:themeColor="text1"/>
          <w:sz w:val="24"/>
          <w:szCs w:val="24"/>
        </w:rPr>
      </w:pPr>
      <w:r w:rsidRPr="00FA5F97">
        <w:rPr>
          <w:rFonts w:ascii="Times New Roman" w:eastAsia="Times New Roman" w:hAnsi="Times New Roman"/>
          <w:bCs/>
          <w:color w:val="000000" w:themeColor="text1"/>
          <w:sz w:val="24"/>
          <w:szCs w:val="24"/>
        </w:rPr>
        <w:t xml:space="preserve">Vēl 2020. gada novembrī </w:t>
      </w:r>
      <w:r w:rsidR="001C1860" w:rsidRPr="00FA5F97">
        <w:rPr>
          <w:rFonts w:ascii="Times New Roman" w:eastAsia="Times New Roman" w:hAnsi="Times New Roman"/>
          <w:bCs/>
          <w:color w:val="000000" w:themeColor="text1"/>
          <w:sz w:val="24"/>
          <w:szCs w:val="24"/>
        </w:rPr>
        <w:t>7,4 %</w:t>
      </w:r>
      <w:r w:rsidR="00F25C91" w:rsidRPr="00FA5F97">
        <w:rPr>
          <w:rFonts w:ascii="Times New Roman" w:eastAsia="Times New Roman" w:hAnsi="Times New Roman"/>
          <w:bCs/>
          <w:color w:val="000000" w:themeColor="text1"/>
          <w:sz w:val="24"/>
          <w:szCs w:val="24"/>
        </w:rPr>
        <w:t xml:space="preserve"> no visiem reģistrētajiem Covid-19 gadījumiem valstī</w:t>
      </w:r>
      <w:r w:rsidR="001C1860" w:rsidRPr="00FA5F97">
        <w:rPr>
          <w:rFonts w:ascii="Times New Roman" w:eastAsia="Times New Roman" w:hAnsi="Times New Roman"/>
          <w:bCs/>
          <w:color w:val="000000" w:themeColor="text1"/>
          <w:sz w:val="24"/>
          <w:szCs w:val="24"/>
        </w:rPr>
        <w:t xml:space="preserve"> bija konstatēti starp sociālās aprūpes institūciju darbiniekiem un klientiem, bet jau decembrī tie bija </w:t>
      </w:r>
      <w:r w:rsidR="00F25C91" w:rsidRPr="00FA5F97">
        <w:rPr>
          <w:rFonts w:ascii="Times New Roman" w:eastAsia="Times New Roman" w:hAnsi="Times New Roman"/>
          <w:bCs/>
          <w:color w:val="000000" w:themeColor="text1"/>
          <w:sz w:val="24"/>
          <w:szCs w:val="24"/>
        </w:rPr>
        <w:t xml:space="preserve"> 13,4% gadījumu</w:t>
      </w:r>
      <w:r w:rsidR="001C1860" w:rsidRPr="00FA5F97">
        <w:rPr>
          <w:rFonts w:ascii="Times New Roman" w:eastAsia="Times New Roman" w:hAnsi="Times New Roman"/>
          <w:bCs/>
          <w:color w:val="000000" w:themeColor="text1"/>
          <w:sz w:val="24"/>
          <w:szCs w:val="24"/>
        </w:rPr>
        <w:t>. Decembrī, salīdzinot ar novembri, gandrīz četras reizes ir pieaudzis to reģistrēto gadījumu skaits, kuri ir saistīti ar sociālās aprūpes centriem.</w:t>
      </w:r>
    </w:p>
    <w:p w:rsidR="00F25C91" w:rsidRPr="00FA5F97" w:rsidRDefault="00F25C91" w:rsidP="001C1860">
      <w:pPr>
        <w:spacing w:after="0"/>
        <w:rPr>
          <w:b/>
          <w:sz w:val="18"/>
          <w:szCs w:val="18"/>
        </w:rPr>
      </w:pPr>
      <w:r w:rsidRPr="00FA5F97">
        <w:rPr>
          <w:b/>
          <w:sz w:val="18"/>
          <w:szCs w:val="18"/>
        </w:rPr>
        <w:t>Covid-19 gadījumu skaits no 2020. gada 10. līdz 2021.gada 01.nedēļai</w:t>
      </w:r>
    </w:p>
    <w:tbl>
      <w:tblPr>
        <w:tblW w:w="8637" w:type="dxa"/>
        <w:tblCellMar>
          <w:left w:w="0" w:type="dxa"/>
          <w:right w:w="0" w:type="dxa"/>
        </w:tblCellMar>
        <w:tblLook w:val="04A0" w:firstRow="1" w:lastRow="0" w:firstColumn="1" w:lastColumn="0" w:noHBand="0" w:noVBand="1"/>
      </w:tblPr>
      <w:tblGrid>
        <w:gridCol w:w="2825"/>
        <w:gridCol w:w="1412"/>
        <w:gridCol w:w="1415"/>
        <w:gridCol w:w="1610"/>
        <w:gridCol w:w="1375"/>
      </w:tblGrid>
      <w:tr w:rsidR="00F25C91" w:rsidRPr="00FA5F97" w:rsidTr="00BA6827">
        <w:trPr>
          <w:trHeight w:val="651"/>
        </w:trPr>
        <w:tc>
          <w:tcPr>
            <w:tcW w:w="28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5C91" w:rsidRPr="00FA5F97" w:rsidRDefault="00F25C91">
            <w:pPr>
              <w:spacing w:line="252" w:lineRule="auto"/>
              <w:rPr>
                <w:rFonts w:ascii="Times New Roman" w:hAnsi="Times New Roman" w:cs="Times New Roman"/>
              </w:rPr>
            </w:pPr>
            <w:r w:rsidRPr="00FA5F97">
              <w:rPr>
                <w:rFonts w:ascii="Times New Roman" w:hAnsi="Times New Roman" w:cs="Times New Roman"/>
              </w:rPr>
              <w:t>Darbinieki/pacienti/klienti</w:t>
            </w:r>
          </w:p>
        </w:tc>
        <w:tc>
          <w:tcPr>
            <w:tcW w:w="1412" w:type="dxa"/>
            <w:tcBorders>
              <w:top w:val="single" w:sz="8" w:space="0" w:color="auto"/>
              <w:left w:val="nil"/>
              <w:bottom w:val="single" w:sz="8" w:space="0" w:color="auto"/>
              <w:right w:val="single" w:sz="8" w:space="0" w:color="auto"/>
            </w:tcBorders>
            <w:shd w:val="clear" w:color="auto" w:fill="FFFFFF"/>
            <w:vAlign w:val="center"/>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Sociālās aprūpes centri</w:t>
            </w:r>
          </w:p>
        </w:tc>
        <w:tc>
          <w:tcPr>
            <w:tcW w:w="1415" w:type="dxa"/>
            <w:tcBorders>
              <w:top w:val="single" w:sz="8" w:space="0" w:color="auto"/>
              <w:left w:val="nil"/>
              <w:bottom w:val="single" w:sz="8" w:space="0" w:color="auto"/>
              <w:right w:val="single" w:sz="8" w:space="0" w:color="auto"/>
            </w:tcBorders>
            <w:shd w:val="clear" w:color="auto" w:fill="FFFFFF"/>
            <w:vAlign w:val="center"/>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Stacionārās ārstniecības iestādes</w:t>
            </w:r>
          </w:p>
        </w:tc>
        <w:tc>
          <w:tcPr>
            <w:tcW w:w="1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Ambulatorās ārstniecības iestādes/NMPD</w:t>
            </w:r>
          </w:p>
        </w:tc>
        <w:tc>
          <w:tcPr>
            <w:tcW w:w="13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Kopā</w:t>
            </w:r>
          </w:p>
        </w:tc>
      </w:tr>
      <w:tr w:rsidR="00F25C91" w:rsidRPr="00FA5F97" w:rsidTr="00BA6827">
        <w:trPr>
          <w:trHeight w:val="276"/>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rPr>
                <w:rFonts w:ascii="Times New Roman" w:hAnsi="Times New Roman" w:cs="Times New Roman"/>
              </w:rPr>
            </w:pPr>
            <w:r w:rsidRPr="00FA5F97">
              <w:rPr>
                <w:rFonts w:ascii="Times New Roman" w:hAnsi="Times New Roman" w:cs="Times New Roman"/>
              </w:rPr>
              <w:t>1. Ārsti</w:t>
            </w:r>
          </w:p>
        </w:tc>
        <w:tc>
          <w:tcPr>
            <w:tcW w:w="1412"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6</w:t>
            </w:r>
          </w:p>
        </w:tc>
        <w:tc>
          <w:tcPr>
            <w:tcW w:w="1415"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426</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172</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604</w:t>
            </w:r>
          </w:p>
        </w:tc>
      </w:tr>
      <w:tr w:rsidR="00F25C91" w:rsidRPr="00FA5F97" w:rsidTr="00BA6827">
        <w:trPr>
          <w:trHeight w:val="276"/>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rPr>
                <w:rFonts w:ascii="Times New Roman" w:hAnsi="Times New Roman" w:cs="Times New Roman"/>
              </w:rPr>
            </w:pPr>
            <w:r w:rsidRPr="00FA5F97">
              <w:rPr>
                <w:rFonts w:ascii="Times New Roman" w:hAnsi="Times New Roman" w:cs="Times New Roman"/>
              </w:rPr>
              <w:t>2. Ārsta palīgi</w:t>
            </w:r>
          </w:p>
        </w:tc>
        <w:tc>
          <w:tcPr>
            <w:tcW w:w="1412"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4</w:t>
            </w:r>
          </w:p>
        </w:tc>
        <w:tc>
          <w:tcPr>
            <w:tcW w:w="1415"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66</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149</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219</w:t>
            </w:r>
          </w:p>
        </w:tc>
      </w:tr>
      <w:tr w:rsidR="00F25C91" w:rsidRPr="00FA5F97" w:rsidTr="00BA6827">
        <w:trPr>
          <w:trHeight w:val="276"/>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rPr>
                <w:rFonts w:ascii="Times New Roman" w:hAnsi="Times New Roman" w:cs="Times New Roman"/>
              </w:rPr>
            </w:pPr>
            <w:r w:rsidRPr="00FA5F97">
              <w:rPr>
                <w:rFonts w:ascii="Times New Roman" w:hAnsi="Times New Roman" w:cs="Times New Roman"/>
              </w:rPr>
              <w:t>3. Māsas</w:t>
            </w:r>
          </w:p>
        </w:tc>
        <w:tc>
          <w:tcPr>
            <w:tcW w:w="1412"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58</w:t>
            </w:r>
          </w:p>
        </w:tc>
        <w:tc>
          <w:tcPr>
            <w:tcW w:w="1415"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840</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148</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1046</w:t>
            </w:r>
          </w:p>
        </w:tc>
      </w:tr>
      <w:tr w:rsidR="00F25C91" w:rsidRPr="00FA5F97" w:rsidTr="00BA6827">
        <w:trPr>
          <w:trHeight w:val="276"/>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rPr>
                <w:rFonts w:ascii="Times New Roman" w:hAnsi="Times New Roman" w:cs="Times New Roman"/>
              </w:rPr>
            </w:pPr>
            <w:r w:rsidRPr="00FA5F97">
              <w:rPr>
                <w:rFonts w:ascii="Times New Roman" w:hAnsi="Times New Roman" w:cs="Times New Roman"/>
              </w:rPr>
              <w:t>4. Māsu palīgi, sanitāri, aprūpētāji</w:t>
            </w:r>
          </w:p>
        </w:tc>
        <w:tc>
          <w:tcPr>
            <w:tcW w:w="1412"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388</w:t>
            </w:r>
          </w:p>
        </w:tc>
        <w:tc>
          <w:tcPr>
            <w:tcW w:w="1415"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616</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26</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1030</w:t>
            </w:r>
          </w:p>
        </w:tc>
      </w:tr>
      <w:tr w:rsidR="00F25C91" w:rsidRPr="00FA5F97" w:rsidTr="00BA6827">
        <w:trPr>
          <w:trHeight w:val="276"/>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rPr>
                <w:rFonts w:ascii="Times New Roman" w:hAnsi="Times New Roman" w:cs="Times New Roman"/>
              </w:rPr>
            </w:pPr>
            <w:r w:rsidRPr="00FA5F97">
              <w:rPr>
                <w:rFonts w:ascii="Times New Roman" w:hAnsi="Times New Roman" w:cs="Times New Roman"/>
              </w:rPr>
              <w:t xml:space="preserve">5. Citi darbinieki </w:t>
            </w:r>
          </w:p>
        </w:tc>
        <w:tc>
          <w:tcPr>
            <w:tcW w:w="1412"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359</w:t>
            </w:r>
          </w:p>
        </w:tc>
        <w:tc>
          <w:tcPr>
            <w:tcW w:w="1415"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384</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287</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1030</w:t>
            </w:r>
          </w:p>
        </w:tc>
      </w:tr>
      <w:tr w:rsidR="00F25C91" w:rsidRPr="00FA5F97" w:rsidTr="00BA6827">
        <w:trPr>
          <w:trHeight w:val="276"/>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rPr>
                <w:rFonts w:ascii="Times New Roman" w:hAnsi="Times New Roman" w:cs="Times New Roman"/>
              </w:rPr>
            </w:pPr>
            <w:r w:rsidRPr="00FA5F97">
              <w:rPr>
                <w:rFonts w:ascii="Times New Roman" w:hAnsi="Times New Roman" w:cs="Times New Roman"/>
              </w:rPr>
              <w:t>6. Pacienti/klienti</w:t>
            </w:r>
          </w:p>
        </w:tc>
        <w:tc>
          <w:tcPr>
            <w:tcW w:w="1412"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1956</w:t>
            </w:r>
          </w:p>
        </w:tc>
        <w:tc>
          <w:tcPr>
            <w:tcW w:w="1415"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891</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20</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2867</w:t>
            </w:r>
          </w:p>
        </w:tc>
      </w:tr>
      <w:tr w:rsidR="00F25C91" w:rsidRPr="00FA5F97" w:rsidTr="00BA6827">
        <w:trPr>
          <w:trHeight w:val="276"/>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rPr>
                <w:rFonts w:ascii="Times New Roman" w:hAnsi="Times New Roman" w:cs="Times New Roman"/>
              </w:rPr>
            </w:pPr>
            <w:r w:rsidRPr="00FA5F97">
              <w:rPr>
                <w:rFonts w:ascii="Times New Roman" w:hAnsi="Times New Roman" w:cs="Times New Roman"/>
              </w:rPr>
              <w:t>Datu precizēšana turpinās</w:t>
            </w:r>
          </w:p>
        </w:tc>
        <w:tc>
          <w:tcPr>
            <w:tcW w:w="1412"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277</w:t>
            </w:r>
          </w:p>
        </w:tc>
        <w:tc>
          <w:tcPr>
            <w:tcW w:w="1415" w:type="dxa"/>
            <w:tcBorders>
              <w:top w:val="nil"/>
              <w:left w:val="nil"/>
              <w:bottom w:val="single" w:sz="8" w:space="0" w:color="auto"/>
              <w:right w:val="single" w:sz="8" w:space="0" w:color="auto"/>
            </w:tcBorders>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50</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50</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jc w:val="center"/>
              <w:rPr>
                <w:rFonts w:ascii="Times New Roman" w:hAnsi="Times New Roman" w:cs="Times New Roman"/>
              </w:rPr>
            </w:pPr>
            <w:r w:rsidRPr="00FA5F97">
              <w:rPr>
                <w:rFonts w:ascii="Times New Roman" w:hAnsi="Times New Roman" w:cs="Times New Roman"/>
              </w:rPr>
              <w:t>377</w:t>
            </w:r>
          </w:p>
        </w:tc>
      </w:tr>
      <w:tr w:rsidR="00F25C91" w:rsidRPr="00FA5F97" w:rsidTr="00BA6827">
        <w:trPr>
          <w:trHeight w:val="276"/>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rPr>
                <w:rFonts w:ascii="Times New Roman" w:hAnsi="Times New Roman" w:cs="Times New Roman"/>
                <w:b/>
                <w:bCs/>
              </w:rPr>
            </w:pPr>
            <w:r w:rsidRPr="00FA5F97">
              <w:rPr>
                <w:rFonts w:ascii="Times New Roman" w:hAnsi="Times New Roman" w:cs="Times New Roman"/>
                <w:b/>
                <w:bCs/>
              </w:rPr>
              <w:lastRenderedPageBreak/>
              <w:t>Kopā:</w:t>
            </w:r>
          </w:p>
        </w:tc>
        <w:tc>
          <w:tcPr>
            <w:tcW w:w="1412" w:type="dxa"/>
            <w:tcBorders>
              <w:top w:val="nil"/>
              <w:left w:val="nil"/>
              <w:bottom w:val="single" w:sz="8" w:space="0" w:color="auto"/>
              <w:right w:val="single" w:sz="8" w:space="0" w:color="auto"/>
            </w:tcBorders>
            <w:hideMark/>
          </w:tcPr>
          <w:p w:rsidR="00F25C91" w:rsidRPr="00FA5F97" w:rsidRDefault="00F25C91">
            <w:pPr>
              <w:spacing w:line="252" w:lineRule="auto"/>
              <w:jc w:val="center"/>
              <w:rPr>
                <w:rFonts w:ascii="Times New Roman" w:hAnsi="Times New Roman" w:cs="Times New Roman"/>
                <w:b/>
                <w:bCs/>
              </w:rPr>
            </w:pPr>
            <w:r w:rsidRPr="00FA5F97">
              <w:rPr>
                <w:rFonts w:ascii="Times New Roman" w:hAnsi="Times New Roman" w:cs="Times New Roman"/>
                <w:b/>
                <w:bCs/>
              </w:rPr>
              <w:t>3048</w:t>
            </w:r>
          </w:p>
        </w:tc>
        <w:tc>
          <w:tcPr>
            <w:tcW w:w="1415" w:type="dxa"/>
            <w:tcBorders>
              <w:top w:val="nil"/>
              <w:left w:val="nil"/>
              <w:bottom w:val="single" w:sz="8" w:space="0" w:color="auto"/>
              <w:right w:val="single" w:sz="8" w:space="0" w:color="auto"/>
            </w:tcBorders>
            <w:hideMark/>
          </w:tcPr>
          <w:p w:rsidR="00F25C91" w:rsidRPr="00FA5F97" w:rsidRDefault="00F25C91">
            <w:pPr>
              <w:spacing w:line="252" w:lineRule="auto"/>
              <w:jc w:val="center"/>
              <w:rPr>
                <w:rFonts w:ascii="Times New Roman" w:hAnsi="Times New Roman" w:cs="Times New Roman"/>
                <w:b/>
                <w:bCs/>
              </w:rPr>
            </w:pPr>
            <w:r w:rsidRPr="00FA5F97">
              <w:rPr>
                <w:rFonts w:ascii="Times New Roman" w:hAnsi="Times New Roman" w:cs="Times New Roman"/>
                <w:b/>
                <w:bCs/>
              </w:rPr>
              <w:t>3273</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rsidR="00F25C91" w:rsidRPr="00FA5F97" w:rsidRDefault="00F25C91">
            <w:pPr>
              <w:spacing w:line="252" w:lineRule="auto"/>
              <w:jc w:val="center"/>
              <w:rPr>
                <w:rFonts w:ascii="Times New Roman" w:hAnsi="Times New Roman" w:cs="Times New Roman"/>
                <w:b/>
                <w:bCs/>
              </w:rPr>
            </w:pPr>
            <w:r w:rsidRPr="00FA5F97">
              <w:rPr>
                <w:rFonts w:ascii="Times New Roman" w:hAnsi="Times New Roman" w:cs="Times New Roman"/>
                <w:b/>
                <w:bCs/>
              </w:rPr>
              <w:t>852</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hideMark/>
          </w:tcPr>
          <w:p w:rsidR="00F25C91" w:rsidRPr="00FA5F97" w:rsidRDefault="00F25C91">
            <w:pPr>
              <w:spacing w:line="252" w:lineRule="auto"/>
              <w:jc w:val="center"/>
              <w:rPr>
                <w:rFonts w:ascii="Times New Roman" w:hAnsi="Times New Roman" w:cs="Times New Roman"/>
                <w:b/>
                <w:bCs/>
              </w:rPr>
            </w:pPr>
            <w:r w:rsidRPr="00FA5F97">
              <w:rPr>
                <w:rFonts w:ascii="Times New Roman" w:hAnsi="Times New Roman" w:cs="Times New Roman"/>
                <w:b/>
                <w:bCs/>
              </w:rPr>
              <w:t>7173</w:t>
            </w:r>
          </w:p>
        </w:tc>
      </w:tr>
      <w:tr w:rsidR="00F25C91" w:rsidRPr="00FA5F97" w:rsidTr="00BA6827">
        <w:trPr>
          <w:trHeight w:val="276"/>
        </w:trPr>
        <w:tc>
          <w:tcPr>
            <w:tcW w:w="2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5C91" w:rsidRPr="00FA5F97" w:rsidRDefault="00F25C91">
            <w:pPr>
              <w:spacing w:line="252" w:lineRule="auto"/>
              <w:rPr>
                <w:rFonts w:ascii="Times New Roman" w:hAnsi="Times New Roman" w:cs="Times New Roman"/>
                <w:b/>
                <w:bCs/>
                <w:lang w:eastAsia="lv-LV"/>
              </w:rPr>
            </w:pPr>
            <w:r w:rsidRPr="00FA5F97">
              <w:rPr>
                <w:rFonts w:ascii="Times New Roman" w:hAnsi="Times New Roman" w:cs="Times New Roman"/>
                <w:b/>
                <w:bCs/>
              </w:rPr>
              <w:t>Procents no visiem Covid-19 gadījumiem valstī</w:t>
            </w:r>
          </w:p>
        </w:tc>
        <w:tc>
          <w:tcPr>
            <w:tcW w:w="1412" w:type="dxa"/>
            <w:tcBorders>
              <w:top w:val="nil"/>
              <w:left w:val="nil"/>
              <w:bottom w:val="single" w:sz="8" w:space="0" w:color="auto"/>
              <w:right w:val="single" w:sz="8" w:space="0" w:color="auto"/>
            </w:tcBorders>
            <w:hideMark/>
          </w:tcPr>
          <w:p w:rsidR="00F25C91" w:rsidRPr="00FA5F97" w:rsidRDefault="00F25C91">
            <w:pPr>
              <w:spacing w:line="252" w:lineRule="auto"/>
              <w:jc w:val="center"/>
              <w:rPr>
                <w:rFonts w:ascii="Times New Roman" w:hAnsi="Times New Roman" w:cs="Times New Roman"/>
                <w:b/>
                <w:bCs/>
                <w:i/>
                <w:iCs/>
              </w:rPr>
            </w:pPr>
            <w:r w:rsidRPr="00FA5F97">
              <w:rPr>
                <w:rFonts w:ascii="Times New Roman" w:hAnsi="Times New Roman" w:cs="Times New Roman"/>
                <w:b/>
                <w:bCs/>
                <w:i/>
                <w:iCs/>
              </w:rPr>
              <w:t>6,1 %</w:t>
            </w:r>
          </w:p>
        </w:tc>
        <w:tc>
          <w:tcPr>
            <w:tcW w:w="1415" w:type="dxa"/>
            <w:tcBorders>
              <w:top w:val="nil"/>
              <w:left w:val="nil"/>
              <w:bottom w:val="single" w:sz="8" w:space="0" w:color="auto"/>
              <w:right w:val="single" w:sz="8" w:space="0" w:color="auto"/>
            </w:tcBorders>
            <w:hideMark/>
          </w:tcPr>
          <w:p w:rsidR="00F25C91" w:rsidRPr="00FA5F97" w:rsidRDefault="00F25C91">
            <w:pPr>
              <w:spacing w:line="252" w:lineRule="auto"/>
              <w:jc w:val="center"/>
              <w:rPr>
                <w:rFonts w:ascii="Times New Roman" w:hAnsi="Times New Roman" w:cs="Times New Roman"/>
                <w:b/>
                <w:bCs/>
                <w:i/>
                <w:iCs/>
              </w:rPr>
            </w:pPr>
            <w:r w:rsidRPr="00FA5F97">
              <w:rPr>
                <w:rFonts w:ascii="Times New Roman" w:hAnsi="Times New Roman" w:cs="Times New Roman"/>
                <w:b/>
                <w:bCs/>
                <w:i/>
                <w:iCs/>
              </w:rPr>
              <w:t>6,6 %</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rsidR="00F25C91" w:rsidRPr="00FA5F97" w:rsidRDefault="00F25C91">
            <w:pPr>
              <w:spacing w:line="252" w:lineRule="auto"/>
              <w:jc w:val="center"/>
              <w:rPr>
                <w:rFonts w:ascii="Times New Roman" w:hAnsi="Times New Roman" w:cs="Times New Roman"/>
                <w:b/>
                <w:bCs/>
                <w:i/>
                <w:iCs/>
              </w:rPr>
            </w:pPr>
            <w:r w:rsidRPr="00FA5F97">
              <w:rPr>
                <w:rFonts w:ascii="Times New Roman" w:hAnsi="Times New Roman" w:cs="Times New Roman"/>
                <w:b/>
                <w:bCs/>
                <w:i/>
                <w:iCs/>
              </w:rPr>
              <w:t>1,7 %</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hideMark/>
          </w:tcPr>
          <w:p w:rsidR="00F25C91" w:rsidRPr="00FA5F97" w:rsidRDefault="00F25C91">
            <w:pPr>
              <w:spacing w:line="252" w:lineRule="auto"/>
              <w:jc w:val="center"/>
              <w:rPr>
                <w:rFonts w:ascii="Times New Roman" w:hAnsi="Times New Roman" w:cs="Times New Roman"/>
                <w:b/>
                <w:bCs/>
                <w:i/>
                <w:iCs/>
              </w:rPr>
            </w:pPr>
            <w:r w:rsidRPr="00FA5F97">
              <w:rPr>
                <w:rFonts w:ascii="Times New Roman" w:hAnsi="Times New Roman" w:cs="Times New Roman"/>
                <w:b/>
                <w:bCs/>
                <w:i/>
                <w:iCs/>
              </w:rPr>
              <w:t>14,5 %</w:t>
            </w:r>
          </w:p>
        </w:tc>
      </w:tr>
    </w:tbl>
    <w:p w:rsidR="00785142" w:rsidRPr="00FA5F97" w:rsidRDefault="00785142" w:rsidP="00785142">
      <w:pPr>
        <w:jc w:val="right"/>
        <w:rPr>
          <w:b/>
          <w:sz w:val="18"/>
          <w:szCs w:val="18"/>
        </w:rPr>
      </w:pPr>
      <w:r w:rsidRPr="00FA5F97">
        <w:rPr>
          <w:b/>
          <w:sz w:val="18"/>
          <w:szCs w:val="18"/>
        </w:rPr>
        <w:t>Datu avots: SPKC</w:t>
      </w:r>
    </w:p>
    <w:p w:rsidR="00876B57" w:rsidRPr="00FA5F97" w:rsidRDefault="0045329E" w:rsidP="00286DB8">
      <w:pPr>
        <w:spacing w:after="0" w:line="240" w:lineRule="auto"/>
        <w:ind w:firstLine="567"/>
        <w:jc w:val="both"/>
        <w:rPr>
          <w:rFonts w:ascii="Times New Roman" w:hAnsi="Times New Roman"/>
          <w:color w:val="000000" w:themeColor="text1"/>
          <w:sz w:val="24"/>
          <w:szCs w:val="24"/>
        </w:rPr>
      </w:pPr>
      <w:r w:rsidRPr="00FA5F97">
        <w:rPr>
          <w:rFonts w:ascii="Times New Roman" w:eastAsia="Times New Roman" w:hAnsi="Times New Roman"/>
          <w:bCs/>
          <w:color w:val="000000" w:themeColor="text1"/>
          <w:sz w:val="24"/>
          <w:szCs w:val="24"/>
        </w:rPr>
        <w:t xml:space="preserve"> </w:t>
      </w:r>
      <w:r w:rsidR="00F37B8B" w:rsidRPr="00FA5F97">
        <w:rPr>
          <w:rFonts w:ascii="Times New Roman" w:eastAsia="Times New Roman" w:hAnsi="Times New Roman"/>
          <w:bCs/>
          <w:color w:val="000000" w:themeColor="text1"/>
          <w:sz w:val="24"/>
          <w:szCs w:val="24"/>
        </w:rPr>
        <w:t xml:space="preserve">Eiropas slimību profilakses un kontroles centrs (turpmāk – </w:t>
      </w:r>
      <w:r w:rsidRPr="00FA5F97">
        <w:rPr>
          <w:rFonts w:ascii="Times New Roman" w:eastAsia="Times New Roman" w:hAnsi="Times New Roman"/>
          <w:bCs/>
          <w:color w:val="000000" w:themeColor="text1"/>
          <w:sz w:val="24"/>
          <w:szCs w:val="24"/>
        </w:rPr>
        <w:t>ECDC</w:t>
      </w:r>
      <w:r w:rsidR="00F37B8B" w:rsidRPr="00FA5F97">
        <w:rPr>
          <w:rFonts w:ascii="Times New Roman" w:eastAsia="Times New Roman" w:hAnsi="Times New Roman"/>
          <w:bCs/>
          <w:color w:val="000000" w:themeColor="text1"/>
          <w:sz w:val="24"/>
          <w:szCs w:val="24"/>
        </w:rPr>
        <w:t>)</w:t>
      </w:r>
      <w:r w:rsidRPr="00FA5F97">
        <w:rPr>
          <w:rFonts w:ascii="Times New Roman" w:eastAsia="Times New Roman" w:hAnsi="Times New Roman"/>
          <w:bCs/>
          <w:color w:val="000000" w:themeColor="text1"/>
          <w:sz w:val="24"/>
          <w:szCs w:val="24"/>
        </w:rPr>
        <w:t xml:space="preserve"> rekomendē regulāri veikt to ilgstoš</w:t>
      </w:r>
      <w:r w:rsidR="00F37B8B" w:rsidRPr="00FA5F97">
        <w:rPr>
          <w:rFonts w:ascii="Times New Roman" w:eastAsia="Times New Roman" w:hAnsi="Times New Roman"/>
          <w:bCs/>
          <w:color w:val="000000" w:themeColor="text1"/>
          <w:sz w:val="24"/>
          <w:szCs w:val="24"/>
        </w:rPr>
        <w:t>a</w:t>
      </w:r>
      <w:r w:rsidRPr="00FA5F97">
        <w:rPr>
          <w:rFonts w:ascii="Times New Roman" w:eastAsia="Times New Roman" w:hAnsi="Times New Roman"/>
          <w:bCs/>
          <w:color w:val="000000" w:themeColor="text1"/>
          <w:sz w:val="24"/>
          <w:szCs w:val="24"/>
        </w:rPr>
        <w:t>s sociālās aprūpes institūciju darbinieku testēšanu, kuros pastāv risks inficēties ar Covid-19</w:t>
      </w:r>
      <w:r w:rsidR="00A522BC" w:rsidRPr="00FA5F97">
        <w:rPr>
          <w:rFonts w:ascii="Times New Roman" w:eastAsia="Times New Roman" w:hAnsi="Times New Roman"/>
          <w:bCs/>
          <w:color w:val="000000" w:themeColor="text1"/>
          <w:sz w:val="24"/>
          <w:szCs w:val="24"/>
        </w:rPr>
        <w:t xml:space="preserve">, lai novērstu </w:t>
      </w:r>
      <w:r w:rsidR="00770E42" w:rsidRPr="00FA5F97">
        <w:rPr>
          <w:rFonts w:ascii="Times New Roman" w:eastAsia="Times New Roman" w:hAnsi="Times New Roman"/>
          <w:bCs/>
          <w:color w:val="000000" w:themeColor="text1"/>
          <w:sz w:val="24"/>
          <w:szCs w:val="24"/>
        </w:rPr>
        <w:t>Covid-19</w:t>
      </w:r>
      <w:r w:rsidR="00A522BC" w:rsidRPr="00FA5F97">
        <w:rPr>
          <w:rFonts w:ascii="Times New Roman" w:eastAsia="Times New Roman" w:hAnsi="Times New Roman"/>
          <w:bCs/>
          <w:color w:val="000000" w:themeColor="text1"/>
          <w:sz w:val="24"/>
          <w:szCs w:val="24"/>
        </w:rPr>
        <w:t xml:space="preserve"> pārnesi.</w:t>
      </w:r>
      <w:r w:rsidRPr="00FA5F97">
        <w:rPr>
          <w:rFonts w:ascii="Times New Roman" w:eastAsia="Times New Roman" w:hAnsi="Times New Roman"/>
          <w:bCs/>
          <w:color w:val="000000" w:themeColor="text1"/>
          <w:sz w:val="24"/>
          <w:szCs w:val="24"/>
        </w:rPr>
        <w:t xml:space="preserve"> Lai gan </w:t>
      </w:r>
      <w:r w:rsidRPr="00FA5F97">
        <w:rPr>
          <w:rFonts w:ascii="Times New Roman" w:eastAsia="Times New Roman" w:hAnsi="Times New Roman"/>
          <w:color w:val="000000" w:themeColor="text1"/>
          <w:sz w:val="24"/>
          <w:szCs w:val="24"/>
        </w:rPr>
        <w:t xml:space="preserve">Covid-19 infekcijas diagnostikas </w:t>
      </w:r>
      <w:r w:rsidR="00F37B8B" w:rsidRPr="00FA5F97">
        <w:rPr>
          <w:rFonts w:ascii="Times New Roman" w:eastAsia="Times New Roman" w:hAnsi="Times New Roman"/>
          <w:color w:val="000000" w:themeColor="text1"/>
          <w:sz w:val="24"/>
          <w:szCs w:val="24"/>
        </w:rPr>
        <w:t>zelta standarts joprojām</w:t>
      </w:r>
      <w:r w:rsidRPr="00FA5F97">
        <w:rPr>
          <w:rFonts w:ascii="Times New Roman" w:eastAsia="Times New Roman" w:hAnsi="Times New Roman"/>
          <w:color w:val="000000" w:themeColor="text1"/>
          <w:sz w:val="24"/>
          <w:szCs w:val="24"/>
        </w:rPr>
        <w:t xml:space="preserve"> ir </w:t>
      </w:r>
      <w:r w:rsidRPr="00FA5F97">
        <w:rPr>
          <w:rFonts w:ascii="Times New Roman" w:eastAsia="Times New Roman" w:hAnsi="Times New Roman"/>
          <w:bCs/>
          <w:color w:val="000000" w:themeColor="text1"/>
          <w:sz w:val="24"/>
          <w:szCs w:val="24"/>
        </w:rPr>
        <w:t>SARS-CoV-2 vīrusa ribonukleīnskābes (RNS) noteikšana ar</w:t>
      </w:r>
      <w:r w:rsidRPr="00FA5F97">
        <w:rPr>
          <w:rFonts w:ascii="Times New Roman" w:eastAsia="Times New Roman" w:hAnsi="Times New Roman"/>
          <w:color w:val="000000" w:themeColor="text1"/>
          <w:sz w:val="24"/>
          <w:szCs w:val="24"/>
        </w:rPr>
        <w:t xml:space="preserve"> </w:t>
      </w:r>
      <w:proofErr w:type="spellStart"/>
      <w:r w:rsidRPr="00FA5F97">
        <w:rPr>
          <w:rFonts w:ascii="Times New Roman" w:eastAsia="Times New Roman" w:hAnsi="Times New Roman"/>
          <w:color w:val="000000" w:themeColor="text1"/>
          <w:sz w:val="24"/>
          <w:szCs w:val="24"/>
        </w:rPr>
        <w:t>Polimerāzes</w:t>
      </w:r>
      <w:proofErr w:type="spellEnd"/>
      <w:r w:rsidRPr="00FA5F97">
        <w:rPr>
          <w:rFonts w:ascii="Times New Roman" w:eastAsia="Times New Roman" w:hAnsi="Times New Roman"/>
          <w:color w:val="000000" w:themeColor="text1"/>
          <w:sz w:val="24"/>
          <w:szCs w:val="24"/>
        </w:rPr>
        <w:t xml:space="preserve"> ķēdes reakciju (PĶR), ko gan Pasaules Veselības organizācija (PVO), gan ECDC uzskata par visuzticamāko metodi, ar kādu testēt Covid-19 saslimušos un kontaktpersonas</w:t>
      </w:r>
      <w:r w:rsidR="00F37B8B" w:rsidRPr="00FA5F97">
        <w:rPr>
          <w:rFonts w:ascii="Times New Roman" w:eastAsia="Times New Roman" w:hAnsi="Times New Roman"/>
          <w:color w:val="000000" w:themeColor="text1"/>
          <w:sz w:val="24"/>
          <w:szCs w:val="24"/>
        </w:rPr>
        <w:t xml:space="preserve">, ilgstošas sociālās aprūpes institūcijās ECDC to iesaka aizstāt ar </w:t>
      </w:r>
      <w:proofErr w:type="spellStart"/>
      <w:r w:rsidR="00287F49" w:rsidRPr="00FA5F97">
        <w:rPr>
          <w:rFonts w:ascii="Times New Roman" w:hAnsi="Times New Roman"/>
          <w:color w:val="000000" w:themeColor="text1"/>
          <w:sz w:val="24"/>
          <w:szCs w:val="24"/>
        </w:rPr>
        <w:t>Ag</w:t>
      </w:r>
      <w:proofErr w:type="spellEnd"/>
      <w:r w:rsidR="00287F49" w:rsidRPr="00FA5F97">
        <w:rPr>
          <w:rFonts w:ascii="Times New Roman" w:hAnsi="Times New Roman"/>
          <w:color w:val="000000" w:themeColor="text1"/>
          <w:sz w:val="24"/>
          <w:szCs w:val="24"/>
        </w:rPr>
        <w:t xml:space="preserve"> </w:t>
      </w:r>
      <w:r w:rsidR="00F37B8B" w:rsidRPr="00FA5F97">
        <w:rPr>
          <w:rFonts w:ascii="Times New Roman" w:eastAsia="Times New Roman" w:hAnsi="Times New Roman"/>
          <w:bCs/>
          <w:color w:val="000000" w:themeColor="text1"/>
          <w:sz w:val="24"/>
          <w:szCs w:val="24"/>
        </w:rPr>
        <w:t>testu</w:t>
      </w:r>
      <w:r w:rsidR="00F37B8B" w:rsidRPr="00FA5F97">
        <w:rPr>
          <w:rStyle w:val="FootnoteReference"/>
          <w:rFonts w:ascii="Times New Roman" w:eastAsia="Times New Roman" w:hAnsi="Times New Roman"/>
          <w:bCs/>
          <w:color w:val="000000" w:themeColor="text1"/>
          <w:sz w:val="24"/>
          <w:szCs w:val="24"/>
        </w:rPr>
        <w:footnoteReference w:id="1"/>
      </w:r>
      <w:r w:rsidR="00F37B8B" w:rsidRPr="00FA5F97">
        <w:rPr>
          <w:rFonts w:ascii="Times New Roman" w:eastAsia="Times New Roman" w:hAnsi="Times New Roman"/>
          <w:bCs/>
          <w:color w:val="000000" w:themeColor="text1"/>
          <w:sz w:val="24"/>
          <w:szCs w:val="24"/>
        </w:rPr>
        <w:t>, kas</w:t>
      </w:r>
      <w:r w:rsidR="00F37B8B" w:rsidRPr="00FA5F97">
        <w:rPr>
          <w:rFonts w:ascii="Times New Roman" w:hAnsi="Times New Roman"/>
          <w:color w:val="000000" w:themeColor="text1"/>
          <w:sz w:val="24"/>
          <w:szCs w:val="24"/>
        </w:rPr>
        <w:t xml:space="preserve"> ir mazāk jutīgs Covid-19 infekcijas diagnostikā, salīdzinot ar Covid-19 infekcijas diagnostikai izmantojamiem </w:t>
      </w:r>
      <w:r w:rsidR="00F37B8B" w:rsidRPr="00FA5F97">
        <w:rPr>
          <w:rFonts w:ascii="Times New Roman" w:eastAsia="Times New Roman" w:hAnsi="Times New Roman"/>
          <w:color w:val="000000" w:themeColor="text1"/>
          <w:sz w:val="24"/>
          <w:szCs w:val="24"/>
        </w:rPr>
        <w:t>PĶR</w:t>
      </w:r>
      <w:r w:rsidR="00F37B8B" w:rsidRPr="00FA5F97" w:rsidDel="00C023E2">
        <w:rPr>
          <w:rFonts w:ascii="Times New Roman" w:hAnsi="Times New Roman"/>
          <w:color w:val="000000" w:themeColor="text1"/>
          <w:sz w:val="24"/>
          <w:szCs w:val="24"/>
        </w:rPr>
        <w:t xml:space="preserve"> </w:t>
      </w:r>
      <w:r w:rsidR="00F37B8B" w:rsidRPr="00FA5F97">
        <w:rPr>
          <w:rFonts w:ascii="Times New Roman" w:hAnsi="Times New Roman"/>
          <w:color w:val="000000" w:themeColor="text1"/>
          <w:sz w:val="24"/>
          <w:szCs w:val="24"/>
        </w:rPr>
        <w:t>testiem, tomēr šādi – bieži testējot – ir iespējams veiksmīgi identificēt saslimušos starp sociālās aprūpes centru darbiniekiem, novēršot sociālās aprūpes centru klientu inficēšanos un nāvi</w:t>
      </w:r>
      <w:r w:rsidR="00F37B8B" w:rsidRPr="00FA5F97">
        <w:rPr>
          <w:rStyle w:val="FootnoteReference"/>
          <w:rFonts w:ascii="Times New Roman" w:hAnsi="Times New Roman"/>
          <w:color w:val="000000" w:themeColor="text1"/>
          <w:sz w:val="24"/>
          <w:szCs w:val="24"/>
        </w:rPr>
        <w:footnoteReference w:id="2"/>
      </w:r>
      <w:r w:rsidR="00F37B8B" w:rsidRPr="00FA5F97">
        <w:rPr>
          <w:rFonts w:ascii="Times New Roman" w:hAnsi="Times New Roman"/>
          <w:color w:val="000000" w:themeColor="text1"/>
          <w:sz w:val="24"/>
          <w:szCs w:val="24"/>
        </w:rPr>
        <w:t>.</w:t>
      </w:r>
    </w:p>
    <w:p w:rsidR="00A522BC" w:rsidRPr="00FA5F97" w:rsidRDefault="00A522BC" w:rsidP="00286DB8">
      <w:pPr>
        <w:spacing w:after="0" w:line="240" w:lineRule="auto"/>
        <w:ind w:firstLine="567"/>
        <w:jc w:val="both"/>
        <w:rPr>
          <w:rFonts w:ascii="Times New Roman" w:eastAsia="Times New Roman" w:hAnsi="Times New Roman"/>
          <w:bCs/>
          <w:color w:val="000000" w:themeColor="text1"/>
          <w:sz w:val="24"/>
          <w:szCs w:val="24"/>
        </w:rPr>
      </w:pPr>
      <w:r w:rsidRPr="00FA5F97">
        <w:rPr>
          <w:rFonts w:ascii="Times New Roman" w:eastAsia="Times New Roman" w:hAnsi="Times New Roman"/>
          <w:bCs/>
          <w:color w:val="000000" w:themeColor="text1"/>
          <w:sz w:val="24"/>
          <w:szCs w:val="24"/>
        </w:rPr>
        <w:t xml:space="preserve">Īpaši </w:t>
      </w:r>
      <w:proofErr w:type="spellStart"/>
      <w:r w:rsidR="00287F49" w:rsidRPr="00FA5F97">
        <w:rPr>
          <w:rFonts w:ascii="Times New Roman" w:eastAsia="Times New Roman" w:hAnsi="Times New Roman"/>
          <w:bCs/>
          <w:color w:val="000000" w:themeColor="text1"/>
          <w:sz w:val="24"/>
          <w:szCs w:val="24"/>
        </w:rPr>
        <w:t>Ag</w:t>
      </w:r>
      <w:proofErr w:type="spellEnd"/>
      <w:r w:rsidR="00287F49" w:rsidRPr="00FA5F97">
        <w:rPr>
          <w:rFonts w:ascii="Times New Roman" w:eastAsia="Times New Roman" w:hAnsi="Times New Roman"/>
          <w:bCs/>
          <w:color w:val="000000" w:themeColor="text1"/>
          <w:sz w:val="24"/>
          <w:szCs w:val="24"/>
        </w:rPr>
        <w:t xml:space="preserve"> </w:t>
      </w:r>
      <w:r w:rsidRPr="00FA5F97">
        <w:rPr>
          <w:rFonts w:ascii="Times New Roman" w:eastAsia="Times New Roman" w:hAnsi="Times New Roman"/>
          <w:bCs/>
          <w:color w:val="000000" w:themeColor="text1"/>
          <w:sz w:val="24"/>
          <w:szCs w:val="24"/>
        </w:rPr>
        <w:t>testi tiek rekomendēti šādās situācijās:</w:t>
      </w:r>
    </w:p>
    <w:p w:rsidR="00A522BC" w:rsidRPr="00FA5F97" w:rsidRDefault="00A522BC" w:rsidP="00A522BC">
      <w:pPr>
        <w:pStyle w:val="ListParagraph"/>
        <w:numPr>
          <w:ilvl w:val="0"/>
          <w:numId w:val="1"/>
        </w:numPr>
        <w:spacing w:after="0" w:line="240" w:lineRule="auto"/>
        <w:jc w:val="both"/>
        <w:rPr>
          <w:rFonts w:ascii="Times New Roman" w:eastAsia="Times New Roman" w:hAnsi="Times New Roman"/>
          <w:bCs/>
          <w:color w:val="000000" w:themeColor="text1"/>
          <w:sz w:val="24"/>
          <w:szCs w:val="24"/>
        </w:rPr>
      </w:pPr>
      <w:r w:rsidRPr="00FA5F97">
        <w:rPr>
          <w:rFonts w:ascii="Times New Roman" w:hAnsi="Times New Roman"/>
          <w:color w:val="000000" w:themeColor="text1"/>
          <w:sz w:val="24"/>
          <w:szCs w:val="24"/>
        </w:rPr>
        <w:t>cilvēkiem ar Covid-19 infekcijai raksturīgiem simptomiem, agrīnajā slimības fāzē - tas ir pirmajās 5 slimības dienās;</w:t>
      </w:r>
    </w:p>
    <w:p w:rsidR="00A522BC" w:rsidRPr="00FA5F97" w:rsidRDefault="00A522BC" w:rsidP="00A522BC">
      <w:pPr>
        <w:pStyle w:val="ListParagraph"/>
        <w:numPr>
          <w:ilvl w:val="0"/>
          <w:numId w:val="1"/>
        </w:numPr>
        <w:spacing w:after="0" w:line="240" w:lineRule="auto"/>
        <w:jc w:val="both"/>
        <w:rPr>
          <w:rFonts w:ascii="Times New Roman" w:eastAsia="Times New Roman" w:hAnsi="Times New Roman"/>
          <w:bCs/>
          <w:color w:val="000000" w:themeColor="text1"/>
          <w:sz w:val="24"/>
          <w:szCs w:val="24"/>
        </w:rPr>
      </w:pPr>
      <w:r w:rsidRPr="00FA5F97">
        <w:rPr>
          <w:rFonts w:ascii="Times New Roman" w:hAnsi="Times New Roman"/>
          <w:b/>
          <w:color w:val="000000" w:themeColor="text1"/>
          <w:sz w:val="24"/>
          <w:szCs w:val="24"/>
        </w:rPr>
        <w:t>cilvēkiem no riska grupām;</w:t>
      </w:r>
    </w:p>
    <w:p w:rsidR="00A522BC" w:rsidRPr="00FA5F97" w:rsidRDefault="00A522BC" w:rsidP="00A522BC">
      <w:pPr>
        <w:pStyle w:val="ListParagraph"/>
        <w:numPr>
          <w:ilvl w:val="0"/>
          <w:numId w:val="1"/>
        </w:numPr>
        <w:spacing w:after="0" w:line="240" w:lineRule="auto"/>
        <w:jc w:val="both"/>
        <w:rPr>
          <w:rFonts w:ascii="Times New Roman" w:eastAsia="Times New Roman" w:hAnsi="Times New Roman"/>
          <w:bCs/>
          <w:color w:val="000000" w:themeColor="text1"/>
          <w:sz w:val="24"/>
          <w:szCs w:val="24"/>
        </w:rPr>
      </w:pPr>
      <w:r w:rsidRPr="00FA5F97">
        <w:rPr>
          <w:rFonts w:ascii="Times New Roman" w:hAnsi="Times New Roman"/>
          <w:b/>
          <w:color w:val="000000" w:themeColor="text1"/>
          <w:sz w:val="24"/>
          <w:szCs w:val="24"/>
        </w:rPr>
        <w:t xml:space="preserve">gadījumos, kad Covid-19 infekcijas varbūtība ir augsta, bet nav iespējas ātri veikt PĶR testu. </w:t>
      </w:r>
    </w:p>
    <w:p w:rsidR="00FE6B5B" w:rsidRPr="00FA5F97" w:rsidRDefault="00E4507A" w:rsidP="00D80C65">
      <w:pPr>
        <w:spacing w:after="0" w:line="240" w:lineRule="auto"/>
        <w:ind w:firstLine="567"/>
        <w:jc w:val="both"/>
        <w:rPr>
          <w:rFonts w:ascii="Times New Roman" w:hAnsi="Times New Roman"/>
          <w:color w:val="000000" w:themeColor="text1"/>
          <w:sz w:val="24"/>
          <w:szCs w:val="24"/>
        </w:rPr>
      </w:pPr>
      <w:r w:rsidRPr="00FA5F97">
        <w:tab/>
      </w:r>
      <w:r w:rsidR="00713A42" w:rsidRPr="00FA5F97">
        <w:rPr>
          <w:rFonts w:ascii="Times New Roman" w:hAnsi="Times New Roman"/>
          <w:color w:val="000000" w:themeColor="text1"/>
          <w:sz w:val="24"/>
          <w:szCs w:val="24"/>
        </w:rPr>
        <w:t xml:space="preserve">Kopējais nodarbināto </w:t>
      </w:r>
      <w:r w:rsidR="0056497A" w:rsidRPr="00FA5F97">
        <w:rPr>
          <w:rFonts w:ascii="Times New Roman" w:hAnsi="Times New Roman"/>
          <w:color w:val="000000" w:themeColor="text1"/>
          <w:sz w:val="24"/>
          <w:szCs w:val="24"/>
        </w:rPr>
        <w:t>skaits valsts, pašvaldību un privātajos sociālās aprūpes centros uz 2020. gada 31. decembri</w:t>
      </w:r>
      <w:r w:rsidR="00D80C65" w:rsidRPr="00FA5F97">
        <w:rPr>
          <w:rFonts w:ascii="Times New Roman" w:hAnsi="Times New Roman"/>
          <w:color w:val="000000" w:themeColor="text1"/>
          <w:sz w:val="24"/>
          <w:szCs w:val="24"/>
        </w:rPr>
        <w:t xml:space="preserve"> ir</w:t>
      </w:r>
      <w:r w:rsidR="00713A42" w:rsidRPr="00FA5F97">
        <w:rPr>
          <w:rFonts w:ascii="Times New Roman" w:hAnsi="Times New Roman"/>
          <w:color w:val="000000" w:themeColor="text1"/>
          <w:sz w:val="24"/>
          <w:szCs w:val="24"/>
        </w:rPr>
        <w:t xml:space="preserve"> 8056 personas</w:t>
      </w:r>
      <w:r w:rsidR="000408B8" w:rsidRPr="00FA5F97">
        <w:rPr>
          <w:rFonts w:ascii="Times New Roman" w:hAnsi="Times New Roman"/>
          <w:color w:val="000000" w:themeColor="text1"/>
          <w:sz w:val="24"/>
          <w:szCs w:val="24"/>
        </w:rPr>
        <w:t xml:space="preserve">, </w:t>
      </w:r>
      <w:r w:rsidR="0056497A" w:rsidRPr="00FA5F97">
        <w:rPr>
          <w:rFonts w:ascii="Times New Roman" w:hAnsi="Times New Roman"/>
          <w:color w:val="000000" w:themeColor="text1"/>
          <w:sz w:val="24"/>
          <w:szCs w:val="24"/>
        </w:rPr>
        <w:t>līdz ar to</w:t>
      </w:r>
      <w:r w:rsidR="000408B8" w:rsidRPr="00FA5F97">
        <w:rPr>
          <w:rFonts w:ascii="Times New Roman" w:hAnsi="Times New Roman"/>
          <w:color w:val="000000" w:themeColor="text1"/>
          <w:sz w:val="24"/>
          <w:szCs w:val="24"/>
        </w:rPr>
        <w:t xml:space="preserve"> kopējais nepieciešamo testu skaits</w:t>
      </w:r>
      <w:r w:rsidR="0056497A" w:rsidRPr="00FA5F97">
        <w:rPr>
          <w:rFonts w:ascii="Times New Roman" w:hAnsi="Times New Roman"/>
          <w:color w:val="000000" w:themeColor="text1"/>
          <w:sz w:val="24"/>
          <w:szCs w:val="24"/>
        </w:rPr>
        <w:t xml:space="preserve"> mēnesī</w:t>
      </w:r>
      <w:r w:rsidR="000408B8" w:rsidRPr="00FA5F97">
        <w:rPr>
          <w:rFonts w:ascii="Times New Roman" w:hAnsi="Times New Roman"/>
          <w:color w:val="000000" w:themeColor="text1"/>
          <w:sz w:val="24"/>
          <w:szCs w:val="24"/>
        </w:rPr>
        <w:t xml:space="preserve">, pieņemot, ka </w:t>
      </w:r>
      <w:proofErr w:type="spellStart"/>
      <w:r w:rsidR="00287F49" w:rsidRPr="00FA5F97">
        <w:rPr>
          <w:rFonts w:ascii="Times New Roman" w:hAnsi="Times New Roman"/>
          <w:color w:val="000000" w:themeColor="text1"/>
          <w:sz w:val="24"/>
          <w:szCs w:val="24"/>
        </w:rPr>
        <w:t>Ag</w:t>
      </w:r>
      <w:proofErr w:type="spellEnd"/>
      <w:r w:rsidR="00287F49" w:rsidRPr="00FA5F97">
        <w:rPr>
          <w:rFonts w:ascii="Times New Roman" w:hAnsi="Times New Roman"/>
          <w:color w:val="000000" w:themeColor="text1"/>
          <w:sz w:val="24"/>
          <w:szCs w:val="24"/>
        </w:rPr>
        <w:t xml:space="preserve"> </w:t>
      </w:r>
      <w:r w:rsidR="00D80C65" w:rsidRPr="00FA5F97">
        <w:rPr>
          <w:rFonts w:ascii="Times New Roman" w:hAnsi="Times New Roman"/>
          <w:color w:val="000000" w:themeColor="text1"/>
          <w:sz w:val="24"/>
          <w:szCs w:val="24"/>
        </w:rPr>
        <w:t>tests tiek veikts katru dienu visiem darbiniekiem tieši pirms darba uzsākšanas, ir vidēji 1</w:t>
      </w:r>
      <w:r w:rsidR="003B70DC" w:rsidRPr="00FA5F97">
        <w:rPr>
          <w:rFonts w:ascii="Times New Roman" w:hAnsi="Times New Roman"/>
          <w:color w:val="000000" w:themeColor="text1"/>
          <w:sz w:val="24"/>
          <w:szCs w:val="24"/>
        </w:rPr>
        <w:t>03 000</w:t>
      </w:r>
      <w:r w:rsidR="00D80C65" w:rsidRPr="00FA5F97">
        <w:rPr>
          <w:rFonts w:ascii="Times New Roman" w:hAnsi="Times New Roman"/>
          <w:color w:val="000000" w:themeColor="text1"/>
          <w:sz w:val="24"/>
          <w:szCs w:val="24"/>
        </w:rPr>
        <w:t xml:space="preserve"> testu</w:t>
      </w:r>
      <w:r w:rsidR="009D4A8A" w:rsidRPr="00FA5F97">
        <w:rPr>
          <w:rStyle w:val="FootnoteReference"/>
          <w:rFonts w:ascii="Times New Roman" w:hAnsi="Times New Roman"/>
          <w:color w:val="000000" w:themeColor="text1"/>
          <w:sz w:val="24"/>
          <w:szCs w:val="24"/>
        </w:rPr>
        <w:footnoteReference w:id="3"/>
      </w:r>
      <w:r w:rsidR="00D80C65" w:rsidRPr="00FA5F97">
        <w:rPr>
          <w:rFonts w:ascii="Times New Roman" w:hAnsi="Times New Roman"/>
          <w:color w:val="000000" w:themeColor="text1"/>
          <w:sz w:val="24"/>
          <w:szCs w:val="24"/>
        </w:rPr>
        <w:t xml:space="preserve">. Darbinieku testēšanu plānots veikt visu janvāri, ja darbinieku vakcinācija pret Covid-19 noritēs </w:t>
      </w:r>
      <w:r w:rsidR="00201C11" w:rsidRPr="00FA5F97">
        <w:rPr>
          <w:rFonts w:ascii="Times New Roman" w:hAnsi="Times New Roman"/>
          <w:color w:val="000000" w:themeColor="text1"/>
          <w:sz w:val="24"/>
          <w:szCs w:val="24"/>
        </w:rPr>
        <w:t xml:space="preserve">Veselības ministrijas </w:t>
      </w:r>
      <w:r w:rsidR="00D80C65" w:rsidRPr="00FA5F97">
        <w:rPr>
          <w:rFonts w:ascii="Times New Roman" w:hAnsi="Times New Roman"/>
          <w:color w:val="000000" w:themeColor="text1"/>
          <w:sz w:val="24"/>
          <w:szCs w:val="24"/>
        </w:rPr>
        <w:t xml:space="preserve">plānotajā laikā un apjomā. Nepieciešamības gadījumā </w:t>
      </w:r>
      <w:r w:rsidR="00201C11" w:rsidRPr="00FA5F97">
        <w:rPr>
          <w:rFonts w:ascii="Times New Roman" w:hAnsi="Times New Roman"/>
          <w:color w:val="000000" w:themeColor="text1"/>
          <w:sz w:val="24"/>
          <w:szCs w:val="24"/>
        </w:rPr>
        <w:t>ir iespējams</w:t>
      </w:r>
      <w:r w:rsidR="00D80C65" w:rsidRPr="00FA5F97">
        <w:rPr>
          <w:rFonts w:ascii="Times New Roman" w:hAnsi="Times New Roman"/>
          <w:color w:val="000000" w:themeColor="text1"/>
          <w:sz w:val="24"/>
          <w:szCs w:val="24"/>
        </w:rPr>
        <w:t xml:space="preserve"> turpināt veikt eksprestestus līdz pilnīgai darbinieku vakcinācijas pabeigšanai.</w:t>
      </w:r>
    </w:p>
    <w:p w:rsidR="00D367EF" w:rsidRPr="00FA5F97" w:rsidRDefault="00D367EF" w:rsidP="00D80C65">
      <w:pPr>
        <w:spacing w:after="0" w:line="240" w:lineRule="auto"/>
        <w:ind w:firstLine="567"/>
        <w:jc w:val="both"/>
        <w:rPr>
          <w:rFonts w:ascii="Times New Roman" w:hAnsi="Times New Roman"/>
          <w:b/>
          <w:color w:val="000000" w:themeColor="text1"/>
          <w:sz w:val="24"/>
          <w:szCs w:val="24"/>
        </w:rPr>
      </w:pPr>
      <w:r w:rsidRPr="00FA5F97">
        <w:rPr>
          <w:rFonts w:ascii="Times New Roman" w:hAnsi="Times New Roman"/>
          <w:color w:val="000000" w:themeColor="text1"/>
          <w:sz w:val="24"/>
          <w:szCs w:val="24"/>
        </w:rPr>
        <w:t xml:space="preserve">Lai iestādē veiktu </w:t>
      </w:r>
      <w:proofErr w:type="spellStart"/>
      <w:r w:rsidR="00287F49" w:rsidRPr="00FA5F97">
        <w:rPr>
          <w:rFonts w:ascii="Times New Roman" w:hAnsi="Times New Roman"/>
          <w:color w:val="000000" w:themeColor="text1"/>
          <w:sz w:val="24"/>
          <w:szCs w:val="24"/>
        </w:rPr>
        <w:t>Ag</w:t>
      </w:r>
      <w:proofErr w:type="spellEnd"/>
      <w:r w:rsidR="00287F49" w:rsidRPr="00FA5F97">
        <w:rPr>
          <w:rFonts w:ascii="Times New Roman" w:hAnsi="Times New Roman"/>
          <w:color w:val="000000" w:themeColor="text1"/>
          <w:sz w:val="24"/>
          <w:szCs w:val="24"/>
        </w:rPr>
        <w:t xml:space="preserve"> t</w:t>
      </w:r>
      <w:r w:rsidRPr="00FA5F97">
        <w:rPr>
          <w:rFonts w:ascii="Times New Roman" w:hAnsi="Times New Roman"/>
          <w:color w:val="000000" w:themeColor="text1"/>
          <w:sz w:val="24"/>
          <w:szCs w:val="24"/>
        </w:rPr>
        <w:t xml:space="preserve">estu gan testam, gan iestādei ir </w:t>
      </w:r>
      <w:r w:rsidRPr="00FA5F97">
        <w:rPr>
          <w:rFonts w:ascii="Times New Roman" w:hAnsi="Times New Roman"/>
          <w:b/>
          <w:color w:val="000000" w:themeColor="text1"/>
          <w:sz w:val="24"/>
          <w:szCs w:val="24"/>
        </w:rPr>
        <w:t>jāatbilst zināmiem kritērijiem:</w:t>
      </w:r>
    </w:p>
    <w:p w:rsidR="00D80C65" w:rsidRPr="00FA5F97" w:rsidRDefault="00D80C65" w:rsidP="00D80C65">
      <w:pPr>
        <w:spacing w:after="0" w:line="240" w:lineRule="auto"/>
        <w:ind w:firstLine="567"/>
        <w:jc w:val="both"/>
        <w:rPr>
          <w:rFonts w:ascii="Times New Roman" w:hAnsi="Times New Roman"/>
          <w:color w:val="000000" w:themeColor="text1"/>
          <w:sz w:val="24"/>
          <w:szCs w:val="24"/>
        </w:rPr>
      </w:pPr>
      <w:r w:rsidRPr="00FA5F97">
        <w:rPr>
          <w:rFonts w:ascii="Times New Roman" w:hAnsi="Times New Roman"/>
          <w:color w:val="000000" w:themeColor="text1"/>
          <w:sz w:val="24"/>
          <w:szCs w:val="24"/>
        </w:rPr>
        <w:t>•</w:t>
      </w:r>
      <w:r w:rsidRPr="00FA5F97">
        <w:rPr>
          <w:rFonts w:ascii="Times New Roman" w:hAnsi="Times New Roman"/>
          <w:color w:val="000000" w:themeColor="text1"/>
          <w:sz w:val="24"/>
          <w:szCs w:val="24"/>
        </w:rPr>
        <w:tab/>
        <w:t>Minimālās veiktspējas prasības</w:t>
      </w:r>
      <w:r w:rsidR="00D367EF" w:rsidRPr="00FA5F97">
        <w:rPr>
          <w:rFonts w:ascii="Times New Roman" w:hAnsi="Times New Roman"/>
          <w:color w:val="000000" w:themeColor="text1"/>
          <w:sz w:val="24"/>
          <w:szCs w:val="24"/>
        </w:rPr>
        <w:t xml:space="preserve"> </w:t>
      </w:r>
      <w:proofErr w:type="spellStart"/>
      <w:r w:rsidR="00287F49" w:rsidRPr="00FA5F97">
        <w:rPr>
          <w:rFonts w:ascii="Times New Roman" w:hAnsi="Times New Roman"/>
          <w:color w:val="000000" w:themeColor="text1"/>
          <w:sz w:val="24"/>
          <w:szCs w:val="24"/>
        </w:rPr>
        <w:t>Ag</w:t>
      </w:r>
      <w:proofErr w:type="spellEnd"/>
      <w:r w:rsidR="00287F49" w:rsidRPr="00FA5F97">
        <w:rPr>
          <w:rFonts w:ascii="Times New Roman" w:hAnsi="Times New Roman"/>
          <w:color w:val="000000" w:themeColor="text1"/>
          <w:sz w:val="24"/>
          <w:szCs w:val="24"/>
        </w:rPr>
        <w:t xml:space="preserve"> </w:t>
      </w:r>
      <w:r w:rsidR="00D367EF" w:rsidRPr="00FA5F97">
        <w:rPr>
          <w:rFonts w:ascii="Times New Roman" w:hAnsi="Times New Roman"/>
          <w:color w:val="000000" w:themeColor="text1"/>
          <w:sz w:val="24"/>
          <w:szCs w:val="24"/>
        </w:rPr>
        <w:t>testam</w:t>
      </w:r>
      <w:r w:rsidRPr="00FA5F97">
        <w:rPr>
          <w:rFonts w:ascii="Times New Roman" w:hAnsi="Times New Roman"/>
          <w:color w:val="000000" w:themeColor="text1"/>
          <w:sz w:val="24"/>
          <w:szCs w:val="24"/>
        </w:rPr>
        <w:t xml:space="preserve"> – jutīgums lielāks vai vienāds ar  80%  un specifiskums lielāks vai vienāds ar 97%.</w:t>
      </w:r>
    </w:p>
    <w:p w:rsidR="00D80C65" w:rsidRPr="00FA5F97" w:rsidRDefault="00D80C65" w:rsidP="00D80C65">
      <w:pPr>
        <w:spacing w:after="0" w:line="240" w:lineRule="auto"/>
        <w:ind w:firstLine="567"/>
        <w:jc w:val="both"/>
        <w:rPr>
          <w:rFonts w:ascii="Times New Roman" w:hAnsi="Times New Roman"/>
          <w:color w:val="000000" w:themeColor="text1"/>
          <w:sz w:val="24"/>
          <w:szCs w:val="24"/>
        </w:rPr>
      </w:pPr>
      <w:r w:rsidRPr="00FA5F97">
        <w:rPr>
          <w:rFonts w:ascii="Times New Roman" w:hAnsi="Times New Roman"/>
          <w:color w:val="000000" w:themeColor="text1"/>
          <w:sz w:val="24"/>
          <w:szCs w:val="24"/>
        </w:rPr>
        <w:t>•</w:t>
      </w:r>
      <w:r w:rsidRPr="00FA5F97">
        <w:rPr>
          <w:rFonts w:ascii="Times New Roman" w:hAnsi="Times New Roman"/>
          <w:color w:val="000000" w:themeColor="text1"/>
          <w:sz w:val="24"/>
          <w:szCs w:val="24"/>
        </w:rPr>
        <w:tab/>
        <w:t xml:space="preserve">Jābūt CE zīmes marķējumam un apliecinājumam par </w:t>
      </w:r>
      <w:proofErr w:type="spellStart"/>
      <w:r w:rsidR="00287F49" w:rsidRPr="00FA5F97">
        <w:rPr>
          <w:rFonts w:ascii="Times New Roman" w:hAnsi="Times New Roman"/>
          <w:color w:val="000000" w:themeColor="text1"/>
          <w:sz w:val="24"/>
          <w:szCs w:val="24"/>
        </w:rPr>
        <w:t>Ag</w:t>
      </w:r>
      <w:proofErr w:type="spellEnd"/>
      <w:r w:rsidR="00287F49" w:rsidRPr="00FA5F97">
        <w:rPr>
          <w:rFonts w:ascii="Times New Roman" w:hAnsi="Times New Roman"/>
          <w:color w:val="000000" w:themeColor="text1"/>
          <w:sz w:val="24"/>
          <w:szCs w:val="24"/>
        </w:rPr>
        <w:t xml:space="preserve"> </w:t>
      </w:r>
      <w:r w:rsidRPr="00FA5F97">
        <w:rPr>
          <w:rFonts w:ascii="Times New Roman" w:hAnsi="Times New Roman"/>
          <w:color w:val="000000" w:themeColor="text1"/>
          <w:sz w:val="24"/>
          <w:szCs w:val="24"/>
        </w:rPr>
        <w:t>testu validāciju, attiecībā pret standarta PĶR testu.</w:t>
      </w:r>
    </w:p>
    <w:p w:rsidR="00D80C65" w:rsidRPr="00FA5F97" w:rsidRDefault="00D80C65" w:rsidP="00D80C65">
      <w:pPr>
        <w:spacing w:after="0" w:line="240" w:lineRule="auto"/>
        <w:ind w:firstLine="567"/>
        <w:jc w:val="both"/>
        <w:rPr>
          <w:rFonts w:ascii="Times New Roman" w:hAnsi="Times New Roman"/>
          <w:color w:val="000000" w:themeColor="text1"/>
          <w:sz w:val="24"/>
          <w:szCs w:val="24"/>
        </w:rPr>
      </w:pPr>
      <w:r w:rsidRPr="00FA5F97">
        <w:rPr>
          <w:rFonts w:ascii="Times New Roman" w:hAnsi="Times New Roman"/>
          <w:color w:val="000000" w:themeColor="text1"/>
          <w:sz w:val="24"/>
          <w:szCs w:val="24"/>
        </w:rPr>
        <w:t>•</w:t>
      </w:r>
      <w:r w:rsidRPr="00FA5F97">
        <w:rPr>
          <w:rFonts w:ascii="Times New Roman" w:hAnsi="Times New Roman"/>
          <w:color w:val="000000" w:themeColor="text1"/>
          <w:sz w:val="24"/>
          <w:szCs w:val="24"/>
        </w:rPr>
        <w:tab/>
      </w:r>
      <w:proofErr w:type="spellStart"/>
      <w:r w:rsidR="00287F49" w:rsidRPr="00FA5F97">
        <w:rPr>
          <w:rFonts w:ascii="Times New Roman" w:hAnsi="Times New Roman"/>
          <w:color w:val="000000" w:themeColor="text1"/>
          <w:sz w:val="24"/>
          <w:szCs w:val="24"/>
        </w:rPr>
        <w:t>Ag</w:t>
      </w:r>
      <w:proofErr w:type="spellEnd"/>
      <w:r w:rsidR="00287F49" w:rsidRPr="00FA5F97">
        <w:rPr>
          <w:rFonts w:ascii="Times New Roman" w:hAnsi="Times New Roman"/>
          <w:color w:val="000000" w:themeColor="text1"/>
          <w:sz w:val="24"/>
          <w:szCs w:val="24"/>
        </w:rPr>
        <w:t xml:space="preserve"> </w:t>
      </w:r>
      <w:r w:rsidRPr="00FA5F97">
        <w:rPr>
          <w:rFonts w:ascii="Times New Roman" w:hAnsi="Times New Roman"/>
          <w:color w:val="000000" w:themeColor="text1"/>
          <w:sz w:val="24"/>
          <w:szCs w:val="24"/>
        </w:rPr>
        <w:t xml:space="preserve">testu izvēlei ir ieteicams izmantot Eiropas Komisijas Covid-19 diagnostisko testu datubāzi, kas satur informāciju par </w:t>
      </w:r>
      <w:proofErr w:type="spellStart"/>
      <w:r w:rsidRPr="00FA5F97">
        <w:rPr>
          <w:rFonts w:ascii="Times New Roman" w:hAnsi="Times New Roman"/>
          <w:color w:val="000000" w:themeColor="text1"/>
          <w:sz w:val="24"/>
          <w:szCs w:val="24"/>
        </w:rPr>
        <w:t>Ag</w:t>
      </w:r>
      <w:proofErr w:type="spellEnd"/>
      <w:r w:rsidRPr="00FA5F97">
        <w:rPr>
          <w:rFonts w:ascii="Times New Roman" w:hAnsi="Times New Roman"/>
          <w:color w:val="000000" w:themeColor="text1"/>
          <w:sz w:val="24"/>
          <w:szCs w:val="24"/>
        </w:rPr>
        <w:t xml:space="preserve"> testiem un validācijas pētījumu rezultātiem.</w:t>
      </w:r>
    </w:p>
    <w:p w:rsidR="00D80C65" w:rsidRPr="00FA5F97" w:rsidRDefault="00D80C65" w:rsidP="00D80C65">
      <w:pPr>
        <w:spacing w:after="0" w:line="240" w:lineRule="auto"/>
        <w:ind w:firstLine="567"/>
        <w:jc w:val="both"/>
        <w:rPr>
          <w:rFonts w:ascii="Times New Roman" w:hAnsi="Times New Roman"/>
          <w:color w:val="000000" w:themeColor="text1"/>
          <w:sz w:val="24"/>
          <w:szCs w:val="24"/>
        </w:rPr>
      </w:pPr>
      <w:r w:rsidRPr="00FA5F97">
        <w:rPr>
          <w:rFonts w:ascii="Times New Roman" w:hAnsi="Times New Roman"/>
          <w:color w:val="000000" w:themeColor="text1"/>
          <w:sz w:val="24"/>
          <w:szCs w:val="24"/>
        </w:rPr>
        <w:t>•</w:t>
      </w:r>
      <w:r w:rsidRPr="00FA5F97">
        <w:rPr>
          <w:rFonts w:ascii="Times New Roman" w:hAnsi="Times New Roman"/>
          <w:b/>
          <w:color w:val="000000" w:themeColor="text1"/>
          <w:sz w:val="24"/>
          <w:szCs w:val="24"/>
        </w:rPr>
        <w:tab/>
      </w:r>
      <w:proofErr w:type="spellStart"/>
      <w:r w:rsidR="00287F49" w:rsidRPr="00FA5F97">
        <w:rPr>
          <w:rFonts w:ascii="Times New Roman" w:hAnsi="Times New Roman"/>
          <w:b/>
          <w:color w:val="000000" w:themeColor="text1"/>
          <w:sz w:val="24"/>
          <w:szCs w:val="24"/>
        </w:rPr>
        <w:t>Ag</w:t>
      </w:r>
      <w:proofErr w:type="spellEnd"/>
      <w:r w:rsidR="00287F49" w:rsidRPr="00FA5F97">
        <w:rPr>
          <w:rFonts w:ascii="Times New Roman" w:hAnsi="Times New Roman"/>
          <w:b/>
          <w:color w:val="000000" w:themeColor="text1"/>
          <w:sz w:val="24"/>
          <w:szCs w:val="24"/>
        </w:rPr>
        <w:t xml:space="preserve"> </w:t>
      </w:r>
      <w:r w:rsidR="00D367EF" w:rsidRPr="00FA5F97">
        <w:rPr>
          <w:rFonts w:ascii="Times New Roman" w:hAnsi="Times New Roman"/>
          <w:b/>
          <w:color w:val="000000" w:themeColor="text1"/>
          <w:sz w:val="24"/>
          <w:szCs w:val="24"/>
        </w:rPr>
        <w:t>tes</w:t>
      </w:r>
      <w:r w:rsidRPr="00FA5F97">
        <w:rPr>
          <w:rFonts w:ascii="Times New Roman" w:hAnsi="Times New Roman"/>
          <w:b/>
          <w:color w:val="000000" w:themeColor="text1"/>
          <w:sz w:val="24"/>
          <w:szCs w:val="24"/>
        </w:rPr>
        <w:t xml:space="preserve">tu </w:t>
      </w:r>
      <w:r w:rsidR="00D367EF" w:rsidRPr="00FA5F97">
        <w:rPr>
          <w:rFonts w:ascii="Times New Roman" w:hAnsi="Times New Roman"/>
          <w:b/>
          <w:color w:val="000000" w:themeColor="text1"/>
          <w:sz w:val="24"/>
          <w:szCs w:val="24"/>
        </w:rPr>
        <w:t xml:space="preserve">var </w:t>
      </w:r>
      <w:r w:rsidRPr="00FA5F97">
        <w:rPr>
          <w:rFonts w:ascii="Times New Roman" w:hAnsi="Times New Roman"/>
          <w:b/>
          <w:color w:val="000000" w:themeColor="text1"/>
          <w:sz w:val="24"/>
          <w:szCs w:val="24"/>
        </w:rPr>
        <w:t>vei</w:t>
      </w:r>
      <w:r w:rsidR="00D367EF" w:rsidRPr="00FA5F97">
        <w:rPr>
          <w:rFonts w:ascii="Times New Roman" w:hAnsi="Times New Roman"/>
          <w:b/>
          <w:color w:val="000000" w:themeColor="text1"/>
          <w:sz w:val="24"/>
          <w:szCs w:val="24"/>
        </w:rPr>
        <w:t>kt</w:t>
      </w:r>
      <w:r w:rsidRPr="00FA5F97">
        <w:rPr>
          <w:rFonts w:ascii="Times New Roman" w:hAnsi="Times New Roman"/>
          <w:b/>
          <w:color w:val="000000" w:themeColor="text1"/>
          <w:sz w:val="24"/>
          <w:szCs w:val="24"/>
        </w:rPr>
        <w:t xml:space="preserve"> tikai speciāli apmācīts veselības aprūpes personāls saskaņā ar testa ražotāja norādījumiem.</w:t>
      </w:r>
    </w:p>
    <w:p w:rsidR="00D80C65" w:rsidRPr="00FA5F97" w:rsidRDefault="00D80C65" w:rsidP="00D80C65">
      <w:pPr>
        <w:spacing w:after="0" w:line="240" w:lineRule="auto"/>
        <w:ind w:firstLine="567"/>
        <w:jc w:val="both"/>
        <w:rPr>
          <w:rFonts w:ascii="Times New Roman" w:hAnsi="Times New Roman"/>
          <w:color w:val="000000" w:themeColor="text1"/>
          <w:sz w:val="24"/>
          <w:szCs w:val="24"/>
        </w:rPr>
      </w:pPr>
      <w:r w:rsidRPr="00FA5F97">
        <w:rPr>
          <w:rFonts w:ascii="Times New Roman" w:hAnsi="Times New Roman"/>
          <w:color w:val="000000" w:themeColor="text1"/>
          <w:sz w:val="24"/>
          <w:szCs w:val="24"/>
        </w:rPr>
        <w:t>•</w:t>
      </w:r>
      <w:r w:rsidRPr="00FA5F97">
        <w:rPr>
          <w:rFonts w:ascii="Times New Roman" w:hAnsi="Times New Roman"/>
          <w:color w:val="000000" w:themeColor="text1"/>
          <w:sz w:val="24"/>
          <w:szCs w:val="24"/>
        </w:rPr>
        <w:tab/>
      </w:r>
      <w:r w:rsidR="00D367EF" w:rsidRPr="00FA5F97">
        <w:rPr>
          <w:rFonts w:ascii="Times New Roman" w:hAnsi="Times New Roman"/>
          <w:color w:val="000000" w:themeColor="text1"/>
          <w:sz w:val="24"/>
          <w:szCs w:val="24"/>
        </w:rPr>
        <w:t>Testa veicējiem j</w:t>
      </w:r>
      <w:r w:rsidRPr="00FA5F97">
        <w:rPr>
          <w:rFonts w:ascii="Times New Roman" w:hAnsi="Times New Roman"/>
          <w:color w:val="000000" w:themeColor="text1"/>
          <w:sz w:val="24"/>
          <w:szCs w:val="24"/>
        </w:rPr>
        <w:t>ābūt pieejamiem protokoliem attiecībā uz paraugu pareizu un kvalitatīvu ņemšanu, un jābūt skaidrai lietošanas instrukcijai valsts valodā.</w:t>
      </w:r>
    </w:p>
    <w:p w:rsidR="00D80C65" w:rsidRPr="00FA5F97" w:rsidRDefault="00D80C65" w:rsidP="00D80C65">
      <w:pPr>
        <w:spacing w:after="0" w:line="240" w:lineRule="auto"/>
        <w:ind w:firstLine="567"/>
        <w:jc w:val="both"/>
        <w:rPr>
          <w:rFonts w:ascii="Times New Roman" w:hAnsi="Times New Roman"/>
          <w:color w:val="000000" w:themeColor="text1"/>
          <w:sz w:val="24"/>
          <w:szCs w:val="24"/>
        </w:rPr>
      </w:pPr>
      <w:r w:rsidRPr="00FA5F97">
        <w:rPr>
          <w:rFonts w:ascii="Times New Roman" w:hAnsi="Times New Roman"/>
          <w:color w:val="000000" w:themeColor="text1"/>
          <w:sz w:val="24"/>
          <w:szCs w:val="24"/>
        </w:rPr>
        <w:t>•</w:t>
      </w:r>
      <w:r w:rsidRPr="00FA5F97">
        <w:rPr>
          <w:rFonts w:ascii="Times New Roman" w:hAnsi="Times New Roman"/>
          <w:color w:val="000000" w:themeColor="text1"/>
          <w:sz w:val="24"/>
          <w:szCs w:val="24"/>
        </w:rPr>
        <w:tab/>
        <w:t xml:space="preserve">Ņemot paraugus un rīkojoties ar tiem, stingri jāievēro </w:t>
      </w:r>
      <w:proofErr w:type="spellStart"/>
      <w:r w:rsidRPr="00FA5F97">
        <w:rPr>
          <w:rFonts w:ascii="Times New Roman" w:hAnsi="Times New Roman"/>
          <w:color w:val="000000" w:themeColor="text1"/>
          <w:sz w:val="24"/>
          <w:szCs w:val="24"/>
        </w:rPr>
        <w:t>biodrošības</w:t>
      </w:r>
      <w:proofErr w:type="spellEnd"/>
      <w:r w:rsidRPr="00FA5F97">
        <w:rPr>
          <w:rFonts w:ascii="Times New Roman" w:hAnsi="Times New Roman"/>
          <w:color w:val="000000" w:themeColor="text1"/>
          <w:sz w:val="24"/>
          <w:szCs w:val="24"/>
        </w:rPr>
        <w:t xml:space="preserve"> prasības, kā arī obligāta individuālo aizsardzības līdzekļu pareiza izmantošana.</w:t>
      </w:r>
    </w:p>
    <w:p w:rsidR="00D80C65" w:rsidRPr="00FA5F97" w:rsidRDefault="00D80C65" w:rsidP="00D80C65">
      <w:pPr>
        <w:spacing w:after="0" w:line="240" w:lineRule="auto"/>
        <w:ind w:firstLine="567"/>
        <w:jc w:val="both"/>
        <w:rPr>
          <w:rFonts w:ascii="Times New Roman" w:hAnsi="Times New Roman"/>
          <w:color w:val="000000" w:themeColor="text1"/>
          <w:sz w:val="24"/>
          <w:szCs w:val="24"/>
        </w:rPr>
      </w:pPr>
      <w:r w:rsidRPr="00FA5F97">
        <w:rPr>
          <w:rFonts w:ascii="Times New Roman" w:hAnsi="Times New Roman"/>
          <w:color w:val="000000" w:themeColor="text1"/>
          <w:sz w:val="24"/>
          <w:szCs w:val="24"/>
        </w:rPr>
        <w:t>•</w:t>
      </w:r>
      <w:r w:rsidRPr="00FA5F97">
        <w:rPr>
          <w:rFonts w:ascii="Times New Roman" w:hAnsi="Times New Roman"/>
          <w:color w:val="000000" w:themeColor="text1"/>
          <w:sz w:val="24"/>
          <w:szCs w:val="24"/>
        </w:rPr>
        <w:tab/>
      </w:r>
      <w:r w:rsidR="000457D3" w:rsidRPr="00FA5F97">
        <w:rPr>
          <w:rFonts w:ascii="Times New Roman" w:hAnsi="Times New Roman"/>
          <w:color w:val="000000" w:themeColor="text1"/>
          <w:sz w:val="24"/>
          <w:szCs w:val="24"/>
        </w:rPr>
        <w:t xml:space="preserve">Pozitīva </w:t>
      </w:r>
      <w:proofErr w:type="spellStart"/>
      <w:r w:rsidR="000457D3" w:rsidRPr="00FA5F97">
        <w:rPr>
          <w:rFonts w:ascii="Times New Roman" w:hAnsi="Times New Roman"/>
          <w:color w:val="000000" w:themeColor="text1"/>
          <w:sz w:val="24"/>
          <w:szCs w:val="24"/>
        </w:rPr>
        <w:t>Ag</w:t>
      </w:r>
      <w:proofErr w:type="spellEnd"/>
      <w:r w:rsidR="000457D3" w:rsidRPr="00FA5F97">
        <w:rPr>
          <w:rFonts w:ascii="Times New Roman" w:hAnsi="Times New Roman"/>
          <w:color w:val="000000" w:themeColor="text1"/>
          <w:sz w:val="24"/>
          <w:szCs w:val="24"/>
        </w:rPr>
        <w:t xml:space="preserve"> testa gadījumā j</w:t>
      </w:r>
      <w:r w:rsidRPr="00FA5F97">
        <w:rPr>
          <w:rFonts w:ascii="Times New Roman" w:hAnsi="Times New Roman"/>
          <w:color w:val="000000" w:themeColor="text1"/>
          <w:sz w:val="24"/>
          <w:szCs w:val="24"/>
        </w:rPr>
        <w:t>ābūt iespējai paņemt paraugus apstiprinošai testēšanai ar RT-PĶR.</w:t>
      </w:r>
    </w:p>
    <w:p w:rsidR="00D367EF" w:rsidRPr="00FA5F97" w:rsidRDefault="00D367EF" w:rsidP="00D80C65">
      <w:pPr>
        <w:spacing w:after="0" w:line="240" w:lineRule="auto"/>
        <w:ind w:firstLine="567"/>
        <w:jc w:val="both"/>
        <w:rPr>
          <w:rFonts w:ascii="Times New Roman" w:hAnsi="Times New Roman"/>
          <w:color w:val="000000" w:themeColor="text1"/>
          <w:sz w:val="24"/>
          <w:szCs w:val="24"/>
        </w:rPr>
      </w:pPr>
    </w:p>
    <w:p w:rsidR="00201C11" w:rsidRPr="00FA5F97" w:rsidRDefault="00201C11" w:rsidP="00287F49">
      <w:pPr>
        <w:spacing w:after="0" w:line="240" w:lineRule="auto"/>
        <w:ind w:firstLine="720"/>
        <w:jc w:val="both"/>
        <w:rPr>
          <w:rFonts w:ascii="Times New Roman" w:hAnsi="Times New Roman"/>
          <w:sz w:val="24"/>
          <w:szCs w:val="24"/>
        </w:rPr>
      </w:pPr>
      <w:r w:rsidRPr="00FA5F97">
        <w:rPr>
          <w:rFonts w:ascii="Times New Roman" w:eastAsia="Times New Roman" w:hAnsi="Times New Roman"/>
          <w:sz w:val="24"/>
          <w:szCs w:val="24"/>
          <w:lang w:eastAsia="lv-LV"/>
        </w:rPr>
        <w:t xml:space="preserve">Ņemot vērā, ka </w:t>
      </w:r>
      <w:proofErr w:type="spellStart"/>
      <w:r w:rsidRPr="00FA5F97">
        <w:rPr>
          <w:rFonts w:ascii="Times New Roman" w:eastAsia="Times New Roman" w:hAnsi="Times New Roman"/>
          <w:sz w:val="24"/>
          <w:szCs w:val="24"/>
          <w:lang w:eastAsia="lv-LV"/>
        </w:rPr>
        <w:t>Ag</w:t>
      </w:r>
      <w:proofErr w:type="spellEnd"/>
      <w:r w:rsidRPr="00FA5F97">
        <w:rPr>
          <w:rFonts w:ascii="Times New Roman" w:eastAsia="Times New Roman" w:hAnsi="Times New Roman"/>
          <w:sz w:val="24"/>
          <w:szCs w:val="24"/>
          <w:lang w:eastAsia="lv-LV"/>
        </w:rPr>
        <w:t xml:space="preserve"> testu veikšanai sociālās aprūpes centros </w:t>
      </w:r>
      <w:r w:rsidRPr="00FA5F97">
        <w:rPr>
          <w:rFonts w:ascii="Times New Roman" w:hAnsi="Times New Roman"/>
          <w:sz w:val="24"/>
          <w:szCs w:val="24"/>
        </w:rPr>
        <w:t xml:space="preserve">ir nepieciešami apmācīti veselības aprūpes vai laboratorijas darbinieki, kas nodrošinās paraugu ņemšanu, testēšanu, rezultātu analīzi un ziņošanu par testa rezultātiem, ir skaidrs, ka ne visos sociālās aprūpes centros Latvijā </w:t>
      </w:r>
      <w:proofErr w:type="spellStart"/>
      <w:r w:rsidRPr="00FA5F97">
        <w:rPr>
          <w:rFonts w:ascii="Times New Roman" w:hAnsi="Times New Roman"/>
          <w:sz w:val="24"/>
          <w:szCs w:val="24"/>
        </w:rPr>
        <w:t>Ag</w:t>
      </w:r>
      <w:proofErr w:type="spellEnd"/>
      <w:r w:rsidRPr="00FA5F97">
        <w:rPr>
          <w:rFonts w:ascii="Times New Roman" w:hAnsi="Times New Roman"/>
          <w:sz w:val="24"/>
          <w:szCs w:val="24"/>
        </w:rPr>
        <w:t xml:space="preserve"> testu veikšana būs iespējama</w:t>
      </w:r>
      <w:r w:rsidR="0056497A" w:rsidRPr="00FA5F97">
        <w:rPr>
          <w:rFonts w:ascii="Times New Roman" w:hAnsi="Times New Roman"/>
          <w:sz w:val="24"/>
          <w:szCs w:val="24"/>
        </w:rPr>
        <w:t xml:space="preserve"> un tas ir viens no lielākajiem riskiem, kurus LM ir identificējusi saistībā ar </w:t>
      </w:r>
      <w:proofErr w:type="spellStart"/>
      <w:r w:rsidR="0056497A" w:rsidRPr="00FA5F97">
        <w:rPr>
          <w:rFonts w:ascii="Times New Roman" w:hAnsi="Times New Roman"/>
          <w:sz w:val="24"/>
          <w:szCs w:val="24"/>
        </w:rPr>
        <w:t>Ag</w:t>
      </w:r>
      <w:proofErr w:type="spellEnd"/>
      <w:r w:rsidR="0056497A" w:rsidRPr="00FA5F97">
        <w:rPr>
          <w:rFonts w:ascii="Times New Roman" w:hAnsi="Times New Roman"/>
          <w:sz w:val="24"/>
          <w:szCs w:val="24"/>
        </w:rPr>
        <w:t xml:space="preserve"> testu plānošanu, iepirkšanu un veikšanu</w:t>
      </w:r>
      <w:r w:rsidRPr="00FA5F97">
        <w:rPr>
          <w:rFonts w:ascii="Times New Roman" w:hAnsi="Times New Roman"/>
          <w:sz w:val="24"/>
          <w:szCs w:val="24"/>
        </w:rPr>
        <w:t xml:space="preserve">. Saskaņā ar </w:t>
      </w:r>
      <w:r w:rsidR="00B46483" w:rsidRPr="00FA5F97">
        <w:rPr>
          <w:rFonts w:ascii="Times New Roman" w:hAnsi="Times New Roman"/>
          <w:sz w:val="24"/>
          <w:szCs w:val="24"/>
        </w:rPr>
        <w:t>LM</w:t>
      </w:r>
      <w:r w:rsidRPr="00FA5F97">
        <w:rPr>
          <w:rFonts w:ascii="Times New Roman" w:hAnsi="Times New Roman"/>
          <w:sz w:val="24"/>
          <w:szCs w:val="24"/>
        </w:rPr>
        <w:t xml:space="preserve"> rīcībā esošajiem datiem</w:t>
      </w:r>
      <w:r w:rsidR="00B46483" w:rsidRPr="00FA5F97">
        <w:rPr>
          <w:rFonts w:ascii="Times New Roman" w:hAnsi="Times New Roman"/>
          <w:sz w:val="24"/>
          <w:szCs w:val="24"/>
        </w:rPr>
        <w:t xml:space="preserve"> tikai 36</w:t>
      </w:r>
      <w:r w:rsidR="00157E63" w:rsidRPr="00FA5F97">
        <w:rPr>
          <w:rFonts w:ascii="Times New Roman" w:hAnsi="Times New Roman"/>
          <w:sz w:val="24"/>
          <w:szCs w:val="24"/>
        </w:rPr>
        <w:t xml:space="preserve"> no 215 sociālo pakalpojumu sniedzēju reģistrā reģistrētajiem</w:t>
      </w:r>
      <w:r w:rsidR="00B46483" w:rsidRPr="00FA5F97">
        <w:rPr>
          <w:rFonts w:ascii="Times New Roman" w:hAnsi="Times New Roman"/>
          <w:sz w:val="24"/>
          <w:szCs w:val="24"/>
        </w:rPr>
        <w:t xml:space="preserve"> sociālās aprūpes centri</w:t>
      </w:r>
      <w:r w:rsidR="00157E63" w:rsidRPr="00FA5F97">
        <w:rPr>
          <w:rFonts w:ascii="Times New Roman" w:hAnsi="Times New Roman"/>
          <w:sz w:val="24"/>
          <w:szCs w:val="24"/>
        </w:rPr>
        <w:t>em</w:t>
      </w:r>
      <w:r w:rsidR="00B46483" w:rsidRPr="00FA5F97">
        <w:rPr>
          <w:rFonts w:ascii="Times New Roman" w:hAnsi="Times New Roman"/>
          <w:sz w:val="24"/>
          <w:szCs w:val="24"/>
        </w:rPr>
        <w:t xml:space="preserve"> ir reģistrēti Ārstniecības iestāžu reģistrā (no šiem 22 ir valsts sociālās aprūpes centri) līdz ar to var uzskatīt, ka šajās iestādēs ir ārstniecības persona.</w:t>
      </w:r>
      <w:r w:rsidR="00DA1A98" w:rsidRPr="00FA5F97">
        <w:rPr>
          <w:rFonts w:ascii="Times New Roman" w:hAnsi="Times New Roman"/>
          <w:sz w:val="24"/>
          <w:szCs w:val="24"/>
        </w:rPr>
        <w:t xml:space="preserve"> </w:t>
      </w:r>
      <w:r w:rsidR="00157E63" w:rsidRPr="00FA5F97">
        <w:rPr>
          <w:rFonts w:ascii="Times New Roman" w:hAnsi="Times New Roman"/>
          <w:sz w:val="24"/>
          <w:szCs w:val="24"/>
        </w:rPr>
        <w:t>Līdz ar to pārējos sociālās aprūpes centros n</w:t>
      </w:r>
      <w:r w:rsidR="00DA1A98" w:rsidRPr="00FA5F97">
        <w:rPr>
          <w:rFonts w:ascii="Times New Roman" w:hAnsi="Times New Roman"/>
          <w:sz w:val="24"/>
          <w:szCs w:val="24"/>
        </w:rPr>
        <w:t>epieciešams piesaistīt</w:t>
      </w:r>
      <w:r w:rsidR="00157E63" w:rsidRPr="00FA5F97">
        <w:rPr>
          <w:rFonts w:ascii="Times New Roman" w:hAnsi="Times New Roman"/>
          <w:sz w:val="24"/>
          <w:szCs w:val="24"/>
        </w:rPr>
        <w:t xml:space="preserve"> citus pašvaldībā esošos</w:t>
      </w:r>
      <w:r w:rsidR="00DA1A98" w:rsidRPr="00FA5F97">
        <w:rPr>
          <w:rFonts w:ascii="Times New Roman" w:hAnsi="Times New Roman"/>
          <w:sz w:val="24"/>
          <w:szCs w:val="24"/>
        </w:rPr>
        <w:t xml:space="preserve"> laboratorijas speciālistus, ģimenes ārstu medicīnas māsas vai armijas veselības aprūpes personālu.</w:t>
      </w:r>
    </w:p>
    <w:p w:rsidR="00F02AAB" w:rsidRPr="00FA5F97" w:rsidRDefault="00F02AAB" w:rsidP="00F02AAB">
      <w:pPr>
        <w:spacing w:after="0" w:line="240" w:lineRule="auto"/>
        <w:ind w:firstLine="720"/>
        <w:jc w:val="both"/>
        <w:rPr>
          <w:rFonts w:ascii="Times New Roman" w:hAnsi="Times New Roman"/>
          <w:sz w:val="24"/>
          <w:szCs w:val="24"/>
        </w:rPr>
      </w:pPr>
      <w:r w:rsidRPr="00FA5F97">
        <w:rPr>
          <w:rFonts w:ascii="Times New Roman" w:hAnsi="Times New Roman"/>
          <w:sz w:val="24"/>
          <w:szCs w:val="24"/>
        </w:rPr>
        <w:t>Pirms testa uzsākšanas jāievieš</w:t>
      </w:r>
      <w:r w:rsidR="0039167C" w:rsidRPr="00FA5F97">
        <w:rPr>
          <w:rFonts w:ascii="Times New Roman" w:hAnsi="Times New Roman"/>
          <w:sz w:val="24"/>
          <w:szCs w:val="24"/>
        </w:rPr>
        <w:t xml:space="preserve"> arī</w:t>
      </w:r>
      <w:r w:rsidRPr="00FA5F97">
        <w:rPr>
          <w:rFonts w:ascii="Times New Roman" w:hAnsi="Times New Roman"/>
          <w:sz w:val="24"/>
          <w:szCs w:val="24"/>
        </w:rPr>
        <w:t xml:space="preserve"> atbilstoši bioloģiskās drošības pasākumi. Veicot testēšanu, precīzi jāievēro ražotāja norādījumi par paraugu savākšanu, drošu apstrādi, atkritumu apsaimniekošanu un potenciāli bīstamo materiālu utilizāciju, telpu virsmu dezinfekciju, kā arī jānodrošina obligāta individuālo aizsardzības līdzekļu pareiza izmantošana.</w:t>
      </w:r>
      <w:r w:rsidR="0056497A" w:rsidRPr="00FA5F97">
        <w:rPr>
          <w:rFonts w:ascii="Times New Roman" w:hAnsi="Times New Roman"/>
          <w:sz w:val="24"/>
          <w:szCs w:val="24"/>
        </w:rPr>
        <w:t xml:space="preserve"> </w:t>
      </w:r>
    </w:p>
    <w:p w:rsidR="0094321E" w:rsidRPr="00FA5F97" w:rsidRDefault="0094321E" w:rsidP="00F02AAB">
      <w:pPr>
        <w:spacing w:after="0" w:line="240" w:lineRule="auto"/>
        <w:ind w:firstLine="720"/>
        <w:jc w:val="both"/>
        <w:rPr>
          <w:rFonts w:ascii="Times New Roman" w:hAnsi="Times New Roman"/>
          <w:sz w:val="24"/>
          <w:szCs w:val="24"/>
        </w:rPr>
      </w:pPr>
      <w:r w:rsidRPr="00FA5F97">
        <w:rPr>
          <w:rFonts w:ascii="Times New Roman" w:hAnsi="Times New Roman"/>
          <w:sz w:val="24"/>
          <w:szCs w:val="24"/>
        </w:rPr>
        <w:t xml:space="preserve">Saskaņā ar VSAC “Rīga” pilotprojektu, kura ietvaros </w:t>
      </w:r>
      <w:r w:rsidR="00957CA8" w:rsidRPr="00FA5F97">
        <w:rPr>
          <w:rFonts w:ascii="Times New Roman" w:hAnsi="Times New Roman"/>
          <w:sz w:val="24"/>
          <w:szCs w:val="24"/>
        </w:rPr>
        <w:t xml:space="preserve">no 2021. gada 4. līdz 10. janvārim tika veikts rutīnas </w:t>
      </w:r>
      <w:proofErr w:type="spellStart"/>
      <w:r w:rsidR="00957CA8" w:rsidRPr="00FA5F97">
        <w:rPr>
          <w:rFonts w:ascii="Times New Roman" w:hAnsi="Times New Roman"/>
          <w:sz w:val="24"/>
          <w:szCs w:val="24"/>
        </w:rPr>
        <w:t>skrīnings</w:t>
      </w:r>
      <w:proofErr w:type="spellEnd"/>
      <w:r w:rsidR="00957CA8" w:rsidRPr="00FA5F97">
        <w:rPr>
          <w:rFonts w:ascii="Times New Roman" w:hAnsi="Times New Roman"/>
          <w:sz w:val="24"/>
          <w:szCs w:val="24"/>
        </w:rPr>
        <w:t xml:space="preserve"> darbiniekiem un klientiem izmantojot </w:t>
      </w:r>
      <w:proofErr w:type="spellStart"/>
      <w:r w:rsidR="00957CA8" w:rsidRPr="00FA5F97">
        <w:rPr>
          <w:rFonts w:ascii="Times New Roman" w:hAnsi="Times New Roman"/>
          <w:sz w:val="24"/>
          <w:szCs w:val="24"/>
        </w:rPr>
        <w:t>Ag</w:t>
      </w:r>
      <w:proofErr w:type="spellEnd"/>
      <w:r w:rsidR="00957CA8" w:rsidRPr="00FA5F97">
        <w:rPr>
          <w:rFonts w:ascii="Times New Roman" w:hAnsi="Times New Roman"/>
          <w:sz w:val="24"/>
          <w:szCs w:val="24"/>
        </w:rPr>
        <w:t xml:space="preserve"> testu, viens </w:t>
      </w:r>
      <w:proofErr w:type="spellStart"/>
      <w:r w:rsidR="00957CA8" w:rsidRPr="00FA5F97">
        <w:rPr>
          <w:rFonts w:ascii="Times New Roman" w:hAnsi="Times New Roman"/>
          <w:sz w:val="24"/>
          <w:szCs w:val="24"/>
        </w:rPr>
        <w:t>Ag</w:t>
      </w:r>
      <w:proofErr w:type="spellEnd"/>
      <w:r w:rsidR="00957CA8" w:rsidRPr="00FA5F97">
        <w:rPr>
          <w:rFonts w:ascii="Times New Roman" w:hAnsi="Times New Roman"/>
          <w:sz w:val="24"/>
          <w:szCs w:val="24"/>
        </w:rPr>
        <w:t xml:space="preserve"> tests izmaksā 5.08 EUR</w:t>
      </w:r>
      <w:r w:rsidR="00957CA8" w:rsidRPr="00FA5F97">
        <w:rPr>
          <w:rStyle w:val="FootnoteReference"/>
          <w:rFonts w:ascii="Times New Roman" w:hAnsi="Times New Roman"/>
          <w:sz w:val="24"/>
          <w:szCs w:val="24"/>
        </w:rPr>
        <w:footnoteReference w:id="4"/>
      </w:r>
      <w:r w:rsidR="00957CA8" w:rsidRPr="00FA5F97">
        <w:rPr>
          <w:rFonts w:ascii="Times New Roman" w:hAnsi="Times New Roman"/>
          <w:sz w:val="24"/>
          <w:szCs w:val="24"/>
        </w:rPr>
        <w:t>.</w:t>
      </w:r>
    </w:p>
    <w:p w:rsidR="003B70DC" w:rsidRPr="00FA5F97" w:rsidRDefault="003B70DC" w:rsidP="00F02AAB">
      <w:pPr>
        <w:spacing w:after="0" w:line="240" w:lineRule="auto"/>
        <w:ind w:firstLine="720"/>
        <w:jc w:val="both"/>
        <w:rPr>
          <w:rFonts w:ascii="Times New Roman" w:hAnsi="Times New Roman"/>
          <w:sz w:val="24"/>
          <w:szCs w:val="24"/>
        </w:rPr>
      </w:pPr>
      <w:r w:rsidRPr="00FA5F97">
        <w:rPr>
          <w:rFonts w:ascii="Times New Roman" w:hAnsi="Times New Roman"/>
          <w:sz w:val="24"/>
          <w:szCs w:val="24"/>
        </w:rPr>
        <w:t>Plānotā ietekme uz budžetu ir 523 240 EUR (5.08*103000)</w:t>
      </w:r>
      <w:r w:rsidR="006B2554" w:rsidRPr="00FA5F97">
        <w:rPr>
          <w:rFonts w:ascii="Times New Roman" w:hAnsi="Times New Roman"/>
          <w:sz w:val="24"/>
          <w:szCs w:val="24"/>
        </w:rPr>
        <w:t xml:space="preserve"> mēnesī.</w:t>
      </w:r>
    </w:p>
    <w:p w:rsidR="00287F49" w:rsidRDefault="00274A04" w:rsidP="00F02AAB">
      <w:pPr>
        <w:spacing w:after="0" w:line="240" w:lineRule="auto"/>
        <w:jc w:val="both"/>
        <w:rPr>
          <w:rFonts w:ascii="Times New Roman" w:hAnsi="Times New Roman"/>
          <w:sz w:val="24"/>
          <w:szCs w:val="24"/>
        </w:rPr>
      </w:pPr>
      <w:r w:rsidRPr="00FA5F97">
        <w:rPr>
          <w:rFonts w:ascii="Times New Roman" w:hAnsi="Times New Roman"/>
          <w:sz w:val="24"/>
          <w:szCs w:val="24"/>
        </w:rPr>
        <w:tab/>
        <w:t xml:space="preserve">Nepieciešamos </w:t>
      </w:r>
      <w:proofErr w:type="spellStart"/>
      <w:r w:rsidRPr="00FA5F97">
        <w:rPr>
          <w:rFonts w:ascii="Times New Roman" w:hAnsi="Times New Roman"/>
          <w:sz w:val="24"/>
          <w:szCs w:val="24"/>
        </w:rPr>
        <w:t>Ag</w:t>
      </w:r>
      <w:proofErr w:type="spellEnd"/>
      <w:r w:rsidRPr="00FA5F97">
        <w:rPr>
          <w:rFonts w:ascii="Times New Roman" w:hAnsi="Times New Roman"/>
          <w:sz w:val="24"/>
          <w:szCs w:val="24"/>
        </w:rPr>
        <w:t xml:space="preserve"> testus saskaņā ar </w:t>
      </w:r>
      <w:r w:rsidRPr="00FA5F97">
        <w:rPr>
          <w:rFonts w:ascii="Times New Roman" w:hAnsi="Times New Roman"/>
          <w:color w:val="000000" w:themeColor="text1"/>
          <w:sz w:val="24"/>
          <w:szCs w:val="24"/>
        </w:rPr>
        <w:t xml:space="preserve">Ministru kabineta 2020. gada </w:t>
      </w:r>
      <w:r w:rsidRPr="00FA5F97">
        <w:rPr>
          <w:rFonts w:ascii="Times New Roman" w:eastAsia="Times New Roman" w:hAnsi="Times New Roman"/>
          <w:color w:val="000000" w:themeColor="text1"/>
          <w:sz w:val="24"/>
          <w:szCs w:val="24"/>
        </w:rPr>
        <w:t>9. jūnija noteikumos Nr. 380 “Noteikumi par prioritāro institūciju un vajadzību sarakstā iekļautajām institūcijām  nepieciešamajiem epidemioloģiskās drošības nodrošināšanas resursiem” noteikto</w:t>
      </w:r>
      <w:r w:rsidRPr="00FA5F97">
        <w:rPr>
          <w:rFonts w:ascii="Times New Roman" w:hAnsi="Times New Roman"/>
          <w:sz w:val="24"/>
          <w:szCs w:val="24"/>
        </w:rPr>
        <w:t xml:space="preserve"> iegādāsies </w:t>
      </w:r>
      <w:r w:rsidR="00EE2B0D">
        <w:rPr>
          <w:rFonts w:ascii="Times New Roman" w:hAnsi="Times New Roman"/>
          <w:sz w:val="24"/>
          <w:szCs w:val="24"/>
        </w:rPr>
        <w:t>Valsts aizsardzības loģistikas un iepirkumu centrs un tos izsniegs Valsts ugunsdzēsības un glābšanas dienests.</w:t>
      </w:r>
    </w:p>
    <w:p w:rsidR="00EE2B0D" w:rsidRPr="00FA5F97" w:rsidRDefault="00EE2B0D" w:rsidP="00F02AA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C376B2">
        <w:rPr>
          <w:rFonts w:ascii="Times New Roman" w:hAnsi="Times New Roman"/>
          <w:color w:val="000000" w:themeColor="text1"/>
          <w:sz w:val="24"/>
          <w:szCs w:val="24"/>
        </w:rPr>
        <w:t xml:space="preserve">Nepieciešamos līdzekļus </w:t>
      </w:r>
      <w:proofErr w:type="spellStart"/>
      <w:r w:rsidR="00C376B2">
        <w:rPr>
          <w:rFonts w:ascii="Times New Roman" w:hAnsi="Times New Roman"/>
          <w:color w:val="000000" w:themeColor="text1"/>
          <w:sz w:val="24"/>
          <w:szCs w:val="24"/>
        </w:rPr>
        <w:t>Ag</w:t>
      </w:r>
      <w:proofErr w:type="spellEnd"/>
      <w:r w:rsidR="00C376B2">
        <w:rPr>
          <w:rFonts w:ascii="Times New Roman" w:hAnsi="Times New Roman"/>
          <w:color w:val="000000" w:themeColor="text1"/>
          <w:sz w:val="24"/>
          <w:szCs w:val="24"/>
        </w:rPr>
        <w:t xml:space="preserve"> testu iegādei plānots piešķirt no valsts budžeta līdzekļiem neparedzētiem gadījumiem</w:t>
      </w:r>
      <w:r w:rsidR="00C376B2">
        <w:rPr>
          <w:rStyle w:val="FootnoteReference"/>
          <w:rFonts w:ascii="Times New Roman" w:hAnsi="Times New Roman"/>
          <w:color w:val="000000" w:themeColor="text1"/>
          <w:sz w:val="24"/>
          <w:szCs w:val="24"/>
        </w:rPr>
        <w:footnoteReference w:id="5"/>
      </w:r>
      <w:r w:rsidR="00523400">
        <w:rPr>
          <w:rFonts w:ascii="Times New Roman" w:hAnsi="Times New Roman"/>
          <w:color w:val="000000" w:themeColor="text1"/>
          <w:sz w:val="24"/>
          <w:szCs w:val="24"/>
        </w:rPr>
        <w:t>.</w:t>
      </w:r>
    </w:p>
    <w:p w:rsidR="00FE6B5B" w:rsidRPr="00FA5F97" w:rsidRDefault="00FE6B5B" w:rsidP="00FE6B5B">
      <w:pPr>
        <w:spacing w:after="0" w:line="240" w:lineRule="auto"/>
        <w:ind w:firstLine="567"/>
        <w:jc w:val="both"/>
        <w:rPr>
          <w:rFonts w:ascii="Times New Roman" w:eastAsia="Times New Roman" w:hAnsi="Times New Roman"/>
          <w:color w:val="000000" w:themeColor="text1"/>
          <w:sz w:val="24"/>
          <w:szCs w:val="24"/>
        </w:rPr>
      </w:pPr>
      <w:r w:rsidRPr="00FA5F97">
        <w:rPr>
          <w:rFonts w:ascii="Times New Roman" w:hAnsi="Times New Roman"/>
          <w:color w:val="000000" w:themeColor="text1"/>
          <w:sz w:val="24"/>
          <w:szCs w:val="24"/>
        </w:rPr>
        <w:t xml:space="preserve">Lai nodrošinātu, ka valsts un pašvaldību sociālās aprūpes centros tiek uzsākta eksprestestu veikšana, </w:t>
      </w:r>
      <w:r w:rsidR="00A57362" w:rsidRPr="00FA5F97">
        <w:rPr>
          <w:rFonts w:ascii="Times New Roman" w:hAnsi="Times New Roman"/>
          <w:color w:val="000000" w:themeColor="text1"/>
          <w:sz w:val="24"/>
          <w:szCs w:val="24"/>
        </w:rPr>
        <w:t>LM sagatavos nepieciešamos grozījumus</w:t>
      </w:r>
      <w:r w:rsidR="002F4134" w:rsidRPr="00FA5F97">
        <w:rPr>
          <w:rFonts w:ascii="Times New Roman" w:hAnsi="Times New Roman"/>
          <w:color w:val="000000" w:themeColor="text1"/>
          <w:sz w:val="24"/>
          <w:szCs w:val="24"/>
        </w:rPr>
        <w:t xml:space="preserve"> Ministru kabineta 2020. gada 6. novembra noteikumos Nr. 655 “Par ārkārtējās situācijas izsludināšanu”, lai noteiktu, ka testēšana ar eksprestestu ir obligāta visu valsts un pašvaldību sociālās aprūpes centru darbiniekiem, kā arī grozījumus Ministru kabineta 2020. gada </w:t>
      </w:r>
      <w:r w:rsidR="002F4134" w:rsidRPr="00FA5F97">
        <w:rPr>
          <w:rFonts w:ascii="Times New Roman" w:eastAsia="Times New Roman" w:hAnsi="Times New Roman"/>
          <w:color w:val="000000" w:themeColor="text1"/>
          <w:sz w:val="24"/>
          <w:szCs w:val="24"/>
        </w:rPr>
        <w:t>9. jūnija noteikumos Nr. 380 “Noteikumi par prioritāro institūciju un vajadzību sarakstā iekļautajām institūcijām  nepieciešamajiem epidemioloģiskās drošības nodrošināšanas resursiem”, iekļaujot eksprestestus institūcijām nepieciešamo epidemioloģiskās drošības resursu sarakstā.</w:t>
      </w:r>
    </w:p>
    <w:p w:rsidR="00132233" w:rsidRPr="00FA5F97" w:rsidRDefault="00132233" w:rsidP="00FE6B5B">
      <w:pPr>
        <w:spacing w:after="0" w:line="240" w:lineRule="auto"/>
        <w:ind w:firstLine="567"/>
        <w:jc w:val="both"/>
        <w:rPr>
          <w:rFonts w:ascii="Times New Roman" w:hAnsi="Times New Roman"/>
          <w:color w:val="000000" w:themeColor="text1"/>
          <w:sz w:val="24"/>
          <w:szCs w:val="24"/>
        </w:rPr>
      </w:pPr>
    </w:p>
    <w:tbl>
      <w:tblPr>
        <w:tblW w:w="8364" w:type="dxa"/>
        <w:tblLayout w:type="fixed"/>
        <w:tblLook w:val="00A0" w:firstRow="1" w:lastRow="0" w:firstColumn="1" w:lastColumn="0" w:noHBand="0" w:noVBand="0"/>
      </w:tblPr>
      <w:tblGrid>
        <w:gridCol w:w="2268"/>
        <w:gridCol w:w="3686"/>
        <w:gridCol w:w="2410"/>
      </w:tblGrid>
      <w:tr w:rsidR="00132233" w:rsidRPr="00FA5F97" w:rsidTr="000908A0">
        <w:trPr>
          <w:trHeight w:val="932"/>
        </w:trPr>
        <w:tc>
          <w:tcPr>
            <w:tcW w:w="2268" w:type="dxa"/>
            <w:hideMark/>
          </w:tcPr>
          <w:p w:rsidR="00132233" w:rsidRPr="00FA5F97" w:rsidRDefault="00132233" w:rsidP="006F4A72">
            <w:pPr>
              <w:spacing w:after="0" w:line="240" w:lineRule="auto"/>
              <w:jc w:val="both"/>
              <w:rPr>
                <w:rFonts w:ascii="Times New Roman" w:eastAsia="Times New Roman" w:hAnsi="Times New Roman" w:cs="Times New Roman"/>
                <w:sz w:val="24"/>
                <w:szCs w:val="24"/>
                <w:lang w:eastAsia="lv-LV"/>
              </w:rPr>
            </w:pPr>
          </w:p>
          <w:p w:rsidR="00132233" w:rsidRPr="00FA5F97" w:rsidRDefault="00132233" w:rsidP="006F4A72">
            <w:pPr>
              <w:spacing w:after="0" w:line="240" w:lineRule="auto"/>
              <w:jc w:val="both"/>
              <w:rPr>
                <w:rFonts w:ascii="Times New Roman" w:eastAsia="Times New Roman" w:hAnsi="Times New Roman" w:cs="Times New Roman"/>
                <w:sz w:val="24"/>
                <w:szCs w:val="24"/>
                <w:lang w:eastAsia="lv-LV"/>
              </w:rPr>
            </w:pPr>
            <w:r w:rsidRPr="00FA5F97">
              <w:rPr>
                <w:rFonts w:ascii="Times New Roman" w:eastAsia="Times New Roman" w:hAnsi="Times New Roman" w:cs="Times New Roman"/>
                <w:sz w:val="24"/>
                <w:szCs w:val="24"/>
                <w:lang w:eastAsia="lv-LV"/>
              </w:rPr>
              <w:t>Labklājības ministre</w:t>
            </w:r>
          </w:p>
          <w:p w:rsidR="00132233" w:rsidRPr="00FA5F97" w:rsidRDefault="00132233" w:rsidP="006F4A72">
            <w:pPr>
              <w:spacing w:after="0" w:line="240" w:lineRule="auto"/>
              <w:jc w:val="both"/>
              <w:rPr>
                <w:rFonts w:ascii="Times New Roman" w:eastAsia="Times New Roman" w:hAnsi="Times New Roman" w:cs="Times New Roman"/>
                <w:sz w:val="24"/>
                <w:szCs w:val="24"/>
                <w:lang w:eastAsia="lv-LV"/>
              </w:rPr>
            </w:pPr>
          </w:p>
        </w:tc>
        <w:tc>
          <w:tcPr>
            <w:tcW w:w="3686" w:type="dxa"/>
            <w:hideMark/>
          </w:tcPr>
          <w:p w:rsidR="00132233" w:rsidRPr="00FA5F97" w:rsidRDefault="00132233" w:rsidP="006F4A72">
            <w:pPr>
              <w:spacing w:after="0" w:line="240" w:lineRule="auto"/>
              <w:jc w:val="center"/>
              <w:rPr>
                <w:rFonts w:ascii="Times New Roman" w:eastAsia="Times New Roman" w:hAnsi="Times New Roman" w:cs="Times New Roman"/>
                <w:i/>
                <w:iCs/>
                <w:sz w:val="24"/>
                <w:szCs w:val="24"/>
                <w:lang w:eastAsia="lv-LV"/>
              </w:rPr>
            </w:pPr>
          </w:p>
          <w:p w:rsidR="00132233" w:rsidRPr="00FA5F97" w:rsidRDefault="00132233" w:rsidP="006F4A72">
            <w:pPr>
              <w:spacing w:after="0" w:line="240" w:lineRule="auto"/>
              <w:jc w:val="center"/>
              <w:rPr>
                <w:rFonts w:ascii="Times New Roman" w:eastAsia="Times New Roman" w:hAnsi="Times New Roman" w:cs="Times New Roman"/>
                <w:i/>
                <w:iCs/>
                <w:sz w:val="24"/>
                <w:szCs w:val="24"/>
                <w:lang w:eastAsia="lv-LV"/>
              </w:rPr>
            </w:pPr>
            <w:bookmarkStart w:id="0" w:name="_GoBack"/>
            <w:bookmarkEnd w:id="0"/>
          </w:p>
        </w:tc>
        <w:tc>
          <w:tcPr>
            <w:tcW w:w="2410" w:type="dxa"/>
            <w:hideMark/>
          </w:tcPr>
          <w:p w:rsidR="00132233" w:rsidRPr="00FA5F97" w:rsidRDefault="00132233" w:rsidP="006F4A72">
            <w:pPr>
              <w:spacing w:after="0" w:line="240" w:lineRule="auto"/>
              <w:ind w:left="-390" w:firstLine="425"/>
              <w:jc w:val="both"/>
              <w:rPr>
                <w:rFonts w:ascii="Times New Roman" w:eastAsia="Times New Roman" w:hAnsi="Times New Roman" w:cs="Times New Roman"/>
                <w:sz w:val="24"/>
                <w:szCs w:val="24"/>
                <w:lang w:eastAsia="lv-LV"/>
              </w:rPr>
            </w:pPr>
          </w:p>
          <w:p w:rsidR="00132233" w:rsidRPr="00FA5F97" w:rsidRDefault="00132233" w:rsidP="006F4A72">
            <w:pPr>
              <w:spacing w:after="0" w:line="240" w:lineRule="auto"/>
              <w:ind w:left="-390"/>
              <w:jc w:val="right"/>
              <w:rPr>
                <w:rFonts w:ascii="Times New Roman" w:eastAsia="Times New Roman" w:hAnsi="Times New Roman" w:cs="Times New Roman"/>
                <w:sz w:val="24"/>
                <w:szCs w:val="24"/>
                <w:lang w:eastAsia="lv-LV"/>
              </w:rPr>
            </w:pPr>
            <w:r w:rsidRPr="00FA5F97">
              <w:rPr>
                <w:rFonts w:ascii="Times New Roman" w:eastAsia="Times New Roman" w:hAnsi="Times New Roman" w:cs="Times New Roman"/>
                <w:sz w:val="24"/>
                <w:szCs w:val="24"/>
                <w:lang w:eastAsia="lv-LV"/>
              </w:rPr>
              <w:t xml:space="preserve">Ramona </w:t>
            </w:r>
            <w:proofErr w:type="spellStart"/>
            <w:r w:rsidRPr="00FA5F97">
              <w:rPr>
                <w:rFonts w:ascii="Times New Roman" w:eastAsia="Times New Roman" w:hAnsi="Times New Roman" w:cs="Times New Roman"/>
                <w:sz w:val="24"/>
                <w:szCs w:val="24"/>
                <w:lang w:eastAsia="lv-LV"/>
              </w:rPr>
              <w:t>Petraviča</w:t>
            </w:r>
            <w:proofErr w:type="spellEnd"/>
          </w:p>
        </w:tc>
      </w:tr>
    </w:tbl>
    <w:p w:rsidR="00132233" w:rsidRPr="00FA5F97" w:rsidRDefault="00132233" w:rsidP="00132233">
      <w:pPr>
        <w:spacing w:after="0" w:line="240" w:lineRule="auto"/>
        <w:jc w:val="both"/>
        <w:rPr>
          <w:rFonts w:ascii="Times New Roman" w:eastAsia="Times New Roman" w:hAnsi="Times New Roman" w:cs="Times New Roman"/>
          <w:sz w:val="24"/>
          <w:szCs w:val="24"/>
          <w:lang w:eastAsia="lv-LV"/>
        </w:rPr>
      </w:pPr>
    </w:p>
    <w:p w:rsidR="00132233" w:rsidRPr="00FA5F97" w:rsidRDefault="00132233" w:rsidP="00132233">
      <w:pPr>
        <w:spacing w:after="0" w:line="240" w:lineRule="auto"/>
        <w:jc w:val="both"/>
        <w:rPr>
          <w:rFonts w:ascii="Times New Roman" w:eastAsia="Times New Roman" w:hAnsi="Times New Roman" w:cs="Times New Roman"/>
          <w:sz w:val="18"/>
          <w:szCs w:val="18"/>
          <w:lang w:eastAsia="lv-LV"/>
        </w:rPr>
      </w:pPr>
    </w:p>
    <w:p w:rsidR="00AC5EA8" w:rsidRDefault="00AC5EA8" w:rsidP="00132233">
      <w:pPr>
        <w:spacing w:after="0" w:line="240" w:lineRule="auto"/>
        <w:jc w:val="both"/>
        <w:rPr>
          <w:rFonts w:ascii="Times New Roman" w:eastAsia="Times New Roman" w:hAnsi="Times New Roman" w:cs="Times New Roman"/>
          <w:sz w:val="18"/>
          <w:szCs w:val="18"/>
          <w:lang w:eastAsia="lv-LV"/>
        </w:rPr>
      </w:pPr>
    </w:p>
    <w:p w:rsidR="00132233" w:rsidRPr="00FA5F97" w:rsidRDefault="00132233" w:rsidP="00132233">
      <w:pPr>
        <w:spacing w:after="0" w:line="240" w:lineRule="auto"/>
        <w:jc w:val="both"/>
        <w:rPr>
          <w:rFonts w:ascii="Times New Roman" w:eastAsia="Times New Roman" w:hAnsi="Times New Roman" w:cs="Times New Roman"/>
          <w:sz w:val="18"/>
          <w:szCs w:val="18"/>
          <w:lang w:eastAsia="lv-LV"/>
        </w:rPr>
      </w:pPr>
      <w:r w:rsidRPr="00FA5F97">
        <w:rPr>
          <w:rFonts w:ascii="Times New Roman" w:eastAsia="Times New Roman" w:hAnsi="Times New Roman" w:cs="Times New Roman"/>
          <w:sz w:val="18"/>
          <w:szCs w:val="18"/>
          <w:lang w:eastAsia="lv-LV"/>
        </w:rPr>
        <w:t>Martinsone, 64331825</w:t>
      </w:r>
    </w:p>
    <w:p w:rsidR="00132233" w:rsidRPr="00AC5EA8" w:rsidRDefault="00763008" w:rsidP="00AC5EA8">
      <w:pPr>
        <w:spacing w:after="0" w:line="240" w:lineRule="auto"/>
        <w:jc w:val="both"/>
        <w:rPr>
          <w:rFonts w:ascii="Times New Roman" w:eastAsia="Times New Roman" w:hAnsi="Times New Roman" w:cs="Times New Roman"/>
          <w:color w:val="0000FF"/>
          <w:sz w:val="18"/>
          <w:szCs w:val="18"/>
          <w:u w:val="single"/>
          <w:lang w:eastAsia="lv-LV"/>
        </w:rPr>
      </w:pPr>
      <w:hyperlink r:id="rId8" w:history="1">
        <w:r w:rsidR="00132233" w:rsidRPr="00FA5F97">
          <w:rPr>
            <w:rStyle w:val="Hyperlink"/>
            <w:rFonts w:ascii="Times New Roman" w:eastAsia="Times New Roman" w:hAnsi="Times New Roman" w:cs="Times New Roman"/>
            <w:sz w:val="18"/>
            <w:szCs w:val="18"/>
            <w:lang w:eastAsia="lv-LV"/>
          </w:rPr>
          <w:t>inga.martinsone@lm.gov.lv</w:t>
        </w:r>
      </w:hyperlink>
    </w:p>
    <w:sectPr w:rsidR="00132233" w:rsidRPr="00AC5EA8" w:rsidSect="00BA6827">
      <w:pgSz w:w="11906" w:h="16838"/>
      <w:pgMar w:top="1276" w:right="17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008" w:rsidRDefault="00763008" w:rsidP="00286DB8">
      <w:pPr>
        <w:spacing w:after="0" w:line="240" w:lineRule="auto"/>
      </w:pPr>
      <w:r>
        <w:separator/>
      </w:r>
    </w:p>
  </w:endnote>
  <w:endnote w:type="continuationSeparator" w:id="0">
    <w:p w:rsidR="00763008" w:rsidRDefault="00763008" w:rsidP="0028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008" w:rsidRDefault="00763008" w:rsidP="00286DB8">
      <w:pPr>
        <w:spacing w:after="0" w:line="240" w:lineRule="auto"/>
      </w:pPr>
      <w:r>
        <w:separator/>
      </w:r>
    </w:p>
  </w:footnote>
  <w:footnote w:type="continuationSeparator" w:id="0">
    <w:p w:rsidR="00763008" w:rsidRDefault="00763008" w:rsidP="00286DB8">
      <w:pPr>
        <w:spacing w:after="0" w:line="240" w:lineRule="auto"/>
      </w:pPr>
      <w:r>
        <w:continuationSeparator/>
      </w:r>
    </w:p>
  </w:footnote>
  <w:footnote w:id="1">
    <w:p w:rsidR="00F37B8B" w:rsidRDefault="00F37B8B" w:rsidP="00F37B8B">
      <w:pPr>
        <w:pStyle w:val="FootnoteText"/>
      </w:pPr>
      <w:r>
        <w:rPr>
          <w:rStyle w:val="FootnoteReference"/>
        </w:rPr>
        <w:footnoteRef/>
      </w:r>
      <w:r>
        <w:t xml:space="preserve"> </w:t>
      </w:r>
      <w:r>
        <w:rPr>
          <w:rFonts w:ascii="Times New Roman" w:hAnsi="Times New Roman"/>
          <w:iCs/>
          <w:color w:val="000000" w:themeColor="text1"/>
        </w:rPr>
        <w:t>P</w:t>
      </w:r>
      <w:r w:rsidRPr="00876B57">
        <w:rPr>
          <w:rFonts w:ascii="Times New Roman" w:hAnsi="Times New Roman"/>
          <w:iCs/>
          <w:color w:val="000000" w:themeColor="text1"/>
        </w:rPr>
        <w:t xml:space="preserve">ieder pie specifisko </w:t>
      </w:r>
      <w:proofErr w:type="spellStart"/>
      <w:r w:rsidRPr="00876B57">
        <w:rPr>
          <w:rFonts w:ascii="Times New Roman" w:hAnsi="Times New Roman"/>
          <w:iCs/>
          <w:color w:val="000000" w:themeColor="text1"/>
        </w:rPr>
        <w:t>imūnķīmisko</w:t>
      </w:r>
      <w:proofErr w:type="spellEnd"/>
      <w:r w:rsidRPr="00876B57">
        <w:rPr>
          <w:rFonts w:ascii="Times New Roman" w:hAnsi="Times New Roman"/>
          <w:iCs/>
          <w:color w:val="000000" w:themeColor="text1"/>
        </w:rPr>
        <w:t xml:space="preserve"> izmeklējumu metožu grupas, kas nosaka specifiska SARS-CoV-2 vīrusa antigēna klātbūtni.</w:t>
      </w:r>
    </w:p>
  </w:footnote>
  <w:footnote w:id="2">
    <w:p w:rsidR="00F37B8B" w:rsidRDefault="00F37B8B">
      <w:pPr>
        <w:pStyle w:val="FootnoteText"/>
      </w:pPr>
      <w:r>
        <w:rPr>
          <w:rStyle w:val="FootnoteReference"/>
        </w:rPr>
        <w:footnoteRef/>
      </w:r>
      <w:r>
        <w:t xml:space="preserve"> </w:t>
      </w:r>
      <w:hyperlink r:id="rId1" w:history="1">
        <w:r w:rsidRPr="003352AD">
          <w:rPr>
            <w:rStyle w:val="Hyperlink"/>
          </w:rPr>
          <w:t>https://www.ecdc.europa.eu/sites/default/files/documents/Increase-fatal-cases-of-COVID-19-among-long-term-care-facility-residents.pdf</w:t>
        </w:r>
      </w:hyperlink>
    </w:p>
  </w:footnote>
  <w:footnote w:id="3">
    <w:p w:rsidR="009D4A8A" w:rsidRDefault="009D4A8A">
      <w:pPr>
        <w:pStyle w:val="FootnoteText"/>
      </w:pPr>
      <w:r>
        <w:rPr>
          <w:rStyle w:val="FootnoteReference"/>
        </w:rPr>
        <w:footnoteRef/>
      </w:r>
      <w:r>
        <w:t xml:space="preserve"> Dati iegūti aptaujājot visus sociālās aprūpes centrus par nepieciešamo testu skaitu.</w:t>
      </w:r>
    </w:p>
  </w:footnote>
  <w:footnote w:id="4">
    <w:p w:rsidR="00957CA8" w:rsidRDefault="00957CA8">
      <w:pPr>
        <w:pStyle w:val="FootnoteText"/>
      </w:pPr>
      <w:r>
        <w:rPr>
          <w:rStyle w:val="FootnoteReference"/>
        </w:rPr>
        <w:footnoteRef/>
      </w:r>
      <w:r>
        <w:t xml:space="preserve"> 25 testi</w:t>
      </w:r>
      <w:r w:rsidR="00002C57">
        <w:t xml:space="preserve"> saskaņā ar VSAC “Rīga” datiem</w:t>
      </w:r>
      <w:r>
        <w:t xml:space="preserve"> izmaksā 127 EUR</w:t>
      </w:r>
      <w:r w:rsidR="00C376B2">
        <w:t>.</w:t>
      </w:r>
    </w:p>
  </w:footnote>
  <w:footnote w:id="5">
    <w:p w:rsidR="00C376B2" w:rsidRDefault="00C376B2">
      <w:pPr>
        <w:pStyle w:val="FootnoteText"/>
      </w:pPr>
      <w:r>
        <w:rPr>
          <w:rStyle w:val="FootnoteReference"/>
        </w:rPr>
        <w:footnoteRef/>
      </w:r>
      <w:r>
        <w:t xml:space="preserve"> MK 2021. gada 12. janvāra sēdes protokola Nr. 4 1.</w:t>
      </w:r>
      <w:r w:rsidRPr="00C376B2">
        <w:t>§</w:t>
      </w:r>
      <w:r>
        <w:t xml:space="preserve"> 6. 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407A2"/>
    <w:multiLevelType w:val="hybridMultilevel"/>
    <w:tmpl w:val="0ACEFC14"/>
    <w:lvl w:ilvl="0" w:tplc="8B6E984C">
      <w:start w:val="5"/>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0F"/>
    <w:rsid w:val="00002C57"/>
    <w:rsid w:val="00034A0F"/>
    <w:rsid w:val="000408B8"/>
    <w:rsid w:val="000457D3"/>
    <w:rsid w:val="00046392"/>
    <w:rsid w:val="00070FFE"/>
    <w:rsid w:val="000908A0"/>
    <w:rsid w:val="00132233"/>
    <w:rsid w:val="00157E63"/>
    <w:rsid w:val="001644BD"/>
    <w:rsid w:val="001C1860"/>
    <w:rsid w:val="00201C11"/>
    <w:rsid w:val="00274A04"/>
    <w:rsid w:val="00286DB8"/>
    <w:rsid w:val="00287F49"/>
    <w:rsid w:val="002B0326"/>
    <w:rsid w:val="002F4134"/>
    <w:rsid w:val="003721CF"/>
    <w:rsid w:val="0039167C"/>
    <w:rsid w:val="003B70DC"/>
    <w:rsid w:val="003F3D4A"/>
    <w:rsid w:val="0045329E"/>
    <w:rsid w:val="00523400"/>
    <w:rsid w:val="00563263"/>
    <w:rsid w:val="0056497A"/>
    <w:rsid w:val="006B2554"/>
    <w:rsid w:val="00713A42"/>
    <w:rsid w:val="007400D3"/>
    <w:rsid w:val="00763008"/>
    <w:rsid w:val="00770E42"/>
    <w:rsid w:val="00785142"/>
    <w:rsid w:val="007D035C"/>
    <w:rsid w:val="00876B57"/>
    <w:rsid w:val="008955ED"/>
    <w:rsid w:val="0094321E"/>
    <w:rsid w:val="00957CA8"/>
    <w:rsid w:val="009D4A8A"/>
    <w:rsid w:val="00A237AC"/>
    <w:rsid w:val="00A25C9B"/>
    <w:rsid w:val="00A522BC"/>
    <w:rsid w:val="00A57362"/>
    <w:rsid w:val="00AC10DC"/>
    <w:rsid w:val="00AC5EA8"/>
    <w:rsid w:val="00B46483"/>
    <w:rsid w:val="00B827C7"/>
    <w:rsid w:val="00BA6827"/>
    <w:rsid w:val="00BE73A3"/>
    <w:rsid w:val="00C376B2"/>
    <w:rsid w:val="00D367EF"/>
    <w:rsid w:val="00D80C65"/>
    <w:rsid w:val="00DA1A98"/>
    <w:rsid w:val="00E4507A"/>
    <w:rsid w:val="00EE2B0D"/>
    <w:rsid w:val="00F02AAB"/>
    <w:rsid w:val="00F25C91"/>
    <w:rsid w:val="00F37B8B"/>
    <w:rsid w:val="00F80594"/>
    <w:rsid w:val="00FA5F97"/>
    <w:rsid w:val="00FE6B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B35D2-6DDB-46A7-8A72-D4E4CAB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6DB8"/>
    <w:rPr>
      <w:color w:val="0000FF"/>
      <w:u w:val="single"/>
    </w:rPr>
  </w:style>
  <w:style w:type="paragraph" w:styleId="FootnoteText">
    <w:name w:val="footnote text"/>
    <w:basedOn w:val="Normal"/>
    <w:link w:val="FootnoteTextChar"/>
    <w:uiPriority w:val="99"/>
    <w:semiHidden/>
    <w:unhideWhenUsed/>
    <w:rsid w:val="00286DB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86DB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86DB8"/>
    <w:rPr>
      <w:vertAlign w:val="superscript"/>
    </w:rPr>
  </w:style>
  <w:style w:type="character" w:styleId="UnresolvedMention">
    <w:name w:val="Unresolved Mention"/>
    <w:basedOn w:val="DefaultParagraphFont"/>
    <w:uiPriority w:val="99"/>
    <w:semiHidden/>
    <w:unhideWhenUsed/>
    <w:rsid w:val="00F37B8B"/>
    <w:rPr>
      <w:color w:val="605E5C"/>
      <w:shd w:val="clear" w:color="auto" w:fill="E1DFDD"/>
    </w:rPr>
  </w:style>
  <w:style w:type="paragraph" w:styleId="ListParagraph">
    <w:name w:val="List Paragraph"/>
    <w:basedOn w:val="Normal"/>
    <w:uiPriority w:val="34"/>
    <w:qFormat/>
    <w:rsid w:val="00A522BC"/>
    <w:pPr>
      <w:ind w:left="720"/>
      <w:contextualSpacing/>
    </w:pPr>
  </w:style>
  <w:style w:type="character" w:styleId="CommentReference">
    <w:name w:val="annotation reference"/>
    <w:basedOn w:val="DefaultParagraphFont"/>
    <w:uiPriority w:val="99"/>
    <w:semiHidden/>
    <w:unhideWhenUsed/>
    <w:rsid w:val="00DA1A98"/>
    <w:rPr>
      <w:sz w:val="16"/>
      <w:szCs w:val="16"/>
    </w:rPr>
  </w:style>
  <w:style w:type="paragraph" w:styleId="CommentText">
    <w:name w:val="annotation text"/>
    <w:basedOn w:val="Normal"/>
    <w:link w:val="CommentTextChar"/>
    <w:uiPriority w:val="99"/>
    <w:semiHidden/>
    <w:unhideWhenUsed/>
    <w:rsid w:val="00DA1A98"/>
    <w:pPr>
      <w:spacing w:line="240" w:lineRule="auto"/>
    </w:pPr>
    <w:rPr>
      <w:sz w:val="20"/>
      <w:szCs w:val="20"/>
    </w:rPr>
  </w:style>
  <w:style w:type="character" w:customStyle="1" w:styleId="CommentTextChar">
    <w:name w:val="Comment Text Char"/>
    <w:basedOn w:val="DefaultParagraphFont"/>
    <w:link w:val="CommentText"/>
    <w:uiPriority w:val="99"/>
    <w:semiHidden/>
    <w:rsid w:val="00DA1A98"/>
    <w:rPr>
      <w:sz w:val="20"/>
      <w:szCs w:val="20"/>
    </w:rPr>
  </w:style>
  <w:style w:type="paragraph" w:styleId="BalloonText">
    <w:name w:val="Balloon Text"/>
    <w:basedOn w:val="Normal"/>
    <w:link w:val="BalloonTextChar"/>
    <w:uiPriority w:val="99"/>
    <w:semiHidden/>
    <w:unhideWhenUsed/>
    <w:rsid w:val="00DA1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72352">
      <w:bodyDiv w:val="1"/>
      <w:marLeft w:val="0"/>
      <w:marRight w:val="0"/>
      <w:marTop w:val="0"/>
      <w:marBottom w:val="0"/>
      <w:divBdr>
        <w:top w:val="none" w:sz="0" w:space="0" w:color="auto"/>
        <w:left w:val="none" w:sz="0" w:space="0" w:color="auto"/>
        <w:bottom w:val="none" w:sz="0" w:space="0" w:color="auto"/>
        <w:right w:val="none" w:sz="0" w:space="0" w:color="auto"/>
      </w:divBdr>
    </w:div>
    <w:div w:id="1590694865">
      <w:bodyDiv w:val="1"/>
      <w:marLeft w:val="0"/>
      <w:marRight w:val="0"/>
      <w:marTop w:val="0"/>
      <w:marBottom w:val="0"/>
      <w:divBdr>
        <w:top w:val="none" w:sz="0" w:space="0" w:color="auto"/>
        <w:left w:val="none" w:sz="0" w:space="0" w:color="auto"/>
        <w:bottom w:val="none" w:sz="0" w:space="0" w:color="auto"/>
        <w:right w:val="none" w:sz="0" w:space="0" w:color="auto"/>
      </w:divBdr>
    </w:div>
    <w:div w:id="17877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martinsone@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sites/default/files/documents/Increase-fatal-cases-of-COVID-19-among-long-term-care-facility-resi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717A-CC8F-4D9D-B626-C356860B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5011</Words>
  <Characters>2857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Martinsone</dc:creator>
  <cp:keywords/>
  <dc:description/>
  <cp:lastModifiedBy>Baiba Veberste-Šimčuka</cp:lastModifiedBy>
  <cp:revision>37</cp:revision>
  <dcterms:created xsi:type="dcterms:W3CDTF">2021-01-13T07:09:00Z</dcterms:created>
  <dcterms:modified xsi:type="dcterms:W3CDTF">2021-01-14T06:47:00Z</dcterms:modified>
</cp:coreProperties>
</file>