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1A603" w14:textId="77777777" w:rsidR="002F281C" w:rsidRDefault="002F281C" w:rsidP="009919CF">
      <w:pPr>
        <w:tabs>
          <w:tab w:val="left" w:pos="6804"/>
        </w:tabs>
        <w:rPr>
          <w:sz w:val="28"/>
          <w:szCs w:val="28"/>
        </w:rPr>
      </w:pPr>
    </w:p>
    <w:p w14:paraId="1343E05C" w14:textId="3B8C0A6C" w:rsidR="002F281C" w:rsidRPr="00A81F12" w:rsidRDefault="002F281C" w:rsidP="00A81F12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>202</w:t>
      </w:r>
      <w:r>
        <w:rPr>
          <w:sz w:val="28"/>
          <w:szCs w:val="28"/>
        </w:rPr>
        <w:t>0</w:t>
      </w:r>
      <w:r w:rsidRPr="00A81F12">
        <w:rPr>
          <w:sz w:val="28"/>
          <w:szCs w:val="28"/>
        </w:rPr>
        <w:t xml:space="preserve">. gada </w:t>
      </w:r>
      <w:r w:rsidR="001725C5">
        <w:rPr>
          <w:sz w:val="28"/>
          <w:szCs w:val="28"/>
        </w:rPr>
        <w:t>7. janvārī</w:t>
      </w:r>
      <w:r w:rsidRPr="00A81F12">
        <w:rPr>
          <w:sz w:val="28"/>
          <w:szCs w:val="28"/>
        </w:rPr>
        <w:tab/>
        <w:t>Noteikumi Nr.</w:t>
      </w:r>
      <w:r w:rsidR="001725C5">
        <w:rPr>
          <w:sz w:val="28"/>
          <w:szCs w:val="28"/>
        </w:rPr>
        <w:t> 3</w:t>
      </w:r>
    </w:p>
    <w:p w14:paraId="2E02E37E" w14:textId="69F81EDC" w:rsidR="002F281C" w:rsidRPr="00A81F12" w:rsidRDefault="002F281C" w:rsidP="00A81F12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1725C5">
        <w:rPr>
          <w:sz w:val="28"/>
          <w:szCs w:val="28"/>
        </w:rPr>
        <w:t> 2 1</w:t>
      </w:r>
      <w:bookmarkStart w:id="0" w:name="_GoBack"/>
      <w:bookmarkEnd w:id="0"/>
      <w:r w:rsidRPr="00A81F12">
        <w:rPr>
          <w:sz w:val="28"/>
          <w:szCs w:val="28"/>
        </w:rPr>
        <w:t>. §)</w:t>
      </w:r>
    </w:p>
    <w:p w14:paraId="6CDE1464" w14:textId="77777777" w:rsidR="009919CF" w:rsidRPr="00F37A8E" w:rsidRDefault="009919CF" w:rsidP="002F281C">
      <w:pPr>
        <w:ind w:right="-1"/>
        <w:rPr>
          <w:bCs/>
        </w:rPr>
      </w:pPr>
    </w:p>
    <w:p w14:paraId="1EC13E23" w14:textId="3476C703" w:rsidR="009919CF" w:rsidRPr="00FB47BE" w:rsidRDefault="009919CF" w:rsidP="009919CF">
      <w:pPr>
        <w:jc w:val="center"/>
        <w:rPr>
          <w:b/>
          <w:sz w:val="28"/>
          <w:szCs w:val="28"/>
        </w:rPr>
      </w:pPr>
      <w:bookmarkStart w:id="1" w:name="_Hlk56766757"/>
      <w:r w:rsidRPr="00DB4F0A">
        <w:rPr>
          <w:b/>
          <w:sz w:val="28"/>
          <w:szCs w:val="28"/>
        </w:rPr>
        <w:t>Grozījumi Ministru kabineta 2013.</w:t>
      </w:r>
      <w:r w:rsidR="00A46E3D">
        <w:rPr>
          <w:b/>
          <w:sz w:val="28"/>
          <w:szCs w:val="28"/>
        </w:rPr>
        <w:t> gada 29. janvāra noteikumos Nr. </w:t>
      </w:r>
      <w:r w:rsidRPr="00DB4F0A">
        <w:rPr>
          <w:b/>
          <w:sz w:val="28"/>
          <w:szCs w:val="28"/>
        </w:rPr>
        <w:t>66</w:t>
      </w:r>
      <w:r>
        <w:rPr>
          <w:b/>
          <w:sz w:val="28"/>
          <w:szCs w:val="28"/>
        </w:rPr>
        <w:t xml:space="preserve"> </w:t>
      </w:r>
      <w:r w:rsidR="00A46E3D">
        <w:rPr>
          <w:b/>
          <w:sz w:val="28"/>
          <w:szCs w:val="28"/>
        </w:rPr>
        <w:t>"</w:t>
      </w:r>
      <w:r w:rsidRPr="00DB4F0A">
        <w:rPr>
          <w:b/>
          <w:sz w:val="28"/>
          <w:szCs w:val="28"/>
        </w:rPr>
        <w:t>Noteikumi par valsts un pašvaldību institūciju amatpersonu un darbinieku darba samaksu un tās noteikšanas kārtību</w:t>
      </w:r>
      <w:r w:rsidR="00A46E3D">
        <w:rPr>
          <w:b/>
          <w:sz w:val="28"/>
          <w:szCs w:val="28"/>
        </w:rPr>
        <w:t>"</w:t>
      </w:r>
    </w:p>
    <w:bookmarkEnd w:id="1"/>
    <w:p w14:paraId="767982D4" w14:textId="77777777" w:rsidR="009919CF" w:rsidRPr="00F37A8E" w:rsidRDefault="009919CF" w:rsidP="002C7E1F">
      <w:pPr>
        <w:ind w:right="-1"/>
        <w:rPr>
          <w:bCs/>
        </w:rPr>
      </w:pPr>
    </w:p>
    <w:p w14:paraId="312B36C0" w14:textId="77777777" w:rsidR="002C7E1F" w:rsidRDefault="009919CF" w:rsidP="009919CF">
      <w:pPr>
        <w:pStyle w:val="Title"/>
        <w:ind w:firstLine="709"/>
        <w:jc w:val="right"/>
        <w:outlineLvl w:val="0"/>
        <w:rPr>
          <w:szCs w:val="28"/>
          <w:lang w:eastAsia="lv-LV"/>
        </w:rPr>
      </w:pPr>
      <w:r w:rsidRPr="00114AC1">
        <w:rPr>
          <w:szCs w:val="28"/>
          <w:lang w:eastAsia="lv-LV"/>
        </w:rPr>
        <w:t xml:space="preserve">Izdoti saskaņā ar </w:t>
      </w:r>
    </w:p>
    <w:p w14:paraId="3B6D8E97" w14:textId="77777777" w:rsidR="002C7E1F" w:rsidRDefault="00BC2182" w:rsidP="009919CF">
      <w:pPr>
        <w:pStyle w:val="Title"/>
        <w:ind w:firstLine="709"/>
        <w:jc w:val="right"/>
        <w:outlineLvl w:val="0"/>
        <w:rPr>
          <w:rStyle w:val="Hyperlink"/>
          <w:color w:val="auto"/>
          <w:szCs w:val="28"/>
          <w:u w:val="none"/>
          <w:lang w:eastAsia="lv-LV"/>
        </w:rPr>
      </w:pPr>
      <w:r>
        <w:fldChar w:fldCharType="begin"/>
      </w:r>
      <w:r>
        <w:instrText xml:space="preserve"> HYPERLINK "https://likumi.lv/ta/id/202273-valsts-un-pasvaldibu-instituciju-amatpersonu-un-darbinieku-atlidzibas-likums" \t "_blank" </w:instrText>
      </w:r>
      <w:r>
        <w:fldChar w:fldCharType="separate"/>
      </w:r>
      <w:r w:rsidR="009919CF" w:rsidRPr="00A46E3D">
        <w:rPr>
          <w:rStyle w:val="Hyperlink"/>
          <w:color w:val="auto"/>
          <w:szCs w:val="28"/>
          <w:u w:val="none"/>
          <w:lang w:eastAsia="lv-LV"/>
        </w:rPr>
        <w:t xml:space="preserve">Valsts un pašvaldību institūciju </w:t>
      </w:r>
    </w:p>
    <w:p w14:paraId="0DD7ED97" w14:textId="77777777" w:rsidR="002C7E1F" w:rsidRDefault="009919CF" w:rsidP="009919CF">
      <w:pPr>
        <w:pStyle w:val="Title"/>
        <w:ind w:firstLine="709"/>
        <w:jc w:val="right"/>
        <w:outlineLvl w:val="0"/>
        <w:rPr>
          <w:szCs w:val="28"/>
          <w:lang w:eastAsia="lv-LV"/>
        </w:rPr>
      </w:pPr>
      <w:r w:rsidRPr="00A46E3D">
        <w:rPr>
          <w:rStyle w:val="Hyperlink"/>
          <w:color w:val="auto"/>
          <w:szCs w:val="28"/>
          <w:u w:val="none"/>
          <w:lang w:eastAsia="lv-LV"/>
        </w:rPr>
        <w:t>amatpersonu un darbinieku atlīdzības likuma</w:t>
      </w:r>
      <w:r w:rsidR="00BC2182">
        <w:rPr>
          <w:rStyle w:val="Hyperlink"/>
          <w:color w:val="auto"/>
          <w:szCs w:val="28"/>
          <w:u w:val="none"/>
          <w:lang w:eastAsia="lv-LV"/>
        </w:rPr>
        <w:fldChar w:fldCharType="end"/>
      </w:r>
      <w:r w:rsidRPr="00A46E3D">
        <w:rPr>
          <w:szCs w:val="28"/>
          <w:lang w:eastAsia="lv-LV"/>
        </w:rPr>
        <w:t xml:space="preserve"> </w:t>
      </w:r>
    </w:p>
    <w:p w14:paraId="1B41CE4B" w14:textId="33910B5F" w:rsidR="002C7E1F" w:rsidRDefault="001725C5" w:rsidP="009919CF">
      <w:pPr>
        <w:pStyle w:val="Title"/>
        <w:ind w:firstLine="709"/>
        <w:jc w:val="right"/>
        <w:outlineLvl w:val="0"/>
        <w:rPr>
          <w:szCs w:val="28"/>
          <w:lang w:eastAsia="lv-LV"/>
        </w:rPr>
      </w:pPr>
      <w:hyperlink r:id="rId6" w:anchor="p7" w:tgtFrame="_blank" w:history="1">
        <w:r w:rsidR="009919CF" w:rsidRPr="00A46E3D">
          <w:rPr>
            <w:rStyle w:val="Hyperlink"/>
            <w:color w:val="auto"/>
            <w:szCs w:val="28"/>
            <w:u w:val="none"/>
            <w:lang w:eastAsia="lv-LV"/>
          </w:rPr>
          <w:t>7</w:t>
        </w:r>
        <w:r w:rsidR="002C7E1F">
          <w:rPr>
            <w:rStyle w:val="Hyperlink"/>
            <w:color w:val="auto"/>
            <w:szCs w:val="28"/>
            <w:u w:val="none"/>
            <w:lang w:eastAsia="lv-LV"/>
          </w:rPr>
          <w:t>. </w:t>
        </w:r>
        <w:r w:rsidR="009919CF" w:rsidRPr="00A46E3D">
          <w:rPr>
            <w:rStyle w:val="Hyperlink"/>
            <w:color w:val="auto"/>
            <w:szCs w:val="28"/>
            <w:u w:val="none"/>
            <w:lang w:eastAsia="lv-LV"/>
          </w:rPr>
          <w:t>panta</w:t>
        </w:r>
      </w:hyperlink>
      <w:r w:rsidR="009919CF" w:rsidRPr="00A46E3D">
        <w:rPr>
          <w:szCs w:val="28"/>
          <w:lang w:eastAsia="lv-LV"/>
        </w:rPr>
        <w:t xml:space="preserve"> ceturto daļu, </w:t>
      </w:r>
      <w:hyperlink r:id="rId7" w:anchor="p7.1" w:tgtFrame="_blank" w:history="1">
        <w:r w:rsidR="009919CF" w:rsidRPr="00A46E3D">
          <w:rPr>
            <w:rStyle w:val="Hyperlink"/>
            <w:color w:val="auto"/>
            <w:szCs w:val="28"/>
            <w:u w:val="none"/>
            <w:lang w:eastAsia="lv-LV"/>
          </w:rPr>
          <w:t>7.</w:t>
        </w:r>
        <w:r w:rsidR="009919CF" w:rsidRPr="00A46E3D">
          <w:rPr>
            <w:rStyle w:val="Hyperlink"/>
            <w:color w:val="auto"/>
            <w:szCs w:val="28"/>
            <w:u w:val="none"/>
            <w:vertAlign w:val="superscript"/>
            <w:lang w:eastAsia="lv-LV"/>
          </w:rPr>
          <w:t>1</w:t>
        </w:r>
      </w:hyperlink>
      <w:r w:rsidR="009919CF" w:rsidRPr="00A46E3D">
        <w:rPr>
          <w:szCs w:val="28"/>
          <w:lang w:eastAsia="lv-LV"/>
        </w:rPr>
        <w:t xml:space="preserve">, </w:t>
      </w:r>
      <w:hyperlink r:id="rId8" w:anchor="p13.1" w:tgtFrame="_blank" w:history="1">
        <w:r w:rsidR="009919CF" w:rsidRPr="00A46E3D">
          <w:rPr>
            <w:rStyle w:val="Hyperlink"/>
            <w:color w:val="auto"/>
            <w:szCs w:val="28"/>
            <w:u w:val="none"/>
            <w:lang w:eastAsia="lv-LV"/>
          </w:rPr>
          <w:t>13.</w:t>
        </w:r>
        <w:r w:rsidR="009919CF" w:rsidRPr="00A46E3D">
          <w:rPr>
            <w:rStyle w:val="Hyperlink"/>
            <w:color w:val="auto"/>
            <w:szCs w:val="28"/>
            <w:u w:val="none"/>
            <w:vertAlign w:val="superscript"/>
            <w:lang w:eastAsia="lv-LV"/>
          </w:rPr>
          <w:t>1</w:t>
        </w:r>
      </w:hyperlink>
      <w:r w:rsidR="00BC2182" w:rsidRPr="00A46E3D">
        <w:rPr>
          <w:szCs w:val="28"/>
          <w:lang w:eastAsia="lv-LV"/>
        </w:rPr>
        <w:t>,</w:t>
      </w:r>
      <w:r w:rsidR="009919CF" w:rsidRPr="00A46E3D">
        <w:rPr>
          <w:szCs w:val="28"/>
          <w:lang w:eastAsia="lv-LV"/>
        </w:rPr>
        <w:t xml:space="preserve"> </w:t>
      </w:r>
      <w:hyperlink r:id="rId9" w:anchor="p13.4" w:tgtFrame="_blank" w:history="1">
        <w:r w:rsidR="00BC2182" w:rsidRPr="00A46E3D">
          <w:rPr>
            <w:rStyle w:val="Hyperlink"/>
            <w:color w:val="auto"/>
            <w:szCs w:val="28"/>
            <w:u w:val="none"/>
            <w:lang w:eastAsia="lv-LV"/>
          </w:rPr>
          <w:t>13.</w:t>
        </w:r>
        <w:r w:rsidR="00BC2182" w:rsidRPr="00A46E3D">
          <w:rPr>
            <w:rStyle w:val="Hyperlink"/>
            <w:color w:val="auto"/>
            <w:szCs w:val="28"/>
            <w:u w:val="none"/>
            <w:vertAlign w:val="superscript"/>
            <w:lang w:eastAsia="lv-LV"/>
          </w:rPr>
          <w:t>4</w:t>
        </w:r>
      </w:hyperlink>
      <w:r w:rsidR="00BC2182" w:rsidRPr="00F37A8E">
        <w:rPr>
          <w:rStyle w:val="Hyperlink"/>
          <w:color w:val="auto"/>
          <w:szCs w:val="28"/>
          <w:u w:val="none"/>
          <w:lang w:eastAsia="lv-LV"/>
        </w:rPr>
        <w:t xml:space="preserve"> </w:t>
      </w:r>
      <w:r w:rsidR="009919CF" w:rsidRPr="00A46E3D">
        <w:rPr>
          <w:szCs w:val="28"/>
          <w:lang w:eastAsia="lv-LV"/>
        </w:rPr>
        <w:t xml:space="preserve">un </w:t>
      </w:r>
      <w:hyperlink r:id="rId10" w:anchor="p13.4" w:tgtFrame="_blank" w:history="1">
        <w:r w:rsidR="00BC2182" w:rsidRPr="00A46E3D">
          <w:rPr>
            <w:rStyle w:val="Hyperlink"/>
            <w:color w:val="auto"/>
            <w:szCs w:val="28"/>
            <w:u w:val="none"/>
            <w:lang w:eastAsia="lv-LV"/>
          </w:rPr>
          <w:t>13.</w:t>
        </w:r>
        <w:r w:rsidR="00BC2182">
          <w:rPr>
            <w:rStyle w:val="Hyperlink"/>
            <w:color w:val="auto"/>
            <w:szCs w:val="28"/>
            <w:u w:val="none"/>
            <w:vertAlign w:val="superscript"/>
            <w:lang w:eastAsia="lv-LV"/>
          </w:rPr>
          <w:t>8</w:t>
        </w:r>
      </w:hyperlink>
      <w:r w:rsidR="00BC2182">
        <w:rPr>
          <w:rStyle w:val="Hyperlink"/>
          <w:color w:val="auto"/>
          <w:szCs w:val="28"/>
          <w:u w:val="none"/>
          <w:vertAlign w:val="superscript"/>
          <w:lang w:eastAsia="lv-LV"/>
        </w:rPr>
        <w:t> </w:t>
      </w:r>
      <w:r w:rsidR="002C7E1F">
        <w:rPr>
          <w:rStyle w:val="Hyperlink"/>
          <w:color w:val="auto"/>
          <w:szCs w:val="28"/>
          <w:u w:val="none"/>
          <w:lang w:eastAsia="lv-LV"/>
        </w:rPr>
        <w:t>pantu</w:t>
      </w:r>
      <w:r w:rsidR="009919CF" w:rsidRPr="00A46E3D">
        <w:t>,</w:t>
      </w:r>
    </w:p>
    <w:p w14:paraId="2E9CEF1C" w14:textId="09C4B4CE" w:rsidR="009919CF" w:rsidRDefault="001725C5" w:rsidP="009919CF">
      <w:pPr>
        <w:pStyle w:val="Title"/>
        <w:ind w:firstLine="709"/>
        <w:jc w:val="right"/>
        <w:outlineLvl w:val="0"/>
        <w:rPr>
          <w:szCs w:val="28"/>
        </w:rPr>
      </w:pPr>
      <w:hyperlink r:id="rId11" w:anchor="p15" w:tgtFrame="_blank" w:history="1">
        <w:r w:rsidR="009919CF" w:rsidRPr="00A46E3D">
          <w:rPr>
            <w:rStyle w:val="Hyperlink"/>
            <w:color w:val="auto"/>
            <w:szCs w:val="28"/>
            <w:u w:val="none"/>
            <w:lang w:eastAsia="lv-LV"/>
          </w:rPr>
          <w:t>15</w:t>
        </w:r>
        <w:r w:rsidR="002C7E1F">
          <w:rPr>
            <w:rStyle w:val="Hyperlink"/>
            <w:color w:val="auto"/>
            <w:szCs w:val="28"/>
            <w:u w:val="none"/>
            <w:lang w:eastAsia="lv-LV"/>
          </w:rPr>
          <w:t>. </w:t>
        </w:r>
        <w:r w:rsidR="009919CF" w:rsidRPr="00A46E3D">
          <w:rPr>
            <w:rStyle w:val="Hyperlink"/>
            <w:color w:val="auto"/>
            <w:szCs w:val="28"/>
            <w:u w:val="none"/>
            <w:lang w:eastAsia="lv-LV"/>
          </w:rPr>
          <w:t>panta</w:t>
        </w:r>
      </w:hyperlink>
      <w:r w:rsidR="009919CF" w:rsidRPr="00A46E3D">
        <w:rPr>
          <w:szCs w:val="28"/>
          <w:lang w:eastAsia="lv-LV"/>
        </w:rPr>
        <w:t xml:space="preserve"> pirmo daļu un </w:t>
      </w:r>
      <w:hyperlink r:id="rId12" w:anchor="p16" w:tgtFrame="_blank" w:history="1">
        <w:r w:rsidR="009919CF" w:rsidRPr="00A46E3D">
          <w:rPr>
            <w:rStyle w:val="Hyperlink"/>
            <w:color w:val="auto"/>
            <w:szCs w:val="28"/>
            <w:u w:val="none"/>
            <w:lang w:eastAsia="lv-LV"/>
          </w:rPr>
          <w:t>16</w:t>
        </w:r>
        <w:r w:rsidR="002C7E1F">
          <w:rPr>
            <w:rStyle w:val="Hyperlink"/>
            <w:color w:val="auto"/>
            <w:szCs w:val="28"/>
            <w:u w:val="none"/>
            <w:lang w:eastAsia="lv-LV"/>
          </w:rPr>
          <w:t>. </w:t>
        </w:r>
        <w:r w:rsidR="009919CF" w:rsidRPr="00A46E3D">
          <w:rPr>
            <w:rStyle w:val="Hyperlink"/>
            <w:color w:val="auto"/>
            <w:szCs w:val="28"/>
            <w:u w:val="none"/>
            <w:lang w:eastAsia="lv-LV"/>
          </w:rPr>
          <w:t>panta</w:t>
        </w:r>
      </w:hyperlink>
      <w:r w:rsidR="009919CF" w:rsidRPr="00A46E3D">
        <w:rPr>
          <w:szCs w:val="28"/>
          <w:lang w:eastAsia="lv-LV"/>
        </w:rPr>
        <w:t xml:space="preserve"> o</w:t>
      </w:r>
      <w:r w:rsidR="009919CF" w:rsidRPr="00114AC1">
        <w:rPr>
          <w:szCs w:val="28"/>
          <w:lang w:eastAsia="lv-LV"/>
        </w:rPr>
        <w:t>tro daļu</w:t>
      </w:r>
    </w:p>
    <w:p w14:paraId="3D2A595A" w14:textId="77777777" w:rsidR="009919CF" w:rsidRPr="002F281C" w:rsidRDefault="009919CF" w:rsidP="009919CF">
      <w:pPr>
        <w:pStyle w:val="Title"/>
        <w:ind w:firstLine="709"/>
        <w:jc w:val="both"/>
        <w:outlineLvl w:val="0"/>
        <w:rPr>
          <w:sz w:val="24"/>
          <w:szCs w:val="18"/>
        </w:rPr>
      </w:pPr>
    </w:p>
    <w:p w14:paraId="1CB29C1A" w14:textId="46993601" w:rsidR="009919CF" w:rsidRDefault="009919CF" w:rsidP="002F281C">
      <w:pPr>
        <w:pStyle w:val="Title"/>
        <w:ind w:firstLine="709"/>
        <w:jc w:val="both"/>
        <w:outlineLvl w:val="0"/>
      </w:pPr>
      <w:r w:rsidRPr="00DB4F0A">
        <w:t>Izdarīt Ministru kabineta 2013</w:t>
      </w:r>
      <w:r w:rsidR="002C7E1F">
        <w:t>. </w:t>
      </w:r>
      <w:r w:rsidRPr="00DB4F0A">
        <w:t>gada 29</w:t>
      </w:r>
      <w:r w:rsidR="002C7E1F">
        <w:t>. </w:t>
      </w:r>
      <w:r w:rsidR="00A46E3D">
        <w:t>janvāra noteikumos Nr</w:t>
      </w:r>
      <w:r w:rsidR="002C7E1F">
        <w:t>. </w:t>
      </w:r>
      <w:r w:rsidRPr="00DB4F0A">
        <w:t xml:space="preserve">66 </w:t>
      </w:r>
      <w:r w:rsidR="00A46E3D">
        <w:t>"</w:t>
      </w:r>
      <w:r w:rsidRPr="00DB4F0A">
        <w:t>Noteikumi par valsts un pašvaldību institūciju amatpersonu un darbinieku darba samaksu un tās noteikšanas kārtību</w:t>
      </w:r>
      <w:r w:rsidR="00A46E3D">
        <w:t>"</w:t>
      </w:r>
      <w:r w:rsidRPr="00DB4F0A">
        <w:t xml:space="preserve"> (</w:t>
      </w:r>
      <w:r w:rsidRPr="00C86A31">
        <w:t>Latvijas Vēstnesis, 2013, 25., 189., 244</w:t>
      </w:r>
      <w:r w:rsidR="002C7E1F">
        <w:t>. </w:t>
      </w:r>
      <w:r w:rsidRPr="00C86A31">
        <w:t>nr.; 2015, 4., 247</w:t>
      </w:r>
      <w:r w:rsidR="002C7E1F">
        <w:t>. </w:t>
      </w:r>
      <w:r w:rsidRPr="00C86A31">
        <w:t>nr.; 2016, 201., 250</w:t>
      </w:r>
      <w:r w:rsidR="002C7E1F">
        <w:t>. </w:t>
      </w:r>
      <w:r w:rsidRPr="00C86A31">
        <w:t>nr.</w:t>
      </w:r>
      <w:r>
        <w:t>; 2017, 237</w:t>
      </w:r>
      <w:r w:rsidR="002C7E1F">
        <w:t>. </w:t>
      </w:r>
      <w:r>
        <w:t>nr.</w:t>
      </w:r>
      <w:r w:rsidR="00BC2182">
        <w:t>, 2020, 247. nr.</w:t>
      </w:r>
      <w:r w:rsidRPr="00C86A31">
        <w:t>)</w:t>
      </w:r>
      <w:r>
        <w:t xml:space="preserve"> </w:t>
      </w:r>
      <w:r w:rsidRPr="00DB4F0A">
        <w:t>šādus grozījumus:</w:t>
      </w:r>
    </w:p>
    <w:p w14:paraId="5170CF3A" w14:textId="77777777" w:rsidR="002F281C" w:rsidRPr="002F281C" w:rsidRDefault="002F281C" w:rsidP="002F281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14:paraId="1EACBE4A" w14:textId="5E6E1679" w:rsidR="00A46E3D" w:rsidRDefault="00A46E3D" w:rsidP="002F281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6E3D">
        <w:rPr>
          <w:sz w:val="28"/>
          <w:szCs w:val="28"/>
        </w:rPr>
        <w:t>1</w:t>
      </w:r>
      <w:r w:rsidR="002C7E1F">
        <w:rPr>
          <w:sz w:val="28"/>
          <w:szCs w:val="28"/>
        </w:rPr>
        <w:t>. </w:t>
      </w:r>
      <w:r w:rsidR="002F281C" w:rsidRPr="00A46E3D">
        <w:rPr>
          <w:sz w:val="28"/>
          <w:szCs w:val="28"/>
        </w:rPr>
        <w:t xml:space="preserve">Izteikt </w:t>
      </w:r>
      <w:r w:rsidRPr="00A46E3D">
        <w:rPr>
          <w:sz w:val="28"/>
          <w:szCs w:val="28"/>
        </w:rPr>
        <w:t>2</w:t>
      </w:r>
      <w:r w:rsidR="002C7E1F">
        <w:rPr>
          <w:sz w:val="28"/>
          <w:szCs w:val="28"/>
        </w:rPr>
        <w:t>. </w:t>
      </w:r>
      <w:r w:rsidR="00F35539" w:rsidRPr="00A46E3D">
        <w:rPr>
          <w:sz w:val="28"/>
          <w:szCs w:val="28"/>
        </w:rPr>
        <w:t>pielikum</w:t>
      </w:r>
      <w:r w:rsidR="00F35539">
        <w:rPr>
          <w:sz w:val="28"/>
          <w:szCs w:val="28"/>
        </w:rPr>
        <w:t>ā norādītās</w:t>
      </w:r>
      <w:r w:rsidR="00F35539" w:rsidRPr="00A46E3D">
        <w:rPr>
          <w:sz w:val="28"/>
          <w:szCs w:val="28"/>
        </w:rPr>
        <w:t xml:space="preserve"> </w:t>
      </w:r>
      <w:r w:rsidRPr="00A46E3D">
        <w:rPr>
          <w:sz w:val="28"/>
          <w:szCs w:val="28"/>
        </w:rPr>
        <w:t>4., 3., 2. un 1</w:t>
      </w:r>
      <w:r w:rsidR="002C7E1F">
        <w:rPr>
          <w:sz w:val="28"/>
          <w:szCs w:val="28"/>
        </w:rPr>
        <w:t>. </w:t>
      </w:r>
      <w:r w:rsidRPr="00A46E3D">
        <w:rPr>
          <w:sz w:val="28"/>
          <w:szCs w:val="28"/>
        </w:rPr>
        <w:t>mēnešalgu grupas attiecīgos mēnešalgu apmērus šādā redakcijā:</w:t>
      </w:r>
    </w:p>
    <w:p w14:paraId="43DDEB66" w14:textId="77777777" w:rsidR="002F281C" w:rsidRPr="00F37A8E" w:rsidRDefault="002F281C" w:rsidP="002F281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414142"/>
          <w:left w:val="single" w:sz="4" w:space="0" w:color="414142"/>
          <w:bottom w:val="single" w:sz="4" w:space="0" w:color="414142"/>
          <w:right w:val="single" w:sz="4" w:space="0" w:color="414142"/>
          <w:insideH w:val="single" w:sz="4" w:space="0" w:color="414142"/>
          <w:insideV w:val="single" w:sz="4" w:space="0" w:color="414142"/>
        </w:tblBorders>
        <w:shd w:val="clear" w:color="auto" w:fill="FFFFFF"/>
        <w:tblCellMar>
          <w:left w:w="24" w:type="dxa"/>
          <w:right w:w="24" w:type="dxa"/>
        </w:tblCellMar>
        <w:tblLook w:val="04A0" w:firstRow="1" w:lastRow="0" w:firstColumn="1" w:lastColumn="0" w:noHBand="0" w:noVBand="1"/>
      </w:tblPr>
      <w:tblGrid>
        <w:gridCol w:w="1828"/>
        <w:gridCol w:w="2472"/>
        <w:gridCol w:w="2472"/>
        <w:gridCol w:w="2289"/>
      </w:tblGrid>
      <w:tr w:rsidR="00A46E3D" w:rsidRPr="002C7E1F" w14:paraId="3D73AC8C" w14:textId="77777777" w:rsidTr="00F37A8E">
        <w:tc>
          <w:tcPr>
            <w:tcW w:w="1009" w:type="pct"/>
            <w:shd w:val="clear" w:color="auto" w:fill="FFFFFF"/>
            <w:hideMark/>
          </w:tcPr>
          <w:p w14:paraId="21858B0E" w14:textId="5368D7AE" w:rsidR="00A46E3D" w:rsidRPr="002C7E1F" w:rsidRDefault="00A46E3D">
            <w:pPr>
              <w:pStyle w:val="NormalWeb"/>
              <w:spacing w:line="293" w:lineRule="atLeast"/>
              <w:jc w:val="center"/>
            </w:pPr>
            <w:r w:rsidRPr="002C7E1F">
              <w:t>"4</w:t>
            </w:r>
          </w:p>
        </w:tc>
        <w:tc>
          <w:tcPr>
            <w:tcW w:w="1364" w:type="pct"/>
            <w:shd w:val="clear" w:color="auto" w:fill="FFFFFF"/>
            <w:hideMark/>
          </w:tcPr>
          <w:p w14:paraId="1B345A07" w14:textId="100A42C1" w:rsidR="00A46E3D" w:rsidRPr="002C7E1F" w:rsidRDefault="00A46E3D" w:rsidP="00A46E3D">
            <w:pPr>
              <w:pStyle w:val="NormalWeb"/>
              <w:spacing w:line="293" w:lineRule="atLeast"/>
              <w:jc w:val="center"/>
            </w:pPr>
            <w:r w:rsidRPr="002C7E1F">
              <w:t>līdz 500</w:t>
            </w:r>
          </w:p>
        </w:tc>
        <w:tc>
          <w:tcPr>
            <w:tcW w:w="1364" w:type="pct"/>
            <w:shd w:val="clear" w:color="auto" w:fill="FFFFFF"/>
            <w:hideMark/>
          </w:tcPr>
          <w:p w14:paraId="426E6C06" w14:textId="77777777" w:rsidR="00A46E3D" w:rsidRPr="002C7E1F" w:rsidRDefault="00A46E3D">
            <w:pPr>
              <w:pStyle w:val="NormalWeb"/>
              <w:spacing w:line="293" w:lineRule="atLeast"/>
              <w:jc w:val="center"/>
            </w:pPr>
            <w:r w:rsidRPr="002C7E1F">
              <w:t>līdz 600</w:t>
            </w:r>
          </w:p>
        </w:tc>
        <w:tc>
          <w:tcPr>
            <w:tcW w:w="1263" w:type="pct"/>
            <w:shd w:val="clear" w:color="auto" w:fill="FFFFFF"/>
            <w:hideMark/>
          </w:tcPr>
          <w:p w14:paraId="213305D6" w14:textId="77777777" w:rsidR="00A46E3D" w:rsidRPr="002C7E1F" w:rsidRDefault="00A46E3D">
            <w:pPr>
              <w:pStyle w:val="NormalWeb"/>
              <w:spacing w:line="293" w:lineRule="atLeast"/>
              <w:jc w:val="center"/>
            </w:pPr>
            <w:r w:rsidRPr="002C7E1F">
              <w:t>līdz 705</w:t>
            </w:r>
          </w:p>
        </w:tc>
      </w:tr>
      <w:tr w:rsidR="00A46E3D" w:rsidRPr="002C7E1F" w14:paraId="3CCEC8B6" w14:textId="77777777" w:rsidTr="00F37A8E">
        <w:tc>
          <w:tcPr>
            <w:tcW w:w="1009" w:type="pct"/>
            <w:shd w:val="clear" w:color="auto" w:fill="FFFFFF"/>
            <w:hideMark/>
          </w:tcPr>
          <w:p w14:paraId="19AF4D7B" w14:textId="77777777" w:rsidR="00A46E3D" w:rsidRPr="002C7E1F" w:rsidRDefault="00A46E3D">
            <w:pPr>
              <w:pStyle w:val="NormalWeb"/>
              <w:spacing w:line="293" w:lineRule="atLeast"/>
              <w:jc w:val="center"/>
            </w:pPr>
            <w:r w:rsidRPr="002C7E1F">
              <w:t>3</w:t>
            </w:r>
          </w:p>
        </w:tc>
        <w:tc>
          <w:tcPr>
            <w:tcW w:w="1364" w:type="pct"/>
            <w:shd w:val="clear" w:color="auto" w:fill="FFFFFF"/>
            <w:hideMark/>
          </w:tcPr>
          <w:p w14:paraId="753C1A42" w14:textId="11EE6D26" w:rsidR="00A46E3D" w:rsidRPr="002C7E1F" w:rsidRDefault="00A46E3D" w:rsidP="00A46E3D">
            <w:pPr>
              <w:pStyle w:val="NormalWeb"/>
              <w:spacing w:line="293" w:lineRule="atLeast"/>
              <w:jc w:val="center"/>
            </w:pPr>
            <w:r w:rsidRPr="002C7E1F">
              <w:t>līdz 500</w:t>
            </w:r>
          </w:p>
        </w:tc>
        <w:tc>
          <w:tcPr>
            <w:tcW w:w="1364" w:type="pct"/>
            <w:shd w:val="clear" w:color="auto" w:fill="FFFFFF"/>
            <w:hideMark/>
          </w:tcPr>
          <w:p w14:paraId="1DC8471F" w14:textId="77777777" w:rsidR="00A46E3D" w:rsidRPr="002C7E1F" w:rsidRDefault="00A46E3D">
            <w:pPr>
              <w:pStyle w:val="NormalWeb"/>
              <w:spacing w:line="293" w:lineRule="atLeast"/>
              <w:jc w:val="center"/>
            </w:pPr>
            <w:r w:rsidRPr="002C7E1F">
              <w:t>līdz 530</w:t>
            </w:r>
          </w:p>
        </w:tc>
        <w:tc>
          <w:tcPr>
            <w:tcW w:w="1263" w:type="pct"/>
            <w:shd w:val="clear" w:color="auto" w:fill="FFFFFF"/>
            <w:hideMark/>
          </w:tcPr>
          <w:p w14:paraId="275D2E87" w14:textId="77777777" w:rsidR="00A46E3D" w:rsidRPr="002C7E1F" w:rsidRDefault="00A46E3D">
            <w:pPr>
              <w:pStyle w:val="NormalWeb"/>
              <w:spacing w:line="293" w:lineRule="atLeast"/>
              <w:jc w:val="center"/>
            </w:pPr>
            <w:r w:rsidRPr="002C7E1F">
              <w:t>līdz 608</w:t>
            </w:r>
          </w:p>
        </w:tc>
      </w:tr>
      <w:tr w:rsidR="00A46E3D" w:rsidRPr="002C7E1F" w14:paraId="19D22BF2" w14:textId="77777777" w:rsidTr="00F37A8E">
        <w:tc>
          <w:tcPr>
            <w:tcW w:w="1009" w:type="pct"/>
            <w:shd w:val="clear" w:color="auto" w:fill="FFFFFF"/>
            <w:hideMark/>
          </w:tcPr>
          <w:p w14:paraId="63F6B586" w14:textId="77777777" w:rsidR="00A46E3D" w:rsidRPr="002C7E1F" w:rsidRDefault="00A46E3D">
            <w:pPr>
              <w:pStyle w:val="NormalWeb"/>
              <w:spacing w:line="293" w:lineRule="atLeast"/>
              <w:jc w:val="center"/>
            </w:pPr>
            <w:r w:rsidRPr="002C7E1F">
              <w:t>2</w:t>
            </w:r>
          </w:p>
        </w:tc>
        <w:tc>
          <w:tcPr>
            <w:tcW w:w="1364" w:type="pct"/>
            <w:shd w:val="clear" w:color="auto" w:fill="FFFFFF"/>
            <w:hideMark/>
          </w:tcPr>
          <w:p w14:paraId="0A9EB37E" w14:textId="19E3DCA8" w:rsidR="00A46E3D" w:rsidRPr="002C7E1F" w:rsidRDefault="00A46E3D" w:rsidP="00A46E3D">
            <w:pPr>
              <w:pStyle w:val="NormalWeb"/>
              <w:spacing w:line="293" w:lineRule="atLeast"/>
              <w:jc w:val="center"/>
            </w:pPr>
            <w:r w:rsidRPr="002C7E1F">
              <w:t>līdz 500</w:t>
            </w:r>
          </w:p>
        </w:tc>
        <w:tc>
          <w:tcPr>
            <w:tcW w:w="1364" w:type="pct"/>
            <w:shd w:val="clear" w:color="auto" w:fill="FFFFFF"/>
            <w:hideMark/>
          </w:tcPr>
          <w:p w14:paraId="0558AC23" w14:textId="36F8AE5A" w:rsidR="00A46E3D" w:rsidRPr="002C7E1F" w:rsidRDefault="00A46E3D" w:rsidP="00A46E3D">
            <w:pPr>
              <w:pStyle w:val="NormalWeb"/>
              <w:spacing w:line="293" w:lineRule="atLeast"/>
              <w:jc w:val="center"/>
            </w:pPr>
            <w:r w:rsidRPr="002C7E1F">
              <w:t>līdz 500</w:t>
            </w:r>
          </w:p>
        </w:tc>
        <w:tc>
          <w:tcPr>
            <w:tcW w:w="1263" w:type="pct"/>
            <w:shd w:val="clear" w:color="auto" w:fill="FFFFFF"/>
            <w:hideMark/>
          </w:tcPr>
          <w:p w14:paraId="35D07981" w14:textId="77777777" w:rsidR="00A46E3D" w:rsidRPr="002C7E1F" w:rsidRDefault="00A46E3D">
            <w:pPr>
              <w:pStyle w:val="NormalWeb"/>
              <w:spacing w:line="293" w:lineRule="atLeast"/>
              <w:jc w:val="center"/>
            </w:pPr>
            <w:r w:rsidRPr="002C7E1F">
              <w:t>līdz 530</w:t>
            </w:r>
          </w:p>
        </w:tc>
      </w:tr>
      <w:tr w:rsidR="00A46E3D" w:rsidRPr="002C7E1F" w14:paraId="2B67F25B" w14:textId="77777777" w:rsidTr="00F37A8E">
        <w:tc>
          <w:tcPr>
            <w:tcW w:w="1009" w:type="pct"/>
            <w:shd w:val="clear" w:color="auto" w:fill="FFFFFF"/>
            <w:hideMark/>
          </w:tcPr>
          <w:p w14:paraId="2EECB3D7" w14:textId="77777777" w:rsidR="00A46E3D" w:rsidRPr="002C7E1F" w:rsidRDefault="00A46E3D">
            <w:pPr>
              <w:pStyle w:val="NormalWeb"/>
              <w:spacing w:line="293" w:lineRule="atLeast"/>
              <w:jc w:val="center"/>
            </w:pPr>
            <w:r w:rsidRPr="002C7E1F">
              <w:t>1</w:t>
            </w:r>
          </w:p>
        </w:tc>
        <w:tc>
          <w:tcPr>
            <w:tcW w:w="1364" w:type="pct"/>
            <w:shd w:val="clear" w:color="auto" w:fill="FFFFFF"/>
            <w:hideMark/>
          </w:tcPr>
          <w:p w14:paraId="49BBF92D" w14:textId="4C70121F" w:rsidR="00A46E3D" w:rsidRPr="002C7E1F" w:rsidRDefault="00A46E3D" w:rsidP="00A46E3D">
            <w:pPr>
              <w:pStyle w:val="NormalWeb"/>
              <w:spacing w:line="293" w:lineRule="atLeast"/>
              <w:jc w:val="center"/>
            </w:pPr>
            <w:r w:rsidRPr="002C7E1F">
              <w:t>līdz 500</w:t>
            </w:r>
          </w:p>
        </w:tc>
        <w:tc>
          <w:tcPr>
            <w:tcW w:w="1364" w:type="pct"/>
            <w:shd w:val="clear" w:color="auto" w:fill="FFFFFF"/>
            <w:hideMark/>
          </w:tcPr>
          <w:p w14:paraId="4B53046B" w14:textId="70F3A385" w:rsidR="00A46E3D" w:rsidRPr="002C7E1F" w:rsidRDefault="00A46E3D" w:rsidP="00A46E3D">
            <w:pPr>
              <w:pStyle w:val="NormalWeb"/>
              <w:spacing w:line="293" w:lineRule="atLeast"/>
              <w:jc w:val="center"/>
            </w:pPr>
            <w:r w:rsidRPr="002C7E1F">
              <w:t>līdz 500</w:t>
            </w:r>
          </w:p>
        </w:tc>
        <w:tc>
          <w:tcPr>
            <w:tcW w:w="1263" w:type="pct"/>
            <w:shd w:val="clear" w:color="auto" w:fill="FFFFFF"/>
            <w:hideMark/>
          </w:tcPr>
          <w:p w14:paraId="4ADD6B3D" w14:textId="01475C85" w:rsidR="00A46E3D" w:rsidRPr="002C7E1F" w:rsidRDefault="00A46E3D" w:rsidP="00A46E3D">
            <w:pPr>
              <w:pStyle w:val="NormalWeb"/>
              <w:spacing w:line="293" w:lineRule="atLeast"/>
              <w:jc w:val="center"/>
            </w:pPr>
            <w:r w:rsidRPr="002C7E1F">
              <w:t>līdz 500"</w:t>
            </w:r>
          </w:p>
        </w:tc>
      </w:tr>
    </w:tbl>
    <w:p w14:paraId="0515FD47" w14:textId="77777777" w:rsidR="002F281C" w:rsidRPr="002F281C" w:rsidRDefault="002F281C" w:rsidP="002F281C">
      <w:pPr>
        <w:pStyle w:val="NormalWeb"/>
        <w:shd w:val="clear" w:color="auto" w:fill="FFFFFF"/>
        <w:spacing w:before="0" w:beforeAutospacing="0" w:after="0" w:afterAutospacing="0"/>
        <w:ind w:firstLine="709"/>
      </w:pPr>
    </w:p>
    <w:p w14:paraId="4DC955D0" w14:textId="31A8A967" w:rsidR="00A46E3D" w:rsidRDefault="00A46E3D" w:rsidP="002F281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6E3D">
        <w:rPr>
          <w:sz w:val="28"/>
          <w:szCs w:val="28"/>
        </w:rPr>
        <w:t>2</w:t>
      </w:r>
      <w:r w:rsidR="002C7E1F">
        <w:rPr>
          <w:sz w:val="28"/>
          <w:szCs w:val="28"/>
        </w:rPr>
        <w:t>. </w:t>
      </w:r>
      <w:r w:rsidR="00F35539">
        <w:rPr>
          <w:sz w:val="28"/>
          <w:szCs w:val="28"/>
        </w:rPr>
        <w:t>I</w:t>
      </w:r>
      <w:r w:rsidR="00F35539" w:rsidRPr="00A46E3D">
        <w:rPr>
          <w:sz w:val="28"/>
          <w:szCs w:val="28"/>
        </w:rPr>
        <w:t xml:space="preserve">zteikt </w:t>
      </w:r>
      <w:r w:rsidRPr="00A46E3D">
        <w:rPr>
          <w:sz w:val="28"/>
          <w:szCs w:val="28"/>
        </w:rPr>
        <w:t>4.</w:t>
      </w:r>
      <w:r w:rsidRPr="00A46E3D">
        <w:rPr>
          <w:sz w:val="28"/>
          <w:szCs w:val="28"/>
          <w:vertAlign w:val="superscript"/>
        </w:rPr>
        <w:t>1</w:t>
      </w:r>
      <w:r w:rsidR="00F35539">
        <w:rPr>
          <w:sz w:val="28"/>
          <w:szCs w:val="28"/>
          <w:vertAlign w:val="superscript"/>
        </w:rPr>
        <w:t> </w:t>
      </w:r>
      <w:r w:rsidRPr="00A46E3D">
        <w:rPr>
          <w:sz w:val="28"/>
          <w:szCs w:val="28"/>
        </w:rPr>
        <w:t>pielikum</w:t>
      </w:r>
      <w:r w:rsidR="00F35539">
        <w:rPr>
          <w:sz w:val="28"/>
          <w:szCs w:val="28"/>
        </w:rPr>
        <w:t>ā</w:t>
      </w:r>
      <w:r w:rsidRPr="00A46E3D">
        <w:rPr>
          <w:sz w:val="28"/>
          <w:szCs w:val="28"/>
        </w:rPr>
        <w:t xml:space="preserve"> </w:t>
      </w:r>
      <w:r w:rsidR="00F35539">
        <w:rPr>
          <w:sz w:val="28"/>
          <w:szCs w:val="28"/>
        </w:rPr>
        <w:t>norādītās</w:t>
      </w:r>
      <w:r w:rsidR="00F35539" w:rsidRPr="00A46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4., </w:t>
      </w:r>
      <w:r w:rsidRPr="00A46E3D">
        <w:rPr>
          <w:sz w:val="28"/>
          <w:szCs w:val="28"/>
        </w:rPr>
        <w:t>3., 2. un 1</w:t>
      </w:r>
      <w:r w:rsidR="002C7E1F">
        <w:rPr>
          <w:sz w:val="28"/>
          <w:szCs w:val="28"/>
        </w:rPr>
        <w:t>. </w:t>
      </w:r>
      <w:r w:rsidRPr="00A46E3D">
        <w:rPr>
          <w:sz w:val="28"/>
          <w:szCs w:val="28"/>
        </w:rPr>
        <w:t>mēnešalgu grupas attiecīgos mēnešalgu apmērus šādā redakcijā:</w:t>
      </w:r>
    </w:p>
    <w:p w14:paraId="651E3908" w14:textId="77777777" w:rsidR="002F281C" w:rsidRPr="00F37A8E" w:rsidRDefault="002F281C" w:rsidP="00F37A8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414142"/>
          <w:left w:val="single" w:sz="4" w:space="0" w:color="414142"/>
          <w:bottom w:val="single" w:sz="4" w:space="0" w:color="414142"/>
          <w:right w:val="single" w:sz="4" w:space="0" w:color="414142"/>
          <w:insideH w:val="single" w:sz="4" w:space="0" w:color="414142"/>
          <w:insideV w:val="single" w:sz="4" w:space="0" w:color="414142"/>
        </w:tblBorders>
        <w:shd w:val="clear" w:color="auto" w:fill="FFFFFF"/>
        <w:tblCellMar>
          <w:left w:w="24" w:type="dxa"/>
          <w:right w:w="24" w:type="dxa"/>
        </w:tblCellMar>
        <w:tblLook w:val="04A0" w:firstRow="1" w:lastRow="0" w:firstColumn="1" w:lastColumn="0" w:noHBand="0" w:noVBand="1"/>
      </w:tblPr>
      <w:tblGrid>
        <w:gridCol w:w="833"/>
        <w:gridCol w:w="1857"/>
        <w:gridCol w:w="993"/>
        <w:gridCol w:w="1702"/>
        <w:gridCol w:w="991"/>
        <w:gridCol w:w="1703"/>
        <w:gridCol w:w="982"/>
      </w:tblGrid>
      <w:tr w:rsidR="00BC2182" w:rsidRPr="002C7E1F" w14:paraId="5D952810" w14:textId="77777777" w:rsidTr="00F37A8E">
        <w:tc>
          <w:tcPr>
            <w:tcW w:w="459" w:type="pct"/>
            <w:shd w:val="clear" w:color="auto" w:fill="FFFFFF"/>
          </w:tcPr>
          <w:p w14:paraId="562E30FD" w14:textId="23944481" w:rsidR="00A46E3D" w:rsidRPr="002C7E1F" w:rsidRDefault="00A46E3D">
            <w:pPr>
              <w:pStyle w:val="NormalWeb"/>
              <w:spacing w:line="293" w:lineRule="atLeast"/>
              <w:jc w:val="center"/>
            </w:pPr>
            <w:r w:rsidRPr="002C7E1F">
              <w:t>"4</w:t>
            </w:r>
          </w:p>
        </w:tc>
        <w:tc>
          <w:tcPr>
            <w:tcW w:w="1024" w:type="pct"/>
            <w:shd w:val="clear" w:color="auto" w:fill="FFFFFF"/>
          </w:tcPr>
          <w:p w14:paraId="451A3C71" w14:textId="5E07C809" w:rsidR="00A46E3D" w:rsidRPr="002C7E1F" w:rsidRDefault="00A46E3D">
            <w:pPr>
              <w:pStyle w:val="NormalWeb"/>
              <w:spacing w:line="293" w:lineRule="atLeast"/>
              <w:jc w:val="center"/>
            </w:pPr>
            <w:r w:rsidRPr="002C7E1F">
              <w:t>ne vairāk kā</w:t>
            </w:r>
          </w:p>
        </w:tc>
        <w:tc>
          <w:tcPr>
            <w:tcW w:w="548" w:type="pct"/>
            <w:shd w:val="clear" w:color="auto" w:fill="FFFFFF"/>
          </w:tcPr>
          <w:p w14:paraId="1A8D8F6C" w14:textId="3AA4763D" w:rsidR="00A46E3D" w:rsidRPr="002C7E1F" w:rsidRDefault="00A46E3D">
            <w:pPr>
              <w:pStyle w:val="NormalWeb"/>
              <w:spacing w:line="293" w:lineRule="atLeast"/>
              <w:jc w:val="center"/>
            </w:pPr>
            <w:r w:rsidRPr="002C7E1F">
              <w:t>500</w:t>
            </w:r>
          </w:p>
        </w:tc>
        <w:tc>
          <w:tcPr>
            <w:tcW w:w="939" w:type="pct"/>
            <w:shd w:val="clear" w:color="auto" w:fill="FFFFFF"/>
          </w:tcPr>
          <w:p w14:paraId="43C3E9F1" w14:textId="6B91ECB7" w:rsidR="00A46E3D" w:rsidRPr="002C7E1F" w:rsidRDefault="00A46E3D">
            <w:pPr>
              <w:pStyle w:val="NormalWeb"/>
              <w:spacing w:line="293" w:lineRule="atLeast"/>
              <w:jc w:val="center"/>
            </w:pPr>
            <w:r w:rsidRPr="002C7E1F">
              <w:t>ne vairāk kā</w:t>
            </w:r>
          </w:p>
        </w:tc>
        <w:tc>
          <w:tcPr>
            <w:tcW w:w="547" w:type="pct"/>
            <w:shd w:val="clear" w:color="auto" w:fill="FFFFFF"/>
          </w:tcPr>
          <w:p w14:paraId="4DF295DF" w14:textId="5258E2AB" w:rsidR="00A46E3D" w:rsidRPr="002C7E1F" w:rsidRDefault="00A46E3D">
            <w:pPr>
              <w:pStyle w:val="NormalWeb"/>
              <w:spacing w:line="293" w:lineRule="atLeast"/>
              <w:jc w:val="center"/>
            </w:pPr>
            <w:r w:rsidRPr="002C7E1F">
              <w:t>610</w:t>
            </w:r>
          </w:p>
        </w:tc>
        <w:tc>
          <w:tcPr>
            <w:tcW w:w="940" w:type="pct"/>
            <w:shd w:val="clear" w:color="auto" w:fill="FFFFFF"/>
          </w:tcPr>
          <w:p w14:paraId="6E6C6540" w14:textId="58331473" w:rsidR="00A46E3D" w:rsidRPr="002C7E1F" w:rsidRDefault="00A46E3D">
            <w:pPr>
              <w:pStyle w:val="NormalWeb"/>
              <w:spacing w:line="293" w:lineRule="atLeast"/>
              <w:jc w:val="center"/>
            </w:pPr>
            <w:r w:rsidRPr="002C7E1F">
              <w:t>ne vairāk kā</w:t>
            </w:r>
          </w:p>
        </w:tc>
        <w:tc>
          <w:tcPr>
            <w:tcW w:w="542" w:type="pct"/>
            <w:shd w:val="clear" w:color="auto" w:fill="FFFFFF"/>
          </w:tcPr>
          <w:p w14:paraId="4F752EE7" w14:textId="36FC922A" w:rsidR="00A46E3D" w:rsidRPr="002C7E1F" w:rsidRDefault="00A46E3D">
            <w:pPr>
              <w:pStyle w:val="NormalWeb"/>
              <w:spacing w:line="293" w:lineRule="atLeast"/>
              <w:jc w:val="center"/>
            </w:pPr>
            <w:r w:rsidRPr="002C7E1F">
              <w:t>775</w:t>
            </w:r>
          </w:p>
        </w:tc>
      </w:tr>
      <w:tr w:rsidR="00BC2182" w:rsidRPr="002C7E1F" w14:paraId="35BFE12B" w14:textId="77777777" w:rsidTr="00F37A8E">
        <w:tc>
          <w:tcPr>
            <w:tcW w:w="459" w:type="pct"/>
            <w:shd w:val="clear" w:color="auto" w:fill="FFFFFF"/>
            <w:hideMark/>
          </w:tcPr>
          <w:p w14:paraId="3FEDF4B7" w14:textId="3E2EC6FA" w:rsidR="00A46E3D" w:rsidRPr="002C7E1F" w:rsidRDefault="00A46E3D">
            <w:pPr>
              <w:pStyle w:val="NormalWeb"/>
              <w:spacing w:line="293" w:lineRule="atLeast"/>
              <w:jc w:val="center"/>
            </w:pPr>
            <w:r w:rsidRPr="002C7E1F">
              <w:t>3</w:t>
            </w:r>
          </w:p>
        </w:tc>
        <w:tc>
          <w:tcPr>
            <w:tcW w:w="1024" w:type="pct"/>
            <w:shd w:val="clear" w:color="auto" w:fill="FFFFFF"/>
            <w:hideMark/>
          </w:tcPr>
          <w:p w14:paraId="26D1D664" w14:textId="77777777" w:rsidR="00A46E3D" w:rsidRPr="002C7E1F" w:rsidRDefault="00A46E3D">
            <w:pPr>
              <w:pStyle w:val="NormalWeb"/>
              <w:spacing w:line="293" w:lineRule="atLeast"/>
              <w:jc w:val="center"/>
            </w:pPr>
            <w:r w:rsidRPr="002C7E1F">
              <w:t>ne vairāk kā</w:t>
            </w:r>
          </w:p>
        </w:tc>
        <w:tc>
          <w:tcPr>
            <w:tcW w:w="548" w:type="pct"/>
            <w:shd w:val="clear" w:color="auto" w:fill="FFFFFF"/>
            <w:hideMark/>
          </w:tcPr>
          <w:p w14:paraId="5B1A7FDC" w14:textId="575169A5" w:rsidR="00A46E3D" w:rsidRPr="002C7E1F" w:rsidRDefault="00A46E3D">
            <w:pPr>
              <w:pStyle w:val="NormalWeb"/>
              <w:spacing w:line="293" w:lineRule="atLeast"/>
              <w:jc w:val="center"/>
            </w:pPr>
            <w:r w:rsidRPr="002C7E1F">
              <w:t>500</w:t>
            </w:r>
          </w:p>
        </w:tc>
        <w:tc>
          <w:tcPr>
            <w:tcW w:w="939" w:type="pct"/>
            <w:shd w:val="clear" w:color="auto" w:fill="FFFFFF"/>
            <w:hideMark/>
          </w:tcPr>
          <w:p w14:paraId="22A80A58" w14:textId="77777777" w:rsidR="00A46E3D" w:rsidRPr="002C7E1F" w:rsidRDefault="00A46E3D">
            <w:pPr>
              <w:pStyle w:val="NormalWeb"/>
              <w:spacing w:line="293" w:lineRule="atLeast"/>
              <w:jc w:val="center"/>
            </w:pPr>
            <w:r w:rsidRPr="002C7E1F">
              <w:t>ne vairāk kā</w:t>
            </w:r>
          </w:p>
        </w:tc>
        <w:tc>
          <w:tcPr>
            <w:tcW w:w="547" w:type="pct"/>
            <w:shd w:val="clear" w:color="auto" w:fill="FFFFFF"/>
            <w:hideMark/>
          </w:tcPr>
          <w:p w14:paraId="23A18945" w14:textId="77777777" w:rsidR="00A46E3D" w:rsidRPr="002C7E1F" w:rsidRDefault="00A46E3D">
            <w:pPr>
              <w:pStyle w:val="NormalWeb"/>
              <w:spacing w:line="293" w:lineRule="atLeast"/>
              <w:jc w:val="center"/>
            </w:pPr>
            <w:r w:rsidRPr="002C7E1F">
              <w:t>540</w:t>
            </w:r>
          </w:p>
        </w:tc>
        <w:tc>
          <w:tcPr>
            <w:tcW w:w="940" w:type="pct"/>
            <w:shd w:val="clear" w:color="auto" w:fill="FFFFFF"/>
            <w:hideMark/>
          </w:tcPr>
          <w:p w14:paraId="071BD17E" w14:textId="77777777" w:rsidR="00A46E3D" w:rsidRPr="002C7E1F" w:rsidRDefault="00A46E3D">
            <w:pPr>
              <w:pStyle w:val="NormalWeb"/>
              <w:spacing w:line="293" w:lineRule="atLeast"/>
              <w:jc w:val="center"/>
            </w:pPr>
            <w:r w:rsidRPr="002C7E1F">
              <w:t>ne vairāk kā</w:t>
            </w:r>
          </w:p>
        </w:tc>
        <w:tc>
          <w:tcPr>
            <w:tcW w:w="542" w:type="pct"/>
            <w:shd w:val="clear" w:color="auto" w:fill="FFFFFF"/>
            <w:hideMark/>
          </w:tcPr>
          <w:p w14:paraId="514095CE" w14:textId="77777777" w:rsidR="00A46E3D" w:rsidRPr="002C7E1F" w:rsidRDefault="00A46E3D">
            <w:pPr>
              <w:pStyle w:val="NormalWeb"/>
              <w:spacing w:line="293" w:lineRule="atLeast"/>
              <w:jc w:val="center"/>
            </w:pPr>
            <w:r w:rsidRPr="002C7E1F">
              <w:t>650</w:t>
            </w:r>
          </w:p>
        </w:tc>
      </w:tr>
      <w:tr w:rsidR="00BC2182" w:rsidRPr="002C7E1F" w14:paraId="3FCB6602" w14:textId="77777777" w:rsidTr="00F37A8E">
        <w:tc>
          <w:tcPr>
            <w:tcW w:w="459" w:type="pct"/>
            <w:shd w:val="clear" w:color="auto" w:fill="FFFFFF"/>
            <w:hideMark/>
          </w:tcPr>
          <w:p w14:paraId="1D2E0697" w14:textId="77777777" w:rsidR="00A46E3D" w:rsidRPr="002C7E1F" w:rsidRDefault="00A46E3D">
            <w:pPr>
              <w:pStyle w:val="NormalWeb"/>
              <w:spacing w:line="293" w:lineRule="atLeast"/>
              <w:jc w:val="center"/>
            </w:pPr>
            <w:r w:rsidRPr="002C7E1F">
              <w:t>2</w:t>
            </w:r>
          </w:p>
        </w:tc>
        <w:tc>
          <w:tcPr>
            <w:tcW w:w="1024" w:type="pct"/>
            <w:shd w:val="clear" w:color="auto" w:fill="FFFFFF"/>
            <w:hideMark/>
          </w:tcPr>
          <w:p w14:paraId="09BF8BC7" w14:textId="77777777" w:rsidR="00A46E3D" w:rsidRPr="002C7E1F" w:rsidRDefault="00A46E3D">
            <w:pPr>
              <w:pStyle w:val="NormalWeb"/>
              <w:spacing w:line="293" w:lineRule="atLeast"/>
              <w:jc w:val="center"/>
            </w:pPr>
            <w:r w:rsidRPr="002C7E1F">
              <w:t>ne vairāk kā</w:t>
            </w:r>
          </w:p>
        </w:tc>
        <w:tc>
          <w:tcPr>
            <w:tcW w:w="548" w:type="pct"/>
            <w:shd w:val="clear" w:color="auto" w:fill="FFFFFF"/>
            <w:hideMark/>
          </w:tcPr>
          <w:p w14:paraId="1461F842" w14:textId="0EBCE3AE" w:rsidR="00A46E3D" w:rsidRPr="002C7E1F" w:rsidRDefault="00A46E3D">
            <w:pPr>
              <w:pStyle w:val="NormalWeb"/>
              <w:spacing w:line="293" w:lineRule="atLeast"/>
              <w:jc w:val="center"/>
            </w:pPr>
            <w:r w:rsidRPr="002C7E1F">
              <w:t>500</w:t>
            </w:r>
          </w:p>
        </w:tc>
        <w:tc>
          <w:tcPr>
            <w:tcW w:w="939" w:type="pct"/>
            <w:shd w:val="clear" w:color="auto" w:fill="FFFFFF"/>
            <w:hideMark/>
          </w:tcPr>
          <w:p w14:paraId="0D7DC0D7" w14:textId="77777777" w:rsidR="00A46E3D" w:rsidRPr="002C7E1F" w:rsidRDefault="00A46E3D">
            <w:pPr>
              <w:pStyle w:val="NormalWeb"/>
              <w:spacing w:line="293" w:lineRule="atLeast"/>
              <w:jc w:val="center"/>
            </w:pPr>
            <w:r w:rsidRPr="002C7E1F">
              <w:t>ne vairāk kā</w:t>
            </w:r>
          </w:p>
        </w:tc>
        <w:tc>
          <w:tcPr>
            <w:tcW w:w="547" w:type="pct"/>
            <w:shd w:val="clear" w:color="auto" w:fill="FFFFFF"/>
            <w:hideMark/>
          </w:tcPr>
          <w:p w14:paraId="2C5BA8CF" w14:textId="118EB6DC" w:rsidR="00A46E3D" w:rsidRPr="002C7E1F" w:rsidRDefault="00A46E3D">
            <w:pPr>
              <w:pStyle w:val="NormalWeb"/>
              <w:spacing w:line="293" w:lineRule="atLeast"/>
              <w:jc w:val="center"/>
            </w:pPr>
            <w:r w:rsidRPr="002C7E1F">
              <w:t>500</w:t>
            </w:r>
          </w:p>
        </w:tc>
        <w:tc>
          <w:tcPr>
            <w:tcW w:w="940" w:type="pct"/>
            <w:shd w:val="clear" w:color="auto" w:fill="FFFFFF"/>
            <w:hideMark/>
          </w:tcPr>
          <w:p w14:paraId="5367E996" w14:textId="77777777" w:rsidR="00A46E3D" w:rsidRPr="002C7E1F" w:rsidRDefault="00A46E3D">
            <w:pPr>
              <w:pStyle w:val="NormalWeb"/>
              <w:spacing w:line="293" w:lineRule="atLeast"/>
              <w:jc w:val="center"/>
            </w:pPr>
            <w:r w:rsidRPr="002C7E1F">
              <w:t>ne vairāk kā</w:t>
            </w:r>
          </w:p>
        </w:tc>
        <w:tc>
          <w:tcPr>
            <w:tcW w:w="542" w:type="pct"/>
            <w:shd w:val="clear" w:color="auto" w:fill="FFFFFF"/>
            <w:hideMark/>
          </w:tcPr>
          <w:p w14:paraId="5478F7E8" w14:textId="77777777" w:rsidR="00A46E3D" w:rsidRPr="002C7E1F" w:rsidRDefault="00A46E3D">
            <w:pPr>
              <w:pStyle w:val="NormalWeb"/>
              <w:spacing w:line="293" w:lineRule="atLeast"/>
              <w:jc w:val="center"/>
            </w:pPr>
            <w:r w:rsidRPr="002C7E1F">
              <w:t>540</w:t>
            </w:r>
          </w:p>
        </w:tc>
      </w:tr>
      <w:tr w:rsidR="00BC2182" w:rsidRPr="002C7E1F" w14:paraId="03B7A10F" w14:textId="77777777" w:rsidTr="00F37A8E">
        <w:tc>
          <w:tcPr>
            <w:tcW w:w="459" w:type="pct"/>
            <w:shd w:val="clear" w:color="auto" w:fill="FFFFFF"/>
            <w:hideMark/>
          </w:tcPr>
          <w:p w14:paraId="791535B0" w14:textId="77777777" w:rsidR="00A46E3D" w:rsidRPr="002C7E1F" w:rsidRDefault="00A46E3D">
            <w:pPr>
              <w:pStyle w:val="NormalWeb"/>
              <w:spacing w:line="293" w:lineRule="atLeast"/>
              <w:jc w:val="center"/>
            </w:pPr>
            <w:r w:rsidRPr="002C7E1F">
              <w:t>1</w:t>
            </w:r>
          </w:p>
        </w:tc>
        <w:tc>
          <w:tcPr>
            <w:tcW w:w="1024" w:type="pct"/>
            <w:shd w:val="clear" w:color="auto" w:fill="FFFFFF"/>
            <w:hideMark/>
          </w:tcPr>
          <w:p w14:paraId="3DB98E69" w14:textId="77777777" w:rsidR="00A46E3D" w:rsidRPr="002C7E1F" w:rsidRDefault="00A46E3D">
            <w:pPr>
              <w:pStyle w:val="NormalWeb"/>
              <w:spacing w:line="293" w:lineRule="atLeast"/>
              <w:jc w:val="center"/>
            </w:pPr>
            <w:r w:rsidRPr="002C7E1F">
              <w:t>ne vairāk kā</w:t>
            </w:r>
          </w:p>
        </w:tc>
        <w:tc>
          <w:tcPr>
            <w:tcW w:w="548" w:type="pct"/>
            <w:shd w:val="clear" w:color="auto" w:fill="FFFFFF"/>
            <w:hideMark/>
          </w:tcPr>
          <w:p w14:paraId="12991429" w14:textId="1F915790" w:rsidR="00A46E3D" w:rsidRPr="002C7E1F" w:rsidRDefault="00A46E3D">
            <w:pPr>
              <w:pStyle w:val="NormalWeb"/>
              <w:spacing w:line="293" w:lineRule="atLeast"/>
              <w:jc w:val="center"/>
            </w:pPr>
            <w:r w:rsidRPr="002C7E1F">
              <w:t>500</w:t>
            </w:r>
          </w:p>
        </w:tc>
        <w:tc>
          <w:tcPr>
            <w:tcW w:w="939" w:type="pct"/>
            <w:shd w:val="clear" w:color="auto" w:fill="FFFFFF"/>
            <w:hideMark/>
          </w:tcPr>
          <w:p w14:paraId="15A71D59" w14:textId="77777777" w:rsidR="00A46E3D" w:rsidRPr="002C7E1F" w:rsidRDefault="00A46E3D">
            <w:pPr>
              <w:pStyle w:val="NormalWeb"/>
              <w:spacing w:line="293" w:lineRule="atLeast"/>
              <w:jc w:val="center"/>
            </w:pPr>
            <w:r w:rsidRPr="002C7E1F">
              <w:t>ne vairāk kā</w:t>
            </w:r>
          </w:p>
        </w:tc>
        <w:tc>
          <w:tcPr>
            <w:tcW w:w="547" w:type="pct"/>
            <w:shd w:val="clear" w:color="auto" w:fill="FFFFFF"/>
            <w:hideMark/>
          </w:tcPr>
          <w:p w14:paraId="471D9881" w14:textId="353A74CB" w:rsidR="00A46E3D" w:rsidRPr="002C7E1F" w:rsidRDefault="00A46E3D">
            <w:pPr>
              <w:pStyle w:val="NormalWeb"/>
              <w:spacing w:line="293" w:lineRule="atLeast"/>
              <w:jc w:val="center"/>
            </w:pPr>
            <w:r w:rsidRPr="002C7E1F">
              <w:t>500</w:t>
            </w:r>
          </w:p>
        </w:tc>
        <w:tc>
          <w:tcPr>
            <w:tcW w:w="940" w:type="pct"/>
            <w:shd w:val="clear" w:color="auto" w:fill="FFFFFF"/>
            <w:hideMark/>
          </w:tcPr>
          <w:p w14:paraId="5570570B" w14:textId="77777777" w:rsidR="00A46E3D" w:rsidRPr="002C7E1F" w:rsidRDefault="00A46E3D">
            <w:pPr>
              <w:pStyle w:val="NormalWeb"/>
              <w:spacing w:line="293" w:lineRule="atLeast"/>
              <w:jc w:val="center"/>
            </w:pPr>
            <w:r w:rsidRPr="002C7E1F">
              <w:t>ne vairāk kā</w:t>
            </w:r>
          </w:p>
        </w:tc>
        <w:tc>
          <w:tcPr>
            <w:tcW w:w="542" w:type="pct"/>
            <w:shd w:val="clear" w:color="auto" w:fill="FFFFFF"/>
            <w:hideMark/>
          </w:tcPr>
          <w:p w14:paraId="51C81417" w14:textId="60BFDDE9" w:rsidR="00A46E3D" w:rsidRPr="002C7E1F" w:rsidRDefault="00A46E3D" w:rsidP="00A46E3D">
            <w:pPr>
              <w:pStyle w:val="NormalWeb"/>
              <w:spacing w:line="293" w:lineRule="atLeast"/>
              <w:jc w:val="center"/>
            </w:pPr>
            <w:r w:rsidRPr="002C7E1F">
              <w:t>500"</w:t>
            </w:r>
          </w:p>
        </w:tc>
      </w:tr>
    </w:tbl>
    <w:p w14:paraId="711FA8C2" w14:textId="1AE4CE5F" w:rsidR="002F281C" w:rsidRPr="00F37A8E" w:rsidRDefault="002F281C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56CDD040" w14:textId="4EF531DB" w:rsidR="002F281C" w:rsidRDefault="002F281C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2F868F67" w14:textId="77777777" w:rsidR="00BC2182" w:rsidRPr="00F37A8E" w:rsidRDefault="00BC2182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40EBF40A" w14:textId="1D0F5AEB" w:rsidR="002F281C" w:rsidRPr="00DE283C" w:rsidRDefault="002F281C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F38375E" w14:textId="77777777" w:rsidR="00BC2182" w:rsidRPr="00527736" w:rsidRDefault="00BC2182" w:rsidP="00BC2182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3AB0F7E0" w14:textId="77777777" w:rsidR="00BC2182" w:rsidRDefault="00BC2182" w:rsidP="00BC2182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32222757" w14:textId="77777777" w:rsidR="00BC2182" w:rsidRPr="00527736" w:rsidRDefault="00BC2182" w:rsidP="00BC2182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006E285E" w14:textId="77777777" w:rsidR="002F281C" w:rsidRPr="00DE283C" w:rsidRDefault="002F281C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sectPr w:rsidR="002F281C" w:rsidRPr="00DE283C" w:rsidSect="00A46E3D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2188E" w14:textId="77777777" w:rsidR="0072597D" w:rsidRDefault="0072597D">
      <w:r>
        <w:separator/>
      </w:r>
    </w:p>
  </w:endnote>
  <w:endnote w:type="continuationSeparator" w:id="0">
    <w:p w14:paraId="1F76FF95" w14:textId="77777777" w:rsidR="0072597D" w:rsidRDefault="0072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2C3E0" w14:textId="2E7791B6" w:rsidR="006C0BDC" w:rsidRPr="0021678E" w:rsidRDefault="005863E9" w:rsidP="0021678E">
    <w:pPr>
      <w:pStyle w:val="Footer"/>
      <w:rPr>
        <w:sz w:val="20"/>
        <w:szCs w:val="20"/>
      </w:rPr>
    </w:pPr>
    <w:r w:rsidRPr="0021678E">
      <w:rPr>
        <w:sz w:val="20"/>
        <w:szCs w:val="20"/>
      </w:rPr>
      <w:fldChar w:fldCharType="begin"/>
    </w:r>
    <w:r w:rsidRPr="0021678E">
      <w:rPr>
        <w:sz w:val="20"/>
        <w:szCs w:val="20"/>
      </w:rPr>
      <w:instrText xml:space="preserve"> FILENAME   \* MERGEFORMAT </w:instrText>
    </w:r>
    <w:r w:rsidRPr="0021678E">
      <w:rPr>
        <w:sz w:val="20"/>
        <w:szCs w:val="20"/>
      </w:rPr>
      <w:fldChar w:fldCharType="separate"/>
    </w:r>
    <w:r w:rsidR="00BC2182">
      <w:rPr>
        <w:noProof/>
        <w:sz w:val="20"/>
        <w:szCs w:val="20"/>
      </w:rPr>
      <w:t>MKNot_181220_groz66</w:t>
    </w:r>
    <w:r w:rsidRPr="0021678E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4C31D" w14:textId="06A07114" w:rsidR="002F281C" w:rsidRPr="002F281C" w:rsidRDefault="002F281C">
    <w:pPr>
      <w:pStyle w:val="Footer"/>
      <w:rPr>
        <w:sz w:val="16"/>
        <w:szCs w:val="16"/>
      </w:rPr>
    </w:pPr>
    <w:r w:rsidRPr="002F281C">
      <w:rPr>
        <w:sz w:val="16"/>
        <w:szCs w:val="16"/>
      </w:rPr>
      <w:t>N2595_0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1929E" w14:textId="77777777" w:rsidR="0072597D" w:rsidRDefault="0072597D">
      <w:r>
        <w:separator/>
      </w:r>
    </w:p>
  </w:footnote>
  <w:footnote w:type="continuationSeparator" w:id="0">
    <w:p w14:paraId="3A264DD3" w14:textId="77777777" w:rsidR="0072597D" w:rsidRDefault="00725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118B0F" w14:textId="77777777" w:rsidR="0097781C" w:rsidRDefault="005863E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E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1064AA" w14:textId="77777777" w:rsidR="006457F2" w:rsidRDefault="001725C5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6D30F" w14:textId="77777777" w:rsidR="002F281C" w:rsidRPr="003629D6" w:rsidRDefault="002F281C">
    <w:pPr>
      <w:pStyle w:val="Header"/>
    </w:pPr>
  </w:p>
  <w:p w14:paraId="1B3F8D7F" w14:textId="4B37DC83" w:rsidR="002F281C" w:rsidRDefault="002F281C">
    <w:pPr>
      <w:pStyle w:val="Header"/>
    </w:pPr>
    <w:r>
      <w:rPr>
        <w:noProof/>
      </w:rPr>
      <w:drawing>
        <wp:inline distT="0" distB="0" distL="0" distR="0" wp14:anchorId="7277B1CF" wp14:editId="74ED35D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9CF"/>
    <w:rsid w:val="001725C5"/>
    <w:rsid w:val="002C7E1F"/>
    <w:rsid w:val="002F281C"/>
    <w:rsid w:val="003431C5"/>
    <w:rsid w:val="00436456"/>
    <w:rsid w:val="005863E9"/>
    <w:rsid w:val="006A7296"/>
    <w:rsid w:val="0072597D"/>
    <w:rsid w:val="00872980"/>
    <w:rsid w:val="009919CF"/>
    <w:rsid w:val="00A044FB"/>
    <w:rsid w:val="00A46E3D"/>
    <w:rsid w:val="00A74E11"/>
    <w:rsid w:val="00AF1589"/>
    <w:rsid w:val="00B53135"/>
    <w:rsid w:val="00B90CD3"/>
    <w:rsid w:val="00BC2182"/>
    <w:rsid w:val="00BD248D"/>
    <w:rsid w:val="00D81FC5"/>
    <w:rsid w:val="00E95723"/>
    <w:rsid w:val="00F30A62"/>
    <w:rsid w:val="00F35539"/>
    <w:rsid w:val="00F3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4BAB"/>
  <w15:chartTrackingRefBased/>
  <w15:docId w15:val="{54376F72-076C-49A7-AA9D-1FC09E19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19CF"/>
    <w:pPr>
      <w:spacing w:after="0" w:line="240" w:lineRule="auto"/>
    </w:pPr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919CF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919C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9919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9CF"/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919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9CF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9919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19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19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9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9CF"/>
    <w:rPr>
      <w:rFonts w:eastAsia="Times New Roman" w:cs="Times New Roman"/>
      <w:sz w:val="20"/>
      <w:szCs w:val="20"/>
      <w:lang w:eastAsia="lv-LV"/>
    </w:rPr>
  </w:style>
  <w:style w:type="paragraph" w:customStyle="1" w:styleId="naisf">
    <w:name w:val="naisf"/>
    <w:basedOn w:val="Normal"/>
    <w:link w:val="naisfChar"/>
    <w:rsid w:val="009919CF"/>
    <w:pPr>
      <w:spacing w:before="75" w:after="75"/>
      <w:ind w:firstLine="375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9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CF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paragraph">
    <w:name w:val="paragraph"/>
    <w:basedOn w:val="Normal"/>
    <w:rsid w:val="00A46E3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A46E3D"/>
  </w:style>
  <w:style w:type="paragraph" w:styleId="BodyTextIndent">
    <w:name w:val="Body Text Indent"/>
    <w:basedOn w:val="Normal"/>
    <w:link w:val="BodyTextIndentChar"/>
    <w:rsid w:val="00A46E3D"/>
    <w:pPr>
      <w:ind w:left="142" w:firstLine="578"/>
      <w:jc w:val="both"/>
    </w:pPr>
    <w:rPr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46E3D"/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46E3D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6E3D"/>
    <w:rPr>
      <w:rFonts w:asciiTheme="minorHAnsi" w:hAnsiTheme="minorHAnsi"/>
      <w:sz w:val="22"/>
    </w:rPr>
  </w:style>
  <w:style w:type="paragraph" w:styleId="NormalWeb">
    <w:name w:val="Normal (Web)"/>
    <w:basedOn w:val="Normal"/>
    <w:uiPriority w:val="99"/>
    <w:unhideWhenUsed/>
    <w:rsid w:val="00A46E3D"/>
    <w:pPr>
      <w:spacing w:before="100" w:beforeAutospacing="1" w:after="100" w:afterAutospacing="1"/>
    </w:pPr>
  </w:style>
  <w:style w:type="character" w:customStyle="1" w:styleId="naisfChar">
    <w:name w:val="naisf Char"/>
    <w:link w:val="naisf"/>
    <w:locked/>
    <w:rsid w:val="00A74E11"/>
    <w:rPr>
      <w:rFonts w:eastAsia="Times New Roman" w:cs="Times New Roman"/>
      <w:sz w:val="24"/>
      <w:szCs w:val="24"/>
      <w:lang w:eastAsia="lv-LV"/>
    </w:rPr>
  </w:style>
  <w:style w:type="paragraph" w:customStyle="1" w:styleId="Body">
    <w:name w:val="Body"/>
    <w:rsid w:val="002F281C"/>
    <w:pP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E1F"/>
    <w:rPr>
      <w:rFonts w:eastAsia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02273-valsts-un-pasvaldibu-instituciju-amatpersonu-un-darbinieku-atlidzibas-likum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202273-valsts-un-pasvaldibu-instituciju-amatpersonu-un-darbinieku-atlidzibas-likums" TargetMode="External"/><Relationship Id="rId12" Type="http://schemas.openxmlformats.org/officeDocument/2006/relationships/hyperlink" Target="https://likumi.lv/ta/id/202273-valsts-un-pasvaldibu-instituciju-amatpersonu-un-darbinieku-atlidzibas-likum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likumi.lv/ta/id/202273-valsts-un-pasvaldibu-instituciju-amatpersonu-un-darbinieku-atlidzibas-likums" TargetMode="External"/><Relationship Id="rId11" Type="http://schemas.openxmlformats.org/officeDocument/2006/relationships/hyperlink" Target="https://likumi.lv/ta/id/202273-valsts-un-pasvaldibu-instituciju-amatpersonu-un-darbinieku-atlidzibas-likums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likumi.lv/ta/id/202273-valsts-un-pasvaldibu-instituciju-amatpersonu-un-darbinieku-atlidzibas-likum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ikumi.lv/ta/id/202273-valsts-un-pasvaldibu-instituciju-amatpersonu-un-darbinieku-atlidzibas-likums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1632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 gada 29. janvāra noteikumos Nr. 66 "Noteikumi par valsts un pašvaldību institūciju amatpersonu un darbinieku darba samaksu un tās noteikšanas kārtību"</vt:lpstr>
    </vt:vector>
  </TitlesOfParts>
  <Company>Valsts kanceleja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 gada 29. janvāra noteikumos Nr. 66 "Noteikumi par valsts un pašvaldību institūciju amatpersonu un darbinieku darba samaksu un tās noteikšanas kārtību"</dc:title>
  <dc:subject>Noteikumu projekts</dc:subject>
  <dc:creator>Kristīne Stone</dc:creator>
  <cp:keywords/>
  <dc:description>67082954, kristine.stone@mk.gov.lv</dc:description>
  <cp:lastModifiedBy>Leontine Babkina</cp:lastModifiedBy>
  <cp:revision>13</cp:revision>
  <dcterms:created xsi:type="dcterms:W3CDTF">2020-12-13T13:28:00Z</dcterms:created>
  <dcterms:modified xsi:type="dcterms:W3CDTF">2021-01-11T06:17:00Z</dcterms:modified>
</cp:coreProperties>
</file>