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D0059" w14:textId="7503E666" w:rsidR="00C63BB9" w:rsidRDefault="00CC7978" w:rsidP="00C63BB9">
      <w:pPr>
        <w:jc w:val="center"/>
        <w:rPr>
          <w:b/>
        </w:rPr>
      </w:pPr>
      <w:r>
        <w:rPr>
          <w:b/>
          <w:bCs/>
        </w:rPr>
        <w:t xml:space="preserve">Ministru kabineta rīkojuma projekta </w:t>
      </w:r>
      <w:r>
        <w:rPr>
          <w:b/>
        </w:rPr>
        <w:t>„</w:t>
      </w:r>
      <w:r w:rsidR="00185266">
        <w:rPr>
          <w:b/>
        </w:rPr>
        <w:t>Par valstij piekrītoš</w:t>
      </w:r>
      <w:r w:rsidR="00656247">
        <w:rPr>
          <w:b/>
        </w:rPr>
        <w:t>ā</w:t>
      </w:r>
      <w:r w:rsidR="00185266">
        <w:rPr>
          <w:b/>
        </w:rPr>
        <w:t xml:space="preserve"> nekustam</w:t>
      </w:r>
      <w:r w:rsidR="00656247">
        <w:rPr>
          <w:b/>
        </w:rPr>
        <w:t>ā īpašuma</w:t>
      </w:r>
      <w:r w:rsidR="00FE6B85" w:rsidRPr="00FE6B85">
        <w:rPr>
          <w:b/>
        </w:rPr>
        <w:t xml:space="preserve"> </w:t>
      </w:r>
      <w:r w:rsidR="00656247">
        <w:rPr>
          <w:b/>
        </w:rPr>
        <w:t>Viestura</w:t>
      </w:r>
      <w:r w:rsidR="00A359C7">
        <w:rPr>
          <w:b/>
        </w:rPr>
        <w:t xml:space="preserve"> ielā </w:t>
      </w:r>
      <w:r w:rsidR="00656247">
        <w:rPr>
          <w:b/>
        </w:rPr>
        <w:t>4</w:t>
      </w:r>
      <w:r w:rsidR="00A359C7">
        <w:rPr>
          <w:b/>
        </w:rPr>
        <w:t>4</w:t>
      </w:r>
      <w:r w:rsidR="00FE6B85" w:rsidRPr="00FE6B85">
        <w:rPr>
          <w:b/>
        </w:rPr>
        <w:t xml:space="preserve">, </w:t>
      </w:r>
      <w:r w:rsidR="00656247">
        <w:rPr>
          <w:b/>
        </w:rPr>
        <w:t>Jēkabpilī</w:t>
      </w:r>
      <w:r w:rsidR="00FE6B85" w:rsidRPr="00FE6B85">
        <w:rPr>
          <w:b/>
        </w:rPr>
        <w:t xml:space="preserve"> </w:t>
      </w:r>
      <w:r w:rsidR="00656247">
        <w:rPr>
          <w:b/>
        </w:rPr>
        <w:t>nodošanu Jēkabpils pilsētas</w:t>
      </w:r>
      <w:r w:rsidR="00FE6B85" w:rsidRPr="00FE6B85">
        <w:rPr>
          <w:b/>
        </w:rPr>
        <w:t xml:space="preserve"> pašvaldības īpašumā</w:t>
      </w:r>
      <w:r>
        <w:rPr>
          <w:b/>
        </w:rPr>
        <w:t xml:space="preserve">”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4118F623" w14:textId="77777777" w:rsidR="0008441B" w:rsidRDefault="00CC7978" w:rsidP="00656247">
            <w:pPr>
              <w:jc w:val="both"/>
              <w:rPr>
                <w:color w:val="000000" w:themeColor="text1"/>
              </w:rPr>
            </w:pPr>
            <w:r w:rsidRPr="00681999">
              <w:rPr>
                <w:color w:val="000000" w:themeColor="text1"/>
              </w:rPr>
              <w:t>Minis</w:t>
            </w:r>
            <w:r>
              <w:rPr>
                <w:color w:val="000000" w:themeColor="text1"/>
              </w:rPr>
              <w:t>tru kabineta rīkojuma projekts “</w:t>
            </w:r>
            <w:r w:rsidR="00656247">
              <w:rPr>
                <w:color w:val="000000" w:themeColor="text1"/>
              </w:rPr>
              <w:t>Par valstij piekrītošā nekustamā</w:t>
            </w:r>
            <w:r w:rsidR="00FE6B85" w:rsidRPr="00FE6B85">
              <w:rPr>
                <w:color w:val="000000" w:themeColor="text1"/>
              </w:rPr>
              <w:t xml:space="preserve"> īpašuma</w:t>
            </w:r>
            <w:r w:rsidR="00FA2494">
              <w:t xml:space="preserve"> </w:t>
            </w:r>
            <w:r w:rsidR="00656247">
              <w:t>Viestura ielā 44, Jēkabpilī</w:t>
            </w:r>
            <w:r w:rsidR="00FE6B85" w:rsidRPr="00FE6B85">
              <w:rPr>
                <w:color w:val="000000" w:themeColor="text1"/>
              </w:rPr>
              <w:t xml:space="preserve"> nodošanu </w:t>
            </w:r>
            <w:r w:rsidR="00656247">
              <w:rPr>
                <w:color w:val="000000" w:themeColor="text1"/>
              </w:rPr>
              <w:t>Jēkabpils pilsētas</w:t>
            </w:r>
            <w:r w:rsidR="00FE6B85" w:rsidRPr="00FE6B85">
              <w:rPr>
                <w:color w:val="000000" w:themeColor="text1"/>
              </w:rPr>
              <w:t xml:space="preserve"> pašvaldības īpašumā</w:t>
            </w:r>
            <w:r w:rsidRPr="004C145F">
              <w:rPr>
                <w:color w:val="000000" w:themeColor="text1"/>
              </w:rPr>
              <w:t xml:space="preserve">” (turpmāk – rīkojuma projekts) paredz </w:t>
            </w:r>
            <w:r w:rsidR="00656247">
              <w:rPr>
                <w:color w:val="000000" w:themeColor="text1"/>
              </w:rPr>
              <w:t>nekustamo</w:t>
            </w:r>
            <w:r w:rsidRPr="00C63BB9">
              <w:rPr>
                <w:color w:val="000000" w:themeColor="text1"/>
              </w:rPr>
              <w:t xml:space="preserve"> īpašum</w:t>
            </w:r>
            <w:r w:rsidR="00656247">
              <w:rPr>
                <w:color w:val="000000" w:themeColor="text1"/>
              </w:rPr>
              <w:t>u</w:t>
            </w:r>
            <w:r w:rsidRPr="00C63BB9">
              <w:rPr>
                <w:color w:val="000000" w:themeColor="text1"/>
              </w:rPr>
              <w:t xml:space="preserve"> </w:t>
            </w:r>
            <w:r w:rsidR="00656247">
              <w:rPr>
                <w:color w:val="000000" w:themeColor="text1"/>
                <w:shd w:val="clear" w:color="auto" w:fill="FFFFFF"/>
              </w:rPr>
              <w:t>Viestura ielā 44, Jēkabpilī</w:t>
            </w:r>
            <w:r w:rsidR="00A00963" w:rsidRPr="00A00963">
              <w:rPr>
                <w:color w:val="000000" w:themeColor="text1"/>
                <w:shd w:val="clear" w:color="auto" w:fill="FFFFFF"/>
              </w:rPr>
              <w:t xml:space="preserve"> </w:t>
            </w:r>
            <w:r w:rsidR="00656247">
              <w:rPr>
                <w:color w:val="000000" w:themeColor="text1"/>
                <w:shd w:val="clear" w:color="auto" w:fill="FFFFFF"/>
              </w:rPr>
              <w:t>ar uz tā</w:t>
            </w:r>
            <w:r w:rsidR="00A00963">
              <w:rPr>
                <w:color w:val="000000" w:themeColor="text1"/>
                <w:shd w:val="clear" w:color="auto" w:fill="FFFFFF"/>
              </w:rPr>
              <w:t xml:space="preserve"> </w:t>
            </w:r>
            <w:r w:rsidR="00656247">
              <w:rPr>
                <w:color w:val="000000" w:themeColor="text1"/>
              </w:rPr>
              <w:t>esošo būvi</w:t>
            </w:r>
            <w:r w:rsidR="00A00963">
              <w:rPr>
                <w:color w:val="000000" w:themeColor="text1"/>
              </w:rPr>
              <w:t>,</w:t>
            </w:r>
            <w:r>
              <w:rPr>
                <w:color w:val="000000" w:themeColor="text1"/>
              </w:rPr>
              <w:t xml:space="preserve"> nodot </w:t>
            </w:r>
            <w:r w:rsidR="00656247">
              <w:rPr>
                <w:color w:val="000000" w:themeColor="text1"/>
              </w:rPr>
              <w:t>Jēkabpils pilsētas</w:t>
            </w:r>
            <w:r>
              <w:rPr>
                <w:color w:val="000000" w:themeColor="text1"/>
              </w:rPr>
              <w:t xml:space="preserve"> pašvaldībai likuma</w:t>
            </w:r>
            <w:r w:rsidRPr="00681999">
              <w:rPr>
                <w:color w:val="000000" w:themeColor="text1"/>
              </w:rPr>
              <w:t xml:space="preserve"> „Par pašva</w:t>
            </w:r>
            <w:r>
              <w:rPr>
                <w:color w:val="000000" w:themeColor="text1"/>
              </w:rPr>
              <w:t>ldībām” 15. panta pirmās</w:t>
            </w:r>
            <w:r w:rsidR="00656247">
              <w:rPr>
                <w:color w:val="000000" w:themeColor="text1"/>
              </w:rPr>
              <w:t xml:space="preserve"> daļas 2</w:t>
            </w:r>
            <w:r w:rsidR="0014767B">
              <w:rPr>
                <w:color w:val="000000" w:themeColor="text1"/>
              </w:rPr>
              <w:t>.</w:t>
            </w:r>
            <w:r w:rsidRPr="00681999">
              <w:rPr>
                <w:color w:val="000000" w:themeColor="text1"/>
              </w:rPr>
              <w:t>punktā</w:t>
            </w:r>
            <w:r w:rsidR="00656247">
              <w:rPr>
                <w:color w:val="000000" w:themeColor="text1"/>
              </w:rPr>
              <w:t xml:space="preserve"> noteiktās funkcijas</w:t>
            </w:r>
            <w:r>
              <w:rPr>
                <w:color w:val="000000" w:themeColor="text1"/>
              </w:rPr>
              <w:t xml:space="preserve"> īstenošanai </w:t>
            </w:r>
            <w:r w:rsidRPr="00681999">
              <w:rPr>
                <w:color w:val="000000" w:themeColor="text1"/>
              </w:rPr>
              <w:t>–</w:t>
            </w:r>
            <w:r w:rsidR="005428B4">
              <w:rPr>
                <w:color w:val="000000" w:themeColor="text1"/>
              </w:rPr>
              <w:t xml:space="preserve"> </w:t>
            </w:r>
            <w:r w:rsidR="00656247">
              <w:rPr>
                <w:color w:val="000000" w:themeColor="text1"/>
                <w:shd w:val="clear" w:color="auto" w:fill="FFFFFF"/>
              </w:rPr>
              <w:t>stāvlaukuma izbūvei</w:t>
            </w:r>
            <w:r w:rsidRPr="00A00963">
              <w:t>.</w:t>
            </w:r>
            <w:r>
              <w:t xml:space="preserve"> Pārņemot </w:t>
            </w:r>
            <w:r w:rsidR="00656247">
              <w:t>zemes gabalu</w:t>
            </w:r>
            <w:r w:rsidR="00F14779">
              <w:t xml:space="preserve"> un </w:t>
            </w:r>
            <w:r w:rsidR="00656247">
              <w:t>būvi</w:t>
            </w:r>
            <w:r>
              <w:t xml:space="preserve"> pašvaldības īpašumā, pašvaldībai būs iespēja pilnvērtīgi apsaimniekot nekustamo īpašumu</w:t>
            </w:r>
            <w:r>
              <w:rPr>
                <w:color w:val="000000" w:themeColor="text1"/>
              </w:rPr>
              <w:t>.</w:t>
            </w:r>
          </w:p>
          <w:p w14:paraId="129D005E" w14:textId="06FF8A8E" w:rsidR="00AD188D" w:rsidRDefault="00AD188D" w:rsidP="00656247">
            <w:pPr>
              <w:jc w:val="both"/>
              <w:rPr>
                <w:sz w:val="26"/>
                <w:szCs w:val="26"/>
              </w:rPr>
            </w:pPr>
            <w:r w:rsidRPr="00AA28A9">
              <w:rPr>
                <w:color w:val="000000" w:themeColor="text1"/>
              </w:rPr>
              <w:t>Rīkojums stāsies spēkā tā parakstīšanas brīdī.</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7277"/>
      </w:tblGrid>
      <w:tr w:rsidR="00873FE6" w14:paraId="129D0062" w14:textId="77777777" w:rsidTr="00D84DE8">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84DE8">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7A9C8F7E" w14:textId="3620744D" w:rsidR="00AD188D" w:rsidRPr="003B19BA" w:rsidRDefault="00FE6B85" w:rsidP="00AA28A9">
            <w:pPr>
              <w:ind w:left="199" w:right="165"/>
              <w:jc w:val="both"/>
            </w:pPr>
            <w:r w:rsidRPr="00FE6B85">
              <w:t xml:space="preserve">Civillikuma 417. pants, Publiskas personas mantas atsavināšanas likuma (turpmāk – Atsavināšanas likums) 42. panta pirmā daļa </w:t>
            </w:r>
            <w:r w:rsidR="002E3CC0">
              <w:t>42.</w:t>
            </w:r>
            <w:r w:rsidR="002E3CC0" w:rsidRPr="002E3CC0">
              <w:rPr>
                <w:vertAlign w:val="superscript"/>
              </w:rPr>
              <w:t>1</w:t>
            </w:r>
            <w:r w:rsidR="002E3CC0">
              <w:t xml:space="preserve"> </w:t>
            </w:r>
            <w:r w:rsidRPr="00FE6B85">
              <w:t>un 43. pants</w:t>
            </w:r>
            <w:r w:rsidR="00AD188D">
              <w:t>,</w:t>
            </w:r>
            <w:r w:rsidR="00AD188D" w:rsidRPr="003B19BA">
              <w:t xml:space="preserve"> un likuma “Par pašvaldībām” 15.panta pirmā</w:t>
            </w:r>
            <w:r w:rsidR="00AD188D">
              <w:t>s</w:t>
            </w:r>
            <w:r w:rsidR="00AD188D" w:rsidRPr="003B19BA">
              <w:t xml:space="preserve"> daļas 2.punkts.</w:t>
            </w:r>
          </w:p>
          <w:p w14:paraId="129D0065" w14:textId="61F35BA6" w:rsidR="00AD188D" w:rsidRDefault="00AD188D" w:rsidP="0044658C">
            <w:pPr>
              <w:ind w:left="199" w:right="165"/>
              <w:jc w:val="both"/>
            </w:pPr>
            <w:r>
              <w:t>Jēkabpils pilsētas dome</w:t>
            </w:r>
            <w:r w:rsidR="00F03FF4">
              <w:t>s</w:t>
            </w:r>
            <w:r>
              <w:t xml:space="preserve"> 2020. gada 13.februāra </w:t>
            </w:r>
            <w:r w:rsidR="00F03FF4">
              <w:t>lēmums</w:t>
            </w:r>
            <w:r>
              <w:t xml:space="preserve"> Nr. 73 </w:t>
            </w:r>
            <w:r w:rsidRPr="00576B9C">
              <w:t>„</w:t>
            </w:r>
            <w:r w:rsidRPr="00576B9C">
              <w:rPr>
                <w:color w:val="000000"/>
              </w:rPr>
              <w:t>Par nekustamā īpašuma pārņemšanu īpašumā bez atlīdzības”.</w:t>
            </w:r>
          </w:p>
        </w:tc>
      </w:tr>
      <w:tr w:rsidR="00873FE6" w14:paraId="129D00B5" w14:textId="77777777" w:rsidTr="00D84DE8">
        <w:trPr>
          <w:trHeight w:val="699"/>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7277" w:type="dxa"/>
            <w:tcBorders>
              <w:top w:val="single" w:sz="4" w:space="0" w:color="auto"/>
              <w:left w:val="single" w:sz="4" w:space="0" w:color="auto"/>
              <w:bottom w:val="single" w:sz="4" w:space="0" w:color="auto"/>
              <w:right w:val="single" w:sz="4" w:space="0" w:color="auto"/>
            </w:tcBorders>
            <w:hideMark/>
          </w:tcPr>
          <w:p w14:paraId="272A3335" w14:textId="161A88B7" w:rsidR="00745633" w:rsidRDefault="00165376" w:rsidP="00745633">
            <w:pPr>
              <w:widowControl w:val="0"/>
              <w:autoSpaceDE w:val="0"/>
              <w:autoSpaceDN w:val="0"/>
              <w:adjustRightInd w:val="0"/>
              <w:spacing w:before="100" w:after="147"/>
              <w:ind w:left="170"/>
              <w:jc w:val="both"/>
              <w:rPr>
                <w:color w:val="000000" w:themeColor="text1"/>
              </w:rPr>
            </w:pPr>
            <w:r>
              <w:rPr>
                <w:color w:val="000000" w:themeColor="text1"/>
              </w:rPr>
              <w:lastRenderedPageBreak/>
              <w:t xml:space="preserve">Atbilstoši </w:t>
            </w:r>
            <w:r w:rsidR="004E7C4E">
              <w:rPr>
                <w:color w:val="000000" w:themeColor="text1"/>
              </w:rPr>
              <w:t>Vidzemes priekšpilsētas tiesas 2019.gada 2.oktobra spriedumam civillietā Nr.C30513018 Finanšu ministijas pieteikumā par juridiskā fakta kontatēšanu ar ieinteresētajām personām Jēkapbils pilsētas pašvaldību un valsts akciju sabiedrību „Privatizācijas aģentūra” tika kontatēts juridiskais fakts, ka nekustamais īpašums Viestura ielā 44, Jēkabpilī ir bezīpašnieka manta, kas piekrīt Latvijas valstij. Spriedums stājies likumīgā spēkā 2019.gada 23.oktobrī.</w:t>
            </w:r>
          </w:p>
          <w:p w14:paraId="39B2A87B" w14:textId="6C93A6DE" w:rsidR="00165376" w:rsidRPr="00745633" w:rsidRDefault="004E7C4E" w:rsidP="00745633">
            <w:pPr>
              <w:widowControl w:val="0"/>
              <w:autoSpaceDE w:val="0"/>
              <w:autoSpaceDN w:val="0"/>
              <w:adjustRightInd w:val="0"/>
              <w:spacing w:before="100" w:after="147"/>
              <w:ind w:left="170"/>
              <w:jc w:val="both"/>
              <w:rPr>
                <w:color w:val="000000" w:themeColor="text1"/>
              </w:rPr>
            </w:pPr>
            <w:r>
              <w:t>Nekustamais īpašums</w:t>
            </w:r>
            <w:r w:rsidR="00745633">
              <w:t xml:space="preserve"> </w:t>
            </w:r>
            <w:r>
              <w:rPr>
                <w:color w:val="000000" w:themeColor="text1"/>
                <w:shd w:val="clear" w:color="auto" w:fill="FFFFFF"/>
              </w:rPr>
              <w:t>Viestura</w:t>
            </w:r>
            <w:r w:rsidR="00745633" w:rsidRPr="00A00963">
              <w:rPr>
                <w:color w:val="000000" w:themeColor="text1"/>
                <w:shd w:val="clear" w:color="auto" w:fill="FFFFFF"/>
              </w:rPr>
              <w:t xml:space="preserve"> ielā </w:t>
            </w:r>
            <w:r>
              <w:rPr>
                <w:color w:val="000000" w:themeColor="text1"/>
                <w:shd w:val="clear" w:color="auto" w:fill="FFFFFF"/>
              </w:rPr>
              <w:t>4</w:t>
            </w:r>
            <w:r w:rsidR="00745633" w:rsidRPr="00A00963">
              <w:rPr>
                <w:color w:val="000000" w:themeColor="text1"/>
                <w:shd w:val="clear" w:color="auto" w:fill="FFFFFF"/>
              </w:rPr>
              <w:t xml:space="preserve">4, </w:t>
            </w:r>
            <w:r>
              <w:rPr>
                <w:color w:val="000000" w:themeColor="text1"/>
                <w:shd w:val="clear" w:color="auto" w:fill="FFFFFF"/>
              </w:rPr>
              <w:t>Jēkabpilī</w:t>
            </w:r>
            <w:r w:rsidR="00745633" w:rsidRPr="00A00963">
              <w:rPr>
                <w:color w:val="000000" w:themeColor="text1"/>
                <w:shd w:val="clear" w:color="auto" w:fill="FFFFFF"/>
              </w:rPr>
              <w:t xml:space="preserve"> (</w:t>
            </w:r>
            <w:r w:rsidR="00745633" w:rsidRPr="004E7C4E">
              <w:rPr>
                <w:color w:val="000000" w:themeColor="text1"/>
                <w:shd w:val="clear" w:color="auto" w:fill="FFFFFF"/>
              </w:rPr>
              <w:t>kadastra Nr.</w:t>
            </w:r>
            <w:r w:rsidRPr="004E7C4E">
              <w:rPr>
                <w:color w:val="000000"/>
              </w:rPr>
              <w:t>5601 002 2754</w:t>
            </w:r>
            <w:r w:rsidR="00745633" w:rsidRPr="004E7C4E">
              <w:rPr>
                <w:color w:val="000000" w:themeColor="text1"/>
                <w:shd w:val="clear" w:color="auto" w:fill="FFFFFF"/>
              </w:rPr>
              <w:t>)</w:t>
            </w:r>
            <w:r w:rsidR="00745633" w:rsidRPr="00A00963">
              <w:rPr>
                <w:color w:val="000000" w:themeColor="text1"/>
                <w:shd w:val="clear" w:color="auto" w:fill="FFFFFF"/>
              </w:rPr>
              <w:t xml:space="preserve">, </w:t>
            </w:r>
            <w:r>
              <w:rPr>
                <w:color w:val="000000" w:themeColor="text1"/>
                <w:shd w:val="clear" w:color="auto" w:fill="FFFFFF"/>
              </w:rPr>
              <w:t>ar uz tā</w:t>
            </w:r>
            <w:r w:rsidR="00745633">
              <w:rPr>
                <w:color w:val="000000" w:themeColor="text1"/>
                <w:shd w:val="clear" w:color="auto" w:fill="FFFFFF"/>
              </w:rPr>
              <w:t xml:space="preserve"> </w:t>
            </w:r>
            <w:r>
              <w:rPr>
                <w:color w:val="000000" w:themeColor="text1"/>
              </w:rPr>
              <w:t>esošo būvi</w:t>
            </w:r>
            <w:r w:rsidR="00165376">
              <w:rPr>
                <w:color w:val="000000" w:themeColor="text1"/>
              </w:rPr>
              <w:t xml:space="preserve"> </w:t>
            </w:r>
            <w:r>
              <w:rPr>
                <w:color w:val="000000" w:themeColor="text1"/>
              </w:rPr>
              <w:t>atzīstams</w:t>
            </w:r>
            <w:r w:rsidR="00745633">
              <w:rPr>
                <w:color w:val="000000" w:themeColor="text1"/>
              </w:rPr>
              <w:t xml:space="preserve"> par bezmantinieka man</w:t>
            </w:r>
            <w:r>
              <w:rPr>
                <w:color w:val="000000" w:themeColor="text1"/>
              </w:rPr>
              <w:t>tu un saskaņā ar Civillikuma 417</w:t>
            </w:r>
            <w:r w:rsidR="00745633">
              <w:rPr>
                <w:color w:val="000000" w:themeColor="text1"/>
              </w:rPr>
              <w:t xml:space="preserve">.pantu ir piekritīgi valstij, </w:t>
            </w:r>
            <w:r w:rsidR="00165376">
              <w:rPr>
                <w:color w:val="000000" w:themeColor="text1"/>
              </w:rPr>
              <w:t>jo</w:t>
            </w:r>
            <w:r w:rsidR="00BD3782">
              <w:rPr>
                <w:color w:val="000000" w:themeColor="text1"/>
              </w:rPr>
              <w:t xml:space="preserve"> saskaņā ar Jēkabpils pilsētas zemesgrāmatu nodalījuma Nr.10000099606 ierakstu īpašnie</w:t>
            </w:r>
            <w:r w:rsidR="0014778B">
              <w:rPr>
                <w:color w:val="000000" w:themeColor="text1"/>
              </w:rPr>
              <w:t>c</w:t>
            </w:r>
            <w:r w:rsidR="00BD3782">
              <w:rPr>
                <w:color w:val="000000" w:themeColor="text1"/>
              </w:rPr>
              <w:t xml:space="preserve">e ir </w:t>
            </w:r>
            <w:r>
              <w:rPr>
                <w:color w:val="000000" w:themeColor="text1"/>
              </w:rPr>
              <w:t>SIA „Admiral Real Estate”</w:t>
            </w:r>
            <w:r w:rsidR="00BD3782">
              <w:rPr>
                <w:color w:val="000000" w:themeColor="text1"/>
              </w:rPr>
              <w:t>, kura, pamatojoties uz Lursoft datiem,  2017.gada 3.aprīlī ir likvidēta.</w:t>
            </w:r>
          </w:p>
          <w:p w14:paraId="555353C3" w14:textId="566AB5E0" w:rsidR="00A00963" w:rsidRPr="00502D34" w:rsidRDefault="00502D34" w:rsidP="00FE6B85">
            <w:pPr>
              <w:pStyle w:val="tv2131"/>
              <w:spacing w:line="240" w:lineRule="auto"/>
              <w:ind w:left="198" w:right="164" w:firstLine="0"/>
              <w:jc w:val="both"/>
              <w:rPr>
                <w:color w:val="000000" w:themeColor="text1"/>
                <w:sz w:val="24"/>
                <w:szCs w:val="24"/>
              </w:rPr>
            </w:pPr>
            <w:r>
              <w:rPr>
                <w:color w:val="000000" w:themeColor="text1"/>
                <w:sz w:val="24"/>
                <w:szCs w:val="24"/>
              </w:rPr>
              <w:t>2020.gada 20.janvārī</w:t>
            </w:r>
            <w:r w:rsidR="00165376">
              <w:rPr>
                <w:color w:val="000000" w:themeColor="text1"/>
                <w:sz w:val="24"/>
                <w:szCs w:val="24"/>
              </w:rPr>
              <w:t xml:space="preserve"> Valsts ieņēmumu </w:t>
            </w:r>
            <w:r w:rsidR="00165376" w:rsidRPr="00502D34">
              <w:rPr>
                <w:color w:val="000000" w:themeColor="text1"/>
                <w:sz w:val="24"/>
                <w:szCs w:val="24"/>
              </w:rPr>
              <w:t>dienests</w:t>
            </w:r>
            <w:r w:rsidR="00DA7E62" w:rsidRPr="00502D34">
              <w:rPr>
                <w:color w:val="000000" w:themeColor="text1"/>
                <w:sz w:val="24"/>
                <w:szCs w:val="24"/>
              </w:rPr>
              <w:t xml:space="preserve"> (turpmāk – VID)</w:t>
            </w:r>
            <w:r w:rsidRPr="00502D34">
              <w:rPr>
                <w:color w:val="000000" w:themeColor="text1"/>
                <w:sz w:val="24"/>
                <w:szCs w:val="24"/>
              </w:rPr>
              <w:t xml:space="preserve"> informē Jēkabpils pilsētas pašvaldību par to, ka ir saņēmis Vidzemes priekšpilsētas tiesa</w:t>
            </w:r>
            <w:r>
              <w:rPr>
                <w:color w:val="000000" w:themeColor="text1"/>
                <w:sz w:val="24"/>
                <w:szCs w:val="24"/>
              </w:rPr>
              <w:t>s 2019.gada 2.oktobra spriedumu</w:t>
            </w:r>
            <w:r w:rsidRPr="00502D34">
              <w:rPr>
                <w:color w:val="000000" w:themeColor="text1"/>
                <w:sz w:val="24"/>
                <w:szCs w:val="24"/>
              </w:rPr>
              <w:t xml:space="preserve"> civillietā Nr.C30513018</w:t>
            </w:r>
            <w:r w:rsidR="00AD188D">
              <w:rPr>
                <w:color w:val="000000" w:themeColor="text1"/>
                <w:sz w:val="24"/>
                <w:szCs w:val="24"/>
              </w:rPr>
              <w:t>,</w:t>
            </w:r>
            <w:r w:rsidRPr="00502D34">
              <w:rPr>
                <w:color w:val="000000" w:themeColor="text1"/>
                <w:sz w:val="24"/>
                <w:szCs w:val="24"/>
              </w:rPr>
              <w:t xml:space="preserve"> </w:t>
            </w:r>
            <w:r>
              <w:rPr>
                <w:color w:val="000000" w:themeColor="text1"/>
                <w:sz w:val="24"/>
                <w:szCs w:val="24"/>
              </w:rPr>
              <w:t>un nekustamais īpašums ir ņemts uzskaitē.</w:t>
            </w:r>
          </w:p>
          <w:p w14:paraId="04A06BF7" w14:textId="77777777" w:rsidR="00A00963" w:rsidRDefault="00A00963" w:rsidP="00FE6B85">
            <w:pPr>
              <w:pStyle w:val="tv2131"/>
              <w:spacing w:line="240" w:lineRule="auto"/>
              <w:ind w:left="198" w:right="164" w:firstLine="0"/>
              <w:jc w:val="both"/>
              <w:rPr>
                <w:color w:val="000000" w:themeColor="text1"/>
                <w:sz w:val="24"/>
                <w:szCs w:val="24"/>
              </w:rPr>
            </w:pPr>
          </w:p>
          <w:p w14:paraId="6A48FB4D" w14:textId="56D02518" w:rsidR="00FE6B85" w:rsidRDefault="00FE6B85" w:rsidP="00FE6B85">
            <w:pPr>
              <w:pStyle w:val="tv2131"/>
              <w:spacing w:line="240" w:lineRule="auto"/>
              <w:ind w:left="198" w:right="164" w:firstLine="0"/>
              <w:jc w:val="both"/>
              <w:rPr>
                <w:color w:val="000000" w:themeColor="text1"/>
                <w:sz w:val="24"/>
                <w:szCs w:val="24"/>
                <w:shd w:val="clear" w:color="auto" w:fill="FFFFFF"/>
              </w:rPr>
            </w:pPr>
            <w:r w:rsidRPr="00BD3782">
              <w:rPr>
                <w:color w:val="000000" w:themeColor="text1"/>
                <w:sz w:val="24"/>
                <w:szCs w:val="24"/>
              </w:rPr>
              <w:t>Nekustamais īpašums</w:t>
            </w:r>
            <w:r w:rsidR="00B3596B" w:rsidRPr="00BD3782">
              <w:rPr>
                <w:color w:val="000000" w:themeColor="text1"/>
                <w:sz w:val="24"/>
                <w:szCs w:val="24"/>
              </w:rPr>
              <w:t xml:space="preserve"> </w:t>
            </w:r>
            <w:r w:rsidR="00BD3782" w:rsidRPr="00BD3782">
              <w:rPr>
                <w:color w:val="000000" w:themeColor="text1"/>
                <w:sz w:val="24"/>
                <w:szCs w:val="24"/>
                <w:shd w:val="clear" w:color="auto" w:fill="FFFFFF"/>
              </w:rPr>
              <w:t>Viestura</w:t>
            </w:r>
            <w:r w:rsidR="00B3596B" w:rsidRPr="00BD3782">
              <w:rPr>
                <w:color w:val="000000" w:themeColor="text1"/>
                <w:sz w:val="24"/>
                <w:szCs w:val="24"/>
                <w:shd w:val="clear" w:color="auto" w:fill="FFFFFF"/>
              </w:rPr>
              <w:t xml:space="preserve"> ielā </w:t>
            </w:r>
            <w:r w:rsidR="00BD3782" w:rsidRPr="00BD3782">
              <w:rPr>
                <w:color w:val="000000" w:themeColor="text1"/>
                <w:sz w:val="24"/>
                <w:szCs w:val="24"/>
                <w:shd w:val="clear" w:color="auto" w:fill="FFFFFF"/>
              </w:rPr>
              <w:t>4</w:t>
            </w:r>
            <w:r w:rsidR="00B3596B" w:rsidRPr="00BD3782">
              <w:rPr>
                <w:color w:val="000000" w:themeColor="text1"/>
                <w:sz w:val="24"/>
                <w:szCs w:val="24"/>
                <w:shd w:val="clear" w:color="auto" w:fill="FFFFFF"/>
              </w:rPr>
              <w:t xml:space="preserve">4, </w:t>
            </w:r>
            <w:r w:rsidR="00BD3782" w:rsidRPr="00BD3782">
              <w:rPr>
                <w:color w:val="000000" w:themeColor="text1"/>
                <w:sz w:val="24"/>
                <w:szCs w:val="24"/>
                <w:shd w:val="clear" w:color="auto" w:fill="FFFFFF"/>
              </w:rPr>
              <w:t>Jēkabpilī</w:t>
            </w:r>
            <w:r w:rsidR="00B3596B" w:rsidRPr="00BD3782">
              <w:rPr>
                <w:color w:val="000000" w:themeColor="text1"/>
                <w:sz w:val="24"/>
                <w:szCs w:val="24"/>
                <w:shd w:val="clear" w:color="auto" w:fill="FFFFFF"/>
              </w:rPr>
              <w:t xml:space="preserve"> (kadastra Nr.</w:t>
            </w:r>
            <w:r w:rsidR="00BD3782" w:rsidRPr="00BD3782">
              <w:rPr>
                <w:color w:val="000000"/>
                <w:sz w:val="24"/>
                <w:szCs w:val="24"/>
              </w:rPr>
              <w:t>5601 002 2754</w:t>
            </w:r>
            <w:r w:rsidR="00B3596B" w:rsidRPr="00BD3782">
              <w:rPr>
                <w:color w:val="000000" w:themeColor="text1"/>
                <w:sz w:val="24"/>
                <w:szCs w:val="24"/>
                <w:shd w:val="clear" w:color="auto" w:fill="FFFFFF"/>
              </w:rPr>
              <w:t>)</w:t>
            </w:r>
            <w:r w:rsidRPr="00BD3782">
              <w:rPr>
                <w:color w:val="000000" w:themeColor="text1"/>
                <w:sz w:val="24"/>
                <w:szCs w:val="24"/>
              </w:rPr>
              <w:t xml:space="preserve"> reģistrēts </w:t>
            </w:r>
            <w:r w:rsidR="00BD3782" w:rsidRPr="00BD3782">
              <w:rPr>
                <w:color w:val="000000" w:themeColor="text1"/>
                <w:sz w:val="24"/>
                <w:szCs w:val="24"/>
              </w:rPr>
              <w:t>Jēkabpils</w:t>
            </w:r>
            <w:r w:rsidR="00B3596B" w:rsidRPr="00BD3782">
              <w:rPr>
                <w:color w:val="000000" w:themeColor="text1"/>
                <w:sz w:val="24"/>
                <w:szCs w:val="24"/>
              </w:rPr>
              <w:t xml:space="preserve"> pilsētas Zemesgrāmatas</w:t>
            </w:r>
            <w:r w:rsidRPr="00BD3782">
              <w:rPr>
                <w:color w:val="000000" w:themeColor="text1"/>
                <w:sz w:val="24"/>
                <w:szCs w:val="24"/>
              </w:rPr>
              <w:t xml:space="preserve"> nodalījumā Nr</w:t>
            </w:r>
            <w:r w:rsidR="00B3596B" w:rsidRPr="00BD3782">
              <w:rPr>
                <w:color w:val="000000" w:themeColor="text1"/>
                <w:sz w:val="24"/>
                <w:szCs w:val="24"/>
              </w:rPr>
              <w:t>.</w:t>
            </w:r>
            <w:r w:rsidR="00BD3782" w:rsidRPr="00BD3782">
              <w:rPr>
                <w:color w:val="000000" w:themeColor="text1"/>
                <w:sz w:val="24"/>
                <w:szCs w:val="24"/>
              </w:rPr>
              <w:t>10000099606.</w:t>
            </w:r>
            <w:r w:rsidRPr="00BD3782">
              <w:rPr>
                <w:color w:val="000000" w:themeColor="text1"/>
                <w:sz w:val="24"/>
                <w:szCs w:val="24"/>
              </w:rPr>
              <w:t xml:space="preserve"> Nekustamais īpašums </w:t>
            </w:r>
            <w:r w:rsidR="00105EB4" w:rsidRPr="00BD3782">
              <w:rPr>
                <w:color w:val="000000" w:themeColor="text1"/>
                <w:sz w:val="24"/>
                <w:szCs w:val="24"/>
              </w:rPr>
              <w:t>sastāv no</w:t>
            </w:r>
            <w:r w:rsidR="00784EE4" w:rsidRPr="00BD3782">
              <w:rPr>
                <w:color w:val="000000" w:themeColor="text1"/>
                <w:sz w:val="24"/>
                <w:szCs w:val="24"/>
              </w:rPr>
              <w:t xml:space="preserve"> zemes </w:t>
            </w:r>
            <w:r w:rsidR="00BD3782" w:rsidRPr="00BD3782">
              <w:rPr>
                <w:color w:val="000000" w:themeColor="text1"/>
                <w:sz w:val="24"/>
                <w:szCs w:val="24"/>
              </w:rPr>
              <w:t>vienības 6708</w:t>
            </w:r>
            <w:r w:rsidR="00784EE4" w:rsidRPr="00BD3782">
              <w:rPr>
                <w:color w:val="000000" w:themeColor="text1"/>
                <w:sz w:val="24"/>
                <w:szCs w:val="24"/>
              </w:rPr>
              <w:t xml:space="preserve"> m</w:t>
            </w:r>
            <w:r w:rsidR="00784EE4" w:rsidRPr="00BD3782">
              <w:rPr>
                <w:color w:val="000000" w:themeColor="text1"/>
                <w:sz w:val="24"/>
                <w:szCs w:val="24"/>
                <w:vertAlign w:val="superscript"/>
              </w:rPr>
              <w:t>2</w:t>
            </w:r>
            <w:r w:rsidR="00784EE4" w:rsidRPr="00BD3782">
              <w:rPr>
                <w:color w:val="000000" w:themeColor="text1"/>
                <w:sz w:val="24"/>
                <w:szCs w:val="24"/>
              </w:rPr>
              <w:t xml:space="preserve"> platībā un</w:t>
            </w:r>
            <w:r w:rsidR="00B3596B" w:rsidRPr="00BD3782">
              <w:rPr>
                <w:color w:val="000000" w:themeColor="text1"/>
                <w:sz w:val="24"/>
                <w:szCs w:val="24"/>
              </w:rPr>
              <w:t xml:space="preserve"> </w:t>
            </w:r>
            <w:r w:rsidR="00BD3782" w:rsidRPr="00BD3782">
              <w:rPr>
                <w:color w:val="000000" w:themeColor="text1"/>
                <w:sz w:val="24"/>
                <w:szCs w:val="24"/>
              </w:rPr>
              <w:t>būves ar</w:t>
            </w:r>
            <w:r w:rsidR="00B3596B" w:rsidRPr="00BD3782">
              <w:rPr>
                <w:color w:val="000000" w:themeColor="text1"/>
                <w:sz w:val="24"/>
                <w:szCs w:val="24"/>
                <w:shd w:val="clear" w:color="auto" w:fill="FFFFFF"/>
              </w:rPr>
              <w:t xml:space="preserve"> kadastra </w:t>
            </w:r>
            <w:r w:rsidR="00BD3782" w:rsidRPr="00BD3782">
              <w:rPr>
                <w:color w:val="000000" w:themeColor="text1"/>
                <w:sz w:val="24"/>
                <w:szCs w:val="24"/>
                <w:shd w:val="clear" w:color="auto" w:fill="FFFFFF"/>
              </w:rPr>
              <w:t>apzīmējumu</w:t>
            </w:r>
            <w:r w:rsidR="00B3596B" w:rsidRPr="00BD3782">
              <w:rPr>
                <w:color w:val="000000" w:themeColor="text1"/>
                <w:sz w:val="24"/>
                <w:szCs w:val="24"/>
                <w:shd w:val="clear" w:color="auto" w:fill="FFFFFF"/>
              </w:rPr>
              <w:t xml:space="preserve"> </w:t>
            </w:r>
            <w:r w:rsidR="00BD3782" w:rsidRPr="00BD3782">
              <w:rPr>
                <w:color w:val="000000" w:themeColor="text1"/>
                <w:sz w:val="24"/>
                <w:szCs w:val="24"/>
              </w:rPr>
              <w:t>10000099606</w:t>
            </w:r>
            <w:r w:rsidR="00BD3782" w:rsidRPr="00BD3782">
              <w:rPr>
                <w:color w:val="000000" w:themeColor="text1"/>
                <w:sz w:val="24"/>
                <w:szCs w:val="24"/>
                <w:shd w:val="clear" w:color="auto" w:fill="FFFFFF"/>
              </w:rPr>
              <w:t xml:space="preserve"> 001</w:t>
            </w:r>
            <w:r w:rsidR="00B3596B" w:rsidRPr="00BD3782">
              <w:rPr>
                <w:color w:val="000000" w:themeColor="text1"/>
                <w:sz w:val="24"/>
                <w:szCs w:val="24"/>
                <w:shd w:val="clear" w:color="auto" w:fill="FFFFFF"/>
              </w:rPr>
              <w:t xml:space="preserve">, </w:t>
            </w:r>
            <w:r w:rsidR="00BD3782">
              <w:rPr>
                <w:color w:val="000000" w:themeColor="text1"/>
                <w:sz w:val="24"/>
                <w:szCs w:val="24"/>
                <w:shd w:val="clear" w:color="auto" w:fill="FFFFFF"/>
              </w:rPr>
              <w:t xml:space="preserve">kas ir nepabeigta celtniecība saskaņā ar </w:t>
            </w:r>
            <w:r w:rsidR="00AD188D" w:rsidRPr="00F55192">
              <w:rPr>
                <w:sz w:val="24"/>
                <w:szCs w:val="24"/>
              </w:rPr>
              <w:t>Nekustamā īpašuma valsts kadastra informācijas sistēma</w:t>
            </w:r>
            <w:r w:rsidR="00AD188D">
              <w:rPr>
                <w:sz w:val="24"/>
                <w:szCs w:val="24"/>
              </w:rPr>
              <w:t>s</w:t>
            </w:r>
            <w:r w:rsidR="00BD3782">
              <w:rPr>
                <w:color w:val="000000" w:themeColor="text1"/>
                <w:sz w:val="24"/>
                <w:szCs w:val="24"/>
                <w:shd w:val="clear" w:color="auto" w:fill="FFFFFF"/>
              </w:rPr>
              <w:t xml:space="preserve"> datiem. </w:t>
            </w:r>
          </w:p>
          <w:p w14:paraId="1D1332A2" w14:textId="559347E1" w:rsidR="00800618" w:rsidRDefault="00800618" w:rsidP="00F03FF4">
            <w:pPr>
              <w:pStyle w:val="ListParagraph"/>
              <w:spacing w:after="0" w:line="240" w:lineRule="auto"/>
              <w:ind w:left="17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lastRenderedPageBreak/>
              <w:t xml:space="preserve">Saskaņā ar informāciju no Nekustamā īpašuma valsts kadastra informācijas sistēmas </w:t>
            </w:r>
            <w:r>
              <w:rPr>
                <w:rFonts w:ascii="Times New Roman" w:eastAsia="Times New Roman" w:hAnsi="Times New Roman" w:cs="Times New Roman"/>
                <w:sz w:val="24"/>
                <w:szCs w:val="24"/>
              </w:rPr>
              <w:t>zemes vienības</w:t>
            </w:r>
            <w:r w:rsidRPr="00F55192">
              <w:rPr>
                <w:rFonts w:ascii="Times New Roman" w:eastAsia="Times New Roman" w:hAnsi="Times New Roman" w:cs="Times New Roman"/>
                <w:sz w:val="24"/>
                <w:szCs w:val="24"/>
              </w:rPr>
              <w:t xml:space="preserve"> kadastrālā vērtība uz </w:t>
            </w:r>
            <w:r w:rsidR="00B57AD6">
              <w:rPr>
                <w:rFonts w:ascii="Times New Roman" w:eastAsia="Times New Roman" w:hAnsi="Times New Roman" w:cs="Times New Roman"/>
                <w:sz w:val="24"/>
                <w:szCs w:val="24"/>
              </w:rPr>
              <w:t>2020</w:t>
            </w:r>
            <w:r w:rsidRPr="00F55192">
              <w:rPr>
                <w:rFonts w:ascii="Times New Roman" w:eastAsia="Times New Roman" w:hAnsi="Times New Roman" w:cs="Times New Roman"/>
                <w:sz w:val="24"/>
                <w:szCs w:val="24"/>
              </w:rPr>
              <w:t>.</w:t>
            </w:r>
            <w:r w:rsidR="00B57AD6">
              <w:rPr>
                <w:rFonts w:ascii="Times New Roman" w:eastAsia="Times New Roman" w:hAnsi="Times New Roman" w:cs="Times New Roman"/>
                <w:sz w:val="24"/>
                <w:szCs w:val="24"/>
              </w:rPr>
              <w:t>gada 17.jūniju</w:t>
            </w:r>
            <w:r w:rsidRPr="00F55192">
              <w:rPr>
                <w:rFonts w:ascii="Times New Roman" w:eastAsia="Times New Roman" w:hAnsi="Times New Roman" w:cs="Times New Roman"/>
                <w:sz w:val="24"/>
                <w:szCs w:val="24"/>
              </w:rPr>
              <w:t xml:space="preserve"> </w:t>
            </w:r>
            <w:r w:rsidR="00B57AD6">
              <w:rPr>
                <w:rFonts w:ascii="Times New Roman" w:eastAsia="Times New Roman" w:hAnsi="Times New Roman" w:cs="Times New Roman"/>
                <w:sz w:val="24"/>
                <w:szCs w:val="24"/>
              </w:rPr>
              <w:t>i</w:t>
            </w:r>
            <w:r w:rsidRPr="00F55192">
              <w:rPr>
                <w:rFonts w:ascii="Times New Roman" w:eastAsia="Times New Roman" w:hAnsi="Times New Roman" w:cs="Times New Roman"/>
                <w:sz w:val="24"/>
                <w:szCs w:val="24"/>
              </w:rPr>
              <w:t>r</w:t>
            </w:r>
            <w:r w:rsidR="00B57AD6">
              <w:rPr>
                <w:rFonts w:ascii="Times New Roman" w:eastAsia="Times New Roman" w:hAnsi="Times New Roman" w:cs="Times New Roman"/>
                <w:sz w:val="24"/>
                <w:szCs w:val="24"/>
              </w:rPr>
              <w:t xml:space="preserve"> 235 866</w:t>
            </w:r>
            <w:r w:rsidRPr="00F55192">
              <w:rPr>
                <w:rFonts w:ascii="Times New Roman" w:eastAsia="Times New Roman" w:hAnsi="Times New Roman" w:cs="Times New Roman"/>
                <w:sz w:val="24"/>
                <w:szCs w:val="24"/>
              </w:rPr>
              <w:t xml:space="preserve"> </w:t>
            </w:r>
            <w:r w:rsidRPr="00F55192">
              <w:rPr>
                <w:rFonts w:ascii="Times New Roman" w:eastAsia="Times New Roman" w:hAnsi="Times New Roman" w:cs="Times New Roman"/>
                <w:i/>
                <w:sz w:val="24"/>
                <w:szCs w:val="24"/>
              </w:rPr>
              <w:t>euro</w:t>
            </w:r>
            <w:r w:rsidRPr="00F55192">
              <w:rPr>
                <w:rFonts w:ascii="Times New Roman" w:eastAsia="Times New Roman" w:hAnsi="Times New Roman" w:cs="Times New Roman"/>
                <w:sz w:val="24"/>
                <w:szCs w:val="24"/>
              </w:rPr>
              <w:t xml:space="preserve">. </w:t>
            </w:r>
          </w:p>
          <w:p w14:paraId="048A21A2" w14:textId="77777777" w:rsidR="00800618" w:rsidRDefault="00800618" w:rsidP="00F03FF4">
            <w:pPr>
              <w:ind w:left="170" w:right="57"/>
              <w:jc w:val="both"/>
            </w:pPr>
            <w:r w:rsidRPr="00F55192">
              <w:t>Zemes vienībai Nekustamā īpašuma valsts kadastra informācijas sistēm</w:t>
            </w:r>
            <w:r>
              <w:t>ā nav noteikti apgrūtinājumi.</w:t>
            </w:r>
            <w:r w:rsidRPr="00F55192">
              <w:t xml:space="preserve"> </w:t>
            </w:r>
          </w:p>
          <w:p w14:paraId="4657ECD0" w14:textId="77777777" w:rsidR="00DA7E62" w:rsidRDefault="00DA7E62" w:rsidP="004E7C4E">
            <w:pPr>
              <w:pStyle w:val="tv2131"/>
              <w:spacing w:line="240" w:lineRule="auto"/>
              <w:ind w:left="198" w:right="164" w:firstLine="0"/>
              <w:jc w:val="both"/>
              <w:rPr>
                <w:color w:val="000000" w:themeColor="text1"/>
                <w:sz w:val="24"/>
                <w:szCs w:val="24"/>
              </w:rPr>
            </w:pPr>
          </w:p>
          <w:p w14:paraId="129D00A7" w14:textId="5FA00C3F" w:rsidR="00C63BB9" w:rsidRDefault="0072253C" w:rsidP="00FE6B85">
            <w:pPr>
              <w:pStyle w:val="tv2131"/>
              <w:spacing w:line="240" w:lineRule="auto"/>
              <w:ind w:left="198" w:right="164" w:firstLine="0"/>
              <w:jc w:val="both"/>
              <w:rPr>
                <w:color w:val="auto"/>
                <w:sz w:val="24"/>
                <w:szCs w:val="24"/>
              </w:rPr>
            </w:pPr>
            <w:r>
              <w:rPr>
                <w:color w:val="auto"/>
                <w:sz w:val="24"/>
                <w:szCs w:val="24"/>
              </w:rPr>
              <w:t>VID</w:t>
            </w:r>
            <w:r w:rsidR="00105EB4">
              <w:rPr>
                <w:color w:val="auto"/>
                <w:sz w:val="24"/>
                <w:szCs w:val="24"/>
              </w:rPr>
              <w:t xml:space="preserve"> ar 2020</w:t>
            </w:r>
            <w:r w:rsidR="00CC7978" w:rsidRPr="00FE6B85">
              <w:rPr>
                <w:color w:val="auto"/>
                <w:sz w:val="24"/>
                <w:szCs w:val="24"/>
              </w:rPr>
              <w:t xml:space="preserve">. gada </w:t>
            </w:r>
            <w:r w:rsidR="00DA7E62">
              <w:rPr>
                <w:color w:val="auto"/>
                <w:sz w:val="24"/>
                <w:szCs w:val="24"/>
              </w:rPr>
              <w:t>1</w:t>
            </w:r>
            <w:r w:rsidR="0058416C">
              <w:rPr>
                <w:color w:val="auto"/>
                <w:sz w:val="24"/>
                <w:szCs w:val="24"/>
              </w:rPr>
              <w:t>7</w:t>
            </w:r>
            <w:r w:rsidR="00105EB4">
              <w:rPr>
                <w:color w:val="auto"/>
                <w:sz w:val="24"/>
                <w:szCs w:val="24"/>
              </w:rPr>
              <w:t>.</w:t>
            </w:r>
            <w:r w:rsidR="0058416C">
              <w:rPr>
                <w:color w:val="auto"/>
                <w:sz w:val="24"/>
                <w:szCs w:val="24"/>
              </w:rPr>
              <w:t>janvāra v</w:t>
            </w:r>
            <w:r w:rsidR="00CC7978" w:rsidRPr="00FE6B85">
              <w:rPr>
                <w:color w:val="auto"/>
                <w:sz w:val="24"/>
                <w:szCs w:val="24"/>
              </w:rPr>
              <w:t>alstij piekritīgās mantas pieņemšanas un nodošanas aktu Nr. </w:t>
            </w:r>
            <w:r w:rsidR="00105EB4">
              <w:rPr>
                <w:color w:val="auto"/>
                <w:sz w:val="24"/>
                <w:szCs w:val="24"/>
              </w:rPr>
              <w:t>022</w:t>
            </w:r>
            <w:r w:rsidR="0058416C">
              <w:rPr>
                <w:color w:val="auto"/>
                <w:sz w:val="24"/>
                <w:szCs w:val="24"/>
              </w:rPr>
              <w:t>126</w:t>
            </w:r>
            <w:r w:rsidR="00CC7978" w:rsidRPr="00FE6B85">
              <w:rPr>
                <w:color w:val="auto"/>
                <w:sz w:val="24"/>
                <w:szCs w:val="24"/>
              </w:rPr>
              <w:t xml:space="preserve"> ņēmis valsts uzskaitē par bezīpašnieka mantu atzīt</w:t>
            </w:r>
            <w:r w:rsidR="0058416C">
              <w:rPr>
                <w:color w:val="auto"/>
                <w:sz w:val="24"/>
                <w:szCs w:val="24"/>
              </w:rPr>
              <w:t>o</w:t>
            </w:r>
            <w:r w:rsidR="00784EE4">
              <w:rPr>
                <w:color w:val="auto"/>
                <w:sz w:val="24"/>
                <w:szCs w:val="24"/>
              </w:rPr>
              <w:t xml:space="preserve"> zemes gaba</w:t>
            </w:r>
            <w:r w:rsidR="005A6CF7">
              <w:rPr>
                <w:color w:val="auto"/>
                <w:sz w:val="24"/>
                <w:szCs w:val="24"/>
              </w:rPr>
              <w:t>lu</w:t>
            </w:r>
            <w:r w:rsidR="00784EE4">
              <w:rPr>
                <w:color w:val="auto"/>
                <w:sz w:val="24"/>
                <w:szCs w:val="24"/>
              </w:rPr>
              <w:t xml:space="preserve"> un</w:t>
            </w:r>
            <w:r w:rsidR="0058416C">
              <w:rPr>
                <w:color w:val="auto"/>
                <w:sz w:val="24"/>
                <w:szCs w:val="24"/>
              </w:rPr>
              <w:t xml:space="preserve"> būvi</w:t>
            </w:r>
            <w:r w:rsidR="00CC7978" w:rsidRPr="00FE6B85">
              <w:rPr>
                <w:color w:val="auto"/>
                <w:sz w:val="24"/>
                <w:szCs w:val="24"/>
              </w:rPr>
              <w:t>.</w:t>
            </w:r>
          </w:p>
          <w:p w14:paraId="60A883A5" w14:textId="18F06691" w:rsidR="0058416C" w:rsidRPr="00576B9C" w:rsidRDefault="0058416C" w:rsidP="0058416C">
            <w:pPr>
              <w:pStyle w:val="tv2131"/>
              <w:spacing w:line="240" w:lineRule="auto"/>
              <w:ind w:left="198" w:right="164" w:firstLine="0"/>
              <w:jc w:val="both"/>
              <w:rPr>
                <w:color w:val="000000" w:themeColor="text1"/>
                <w:sz w:val="24"/>
                <w:szCs w:val="24"/>
              </w:rPr>
            </w:pPr>
            <w:r w:rsidRPr="00FE6B85">
              <w:rPr>
                <w:color w:val="000000" w:themeColor="text1"/>
                <w:sz w:val="24"/>
                <w:szCs w:val="24"/>
              </w:rPr>
              <w:t xml:space="preserve">Ņemot vērā </w:t>
            </w:r>
            <w:r>
              <w:rPr>
                <w:color w:val="000000" w:themeColor="text1"/>
                <w:sz w:val="24"/>
                <w:szCs w:val="24"/>
              </w:rPr>
              <w:t>VID</w:t>
            </w:r>
            <w:r w:rsidRPr="00FE6B85">
              <w:rPr>
                <w:color w:val="000000" w:themeColor="text1"/>
                <w:sz w:val="24"/>
                <w:szCs w:val="24"/>
              </w:rPr>
              <w:t xml:space="preserve"> lēmumu nekustamais īpašums ir atzīstams par bezmantinieku mantu un piekrīt valstij atbilstoši Latvijas </w:t>
            </w:r>
            <w:r w:rsidRPr="00576B9C">
              <w:rPr>
                <w:color w:val="000000" w:themeColor="text1"/>
                <w:sz w:val="24"/>
                <w:szCs w:val="24"/>
              </w:rPr>
              <w:t>Republikas Civillikuma (turpmāk – Civillikums) 417</w:t>
            </w:r>
            <w:r>
              <w:rPr>
                <w:color w:val="000000" w:themeColor="text1"/>
                <w:sz w:val="24"/>
                <w:szCs w:val="24"/>
              </w:rPr>
              <w:t xml:space="preserve">. pantu, kas noteic, ka manta, kas paliek pēc juridisku personu izbeigšanās, izņemot peļņas sabiedrības, pielīdzināma bezmantinieku mantai un piekritīga valstij, ja likums, viņu dibinaāšanas akts vai statūti nenosaka citādi. </w:t>
            </w:r>
          </w:p>
          <w:p w14:paraId="77A2871D" w14:textId="77777777" w:rsidR="0058416C" w:rsidRPr="00FE6B85" w:rsidRDefault="0058416C" w:rsidP="00FE6B85">
            <w:pPr>
              <w:pStyle w:val="tv2131"/>
              <w:spacing w:line="240" w:lineRule="auto"/>
              <w:ind w:left="198" w:right="164" w:firstLine="0"/>
              <w:jc w:val="both"/>
              <w:rPr>
                <w:color w:val="auto"/>
                <w:sz w:val="24"/>
                <w:szCs w:val="24"/>
              </w:rPr>
            </w:pPr>
          </w:p>
          <w:p w14:paraId="129D00A8" w14:textId="52BF8CCA" w:rsidR="00C63BB9" w:rsidRDefault="00CC7978" w:rsidP="00D84DE8">
            <w:pPr>
              <w:pStyle w:val="tv2131"/>
              <w:spacing w:line="240" w:lineRule="auto"/>
              <w:ind w:left="198" w:right="164" w:firstLine="0"/>
              <w:jc w:val="both"/>
              <w:rPr>
                <w:color w:val="000000"/>
                <w:sz w:val="24"/>
                <w:szCs w:val="24"/>
              </w:rPr>
            </w:pPr>
            <w:r>
              <w:rPr>
                <w:color w:val="000000" w:themeColor="text1"/>
                <w:sz w:val="24"/>
                <w:szCs w:val="24"/>
              </w:rPr>
              <w:t>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w:t>
            </w:r>
            <w:r w:rsidR="005A6CF7">
              <w:rPr>
                <w:color w:val="000000"/>
                <w:sz w:val="24"/>
                <w:szCs w:val="24"/>
              </w:rPr>
              <w:t>VID</w:t>
            </w:r>
            <w:r w:rsidR="0071130C">
              <w:rPr>
                <w:color w:val="000000"/>
                <w:sz w:val="24"/>
                <w:szCs w:val="24"/>
              </w:rPr>
              <w:t xml:space="preserve"> </w:t>
            </w:r>
            <w:r>
              <w:rPr>
                <w:color w:val="000000"/>
                <w:sz w:val="24"/>
                <w:szCs w:val="24"/>
              </w:rPr>
              <w:t>ir atbildīgs par mantas neskartību un saglabāšanu no tās pieņemšanas brīža līdz nodošanai realizācijai, nodošanai bez maksas vai iznīcināšanai.</w:t>
            </w:r>
          </w:p>
          <w:p w14:paraId="129D00A9" w14:textId="77777777" w:rsidR="00C63BB9" w:rsidRPr="008C4B4F" w:rsidRDefault="00CC7978" w:rsidP="00D84DE8">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5.</w:t>
            </w:r>
            <w:r>
              <w:rPr>
                <w:color w:val="000000" w:themeColor="text1"/>
                <w:sz w:val="24"/>
                <w:szCs w:val="24"/>
              </w:rPr>
              <w:t> </w:t>
            </w:r>
            <w:r w:rsidRPr="00374B3F">
              <w:rPr>
                <w:color w:val="000000" w:themeColor="text1"/>
                <w:sz w:val="24"/>
                <w:szCs w:val="24"/>
              </w:rPr>
              <w:t>panta pirmajā daļā noteikts, ka atļauju atsavināt valsts nekustamo īpašumu dod Ministru kabinets.</w:t>
            </w:r>
          </w:p>
          <w:p w14:paraId="129D00AA" w14:textId="77777777" w:rsidR="00C63BB9" w:rsidRPr="00374B3F" w:rsidRDefault="00CC7978" w:rsidP="00D84DE8">
            <w:pPr>
              <w:pStyle w:val="tv2131"/>
              <w:spacing w:line="240" w:lineRule="auto"/>
              <w:ind w:left="198" w:right="164" w:firstLine="0"/>
              <w:jc w:val="both"/>
              <w:rPr>
                <w:color w:val="000000" w:themeColor="text1"/>
                <w:sz w:val="24"/>
                <w:szCs w:val="24"/>
              </w:rPr>
            </w:pPr>
            <w:r>
              <w:rPr>
                <w:color w:val="000000" w:themeColor="text1"/>
                <w:sz w:val="24"/>
                <w:szCs w:val="24"/>
              </w:rPr>
              <w:t xml:space="preserve">Likuma „Par </w:t>
            </w:r>
            <w:r w:rsidRPr="008C4B4F">
              <w:rPr>
                <w:color w:val="auto"/>
                <w:sz w:val="24"/>
                <w:szCs w:val="24"/>
              </w:rPr>
              <w:t>pašvaldībām” 21. panta pirmās daļas 17. punkts paredz pašvaldības tiesības lemt par pašvaldības nekustamā īpašuma atsavināšanu, ieķīlāšanu vai privatizēšanu, kā arī par nekustamās mantas iegūšanu pašvaldības īpašumā.</w:t>
            </w:r>
          </w:p>
          <w:p w14:paraId="129D00AB" w14:textId="1988911F" w:rsidR="00C63BB9" w:rsidRDefault="00576B9C" w:rsidP="00D84DE8">
            <w:pPr>
              <w:ind w:left="199" w:right="165"/>
              <w:jc w:val="both"/>
            </w:pPr>
            <w:r>
              <w:t>Jēkabpils pilsētas</w:t>
            </w:r>
            <w:r w:rsidR="00FA2494">
              <w:t xml:space="preserve"> </w:t>
            </w:r>
            <w:r w:rsidR="00CC7978">
              <w:t>dome 20</w:t>
            </w:r>
            <w:r w:rsidR="00BD38C2">
              <w:t>20</w:t>
            </w:r>
            <w:r w:rsidR="00CC7978">
              <w:t xml:space="preserve">. gada </w:t>
            </w:r>
            <w:r>
              <w:t>13.februārī</w:t>
            </w:r>
            <w:r w:rsidR="00CC7978">
              <w:t xml:space="preserve"> pieņēma lēmumu </w:t>
            </w:r>
            <w:r w:rsidR="00BD38C2">
              <w:t>Nr.</w:t>
            </w:r>
            <w:r w:rsidR="005974F0">
              <w:t xml:space="preserve"> </w:t>
            </w:r>
            <w:r>
              <w:t>73</w:t>
            </w:r>
            <w:r w:rsidR="00CC7978">
              <w:t xml:space="preserve"> </w:t>
            </w:r>
            <w:r w:rsidRPr="00576B9C">
              <w:t>„</w:t>
            </w:r>
            <w:r w:rsidRPr="00576B9C">
              <w:rPr>
                <w:color w:val="000000"/>
              </w:rPr>
              <w:t>Par nekustamā īpašuma pārņemšanu īpašumā bez atlīdzības”.</w:t>
            </w:r>
            <w:r>
              <w:rPr>
                <w:color w:val="000000"/>
              </w:rPr>
              <w:t xml:space="preserve"> </w:t>
            </w:r>
            <w:r w:rsidR="00CC7978" w:rsidRPr="00784EE4">
              <w:t xml:space="preserve">Pārņemot </w:t>
            </w:r>
            <w:r w:rsidR="00784EE4" w:rsidRPr="00784EE4">
              <w:t xml:space="preserve">zemes gabalus un </w:t>
            </w:r>
            <w:r w:rsidR="00CC7978" w:rsidRPr="00784EE4">
              <w:t>būves pašvaldības īpašumā, tā varētu realizēt likumā „Par pašvaldībām” 15</w:t>
            </w:r>
            <w:r w:rsidR="00CC7978">
              <w:t>. panta pirmās daļas 2. </w:t>
            </w:r>
            <w:r>
              <w:t xml:space="preserve"> </w:t>
            </w:r>
            <w:r w:rsidR="00CC7978">
              <w:t xml:space="preserve">punktā noteikto pašvaldības autonomo funkciju </w:t>
            </w:r>
            <w:r>
              <w:t>- stāvlaukuma izbūvi</w:t>
            </w:r>
            <w:r w:rsidR="00A00963">
              <w:t>.</w:t>
            </w:r>
            <w:r w:rsidR="00A00963" w:rsidRPr="00A00963">
              <w:t xml:space="preserve"> </w:t>
            </w:r>
            <w:r w:rsidR="00CC7978">
              <w:t xml:space="preserve">Pārņemot </w:t>
            </w:r>
            <w:r w:rsidR="005A6CF7">
              <w:t xml:space="preserve">zemes gabalu un </w:t>
            </w:r>
            <w:r>
              <w:t>būvi</w:t>
            </w:r>
            <w:r w:rsidR="00CC7978">
              <w:t xml:space="preserve"> pašvaldības īpašumā, pašvaldībai būs iespēja pilnvērtīgi apsaimniekot nekustamo īpašumu.</w:t>
            </w:r>
          </w:p>
          <w:p w14:paraId="129D00AF" w14:textId="77777777" w:rsidR="00C63BB9" w:rsidRPr="004620C3" w:rsidRDefault="00CC7978" w:rsidP="00D84DE8">
            <w:pPr>
              <w:ind w:left="199" w:right="165"/>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109. </w:t>
            </w:r>
            <w:r w:rsidRPr="004620C3">
              <w:rPr>
                <w:color w:val="000000" w:themeColor="text1"/>
              </w:rPr>
              <w:t>„Kārtība,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14:paraId="129D00B1" w14:textId="7966083D" w:rsidR="00C63BB9" w:rsidRPr="006D6CC4" w:rsidRDefault="005A2CB2" w:rsidP="00D84DE8">
            <w:pPr>
              <w:ind w:left="199" w:right="165"/>
              <w:jc w:val="both"/>
            </w:pPr>
            <w:r w:rsidRPr="00784EE4">
              <w:rPr>
                <w:color w:val="000000"/>
              </w:rPr>
              <w:lastRenderedPageBreak/>
              <w:t>S</w:t>
            </w:r>
            <w:r w:rsidR="007C4587" w:rsidRPr="00784EE4">
              <w:rPr>
                <w:color w:val="000000"/>
              </w:rPr>
              <w:t>askaņā ar</w:t>
            </w:r>
            <w:r w:rsidR="00CC7978" w:rsidRPr="00784EE4">
              <w:rPr>
                <w:color w:val="000000"/>
              </w:rPr>
              <w:t xml:space="preserve"> Atsavināšanas likuma 42. panta pirmo daļu, ja nekustamais īpašums vairs netiek izmantotas pašvaldības autonomo funkciju īstenošanai, pašvaldība šo nekustamo īpašumu bez atlīdzības nodod </w:t>
            </w:r>
            <w:r w:rsidRPr="00784EE4">
              <w:rPr>
                <w:color w:val="000000"/>
              </w:rPr>
              <w:t>valstij</w:t>
            </w:r>
            <w:r w:rsidR="00CC7978" w:rsidRPr="00784EE4">
              <w:rPr>
                <w:color w:val="000000"/>
              </w:rPr>
              <w:t xml:space="preserve">. </w:t>
            </w:r>
          </w:p>
          <w:p w14:paraId="129D00B3" w14:textId="690DF01B" w:rsidR="007C4587" w:rsidRDefault="00CC7978" w:rsidP="00D84DE8">
            <w:pPr>
              <w:ind w:left="199" w:right="165"/>
              <w:jc w:val="both"/>
              <w:rPr>
                <w:color w:val="000000" w:themeColor="text1"/>
              </w:rPr>
            </w:pPr>
            <w:r w:rsidRPr="007C4587">
              <w:rPr>
                <w:color w:val="000000" w:themeColor="text1"/>
              </w:rPr>
              <w:t>Saskaņā ar Atsavināšanas likuma 42</w:t>
            </w:r>
            <w:r w:rsidRPr="00190566">
              <w:rPr>
                <w:color w:val="000000" w:themeColor="text1"/>
                <w:vertAlign w:val="superscript"/>
              </w:rPr>
              <w:t>1</w:t>
            </w:r>
            <w:r w:rsidR="00E1003D">
              <w:rPr>
                <w:color w:val="000000" w:themeColor="text1"/>
              </w:rPr>
              <w:t xml:space="preserve">.pantam </w:t>
            </w:r>
            <w:r w:rsidR="00576B9C">
              <w:rPr>
                <w:color w:val="000000" w:themeColor="text1"/>
              </w:rPr>
              <w:t>Jēkabpils pilsētas</w:t>
            </w:r>
            <w:r w:rsidR="00E1003D" w:rsidRPr="00E1003D">
              <w:rPr>
                <w:color w:val="000000" w:themeColor="text1"/>
              </w:rPr>
              <w:t xml:space="preserve"> pašvaldība tiek pilnvarota parakstīt nostiprinājuma lūgumu par īpašuma tiesību nostiprināšanu uz valsts vārda </w:t>
            </w:r>
            <w:r w:rsidR="002C040D">
              <w:rPr>
                <w:color w:val="000000" w:themeColor="text1"/>
              </w:rPr>
              <w:t>Vides aizsardzības un reģionālās attīstības</w:t>
            </w:r>
            <w:r w:rsidR="002C040D" w:rsidRPr="00E1003D">
              <w:rPr>
                <w:color w:val="000000" w:themeColor="text1"/>
              </w:rPr>
              <w:t xml:space="preserve"> </w:t>
            </w:r>
            <w:r w:rsidR="00E1003D" w:rsidRPr="00E1003D">
              <w:rPr>
                <w:color w:val="000000" w:themeColor="text1"/>
              </w:rPr>
              <w:t>ministr</w:t>
            </w:r>
            <w:r w:rsidR="00E1003D">
              <w:rPr>
                <w:color w:val="000000" w:themeColor="text1"/>
              </w:rPr>
              <w:t>ijas personā</w:t>
            </w:r>
            <w:r w:rsidR="005A6CF7">
              <w:rPr>
                <w:color w:val="000000" w:themeColor="text1"/>
              </w:rPr>
              <w:t>,</w:t>
            </w:r>
            <w:r w:rsidR="00E1003D">
              <w:rPr>
                <w:color w:val="000000" w:themeColor="text1"/>
              </w:rPr>
              <w:t xml:space="preserve"> vienlaikus </w:t>
            </w:r>
            <w:r w:rsidR="00576B9C">
              <w:rPr>
                <w:color w:val="000000" w:themeColor="text1"/>
              </w:rPr>
              <w:t>Jēkabpils pilsētas</w:t>
            </w:r>
            <w:r w:rsidR="00E1003D" w:rsidRPr="00E1003D">
              <w:rPr>
                <w:color w:val="000000" w:themeColor="text1"/>
              </w:rPr>
              <w:t xml:space="preserve"> pašvaldības īpašuma tiesību nostiprināšanu. 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18DA76C8" w14:textId="266E4AD0" w:rsidR="00800618" w:rsidRDefault="00800618" w:rsidP="00800618">
            <w:pPr>
              <w:ind w:left="192"/>
              <w:jc w:val="both"/>
              <w:rPr>
                <w:iCs/>
                <w:color w:val="000000" w:themeColor="text1"/>
              </w:rPr>
            </w:pPr>
            <w:r>
              <w:rPr>
                <w:iCs/>
                <w:color w:val="000000" w:themeColor="text1"/>
              </w:rPr>
              <w:t xml:space="preserve">Lai nodrošinātu īpašuma tiesību nostiprinājuma ierakstu secību zemesgrāmatā un saglabātu ierakstu par pirmreizējo īpašnieku, pamatojoties uz Civillikuma 927.pantu un Zemesgrāmatu likuma 5.pantu, rīkojuma projekts satur pilnvarojumu Jēkabpils pilsētas pašvaldībai valsts vārdā veikt nekustamā īpašuma ierakstīšanu zemesgrāmatā uz valsts vārda Vides aizsardzības un reģionālās attīstības ministrijas personā. </w:t>
            </w:r>
          </w:p>
          <w:p w14:paraId="56C12754" w14:textId="77777777" w:rsidR="00800618" w:rsidRPr="00AB5497" w:rsidRDefault="00800618" w:rsidP="00D84DE8">
            <w:pPr>
              <w:ind w:left="199" w:right="165"/>
              <w:jc w:val="both"/>
              <w:rPr>
                <w:color w:val="000000" w:themeColor="text1"/>
              </w:rPr>
            </w:pPr>
          </w:p>
          <w:p w14:paraId="0D5E766D" w14:textId="77777777" w:rsidR="00C63BB9" w:rsidRDefault="00576B9C" w:rsidP="00D84DE8">
            <w:pPr>
              <w:ind w:left="199" w:right="165"/>
              <w:jc w:val="both"/>
              <w:rPr>
                <w:color w:val="000000"/>
                <w:shd w:val="clear" w:color="auto" w:fill="FFFFFF"/>
              </w:rPr>
            </w:pPr>
            <w:r>
              <w:rPr>
                <w:color w:val="000000"/>
              </w:rPr>
              <w:t>Jēkabpils pilsētas</w:t>
            </w:r>
            <w:r w:rsidR="00CC7978">
              <w:rPr>
                <w:color w:val="000000"/>
                <w:lang w:eastAsia="en-US"/>
              </w:rPr>
              <w:t xml:space="preserve"> pašvaldībai</w:t>
            </w:r>
            <w:r w:rsidR="00CC7978"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w:t>
            </w:r>
            <w:r w:rsidR="00CC7978">
              <w:rPr>
                <w:color w:val="000000"/>
                <w:lang w:eastAsia="en-US"/>
              </w:rPr>
              <w:t>alsts kases personā), lai saņemtu</w:t>
            </w:r>
            <w:r w:rsidR="00CC7978" w:rsidRPr="00B75A6B">
              <w:rPr>
                <w:color w:val="000000"/>
                <w:lang w:eastAsia="en-US"/>
              </w:rPr>
              <w:t xml:space="preserve"> Ei</w:t>
            </w:r>
            <w:r w:rsidR="00CC7978">
              <w:rPr>
                <w:color w:val="000000"/>
                <w:lang w:eastAsia="en-US"/>
              </w:rPr>
              <w:t>ropas Savienības atbalstu</w:t>
            </w:r>
            <w:r w:rsidR="00CC7978" w:rsidRPr="00B75A6B">
              <w:rPr>
                <w:color w:val="000000"/>
                <w:lang w:eastAsia="en-US"/>
              </w:rPr>
              <w:t>.</w:t>
            </w:r>
            <w:r w:rsidR="00CC7978">
              <w:rPr>
                <w:color w:val="000000"/>
                <w:shd w:val="clear" w:color="auto" w:fill="FFFFFF"/>
              </w:rPr>
              <w:t xml:space="preserve"> </w:t>
            </w:r>
          </w:p>
          <w:p w14:paraId="42D0293B" w14:textId="77777777" w:rsidR="00800618" w:rsidRDefault="00800618" w:rsidP="00800618">
            <w:pPr>
              <w:ind w:left="199" w:right="165"/>
              <w:jc w:val="both"/>
              <w:rPr>
                <w:lang w:eastAsia="en-US"/>
              </w:rPr>
            </w:pPr>
          </w:p>
          <w:p w14:paraId="129D00B4" w14:textId="4FB08AF8" w:rsidR="00800618" w:rsidRPr="0064643B" w:rsidRDefault="00800618" w:rsidP="00800618">
            <w:pPr>
              <w:ind w:left="199" w:right="165"/>
              <w:jc w:val="both"/>
              <w:rPr>
                <w:color w:val="000000"/>
              </w:rPr>
            </w:pPr>
            <w:r w:rsidRPr="00F55192">
              <w:rPr>
                <w:lang w:eastAsia="en-US"/>
              </w:rPr>
              <w:t>Rī</w:t>
            </w:r>
            <w:r>
              <w:rPr>
                <w:lang w:eastAsia="en-US"/>
              </w:rPr>
              <w:t>ko</w:t>
            </w:r>
            <w:r w:rsidRPr="00F55192">
              <w:rPr>
                <w:lang w:eastAsia="en-US"/>
              </w:rPr>
              <w:t>juma projekts attiecas uz publiskās pārvaldes politikas jomu.</w:t>
            </w:r>
          </w:p>
        </w:tc>
      </w:tr>
      <w:tr w:rsidR="00873FE6" w14:paraId="129D00B9" w14:textId="77777777" w:rsidTr="00D84DE8">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18FB41B0"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32EE068C" w:rsidR="00C63BB9" w:rsidRDefault="00CC7978" w:rsidP="00576B9C">
            <w:pPr>
              <w:pStyle w:val="FootnoteText"/>
              <w:ind w:left="195" w:right="165"/>
              <w:rPr>
                <w:sz w:val="24"/>
                <w:szCs w:val="24"/>
              </w:rPr>
            </w:pPr>
            <w:r>
              <w:rPr>
                <w:sz w:val="24"/>
                <w:szCs w:val="24"/>
              </w:rPr>
              <w:t xml:space="preserve">Vides aizsardzības un reģionālās attīstības ministrija, </w:t>
            </w:r>
            <w:r w:rsidR="00576B9C">
              <w:rPr>
                <w:sz w:val="24"/>
                <w:szCs w:val="24"/>
              </w:rPr>
              <w:t>Jēkabpils pilsētas</w:t>
            </w:r>
            <w:r w:rsidR="002E3CC0">
              <w:rPr>
                <w:sz w:val="24"/>
                <w:szCs w:val="24"/>
              </w:rPr>
              <w:t xml:space="preserve"> pašvaldība</w:t>
            </w:r>
            <w:r>
              <w:rPr>
                <w:sz w:val="24"/>
                <w:szCs w:val="24"/>
              </w:rPr>
              <w:t>.</w:t>
            </w:r>
          </w:p>
        </w:tc>
      </w:tr>
      <w:tr w:rsidR="00873FE6" w14:paraId="129D00BE" w14:textId="77777777" w:rsidTr="00D84DE8">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D" w14:textId="53D39372" w:rsidR="00C63BB9" w:rsidRDefault="00800618" w:rsidP="00AA28A9">
            <w:pPr>
              <w:pStyle w:val="naiskr"/>
              <w:spacing w:before="0" w:after="0"/>
              <w:ind w:left="198" w:right="164"/>
              <w:jc w:val="both"/>
            </w:pPr>
            <w:r w:rsidRPr="00F55192">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873FE6" w14:paraId="129D00C0" w14:textId="77777777" w:rsidTr="00D84DE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lastRenderedPageBreak/>
              <w:t>II. Tiesību akta projekta ietekme uz sabiedrību, tautsaimniecības attīstību un administratīvo slogu</w:t>
            </w:r>
          </w:p>
        </w:tc>
      </w:tr>
      <w:tr w:rsidR="00873FE6" w14:paraId="129D00C5" w14:textId="77777777" w:rsidTr="00D84DE8">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4" w14:textId="758FE255" w:rsidR="00C63BB9" w:rsidRPr="0074456C" w:rsidRDefault="00576B9C" w:rsidP="00AA28A9">
            <w:pPr>
              <w:pStyle w:val="CommentText"/>
            </w:pPr>
            <w:r>
              <w:rPr>
                <w:sz w:val="24"/>
                <w:szCs w:val="24"/>
              </w:rPr>
              <w:t xml:space="preserve">Jēkabpils </w:t>
            </w:r>
            <w:r w:rsidR="00FA2494">
              <w:rPr>
                <w:sz w:val="24"/>
                <w:szCs w:val="24"/>
              </w:rPr>
              <w:t>pilsētas</w:t>
            </w:r>
            <w:r w:rsidR="00CC7978">
              <w:rPr>
                <w:sz w:val="24"/>
                <w:szCs w:val="24"/>
              </w:rPr>
              <w:t xml:space="preserve"> iedzīvotāji</w:t>
            </w:r>
            <w:r>
              <w:rPr>
                <w:sz w:val="24"/>
                <w:szCs w:val="24"/>
              </w:rPr>
              <w:t xml:space="preserve"> un viesi</w:t>
            </w:r>
            <w:r w:rsidR="00976DC8">
              <w:rPr>
                <w:sz w:val="24"/>
                <w:szCs w:val="24"/>
              </w:rPr>
              <w:t xml:space="preserve">, kuriem nepieciešama </w:t>
            </w:r>
            <w:r>
              <w:rPr>
                <w:sz w:val="24"/>
                <w:szCs w:val="24"/>
              </w:rPr>
              <w:t>autotransporta novietošana pilsētas centrā.</w:t>
            </w:r>
          </w:p>
        </w:tc>
      </w:tr>
      <w:tr w:rsidR="00873FE6" w14:paraId="129D00C9"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lastRenderedPageBreak/>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D84DE8">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1156"/>
        <w:gridCol w:w="1464"/>
        <w:gridCol w:w="6"/>
        <w:gridCol w:w="1252"/>
        <w:gridCol w:w="1261"/>
        <w:gridCol w:w="1201"/>
        <w:gridCol w:w="6"/>
      </w:tblGrid>
      <w:tr w:rsidR="00873FE6" w14:paraId="129D00D8" w14:textId="77777777" w:rsidTr="00C12FBF">
        <w:trPr>
          <w:gridAfter w:val="1"/>
          <w:wAfter w:w="3" w:type="dxa"/>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dxa"/>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0C86F55F" w:rsidR="00C63BB9" w:rsidRPr="00655F87" w:rsidRDefault="00CC7978" w:rsidP="00A10A41">
            <w:pPr>
              <w:spacing w:before="100" w:beforeAutospacing="1" w:after="100" w:afterAutospacing="1"/>
              <w:ind w:firstLine="300"/>
              <w:jc w:val="center"/>
              <w:rPr>
                <w:b/>
                <w:bCs/>
              </w:rPr>
            </w:pPr>
            <w:r>
              <w:rPr>
                <w:b/>
                <w:bCs/>
              </w:rPr>
              <w:t>20</w:t>
            </w:r>
            <w:r w:rsidR="00F03FF4">
              <w:rPr>
                <w:b/>
                <w:bCs/>
              </w:rPr>
              <w:t>21</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C12FBF">
        <w:trPr>
          <w:gridAfter w:val="1"/>
          <w:wAfter w:w="3" w:type="dxa"/>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0" w:type="pct"/>
            <w:gridSpan w:val="2"/>
            <w:hideMark/>
          </w:tcPr>
          <w:p w14:paraId="129D00DF" w14:textId="3644777B" w:rsidR="00C63BB9" w:rsidRPr="00655F87" w:rsidRDefault="00CC7978" w:rsidP="00A10A41">
            <w:pPr>
              <w:spacing w:before="100" w:beforeAutospacing="1" w:after="100" w:afterAutospacing="1"/>
              <w:ind w:firstLine="300"/>
              <w:jc w:val="center"/>
              <w:rPr>
                <w:b/>
                <w:bCs/>
              </w:rPr>
            </w:pPr>
            <w:r>
              <w:rPr>
                <w:b/>
                <w:bCs/>
              </w:rPr>
              <w:t>20</w:t>
            </w:r>
            <w:r w:rsidR="00F03FF4">
              <w:rPr>
                <w:b/>
                <w:bCs/>
              </w:rPr>
              <w:t>22</w:t>
            </w:r>
          </w:p>
        </w:tc>
        <w:tc>
          <w:tcPr>
            <w:tcW w:w="591" w:type="pct"/>
            <w:hideMark/>
          </w:tcPr>
          <w:p w14:paraId="129D00E0" w14:textId="0A0CC5E4" w:rsidR="00C63BB9" w:rsidRPr="00655F87" w:rsidRDefault="00CC7978" w:rsidP="00A10A41">
            <w:pPr>
              <w:spacing w:before="100" w:beforeAutospacing="1" w:after="100" w:afterAutospacing="1"/>
              <w:ind w:firstLine="300"/>
              <w:jc w:val="center"/>
              <w:rPr>
                <w:b/>
                <w:bCs/>
              </w:rPr>
            </w:pPr>
            <w:r>
              <w:rPr>
                <w:b/>
                <w:bCs/>
              </w:rPr>
              <w:t>202</w:t>
            </w:r>
            <w:r w:rsidR="00F03FF4">
              <w:rPr>
                <w:b/>
                <w:bCs/>
              </w:rPr>
              <w:t>3</w:t>
            </w:r>
          </w:p>
        </w:tc>
        <w:tc>
          <w:tcPr>
            <w:tcW w:w="563" w:type="pct"/>
            <w:hideMark/>
          </w:tcPr>
          <w:p w14:paraId="129D00E1" w14:textId="3CFDCFD6" w:rsidR="00C63BB9" w:rsidRPr="00655F87" w:rsidRDefault="00CC7978" w:rsidP="00A10A41">
            <w:pPr>
              <w:spacing w:before="100" w:beforeAutospacing="1" w:after="100" w:afterAutospacing="1"/>
              <w:ind w:firstLine="300"/>
              <w:jc w:val="center"/>
              <w:rPr>
                <w:b/>
                <w:bCs/>
              </w:rPr>
            </w:pPr>
            <w:r>
              <w:rPr>
                <w:b/>
                <w:bCs/>
              </w:rPr>
              <w:t>202</w:t>
            </w:r>
            <w:r w:rsidR="00F03FF4">
              <w:rPr>
                <w:b/>
                <w:bCs/>
              </w:rPr>
              <w:t>4</w:t>
            </w:r>
          </w:p>
        </w:tc>
      </w:tr>
      <w:tr w:rsidR="00873FE6" w14:paraId="129D00E9" w14:textId="77777777" w:rsidTr="00C12FBF">
        <w:trPr>
          <w:gridAfter w:val="1"/>
          <w:wAfter w:w="3" w:type="dxa"/>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90" w:type="pct"/>
            <w:gridSpan w:val="2"/>
            <w:hideMark/>
          </w:tcPr>
          <w:p w14:paraId="129D00E6" w14:textId="59AAE03C" w:rsidR="00C63BB9" w:rsidRPr="00655F87" w:rsidRDefault="00CC7978" w:rsidP="00A10A41">
            <w:pPr>
              <w:spacing w:before="100" w:beforeAutospacing="1" w:after="100" w:afterAutospacing="1"/>
            </w:pPr>
            <w:r w:rsidRPr="00655F87">
              <w:t>izm</w:t>
            </w:r>
            <w:r>
              <w:t>aiņas, salīdzinot ar kārtējo 20</w:t>
            </w:r>
            <w:r w:rsidR="00F03FF4">
              <w:t>21</w:t>
            </w:r>
            <w:r>
              <w:t>.gadu</w:t>
            </w:r>
            <w:r w:rsidRPr="00655F87">
              <w:t xml:space="preserve"> gadu</w:t>
            </w:r>
          </w:p>
        </w:tc>
        <w:tc>
          <w:tcPr>
            <w:tcW w:w="591" w:type="pct"/>
            <w:hideMark/>
          </w:tcPr>
          <w:p w14:paraId="129D00E7" w14:textId="5E4EBC79" w:rsidR="00C63BB9" w:rsidRPr="00655F87" w:rsidRDefault="00CC7978" w:rsidP="00A10A41">
            <w:pPr>
              <w:spacing w:before="100" w:beforeAutospacing="1" w:after="100" w:afterAutospacing="1"/>
            </w:pPr>
            <w:r w:rsidRPr="00655F87">
              <w:t>izm</w:t>
            </w:r>
            <w:r>
              <w:t>aiņas, salīdzinot ar kārtējo 20</w:t>
            </w:r>
            <w:r w:rsidR="00F03FF4">
              <w:t>21</w:t>
            </w:r>
            <w:r>
              <w:t>.</w:t>
            </w:r>
            <w:r w:rsidRPr="00655F87">
              <w:t xml:space="preserve"> gadu</w:t>
            </w:r>
          </w:p>
        </w:tc>
        <w:tc>
          <w:tcPr>
            <w:tcW w:w="563" w:type="pct"/>
            <w:hideMark/>
          </w:tcPr>
          <w:p w14:paraId="129D00E8" w14:textId="001565BC" w:rsidR="00C63BB9" w:rsidRPr="00655F87" w:rsidRDefault="00CC7978" w:rsidP="00A10A41">
            <w:pPr>
              <w:spacing w:before="100" w:beforeAutospacing="1" w:after="100" w:afterAutospacing="1"/>
            </w:pPr>
            <w:r w:rsidRPr="00655F87">
              <w:t>izm</w:t>
            </w:r>
            <w:r>
              <w:t>aiņas, salīdzinot ar kārtējo 20</w:t>
            </w:r>
            <w:r w:rsidR="00F03FF4">
              <w:t>21</w:t>
            </w:r>
            <w:r>
              <w:t>.</w:t>
            </w:r>
            <w:r w:rsidRPr="00655F87">
              <w:t xml:space="preserve"> gadu</w:t>
            </w:r>
          </w:p>
        </w:tc>
      </w:tr>
      <w:tr w:rsidR="00873FE6" w14:paraId="129D00F0" w14:textId="77777777" w:rsidTr="00C12FBF">
        <w:trPr>
          <w:gridAfter w:val="1"/>
          <w:wAfter w:w="3" w:type="dxa"/>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0"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91"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C12FBF">
        <w:trPr>
          <w:gridAfter w:val="1"/>
          <w:wAfter w:w="3" w:type="dxa"/>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0" w:type="pct"/>
            <w:gridSpan w:val="2"/>
            <w:hideMark/>
          </w:tcPr>
          <w:p w14:paraId="129D00F4" w14:textId="77777777" w:rsidR="00C63BB9" w:rsidRPr="00655F87" w:rsidRDefault="00CC7978" w:rsidP="00D84DE8">
            <w:r>
              <w:t>0</w:t>
            </w:r>
          </w:p>
        </w:tc>
        <w:tc>
          <w:tcPr>
            <w:tcW w:w="591"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C12FBF">
        <w:trPr>
          <w:gridAfter w:val="1"/>
          <w:wAfter w:w="3" w:type="dxa"/>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0" w:type="pct"/>
            <w:gridSpan w:val="2"/>
            <w:hideMark/>
          </w:tcPr>
          <w:p w14:paraId="129D00FB" w14:textId="77777777" w:rsidR="00C63BB9" w:rsidRPr="00655F87" w:rsidRDefault="00CC7978" w:rsidP="00D84DE8">
            <w:r>
              <w:t>0</w:t>
            </w:r>
          </w:p>
        </w:tc>
        <w:tc>
          <w:tcPr>
            <w:tcW w:w="591"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C12FBF">
        <w:trPr>
          <w:gridAfter w:val="1"/>
          <w:wAfter w:w="3" w:type="dxa"/>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0" w:type="pct"/>
            <w:gridSpan w:val="2"/>
            <w:hideMark/>
          </w:tcPr>
          <w:p w14:paraId="129D0102" w14:textId="77777777" w:rsidR="00C63BB9" w:rsidRPr="00655F87" w:rsidRDefault="00CC7978" w:rsidP="00D84DE8">
            <w:r>
              <w:t>0</w:t>
            </w:r>
          </w:p>
        </w:tc>
        <w:tc>
          <w:tcPr>
            <w:tcW w:w="591"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C12FBF">
        <w:trPr>
          <w:gridAfter w:val="1"/>
          <w:wAfter w:w="3" w:type="dxa"/>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0" w:type="pct"/>
            <w:gridSpan w:val="2"/>
            <w:hideMark/>
          </w:tcPr>
          <w:p w14:paraId="129D0109" w14:textId="77777777" w:rsidR="00C63BB9" w:rsidRPr="00655F87" w:rsidRDefault="00CC7978" w:rsidP="00D84DE8">
            <w:r>
              <w:t>0</w:t>
            </w:r>
          </w:p>
        </w:tc>
        <w:tc>
          <w:tcPr>
            <w:tcW w:w="591"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C12FBF">
        <w:trPr>
          <w:gridAfter w:val="1"/>
          <w:wAfter w:w="3" w:type="dxa"/>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0" w:type="pct"/>
            <w:gridSpan w:val="2"/>
            <w:hideMark/>
          </w:tcPr>
          <w:p w14:paraId="129D0110" w14:textId="77777777" w:rsidR="00C63BB9" w:rsidRPr="00655F87" w:rsidRDefault="00CC7978" w:rsidP="00D84DE8">
            <w:r>
              <w:t>0</w:t>
            </w:r>
          </w:p>
        </w:tc>
        <w:tc>
          <w:tcPr>
            <w:tcW w:w="591"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C12FBF">
        <w:trPr>
          <w:gridAfter w:val="1"/>
          <w:wAfter w:w="3" w:type="dxa"/>
        </w:trPr>
        <w:tc>
          <w:tcPr>
            <w:tcW w:w="2025" w:type="pct"/>
            <w:hideMark/>
          </w:tcPr>
          <w:p w14:paraId="129D0114" w14:textId="77777777" w:rsidR="00C63BB9" w:rsidRPr="00655F87" w:rsidRDefault="00CC7978" w:rsidP="00D84DE8">
            <w:r w:rsidRPr="00655F87">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0" w:type="pct"/>
            <w:gridSpan w:val="2"/>
            <w:hideMark/>
          </w:tcPr>
          <w:p w14:paraId="129D0117" w14:textId="77777777" w:rsidR="00C63BB9" w:rsidRPr="00655F87" w:rsidRDefault="00CC7978" w:rsidP="00D84DE8">
            <w:r>
              <w:t>0</w:t>
            </w:r>
          </w:p>
        </w:tc>
        <w:tc>
          <w:tcPr>
            <w:tcW w:w="591"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C12FBF">
        <w:trPr>
          <w:gridAfter w:val="1"/>
          <w:wAfter w:w="3" w:type="dxa"/>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0" w:type="pct"/>
            <w:gridSpan w:val="2"/>
            <w:hideMark/>
          </w:tcPr>
          <w:p w14:paraId="129D011E" w14:textId="77777777" w:rsidR="00C63BB9" w:rsidRPr="00655F87" w:rsidRDefault="00CC7978" w:rsidP="00D84DE8">
            <w:r>
              <w:t>0</w:t>
            </w:r>
          </w:p>
        </w:tc>
        <w:tc>
          <w:tcPr>
            <w:tcW w:w="591"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C12FBF">
        <w:trPr>
          <w:gridAfter w:val="1"/>
          <w:wAfter w:w="3" w:type="dxa"/>
        </w:trPr>
        <w:tc>
          <w:tcPr>
            <w:tcW w:w="2025" w:type="pct"/>
            <w:hideMark/>
          </w:tcPr>
          <w:p w14:paraId="129D0122" w14:textId="77777777" w:rsidR="00C63BB9" w:rsidRPr="00655F87" w:rsidRDefault="00CC7978" w:rsidP="00D84DE8">
            <w:r w:rsidRPr="00655F87">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0" w:type="pct"/>
            <w:gridSpan w:val="2"/>
            <w:hideMark/>
          </w:tcPr>
          <w:p w14:paraId="129D0125" w14:textId="77777777" w:rsidR="00C63BB9" w:rsidRPr="00655F87" w:rsidRDefault="00CC7978" w:rsidP="00D84DE8">
            <w:r>
              <w:t>0</w:t>
            </w:r>
          </w:p>
        </w:tc>
        <w:tc>
          <w:tcPr>
            <w:tcW w:w="591"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C12FBF">
        <w:trPr>
          <w:gridAfter w:val="1"/>
          <w:wAfter w:w="3" w:type="dxa"/>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0" w:type="pct"/>
            <w:gridSpan w:val="2"/>
            <w:hideMark/>
          </w:tcPr>
          <w:p w14:paraId="129D012C" w14:textId="77777777" w:rsidR="00C63BB9" w:rsidRPr="00655F87" w:rsidRDefault="00CC7978" w:rsidP="00D84DE8">
            <w:r>
              <w:t>0</w:t>
            </w:r>
          </w:p>
        </w:tc>
        <w:tc>
          <w:tcPr>
            <w:tcW w:w="591"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C12FBF">
        <w:trPr>
          <w:gridAfter w:val="1"/>
          <w:wAfter w:w="3" w:type="dxa"/>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0" w:type="pct"/>
            <w:gridSpan w:val="2"/>
            <w:hideMark/>
          </w:tcPr>
          <w:p w14:paraId="129D0133" w14:textId="77777777" w:rsidR="00C63BB9" w:rsidRPr="00655F87" w:rsidRDefault="00CC7978" w:rsidP="00D84DE8">
            <w:r>
              <w:t>0</w:t>
            </w:r>
          </w:p>
        </w:tc>
        <w:tc>
          <w:tcPr>
            <w:tcW w:w="591"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C12FBF">
        <w:trPr>
          <w:gridAfter w:val="1"/>
          <w:wAfter w:w="3" w:type="dxa"/>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0" w:type="pct"/>
            <w:gridSpan w:val="2"/>
            <w:hideMark/>
          </w:tcPr>
          <w:p w14:paraId="129D013A" w14:textId="77777777" w:rsidR="00C63BB9" w:rsidRPr="00655F87" w:rsidRDefault="00CC7978" w:rsidP="00D84DE8">
            <w:r>
              <w:t>0</w:t>
            </w:r>
          </w:p>
        </w:tc>
        <w:tc>
          <w:tcPr>
            <w:tcW w:w="591"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C12FBF">
        <w:trPr>
          <w:gridAfter w:val="1"/>
          <w:wAfter w:w="3" w:type="dxa"/>
        </w:trPr>
        <w:tc>
          <w:tcPr>
            <w:tcW w:w="2025" w:type="pct"/>
            <w:hideMark/>
          </w:tcPr>
          <w:p w14:paraId="129D013E" w14:textId="77777777" w:rsidR="00C63BB9" w:rsidRPr="00655F87" w:rsidRDefault="00CC7978" w:rsidP="00D84DE8">
            <w:r w:rsidRPr="00655F87">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0" w:type="pct"/>
            <w:gridSpan w:val="2"/>
            <w:hideMark/>
          </w:tcPr>
          <w:p w14:paraId="129D0141" w14:textId="77777777" w:rsidR="00C63BB9" w:rsidRPr="00655F87" w:rsidRDefault="00CC7978" w:rsidP="00D84DE8">
            <w:r>
              <w:t>0</w:t>
            </w:r>
          </w:p>
        </w:tc>
        <w:tc>
          <w:tcPr>
            <w:tcW w:w="591"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D84DE8">
        <w:trPr>
          <w:gridAfter w:val="1"/>
          <w:wAfter w:w="3" w:type="dxa"/>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0"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91"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D84DE8">
        <w:trPr>
          <w:gridAfter w:val="1"/>
          <w:wAfter w:w="3" w:type="dxa"/>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0"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91"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C12FBF">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87" w:type="pct"/>
            <w:tcBorders>
              <w:top w:val="nil"/>
              <w:bottom w:val="nil"/>
            </w:tcBorders>
            <w:shd w:val="clear" w:color="auto" w:fill="auto"/>
          </w:tcPr>
          <w:p w14:paraId="129D0156" w14:textId="77777777" w:rsidR="00C12FBF" w:rsidRPr="00655F87" w:rsidRDefault="00C12FBF">
            <w:pPr>
              <w:spacing w:after="160" w:line="259" w:lineRule="auto"/>
            </w:pPr>
          </w:p>
        </w:tc>
        <w:tc>
          <w:tcPr>
            <w:tcW w:w="591"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C12FBF">
        <w:trPr>
          <w:gridAfter w:val="1"/>
          <w:wAfter w:w="3" w:type="dxa"/>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0" w:type="pct"/>
            <w:gridSpan w:val="2"/>
            <w:hideMark/>
          </w:tcPr>
          <w:p w14:paraId="129D015D" w14:textId="77777777" w:rsidR="00C63BB9" w:rsidRPr="00655F87" w:rsidRDefault="00CC7978" w:rsidP="00D84DE8">
            <w:r>
              <w:t>0</w:t>
            </w:r>
          </w:p>
        </w:tc>
        <w:tc>
          <w:tcPr>
            <w:tcW w:w="591"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C12FBF">
        <w:trPr>
          <w:gridAfter w:val="1"/>
          <w:wAfter w:w="3" w:type="dxa"/>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0" w:type="pct"/>
            <w:gridSpan w:val="2"/>
            <w:hideMark/>
          </w:tcPr>
          <w:p w14:paraId="129D0164" w14:textId="77777777" w:rsidR="00C63BB9" w:rsidRPr="00655F87" w:rsidRDefault="00CC7978" w:rsidP="00D84DE8">
            <w:r>
              <w:t>0</w:t>
            </w:r>
          </w:p>
        </w:tc>
        <w:tc>
          <w:tcPr>
            <w:tcW w:w="591"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C12FBF">
        <w:trPr>
          <w:gridAfter w:val="1"/>
          <w:wAfter w:w="3" w:type="dxa"/>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0" w:type="pct"/>
            <w:gridSpan w:val="2"/>
            <w:hideMark/>
          </w:tcPr>
          <w:p w14:paraId="129D016B" w14:textId="77777777" w:rsidR="00C63BB9" w:rsidRPr="00655F87" w:rsidRDefault="00CC7978" w:rsidP="00D84DE8">
            <w:r>
              <w:t>0</w:t>
            </w:r>
          </w:p>
        </w:tc>
        <w:tc>
          <w:tcPr>
            <w:tcW w:w="591"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C12FBF">
        <w:trPr>
          <w:gridAfter w:val="1"/>
          <w:wAfter w:w="3" w:type="dxa"/>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0" w:type="pct"/>
            <w:gridSpan w:val="2"/>
            <w:hideMark/>
          </w:tcPr>
          <w:p w14:paraId="129D0172" w14:textId="77777777" w:rsidR="00C63BB9" w:rsidRPr="00655F87" w:rsidRDefault="00CC7978" w:rsidP="00D84DE8">
            <w:r>
              <w:t>0</w:t>
            </w:r>
          </w:p>
        </w:tc>
        <w:tc>
          <w:tcPr>
            <w:tcW w:w="591"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dxa"/>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6"/>
            <w:vMerge w:val="restart"/>
            <w:hideMark/>
          </w:tcPr>
          <w:p w14:paraId="129D0177" w14:textId="77777777" w:rsidR="00C63BB9" w:rsidRPr="00655F87" w:rsidRDefault="00CC7978" w:rsidP="00D84DE8">
            <w:pPr>
              <w:jc w:val="both"/>
            </w:pPr>
            <w:r>
              <w:t>Nav.</w:t>
            </w:r>
          </w:p>
        </w:tc>
      </w:tr>
      <w:tr w:rsidR="00873FE6" w14:paraId="129D017B" w14:textId="77777777" w:rsidTr="00C12FBF">
        <w:trPr>
          <w:gridAfter w:val="1"/>
          <w:wAfter w:w="3" w:type="dxa"/>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dxa"/>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dxa"/>
          <w:trHeight w:val="555"/>
        </w:trPr>
        <w:tc>
          <w:tcPr>
            <w:tcW w:w="2025" w:type="pct"/>
          </w:tcPr>
          <w:p w14:paraId="129D017F" w14:textId="77777777" w:rsidR="00C63BB9" w:rsidRPr="00655F87" w:rsidRDefault="00CC7978" w:rsidP="00D84DE8">
            <w:r>
              <w:lastRenderedPageBreak/>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dxa"/>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29EAB439" w:rsidR="00A635CF" w:rsidRPr="00655F87" w:rsidRDefault="00A635CF" w:rsidP="00576B9C">
            <w:pPr>
              <w:spacing w:before="100" w:beforeAutospacing="1" w:after="100" w:afterAutospacing="1"/>
              <w:jc w:val="both"/>
            </w:pPr>
            <w:r w:rsidRPr="00F55192">
              <w:t xml:space="preserve">Rīkojuma projekts neskar valsts budžetu. </w:t>
            </w:r>
            <w:r>
              <w:t>Jēkabpils</w:t>
            </w:r>
            <w:r w:rsidRPr="00F55192">
              <w:t xml:space="preserve"> </w:t>
            </w:r>
            <w:r>
              <w:t>pilsētas</w:t>
            </w:r>
            <w:r w:rsidRPr="00F55192">
              <w:t xml:space="preserve"> pašvaldībai radīsies izdevumi, </w:t>
            </w:r>
            <w:r>
              <w:t>nostiprinot</w:t>
            </w:r>
            <w:r w:rsidRPr="00F55192">
              <w:t xml:space="preserve"> valsts nekustamo īpašumu uz sava vārda</w:t>
            </w:r>
            <w:r>
              <w:t xml:space="preserve"> vienlaikus ar valsts īpašuma tiesību nostiprināšanu. Izdevumus</w:t>
            </w:r>
            <w:r w:rsidRPr="00F55192">
              <w:t xml:space="preserve"> </w:t>
            </w:r>
            <w:r>
              <w:t>Jēkabpils</w:t>
            </w:r>
            <w:r w:rsidRPr="00F55192">
              <w:t xml:space="preserve"> </w:t>
            </w:r>
            <w:r>
              <w:t>pilsētas</w:t>
            </w:r>
            <w:r w:rsidRPr="00F55192">
              <w:t xml:space="preserve"> pašvaldība segs no sava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6" w14:textId="77777777" w:rsidR="00C63BB9" w:rsidRDefault="00CC7978" w:rsidP="00D84DE8">
            <w:pPr>
              <w:pStyle w:val="NormalWeb"/>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D84DE8">
        <w:trPr>
          <w:trHeight w:val="405"/>
        </w:trPr>
        <w:tc>
          <w:tcPr>
            <w:tcW w:w="10632" w:type="dxa"/>
          </w:tcPr>
          <w:p w14:paraId="129D0189" w14:textId="79C914A8" w:rsidR="00C63BB9" w:rsidRPr="007C3636" w:rsidRDefault="00CC7978" w:rsidP="00D84DE8">
            <w:pPr>
              <w:pStyle w:val="NormalWeb"/>
              <w:spacing w:before="0" w:beforeAutospacing="0" w:after="0" w:afterAutospacing="0"/>
              <w:jc w:val="center"/>
            </w:pPr>
            <w:r w:rsidRPr="007C3636">
              <w:t>Projekts šo jomu neskar</w:t>
            </w:r>
            <w:r w:rsidR="00C26B3C">
              <w:t>.</w:t>
            </w:r>
          </w:p>
        </w:tc>
      </w:tr>
    </w:tbl>
    <w:p w14:paraId="129D018B"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NormalWeb"/>
              <w:spacing w:before="0" w:beforeAutospacing="0" w:after="0" w:afterAutospacing="0"/>
              <w:jc w:val="center"/>
            </w:pPr>
            <w:r w:rsidRPr="00AA28A9">
              <w:rPr>
                <w:b/>
                <w:bCs/>
              </w:rPr>
              <w:t>V.</w:t>
            </w:r>
            <w:r>
              <w:rPr>
                <w:b/>
                <w:bCs/>
                <w:color w:val="414142"/>
              </w:rPr>
              <w:t> </w:t>
            </w:r>
            <w:r w:rsidRPr="00AA28A9">
              <w:rPr>
                <w:b/>
                <w:bCs/>
              </w:rPr>
              <w:t>Tiesību akta projekta atbilstība Latvijas Republikas starptautiskajām saistībām</w:t>
            </w:r>
          </w:p>
        </w:tc>
      </w:tr>
      <w:tr w:rsidR="00873FE6" w14:paraId="129D018F" w14:textId="77777777" w:rsidTr="00D84DE8">
        <w:trPr>
          <w:trHeight w:val="421"/>
        </w:trPr>
        <w:tc>
          <w:tcPr>
            <w:tcW w:w="10632" w:type="dxa"/>
          </w:tcPr>
          <w:p w14:paraId="129D018E" w14:textId="322A68EB" w:rsidR="00C63BB9" w:rsidRDefault="00CC7978" w:rsidP="00D84DE8">
            <w:pPr>
              <w:pStyle w:val="NormalWeb"/>
              <w:spacing w:before="0" w:beforeAutospacing="0" w:after="0" w:afterAutospacing="0"/>
              <w:jc w:val="center"/>
            </w:pPr>
            <w:r>
              <w:t>Projekts šo jomu neskar</w:t>
            </w:r>
            <w:r w:rsidR="00C26B3C">
              <w:t>.</w:t>
            </w:r>
          </w:p>
        </w:tc>
      </w:tr>
    </w:tbl>
    <w:p w14:paraId="129D0190"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Pr="00AA28A9" w:rsidRDefault="00CC7978" w:rsidP="008030B2">
            <w:pPr>
              <w:pStyle w:val="NormalWeb"/>
              <w:spacing w:before="0" w:beforeAutospacing="0" w:after="0" w:afterAutospacing="0"/>
              <w:jc w:val="center"/>
              <w:rPr>
                <w:b/>
                <w:bCs/>
              </w:rPr>
            </w:pPr>
            <w:r w:rsidRPr="00AA28A9">
              <w:rPr>
                <w:b/>
                <w:bCs/>
              </w:rPr>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NormalWeb"/>
              <w:spacing w:before="0" w:beforeAutospacing="0" w:after="0" w:afterAutospacing="0"/>
              <w:jc w:val="center"/>
            </w:pPr>
            <w:r>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6061" w:type="dxa"/>
          </w:tcPr>
          <w:p w14:paraId="129D0195" w14:textId="58E5B8AF" w:rsidR="00EE105D" w:rsidRDefault="00EE105D" w:rsidP="00F03FF4">
            <w:pPr>
              <w:pStyle w:val="NormalWeb"/>
              <w:jc w:val="both"/>
            </w:pPr>
            <w:r w:rsidRPr="00140973">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633DEF98" w:rsidR="00EE105D" w:rsidRDefault="00EE105D" w:rsidP="00576B9C">
            <w:pPr>
              <w:pStyle w:val="NormalWeb"/>
              <w:spacing w:before="0" w:beforeAutospacing="0" w:after="0" w:afterAutospacing="0"/>
              <w:jc w:val="both"/>
            </w:pPr>
            <w:r w:rsidRPr="00140973">
              <w:t xml:space="preserve">Rīkojuma projekta būtība skar Ministru kabineta kompetenci lemt par to, vai atļaut </w:t>
            </w:r>
            <w:r w:rsidR="00576B9C">
              <w:t>Jēkabpils pilsētas</w:t>
            </w:r>
            <w:r w:rsidRPr="00140973">
              <w:t xml:space="preserve"> pašvaldībai izmantot pirmtiesības uz nekustamo īpašumu, kas ir kļuvis par bezmantinieka mantu.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2C10B25E"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873FE6" w14:paraId="129D01A7" w14:textId="77777777" w:rsidTr="00D84DE8">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D84DE8">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14:paraId="129D01AA" w14:textId="17979AD1" w:rsidR="00C63BB9" w:rsidRDefault="00A635CF" w:rsidP="00576B9C">
            <w:pPr>
              <w:pStyle w:val="naisnod"/>
              <w:spacing w:before="0" w:after="0"/>
              <w:ind w:left="57" w:right="152"/>
              <w:jc w:val="both"/>
              <w:rPr>
                <w:b w:val="0"/>
              </w:rPr>
            </w:pPr>
            <w:r>
              <w:rPr>
                <w:b w:val="0"/>
                <w:iCs/>
              </w:rPr>
              <w:t>Vides aizsardzības un reģionālās attīstības ministrija</w:t>
            </w:r>
            <w:r w:rsidR="00A573B0">
              <w:rPr>
                <w:b w:val="0"/>
                <w:iCs/>
              </w:rPr>
              <w:t xml:space="preserve"> </w:t>
            </w:r>
            <w:r w:rsidR="00CC7978">
              <w:rPr>
                <w:b w:val="0"/>
                <w:iCs/>
              </w:rPr>
              <w:t xml:space="preserve">un </w:t>
            </w:r>
            <w:r w:rsidR="00576B9C">
              <w:rPr>
                <w:b w:val="0"/>
                <w:iCs/>
              </w:rPr>
              <w:t>Jēkabpils pilsētas</w:t>
            </w:r>
            <w:r w:rsidR="00A573B0">
              <w:rPr>
                <w:b w:val="0"/>
                <w:iCs/>
              </w:rPr>
              <w:t xml:space="preserve"> pašvaldība</w:t>
            </w:r>
            <w:r w:rsidR="00CC7978">
              <w:rPr>
                <w:b w:val="0"/>
                <w:iCs/>
              </w:rPr>
              <w:t>.</w:t>
            </w:r>
          </w:p>
        </w:tc>
      </w:tr>
      <w:tr w:rsidR="00873FE6" w14:paraId="129D01B0" w14:textId="77777777" w:rsidTr="00D84DE8">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w:t>
            </w:r>
            <w:r>
              <w:lastRenderedPageBreak/>
              <w:t xml:space="preserve">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14:paraId="129D01AF" w14:textId="6D998125" w:rsidR="00C63BB9" w:rsidRDefault="00CC7978" w:rsidP="008F39FD">
            <w:pPr>
              <w:pStyle w:val="naisnod"/>
              <w:spacing w:before="0" w:after="0"/>
              <w:ind w:left="57" w:right="152"/>
              <w:jc w:val="both"/>
              <w:rPr>
                <w:b w:val="0"/>
              </w:rPr>
            </w:pPr>
            <w:r>
              <w:rPr>
                <w:b w:val="0"/>
              </w:rPr>
              <w:lastRenderedPageBreak/>
              <w:t xml:space="preserve"> </w:t>
            </w:r>
            <w:r w:rsidR="00C26B3C" w:rsidRPr="00C26B3C">
              <w:rPr>
                <w:b w:val="0"/>
              </w:rPr>
              <w:t>Projekts šo jomu neskar.</w:t>
            </w:r>
          </w:p>
        </w:tc>
      </w:tr>
      <w:tr w:rsidR="00873FE6" w14:paraId="129D01B4" w14:textId="77777777" w:rsidTr="00D84DE8">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lastRenderedPageBreak/>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4AE51ABE" w14:textId="5A55CA50" w:rsidR="00C26B3C" w:rsidRPr="00C26B3C" w:rsidRDefault="00C26B3C" w:rsidP="00656247">
      <w:pPr>
        <w:spacing w:before="75" w:after="75"/>
        <w:jc w:val="both"/>
        <w:rPr>
          <w:sz w:val="28"/>
          <w:szCs w:val="28"/>
        </w:rPr>
      </w:pPr>
      <w:r w:rsidRPr="00C26B3C">
        <w:rPr>
          <w:sz w:val="28"/>
          <w:szCs w:val="28"/>
        </w:rPr>
        <w:t>Vides aizsardzības un</w:t>
      </w:r>
      <w:r w:rsidR="00656247">
        <w:rPr>
          <w:sz w:val="28"/>
          <w:szCs w:val="28"/>
        </w:rPr>
        <w:t xml:space="preserve"> reģionālās attīstības ministrs</w:t>
      </w:r>
      <w:r w:rsidR="00656247">
        <w:rPr>
          <w:sz w:val="28"/>
          <w:szCs w:val="28"/>
        </w:rPr>
        <w:tab/>
      </w:r>
      <w:r w:rsidR="00656247">
        <w:rPr>
          <w:sz w:val="28"/>
          <w:szCs w:val="28"/>
        </w:rPr>
        <w:tab/>
      </w:r>
      <w:r w:rsidR="00656247">
        <w:rPr>
          <w:sz w:val="28"/>
          <w:szCs w:val="28"/>
        </w:rPr>
        <w:tab/>
        <w:t>A.</w:t>
      </w:r>
      <w:r w:rsidR="00A635CF">
        <w:rPr>
          <w:sz w:val="28"/>
          <w:szCs w:val="28"/>
        </w:rPr>
        <w:t> </w:t>
      </w:r>
      <w:r w:rsidR="00656247">
        <w:rPr>
          <w:sz w:val="28"/>
          <w:szCs w:val="28"/>
        </w:rPr>
        <w:t>T.</w:t>
      </w:r>
      <w:r w:rsidR="00A635CF">
        <w:rPr>
          <w:sz w:val="28"/>
          <w:szCs w:val="28"/>
        </w:rPr>
        <w:t> </w:t>
      </w:r>
      <w:r w:rsidR="00656247">
        <w:rPr>
          <w:sz w:val="28"/>
          <w:szCs w:val="28"/>
        </w:rPr>
        <w:t>Plešs</w:t>
      </w:r>
    </w:p>
    <w:p w14:paraId="129D01B9" w14:textId="77777777" w:rsidR="00C63BB9" w:rsidRDefault="00C63BB9" w:rsidP="00C63BB9">
      <w:pPr>
        <w:tabs>
          <w:tab w:val="left" w:pos="5610"/>
        </w:tabs>
        <w:rPr>
          <w:sz w:val="26"/>
          <w:szCs w:val="26"/>
        </w:rPr>
      </w:pP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BF" w14:textId="283F57C6" w:rsidR="00C63BB9" w:rsidRPr="00F92AD4" w:rsidRDefault="00FA2494" w:rsidP="00C63BB9">
      <w:pPr>
        <w:ind w:right="283"/>
        <w:jc w:val="both"/>
        <w:rPr>
          <w:sz w:val="20"/>
          <w:szCs w:val="20"/>
        </w:rPr>
      </w:pPr>
      <w:r>
        <w:rPr>
          <w:sz w:val="20"/>
          <w:szCs w:val="20"/>
        </w:rPr>
        <w:t>Vīksna 67026912</w:t>
      </w:r>
    </w:p>
    <w:p w14:paraId="129D01C0" w14:textId="0D263034" w:rsidR="00C63BB9" w:rsidRDefault="00A635CF" w:rsidP="00C63BB9">
      <w:pPr>
        <w:ind w:right="283"/>
        <w:jc w:val="both"/>
      </w:pPr>
      <w:hyperlink r:id="rId10" w:history="1">
        <w:r w:rsidRPr="00A635CF">
          <w:rPr>
            <w:rStyle w:val="Hyperlink"/>
            <w:sz w:val="20"/>
            <w:szCs w:val="20"/>
          </w:rPr>
          <w:t>Vivita.Viksna@varam.gov.lv</w:t>
        </w:r>
      </w:hyperlink>
    </w:p>
    <w:p w14:paraId="129D01C1" w14:textId="77777777" w:rsidR="002E665B" w:rsidRDefault="002E665B">
      <w:bookmarkStart w:id="0" w:name="_GoBack"/>
      <w:bookmarkEnd w:id="0"/>
    </w:p>
    <w:sectPr w:rsidR="002E665B" w:rsidSect="00D84DE8">
      <w:footerReference w:type="default" r:id="rId11"/>
      <w:pgSz w:w="11906" w:h="16838"/>
      <w:pgMar w:top="1701" w:right="141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496C" w16cex:dateUtc="2020-11-23T12:45:00Z"/>
  <w16cex:commentExtensible w16cex:durableId="236649F0" w16cex:dateUtc="2020-11-23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FCD71E" w16cid:durableId="2366496C"/>
  <w16cid:commentId w16cid:paraId="5A094FF2" w16cid:durableId="236649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B6E69" w14:textId="77777777" w:rsidR="009F2DE2" w:rsidRDefault="009F2DE2">
      <w:r>
        <w:separator/>
      </w:r>
    </w:p>
  </w:endnote>
  <w:endnote w:type="continuationSeparator" w:id="0">
    <w:p w14:paraId="7F2FF731" w14:textId="77777777" w:rsidR="009F2DE2" w:rsidRDefault="009F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01C6" w14:textId="6642F450" w:rsidR="00F14779" w:rsidRPr="00274AEA" w:rsidRDefault="00656247" w:rsidP="00D84DE8">
    <w:pPr>
      <w:jc w:val="both"/>
      <w:rPr>
        <w:sz w:val="20"/>
        <w:szCs w:val="20"/>
      </w:rPr>
    </w:pPr>
    <w:r>
      <w:rPr>
        <w:noProof/>
        <w:sz w:val="20"/>
        <w:szCs w:val="20"/>
      </w:rPr>
      <w:t>VARAMAnot_</w:t>
    </w:r>
    <w:r w:rsidR="00AD188D">
      <w:rPr>
        <w:noProof/>
        <w:sz w:val="20"/>
        <w:szCs w:val="20"/>
      </w:rPr>
      <w:t>190121</w:t>
    </w:r>
    <w:r w:rsidR="00F14779">
      <w:rPr>
        <w:noProof/>
        <w:sz w:val="20"/>
        <w:szCs w:val="20"/>
      </w:rPr>
      <w:t>_</w:t>
    </w:r>
    <w:r>
      <w:rPr>
        <w:noProof/>
        <w:sz w:val="20"/>
        <w:szCs w:val="20"/>
      </w:rPr>
      <w:t>Jēkabpils_Viestura</w:t>
    </w:r>
  </w:p>
  <w:p w14:paraId="129D01C7" w14:textId="2C94406E" w:rsidR="00F14779" w:rsidRDefault="00F14779" w:rsidP="00D84DE8">
    <w:pPr>
      <w:pStyle w:val="Footer"/>
      <w:jc w:val="center"/>
    </w:pPr>
    <w:r>
      <w:fldChar w:fldCharType="begin"/>
    </w:r>
    <w:r>
      <w:instrText xml:space="preserve"> PAGE   \* MERGEFORMAT </w:instrText>
    </w:r>
    <w:r>
      <w:fldChar w:fldCharType="separate"/>
    </w:r>
    <w:r w:rsidR="00F03FF4">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5D2A7" w14:textId="77777777" w:rsidR="009F2DE2" w:rsidRDefault="009F2DE2">
      <w:r>
        <w:separator/>
      </w:r>
    </w:p>
  </w:footnote>
  <w:footnote w:type="continuationSeparator" w:id="0">
    <w:p w14:paraId="22A9D6B9" w14:textId="77777777" w:rsidR="009F2DE2" w:rsidRDefault="009F2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B9"/>
    <w:rsid w:val="00000AA7"/>
    <w:rsid w:val="0001229A"/>
    <w:rsid w:val="00083A80"/>
    <w:rsid w:val="0008441B"/>
    <w:rsid w:val="00085E9F"/>
    <w:rsid w:val="000861C4"/>
    <w:rsid w:val="000A28C6"/>
    <w:rsid w:val="000F5563"/>
    <w:rsid w:val="00105EB4"/>
    <w:rsid w:val="001247E9"/>
    <w:rsid w:val="00142A6B"/>
    <w:rsid w:val="0014767B"/>
    <w:rsid w:val="0014778B"/>
    <w:rsid w:val="00165376"/>
    <w:rsid w:val="00185266"/>
    <w:rsid w:val="00190566"/>
    <w:rsid w:val="001A1A7C"/>
    <w:rsid w:val="001C1896"/>
    <w:rsid w:val="001D5B99"/>
    <w:rsid w:val="002059AD"/>
    <w:rsid w:val="002349E8"/>
    <w:rsid w:val="00264984"/>
    <w:rsid w:val="00274AEA"/>
    <w:rsid w:val="002C040D"/>
    <w:rsid w:val="002C10C7"/>
    <w:rsid w:val="002C690D"/>
    <w:rsid w:val="002D515D"/>
    <w:rsid w:val="002E3CC0"/>
    <w:rsid w:val="002E665B"/>
    <w:rsid w:val="003209FF"/>
    <w:rsid w:val="00374B3F"/>
    <w:rsid w:val="003A0B5D"/>
    <w:rsid w:val="003A4D27"/>
    <w:rsid w:val="003C7D8F"/>
    <w:rsid w:val="0043162D"/>
    <w:rsid w:val="0044378B"/>
    <w:rsid w:val="0044658C"/>
    <w:rsid w:val="004620C3"/>
    <w:rsid w:val="00493390"/>
    <w:rsid w:val="00497C60"/>
    <w:rsid w:val="004C145F"/>
    <w:rsid w:val="004D65A6"/>
    <w:rsid w:val="004E7C4E"/>
    <w:rsid w:val="00502D34"/>
    <w:rsid w:val="00521485"/>
    <w:rsid w:val="00534494"/>
    <w:rsid w:val="005428B4"/>
    <w:rsid w:val="00576B9C"/>
    <w:rsid w:val="0058416C"/>
    <w:rsid w:val="005957BF"/>
    <w:rsid w:val="005974F0"/>
    <w:rsid w:val="005A2CB2"/>
    <w:rsid w:val="005A6CF7"/>
    <w:rsid w:val="005B32AF"/>
    <w:rsid w:val="005C6773"/>
    <w:rsid w:val="005E7B63"/>
    <w:rsid w:val="005F40A5"/>
    <w:rsid w:val="0061332F"/>
    <w:rsid w:val="00622C83"/>
    <w:rsid w:val="00637B28"/>
    <w:rsid w:val="0064643B"/>
    <w:rsid w:val="00647B44"/>
    <w:rsid w:val="00655F87"/>
    <w:rsid w:val="00656247"/>
    <w:rsid w:val="00681999"/>
    <w:rsid w:val="006D6CC4"/>
    <w:rsid w:val="0071130C"/>
    <w:rsid w:val="0072253C"/>
    <w:rsid w:val="007247A6"/>
    <w:rsid w:val="0074456C"/>
    <w:rsid w:val="00745633"/>
    <w:rsid w:val="00784EE4"/>
    <w:rsid w:val="007A2BA7"/>
    <w:rsid w:val="007B5720"/>
    <w:rsid w:val="007C3636"/>
    <w:rsid w:val="007C4587"/>
    <w:rsid w:val="007D3C45"/>
    <w:rsid w:val="00800618"/>
    <w:rsid w:val="008030B2"/>
    <w:rsid w:val="00873FE6"/>
    <w:rsid w:val="008778D4"/>
    <w:rsid w:val="00893976"/>
    <w:rsid w:val="008C4B4F"/>
    <w:rsid w:val="008C68F0"/>
    <w:rsid w:val="008F39FD"/>
    <w:rsid w:val="00904133"/>
    <w:rsid w:val="00976DC8"/>
    <w:rsid w:val="00986F7B"/>
    <w:rsid w:val="009F2DE2"/>
    <w:rsid w:val="00A00963"/>
    <w:rsid w:val="00A10A41"/>
    <w:rsid w:val="00A359C7"/>
    <w:rsid w:val="00A573B0"/>
    <w:rsid w:val="00A62901"/>
    <w:rsid w:val="00A635CF"/>
    <w:rsid w:val="00A96F08"/>
    <w:rsid w:val="00AA28A9"/>
    <w:rsid w:val="00AB5497"/>
    <w:rsid w:val="00AD188D"/>
    <w:rsid w:val="00B240EF"/>
    <w:rsid w:val="00B3596B"/>
    <w:rsid w:val="00B36C51"/>
    <w:rsid w:val="00B426B2"/>
    <w:rsid w:val="00B57AD6"/>
    <w:rsid w:val="00B7104D"/>
    <w:rsid w:val="00B75A6B"/>
    <w:rsid w:val="00B953B8"/>
    <w:rsid w:val="00BD1B50"/>
    <w:rsid w:val="00BD3782"/>
    <w:rsid w:val="00BD38C2"/>
    <w:rsid w:val="00BF34CB"/>
    <w:rsid w:val="00C12FBF"/>
    <w:rsid w:val="00C12FFB"/>
    <w:rsid w:val="00C25E0F"/>
    <w:rsid w:val="00C26B3C"/>
    <w:rsid w:val="00C361A5"/>
    <w:rsid w:val="00C63BB9"/>
    <w:rsid w:val="00CA4290"/>
    <w:rsid w:val="00CA5DD0"/>
    <w:rsid w:val="00CC7978"/>
    <w:rsid w:val="00D336D7"/>
    <w:rsid w:val="00D37572"/>
    <w:rsid w:val="00D520F7"/>
    <w:rsid w:val="00D84DE8"/>
    <w:rsid w:val="00D952A7"/>
    <w:rsid w:val="00DA7E62"/>
    <w:rsid w:val="00DC4372"/>
    <w:rsid w:val="00DC730A"/>
    <w:rsid w:val="00E1003D"/>
    <w:rsid w:val="00EE105D"/>
    <w:rsid w:val="00F03FF4"/>
    <w:rsid w:val="00F14779"/>
    <w:rsid w:val="00F1799E"/>
    <w:rsid w:val="00F412D8"/>
    <w:rsid w:val="00F46DB0"/>
    <w:rsid w:val="00F763DB"/>
    <w:rsid w:val="00F92AD4"/>
    <w:rsid w:val="00FA2494"/>
    <w:rsid w:val="00FA3FD1"/>
    <w:rsid w:val="00FA77BE"/>
    <w:rsid w:val="00FB0794"/>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C63BB9"/>
    <w:rPr>
      <w:sz w:val="20"/>
      <w:szCs w:val="20"/>
    </w:rPr>
  </w:style>
  <w:style w:type="character" w:customStyle="1" w:styleId="CommentTextChar">
    <w:name w:val="Comment Text Char"/>
    <w:basedOn w:val="DefaultParagraphFont"/>
    <w:link w:val="CommentText"/>
    <w:uiPriority w:val="99"/>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040D"/>
    <w:rPr>
      <w:sz w:val="16"/>
      <w:szCs w:val="16"/>
    </w:rPr>
  </w:style>
  <w:style w:type="paragraph" w:styleId="CommentSubject">
    <w:name w:val="annotation subject"/>
    <w:basedOn w:val="CommentText"/>
    <w:next w:val="CommentText"/>
    <w:link w:val="CommentSubjectChar"/>
    <w:uiPriority w:val="99"/>
    <w:semiHidden/>
    <w:unhideWhenUsed/>
    <w:rsid w:val="002C040D"/>
    <w:rPr>
      <w:b/>
      <w:bCs/>
    </w:rPr>
  </w:style>
  <w:style w:type="character" w:customStyle="1" w:styleId="CommentSubjectChar">
    <w:name w:val="Comment Subject Char"/>
    <w:basedOn w:val="CommentTextChar"/>
    <w:link w:val="CommentSubject"/>
    <w:uiPriority w:val="99"/>
    <w:semiHidden/>
    <w:rsid w:val="002C04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C0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0D"/>
    <w:rPr>
      <w:rFonts w:ascii="Segoe UI" w:eastAsia="Times New Roman" w:hAnsi="Segoe UI" w:cs="Segoe UI"/>
      <w:sz w:val="18"/>
      <w:szCs w:val="18"/>
      <w:lang w:eastAsia="lv-LV"/>
    </w:rPr>
  </w:style>
  <w:style w:type="character" w:styleId="Strong">
    <w:name w:val="Strong"/>
    <w:qFormat/>
    <w:rsid w:val="00AD188D"/>
    <w:rPr>
      <w:b/>
      <w:bCs/>
    </w:rPr>
  </w:style>
  <w:style w:type="paragraph" w:styleId="ListParagraph">
    <w:name w:val="List Paragraph"/>
    <w:basedOn w:val="Normal"/>
    <w:uiPriority w:val="34"/>
    <w:qFormat/>
    <w:rsid w:val="0080061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ivita.Viksna@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F243-86A0-457F-92A0-CF29794F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E1FE7-735E-44AD-B84A-315636A36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4.xml><?xml version="1.0" encoding="utf-8"?>
<ds:datastoreItem xmlns:ds="http://schemas.openxmlformats.org/officeDocument/2006/customXml" ds:itemID="{9B8F1E28-CA55-458C-8280-259933C3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8056</Words>
  <Characters>4593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valstij piekrītošā nekustamā īpašuma Cēsīs, Ķiršu ielā 4 un Raiņa ielā 15 nodošanu Cēsu novada pašvaldības īpašumā</vt:lpstr>
    </vt:vector>
  </TitlesOfParts>
  <Company>VARAM</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Cēsīs, Ķiršu ielā 4 un Raiņa ielā 15 nodošanu Cēsu novada pašvaldības īpašumā</dc:title>
  <dc:subject>MK rīkojuma projekta anotācija</dc:subject>
  <dc:creator>Vivita.Viksna@varam.gov.lv</dc:creator>
  <dc:description>vivita.viksna@varam.gov.lv; 67026912</dc:description>
  <cp:lastModifiedBy>Vivita</cp:lastModifiedBy>
  <cp:revision>3</cp:revision>
  <dcterms:created xsi:type="dcterms:W3CDTF">2021-01-18T16:15:00Z</dcterms:created>
  <dcterms:modified xsi:type="dcterms:W3CDTF">2021-01-20T11:48:00Z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