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F229E"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47EFB794"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52627ABD"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270B7390"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7D5D190D"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7796FB55"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7634F691"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68E42145"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12DD3301" w14:textId="0C69C2BC" w:rsidR="00DB15BA" w:rsidRPr="003F18F0" w:rsidRDefault="00DB15BA" w:rsidP="002366B5">
      <w:pPr>
        <w:tabs>
          <w:tab w:val="left" w:pos="7755"/>
        </w:tabs>
        <w:spacing w:after="0" w:line="240" w:lineRule="auto"/>
        <w:ind w:right="-1" w:firstLine="567"/>
        <w:rPr>
          <w:rFonts w:ascii="Times New Roman" w:hAnsi="Times New Roman" w:cs="Times New Roman"/>
          <w:b/>
          <w:color w:val="000000" w:themeColor="text1"/>
          <w:sz w:val="28"/>
          <w:szCs w:val="28"/>
        </w:rPr>
      </w:pPr>
    </w:p>
    <w:p w14:paraId="4AFA6629"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032E0099"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16D9AEEC"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38185633"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18AFB16E"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273686B4"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71DA74A4"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64B99BD5"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3F9C15B8"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61F9F76D"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4D960AA8"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23B31D44" w14:textId="7AD03508" w:rsidR="0075705B" w:rsidRPr="003F18F0" w:rsidRDefault="00E97292" w:rsidP="00987C6B">
      <w:pPr>
        <w:spacing w:after="0" w:line="240" w:lineRule="auto"/>
        <w:ind w:right="-1" w:firstLine="567"/>
        <w:jc w:val="center"/>
        <w:rPr>
          <w:rFonts w:ascii="Times New Roman" w:hAnsi="Times New Roman" w:cs="Times New Roman"/>
          <w:color w:val="000000" w:themeColor="text1"/>
          <w:sz w:val="36"/>
          <w:szCs w:val="36"/>
        </w:rPr>
      </w:pPr>
      <w:r w:rsidRPr="003F18F0">
        <w:rPr>
          <w:rFonts w:ascii="Times New Roman" w:hAnsi="Times New Roman" w:cs="Times New Roman"/>
          <w:b/>
          <w:color w:val="000000" w:themeColor="text1"/>
          <w:sz w:val="36"/>
          <w:szCs w:val="36"/>
        </w:rPr>
        <w:t xml:space="preserve">Informatīvais ziņojums “Par Modernizācijas fonda </w:t>
      </w:r>
      <w:r w:rsidR="00F72C5F" w:rsidRPr="003F18F0">
        <w:rPr>
          <w:rFonts w:ascii="Times New Roman" w:hAnsi="Times New Roman" w:cs="Times New Roman"/>
          <w:b/>
          <w:color w:val="000000" w:themeColor="text1"/>
          <w:sz w:val="36"/>
          <w:szCs w:val="36"/>
        </w:rPr>
        <w:t>ieviešanu</w:t>
      </w:r>
      <w:r w:rsidRPr="003F18F0">
        <w:rPr>
          <w:rFonts w:ascii="Times New Roman" w:hAnsi="Times New Roman" w:cs="Times New Roman"/>
          <w:b/>
          <w:color w:val="000000" w:themeColor="text1"/>
          <w:sz w:val="36"/>
          <w:szCs w:val="36"/>
        </w:rPr>
        <w:t>”</w:t>
      </w:r>
    </w:p>
    <w:p w14:paraId="43FC372E" w14:textId="77777777" w:rsidR="00E97292" w:rsidRPr="003F18F0" w:rsidRDefault="00E97292" w:rsidP="00987C6B">
      <w:pPr>
        <w:spacing w:after="0" w:line="240" w:lineRule="auto"/>
        <w:ind w:right="-1" w:firstLine="567"/>
        <w:jc w:val="both"/>
        <w:rPr>
          <w:rFonts w:ascii="Times New Roman" w:hAnsi="Times New Roman" w:cs="Times New Roman"/>
          <w:color w:val="000000" w:themeColor="text1"/>
          <w:sz w:val="28"/>
          <w:szCs w:val="28"/>
        </w:rPr>
      </w:pPr>
    </w:p>
    <w:p w14:paraId="3DBE7545"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4EA5A10C"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4320200D"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427A72A2"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6E8C7782"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1DD19B15"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0D373AFD"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1ADEC4E5"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6F343585"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40F60F3A"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3AB2EABA"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7CE3C66C"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494009CE"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38C50552"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7969DA53"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6CE9A38D"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5A344CBC"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2370B385"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35A3CC62"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67E4A7FC"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1DA55D4A" w14:textId="26ABA4F6" w:rsidR="00E97292" w:rsidRPr="003F18F0" w:rsidRDefault="00E97292" w:rsidP="00987C6B">
      <w:pPr>
        <w:spacing w:after="0" w:line="240" w:lineRule="auto"/>
        <w:ind w:right="-1" w:firstLine="709"/>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rPr>
        <w:lastRenderedPageBreak/>
        <w:t xml:space="preserve">Informatīvais ziņojums </w:t>
      </w:r>
      <w:r w:rsidR="00644104" w:rsidRPr="003F18F0">
        <w:rPr>
          <w:rFonts w:ascii="Times New Roman" w:hAnsi="Times New Roman" w:cs="Times New Roman"/>
          <w:color w:val="000000" w:themeColor="text1"/>
          <w:sz w:val="28"/>
          <w:szCs w:val="28"/>
        </w:rPr>
        <w:t>“P</w:t>
      </w:r>
      <w:r w:rsidRPr="003F18F0">
        <w:rPr>
          <w:rFonts w:ascii="Times New Roman" w:hAnsi="Times New Roman" w:cs="Times New Roman"/>
          <w:color w:val="000000" w:themeColor="text1"/>
          <w:sz w:val="28"/>
          <w:szCs w:val="28"/>
        </w:rPr>
        <w:t xml:space="preserve">ar Modernizācijas fonda </w:t>
      </w:r>
      <w:r w:rsidR="00F72C5F" w:rsidRPr="003F18F0">
        <w:rPr>
          <w:rFonts w:ascii="Times New Roman" w:hAnsi="Times New Roman" w:cs="Times New Roman"/>
          <w:color w:val="000000" w:themeColor="text1"/>
          <w:sz w:val="28"/>
          <w:szCs w:val="28"/>
        </w:rPr>
        <w:t>ieviešanu</w:t>
      </w:r>
      <w:r w:rsidR="00644104" w:rsidRPr="003F18F0">
        <w:rPr>
          <w:rFonts w:ascii="Times New Roman" w:hAnsi="Times New Roman" w:cs="Times New Roman"/>
          <w:color w:val="000000" w:themeColor="text1"/>
          <w:sz w:val="28"/>
          <w:szCs w:val="28"/>
        </w:rPr>
        <w:t>” (turpmāk</w:t>
      </w:r>
      <w:r w:rsidR="00F0682F" w:rsidRPr="003F18F0">
        <w:rPr>
          <w:rFonts w:ascii="Times New Roman" w:hAnsi="Times New Roman" w:cs="Times New Roman"/>
          <w:color w:val="000000" w:themeColor="text1"/>
          <w:sz w:val="28"/>
          <w:szCs w:val="28"/>
        </w:rPr>
        <w:t> </w:t>
      </w:r>
      <w:r w:rsidR="00644104" w:rsidRPr="003F18F0">
        <w:rPr>
          <w:rFonts w:ascii="Times New Roman" w:hAnsi="Times New Roman" w:cs="Times New Roman"/>
          <w:color w:val="000000" w:themeColor="text1"/>
          <w:sz w:val="28"/>
          <w:szCs w:val="28"/>
        </w:rPr>
        <w:t>–</w:t>
      </w:r>
      <w:r w:rsidR="00F0682F" w:rsidRPr="003F18F0">
        <w:rPr>
          <w:rFonts w:ascii="Times New Roman" w:hAnsi="Times New Roman" w:cs="Times New Roman"/>
          <w:color w:val="000000" w:themeColor="text1"/>
          <w:sz w:val="28"/>
          <w:szCs w:val="28"/>
        </w:rPr>
        <w:t> </w:t>
      </w:r>
      <w:r w:rsidR="00644104" w:rsidRPr="003F18F0">
        <w:rPr>
          <w:rFonts w:ascii="Times New Roman" w:hAnsi="Times New Roman" w:cs="Times New Roman"/>
          <w:color w:val="000000" w:themeColor="text1"/>
          <w:sz w:val="28"/>
          <w:szCs w:val="28"/>
        </w:rPr>
        <w:t>informatīvais ziņojums)</w:t>
      </w:r>
      <w:r w:rsidR="00F72C5F" w:rsidRPr="003F18F0">
        <w:rPr>
          <w:rFonts w:ascii="Times New Roman" w:hAnsi="Times New Roman" w:cs="Times New Roman"/>
          <w:color w:val="000000" w:themeColor="text1"/>
          <w:sz w:val="28"/>
          <w:szCs w:val="28"/>
        </w:rPr>
        <w:t xml:space="preserve">, t.sk. </w:t>
      </w:r>
      <w:r w:rsidR="00644104" w:rsidRPr="003F18F0">
        <w:rPr>
          <w:rFonts w:ascii="Times New Roman" w:hAnsi="Times New Roman" w:cs="Times New Roman"/>
          <w:color w:val="000000" w:themeColor="text1"/>
          <w:sz w:val="28"/>
          <w:szCs w:val="28"/>
        </w:rPr>
        <w:t xml:space="preserve">Modernizācijas fonda </w:t>
      </w:r>
      <w:r w:rsidRPr="003F18F0">
        <w:rPr>
          <w:rFonts w:ascii="Times New Roman" w:hAnsi="Times New Roman" w:cs="Times New Roman"/>
          <w:color w:val="000000" w:themeColor="text1"/>
          <w:sz w:val="28"/>
          <w:szCs w:val="28"/>
        </w:rPr>
        <w:t>izveidi</w:t>
      </w:r>
      <w:r w:rsidR="00364193" w:rsidRPr="003F18F0">
        <w:rPr>
          <w:rFonts w:ascii="Times New Roman" w:hAnsi="Times New Roman" w:cs="Times New Roman"/>
          <w:color w:val="000000" w:themeColor="text1"/>
          <w:sz w:val="28"/>
          <w:szCs w:val="28"/>
        </w:rPr>
        <w:t xml:space="preserve">, pārvaldi un tam pieejamo </w:t>
      </w:r>
      <w:r w:rsidR="00F72C5F" w:rsidRPr="003F18F0">
        <w:rPr>
          <w:rFonts w:ascii="Times New Roman" w:hAnsi="Times New Roman" w:cs="Times New Roman"/>
          <w:color w:val="000000" w:themeColor="text1"/>
          <w:sz w:val="28"/>
          <w:szCs w:val="28"/>
        </w:rPr>
        <w:t>finansējumu</w:t>
      </w:r>
      <w:r w:rsidR="00003E66">
        <w:rPr>
          <w:rFonts w:ascii="Times New Roman" w:hAnsi="Times New Roman" w:cs="Times New Roman"/>
          <w:color w:val="000000" w:themeColor="text1"/>
          <w:sz w:val="28"/>
          <w:szCs w:val="28"/>
        </w:rPr>
        <w:t xml:space="preserve"> nacionālā līmenī</w:t>
      </w:r>
      <w:r w:rsidR="000D037E"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ir izstrādāts </w:t>
      </w:r>
      <w:r w:rsidR="00AA3D53" w:rsidRPr="003F18F0">
        <w:rPr>
          <w:rFonts w:ascii="Times New Roman" w:hAnsi="Times New Roman" w:cs="Times New Roman"/>
          <w:color w:val="000000" w:themeColor="text1"/>
          <w:sz w:val="28"/>
          <w:szCs w:val="28"/>
        </w:rPr>
        <w:t>balstoties uz</w:t>
      </w:r>
      <w:r w:rsidRPr="003F18F0">
        <w:rPr>
          <w:rFonts w:ascii="Times New Roman" w:hAnsi="Times New Roman" w:cs="Times New Roman"/>
          <w:color w:val="000000" w:themeColor="text1"/>
          <w:sz w:val="28"/>
          <w:szCs w:val="28"/>
        </w:rPr>
        <w:t xml:space="preserve"> </w:t>
      </w:r>
      <w:r w:rsidR="00364193" w:rsidRPr="003F18F0">
        <w:rPr>
          <w:rFonts w:ascii="Times New Roman" w:hAnsi="Times New Roman" w:cs="Times New Roman"/>
          <w:color w:val="000000" w:themeColor="text1"/>
          <w:sz w:val="28"/>
          <w:szCs w:val="28"/>
        </w:rPr>
        <w:t>Ministru kabineta 2019.</w:t>
      </w:r>
      <w:r w:rsidR="00F0682F" w:rsidRPr="003F18F0">
        <w:rPr>
          <w:rFonts w:ascii="Times New Roman" w:hAnsi="Times New Roman" w:cs="Times New Roman"/>
          <w:color w:val="000000" w:themeColor="text1"/>
          <w:sz w:val="28"/>
          <w:szCs w:val="28"/>
        </w:rPr>
        <w:t> </w:t>
      </w:r>
      <w:r w:rsidR="00364193" w:rsidRPr="003F18F0">
        <w:rPr>
          <w:rFonts w:ascii="Times New Roman" w:hAnsi="Times New Roman" w:cs="Times New Roman"/>
          <w:color w:val="000000" w:themeColor="text1"/>
          <w:sz w:val="28"/>
          <w:szCs w:val="28"/>
        </w:rPr>
        <w:t>gada 1</w:t>
      </w:r>
      <w:r w:rsidR="00AE6A84" w:rsidRPr="003F18F0">
        <w:rPr>
          <w:rFonts w:ascii="Times New Roman" w:hAnsi="Times New Roman" w:cs="Times New Roman"/>
          <w:color w:val="000000" w:themeColor="text1"/>
          <w:sz w:val="28"/>
          <w:szCs w:val="28"/>
        </w:rPr>
        <w:t>7</w:t>
      </w:r>
      <w:r w:rsidR="00364193" w:rsidRPr="003F18F0">
        <w:rPr>
          <w:rFonts w:ascii="Times New Roman" w:hAnsi="Times New Roman" w:cs="Times New Roman"/>
          <w:color w:val="000000" w:themeColor="text1"/>
          <w:sz w:val="28"/>
          <w:szCs w:val="28"/>
        </w:rPr>
        <w:t>.</w:t>
      </w:r>
      <w:r w:rsidR="00F0682F" w:rsidRPr="003F18F0">
        <w:rPr>
          <w:rFonts w:ascii="Times New Roman" w:hAnsi="Times New Roman" w:cs="Times New Roman"/>
          <w:color w:val="000000" w:themeColor="text1"/>
          <w:sz w:val="28"/>
          <w:szCs w:val="28"/>
        </w:rPr>
        <w:t> </w:t>
      </w:r>
      <w:r w:rsidR="00364193" w:rsidRPr="003F18F0">
        <w:rPr>
          <w:rFonts w:ascii="Times New Roman" w:hAnsi="Times New Roman" w:cs="Times New Roman"/>
          <w:color w:val="000000" w:themeColor="text1"/>
          <w:sz w:val="28"/>
          <w:szCs w:val="28"/>
        </w:rPr>
        <w:t xml:space="preserve">jūlija </w:t>
      </w:r>
      <w:r w:rsidR="00AE6A84" w:rsidRPr="003F18F0">
        <w:rPr>
          <w:rFonts w:ascii="Times New Roman" w:hAnsi="Times New Roman" w:cs="Times New Roman"/>
          <w:color w:val="000000" w:themeColor="text1"/>
          <w:sz w:val="28"/>
          <w:szCs w:val="28"/>
        </w:rPr>
        <w:t>rīkojuma Nr. 381</w:t>
      </w:r>
      <w:r w:rsidR="00364193" w:rsidRPr="003F18F0">
        <w:rPr>
          <w:rFonts w:ascii="Times New Roman" w:hAnsi="Times New Roman" w:cs="Times New Roman"/>
          <w:color w:val="000000" w:themeColor="text1"/>
          <w:sz w:val="28"/>
          <w:szCs w:val="28"/>
        </w:rPr>
        <w:t xml:space="preserve"> 3.</w:t>
      </w:r>
      <w:r w:rsidR="00F0682F" w:rsidRPr="003F18F0">
        <w:rPr>
          <w:rFonts w:ascii="Times New Roman" w:hAnsi="Times New Roman" w:cs="Times New Roman"/>
          <w:color w:val="000000" w:themeColor="text1"/>
          <w:sz w:val="28"/>
          <w:szCs w:val="28"/>
        </w:rPr>
        <w:t> </w:t>
      </w:r>
      <w:r w:rsidR="00364193" w:rsidRPr="003F18F0">
        <w:rPr>
          <w:rFonts w:ascii="Times New Roman" w:hAnsi="Times New Roman" w:cs="Times New Roman"/>
          <w:color w:val="000000" w:themeColor="text1"/>
          <w:sz w:val="28"/>
          <w:szCs w:val="28"/>
        </w:rPr>
        <w:t>punkt</w:t>
      </w:r>
      <w:r w:rsidR="007041DA" w:rsidRPr="003F18F0">
        <w:rPr>
          <w:rFonts w:ascii="Times New Roman" w:hAnsi="Times New Roman" w:cs="Times New Roman"/>
          <w:color w:val="000000" w:themeColor="text1"/>
          <w:sz w:val="28"/>
          <w:szCs w:val="28"/>
        </w:rPr>
        <w:t>u</w:t>
      </w:r>
      <w:r w:rsidR="00777436" w:rsidRPr="003F18F0">
        <w:rPr>
          <w:rFonts w:ascii="Times New Roman" w:hAnsi="Times New Roman" w:cs="Times New Roman"/>
          <w:color w:val="000000" w:themeColor="text1"/>
          <w:sz w:val="28"/>
          <w:szCs w:val="28"/>
        </w:rPr>
        <w:t xml:space="preserve"> un </w:t>
      </w:r>
      <w:r w:rsidR="00777436" w:rsidRPr="00003E66">
        <w:rPr>
          <w:rFonts w:ascii="Times New Roman" w:hAnsi="Times New Roman" w:cs="Times New Roman"/>
          <w:color w:val="000000" w:themeColor="text1"/>
          <w:sz w:val="28"/>
          <w:szCs w:val="28"/>
        </w:rPr>
        <w:t>Eiropas Parlamenta un Padomes 2003. gada 13 .oktobra direktīv</w:t>
      </w:r>
      <w:r w:rsidR="00D70EFA" w:rsidRPr="00003E66">
        <w:rPr>
          <w:rFonts w:ascii="Times New Roman" w:hAnsi="Times New Roman" w:cs="Times New Roman"/>
          <w:color w:val="000000" w:themeColor="text1"/>
          <w:sz w:val="28"/>
          <w:szCs w:val="28"/>
        </w:rPr>
        <w:t>as</w:t>
      </w:r>
      <w:r w:rsidR="00777436" w:rsidRPr="00003E66">
        <w:rPr>
          <w:rFonts w:ascii="Times New Roman" w:hAnsi="Times New Roman" w:cs="Times New Roman"/>
          <w:color w:val="000000" w:themeColor="text1"/>
          <w:sz w:val="28"/>
          <w:szCs w:val="28"/>
        </w:rPr>
        <w:t xml:space="preserve"> Nr. 2003/87/EK</w:t>
      </w:r>
      <w:r w:rsidR="00777436" w:rsidRPr="003F18F0">
        <w:rPr>
          <w:rFonts w:ascii="Times New Roman" w:hAnsi="Times New Roman" w:cs="Times New Roman"/>
          <w:i/>
          <w:color w:val="000000" w:themeColor="text1"/>
          <w:sz w:val="28"/>
          <w:szCs w:val="28"/>
        </w:rPr>
        <w:t>, ar kuru nosaka sistēmu siltumnīcas efektu izraisošo gāzu emisijas kvotu tirdzniecībai Kopienā un groza Padomes Direktīvu 96/61/EK</w:t>
      </w:r>
      <w:r w:rsidR="00777436" w:rsidRPr="003F18F0">
        <w:rPr>
          <w:rFonts w:ascii="Times New Roman" w:hAnsi="Times New Roman" w:cs="Times New Roman"/>
          <w:color w:val="000000" w:themeColor="text1"/>
          <w:sz w:val="28"/>
          <w:szCs w:val="28"/>
        </w:rPr>
        <w:t xml:space="preserve"> (turpmāk</w:t>
      </w:r>
      <w:r w:rsidR="000D037E" w:rsidRPr="003F18F0">
        <w:rPr>
          <w:rFonts w:ascii="Times New Roman" w:hAnsi="Times New Roman" w:cs="Times New Roman"/>
          <w:color w:val="000000" w:themeColor="text1"/>
          <w:sz w:val="28"/>
          <w:szCs w:val="28"/>
        </w:rPr>
        <w:t> </w:t>
      </w:r>
      <w:r w:rsidR="00777436" w:rsidRPr="003F18F0">
        <w:rPr>
          <w:rFonts w:ascii="Times New Roman" w:hAnsi="Times New Roman" w:cs="Times New Roman"/>
          <w:color w:val="000000" w:themeColor="text1"/>
          <w:sz w:val="28"/>
          <w:szCs w:val="28"/>
        </w:rPr>
        <w:t>–</w:t>
      </w:r>
      <w:r w:rsidR="000D037E" w:rsidRPr="003F18F0">
        <w:rPr>
          <w:rFonts w:ascii="Times New Roman" w:hAnsi="Times New Roman" w:cs="Times New Roman"/>
          <w:color w:val="000000" w:themeColor="text1"/>
          <w:sz w:val="28"/>
          <w:szCs w:val="28"/>
        </w:rPr>
        <w:t> </w:t>
      </w:r>
      <w:r w:rsidR="00777436" w:rsidRPr="003F18F0">
        <w:rPr>
          <w:rFonts w:ascii="Times New Roman" w:hAnsi="Times New Roman" w:cs="Times New Roman"/>
          <w:color w:val="000000" w:themeColor="text1"/>
          <w:sz w:val="28"/>
          <w:szCs w:val="28"/>
        </w:rPr>
        <w:t>Direktīva 2003/87</w:t>
      </w:r>
      <w:r w:rsidR="007D5912">
        <w:rPr>
          <w:rFonts w:ascii="Times New Roman" w:hAnsi="Times New Roman" w:cs="Times New Roman"/>
          <w:color w:val="000000" w:themeColor="text1"/>
          <w:sz w:val="28"/>
          <w:szCs w:val="28"/>
        </w:rPr>
        <w:t>/EK</w:t>
      </w:r>
      <w:r w:rsidR="00777436" w:rsidRPr="003F18F0">
        <w:rPr>
          <w:rFonts w:ascii="Times New Roman" w:hAnsi="Times New Roman" w:cs="Times New Roman"/>
          <w:color w:val="000000" w:themeColor="text1"/>
          <w:sz w:val="28"/>
          <w:szCs w:val="28"/>
        </w:rPr>
        <w:t>) 10</w:t>
      </w:r>
      <w:r w:rsidR="000D037E" w:rsidRPr="003F18F0">
        <w:rPr>
          <w:rFonts w:ascii="Times New Roman" w:hAnsi="Times New Roman" w:cs="Times New Roman"/>
          <w:color w:val="000000" w:themeColor="text1"/>
          <w:sz w:val="28"/>
          <w:szCs w:val="28"/>
        </w:rPr>
        <w:t> </w:t>
      </w:r>
      <w:r w:rsidR="00777436" w:rsidRPr="003F18F0">
        <w:rPr>
          <w:rFonts w:ascii="Times New Roman" w:hAnsi="Times New Roman" w:cs="Times New Roman"/>
          <w:color w:val="000000" w:themeColor="text1"/>
          <w:sz w:val="28"/>
          <w:szCs w:val="28"/>
        </w:rPr>
        <w:t>d. pant</w:t>
      </w:r>
      <w:r w:rsidR="00AC3482">
        <w:rPr>
          <w:rFonts w:ascii="Times New Roman" w:hAnsi="Times New Roman" w:cs="Times New Roman"/>
          <w:color w:val="000000" w:themeColor="text1"/>
          <w:sz w:val="28"/>
          <w:szCs w:val="28"/>
        </w:rPr>
        <w:t>u.</w:t>
      </w:r>
    </w:p>
    <w:p w14:paraId="057DC14E" w14:textId="77777777" w:rsidR="00174A54" w:rsidRPr="003F18F0" w:rsidRDefault="00174A54" w:rsidP="00987C6B">
      <w:pPr>
        <w:spacing w:after="0" w:line="240" w:lineRule="auto"/>
        <w:ind w:right="-1" w:firstLine="567"/>
        <w:jc w:val="both"/>
        <w:rPr>
          <w:rFonts w:ascii="Times New Roman" w:hAnsi="Times New Roman" w:cs="Times New Roman"/>
          <w:color w:val="000000" w:themeColor="text1"/>
          <w:sz w:val="28"/>
          <w:szCs w:val="28"/>
        </w:rPr>
      </w:pPr>
    </w:p>
    <w:p w14:paraId="45159FB1" w14:textId="1EE9D2EC" w:rsidR="004528A7" w:rsidRPr="003F18F0" w:rsidRDefault="004528A7" w:rsidP="00987C6B">
      <w:pPr>
        <w:pStyle w:val="ListParagraph"/>
        <w:numPr>
          <w:ilvl w:val="0"/>
          <w:numId w:val="50"/>
        </w:numPr>
        <w:spacing w:after="120" w:line="240" w:lineRule="auto"/>
        <w:ind w:left="709" w:right="-1"/>
        <w:contextualSpacing w:val="0"/>
        <w:jc w:val="center"/>
        <w:rPr>
          <w:rFonts w:ascii="Times New Roman" w:hAnsi="Times New Roman" w:cs="Times New Roman"/>
          <w:b/>
          <w:color w:val="000000" w:themeColor="text1"/>
          <w:sz w:val="28"/>
          <w:szCs w:val="28"/>
        </w:rPr>
      </w:pPr>
      <w:r w:rsidRPr="003F18F0">
        <w:rPr>
          <w:rFonts w:ascii="Times New Roman" w:hAnsi="Times New Roman" w:cs="Times New Roman"/>
          <w:b/>
          <w:color w:val="000000" w:themeColor="text1"/>
          <w:sz w:val="28"/>
          <w:szCs w:val="28"/>
        </w:rPr>
        <w:t>Moderniz</w:t>
      </w:r>
      <w:r w:rsidR="003D12D0" w:rsidRPr="003F18F0">
        <w:rPr>
          <w:rFonts w:ascii="Times New Roman" w:hAnsi="Times New Roman" w:cs="Times New Roman"/>
          <w:b/>
          <w:color w:val="000000" w:themeColor="text1"/>
          <w:sz w:val="28"/>
          <w:szCs w:val="28"/>
        </w:rPr>
        <w:t xml:space="preserve">ācijas fonda </w:t>
      </w:r>
      <w:r w:rsidR="007B06DF" w:rsidRPr="003F18F0">
        <w:rPr>
          <w:rFonts w:ascii="Times New Roman" w:hAnsi="Times New Roman" w:cs="Times New Roman"/>
          <w:b/>
          <w:color w:val="000000" w:themeColor="text1"/>
          <w:sz w:val="28"/>
          <w:szCs w:val="28"/>
        </w:rPr>
        <w:t>izveide</w:t>
      </w:r>
      <w:r w:rsidR="00455430">
        <w:rPr>
          <w:rFonts w:ascii="Times New Roman" w:hAnsi="Times New Roman" w:cs="Times New Roman"/>
          <w:b/>
          <w:color w:val="000000" w:themeColor="text1"/>
          <w:sz w:val="28"/>
          <w:szCs w:val="28"/>
        </w:rPr>
        <w:t xml:space="preserve"> un mērķis</w:t>
      </w:r>
    </w:p>
    <w:p w14:paraId="0FE57402" w14:textId="29F485F2" w:rsidR="000214ED" w:rsidRPr="003F18F0" w:rsidRDefault="00C51113" w:rsidP="003939B8">
      <w:pPr>
        <w:pStyle w:val="ListParagraph"/>
        <w:spacing w:after="0" w:line="240" w:lineRule="auto"/>
        <w:ind w:left="0" w:firstLine="709"/>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 </w:t>
      </w:r>
    </w:p>
    <w:p w14:paraId="73CDC852" w14:textId="477DAC9E" w:rsidR="00236D2A" w:rsidRPr="002366B5" w:rsidRDefault="004528A7" w:rsidP="00DC0357">
      <w:pPr>
        <w:pStyle w:val="ListParagraph"/>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rPr>
        <w:t>Modernizācijas fonds i</w:t>
      </w:r>
      <w:r w:rsidR="00D13DA5" w:rsidRPr="003F18F0">
        <w:rPr>
          <w:rFonts w:ascii="Times New Roman" w:hAnsi="Times New Roman" w:cs="Times New Roman"/>
          <w:color w:val="000000" w:themeColor="text1"/>
          <w:sz w:val="28"/>
          <w:szCs w:val="28"/>
        </w:rPr>
        <w:t xml:space="preserve">r </w:t>
      </w:r>
      <w:r w:rsidRPr="003F18F0">
        <w:rPr>
          <w:rFonts w:ascii="Times New Roman" w:hAnsi="Times New Roman" w:cs="Times New Roman"/>
          <w:color w:val="000000" w:themeColor="text1"/>
          <w:sz w:val="28"/>
          <w:szCs w:val="28"/>
        </w:rPr>
        <w:t xml:space="preserve">izveidots ar </w:t>
      </w:r>
      <w:r w:rsidR="00EC07B0" w:rsidRPr="003F18F0">
        <w:rPr>
          <w:rFonts w:ascii="Times New Roman" w:hAnsi="Times New Roman" w:cs="Times New Roman"/>
          <w:color w:val="000000" w:themeColor="text1"/>
          <w:sz w:val="28"/>
          <w:szCs w:val="28"/>
          <w:shd w:val="clear" w:color="auto" w:fill="FFFFFF"/>
        </w:rPr>
        <w:t>Direktīvas 2003/87</w:t>
      </w:r>
      <w:r w:rsidR="00EC07B0" w:rsidRPr="003F18F0">
        <w:rPr>
          <w:rFonts w:ascii="Times New Roman" w:hAnsi="Times New Roman" w:cs="Times New Roman"/>
          <w:i/>
          <w:color w:val="000000" w:themeColor="text1"/>
          <w:sz w:val="28"/>
          <w:szCs w:val="28"/>
          <w:shd w:val="clear" w:color="auto" w:fill="FFFFFF"/>
        </w:rPr>
        <w:t xml:space="preserve"> </w:t>
      </w:r>
      <w:r w:rsidRPr="003F18F0">
        <w:rPr>
          <w:rFonts w:ascii="Times New Roman" w:hAnsi="Times New Roman" w:cs="Times New Roman"/>
          <w:color w:val="000000" w:themeColor="text1"/>
          <w:sz w:val="28"/>
          <w:szCs w:val="28"/>
          <w:shd w:val="clear" w:color="auto" w:fill="FFFFFF"/>
        </w:rPr>
        <w:t>1</w:t>
      </w:r>
      <w:r w:rsidR="00EC07B0" w:rsidRPr="003F18F0">
        <w:rPr>
          <w:rFonts w:ascii="Times New Roman" w:hAnsi="Times New Roman" w:cs="Times New Roman"/>
          <w:color w:val="000000" w:themeColor="text1"/>
          <w:sz w:val="28"/>
          <w:szCs w:val="28"/>
          <w:shd w:val="clear" w:color="auto" w:fill="FFFFFF"/>
        </w:rPr>
        <w:t>0</w:t>
      </w:r>
      <w:r w:rsidRPr="003F18F0">
        <w:rPr>
          <w:rFonts w:ascii="Times New Roman" w:hAnsi="Times New Roman" w:cs="Times New Roman"/>
          <w:color w:val="000000" w:themeColor="text1"/>
          <w:sz w:val="28"/>
          <w:szCs w:val="28"/>
          <w:shd w:val="clear" w:color="auto" w:fill="FFFFFF"/>
        </w:rPr>
        <w:t>.</w:t>
      </w:r>
      <w:r w:rsidR="00EC07B0" w:rsidRPr="003F18F0">
        <w:rPr>
          <w:rFonts w:ascii="Times New Roman" w:hAnsi="Times New Roman" w:cs="Times New Roman"/>
          <w:color w:val="000000" w:themeColor="text1"/>
          <w:sz w:val="28"/>
          <w:szCs w:val="28"/>
          <w:shd w:val="clear" w:color="auto" w:fill="FFFFFF"/>
        </w:rPr>
        <w:t>d</w:t>
      </w:r>
      <w:r w:rsidR="00051275" w:rsidRPr="003F18F0">
        <w:rPr>
          <w:rFonts w:ascii="Times New Roman" w:hAnsi="Times New Roman" w:cs="Times New Roman"/>
          <w:color w:val="000000" w:themeColor="text1"/>
          <w:sz w:val="28"/>
          <w:szCs w:val="28"/>
          <w:shd w:val="clear" w:color="auto" w:fill="FFFFFF"/>
        </w:rPr>
        <w:t> </w:t>
      </w:r>
      <w:r w:rsidRPr="003F18F0">
        <w:rPr>
          <w:rFonts w:ascii="Times New Roman" w:hAnsi="Times New Roman" w:cs="Times New Roman"/>
          <w:color w:val="000000" w:themeColor="text1"/>
          <w:sz w:val="28"/>
          <w:szCs w:val="28"/>
          <w:shd w:val="clear" w:color="auto" w:fill="FFFFFF"/>
        </w:rPr>
        <w:t xml:space="preserve">panta </w:t>
      </w:r>
      <w:r w:rsidR="00EC07B0" w:rsidRPr="003F18F0">
        <w:rPr>
          <w:rFonts w:ascii="Times New Roman" w:hAnsi="Times New Roman" w:cs="Times New Roman"/>
          <w:color w:val="000000" w:themeColor="text1"/>
          <w:sz w:val="28"/>
          <w:szCs w:val="28"/>
          <w:shd w:val="clear" w:color="auto" w:fill="FFFFFF"/>
        </w:rPr>
        <w:t>1</w:t>
      </w:r>
      <w:r w:rsidR="00FE17A0" w:rsidRPr="003F18F0">
        <w:rPr>
          <w:rFonts w:ascii="Times New Roman" w:hAnsi="Times New Roman" w:cs="Times New Roman"/>
          <w:color w:val="000000" w:themeColor="text1"/>
          <w:sz w:val="28"/>
          <w:szCs w:val="28"/>
          <w:shd w:val="clear" w:color="auto" w:fill="FFFFFF"/>
        </w:rPr>
        <w:t>. </w:t>
      </w:r>
      <w:r w:rsidR="00D13DA5" w:rsidRPr="003F18F0">
        <w:rPr>
          <w:rFonts w:ascii="Times New Roman" w:hAnsi="Times New Roman" w:cs="Times New Roman"/>
          <w:color w:val="000000" w:themeColor="text1"/>
          <w:sz w:val="28"/>
          <w:szCs w:val="28"/>
          <w:shd w:val="clear" w:color="auto" w:fill="FFFFFF"/>
        </w:rPr>
        <w:t>punktu</w:t>
      </w:r>
      <w:r w:rsidR="00D950F8">
        <w:rPr>
          <w:rFonts w:ascii="Times New Roman" w:hAnsi="Times New Roman" w:cs="Times New Roman"/>
          <w:color w:val="000000" w:themeColor="text1"/>
          <w:sz w:val="28"/>
          <w:szCs w:val="28"/>
          <w:shd w:val="clear" w:color="auto" w:fill="FFFFFF"/>
        </w:rPr>
        <w:t>, kā arī</w:t>
      </w:r>
      <w:r w:rsidR="00DC0357">
        <w:rPr>
          <w:rFonts w:ascii="Times New Roman" w:hAnsi="Times New Roman" w:cs="Times New Roman"/>
          <w:color w:val="000000" w:themeColor="text1"/>
          <w:sz w:val="28"/>
          <w:szCs w:val="28"/>
          <w:shd w:val="clear" w:color="auto" w:fill="FFFFFF"/>
        </w:rPr>
        <w:t xml:space="preserve"> 10.d</w:t>
      </w:r>
      <w:r w:rsidR="00D950F8">
        <w:rPr>
          <w:rFonts w:ascii="Times New Roman" w:hAnsi="Times New Roman" w:cs="Times New Roman"/>
          <w:color w:val="000000" w:themeColor="text1"/>
          <w:sz w:val="28"/>
          <w:szCs w:val="28"/>
          <w:shd w:val="clear" w:color="auto" w:fill="FFFFFF"/>
        </w:rPr>
        <w:t> </w:t>
      </w:r>
      <w:r w:rsidR="00DC0357">
        <w:rPr>
          <w:rFonts w:ascii="Times New Roman" w:hAnsi="Times New Roman" w:cs="Times New Roman"/>
          <w:color w:val="000000" w:themeColor="text1"/>
          <w:sz w:val="28"/>
          <w:szCs w:val="28"/>
          <w:shd w:val="clear" w:color="auto" w:fill="FFFFFF"/>
        </w:rPr>
        <w:t xml:space="preserve">pants </w:t>
      </w:r>
      <w:r w:rsidR="00D950F8">
        <w:rPr>
          <w:rFonts w:ascii="Times New Roman" w:hAnsi="Times New Roman" w:cs="Times New Roman"/>
          <w:color w:val="000000" w:themeColor="text1"/>
          <w:sz w:val="28"/>
          <w:szCs w:val="28"/>
          <w:shd w:val="clear" w:color="auto" w:fill="FFFFFF"/>
        </w:rPr>
        <w:t>ietver</w:t>
      </w:r>
      <w:r w:rsidR="00DC0357">
        <w:rPr>
          <w:rFonts w:ascii="Times New Roman" w:hAnsi="Times New Roman" w:cs="Times New Roman"/>
          <w:color w:val="000000" w:themeColor="text1"/>
          <w:sz w:val="28"/>
          <w:szCs w:val="28"/>
          <w:shd w:val="clear" w:color="auto" w:fill="FFFFFF"/>
        </w:rPr>
        <w:t xml:space="preserve"> vispārējus nosacījumus attiecībā uz šī fonda darbību. </w:t>
      </w:r>
      <w:r w:rsidR="00D950F8">
        <w:rPr>
          <w:rFonts w:ascii="Times New Roman" w:hAnsi="Times New Roman" w:cs="Times New Roman"/>
          <w:color w:val="000000" w:themeColor="text1"/>
          <w:sz w:val="28"/>
          <w:szCs w:val="28"/>
        </w:rPr>
        <w:t>Detalizētāki</w:t>
      </w:r>
      <w:r w:rsidR="007C366F">
        <w:rPr>
          <w:rFonts w:ascii="Times New Roman" w:hAnsi="Times New Roman" w:cs="Times New Roman"/>
          <w:color w:val="000000" w:themeColor="text1"/>
          <w:sz w:val="28"/>
          <w:szCs w:val="28"/>
        </w:rPr>
        <w:t xml:space="preserve"> </w:t>
      </w:r>
      <w:r w:rsidR="00DA07D2" w:rsidRPr="003F18F0">
        <w:rPr>
          <w:rFonts w:ascii="Times New Roman" w:hAnsi="Times New Roman" w:cs="Times New Roman"/>
          <w:color w:val="000000" w:themeColor="text1"/>
          <w:sz w:val="28"/>
          <w:szCs w:val="28"/>
        </w:rPr>
        <w:t>Modernizācijas fonda darbības no</w:t>
      </w:r>
      <w:r w:rsidR="00491185" w:rsidRPr="003F18F0">
        <w:rPr>
          <w:rFonts w:ascii="Times New Roman" w:hAnsi="Times New Roman" w:cs="Times New Roman"/>
          <w:color w:val="000000" w:themeColor="text1"/>
          <w:sz w:val="28"/>
          <w:szCs w:val="28"/>
        </w:rPr>
        <w:t>sacījumi</w:t>
      </w:r>
      <w:r w:rsidR="00DA07D2" w:rsidRPr="003F18F0">
        <w:rPr>
          <w:rFonts w:ascii="Times New Roman" w:hAnsi="Times New Roman" w:cs="Times New Roman"/>
          <w:color w:val="000000" w:themeColor="text1"/>
          <w:sz w:val="28"/>
          <w:szCs w:val="28"/>
        </w:rPr>
        <w:t xml:space="preserve"> </w:t>
      </w:r>
      <w:r w:rsidR="00AC3482">
        <w:rPr>
          <w:rFonts w:ascii="Times New Roman" w:hAnsi="Times New Roman" w:cs="Times New Roman"/>
          <w:color w:val="000000" w:themeColor="text1"/>
          <w:sz w:val="28"/>
          <w:szCs w:val="28"/>
        </w:rPr>
        <w:t xml:space="preserve">ir </w:t>
      </w:r>
      <w:r w:rsidR="00DA07D2" w:rsidRPr="003F18F0">
        <w:rPr>
          <w:rFonts w:ascii="Times New Roman" w:hAnsi="Times New Roman" w:cs="Times New Roman"/>
          <w:color w:val="000000" w:themeColor="text1"/>
          <w:sz w:val="28"/>
          <w:szCs w:val="28"/>
        </w:rPr>
        <w:t xml:space="preserve">atrunāti </w:t>
      </w:r>
      <w:r w:rsidR="00777436" w:rsidRPr="002366B5">
        <w:rPr>
          <w:rFonts w:ascii="Times New Roman" w:hAnsi="Times New Roman" w:cs="Times New Roman"/>
          <w:i/>
          <w:color w:val="000000" w:themeColor="text1"/>
          <w:sz w:val="28"/>
          <w:szCs w:val="28"/>
        </w:rPr>
        <w:t xml:space="preserve">EK </w:t>
      </w:r>
      <w:r w:rsidR="00DC0357" w:rsidRPr="002366B5">
        <w:rPr>
          <w:rFonts w:ascii="Times New Roman" w:hAnsi="Times New Roman" w:cs="Times New Roman"/>
          <w:i/>
          <w:color w:val="000000" w:themeColor="text1"/>
          <w:sz w:val="28"/>
          <w:szCs w:val="28"/>
        </w:rPr>
        <w:t>2020.</w:t>
      </w:r>
      <w:r w:rsidR="00D950F8">
        <w:rPr>
          <w:rFonts w:ascii="Times New Roman" w:hAnsi="Times New Roman" w:cs="Times New Roman"/>
          <w:i/>
          <w:color w:val="000000" w:themeColor="text1"/>
          <w:sz w:val="28"/>
          <w:szCs w:val="28"/>
        </w:rPr>
        <w:t> </w:t>
      </w:r>
      <w:r w:rsidR="00DC0357" w:rsidRPr="002366B5">
        <w:rPr>
          <w:rFonts w:ascii="Times New Roman" w:hAnsi="Times New Roman" w:cs="Times New Roman"/>
          <w:i/>
          <w:color w:val="000000" w:themeColor="text1"/>
          <w:sz w:val="28"/>
          <w:szCs w:val="28"/>
        </w:rPr>
        <w:t>gada 9.</w:t>
      </w:r>
      <w:r w:rsidR="00D950F8">
        <w:rPr>
          <w:rFonts w:ascii="Times New Roman" w:hAnsi="Times New Roman" w:cs="Times New Roman"/>
          <w:i/>
          <w:color w:val="000000" w:themeColor="text1"/>
          <w:sz w:val="28"/>
          <w:szCs w:val="28"/>
        </w:rPr>
        <w:t> </w:t>
      </w:r>
      <w:r w:rsidR="00DC0357" w:rsidRPr="002366B5">
        <w:rPr>
          <w:rFonts w:ascii="Times New Roman" w:hAnsi="Times New Roman" w:cs="Times New Roman"/>
          <w:i/>
          <w:color w:val="000000" w:themeColor="text1"/>
          <w:sz w:val="28"/>
          <w:szCs w:val="28"/>
        </w:rPr>
        <w:t xml:space="preserve">jūlija </w:t>
      </w:r>
      <w:r w:rsidR="00DA07D2" w:rsidRPr="002366B5">
        <w:rPr>
          <w:rFonts w:ascii="Times New Roman" w:hAnsi="Times New Roman" w:cs="Times New Roman"/>
          <w:i/>
          <w:color w:val="000000" w:themeColor="text1"/>
          <w:sz w:val="28"/>
          <w:szCs w:val="28"/>
        </w:rPr>
        <w:t>īstenošanas regulā</w:t>
      </w:r>
      <w:r w:rsidR="00695172" w:rsidRPr="002366B5">
        <w:rPr>
          <w:rFonts w:ascii="Times New Roman" w:hAnsi="Times New Roman" w:cs="Times New Roman"/>
          <w:i/>
          <w:color w:val="000000" w:themeColor="text1"/>
          <w:sz w:val="28"/>
          <w:szCs w:val="28"/>
        </w:rPr>
        <w:t xml:space="preserve"> </w:t>
      </w:r>
      <w:r w:rsidR="00DC0357" w:rsidRPr="002366B5">
        <w:rPr>
          <w:rFonts w:ascii="Times New Roman" w:hAnsi="Times New Roman" w:cs="Times New Roman"/>
          <w:i/>
          <w:color w:val="000000" w:themeColor="text1"/>
          <w:sz w:val="28"/>
          <w:szCs w:val="28"/>
        </w:rPr>
        <w:t>Nr.</w:t>
      </w:r>
      <w:r w:rsidR="00D950F8">
        <w:rPr>
          <w:rFonts w:ascii="Times New Roman" w:hAnsi="Times New Roman" w:cs="Times New Roman"/>
          <w:i/>
          <w:color w:val="000000" w:themeColor="text1"/>
          <w:sz w:val="28"/>
          <w:szCs w:val="28"/>
        </w:rPr>
        <w:t> </w:t>
      </w:r>
      <w:r w:rsidR="00DC0357" w:rsidRPr="002366B5">
        <w:rPr>
          <w:rFonts w:ascii="Times New Roman" w:hAnsi="Times New Roman" w:cs="Times New Roman"/>
          <w:i/>
          <w:color w:val="000000" w:themeColor="text1"/>
          <w:sz w:val="28"/>
          <w:szCs w:val="28"/>
        </w:rPr>
        <w:t xml:space="preserve">(ES) </w:t>
      </w:r>
      <w:r w:rsidR="00BD79DF">
        <w:rPr>
          <w:rFonts w:ascii="Times New Roman" w:hAnsi="Times New Roman" w:cs="Times New Roman"/>
          <w:color w:val="000000" w:themeColor="text1"/>
          <w:sz w:val="28"/>
          <w:szCs w:val="28"/>
        </w:rPr>
        <w:t>2020</w:t>
      </w:r>
      <w:r w:rsidR="00DC0357">
        <w:rPr>
          <w:rFonts w:ascii="Times New Roman" w:hAnsi="Times New Roman" w:cs="Times New Roman"/>
          <w:color w:val="000000" w:themeColor="text1"/>
          <w:sz w:val="28"/>
          <w:szCs w:val="28"/>
        </w:rPr>
        <w:t>/</w:t>
      </w:r>
      <w:r w:rsidR="00BD79DF">
        <w:rPr>
          <w:rFonts w:ascii="Times New Roman" w:hAnsi="Times New Roman" w:cs="Times New Roman"/>
          <w:color w:val="000000" w:themeColor="text1"/>
          <w:sz w:val="28"/>
          <w:szCs w:val="28"/>
        </w:rPr>
        <w:t>1001</w:t>
      </w:r>
      <w:r w:rsidR="00DC0357" w:rsidRPr="002366B5">
        <w:rPr>
          <w:rFonts w:ascii="Times New Roman" w:hAnsi="Times New Roman" w:cs="Times New Roman"/>
          <w:i/>
          <w:color w:val="000000" w:themeColor="text1"/>
          <w:sz w:val="28"/>
          <w:szCs w:val="28"/>
        </w:rPr>
        <w:t xml:space="preserve">, </w:t>
      </w:r>
      <w:r w:rsidR="00BD79DF" w:rsidRPr="002366B5">
        <w:rPr>
          <w:rFonts w:ascii="Times New Roman" w:hAnsi="Times New Roman" w:cs="Times New Roman"/>
          <w:i/>
          <w:color w:val="000000" w:themeColor="text1"/>
          <w:sz w:val="28"/>
          <w:szCs w:val="28"/>
        </w:rPr>
        <w:t>ar ko nosaka sīki izstrādātus noteikumus par Eiropas Parlamenta un Padomes Direktīvas 2003/87/EK piemērošanu Modernizācijas fonda darbībai, kura mērķis ir atbalstīt investīcijas energosistēmu modernizācijā un energoefektivitātes uzlabošanā atsevišķās dalībvalstīs</w:t>
      </w:r>
      <w:r w:rsidR="00BD79DF">
        <w:rPr>
          <w:rFonts w:ascii="Times New Roman" w:hAnsi="Times New Roman" w:cs="Times New Roman"/>
          <w:color w:val="000000" w:themeColor="text1"/>
          <w:sz w:val="28"/>
          <w:szCs w:val="28"/>
        </w:rPr>
        <w:t xml:space="preserve"> </w:t>
      </w:r>
      <w:r w:rsidR="00A2123C" w:rsidRPr="003F18F0">
        <w:rPr>
          <w:rFonts w:ascii="Times New Roman" w:hAnsi="Times New Roman" w:cs="Times New Roman"/>
          <w:color w:val="000000" w:themeColor="text1"/>
          <w:sz w:val="28"/>
          <w:szCs w:val="28"/>
        </w:rPr>
        <w:t>(turpmāk</w:t>
      </w:r>
      <w:r w:rsidR="00974DDB" w:rsidRPr="003F18F0">
        <w:rPr>
          <w:rFonts w:ascii="Times New Roman" w:hAnsi="Times New Roman" w:cs="Times New Roman"/>
          <w:color w:val="000000" w:themeColor="text1"/>
          <w:sz w:val="28"/>
          <w:szCs w:val="28"/>
        </w:rPr>
        <w:t> </w:t>
      </w:r>
      <w:r w:rsidR="00D950F8">
        <w:rPr>
          <w:rFonts w:ascii="Times New Roman" w:hAnsi="Times New Roman" w:cs="Times New Roman"/>
          <w:color w:val="000000" w:themeColor="text1"/>
          <w:sz w:val="28"/>
          <w:szCs w:val="28"/>
        </w:rPr>
        <w:t>–</w:t>
      </w:r>
      <w:r w:rsidR="00974DDB" w:rsidRPr="003F18F0">
        <w:rPr>
          <w:rFonts w:ascii="Times New Roman" w:hAnsi="Times New Roman" w:cs="Times New Roman"/>
          <w:color w:val="000000" w:themeColor="text1"/>
          <w:sz w:val="28"/>
          <w:szCs w:val="28"/>
        </w:rPr>
        <w:t> </w:t>
      </w:r>
      <w:r w:rsidR="00A2123C" w:rsidRPr="003F18F0">
        <w:rPr>
          <w:rFonts w:ascii="Times New Roman" w:hAnsi="Times New Roman" w:cs="Times New Roman"/>
          <w:color w:val="000000" w:themeColor="text1"/>
          <w:sz w:val="28"/>
          <w:szCs w:val="28"/>
        </w:rPr>
        <w:t>Modernizācijas fonda darbības regula)</w:t>
      </w:r>
      <w:r w:rsidR="00DA07D2" w:rsidRPr="003F18F0">
        <w:rPr>
          <w:rFonts w:ascii="Times New Roman" w:hAnsi="Times New Roman" w:cs="Times New Roman"/>
          <w:color w:val="000000" w:themeColor="text1"/>
          <w:sz w:val="28"/>
          <w:szCs w:val="28"/>
        </w:rPr>
        <w:t>.</w:t>
      </w:r>
      <w:r w:rsidR="009F0845" w:rsidRPr="003F18F0">
        <w:rPr>
          <w:rFonts w:ascii="Times New Roman" w:hAnsi="Times New Roman" w:cs="Times New Roman"/>
          <w:color w:val="000000" w:themeColor="text1"/>
          <w:sz w:val="28"/>
          <w:szCs w:val="28"/>
        </w:rPr>
        <w:t xml:space="preserve"> </w:t>
      </w:r>
    </w:p>
    <w:p w14:paraId="1F41D1C3" w14:textId="7F5F596B" w:rsidR="0034599A" w:rsidRPr="003F18F0" w:rsidRDefault="0034599A" w:rsidP="00987C6B">
      <w:pPr>
        <w:pStyle w:val="ListParagraph"/>
        <w:spacing w:after="0" w:line="240" w:lineRule="auto"/>
        <w:ind w:left="0" w:right="-1" w:hanging="284"/>
        <w:contextualSpacing w:val="0"/>
        <w:jc w:val="center"/>
        <w:rPr>
          <w:rFonts w:ascii="Times New Roman" w:hAnsi="Times New Roman" w:cs="Times New Roman"/>
          <w:color w:val="000000" w:themeColor="text1"/>
          <w:sz w:val="28"/>
          <w:szCs w:val="28"/>
        </w:rPr>
      </w:pPr>
      <w:r w:rsidRPr="003F18F0">
        <w:rPr>
          <w:rFonts w:ascii="Times New Roman" w:hAnsi="Times New Roman" w:cs="Times New Roman"/>
          <w:noProof/>
          <w:color w:val="000000" w:themeColor="text1"/>
          <w:sz w:val="28"/>
          <w:szCs w:val="28"/>
          <w:lang w:eastAsia="lv-LV"/>
        </w:rPr>
        <w:drawing>
          <wp:inline distT="0" distB="0" distL="0" distR="0" wp14:anchorId="654EFD40" wp14:editId="351FB5F4">
            <wp:extent cx="5290056" cy="230505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47C2E76" w14:textId="3B540184" w:rsidR="00CA7B76" w:rsidRPr="003F18F0" w:rsidRDefault="00CA7B76" w:rsidP="00987C6B">
      <w:pPr>
        <w:spacing w:after="0" w:line="240" w:lineRule="auto"/>
        <w:ind w:right="-1" w:firstLine="567"/>
        <w:jc w:val="center"/>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Attēls Nr.</w:t>
      </w:r>
      <w:r w:rsidR="00D950F8">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1.</w:t>
      </w:r>
      <w:r w:rsidRPr="003F18F0">
        <w:rPr>
          <w:rFonts w:ascii="Times New Roman" w:hAnsi="Times New Roman" w:cs="Times New Roman"/>
          <w:i/>
          <w:color w:val="000000" w:themeColor="text1"/>
          <w:sz w:val="28"/>
          <w:szCs w:val="28"/>
        </w:rPr>
        <w:t xml:space="preserve"> </w:t>
      </w:r>
      <w:r w:rsidRPr="003F18F0">
        <w:rPr>
          <w:rFonts w:ascii="Times New Roman" w:hAnsi="Times New Roman" w:cs="Times New Roman"/>
          <w:color w:val="000000" w:themeColor="text1"/>
          <w:sz w:val="28"/>
          <w:szCs w:val="28"/>
        </w:rPr>
        <w:t xml:space="preserve">Modernizācijas fonda </w:t>
      </w:r>
      <w:r w:rsidR="001B24E1">
        <w:rPr>
          <w:rFonts w:ascii="Times New Roman" w:hAnsi="Times New Roman" w:cs="Times New Roman"/>
          <w:color w:val="000000" w:themeColor="text1"/>
          <w:sz w:val="28"/>
          <w:szCs w:val="28"/>
        </w:rPr>
        <w:t xml:space="preserve">vispārējais </w:t>
      </w:r>
      <w:r w:rsidRPr="003F18F0">
        <w:rPr>
          <w:rFonts w:ascii="Times New Roman" w:hAnsi="Times New Roman" w:cs="Times New Roman"/>
          <w:color w:val="000000" w:themeColor="text1"/>
          <w:sz w:val="28"/>
          <w:szCs w:val="28"/>
        </w:rPr>
        <w:t>ieviešanas grafiks</w:t>
      </w:r>
    </w:p>
    <w:p w14:paraId="74505A22" w14:textId="77777777" w:rsidR="00407CFA" w:rsidRPr="003F18F0" w:rsidRDefault="00407CFA" w:rsidP="00987C6B">
      <w:pPr>
        <w:spacing w:after="0" w:line="240" w:lineRule="auto"/>
        <w:ind w:right="-1" w:firstLine="567"/>
        <w:jc w:val="center"/>
        <w:rPr>
          <w:rFonts w:ascii="Times New Roman" w:hAnsi="Times New Roman" w:cs="Times New Roman"/>
          <w:i/>
          <w:color w:val="000000" w:themeColor="text1"/>
          <w:sz w:val="28"/>
          <w:szCs w:val="28"/>
        </w:rPr>
      </w:pPr>
    </w:p>
    <w:p w14:paraId="1CB5621D" w14:textId="29FAC478" w:rsidR="00407CFA" w:rsidRPr="003F18F0" w:rsidRDefault="00745FF9" w:rsidP="00987C6B">
      <w:pPr>
        <w:pStyle w:val="ListParagraph"/>
        <w:spacing w:after="0" w:line="240" w:lineRule="auto"/>
        <w:ind w:left="0" w:right="-1" w:firstLine="709"/>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Modernizācijas fonds</w:t>
      </w:r>
      <w:r w:rsidR="002D7ABC" w:rsidRPr="003F18F0">
        <w:rPr>
          <w:rFonts w:ascii="Times New Roman" w:hAnsi="Times New Roman" w:cs="Times New Roman"/>
          <w:color w:val="000000" w:themeColor="text1"/>
          <w:sz w:val="28"/>
          <w:szCs w:val="28"/>
        </w:rPr>
        <w:t xml:space="preserve"> </w:t>
      </w:r>
      <w:r w:rsidR="007B0C64" w:rsidRPr="003F18F0">
        <w:rPr>
          <w:rFonts w:ascii="Times New Roman" w:hAnsi="Times New Roman" w:cs="Times New Roman"/>
          <w:color w:val="000000" w:themeColor="text1"/>
          <w:sz w:val="28"/>
          <w:szCs w:val="28"/>
        </w:rPr>
        <w:t>ES ETS</w:t>
      </w:r>
      <w:r w:rsidR="002D7ABC" w:rsidRPr="003F18F0">
        <w:rPr>
          <w:rFonts w:ascii="Times New Roman" w:hAnsi="Times New Roman" w:cs="Times New Roman"/>
          <w:color w:val="000000" w:themeColor="text1"/>
          <w:sz w:val="28"/>
          <w:szCs w:val="28"/>
        </w:rPr>
        <w:t xml:space="preserve"> ieviests, </w:t>
      </w:r>
      <w:r w:rsidR="002D7ABC" w:rsidRPr="003F18F0">
        <w:rPr>
          <w:rFonts w:ascii="Times New Roman" w:eastAsia="Arial Unicode MS" w:hAnsi="Times New Roman" w:cs="Times New Roman"/>
          <w:color w:val="000000" w:themeColor="text1"/>
          <w:sz w:val="28"/>
          <w:szCs w:val="28"/>
          <w:shd w:val="clear" w:color="auto" w:fill="FFFFFF"/>
        </w:rPr>
        <w:t xml:space="preserve">lai finansētu neliela mēroga investīciju projektus tādās </w:t>
      </w:r>
      <w:r w:rsidR="00A44A4A" w:rsidRPr="003F18F0">
        <w:rPr>
          <w:rFonts w:ascii="Times New Roman" w:eastAsia="Arial Unicode MS" w:hAnsi="Times New Roman" w:cs="Times New Roman"/>
          <w:color w:val="000000" w:themeColor="text1"/>
          <w:sz w:val="28"/>
          <w:szCs w:val="28"/>
          <w:shd w:val="clear" w:color="auto" w:fill="FFFFFF"/>
        </w:rPr>
        <w:t xml:space="preserve">ES </w:t>
      </w:r>
      <w:r w:rsidR="002D7ABC" w:rsidRPr="003F18F0">
        <w:rPr>
          <w:rFonts w:ascii="Times New Roman" w:eastAsia="Arial Unicode MS" w:hAnsi="Times New Roman" w:cs="Times New Roman"/>
          <w:color w:val="000000" w:themeColor="text1"/>
          <w:sz w:val="28"/>
          <w:szCs w:val="28"/>
          <w:shd w:val="clear" w:color="auto" w:fill="FFFFFF"/>
        </w:rPr>
        <w:t xml:space="preserve">dalībvalstīs, kuru </w:t>
      </w:r>
      <w:r w:rsidR="00D22DDA" w:rsidRPr="003F18F0">
        <w:rPr>
          <w:rFonts w:ascii="Times New Roman" w:eastAsia="Arial Unicode MS" w:hAnsi="Times New Roman" w:cs="Times New Roman"/>
          <w:color w:val="000000" w:themeColor="text1"/>
          <w:sz w:val="28"/>
          <w:szCs w:val="28"/>
          <w:shd w:val="clear" w:color="auto" w:fill="FFFFFF"/>
        </w:rPr>
        <w:t>iekšzemes kopprodukts (turpmāk</w:t>
      </w:r>
      <w:r w:rsidR="00A44A4A" w:rsidRPr="003F18F0">
        <w:rPr>
          <w:rFonts w:ascii="Times New Roman" w:eastAsia="Arial Unicode MS" w:hAnsi="Times New Roman" w:cs="Times New Roman"/>
          <w:color w:val="000000" w:themeColor="text1"/>
          <w:sz w:val="28"/>
          <w:szCs w:val="28"/>
          <w:shd w:val="clear" w:color="auto" w:fill="FFFFFF"/>
        </w:rPr>
        <w:t> </w:t>
      </w:r>
      <w:r w:rsidR="00D22DDA" w:rsidRPr="003F18F0">
        <w:rPr>
          <w:rFonts w:ascii="Times New Roman" w:eastAsia="Arial Unicode MS" w:hAnsi="Times New Roman" w:cs="Times New Roman"/>
          <w:color w:val="000000" w:themeColor="text1"/>
          <w:sz w:val="28"/>
          <w:szCs w:val="28"/>
          <w:shd w:val="clear" w:color="auto" w:fill="FFFFFF"/>
        </w:rPr>
        <w:t>–</w:t>
      </w:r>
      <w:r w:rsidR="00A44A4A" w:rsidRPr="003F18F0">
        <w:rPr>
          <w:rFonts w:ascii="Times New Roman" w:eastAsia="Arial Unicode MS" w:hAnsi="Times New Roman" w:cs="Times New Roman"/>
          <w:color w:val="000000" w:themeColor="text1"/>
          <w:sz w:val="28"/>
          <w:szCs w:val="28"/>
          <w:shd w:val="clear" w:color="auto" w:fill="FFFFFF"/>
        </w:rPr>
        <w:t> </w:t>
      </w:r>
      <w:r w:rsidR="002D7ABC" w:rsidRPr="003F18F0">
        <w:rPr>
          <w:rFonts w:ascii="Times New Roman" w:eastAsia="Arial Unicode MS" w:hAnsi="Times New Roman" w:cs="Times New Roman"/>
          <w:color w:val="000000" w:themeColor="text1"/>
          <w:sz w:val="28"/>
          <w:szCs w:val="28"/>
          <w:shd w:val="clear" w:color="auto" w:fill="FFFFFF"/>
        </w:rPr>
        <w:t>IKP</w:t>
      </w:r>
      <w:r w:rsidR="00D22DDA" w:rsidRPr="003F18F0">
        <w:rPr>
          <w:rFonts w:ascii="Times New Roman" w:eastAsia="Arial Unicode MS" w:hAnsi="Times New Roman" w:cs="Times New Roman"/>
          <w:color w:val="000000" w:themeColor="text1"/>
          <w:sz w:val="28"/>
          <w:szCs w:val="28"/>
          <w:shd w:val="clear" w:color="auto" w:fill="FFFFFF"/>
        </w:rPr>
        <w:t>)</w:t>
      </w:r>
      <w:r w:rsidR="002D7ABC" w:rsidRPr="003F18F0">
        <w:rPr>
          <w:rFonts w:ascii="Times New Roman" w:eastAsia="Arial Unicode MS" w:hAnsi="Times New Roman" w:cs="Times New Roman"/>
          <w:color w:val="000000" w:themeColor="text1"/>
          <w:sz w:val="28"/>
          <w:szCs w:val="28"/>
          <w:shd w:val="clear" w:color="auto" w:fill="FFFFFF"/>
        </w:rPr>
        <w:t xml:space="preserve"> uz vienu iedzīvotāju tirgus cenās 2013. gadā nesasniedza 60 % no ES vidējā rādītāja. </w:t>
      </w:r>
      <w:r w:rsidRPr="003F18F0">
        <w:rPr>
          <w:rFonts w:ascii="Times New Roman" w:hAnsi="Times New Roman" w:cs="Times New Roman"/>
          <w:color w:val="000000" w:themeColor="text1"/>
          <w:sz w:val="28"/>
          <w:szCs w:val="28"/>
        </w:rPr>
        <w:t>Modernizācijas fonda</w:t>
      </w:r>
      <w:r w:rsidR="002D7ABC" w:rsidRPr="003F18F0">
        <w:rPr>
          <w:rFonts w:ascii="Times New Roman" w:hAnsi="Times New Roman" w:cs="Times New Roman"/>
          <w:color w:val="000000" w:themeColor="text1"/>
          <w:sz w:val="28"/>
          <w:szCs w:val="28"/>
        </w:rPr>
        <w:t xml:space="preserve"> līdzekļi būs pieejami 10 ES dalībvalstīm</w:t>
      </w:r>
      <w:r w:rsidR="00ED4FC9" w:rsidRPr="003F18F0">
        <w:rPr>
          <w:rFonts w:ascii="Times New Roman" w:hAnsi="Times New Roman" w:cs="Times New Roman"/>
          <w:color w:val="000000" w:themeColor="text1"/>
          <w:sz w:val="28"/>
          <w:szCs w:val="28"/>
        </w:rPr>
        <w:t> </w:t>
      </w:r>
      <w:r w:rsidR="00ED4FC9" w:rsidRPr="003F18F0">
        <w:rPr>
          <w:rFonts w:ascii="Times New Roman" w:eastAsia="Arial Unicode MS" w:hAnsi="Times New Roman" w:cs="Times New Roman"/>
          <w:color w:val="000000" w:themeColor="text1"/>
          <w:sz w:val="28"/>
          <w:szCs w:val="28"/>
          <w:shd w:val="clear" w:color="auto" w:fill="FFFFFF"/>
        </w:rPr>
        <w:t>–</w:t>
      </w:r>
      <w:r w:rsidR="00ED4FC9" w:rsidRPr="003F18F0">
        <w:rPr>
          <w:rFonts w:ascii="Times New Roman" w:hAnsi="Times New Roman" w:cs="Times New Roman"/>
          <w:color w:val="000000" w:themeColor="text1"/>
          <w:sz w:val="28"/>
          <w:szCs w:val="28"/>
        </w:rPr>
        <w:t> </w:t>
      </w:r>
      <w:r w:rsidR="00DA07D2" w:rsidRPr="003F18F0">
        <w:rPr>
          <w:rFonts w:ascii="Times New Roman" w:hAnsi="Times New Roman" w:cs="Times New Roman"/>
          <w:color w:val="000000" w:themeColor="text1"/>
          <w:sz w:val="28"/>
          <w:szCs w:val="28"/>
        </w:rPr>
        <w:t>Bulgārijai, Rumānijai, Čehijai, Igaunijai, Horvātijai, Latvijai, Lietuvai, Ungārijai, Polijai un Slovākijai.</w:t>
      </w:r>
      <w:r w:rsidR="00407CFA" w:rsidRPr="003F18F0">
        <w:rPr>
          <w:rFonts w:ascii="Times New Roman" w:hAnsi="Times New Roman" w:cs="Times New Roman"/>
          <w:color w:val="000000" w:themeColor="text1"/>
          <w:sz w:val="28"/>
          <w:szCs w:val="28"/>
        </w:rPr>
        <w:t xml:space="preserve"> </w:t>
      </w:r>
    </w:p>
    <w:p w14:paraId="2CC01733" w14:textId="7E0C197F" w:rsidR="00791A9A" w:rsidRDefault="00791A9A" w:rsidP="002366B5">
      <w:pPr>
        <w:pStyle w:val="ListParagraph"/>
        <w:spacing w:after="0" w:line="240" w:lineRule="auto"/>
        <w:ind w:left="0" w:right="-1" w:firstLine="55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w:t>
      </w:r>
      <w:r w:rsidR="00D950F8">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gada 6.</w:t>
      </w:r>
      <w:r w:rsidR="00D950F8">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jūlijā EK </w:t>
      </w:r>
      <w:r w:rsidR="008B0D9E">
        <w:rPr>
          <w:rFonts w:ascii="Times New Roman" w:hAnsi="Times New Roman" w:cs="Times New Roman"/>
          <w:color w:val="000000" w:themeColor="text1"/>
          <w:sz w:val="28"/>
          <w:szCs w:val="28"/>
        </w:rPr>
        <w:t>ar e</w:t>
      </w:r>
      <w:r w:rsidR="00E01506">
        <w:rPr>
          <w:rFonts w:ascii="Times New Roman" w:hAnsi="Times New Roman" w:cs="Times New Roman"/>
          <w:color w:val="000000" w:themeColor="text1"/>
          <w:sz w:val="28"/>
          <w:szCs w:val="28"/>
        </w:rPr>
        <w:t>-</w:t>
      </w:r>
      <w:r w:rsidR="008B0D9E">
        <w:rPr>
          <w:rFonts w:ascii="Times New Roman" w:hAnsi="Times New Roman" w:cs="Times New Roman"/>
          <w:color w:val="000000" w:themeColor="text1"/>
          <w:sz w:val="28"/>
          <w:szCs w:val="28"/>
        </w:rPr>
        <w:t xml:space="preserve">pasta starpniecību </w:t>
      </w:r>
      <w:r>
        <w:rPr>
          <w:rFonts w:ascii="Times New Roman" w:hAnsi="Times New Roman" w:cs="Times New Roman"/>
          <w:color w:val="000000" w:themeColor="text1"/>
          <w:sz w:val="28"/>
          <w:szCs w:val="28"/>
        </w:rPr>
        <w:t xml:space="preserve">ir uzrunājusi Vides aizsardzības un reģionālās attīstības ministriju </w:t>
      </w:r>
      <w:r w:rsidR="006946DF">
        <w:rPr>
          <w:rFonts w:ascii="Times New Roman" w:hAnsi="Times New Roman" w:cs="Times New Roman"/>
          <w:color w:val="000000" w:themeColor="text1"/>
          <w:sz w:val="28"/>
          <w:szCs w:val="28"/>
        </w:rPr>
        <w:t>(turpmāk</w:t>
      </w:r>
      <w:r w:rsidR="00D950F8">
        <w:rPr>
          <w:rFonts w:ascii="Times New Roman" w:hAnsi="Times New Roman" w:cs="Times New Roman"/>
          <w:color w:val="000000" w:themeColor="text1"/>
          <w:sz w:val="28"/>
          <w:szCs w:val="28"/>
        </w:rPr>
        <w:t> </w:t>
      </w:r>
      <w:r w:rsidR="006946DF">
        <w:rPr>
          <w:rFonts w:ascii="Times New Roman" w:hAnsi="Times New Roman" w:cs="Times New Roman"/>
          <w:color w:val="000000" w:themeColor="text1"/>
          <w:sz w:val="28"/>
          <w:szCs w:val="28"/>
        </w:rPr>
        <w:t>–</w:t>
      </w:r>
      <w:r w:rsidR="00D950F8">
        <w:rPr>
          <w:rFonts w:ascii="Times New Roman" w:hAnsi="Times New Roman" w:cs="Times New Roman"/>
          <w:color w:val="000000" w:themeColor="text1"/>
          <w:sz w:val="28"/>
          <w:szCs w:val="28"/>
        </w:rPr>
        <w:t> </w:t>
      </w:r>
      <w:r w:rsidR="006946DF">
        <w:rPr>
          <w:rFonts w:ascii="Times New Roman" w:hAnsi="Times New Roman" w:cs="Times New Roman"/>
          <w:color w:val="000000" w:themeColor="text1"/>
          <w:sz w:val="28"/>
          <w:szCs w:val="28"/>
        </w:rPr>
        <w:t xml:space="preserve">VARAM) </w:t>
      </w:r>
      <w:r>
        <w:rPr>
          <w:rFonts w:ascii="Times New Roman" w:hAnsi="Times New Roman" w:cs="Times New Roman"/>
          <w:color w:val="000000" w:themeColor="text1"/>
          <w:sz w:val="28"/>
          <w:szCs w:val="28"/>
        </w:rPr>
        <w:t xml:space="preserve">ar piedāvājumu </w:t>
      </w:r>
      <w:r w:rsidRPr="00791A9A">
        <w:rPr>
          <w:rFonts w:ascii="Times New Roman" w:hAnsi="Times New Roman" w:cs="Times New Roman"/>
          <w:color w:val="000000" w:themeColor="text1"/>
          <w:sz w:val="28"/>
          <w:szCs w:val="28"/>
        </w:rPr>
        <w:t xml:space="preserve">rīkot Latvijā pasākumu, lai </w:t>
      </w:r>
      <w:r w:rsidR="00D950F8">
        <w:rPr>
          <w:rFonts w:ascii="Times New Roman" w:hAnsi="Times New Roman" w:cs="Times New Roman"/>
          <w:color w:val="000000" w:themeColor="text1"/>
          <w:sz w:val="28"/>
          <w:szCs w:val="28"/>
        </w:rPr>
        <w:t xml:space="preserve">pārrunātu un </w:t>
      </w:r>
      <w:r w:rsidRPr="00791A9A">
        <w:rPr>
          <w:rFonts w:ascii="Times New Roman" w:hAnsi="Times New Roman" w:cs="Times New Roman"/>
          <w:color w:val="000000" w:themeColor="text1"/>
          <w:sz w:val="28"/>
          <w:szCs w:val="28"/>
        </w:rPr>
        <w:t>disku</w:t>
      </w:r>
      <w:r w:rsidR="00D950F8">
        <w:rPr>
          <w:rFonts w:ascii="Times New Roman" w:hAnsi="Times New Roman" w:cs="Times New Roman"/>
          <w:color w:val="000000" w:themeColor="text1"/>
          <w:sz w:val="28"/>
          <w:szCs w:val="28"/>
        </w:rPr>
        <w:t>tētu</w:t>
      </w:r>
      <w:r w:rsidRPr="00791A9A">
        <w:rPr>
          <w:rFonts w:ascii="Times New Roman" w:hAnsi="Times New Roman" w:cs="Times New Roman"/>
          <w:color w:val="000000" w:themeColor="text1"/>
          <w:sz w:val="28"/>
          <w:szCs w:val="28"/>
        </w:rPr>
        <w:t xml:space="preserve"> par</w:t>
      </w:r>
      <w:r w:rsidR="00D950F8">
        <w:rPr>
          <w:rFonts w:ascii="Times New Roman" w:hAnsi="Times New Roman" w:cs="Times New Roman"/>
          <w:color w:val="000000" w:themeColor="text1"/>
          <w:sz w:val="28"/>
          <w:szCs w:val="28"/>
        </w:rPr>
        <w:t xml:space="preserve"> Modernizācijas</w:t>
      </w:r>
      <w:r w:rsidRPr="00791A9A">
        <w:rPr>
          <w:rFonts w:ascii="Times New Roman" w:hAnsi="Times New Roman" w:cs="Times New Roman"/>
          <w:color w:val="000000" w:themeColor="text1"/>
          <w:sz w:val="28"/>
          <w:szCs w:val="28"/>
        </w:rPr>
        <w:t xml:space="preserve"> fonda izveidi un pārvaldību</w:t>
      </w:r>
      <w:r w:rsidR="00D950F8">
        <w:rPr>
          <w:rFonts w:ascii="Times New Roman" w:hAnsi="Times New Roman" w:cs="Times New Roman"/>
          <w:color w:val="000000" w:themeColor="text1"/>
          <w:sz w:val="28"/>
          <w:szCs w:val="28"/>
        </w:rPr>
        <w:t>, kā arī</w:t>
      </w:r>
      <w:r w:rsidRPr="00791A9A">
        <w:rPr>
          <w:rFonts w:ascii="Times New Roman" w:hAnsi="Times New Roman" w:cs="Times New Roman"/>
          <w:color w:val="000000" w:themeColor="text1"/>
          <w:sz w:val="28"/>
          <w:szCs w:val="28"/>
        </w:rPr>
        <w:t xml:space="preserve"> risinātu praktiskos jautājumus. </w:t>
      </w:r>
      <w:r>
        <w:rPr>
          <w:rFonts w:ascii="Times New Roman" w:hAnsi="Times New Roman" w:cs="Times New Roman"/>
          <w:color w:val="000000" w:themeColor="text1"/>
          <w:sz w:val="28"/>
          <w:szCs w:val="28"/>
        </w:rPr>
        <w:lastRenderedPageBreak/>
        <w:t>EK dažādās struktūrvienības</w:t>
      </w:r>
      <w:r>
        <w:rPr>
          <w:rStyle w:val="FootnoteReference"/>
          <w:rFonts w:ascii="Times New Roman" w:hAnsi="Times New Roman" w:cs="Times New Roman"/>
          <w:color w:val="000000" w:themeColor="text1"/>
          <w:sz w:val="28"/>
          <w:szCs w:val="28"/>
        </w:rPr>
        <w:footnoteReference w:id="1"/>
      </w:r>
      <w:r>
        <w:rPr>
          <w:rFonts w:ascii="Times New Roman" w:hAnsi="Times New Roman" w:cs="Times New Roman"/>
          <w:color w:val="000000" w:themeColor="text1"/>
          <w:sz w:val="28"/>
          <w:szCs w:val="28"/>
        </w:rPr>
        <w:t xml:space="preserve"> </w:t>
      </w:r>
      <w:r w:rsidRPr="00791A9A">
        <w:rPr>
          <w:rFonts w:ascii="Times New Roman" w:hAnsi="Times New Roman" w:cs="Times New Roman"/>
          <w:color w:val="000000" w:themeColor="text1"/>
          <w:sz w:val="28"/>
          <w:szCs w:val="28"/>
        </w:rPr>
        <w:t>un Eiropas Investīciju banka</w:t>
      </w:r>
      <w:r w:rsidR="00FD1EBE">
        <w:rPr>
          <w:rFonts w:ascii="Times New Roman" w:hAnsi="Times New Roman" w:cs="Times New Roman"/>
          <w:color w:val="000000" w:themeColor="text1"/>
          <w:sz w:val="28"/>
          <w:szCs w:val="28"/>
        </w:rPr>
        <w:t xml:space="preserve"> (turpmāk – EIB)</w:t>
      </w:r>
      <w:r w:rsidRPr="00791A9A">
        <w:rPr>
          <w:rFonts w:ascii="Times New Roman" w:hAnsi="Times New Roman" w:cs="Times New Roman"/>
          <w:color w:val="000000" w:themeColor="text1"/>
          <w:sz w:val="28"/>
          <w:szCs w:val="28"/>
        </w:rPr>
        <w:t xml:space="preserve"> ir gatavas sniegt atbalstu </w:t>
      </w:r>
      <w:r w:rsidR="001B413E">
        <w:rPr>
          <w:rFonts w:ascii="Times New Roman" w:hAnsi="Times New Roman" w:cs="Times New Roman"/>
          <w:color w:val="000000" w:themeColor="text1"/>
          <w:sz w:val="28"/>
          <w:szCs w:val="28"/>
        </w:rPr>
        <w:t xml:space="preserve">ES </w:t>
      </w:r>
      <w:r w:rsidRPr="00791A9A">
        <w:rPr>
          <w:rFonts w:ascii="Times New Roman" w:hAnsi="Times New Roman" w:cs="Times New Roman"/>
          <w:color w:val="000000" w:themeColor="text1"/>
          <w:sz w:val="28"/>
          <w:szCs w:val="28"/>
        </w:rPr>
        <w:t>dalībvalstīm attiecībā uz praktisko Modernizācijas fonda ieviešanu</w:t>
      </w:r>
      <w:r w:rsidR="003A58DD">
        <w:rPr>
          <w:rFonts w:ascii="Times New Roman" w:hAnsi="Times New Roman" w:cs="Times New Roman"/>
          <w:color w:val="000000" w:themeColor="text1"/>
          <w:sz w:val="28"/>
          <w:szCs w:val="28"/>
        </w:rPr>
        <w:t xml:space="preserve">. </w:t>
      </w:r>
    </w:p>
    <w:p w14:paraId="15C6693C" w14:textId="2124B5D7" w:rsidR="00407CFA" w:rsidRPr="003F18F0" w:rsidRDefault="005D62D0" w:rsidP="00987C6B">
      <w:pPr>
        <w:pStyle w:val="ListParagraph"/>
        <w:spacing w:after="0" w:line="240" w:lineRule="auto"/>
        <w:ind w:left="0" w:right="-1" w:firstLine="567"/>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Plānots, ka </w:t>
      </w:r>
      <w:r w:rsidR="00407CFA" w:rsidRPr="003F18F0">
        <w:rPr>
          <w:rFonts w:ascii="Times New Roman" w:hAnsi="Times New Roman" w:cs="Times New Roman"/>
          <w:color w:val="000000" w:themeColor="text1"/>
          <w:sz w:val="28"/>
          <w:szCs w:val="28"/>
        </w:rPr>
        <w:t>Modernizācijas fonds uzsāks savu darbību 2021.</w:t>
      </w:r>
      <w:r w:rsidR="00A44A4A" w:rsidRPr="003F18F0">
        <w:rPr>
          <w:rFonts w:ascii="Times New Roman" w:hAnsi="Times New Roman" w:cs="Times New Roman"/>
          <w:color w:val="000000" w:themeColor="text1"/>
          <w:sz w:val="28"/>
          <w:szCs w:val="28"/>
        </w:rPr>
        <w:t> </w:t>
      </w:r>
      <w:r w:rsidR="00407CFA" w:rsidRPr="003F18F0">
        <w:rPr>
          <w:rFonts w:ascii="Times New Roman" w:hAnsi="Times New Roman" w:cs="Times New Roman"/>
          <w:color w:val="000000" w:themeColor="text1"/>
          <w:sz w:val="28"/>
          <w:szCs w:val="28"/>
        </w:rPr>
        <w:t>gadā</w:t>
      </w:r>
      <w:r>
        <w:rPr>
          <w:rFonts w:ascii="Times New Roman" w:hAnsi="Times New Roman" w:cs="Times New Roman"/>
          <w:color w:val="000000" w:themeColor="text1"/>
          <w:sz w:val="28"/>
          <w:szCs w:val="28"/>
        </w:rPr>
        <w:t>, taču līdz tam vēl ir jāapstiprina Investīcij</w:t>
      </w:r>
      <w:r w:rsidR="001B413E">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r w:rsidR="00D950F8">
        <w:rPr>
          <w:rFonts w:ascii="Times New Roman" w:hAnsi="Times New Roman" w:cs="Times New Roman"/>
          <w:color w:val="000000" w:themeColor="text1"/>
          <w:sz w:val="28"/>
          <w:szCs w:val="28"/>
        </w:rPr>
        <w:t>k</w:t>
      </w:r>
      <w:r>
        <w:rPr>
          <w:rFonts w:ascii="Times New Roman" w:hAnsi="Times New Roman" w:cs="Times New Roman"/>
          <w:color w:val="000000" w:themeColor="text1"/>
          <w:sz w:val="28"/>
          <w:szCs w:val="28"/>
        </w:rPr>
        <w:t>omitejas sastāvs.</w:t>
      </w:r>
      <w:r w:rsidR="00D9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Dalībvalstīm līdz 2020.</w:t>
      </w:r>
      <w:r w:rsidR="00D950F8">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gada </w:t>
      </w:r>
      <w:r w:rsidRPr="00E22A63">
        <w:rPr>
          <w:rFonts w:ascii="Times New Roman" w:hAnsi="Times New Roman" w:cs="Times New Roman"/>
          <w:color w:val="000000" w:themeColor="text1"/>
          <w:sz w:val="28"/>
          <w:szCs w:val="28"/>
        </w:rPr>
        <w:t>25.</w:t>
      </w:r>
      <w:r w:rsidR="00D950F8">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augustam</w:t>
      </w:r>
      <w:r w:rsidR="002366B5">
        <w:rPr>
          <w:rFonts w:ascii="Times New Roman" w:hAnsi="Times New Roman" w:cs="Times New Roman"/>
          <w:color w:val="000000" w:themeColor="text1"/>
          <w:sz w:val="28"/>
          <w:szCs w:val="28"/>
        </w:rPr>
        <w:t xml:space="preserve"> bija </w:t>
      </w:r>
      <w:proofErr w:type="spellStart"/>
      <w:r w:rsidR="002366B5">
        <w:rPr>
          <w:rFonts w:ascii="Times New Roman" w:hAnsi="Times New Roman" w:cs="Times New Roman"/>
          <w:color w:val="000000" w:themeColor="text1"/>
          <w:sz w:val="28"/>
          <w:szCs w:val="28"/>
        </w:rPr>
        <w:t>jānominē</w:t>
      </w:r>
      <w:proofErr w:type="spellEnd"/>
      <w:r w:rsidR="002366B5">
        <w:rPr>
          <w:rFonts w:ascii="Times New Roman" w:hAnsi="Times New Roman" w:cs="Times New Roman"/>
          <w:color w:val="000000" w:themeColor="text1"/>
          <w:sz w:val="28"/>
          <w:szCs w:val="28"/>
        </w:rPr>
        <w:t xml:space="preserve"> savi pārstāvji </w:t>
      </w:r>
      <w:r w:rsidR="002366B5" w:rsidRPr="00A34435">
        <w:rPr>
          <w:rFonts w:ascii="Times New Roman" w:hAnsi="Times New Roman" w:cs="Times New Roman"/>
          <w:color w:val="000000" w:themeColor="text1"/>
          <w:sz w:val="28"/>
          <w:szCs w:val="28"/>
        </w:rPr>
        <w:t>Investīciju</w:t>
      </w:r>
      <w:r w:rsidR="002366B5">
        <w:rPr>
          <w:rFonts w:ascii="Times New Roman" w:hAnsi="Times New Roman" w:cs="Times New Roman"/>
          <w:color w:val="000000" w:themeColor="text1"/>
          <w:sz w:val="28"/>
          <w:szCs w:val="28"/>
        </w:rPr>
        <w:t xml:space="preserve"> komitejai</w:t>
      </w:r>
      <w:r>
        <w:rPr>
          <w:rFonts w:ascii="Times New Roman" w:hAnsi="Times New Roman" w:cs="Times New Roman"/>
          <w:color w:val="000000" w:themeColor="text1"/>
          <w:sz w:val="28"/>
          <w:szCs w:val="28"/>
        </w:rPr>
        <w:t xml:space="preserve">. </w:t>
      </w:r>
      <w:r w:rsidR="00D81EDE">
        <w:rPr>
          <w:rFonts w:ascii="Times New Roman" w:hAnsi="Times New Roman" w:cs="Times New Roman"/>
          <w:color w:val="000000" w:themeColor="text1"/>
          <w:sz w:val="28"/>
          <w:szCs w:val="28"/>
        </w:rPr>
        <w:t xml:space="preserve">Lai gan </w:t>
      </w:r>
      <w:r w:rsidR="0066152A">
        <w:rPr>
          <w:rFonts w:ascii="Times New Roman" w:hAnsi="Times New Roman" w:cs="Times New Roman"/>
          <w:color w:val="000000" w:themeColor="text1"/>
          <w:sz w:val="28"/>
          <w:szCs w:val="28"/>
        </w:rPr>
        <w:t>Modernizācijas fonda darbības regulas 11.</w:t>
      </w:r>
      <w:r w:rsidR="00D950F8">
        <w:rPr>
          <w:rFonts w:ascii="Times New Roman" w:hAnsi="Times New Roman" w:cs="Times New Roman"/>
          <w:color w:val="000000" w:themeColor="text1"/>
          <w:sz w:val="28"/>
          <w:szCs w:val="28"/>
        </w:rPr>
        <w:t> </w:t>
      </w:r>
      <w:r w:rsidR="0066152A">
        <w:rPr>
          <w:rFonts w:ascii="Times New Roman" w:hAnsi="Times New Roman" w:cs="Times New Roman"/>
          <w:color w:val="000000" w:themeColor="text1"/>
          <w:sz w:val="28"/>
          <w:szCs w:val="28"/>
        </w:rPr>
        <w:t xml:space="preserve">panta </w:t>
      </w:r>
      <w:r w:rsidR="00D950F8">
        <w:rPr>
          <w:rFonts w:ascii="Times New Roman" w:hAnsi="Times New Roman" w:cs="Times New Roman"/>
          <w:color w:val="000000" w:themeColor="text1"/>
          <w:sz w:val="28"/>
          <w:szCs w:val="28"/>
        </w:rPr>
        <w:t>sestās</w:t>
      </w:r>
      <w:r w:rsidR="0066152A">
        <w:rPr>
          <w:rFonts w:ascii="Times New Roman" w:hAnsi="Times New Roman" w:cs="Times New Roman"/>
          <w:color w:val="000000" w:themeColor="text1"/>
          <w:sz w:val="28"/>
          <w:szCs w:val="28"/>
        </w:rPr>
        <w:t xml:space="preserve"> daļas (a) apakšpunktā ir </w:t>
      </w:r>
      <w:r w:rsidR="00D81EDE">
        <w:rPr>
          <w:rFonts w:ascii="Times New Roman" w:hAnsi="Times New Roman" w:cs="Times New Roman"/>
          <w:color w:val="000000" w:themeColor="text1"/>
          <w:sz w:val="28"/>
          <w:szCs w:val="28"/>
        </w:rPr>
        <w:t>atsauces uz</w:t>
      </w:r>
      <w:r w:rsidR="0066152A">
        <w:rPr>
          <w:rFonts w:ascii="Times New Roman" w:hAnsi="Times New Roman" w:cs="Times New Roman"/>
          <w:color w:val="000000" w:themeColor="text1"/>
          <w:sz w:val="28"/>
          <w:szCs w:val="28"/>
        </w:rPr>
        <w:t xml:space="preserve"> iespēj</w:t>
      </w:r>
      <w:r w:rsidR="00D81EDE">
        <w:rPr>
          <w:rFonts w:ascii="Times New Roman" w:hAnsi="Times New Roman" w:cs="Times New Roman"/>
          <w:color w:val="000000" w:themeColor="text1"/>
          <w:sz w:val="28"/>
          <w:szCs w:val="28"/>
        </w:rPr>
        <w:t>u</w:t>
      </w:r>
      <w:r w:rsidR="0066152A">
        <w:rPr>
          <w:rFonts w:ascii="Times New Roman" w:hAnsi="Times New Roman" w:cs="Times New Roman"/>
          <w:color w:val="000000" w:themeColor="text1"/>
          <w:sz w:val="28"/>
          <w:szCs w:val="28"/>
        </w:rPr>
        <w:t xml:space="preserve"> nominēt Investīcij</w:t>
      </w:r>
      <w:r w:rsidR="001B413E">
        <w:rPr>
          <w:rFonts w:ascii="Times New Roman" w:hAnsi="Times New Roman" w:cs="Times New Roman"/>
          <w:color w:val="000000" w:themeColor="text1"/>
          <w:sz w:val="28"/>
          <w:szCs w:val="28"/>
        </w:rPr>
        <w:t>u</w:t>
      </w:r>
      <w:r w:rsidR="0066152A">
        <w:rPr>
          <w:rFonts w:ascii="Times New Roman" w:hAnsi="Times New Roman" w:cs="Times New Roman"/>
          <w:color w:val="000000" w:themeColor="text1"/>
          <w:sz w:val="28"/>
          <w:szCs w:val="28"/>
        </w:rPr>
        <w:t xml:space="preserve"> komitejas locekli</w:t>
      </w:r>
      <w:r w:rsidR="00D81EDE">
        <w:rPr>
          <w:rFonts w:ascii="Times New Roman" w:hAnsi="Times New Roman" w:cs="Times New Roman"/>
          <w:color w:val="000000" w:themeColor="text1"/>
          <w:sz w:val="28"/>
          <w:szCs w:val="28"/>
        </w:rPr>
        <w:t>,</w:t>
      </w:r>
      <w:r w:rsidR="006A5EB0">
        <w:rPr>
          <w:rFonts w:ascii="Times New Roman" w:hAnsi="Times New Roman" w:cs="Times New Roman"/>
          <w:color w:val="000000" w:themeColor="text1"/>
          <w:sz w:val="28"/>
          <w:szCs w:val="28"/>
        </w:rPr>
        <w:t xml:space="preserve"> </w:t>
      </w:r>
      <w:r w:rsidR="00D81EDE">
        <w:rPr>
          <w:rFonts w:ascii="Times New Roman" w:hAnsi="Times New Roman" w:cs="Times New Roman"/>
          <w:color w:val="000000" w:themeColor="text1"/>
          <w:sz w:val="28"/>
          <w:szCs w:val="28"/>
        </w:rPr>
        <w:t>t</w:t>
      </w:r>
      <w:r w:rsidR="0066152A">
        <w:rPr>
          <w:rFonts w:ascii="Times New Roman" w:hAnsi="Times New Roman" w:cs="Times New Roman"/>
          <w:color w:val="000000" w:themeColor="text1"/>
          <w:sz w:val="28"/>
          <w:szCs w:val="28"/>
        </w:rPr>
        <w:t>ā aiz</w:t>
      </w:r>
      <w:r w:rsidR="001B413E">
        <w:rPr>
          <w:rFonts w:ascii="Times New Roman" w:hAnsi="Times New Roman" w:cs="Times New Roman"/>
          <w:color w:val="000000" w:themeColor="text1"/>
          <w:sz w:val="28"/>
          <w:szCs w:val="28"/>
        </w:rPr>
        <w:t>vietotāju</w:t>
      </w:r>
      <w:r w:rsidR="00D81EDE">
        <w:rPr>
          <w:rFonts w:ascii="Times New Roman" w:hAnsi="Times New Roman" w:cs="Times New Roman"/>
          <w:color w:val="000000" w:themeColor="text1"/>
          <w:sz w:val="28"/>
          <w:szCs w:val="28"/>
        </w:rPr>
        <w:t xml:space="preserve"> un novērotāju</w:t>
      </w:r>
      <w:r w:rsidR="005C28BE">
        <w:rPr>
          <w:rStyle w:val="FootnoteReference"/>
          <w:rFonts w:ascii="Times New Roman" w:hAnsi="Times New Roman" w:cs="Times New Roman"/>
          <w:color w:val="000000" w:themeColor="text1"/>
          <w:sz w:val="28"/>
          <w:szCs w:val="28"/>
        </w:rPr>
        <w:footnoteReference w:id="2"/>
      </w:r>
      <w:r w:rsidR="00D950F8">
        <w:rPr>
          <w:rFonts w:ascii="Times New Roman" w:hAnsi="Times New Roman" w:cs="Times New Roman"/>
          <w:color w:val="000000" w:themeColor="text1"/>
          <w:sz w:val="28"/>
          <w:szCs w:val="28"/>
        </w:rPr>
        <w:t>, t</w:t>
      </w:r>
      <w:r w:rsidR="00392D5D">
        <w:rPr>
          <w:rFonts w:ascii="Times New Roman" w:hAnsi="Times New Roman" w:cs="Times New Roman"/>
          <w:color w:val="000000" w:themeColor="text1"/>
          <w:sz w:val="28"/>
          <w:szCs w:val="28"/>
        </w:rPr>
        <w:t xml:space="preserve">iek sagaidīts, ka Investīciju komitejā dalībvalstis </w:t>
      </w:r>
      <w:r w:rsidR="00DD4388">
        <w:rPr>
          <w:rFonts w:ascii="Times New Roman" w:hAnsi="Times New Roman" w:cs="Times New Roman"/>
          <w:color w:val="000000" w:themeColor="text1"/>
          <w:sz w:val="28"/>
          <w:szCs w:val="28"/>
        </w:rPr>
        <w:t>izvirza</w:t>
      </w:r>
      <w:r w:rsidR="00392D5D">
        <w:rPr>
          <w:rFonts w:ascii="Times New Roman" w:hAnsi="Times New Roman" w:cs="Times New Roman"/>
          <w:color w:val="000000" w:themeColor="text1"/>
          <w:sz w:val="28"/>
          <w:szCs w:val="28"/>
        </w:rPr>
        <w:t xml:space="preserve"> kandidātus ar pietiekoš</w:t>
      </w:r>
      <w:r w:rsidR="00D950F8">
        <w:rPr>
          <w:rFonts w:ascii="Times New Roman" w:hAnsi="Times New Roman" w:cs="Times New Roman"/>
          <w:color w:val="000000" w:themeColor="text1"/>
          <w:sz w:val="28"/>
          <w:szCs w:val="28"/>
        </w:rPr>
        <w:t>ām</w:t>
      </w:r>
      <w:r w:rsidR="00392D5D">
        <w:rPr>
          <w:rFonts w:ascii="Times New Roman" w:hAnsi="Times New Roman" w:cs="Times New Roman"/>
          <w:color w:val="000000" w:themeColor="text1"/>
          <w:sz w:val="28"/>
          <w:szCs w:val="28"/>
        </w:rPr>
        <w:t xml:space="preserve"> tehnisk</w:t>
      </w:r>
      <w:r w:rsidR="00D950F8">
        <w:rPr>
          <w:rFonts w:ascii="Times New Roman" w:hAnsi="Times New Roman" w:cs="Times New Roman"/>
          <w:color w:val="000000" w:themeColor="text1"/>
          <w:sz w:val="28"/>
          <w:szCs w:val="28"/>
        </w:rPr>
        <w:t>ajām</w:t>
      </w:r>
      <w:r w:rsidR="00392D5D">
        <w:rPr>
          <w:rFonts w:ascii="Times New Roman" w:hAnsi="Times New Roman" w:cs="Times New Roman"/>
          <w:color w:val="000000" w:themeColor="text1"/>
          <w:sz w:val="28"/>
          <w:szCs w:val="28"/>
        </w:rPr>
        <w:t xml:space="preserve"> un finanšu zināšanām, lai spētu piedalīties neprioritāro jomu investīciju priekšlikumu izvērtēšanas diskusijās.</w:t>
      </w:r>
      <w:r w:rsidR="002366B5">
        <w:rPr>
          <w:rFonts w:ascii="Times New Roman" w:hAnsi="Times New Roman" w:cs="Times New Roman"/>
          <w:color w:val="000000" w:themeColor="text1"/>
          <w:sz w:val="28"/>
          <w:szCs w:val="28"/>
        </w:rPr>
        <w:t xml:space="preserve"> Lai nekavētu Investīcij</w:t>
      </w:r>
      <w:r w:rsidR="001B413E">
        <w:rPr>
          <w:rFonts w:ascii="Times New Roman" w:hAnsi="Times New Roman" w:cs="Times New Roman"/>
          <w:color w:val="000000" w:themeColor="text1"/>
          <w:sz w:val="28"/>
          <w:szCs w:val="28"/>
        </w:rPr>
        <w:t>u</w:t>
      </w:r>
      <w:r w:rsidR="002366B5">
        <w:rPr>
          <w:rFonts w:ascii="Times New Roman" w:hAnsi="Times New Roman" w:cs="Times New Roman"/>
          <w:color w:val="000000" w:themeColor="text1"/>
          <w:sz w:val="28"/>
          <w:szCs w:val="28"/>
        </w:rPr>
        <w:t xml:space="preserve"> komitejas uzsākšanas darbību, VARAM nominēja</w:t>
      </w:r>
      <w:r w:rsidR="006A128B">
        <w:rPr>
          <w:rStyle w:val="FootnoteReference"/>
          <w:rFonts w:ascii="Times New Roman" w:hAnsi="Times New Roman" w:cs="Times New Roman"/>
          <w:color w:val="000000" w:themeColor="text1"/>
          <w:sz w:val="28"/>
          <w:szCs w:val="28"/>
        </w:rPr>
        <w:footnoteReference w:id="3"/>
      </w:r>
      <w:r w:rsidR="002366B5">
        <w:rPr>
          <w:rFonts w:ascii="Times New Roman" w:hAnsi="Times New Roman" w:cs="Times New Roman"/>
          <w:color w:val="000000" w:themeColor="text1"/>
          <w:sz w:val="28"/>
          <w:szCs w:val="28"/>
        </w:rPr>
        <w:t xml:space="preserve"> divus pārstāvjus</w:t>
      </w:r>
      <w:r w:rsidR="00126F41">
        <w:rPr>
          <w:rFonts w:ascii="Times New Roman" w:hAnsi="Times New Roman" w:cs="Times New Roman"/>
          <w:color w:val="000000" w:themeColor="text1"/>
          <w:sz w:val="28"/>
          <w:szCs w:val="28"/>
        </w:rPr>
        <w:t>–</w:t>
      </w:r>
      <w:r w:rsidR="001B413E" w:rsidRPr="001B413E">
        <w:rPr>
          <w:rFonts w:ascii="Times New Roman" w:hAnsi="Times New Roman" w:cs="Times New Roman"/>
          <w:color w:val="000000" w:themeColor="text1"/>
          <w:sz w:val="28"/>
          <w:szCs w:val="28"/>
        </w:rPr>
        <w:t xml:space="preserve"> </w:t>
      </w:r>
      <w:r w:rsidR="001B413E">
        <w:rPr>
          <w:rFonts w:ascii="Times New Roman" w:hAnsi="Times New Roman" w:cs="Times New Roman"/>
          <w:color w:val="000000" w:themeColor="text1"/>
          <w:sz w:val="28"/>
          <w:szCs w:val="28"/>
        </w:rPr>
        <w:t xml:space="preserve">Investīciju komitejas </w:t>
      </w:r>
      <w:r w:rsidR="002366B5">
        <w:rPr>
          <w:rFonts w:ascii="Times New Roman" w:hAnsi="Times New Roman" w:cs="Times New Roman"/>
          <w:color w:val="000000" w:themeColor="text1"/>
          <w:sz w:val="28"/>
          <w:szCs w:val="28"/>
        </w:rPr>
        <w:t xml:space="preserve">locekļa un tā </w:t>
      </w:r>
      <w:r w:rsidR="001B413E">
        <w:rPr>
          <w:rFonts w:ascii="Times New Roman" w:hAnsi="Times New Roman" w:cs="Times New Roman"/>
          <w:color w:val="000000" w:themeColor="text1"/>
          <w:sz w:val="28"/>
          <w:szCs w:val="28"/>
        </w:rPr>
        <w:t xml:space="preserve">aizvietotāja </w:t>
      </w:r>
      <w:r w:rsidR="002366B5">
        <w:rPr>
          <w:rFonts w:ascii="Times New Roman" w:hAnsi="Times New Roman" w:cs="Times New Roman"/>
          <w:color w:val="000000" w:themeColor="text1"/>
          <w:sz w:val="28"/>
          <w:szCs w:val="28"/>
        </w:rPr>
        <w:t>pozīcijās.</w:t>
      </w:r>
      <w:r w:rsidR="00723B73">
        <w:rPr>
          <w:rFonts w:ascii="Times New Roman" w:hAnsi="Times New Roman" w:cs="Times New Roman"/>
          <w:color w:val="000000" w:themeColor="text1"/>
          <w:sz w:val="28"/>
          <w:szCs w:val="28"/>
        </w:rPr>
        <w:t xml:space="preserve"> Pirmā Investīcij</w:t>
      </w:r>
      <w:r w:rsidR="00A34435">
        <w:rPr>
          <w:rFonts w:ascii="Times New Roman" w:hAnsi="Times New Roman" w:cs="Times New Roman"/>
          <w:color w:val="000000" w:themeColor="text1"/>
          <w:sz w:val="28"/>
          <w:szCs w:val="28"/>
        </w:rPr>
        <w:t>u</w:t>
      </w:r>
      <w:r w:rsidR="00723B73">
        <w:rPr>
          <w:rFonts w:ascii="Times New Roman" w:hAnsi="Times New Roman" w:cs="Times New Roman"/>
          <w:color w:val="000000" w:themeColor="text1"/>
          <w:sz w:val="28"/>
          <w:szCs w:val="28"/>
        </w:rPr>
        <w:t xml:space="preserve"> </w:t>
      </w:r>
      <w:r w:rsidR="00A34435">
        <w:rPr>
          <w:rFonts w:ascii="Times New Roman" w:hAnsi="Times New Roman" w:cs="Times New Roman"/>
          <w:color w:val="000000" w:themeColor="text1"/>
          <w:sz w:val="28"/>
          <w:szCs w:val="28"/>
        </w:rPr>
        <w:t>k</w:t>
      </w:r>
      <w:r w:rsidR="00723B73">
        <w:rPr>
          <w:rFonts w:ascii="Times New Roman" w:hAnsi="Times New Roman" w:cs="Times New Roman"/>
          <w:color w:val="000000" w:themeColor="text1"/>
          <w:sz w:val="28"/>
          <w:szCs w:val="28"/>
        </w:rPr>
        <w:t xml:space="preserve">omitejas sēde notika </w:t>
      </w:r>
      <w:r w:rsidR="00003E66">
        <w:rPr>
          <w:rFonts w:ascii="Times New Roman" w:hAnsi="Times New Roman" w:cs="Times New Roman"/>
          <w:color w:val="000000" w:themeColor="text1"/>
          <w:sz w:val="28"/>
          <w:szCs w:val="28"/>
        </w:rPr>
        <w:t>tiešsaistes</w:t>
      </w:r>
      <w:r w:rsidR="00D97153">
        <w:rPr>
          <w:rFonts w:ascii="Times New Roman" w:hAnsi="Times New Roman" w:cs="Times New Roman"/>
          <w:color w:val="000000" w:themeColor="text1"/>
          <w:sz w:val="28"/>
          <w:szCs w:val="28"/>
        </w:rPr>
        <w:t xml:space="preserve"> režīmā 2020.</w:t>
      </w:r>
      <w:r w:rsidR="00003E66">
        <w:rPr>
          <w:rFonts w:ascii="Times New Roman" w:hAnsi="Times New Roman" w:cs="Times New Roman"/>
          <w:color w:val="000000" w:themeColor="text1"/>
          <w:sz w:val="28"/>
          <w:szCs w:val="28"/>
        </w:rPr>
        <w:t> </w:t>
      </w:r>
      <w:r w:rsidR="00D97153">
        <w:rPr>
          <w:rFonts w:ascii="Times New Roman" w:hAnsi="Times New Roman" w:cs="Times New Roman"/>
          <w:color w:val="000000" w:themeColor="text1"/>
          <w:sz w:val="28"/>
          <w:szCs w:val="28"/>
        </w:rPr>
        <w:t>gada 14.</w:t>
      </w:r>
      <w:r w:rsidR="00003E66">
        <w:rPr>
          <w:rFonts w:ascii="Times New Roman" w:hAnsi="Times New Roman" w:cs="Times New Roman"/>
          <w:color w:val="000000" w:themeColor="text1"/>
          <w:sz w:val="28"/>
          <w:szCs w:val="28"/>
        </w:rPr>
        <w:t> </w:t>
      </w:r>
      <w:r w:rsidR="00D97153">
        <w:rPr>
          <w:rFonts w:ascii="Times New Roman" w:hAnsi="Times New Roman" w:cs="Times New Roman"/>
          <w:color w:val="000000" w:themeColor="text1"/>
          <w:sz w:val="28"/>
          <w:szCs w:val="28"/>
        </w:rPr>
        <w:t xml:space="preserve">oktobrī, kurā tika izskatīti </w:t>
      </w:r>
      <w:r w:rsidR="00A94A44">
        <w:rPr>
          <w:rFonts w:ascii="Times New Roman" w:hAnsi="Times New Roman" w:cs="Times New Roman"/>
          <w:color w:val="000000" w:themeColor="text1"/>
          <w:sz w:val="28"/>
          <w:szCs w:val="28"/>
        </w:rPr>
        <w:t>organizatoriski jautājumi, tai skaitā</w:t>
      </w:r>
      <w:r w:rsidR="006B4F37">
        <w:rPr>
          <w:rFonts w:ascii="Times New Roman" w:hAnsi="Times New Roman" w:cs="Times New Roman"/>
          <w:color w:val="000000" w:themeColor="text1"/>
          <w:sz w:val="28"/>
          <w:szCs w:val="28"/>
        </w:rPr>
        <w:t xml:space="preserve"> </w:t>
      </w:r>
      <w:r w:rsidR="00003E66">
        <w:rPr>
          <w:rFonts w:ascii="Times New Roman" w:hAnsi="Times New Roman" w:cs="Times New Roman"/>
          <w:color w:val="000000" w:themeColor="text1"/>
          <w:sz w:val="28"/>
          <w:szCs w:val="28"/>
        </w:rPr>
        <w:t>trīs</w:t>
      </w:r>
      <w:r w:rsidR="00B15A90">
        <w:rPr>
          <w:rFonts w:ascii="Times New Roman" w:hAnsi="Times New Roman" w:cs="Times New Roman"/>
          <w:color w:val="000000" w:themeColor="text1"/>
          <w:sz w:val="28"/>
          <w:szCs w:val="28"/>
        </w:rPr>
        <w:t xml:space="preserve"> </w:t>
      </w:r>
      <w:r w:rsidR="00003E66">
        <w:rPr>
          <w:rFonts w:ascii="Times New Roman" w:hAnsi="Times New Roman" w:cs="Times New Roman"/>
          <w:color w:val="000000" w:themeColor="text1"/>
          <w:sz w:val="28"/>
          <w:szCs w:val="28"/>
        </w:rPr>
        <w:t xml:space="preserve">ES </w:t>
      </w:r>
      <w:r w:rsidR="00B15A90">
        <w:rPr>
          <w:rFonts w:ascii="Times New Roman" w:hAnsi="Times New Roman" w:cs="Times New Roman"/>
          <w:color w:val="000000" w:themeColor="text1"/>
          <w:sz w:val="28"/>
          <w:szCs w:val="28"/>
        </w:rPr>
        <w:t xml:space="preserve">dalībvalstu, kas nav finansējuma saņēmējas locekļu apstiprināšana Investīciju komitejā, </w:t>
      </w:r>
      <w:r w:rsidR="002B47AC">
        <w:rPr>
          <w:rFonts w:ascii="Times New Roman" w:hAnsi="Times New Roman" w:cs="Times New Roman"/>
          <w:color w:val="000000" w:themeColor="text1"/>
          <w:sz w:val="28"/>
          <w:szCs w:val="28"/>
        </w:rPr>
        <w:t xml:space="preserve">diskusija par </w:t>
      </w:r>
      <w:r w:rsidR="006B4F37">
        <w:rPr>
          <w:rFonts w:ascii="Times New Roman" w:hAnsi="Times New Roman" w:cs="Times New Roman"/>
          <w:color w:val="000000" w:themeColor="text1"/>
          <w:sz w:val="28"/>
          <w:szCs w:val="28"/>
        </w:rPr>
        <w:t>Investīciju komitejas procedūras noteikum</w:t>
      </w:r>
      <w:r w:rsidR="002B47AC">
        <w:rPr>
          <w:rFonts w:ascii="Times New Roman" w:hAnsi="Times New Roman" w:cs="Times New Roman"/>
          <w:color w:val="000000" w:themeColor="text1"/>
          <w:sz w:val="28"/>
          <w:szCs w:val="28"/>
        </w:rPr>
        <w:t>iem un i</w:t>
      </w:r>
      <w:r w:rsidR="00003E66">
        <w:rPr>
          <w:rFonts w:ascii="Times New Roman" w:hAnsi="Times New Roman" w:cs="Times New Roman"/>
          <w:color w:val="000000" w:themeColor="text1"/>
          <w:sz w:val="28"/>
          <w:szCs w:val="28"/>
        </w:rPr>
        <w:t>n</w:t>
      </w:r>
      <w:r w:rsidR="002B47AC">
        <w:rPr>
          <w:rFonts w:ascii="Times New Roman" w:hAnsi="Times New Roman" w:cs="Times New Roman"/>
          <w:color w:val="000000" w:themeColor="text1"/>
          <w:sz w:val="28"/>
          <w:szCs w:val="28"/>
        </w:rPr>
        <w:t>vestīciju pārskata veidlapām</w:t>
      </w:r>
      <w:r w:rsidR="002E5645">
        <w:rPr>
          <w:rFonts w:ascii="Times New Roman" w:hAnsi="Times New Roman" w:cs="Times New Roman"/>
          <w:color w:val="000000" w:themeColor="text1"/>
          <w:sz w:val="28"/>
          <w:szCs w:val="28"/>
        </w:rPr>
        <w:t>.</w:t>
      </w:r>
      <w:r w:rsidR="00D97153">
        <w:rPr>
          <w:rFonts w:ascii="Times New Roman" w:hAnsi="Times New Roman" w:cs="Times New Roman"/>
          <w:color w:val="000000" w:themeColor="text1"/>
          <w:sz w:val="28"/>
          <w:szCs w:val="28"/>
        </w:rPr>
        <w:t xml:space="preserve"> </w:t>
      </w:r>
    </w:p>
    <w:p w14:paraId="77BFDF56" w14:textId="77777777" w:rsidR="00407CFA" w:rsidRPr="003F18F0" w:rsidRDefault="00407CFA" w:rsidP="00987C6B">
      <w:pPr>
        <w:pStyle w:val="ListParagraph"/>
        <w:spacing w:after="0" w:line="240" w:lineRule="auto"/>
        <w:ind w:left="0" w:right="-1" w:firstLine="567"/>
        <w:contextualSpacing w:val="0"/>
        <w:jc w:val="both"/>
        <w:rPr>
          <w:rFonts w:ascii="Times New Roman" w:hAnsi="Times New Roman" w:cs="Times New Roman"/>
          <w:color w:val="000000" w:themeColor="text1"/>
          <w:sz w:val="28"/>
          <w:szCs w:val="28"/>
        </w:rPr>
      </w:pPr>
    </w:p>
    <w:p w14:paraId="2DD2BC84" w14:textId="62BB3031" w:rsidR="005A2962" w:rsidRPr="003F18F0" w:rsidRDefault="00C8456E" w:rsidP="00987C6B">
      <w:pPr>
        <w:spacing w:after="0" w:line="240" w:lineRule="auto"/>
        <w:ind w:right="-1"/>
        <w:jc w:val="center"/>
        <w:rPr>
          <w:rFonts w:ascii="Times New Roman" w:hAnsi="Times New Roman" w:cs="Times New Roman"/>
          <w:b/>
          <w:color w:val="000000" w:themeColor="text1"/>
          <w:sz w:val="28"/>
          <w:szCs w:val="28"/>
        </w:rPr>
      </w:pPr>
      <w:r w:rsidRPr="003F18F0">
        <w:rPr>
          <w:rFonts w:ascii="Times New Roman" w:hAnsi="Times New Roman" w:cs="Times New Roman"/>
          <w:b/>
          <w:color w:val="000000" w:themeColor="text1"/>
          <w:sz w:val="28"/>
          <w:szCs w:val="28"/>
        </w:rPr>
        <w:t>2.</w:t>
      </w:r>
      <w:r w:rsidR="00C6724B" w:rsidRPr="003F18F0">
        <w:rPr>
          <w:rFonts w:ascii="Times New Roman" w:hAnsi="Times New Roman" w:cs="Times New Roman"/>
          <w:b/>
          <w:color w:val="000000" w:themeColor="text1"/>
          <w:sz w:val="28"/>
          <w:szCs w:val="28"/>
        </w:rPr>
        <w:t> </w:t>
      </w:r>
      <w:r w:rsidR="00C76C97" w:rsidRPr="003F18F0">
        <w:rPr>
          <w:rFonts w:ascii="Times New Roman" w:hAnsi="Times New Roman" w:cs="Times New Roman"/>
          <w:b/>
          <w:color w:val="000000" w:themeColor="text1"/>
          <w:sz w:val="28"/>
          <w:szCs w:val="28"/>
        </w:rPr>
        <w:t>Atbalstām</w:t>
      </w:r>
      <w:r w:rsidR="008E3C86" w:rsidRPr="003F18F0">
        <w:rPr>
          <w:rFonts w:ascii="Times New Roman" w:hAnsi="Times New Roman" w:cs="Times New Roman"/>
          <w:b/>
          <w:color w:val="000000" w:themeColor="text1"/>
          <w:sz w:val="28"/>
          <w:szCs w:val="28"/>
        </w:rPr>
        <w:t>ās</w:t>
      </w:r>
      <w:r w:rsidR="00C76C97" w:rsidRPr="003F18F0">
        <w:rPr>
          <w:rFonts w:ascii="Times New Roman" w:hAnsi="Times New Roman" w:cs="Times New Roman"/>
          <w:b/>
          <w:color w:val="000000" w:themeColor="text1"/>
          <w:sz w:val="28"/>
          <w:szCs w:val="28"/>
        </w:rPr>
        <w:t xml:space="preserve"> investīcij</w:t>
      </w:r>
      <w:r w:rsidR="008E3C86" w:rsidRPr="003F18F0">
        <w:rPr>
          <w:rFonts w:ascii="Times New Roman" w:hAnsi="Times New Roman" w:cs="Times New Roman"/>
          <w:b/>
          <w:color w:val="000000" w:themeColor="text1"/>
          <w:sz w:val="28"/>
          <w:szCs w:val="28"/>
        </w:rPr>
        <w:t>as</w:t>
      </w:r>
      <w:r w:rsidR="00C76C97" w:rsidRPr="003F18F0">
        <w:rPr>
          <w:rFonts w:ascii="Times New Roman" w:hAnsi="Times New Roman" w:cs="Times New Roman"/>
          <w:b/>
          <w:color w:val="000000" w:themeColor="text1"/>
          <w:sz w:val="28"/>
          <w:szCs w:val="28"/>
        </w:rPr>
        <w:t xml:space="preserve"> </w:t>
      </w:r>
      <w:r w:rsidR="00200D14" w:rsidRPr="003F18F0">
        <w:rPr>
          <w:rFonts w:ascii="Times New Roman" w:hAnsi="Times New Roman" w:cs="Times New Roman"/>
          <w:b/>
          <w:color w:val="000000" w:themeColor="text1"/>
          <w:sz w:val="28"/>
          <w:szCs w:val="28"/>
        </w:rPr>
        <w:t>M</w:t>
      </w:r>
      <w:r w:rsidR="00C76C97" w:rsidRPr="003F18F0">
        <w:rPr>
          <w:rFonts w:ascii="Times New Roman" w:hAnsi="Times New Roman" w:cs="Times New Roman"/>
          <w:b/>
          <w:color w:val="000000" w:themeColor="text1"/>
          <w:sz w:val="28"/>
          <w:szCs w:val="28"/>
        </w:rPr>
        <w:t>odernizācijas fonda ietvaros</w:t>
      </w:r>
      <w:r w:rsidR="00735C70" w:rsidRPr="003F18F0">
        <w:rPr>
          <w:rFonts w:ascii="Times New Roman" w:hAnsi="Times New Roman" w:cs="Times New Roman"/>
          <w:b/>
          <w:color w:val="000000" w:themeColor="text1"/>
          <w:sz w:val="28"/>
          <w:szCs w:val="28"/>
        </w:rPr>
        <w:t xml:space="preserve"> </w:t>
      </w:r>
      <w:r w:rsidR="008E3C86" w:rsidRPr="003F18F0">
        <w:rPr>
          <w:rFonts w:ascii="Times New Roman" w:hAnsi="Times New Roman" w:cs="Times New Roman"/>
          <w:b/>
          <w:color w:val="000000" w:themeColor="text1"/>
          <w:sz w:val="28"/>
          <w:szCs w:val="28"/>
        </w:rPr>
        <w:t>un identificētie prioritārie investīciju virzieni</w:t>
      </w:r>
    </w:p>
    <w:p w14:paraId="76370B95" w14:textId="77777777" w:rsidR="00C6724B" w:rsidRPr="003F18F0" w:rsidRDefault="00C6724B" w:rsidP="00987C6B">
      <w:pPr>
        <w:spacing w:after="0" w:line="240" w:lineRule="auto"/>
        <w:ind w:right="-1" w:firstLine="567"/>
        <w:jc w:val="both"/>
        <w:rPr>
          <w:rFonts w:ascii="Times New Roman" w:hAnsi="Times New Roman" w:cs="Times New Roman"/>
          <w:color w:val="000000" w:themeColor="text1"/>
          <w:sz w:val="28"/>
          <w:szCs w:val="28"/>
        </w:rPr>
      </w:pPr>
    </w:p>
    <w:p w14:paraId="317C845E" w14:textId="7493E5CA" w:rsidR="002D7ABC" w:rsidRPr="003F18F0" w:rsidRDefault="00745FF9"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Modernizācijas fonda</w:t>
      </w:r>
      <w:r w:rsidR="002D7ABC" w:rsidRPr="003F18F0">
        <w:rPr>
          <w:rFonts w:ascii="Times New Roman" w:hAnsi="Times New Roman" w:cs="Times New Roman"/>
          <w:color w:val="000000" w:themeColor="text1"/>
          <w:sz w:val="28"/>
          <w:szCs w:val="28"/>
        </w:rPr>
        <w:t xml:space="preserve"> ietvaros atbalstītajām investīcijām jābūt saskanīgām ar Direktīvas 2003/87/EK</w:t>
      </w:r>
      <w:r w:rsidR="00114D82" w:rsidRPr="003F18F0">
        <w:rPr>
          <w:rFonts w:ascii="Times New Roman" w:hAnsi="Times New Roman" w:cs="Times New Roman"/>
          <w:color w:val="000000" w:themeColor="text1"/>
          <w:sz w:val="28"/>
          <w:szCs w:val="28"/>
        </w:rPr>
        <w:t>, t.sk. 10.</w:t>
      </w:r>
      <w:r w:rsidR="00C6724B" w:rsidRPr="003F18F0">
        <w:rPr>
          <w:rFonts w:ascii="Times New Roman" w:hAnsi="Times New Roman" w:cs="Times New Roman"/>
          <w:color w:val="000000" w:themeColor="text1"/>
          <w:sz w:val="28"/>
          <w:szCs w:val="28"/>
        </w:rPr>
        <w:t> </w:t>
      </w:r>
      <w:r w:rsidR="00114D82" w:rsidRPr="003F18F0">
        <w:rPr>
          <w:rFonts w:ascii="Times New Roman" w:hAnsi="Times New Roman" w:cs="Times New Roman"/>
          <w:color w:val="000000" w:themeColor="text1"/>
          <w:sz w:val="28"/>
          <w:szCs w:val="28"/>
        </w:rPr>
        <w:t>panta 1.</w:t>
      </w:r>
      <w:r w:rsidR="00C6724B" w:rsidRPr="003F18F0">
        <w:rPr>
          <w:rFonts w:ascii="Times New Roman" w:hAnsi="Times New Roman" w:cs="Times New Roman"/>
          <w:color w:val="000000" w:themeColor="text1"/>
          <w:sz w:val="28"/>
          <w:szCs w:val="28"/>
        </w:rPr>
        <w:t> </w:t>
      </w:r>
      <w:r w:rsidR="00114D82" w:rsidRPr="003F18F0">
        <w:rPr>
          <w:rFonts w:ascii="Times New Roman" w:hAnsi="Times New Roman" w:cs="Times New Roman"/>
          <w:color w:val="000000" w:themeColor="text1"/>
          <w:sz w:val="28"/>
          <w:szCs w:val="28"/>
        </w:rPr>
        <w:t xml:space="preserve">punkta, </w:t>
      </w:r>
      <w:r w:rsidR="002D7ABC" w:rsidRPr="003F18F0">
        <w:rPr>
          <w:rFonts w:ascii="Times New Roman" w:hAnsi="Times New Roman" w:cs="Times New Roman"/>
          <w:color w:val="000000" w:themeColor="text1"/>
          <w:sz w:val="28"/>
          <w:szCs w:val="28"/>
        </w:rPr>
        <w:t>mērķiem, kā arī ar mērķiem, ko paredz ES klimata un enerģētikas politikas satvars laikposmam līdz 2030.</w:t>
      </w:r>
      <w:r w:rsidR="00C6724B" w:rsidRPr="003F18F0">
        <w:rPr>
          <w:rFonts w:ascii="Times New Roman" w:hAnsi="Times New Roman" w:cs="Times New Roman"/>
          <w:color w:val="000000" w:themeColor="text1"/>
          <w:sz w:val="28"/>
          <w:szCs w:val="28"/>
        </w:rPr>
        <w:t> </w:t>
      </w:r>
      <w:r w:rsidR="002D7ABC" w:rsidRPr="003F18F0">
        <w:rPr>
          <w:rFonts w:ascii="Times New Roman" w:hAnsi="Times New Roman" w:cs="Times New Roman"/>
          <w:color w:val="000000" w:themeColor="text1"/>
          <w:sz w:val="28"/>
          <w:szCs w:val="28"/>
        </w:rPr>
        <w:t>gadam, un Parīzes nolīgumā paustajiem ilgtermiņa mērķiem.</w:t>
      </w:r>
    </w:p>
    <w:p w14:paraId="0E99D694" w14:textId="278956F8" w:rsidR="00755E15" w:rsidRPr="003F18F0" w:rsidRDefault="002D7ABC"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Saskaņā ar </w:t>
      </w:r>
      <w:r w:rsidR="00BE1C5C" w:rsidRPr="003F18F0">
        <w:rPr>
          <w:rFonts w:ascii="Times New Roman" w:hAnsi="Times New Roman" w:cs="Times New Roman"/>
          <w:color w:val="000000" w:themeColor="text1"/>
          <w:sz w:val="28"/>
          <w:szCs w:val="28"/>
        </w:rPr>
        <w:t xml:space="preserve">Direktīvas </w:t>
      </w:r>
      <w:r w:rsidRPr="003F18F0">
        <w:rPr>
          <w:rFonts w:ascii="Times New Roman" w:hAnsi="Times New Roman" w:cs="Times New Roman"/>
          <w:color w:val="000000" w:themeColor="text1"/>
          <w:sz w:val="28"/>
          <w:szCs w:val="28"/>
        </w:rPr>
        <w:t>2003/87/EK 10.</w:t>
      </w:r>
      <w:r w:rsidR="00C6724B"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d panta 2</w:t>
      </w:r>
      <w:r w:rsidR="00C6724B"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punktu vismaz 70</w:t>
      </w:r>
      <w:r w:rsidR="00C6724B"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xml:space="preserve">% finanšu resursu no </w:t>
      </w:r>
      <w:r w:rsidR="00745FF9" w:rsidRPr="003F18F0">
        <w:rPr>
          <w:rFonts w:ascii="Times New Roman" w:hAnsi="Times New Roman" w:cs="Times New Roman"/>
          <w:color w:val="000000" w:themeColor="text1"/>
          <w:sz w:val="28"/>
          <w:szCs w:val="28"/>
        </w:rPr>
        <w:t>Modernizācijas fonda</w:t>
      </w:r>
      <w:r w:rsidRPr="003F18F0">
        <w:rPr>
          <w:rFonts w:ascii="Times New Roman" w:hAnsi="Times New Roman" w:cs="Times New Roman"/>
          <w:color w:val="000000" w:themeColor="text1"/>
          <w:sz w:val="28"/>
          <w:szCs w:val="28"/>
        </w:rPr>
        <w:t xml:space="preserve"> </w:t>
      </w:r>
      <w:r w:rsidR="00C6724B" w:rsidRPr="003F18F0">
        <w:rPr>
          <w:rFonts w:ascii="Times New Roman" w:hAnsi="Times New Roman" w:cs="Times New Roman"/>
          <w:color w:val="000000" w:themeColor="text1"/>
          <w:sz w:val="28"/>
          <w:szCs w:val="28"/>
        </w:rPr>
        <w:t>jā</w:t>
      </w:r>
      <w:r w:rsidRPr="003F18F0">
        <w:rPr>
          <w:rFonts w:ascii="Times New Roman" w:hAnsi="Times New Roman" w:cs="Times New Roman"/>
          <w:color w:val="000000" w:themeColor="text1"/>
          <w:sz w:val="28"/>
          <w:szCs w:val="28"/>
        </w:rPr>
        <w:t>izmanto, lai atbalstītu investīcijas</w:t>
      </w:r>
      <w:r w:rsidR="00755E15" w:rsidRPr="003F18F0">
        <w:rPr>
          <w:rFonts w:ascii="Times New Roman" w:hAnsi="Times New Roman" w:cs="Times New Roman"/>
          <w:color w:val="000000" w:themeColor="text1"/>
          <w:sz w:val="28"/>
          <w:szCs w:val="28"/>
        </w:rPr>
        <w:t>:</w:t>
      </w:r>
    </w:p>
    <w:p w14:paraId="572E47DC" w14:textId="5ADA3B43" w:rsidR="00755E15" w:rsidRPr="003F18F0" w:rsidRDefault="002D7ABC" w:rsidP="00987C6B">
      <w:pPr>
        <w:pStyle w:val="ListParagraph"/>
        <w:numPr>
          <w:ilvl w:val="0"/>
          <w:numId w:val="48"/>
        </w:numPr>
        <w:spacing w:after="0" w:line="240" w:lineRule="auto"/>
        <w:ind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elektroenerģijas ražošanā un izmantošanā no atjaunojamiem </w:t>
      </w:r>
      <w:r w:rsidR="00C6724B" w:rsidRPr="003F18F0">
        <w:rPr>
          <w:rFonts w:ascii="Times New Roman" w:hAnsi="Times New Roman" w:cs="Times New Roman"/>
          <w:color w:val="000000" w:themeColor="text1"/>
          <w:sz w:val="28"/>
          <w:szCs w:val="28"/>
        </w:rPr>
        <w:t>energoresursiem</w:t>
      </w:r>
      <w:r w:rsidR="00755E15" w:rsidRPr="003F18F0">
        <w:rPr>
          <w:rFonts w:ascii="Times New Roman" w:hAnsi="Times New Roman" w:cs="Times New Roman"/>
          <w:color w:val="000000" w:themeColor="text1"/>
          <w:sz w:val="28"/>
          <w:szCs w:val="28"/>
        </w:rPr>
        <w:t>;</w:t>
      </w:r>
    </w:p>
    <w:p w14:paraId="6BE1841C" w14:textId="565769E6" w:rsidR="00200D14" w:rsidRPr="003F18F0" w:rsidRDefault="002D7ABC" w:rsidP="00987C6B">
      <w:pPr>
        <w:pStyle w:val="ListParagraph"/>
        <w:numPr>
          <w:ilvl w:val="0"/>
          <w:numId w:val="48"/>
        </w:numPr>
        <w:spacing w:after="0" w:line="240" w:lineRule="auto"/>
        <w:ind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energoefektivitātes uzlabošanā </w:t>
      </w:r>
      <w:r w:rsidR="00200D14"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izņemot energoefektivitātes uzlabošanu, kas saistīta ar elektroenerģijas ražošanu, kurā izmanto cieto fosilo kurināmo</w:t>
      </w:r>
      <w:r w:rsidR="00200D14" w:rsidRPr="003F18F0">
        <w:rPr>
          <w:rStyle w:val="FootnoteReference"/>
          <w:rFonts w:ascii="Times New Roman" w:hAnsi="Times New Roman" w:cs="Times New Roman"/>
          <w:color w:val="000000" w:themeColor="text1"/>
          <w:sz w:val="28"/>
          <w:szCs w:val="28"/>
          <w:shd w:val="clear" w:color="auto" w:fill="FFFFFF"/>
        </w:rPr>
        <w:footnoteReference w:id="4"/>
      </w:r>
      <w:r w:rsidR="00200D14"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w:t>
      </w:r>
      <w:r w:rsidR="00200D14" w:rsidRPr="003F18F0">
        <w:rPr>
          <w:rFonts w:ascii="Times New Roman" w:hAnsi="Times New Roman" w:cs="Times New Roman"/>
          <w:color w:val="000000" w:themeColor="text1"/>
          <w:sz w:val="28"/>
          <w:szCs w:val="28"/>
        </w:rPr>
        <w:t>t.sk. transporta</w:t>
      </w:r>
      <w:r w:rsidR="00C6724B" w:rsidRPr="003F18F0">
        <w:rPr>
          <w:rFonts w:ascii="Times New Roman" w:hAnsi="Times New Roman" w:cs="Times New Roman"/>
          <w:color w:val="000000" w:themeColor="text1"/>
          <w:sz w:val="28"/>
          <w:szCs w:val="28"/>
        </w:rPr>
        <w:t>,</w:t>
      </w:r>
      <w:r w:rsidR="00200D14" w:rsidRPr="003F18F0">
        <w:rPr>
          <w:rFonts w:ascii="Times New Roman" w:hAnsi="Times New Roman" w:cs="Times New Roman"/>
          <w:color w:val="000000" w:themeColor="text1"/>
          <w:sz w:val="28"/>
          <w:szCs w:val="28"/>
        </w:rPr>
        <w:t xml:space="preserve"> lauksaimniecības un atkritumu apsaimniekošanas nozarēs</w:t>
      </w:r>
      <w:r w:rsidR="00F45C50" w:rsidRPr="003F18F0">
        <w:rPr>
          <w:rFonts w:ascii="Times New Roman" w:hAnsi="Times New Roman" w:cs="Times New Roman"/>
          <w:color w:val="000000" w:themeColor="text1"/>
          <w:sz w:val="28"/>
          <w:szCs w:val="28"/>
        </w:rPr>
        <w:t>, kā arī ēkās</w:t>
      </w:r>
      <w:r w:rsidR="00200D14" w:rsidRPr="003F18F0">
        <w:rPr>
          <w:rFonts w:ascii="Times New Roman" w:hAnsi="Times New Roman" w:cs="Times New Roman"/>
          <w:color w:val="000000" w:themeColor="text1"/>
          <w:sz w:val="28"/>
          <w:szCs w:val="28"/>
        </w:rPr>
        <w:t>;</w:t>
      </w:r>
    </w:p>
    <w:p w14:paraId="5DCE206F" w14:textId="688B566F" w:rsidR="00200D14" w:rsidRPr="003F18F0" w:rsidRDefault="002D7ABC" w:rsidP="00987C6B">
      <w:pPr>
        <w:pStyle w:val="ListParagraph"/>
        <w:numPr>
          <w:ilvl w:val="0"/>
          <w:numId w:val="48"/>
        </w:numPr>
        <w:spacing w:after="0" w:line="240" w:lineRule="auto"/>
        <w:ind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enerģijas uzglabāšanā</w:t>
      </w:r>
      <w:r w:rsidR="008570D8" w:rsidRPr="003F18F0">
        <w:rPr>
          <w:rFonts w:ascii="Times New Roman" w:hAnsi="Times New Roman" w:cs="Times New Roman"/>
          <w:color w:val="000000" w:themeColor="text1"/>
          <w:sz w:val="28"/>
          <w:szCs w:val="28"/>
        </w:rPr>
        <w:t>;</w:t>
      </w:r>
    </w:p>
    <w:p w14:paraId="4418F3A8" w14:textId="17730CCF" w:rsidR="00200D14" w:rsidRPr="003F18F0" w:rsidRDefault="002D7ABC" w:rsidP="00987C6B">
      <w:pPr>
        <w:pStyle w:val="ListParagraph"/>
        <w:numPr>
          <w:ilvl w:val="0"/>
          <w:numId w:val="48"/>
        </w:numPr>
        <w:spacing w:after="0" w:line="240" w:lineRule="auto"/>
        <w:ind w:right="-1"/>
        <w:contextualSpacing w:val="0"/>
        <w:jc w:val="both"/>
        <w:rPr>
          <w:rFonts w:ascii="Times New Roman" w:hAnsi="Times New Roman" w:cs="Times New Roman"/>
          <w:color w:val="000000" w:themeColor="text1"/>
          <w:sz w:val="28"/>
          <w:szCs w:val="28"/>
        </w:rPr>
      </w:pPr>
      <w:proofErr w:type="spellStart"/>
      <w:r w:rsidRPr="003F18F0">
        <w:rPr>
          <w:rFonts w:ascii="Times New Roman" w:hAnsi="Times New Roman" w:cs="Times New Roman"/>
          <w:color w:val="000000" w:themeColor="text1"/>
          <w:sz w:val="28"/>
          <w:szCs w:val="28"/>
        </w:rPr>
        <w:t>energotīklu</w:t>
      </w:r>
      <w:proofErr w:type="spellEnd"/>
      <w:r w:rsidRPr="003F18F0">
        <w:rPr>
          <w:rFonts w:ascii="Times New Roman" w:hAnsi="Times New Roman" w:cs="Times New Roman"/>
          <w:color w:val="000000" w:themeColor="text1"/>
          <w:sz w:val="28"/>
          <w:szCs w:val="28"/>
        </w:rPr>
        <w:t xml:space="preserve">, tostarp centralizētajā siltumapgādē izmantoto cauruļvadu, un elektropārvades tīklu modernizēšanā un </w:t>
      </w:r>
      <w:proofErr w:type="spellStart"/>
      <w:r w:rsidRPr="003F18F0">
        <w:rPr>
          <w:rFonts w:ascii="Times New Roman" w:hAnsi="Times New Roman" w:cs="Times New Roman"/>
          <w:color w:val="000000" w:themeColor="text1"/>
          <w:sz w:val="28"/>
          <w:szCs w:val="28"/>
        </w:rPr>
        <w:t>starpsavienojumu</w:t>
      </w:r>
      <w:proofErr w:type="spellEnd"/>
      <w:r w:rsidRPr="003F18F0">
        <w:rPr>
          <w:rFonts w:ascii="Times New Roman" w:hAnsi="Times New Roman" w:cs="Times New Roman"/>
          <w:color w:val="000000" w:themeColor="text1"/>
          <w:sz w:val="28"/>
          <w:szCs w:val="28"/>
        </w:rPr>
        <w:t xml:space="preserve"> palielināšan</w:t>
      </w:r>
      <w:r w:rsidR="00486D8A" w:rsidRPr="003F18F0">
        <w:rPr>
          <w:rFonts w:ascii="Times New Roman" w:hAnsi="Times New Roman" w:cs="Times New Roman"/>
          <w:color w:val="000000" w:themeColor="text1"/>
          <w:sz w:val="28"/>
          <w:szCs w:val="28"/>
        </w:rPr>
        <w:t>ā</w:t>
      </w:r>
      <w:r w:rsidRPr="003F18F0">
        <w:rPr>
          <w:rFonts w:ascii="Times New Roman" w:hAnsi="Times New Roman" w:cs="Times New Roman"/>
          <w:color w:val="000000" w:themeColor="text1"/>
          <w:sz w:val="28"/>
          <w:szCs w:val="28"/>
        </w:rPr>
        <w:t xml:space="preserve"> starp</w:t>
      </w:r>
      <w:r w:rsidR="00486D8A" w:rsidRPr="003F18F0">
        <w:rPr>
          <w:rFonts w:ascii="Times New Roman" w:hAnsi="Times New Roman" w:cs="Times New Roman"/>
          <w:color w:val="000000" w:themeColor="text1"/>
          <w:sz w:val="28"/>
          <w:szCs w:val="28"/>
        </w:rPr>
        <w:t xml:space="preserve"> ES</w:t>
      </w:r>
      <w:r w:rsidRPr="003F18F0">
        <w:rPr>
          <w:rFonts w:ascii="Times New Roman" w:hAnsi="Times New Roman" w:cs="Times New Roman"/>
          <w:color w:val="000000" w:themeColor="text1"/>
          <w:sz w:val="28"/>
          <w:szCs w:val="28"/>
        </w:rPr>
        <w:t xml:space="preserve"> dalībvalstīm</w:t>
      </w:r>
      <w:r w:rsidR="00200D14" w:rsidRPr="003F18F0">
        <w:rPr>
          <w:rFonts w:ascii="Times New Roman" w:hAnsi="Times New Roman" w:cs="Times New Roman"/>
          <w:color w:val="000000" w:themeColor="text1"/>
          <w:sz w:val="28"/>
          <w:szCs w:val="28"/>
        </w:rPr>
        <w:t>;</w:t>
      </w:r>
    </w:p>
    <w:p w14:paraId="2D8A9112" w14:textId="2DE2D68F" w:rsidR="00200D14" w:rsidRPr="003F18F0" w:rsidRDefault="002D7ABC" w:rsidP="00987C6B">
      <w:pPr>
        <w:pStyle w:val="ListParagraph"/>
        <w:numPr>
          <w:ilvl w:val="0"/>
          <w:numId w:val="48"/>
        </w:numPr>
        <w:spacing w:after="0" w:line="240" w:lineRule="auto"/>
        <w:ind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lastRenderedPageBreak/>
        <w:t>taisnīg</w:t>
      </w:r>
      <w:r w:rsidR="00200D14" w:rsidRPr="003F18F0">
        <w:rPr>
          <w:rFonts w:ascii="Times New Roman" w:hAnsi="Times New Roman" w:cs="Times New Roman"/>
          <w:color w:val="000000" w:themeColor="text1"/>
          <w:sz w:val="28"/>
          <w:szCs w:val="28"/>
        </w:rPr>
        <w:t>ai</w:t>
      </w:r>
      <w:r w:rsidRPr="003F18F0">
        <w:rPr>
          <w:rFonts w:ascii="Times New Roman" w:hAnsi="Times New Roman" w:cs="Times New Roman"/>
          <w:color w:val="000000" w:themeColor="text1"/>
          <w:sz w:val="28"/>
          <w:szCs w:val="28"/>
        </w:rPr>
        <w:t xml:space="preserve"> pārej</w:t>
      </w:r>
      <w:r w:rsidR="00200D14" w:rsidRPr="003F18F0">
        <w:rPr>
          <w:rFonts w:ascii="Times New Roman" w:hAnsi="Times New Roman" w:cs="Times New Roman"/>
          <w:color w:val="000000" w:themeColor="text1"/>
          <w:sz w:val="28"/>
          <w:szCs w:val="28"/>
        </w:rPr>
        <w:t>ai</w:t>
      </w:r>
      <w:r w:rsidRPr="003F18F0">
        <w:rPr>
          <w:rFonts w:ascii="Times New Roman" w:hAnsi="Times New Roman" w:cs="Times New Roman"/>
          <w:color w:val="000000" w:themeColor="text1"/>
          <w:sz w:val="28"/>
          <w:szCs w:val="28"/>
        </w:rPr>
        <w:t xml:space="preserve"> no oglekļa atkarīgajos reģionos saņēmēj</w:t>
      </w:r>
      <w:r w:rsidR="00FC6F74"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s</w:t>
      </w:r>
      <w:r w:rsidR="00FC6F74" w:rsidRPr="003F18F0">
        <w:rPr>
          <w:rFonts w:ascii="Times New Roman" w:hAnsi="Times New Roman" w:cs="Times New Roman"/>
          <w:color w:val="000000" w:themeColor="text1"/>
          <w:sz w:val="28"/>
          <w:szCs w:val="28"/>
        </w:rPr>
        <w:t xml:space="preserve"> ES</w:t>
      </w:r>
      <w:r w:rsidRPr="003F18F0">
        <w:rPr>
          <w:rFonts w:ascii="Times New Roman" w:hAnsi="Times New Roman" w:cs="Times New Roman"/>
          <w:color w:val="000000" w:themeColor="text1"/>
          <w:sz w:val="28"/>
          <w:szCs w:val="28"/>
        </w:rPr>
        <w:t xml:space="preserve"> dalībvalstīs, ar mērķi tādējādi atbalstīt darba ņēmēju pārcelšanu, pārkvalificēšanu un kvalifikācijas celšanu, izglītību, darba meklēšanas iniciatīvas un </w:t>
      </w:r>
      <w:proofErr w:type="spellStart"/>
      <w:r w:rsidRPr="003F18F0">
        <w:rPr>
          <w:rFonts w:ascii="Times New Roman" w:hAnsi="Times New Roman" w:cs="Times New Roman"/>
          <w:color w:val="000000" w:themeColor="text1"/>
          <w:sz w:val="28"/>
          <w:szCs w:val="28"/>
        </w:rPr>
        <w:t>jaunuzņēmumus</w:t>
      </w:r>
      <w:proofErr w:type="spellEnd"/>
      <w:r w:rsidRPr="003F18F0">
        <w:rPr>
          <w:rFonts w:ascii="Times New Roman" w:hAnsi="Times New Roman" w:cs="Times New Roman"/>
          <w:color w:val="000000" w:themeColor="text1"/>
          <w:sz w:val="28"/>
          <w:szCs w:val="28"/>
        </w:rPr>
        <w:t>, veidojot dialogu ar sociālajiem partneriem.</w:t>
      </w:r>
    </w:p>
    <w:p w14:paraId="53F3E52B" w14:textId="54E2A716" w:rsidR="00FC55F4" w:rsidRPr="003F18F0" w:rsidRDefault="009978FE"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Augstāk minētās jomas tiek uzskatītas par prioritār</w:t>
      </w:r>
      <w:r w:rsidR="005737B2">
        <w:rPr>
          <w:rFonts w:ascii="Times New Roman" w:hAnsi="Times New Roman" w:cs="Times New Roman"/>
          <w:color w:val="000000" w:themeColor="text1"/>
          <w:sz w:val="28"/>
          <w:szCs w:val="28"/>
        </w:rPr>
        <w:t>ā</w:t>
      </w:r>
      <w:r w:rsidR="00FC55F4" w:rsidRPr="003F18F0">
        <w:rPr>
          <w:rFonts w:ascii="Times New Roman" w:hAnsi="Times New Roman" w:cs="Times New Roman"/>
          <w:color w:val="000000" w:themeColor="text1"/>
          <w:sz w:val="28"/>
          <w:szCs w:val="28"/>
        </w:rPr>
        <w:t>m ieguldījumiem</w:t>
      </w:r>
      <w:r w:rsidRPr="003F18F0">
        <w:rPr>
          <w:rFonts w:ascii="Times New Roman" w:hAnsi="Times New Roman" w:cs="Times New Roman"/>
          <w:color w:val="000000" w:themeColor="text1"/>
          <w:sz w:val="28"/>
          <w:szCs w:val="28"/>
        </w:rPr>
        <w:t xml:space="preserve">, </w:t>
      </w:r>
      <w:r w:rsidR="00456129" w:rsidRPr="003F18F0">
        <w:rPr>
          <w:rFonts w:ascii="Times New Roman" w:hAnsi="Times New Roman" w:cs="Times New Roman"/>
          <w:color w:val="000000" w:themeColor="text1"/>
          <w:sz w:val="28"/>
          <w:szCs w:val="28"/>
        </w:rPr>
        <w:t xml:space="preserve">savukārt </w:t>
      </w:r>
      <w:r w:rsidRPr="003F18F0">
        <w:rPr>
          <w:rFonts w:ascii="Times New Roman" w:hAnsi="Times New Roman" w:cs="Times New Roman"/>
          <w:color w:val="000000" w:themeColor="text1"/>
          <w:sz w:val="28"/>
          <w:szCs w:val="28"/>
        </w:rPr>
        <w:t>vis</w:t>
      </w:r>
      <w:r w:rsidR="00456129" w:rsidRPr="003F18F0">
        <w:rPr>
          <w:rFonts w:ascii="Times New Roman" w:hAnsi="Times New Roman" w:cs="Times New Roman"/>
          <w:color w:val="000000" w:themeColor="text1"/>
          <w:sz w:val="28"/>
          <w:szCs w:val="28"/>
        </w:rPr>
        <w:t>i</w:t>
      </w:r>
      <w:r w:rsidRPr="003F18F0">
        <w:rPr>
          <w:rFonts w:ascii="Times New Roman" w:hAnsi="Times New Roman" w:cs="Times New Roman"/>
          <w:color w:val="000000" w:themeColor="text1"/>
          <w:sz w:val="28"/>
          <w:szCs w:val="28"/>
        </w:rPr>
        <w:t xml:space="preserve"> pārēj</w:t>
      </w:r>
      <w:r w:rsidR="00FC55F4" w:rsidRPr="003F18F0">
        <w:rPr>
          <w:rFonts w:ascii="Times New Roman" w:hAnsi="Times New Roman" w:cs="Times New Roman"/>
          <w:color w:val="000000" w:themeColor="text1"/>
          <w:sz w:val="28"/>
          <w:szCs w:val="28"/>
        </w:rPr>
        <w:t>ie</w:t>
      </w:r>
      <w:r w:rsidRPr="003F18F0">
        <w:rPr>
          <w:rFonts w:ascii="Times New Roman" w:hAnsi="Times New Roman" w:cs="Times New Roman"/>
          <w:color w:val="000000" w:themeColor="text1"/>
          <w:sz w:val="28"/>
          <w:szCs w:val="28"/>
        </w:rPr>
        <w:t xml:space="preserve"> </w:t>
      </w:r>
      <w:r w:rsidR="00FC55F4" w:rsidRPr="003F18F0">
        <w:rPr>
          <w:rFonts w:ascii="Times New Roman" w:hAnsi="Times New Roman" w:cs="Times New Roman"/>
          <w:color w:val="000000" w:themeColor="text1"/>
          <w:sz w:val="28"/>
          <w:szCs w:val="28"/>
        </w:rPr>
        <w:t xml:space="preserve">ieguldījumi </w:t>
      </w:r>
      <w:r w:rsidRPr="003F18F0">
        <w:rPr>
          <w:rFonts w:ascii="Times New Roman" w:hAnsi="Times New Roman" w:cs="Times New Roman"/>
          <w:color w:val="000000" w:themeColor="text1"/>
          <w:sz w:val="28"/>
          <w:szCs w:val="28"/>
        </w:rPr>
        <w:t xml:space="preserve">tiek </w:t>
      </w:r>
      <w:r w:rsidR="00456129" w:rsidRPr="003F18F0">
        <w:rPr>
          <w:rFonts w:ascii="Times New Roman" w:hAnsi="Times New Roman" w:cs="Times New Roman"/>
          <w:color w:val="000000" w:themeColor="text1"/>
          <w:sz w:val="28"/>
          <w:szCs w:val="28"/>
        </w:rPr>
        <w:t>grupēti</w:t>
      </w:r>
      <w:r w:rsidRPr="003F18F0">
        <w:rPr>
          <w:rFonts w:ascii="Times New Roman" w:hAnsi="Times New Roman" w:cs="Times New Roman"/>
          <w:color w:val="000000" w:themeColor="text1"/>
          <w:sz w:val="28"/>
          <w:szCs w:val="28"/>
        </w:rPr>
        <w:t>, kā neprioritār</w:t>
      </w:r>
      <w:r w:rsidR="005A116D" w:rsidRPr="003F18F0">
        <w:rPr>
          <w:rFonts w:ascii="Times New Roman" w:hAnsi="Times New Roman" w:cs="Times New Roman"/>
          <w:color w:val="000000" w:themeColor="text1"/>
          <w:sz w:val="28"/>
          <w:szCs w:val="28"/>
        </w:rPr>
        <w:t>ie</w:t>
      </w:r>
      <w:r w:rsidR="00FC55F4" w:rsidRPr="003F18F0">
        <w:rPr>
          <w:rFonts w:ascii="Times New Roman" w:hAnsi="Times New Roman" w:cs="Times New Roman"/>
          <w:color w:val="000000" w:themeColor="text1"/>
          <w:sz w:val="28"/>
          <w:szCs w:val="28"/>
        </w:rPr>
        <w:t xml:space="preserve"> ieguldījumi</w:t>
      </w:r>
      <w:r w:rsidRPr="003F18F0">
        <w:rPr>
          <w:rFonts w:ascii="Times New Roman" w:hAnsi="Times New Roman" w:cs="Times New Roman"/>
          <w:color w:val="000000" w:themeColor="text1"/>
          <w:sz w:val="28"/>
          <w:szCs w:val="28"/>
        </w:rPr>
        <w:t xml:space="preserve">. </w:t>
      </w:r>
      <w:r w:rsidR="00456129" w:rsidRPr="003F18F0">
        <w:rPr>
          <w:rFonts w:ascii="Times New Roman" w:hAnsi="Times New Roman" w:cs="Times New Roman"/>
          <w:color w:val="000000" w:themeColor="text1"/>
          <w:sz w:val="28"/>
          <w:szCs w:val="28"/>
        </w:rPr>
        <w:t>ES d</w:t>
      </w:r>
      <w:r w:rsidRPr="003F18F0">
        <w:rPr>
          <w:rFonts w:ascii="Times New Roman" w:hAnsi="Times New Roman" w:cs="Times New Roman"/>
          <w:color w:val="000000" w:themeColor="text1"/>
          <w:sz w:val="28"/>
          <w:szCs w:val="28"/>
        </w:rPr>
        <w:t>alībvalstis neprioritāraj</w:t>
      </w:r>
      <w:r w:rsidR="00FC55F4" w:rsidRPr="003F18F0">
        <w:rPr>
          <w:rFonts w:ascii="Times New Roman" w:hAnsi="Times New Roman" w:cs="Times New Roman"/>
          <w:color w:val="000000" w:themeColor="text1"/>
          <w:sz w:val="28"/>
          <w:szCs w:val="28"/>
        </w:rPr>
        <w:t>iem ieguldījumiem</w:t>
      </w:r>
      <w:r w:rsidRPr="003F18F0">
        <w:rPr>
          <w:rFonts w:ascii="Times New Roman" w:hAnsi="Times New Roman" w:cs="Times New Roman"/>
          <w:color w:val="000000" w:themeColor="text1"/>
          <w:sz w:val="28"/>
          <w:szCs w:val="28"/>
        </w:rPr>
        <w:t xml:space="preserve"> var atvēlēt ne vairāk kā 30</w:t>
      </w:r>
      <w:r w:rsidR="00696EAE"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no Modernizācijas fonda pieejamā finansējuma.</w:t>
      </w:r>
      <w:r w:rsidR="00FC55F4" w:rsidRPr="003F18F0">
        <w:rPr>
          <w:rFonts w:ascii="Times New Roman" w:hAnsi="Times New Roman" w:cs="Times New Roman"/>
          <w:color w:val="000000" w:themeColor="text1"/>
          <w:sz w:val="28"/>
          <w:szCs w:val="28"/>
        </w:rPr>
        <w:t xml:space="preserve"> </w:t>
      </w:r>
    </w:p>
    <w:p w14:paraId="7C7CBBFB" w14:textId="3038E462" w:rsidR="009978FE" w:rsidRPr="003F18F0" w:rsidRDefault="0048581F"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P</w:t>
      </w:r>
      <w:r w:rsidR="00FC55F4" w:rsidRPr="003F18F0">
        <w:rPr>
          <w:rFonts w:ascii="Times New Roman" w:hAnsi="Times New Roman" w:cs="Times New Roman"/>
          <w:color w:val="000000" w:themeColor="text1"/>
          <w:sz w:val="28"/>
          <w:szCs w:val="28"/>
        </w:rPr>
        <w:t xml:space="preserve">rioritārajiem ieguldījumiem maksimālais </w:t>
      </w:r>
      <w:r w:rsidR="00852205" w:rsidRPr="003F18F0">
        <w:rPr>
          <w:rFonts w:ascii="Times New Roman" w:hAnsi="Times New Roman" w:cs="Times New Roman"/>
          <w:color w:val="000000" w:themeColor="text1"/>
          <w:sz w:val="28"/>
          <w:szCs w:val="28"/>
        </w:rPr>
        <w:t xml:space="preserve">Modernizācijas fonda </w:t>
      </w:r>
      <w:r w:rsidR="00FC55F4" w:rsidRPr="003F18F0">
        <w:rPr>
          <w:rFonts w:ascii="Times New Roman" w:hAnsi="Times New Roman" w:cs="Times New Roman"/>
          <w:color w:val="000000" w:themeColor="text1"/>
          <w:sz w:val="28"/>
          <w:szCs w:val="28"/>
        </w:rPr>
        <w:t xml:space="preserve">finansējuma apjoms ir </w:t>
      </w:r>
      <w:r w:rsidRPr="003F18F0">
        <w:rPr>
          <w:rFonts w:ascii="Times New Roman" w:hAnsi="Times New Roman" w:cs="Times New Roman"/>
          <w:color w:val="000000" w:themeColor="text1"/>
          <w:sz w:val="28"/>
          <w:szCs w:val="28"/>
        </w:rPr>
        <w:t xml:space="preserve">iespējams </w:t>
      </w:r>
      <w:r w:rsidR="00FC55F4" w:rsidRPr="003F18F0">
        <w:rPr>
          <w:rFonts w:ascii="Times New Roman" w:hAnsi="Times New Roman" w:cs="Times New Roman"/>
          <w:color w:val="000000" w:themeColor="text1"/>
          <w:sz w:val="28"/>
          <w:szCs w:val="28"/>
        </w:rPr>
        <w:t>līdz pat 100</w:t>
      </w:r>
      <w:r w:rsidR="00852205" w:rsidRPr="003F18F0">
        <w:rPr>
          <w:rFonts w:ascii="Times New Roman" w:hAnsi="Times New Roman" w:cs="Times New Roman"/>
          <w:color w:val="000000" w:themeColor="text1"/>
          <w:sz w:val="28"/>
          <w:szCs w:val="28"/>
        </w:rPr>
        <w:t> </w:t>
      </w:r>
      <w:r w:rsidR="00FC55F4" w:rsidRPr="003F18F0">
        <w:rPr>
          <w:rFonts w:ascii="Times New Roman" w:hAnsi="Times New Roman" w:cs="Times New Roman"/>
          <w:color w:val="000000" w:themeColor="text1"/>
          <w:sz w:val="28"/>
          <w:szCs w:val="28"/>
        </w:rPr>
        <w:t>% apmērā no atbilstīgajām izmaksām (</w:t>
      </w:r>
      <w:r w:rsidR="00FC55F4" w:rsidRPr="003F18F0">
        <w:rPr>
          <w:rFonts w:ascii="Times New Roman" w:hAnsi="Times New Roman" w:cs="Times New Roman"/>
          <w:i/>
          <w:color w:val="000000" w:themeColor="text1"/>
          <w:sz w:val="28"/>
          <w:szCs w:val="28"/>
        </w:rPr>
        <w:t xml:space="preserve">relevant </w:t>
      </w:r>
      <w:proofErr w:type="spellStart"/>
      <w:r w:rsidR="00FC55F4" w:rsidRPr="003F18F0">
        <w:rPr>
          <w:rFonts w:ascii="Times New Roman" w:hAnsi="Times New Roman" w:cs="Times New Roman"/>
          <w:i/>
          <w:color w:val="000000" w:themeColor="text1"/>
          <w:sz w:val="28"/>
          <w:szCs w:val="28"/>
        </w:rPr>
        <w:t>costs</w:t>
      </w:r>
      <w:proofErr w:type="spellEnd"/>
      <w:r w:rsidR="00FC55F4"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 xml:space="preserve">bet </w:t>
      </w:r>
      <w:r w:rsidR="00FC55F4" w:rsidRPr="003F18F0">
        <w:rPr>
          <w:rFonts w:ascii="Times New Roman" w:hAnsi="Times New Roman" w:cs="Times New Roman"/>
          <w:color w:val="000000" w:themeColor="text1"/>
          <w:sz w:val="28"/>
          <w:szCs w:val="28"/>
        </w:rPr>
        <w:t xml:space="preserve">neprioritārajiem ieguldījumiem Modernizācijas fonda finansējums var būt </w:t>
      </w:r>
      <w:r w:rsidR="0059759C" w:rsidRPr="003F18F0">
        <w:rPr>
          <w:rFonts w:ascii="Times New Roman" w:hAnsi="Times New Roman" w:cs="Times New Roman"/>
          <w:color w:val="000000" w:themeColor="text1"/>
          <w:sz w:val="28"/>
          <w:szCs w:val="28"/>
        </w:rPr>
        <w:t>līdz</w:t>
      </w:r>
      <w:r w:rsidR="00FC55F4" w:rsidRPr="003F18F0">
        <w:rPr>
          <w:rFonts w:ascii="Times New Roman" w:hAnsi="Times New Roman" w:cs="Times New Roman"/>
          <w:color w:val="000000" w:themeColor="text1"/>
          <w:sz w:val="28"/>
          <w:szCs w:val="28"/>
        </w:rPr>
        <w:t xml:space="preserve"> 70</w:t>
      </w:r>
      <w:r w:rsidR="00852205" w:rsidRPr="003F18F0">
        <w:rPr>
          <w:rFonts w:ascii="Times New Roman" w:hAnsi="Times New Roman" w:cs="Times New Roman"/>
          <w:color w:val="000000" w:themeColor="text1"/>
          <w:sz w:val="28"/>
          <w:szCs w:val="28"/>
        </w:rPr>
        <w:t> </w:t>
      </w:r>
      <w:r w:rsidR="00FC55F4" w:rsidRPr="003F18F0">
        <w:rPr>
          <w:rFonts w:ascii="Times New Roman" w:hAnsi="Times New Roman" w:cs="Times New Roman"/>
          <w:color w:val="000000" w:themeColor="text1"/>
          <w:sz w:val="28"/>
          <w:szCs w:val="28"/>
        </w:rPr>
        <w:t xml:space="preserve">% </w:t>
      </w:r>
      <w:r w:rsidR="0059759C" w:rsidRPr="003F18F0">
        <w:rPr>
          <w:rFonts w:ascii="Times New Roman" w:hAnsi="Times New Roman" w:cs="Times New Roman"/>
          <w:color w:val="000000" w:themeColor="text1"/>
          <w:sz w:val="28"/>
          <w:szCs w:val="28"/>
        </w:rPr>
        <w:t xml:space="preserve">no attiecīgajām izmaksām </w:t>
      </w:r>
      <w:r w:rsidR="00FC55F4" w:rsidRPr="003F18F0">
        <w:rPr>
          <w:rFonts w:ascii="Times New Roman" w:hAnsi="Times New Roman" w:cs="Times New Roman"/>
          <w:color w:val="000000" w:themeColor="text1"/>
          <w:sz w:val="28"/>
          <w:szCs w:val="28"/>
        </w:rPr>
        <w:t>(pārējiem 30</w:t>
      </w:r>
      <w:r w:rsidR="00852205" w:rsidRPr="003F18F0">
        <w:rPr>
          <w:rFonts w:ascii="Times New Roman" w:hAnsi="Times New Roman" w:cs="Times New Roman"/>
          <w:color w:val="000000" w:themeColor="text1"/>
          <w:sz w:val="28"/>
          <w:szCs w:val="28"/>
        </w:rPr>
        <w:t> </w:t>
      </w:r>
      <w:r w:rsidR="00FC55F4" w:rsidRPr="003F18F0">
        <w:rPr>
          <w:rFonts w:ascii="Times New Roman" w:hAnsi="Times New Roman" w:cs="Times New Roman"/>
          <w:color w:val="000000" w:themeColor="text1"/>
          <w:sz w:val="28"/>
          <w:szCs w:val="28"/>
        </w:rPr>
        <w:t>% ir jāpiesaista privātais kapitāls).</w:t>
      </w:r>
    </w:p>
    <w:p w14:paraId="2241C840" w14:textId="5E989E78" w:rsidR="00AE6C94" w:rsidRPr="003F18F0" w:rsidRDefault="008443BA" w:rsidP="00987C6B">
      <w:pPr>
        <w:spacing w:after="0" w:line="240" w:lineRule="auto"/>
        <w:ind w:right="-1" w:firstLine="709"/>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shd w:val="clear" w:color="auto" w:fill="FFFFFF"/>
        </w:rPr>
        <w:t>Saskaņā ar EK sniegto informāciju p</w:t>
      </w:r>
      <w:r w:rsidR="00267188" w:rsidRPr="003F18F0">
        <w:rPr>
          <w:rFonts w:ascii="Times New Roman" w:hAnsi="Times New Roman" w:cs="Times New Roman"/>
          <w:color w:val="000000" w:themeColor="text1"/>
          <w:sz w:val="28"/>
          <w:szCs w:val="28"/>
          <w:shd w:val="clear" w:color="auto" w:fill="FFFFFF"/>
        </w:rPr>
        <w:t>ēc EK organizētajiem semināriem</w:t>
      </w:r>
      <w:r w:rsidR="00267188" w:rsidRPr="003F18F0">
        <w:rPr>
          <w:rStyle w:val="FootnoteReference"/>
          <w:rFonts w:ascii="Times New Roman" w:hAnsi="Times New Roman" w:cs="Times New Roman"/>
          <w:color w:val="000000" w:themeColor="text1"/>
          <w:sz w:val="28"/>
          <w:szCs w:val="28"/>
          <w:shd w:val="clear" w:color="auto" w:fill="FFFFFF"/>
        </w:rPr>
        <w:footnoteReference w:id="5"/>
      </w:r>
      <w:r w:rsidR="00267188" w:rsidRPr="003F18F0">
        <w:rPr>
          <w:rFonts w:ascii="Times New Roman" w:hAnsi="Times New Roman" w:cs="Times New Roman"/>
          <w:color w:val="000000" w:themeColor="text1"/>
          <w:sz w:val="28"/>
          <w:szCs w:val="28"/>
          <w:shd w:val="clear" w:color="auto" w:fill="FFFFFF"/>
        </w:rPr>
        <w:t xml:space="preserve"> </w:t>
      </w:r>
      <w:r w:rsidR="00FE17A0" w:rsidRPr="003F18F0">
        <w:rPr>
          <w:rFonts w:ascii="Times New Roman" w:hAnsi="Times New Roman" w:cs="Times New Roman"/>
          <w:color w:val="000000" w:themeColor="text1"/>
          <w:sz w:val="28"/>
          <w:szCs w:val="28"/>
          <w:shd w:val="clear" w:color="auto" w:fill="FFFFFF"/>
        </w:rPr>
        <w:t xml:space="preserve">ES dalībvalstīs </w:t>
      </w:r>
      <w:r w:rsidR="0001502A" w:rsidRPr="003F18F0">
        <w:rPr>
          <w:rFonts w:ascii="Times New Roman" w:hAnsi="Times New Roman" w:cs="Times New Roman"/>
          <w:color w:val="000000" w:themeColor="text1"/>
          <w:sz w:val="28"/>
          <w:szCs w:val="28"/>
          <w:shd w:val="clear" w:color="auto" w:fill="FFFFFF"/>
        </w:rPr>
        <w:t xml:space="preserve">ir identificēti </w:t>
      </w:r>
      <w:r w:rsidR="00AE6C94" w:rsidRPr="003F18F0">
        <w:rPr>
          <w:rFonts w:ascii="Times New Roman" w:hAnsi="Times New Roman" w:cs="Times New Roman"/>
          <w:color w:val="000000" w:themeColor="text1"/>
          <w:sz w:val="28"/>
          <w:szCs w:val="28"/>
          <w:shd w:val="clear" w:color="auto" w:fill="FFFFFF"/>
        </w:rPr>
        <w:t xml:space="preserve">šādi galveni </w:t>
      </w:r>
      <w:r w:rsidR="0001502A" w:rsidRPr="003F18F0">
        <w:rPr>
          <w:rFonts w:ascii="Times New Roman" w:hAnsi="Times New Roman" w:cs="Times New Roman"/>
          <w:color w:val="000000" w:themeColor="text1"/>
          <w:sz w:val="28"/>
          <w:szCs w:val="28"/>
          <w:shd w:val="clear" w:color="auto" w:fill="FFFFFF"/>
        </w:rPr>
        <w:t xml:space="preserve">ieguldījumu (investīciju) </w:t>
      </w:r>
      <w:r w:rsidR="00AE6C94" w:rsidRPr="003F18F0">
        <w:rPr>
          <w:rFonts w:ascii="Times New Roman" w:hAnsi="Times New Roman" w:cs="Times New Roman"/>
          <w:color w:val="000000" w:themeColor="text1"/>
          <w:sz w:val="28"/>
          <w:szCs w:val="28"/>
          <w:shd w:val="clear" w:color="auto" w:fill="FFFFFF"/>
        </w:rPr>
        <w:t>virzieni</w:t>
      </w:r>
      <w:r w:rsidR="00F00E78" w:rsidRPr="003F18F0">
        <w:rPr>
          <w:rStyle w:val="FootnoteReference"/>
          <w:rFonts w:ascii="Times New Roman" w:hAnsi="Times New Roman" w:cs="Times New Roman"/>
          <w:color w:val="000000" w:themeColor="text1"/>
          <w:sz w:val="28"/>
          <w:szCs w:val="28"/>
          <w:shd w:val="clear" w:color="auto" w:fill="FFFFFF"/>
        </w:rPr>
        <w:footnoteReference w:id="6"/>
      </w:r>
      <w:r w:rsidR="00AE6C94" w:rsidRPr="003F18F0">
        <w:rPr>
          <w:rFonts w:ascii="Times New Roman" w:hAnsi="Times New Roman" w:cs="Times New Roman"/>
          <w:color w:val="000000" w:themeColor="text1"/>
          <w:sz w:val="28"/>
          <w:szCs w:val="28"/>
          <w:shd w:val="clear" w:color="auto" w:fill="FFFFFF"/>
        </w:rPr>
        <w:t>:</w:t>
      </w:r>
    </w:p>
    <w:p w14:paraId="01744665" w14:textId="437FD198" w:rsidR="008443BA" w:rsidRPr="003F18F0" w:rsidRDefault="008B45E8" w:rsidP="00987C6B">
      <w:pPr>
        <w:pStyle w:val="ListParagraph"/>
        <w:numPr>
          <w:ilvl w:val="0"/>
          <w:numId w:val="53"/>
        </w:numPr>
        <w:spacing w:after="0" w:line="240" w:lineRule="auto"/>
        <w:ind w:right="-1"/>
        <w:contextualSpacing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e</w:t>
      </w:r>
      <w:r w:rsidR="00AE6C94" w:rsidRPr="003F18F0">
        <w:rPr>
          <w:rFonts w:ascii="Times New Roman" w:hAnsi="Times New Roman" w:cs="Times New Roman"/>
          <w:color w:val="000000" w:themeColor="text1"/>
          <w:sz w:val="28"/>
          <w:szCs w:val="28"/>
          <w:shd w:val="clear" w:color="auto" w:fill="FFFFFF"/>
        </w:rPr>
        <w:t xml:space="preserve">lektroenerģija, </w:t>
      </w:r>
      <w:r w:rsidR="0048581F" w:rsidRPr="003F18F0">
        <w:rPr>
          <w:rFonts w:ascii="Times New Roman" w:hAnsi="Times New Roman" w:cs="Times New Roman"/>
          <w:color w:val="000000" w:themeColor="text1"/>
          <w:sz w:val="28"/>
          <w:szCs w:val="28"/>
          <w:shd w:val="clear" w:color="auto" w:fill="FFFFFF"/>
        </w:rPr>
        <w:t xml:space="preserve">siltumapgāde </w:t>
      </w:r>
      <w:r w:rsidR="00AE6C94" w:rsidRPr="003F18F0">
        <w:rPr>
          <w:rFonts w:ascii="Times New Roman" w:hAnsi="Times New Roman" w:cs="Times New Roman"/>
          <w:color w:val="000000" w:themeColor="text1"/>
          <w:sz w:val="28"/>
          <w:szCs w:val="28"/>
          <w:shd w:val="clear" w:color="auto" w:fill="FFFFFF"/>
        </w:rPr>
        <w:t xml:space="preserve">un </w:t>
      </w:r>
      <w:proofErr w:type="spellStart"/>
      <w:r w:rsidR="0048581F" w:rsidRPr="003F18F0">
        <w:rPr>
          <w:rFonts w:ascii="Times New Roman" w:hAnsi="Times New Roman" w:cs="Times New Roman"/>
          <w:color w:val="000000" w:themeColor="text1"/>
          <w:sz w:val="28"/>
          <w:szCs w:val="28"/>
          <w:shd w:val="clear" w:color="auto" w:fill="FFFFFF"/>
        </w:rPr>
        <w:t>aukstumapgāde</w:t>
      </w:r>
      <w:proofErr w:type="spellEnd"/>
      <w:r w:rsidR="0001502A" w:rsidRPr="003F18F0">
        <w:rPr>
          <w:rFonts w:ascii="Times New Roman" w:hAnsi="Times New Roman" w:cs="Times New Roman"/>
          <w:color w:val="000000" w:themeColor="text1"/>
          <w:sz w:val="28"/>
          <w:szCs w:val="28"/>
          <w:shd w:val="clear" w:color="auto" w:fill="FFFFFF"/>
        </w:rPr>
        <w:t>, izmantojot</w:t>
      </w:r>
      <w:r w:rsidR="00AE6C94" w:rsidRPr="003F18F0">
        <w:rPr>
          <w:rFonts w:ascii="Times New Roman" w:hAnsi="Times New Roman" w:cs="Times New Roman"/>
          <w:color w:val="000000" w:themeColor="text1"/>
          <w:sz w:val="28"/>
          <w:szCs w:val="28"/>
          <w:shd w:val="clear" w:color="auto" w:fill="FFFFFF"/>
        </w:rPr>
        <w:t xml:space="preserve"> a</w:t>
      </w:r>
      <w:r w:rsidR="00735C70" w:rsidRPr="003F18F0">
        <w:rPr>
          <w:rFonts w:ascii="Times New Roman" w:hAnsi="Times New Roman" w:cs="Times New Roman"/>
          <w:color w:val="000000" w:themeColor="text1"/>
          <w:sz w:val="28"/>
          <w:szCs w:val="28"/>
          <w:shd w:val="clear" w:color="auto" w:fill="FFFFFF"/>
        </w:rPr>
        <w:t>tjaunojam</w:t>
      </w:r>
      <w:r w:rsidR="0001502A" w:rsidRPr="003F18F0">
        <w:rPr>
          <w:rFonts w:ascii="Times New Roman" w:hAnsi="Times New Roman" w:cs="Times New Roman"/>
          <w:color w:val="000000" w:themeColor="text1"/>
          <w:sz w:val="28"/>
          <w:szCs w:val="28"/>
          <w:shd w:val="clear" w:color="auto" w:fill="FFFFFF"/>
        </w:rPr>
        <w:t>os</w:t>
      </w:r>
      <w:r w:rsidR="00735C70" w:rsidRPr="003F18F0">
        <w:rPr>
          <w:rFonts w:ascii="Times New Roman" w:hAnsi="Times New Roman" w:cs="Times New Roman"/>
          <w:color w:val="000000" w:themeColor="text1"/>
          <w:sz w:val="28"/>
          <w:szCs w:val="28"/>
          <w:shd w:val="clear" w:color="auto" w:fill="FFFFFF"/>
        </w:rPr>
        <w:t xml:space="preserve"> </w:t>
      </w:r>
      <w:r w:rsidR="0001502A" w:rsidRPr="003F18F0">
        <w:rPr>
          <w:rFonts w:ascii="Times New Roman" w:hAnsi="Times New Roman" w:cs="Times New Roman"/>
          <w:color w:val="000000" w:themeColor="text1"/>
          <w:sz w:val="28"/>
          <w:szCs w:val="28"/>
          <w:shd w:val="clear" w:color="auto" w:fill="FFFFFF"/>
        </w:rPr>
        <w:t>energoresursus</w:t>
      </w:r>
      <w:r w:rsidR="00735C70" w:rsidRPr="003F18F0">
        <w:rPr>
          <w:rFonts w:ascii="Times New Roman" w:hAnsi="Times New Roman" w:cs="Times New Roman"/>
          <w:color w:val="000000" w:themeColor="text1"/>
          <w:sz w:val="28"/>
          <w:szCs w:val="28"/>
          <w:shd w:val="clear" w:color="auto" w:fill="FFFFFF"/>
        </w:rPr>
        <w:t>;</w:t>
      </w:r>
    </w:p>
    <w:p w14:paraId="5D9A4828" w14:textId="19987CD4" w:rsidR="00AE6C94" w:rsidRPr="003F18F0" w:rsidRDefault="008B45E8" w:rsidP="00987C6B">
      <w:pPr>
        <w:pStyle w:val="ListParagraph"/>
        <w:numPr>
          <w:ilvl w:val="0"/>
          <w:numId w:val="53"/>
        </w:numPr>
        <w:spacing w:after="0" w:line="240" w:lineRule="auto"/>
        <w:ind w:right="-1"/>
        <w:contextualSpacing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ē</w:t>
      </w:r>
      <w:r w:rsidR="0048581F" w:rsidRPr="003F18F0">
        <w:rPr>
          <w:rFonts w:ascii="Times New Roman" w:hAnsi="Times New Roman" w:cs="Times New Roman"/>
          <w:color w:val="000000" w:themeColor="text1"/>
          <w:sz w:val="28"/>
          <w:szCs w:val="28"/>
          <w:shd w:val="clear" w:color="auto" w:fill="FFFFFF"/>
        </w:rPr>
        <w:t>ku e</w:t>
      </w:r>
      <w:r w:rsidR="00AE6C94" w:rsidRPr="003F18F0">
        <w:rPr>
          <w:rFonts w:ascii="Times New Roman" w:hAnsi="Times New Roman" w:cs="Times New Roman"/>
          <w:color w:val="000000" w:themeColor="text1"/>
          <w:sz w:val="28"/>
          <w:szCs w:val="28"/>
          <w:shd w:val="clear" w:color="auto" w:fill="FFFFFF"/>
        </w:rPr>
        <w:t>nergoefektivitāte;</w:t>
      </w:r>
    </w:p>
    <w:p w14:paraId="137CCBAA" w14:textId="09F984DF" w:rsidR="00AE6C94" w:rsidRPr="003F18F0" w:rsidRDefault="008B45E8" w:rsidP="00987C6B">
      <w:pPr>
        <w:pStyle w:val="ListParagraph"/>
        <w:numPr>
          <w:ilvl w:val="0"/>
          <w:numId w:val="53"/>
        </w:numPr>
        <w:spacing w:after="0" w:line="240" w:lineRule="auto"/>
        <w:ind w:right="-1"/>
        <w:contextualSpacing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e</w:t>
      </w:r>
      <w:r w:rsidR="00AE6C94" w:rsidRPr="003F18F0">
        <w:rPr>
          <w:rFonts w:ascii="Times New Roman" w:hAnsi="Times New Roman" w:cs="Times New Roman"/>
          <w:color w:val="000000" w:themeColor="text1"/>
          <w:sz w:val="28"/>
          <w:szCs w:val="28"/>
          <w:shd w:val="clear" w:color="auto" w:fill="FFFFFF"/>
        </w:rPr>
        <w:t>nerģijas uzglabāšanas risinājumi (</w:t>
      </w:r>
      <w:r w:rsidR="0001502A" w:rsidRPr="003F18F0">
        <w:rPr>
          <w:rFonts w:ascii="Times New Roman" w:hAnsi="Times New Roman" w:cs="Times New Roman"/>
          <w:color w:val="000000" w:themeColor="text1"/>
          <w:sz w:val="28"/>
          <w:szCs w:val="28"/>
          <w:shd w:val="clear" w:color="auto" w:fill="FFFFFF"/>
        </w:rPr>
        <w:t xml:space="preserve">piemēram, </w:t>
      </w:r>
      <w:r w:rsidR="00932524" w:rsidRPr="003F18F0">
        <w:rPr>
          <w:rFonts w:ascii="Times New Roman" w:hAnsi="Times New Roman" w:cs="Times New Roman"/>
          <w:color w:val="000000" w:themeColor="text1"/>
          <w:sz w:val="28"/>
          <w:szCs w:val="28"/>
          <w:shd w:val="clear" w:color="auto" w:fill="FFFFFF"/>
        </w:rPr>
        <w:t xml:space="preserve">tīklu </w:t>
      </w:r>
      <w:r w:rsidR="0001502A" w:rsidRPr="003F18F0">
        <w:rPr>
          <w:rFonts w:ascii="Times New Roman" w:hAnsi="Times New Roman" w:cs="Times New Roman"/>
          <w:color w:val="000000" w:themeColor="text1"/>
          <w:sz w:val="28"/>
          <w:szCs w:val="28"/>
          <w:shd w:val="clear" w:color="auto" w:fill="FFFFFF"/>
        </w:rPr>
        <w:t xml:space="preserve">savietojamība </w:t>
      </w:r>
      <w:r w:rsidR="00AE6C94" w:rsidRPr="003F18F0">
        <w:rPr>
          <w:rFonts w:ascii="Times New Roman" w:hAnsi="Times New Roman" w:cs="Times New Roman"/>
          <w:color w:val="000000" w:themeColor="text1"/>
          <w:sz w:val="28"/>
          <w:szCs w:val="28"/>
          <w:shd w:val="clear" w:color="auto" w:fill="FFFFFF"/>
        </w:rPr>
        <w:t>ar atjaunojamiem energore</w:t>
      </w:r>
      <w:r w:rsidR="00BC0030" w:rsidRPr="003F18F0">
        <w:rPr>
          <w:rFonts w:ascii="Times New Roman" w:hAnsi="Times New Roman" w:cs="Times New Roman"/>
          <w:color w:val="000000" w:themeColor="text1"/>
          <w:sz w:val="28"/>
          <w:szCs w:val="28"/>
          <w:shd w:val="clear" w:color="auto" w:fill="FFFFFF"/>
        </w:rPr>
        <w:t>s</w:t>
      </w:r>
      <w:r w:rsidR="00AE6C94" w:rsidRPr="003F18F0">
        <w:rPr>
          <w:rFonts w:ascii="Times New Roman" w:hAnsi="Times New Roman" w:cs="Times New Roman"/>
          <w:color w:val="000000" w:themeColor="text1"/>
          <w:sz w:val="28"/>
          <w:szCs w:val="28"/>
          <w:shd w:val="clear" w:color="auto" w:fill="FFFFFF"/>
        </w:rPr>
        <w:t xml:space="preserve">ursiem, </w:t>
      </w:r>
      <w:proofErr w:type="spellStart"/>
      <w:r w:rsidR="0048581F" w:rsidRPr="003F18F0">
        <w:rPr>
          <w:rFonts w:ascii="Times New Roman" w:hAnsi="Times New Roman" w:cs="Times New Roman"/>
          <w:color w:val="000000" w:themeColor="text1"/>
          <w:sz w:val="28"/>
          <w:szCs w:val="28"/>
          <w:shd w:val="clear" w:color="auto" w:fill="FFFFFF"/>
        </w:rPr>
        <w:t>energotīkla</w:t>
      </w:r>
      <w:proofErr w:type="spellEnd"/>
      <w:r w:rsidR="0048581F" w:rsidRPr="003F18F0">
        <w:rPr>
          <w:rFonts w:ascii="Times New Roman" w:hAnsi="Times New Roman" w:cs="Times New Roman"/>
          <w:color w:val="000000" w:themeColor="text1"/>
          <w:sz w:val="28"/>
          <w:szCs w:val="28"/>
          <w:shd w:val="clear" w:color="auto" w:fill="FFFFFF"/>
        </w:rPr>
        <w:t xml:space="preserve"> </w:t>
      </w:r>
      <w:r w:rsidR="00AE6C94" w:rsidRPr="003F18F0">
        <w:rPr>
          <w:rFonts w:ascii="Times New Roman" w:hAnsi="Times New Roman" w:cs="Times New Roman"/>
          <w:color w:val="000000" w:themeColor="text1"/>
          <w:sz w:val="28"/>
          <w:szCs w:val="28"/>
          <w:shd w:val="clear" w:color="auto" w:fill="FFFFFF"/>
        </w:rPr>
        <w:t>stabilitāte);</w:t>
      </w:r>
    </w:p>
    <w:p w14:paraId="2BB0CA23" w14:textId="446B06CC" w:rsidR="00AE6C94" w:rsidRPr="003F18F0" w:rsidRDefault="008B45E8" w:rsidP="00987C6B">
      <w:pPr>
        <w:pStyle w:val="ListParagraph"/>
        <w:numPr>
          <w:ilvl w:val="0"/>
          <w:numId w:val="53"/>
        </w:numPr>
        <w:spacing w:after="0" w:line="240" w:lineRule="auto"/>
        <w:ind w:right="-1"/>
        <w:contextualSpacing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w:t>
      </w:r>
      <w:r w:rsidR="00AE6C94" w:rsidRPr="003F18F0">
        <w:rPr>
          <w:rFonts w:ascii="Times New Roman" w:hAnsi="Times New Roman" w:cs="Times New Roman"/>
          <w:color w:val="000000" w:themeColor="text1"/>
          <w:sz w:val="28"/>
          <w:szCs w:val="28"/>
          <w:shd w:val="clear" w:color="auto" w:fill="FFFFFF"/>
        </w:rPr>
        <w:t xml:space="preserve">īklu modernizācija, </w:t>
      </w:r>
      <w:proofErr w:type="spellStart"/>
      <w:r w:rsidR="00AE6C94" w:rsidRPr="003F18F0">
        <w:rPr>
          <w:rFonts w:ascii="Times New Roman" w:hAnsi="Times New Roman" w:cs="Times New Roman"/>
          <w:color w:val="000000" w:themeColor="text1"/>
          <w:sz w:val="28"/>
          <w:szCs w:val="28"/>
          <w:shd w:val="clear" w:color="auto" w:fill="FFFFFF"/>
        </w:rPr>
        <w:t>digitalizācija</w:t>
      </w:r>
      <w:proofErr w:type="spellEnd"/>
      <w:r w:rsidR="00AE6C94" w:rsidRPr="003F18F0">
        <w:rPr>
          <w:rFonts w:ascii="Times New Roman" w:hAnsi="Times New Roman" w:cs="Times New Roman"/>
          <w:color w:val="000000" w:themeColor="text1"/>
          <w:sz w:val="28"/>
          <w:szCs w:val="28"/>
          <w:shd w:val="clear" w:color="auto" w:fill="FFFFFF"/>
        </w:rPr>
        <w:t xml:space="preserve"> un </w:t>
      </w:r>
      <w:proofErr w:type="spellStart"/>
      <w:r w:rsidR="00AE6C94" w:rsidRPr="003F18F0">
        <w:rPr>
          <w:rFonts w:ascii="Times New Roman" w:hAnsi="Times New Roman" w:cs="Times New Roman"/>
          <w:color w:val="000000" w:themeColor="text1"/>
          <w:sz w:val="28"/>
          <w:szCs w:val="28"/>
          <w:shd w:val="clear" w:color="auto" w:fill="FFFFFF"/>
        </w:rPr>
        <w:t>starpsavienojumu</w:t>
      </w:r>
      <w:proofErr w:type="spellEnd"/>
      <w:r w:rsidR="00AE6C94" w:rsidRPr="003F18F0">
        <w:rPr>
          <w:rFonts w:ascii="Times New Roman" w:hAnsi="Times New Roman" w:cs="Times New Roman"/>
          <w:color w:val="000000" w:themeColor="text1"/>
          <w:sz w:val="28"/>
          <w:szCs w:val="28"/>
          <w:shd w:val="clear" w:color="auto" w:fill="FFFFFF"/>
        </w:rPr>
        <w:t xml:space="preserve"> izveide;</w:t>
      </w:r>
    </w:p>
    <w:p w14:paraId="65D763A4" w14:textId="58F0AB41" w:rsidR="00AE6C94" w:rsidRPr="003F18F0" w:rsidRDefault="008B45E8" w:rsidP="00987C6B">
      <w:pPr>
        <w:pStyle w:val="ListParagraph"/>
        <w:numPr>
          <w:ilvl w:val="0"/>
          <w:numId w:val="53"/>
        </w:numPr>
        <w:spacing w:after="0" w:line="240" w:lineRule="auto"/>
        <w:ind w:right="-1"/>
        <w:contextualSpacing w:val="0"/>
        <w:jc w:val="both"/>
        <w:rPr>
          <w:rFonts w:ascii="Times New Roman" w:hAnsi="Times New Roman" w:cs="Times New Roman"/>
          <w:color w:val="000000" w:themeColor="text1"/>
          <w:sz w:val="28"/>
          <w:szCs w:val="28"/>
          <w:shd w:val="clear" w:color="auto" w:fill="FFFFFF"/>
        </w:rPr>
      </w:pPr>
      <w:proofErr w:type="spellStart"/>
      <w:r>
        <w:rPr>
          <w:rFonts w:ascii="Times New Roman" w:hAnsi="Times New Roman" w:cs="Times New Roman"/>
          <w:color w:val="000000" w:themeColor="text1"/>
          <w:sz w:val="28"/>
          <w:szCs w:val="28"/>
          <w:shd w:val="clear" w:color="auto" w:fill="FFFFFF"/>
        </w:rPr>
        <w:t>e</w:t>
      </w:r>
      <w:r w:rsidR="00AE6C94" w:rsidRPr="003F18F0">
        <w:rPr>
          <w:rFonts w:ascii="Times New Roman" w:hAnsi="Times New Roman" w:cs="Times New Roman"/>
          <w:color w:val="000000" w:themeColor="text1"/>
          <w:sz w:val="28"/>
          <w:szCs w:val="28"/>
          <w:shd w:val="clear" w:color="auto" w:fill="FFFFFF"/>
        </w:rPr>
        <w:t>lektromobilitāte</w:t>
      </w:r>
      <w:proofErr w:type="spellEnd"/>
      <w:r w:rsidR="001E0992" w:rsidRPr="003F18F0">
        <w:rPr>
          <w:rFonts w:ascii="Times New Roman" w:hAnsi="Times New Roman" w:cs="Times New Roman"/>
          <w:color w:val="000000" w:themeColor="text1"/>
          <w:sz w:val="28"/>
          <w:szCs w:val="28"/>
          <w:shd w:val="clear" w:color="auto" w:fill="FFFFFF"/>
        </w:rPr>
        <w:t>.</w:t>
      </w:r>
    </w:p>
    <w:p w14:paraId="2C6A7A40" w14:textId="0A653800" w:rsidR="008443BA" w:rsidRPr="003F18F0" w:rsidRDefault="007343E4" w:rsidP="00987C6B">
      <w:pPr>
        <w:spacing w:after="0" w:line="240" w:lineRule="auto"/>
        <w:ind w:right="-1" w:firstLine="709"/>
        <w:jc w:val="both"/>
        <w:rPr>
          <w:rFonts w:ascii="Times New Roman" w:eastAsia="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Ņemot vērā Latvijas siltumnīcefekt</w:t>
      </w:r>
      <w:r w:rsidR="00D444D6" w:rsidRPr="003F18F0">
        <w:rPr>
          <w:rFonts w:ascii="Times New Roman" w:hAnsi="Times New Roman" w:cs="Times New Roman"/>
          <w:color w:val="000000" w:themeColor="text1"/>
          <w:sz w:val="28"/>
          <w:szCs w:val="28"/>
        </w:rPr>
        <w:t xml:space="preserve">a </w:t>
      </w:r>
      <w:r w:rsidRPr="003F18F0">
        <w:rPr>
          <w:rFonts w:ascii="Times New Roman" w:hAnsi="Times New Roman" w:cs="Times New Roman"/>
          <w:color w:val="000000" w:themeColor="text1"/>
          <w:sz w:val="28"/>
          <w:szCs w:val="28"/>
        </w:rPr>
        <w:t>gāzu (tur</w:t>
      </w:r>
      <w:r w:rsidR="00D444D6" w:rsidRPr="003F18F0">
        <w:rPr>
          <w:rFonts w:ascii="Times New Roman" w:hAnsi="Times New Roman" w:cs="Times New Roman"/>
          <w:color w:val="000000" w:themeColor="text1"/>
          <w:sz w:val="28"/>
          <w:szCs w:val="28"/>
        </w:rPr>
        <w:t>p</w:t>
      </w:r>
      <w:r w:rsidRPr="003F18F0">
        <w:rPr>
          <w:rFonts w:ascii="Times New Roman" w:hAnsi="Times New Roman" w:cs="Times New Roman"/>
          <w:color w:val="000000" w:themeColor="text1"/>
          <w:sz w:val="28"/>
          <w:szCs w:val="28"/>
        </w:rPr>
        <w:t>māk</w:t>
      </w:r>
      <w:r w:rsidR="00C06A30" w:rsidRPr="003F18F0">
        <w:rPr>
          <w:rFonts w:ascii="Times New Roman" w:hAnsi="Times New Roman" w:cs="Times New Roman"/>
          <w:color w:val="000000" w:themeColor="text1"/>
          <w:sz w:val="28"/>
          <w:szCs w:val="28"/>
        </w:rPr>
        <w:t> </w:t>
      </w:r>
      <w:r w:rsidR="00FB5F13" w:rsidRPr="003F18F0">
        <w:rPr>
          <w:rFonts w:ascii="Times New Roman" w:hAnsi="Times New Roman" w:cs="Times New Roman"/>
          <w:color w:val="000000" w:themeColor="text1"/>
          <w:sz w:val="28"/>
          <w:szCs w:val="28"/>
        </w:rPr>
        <w:t>–</w:t>
      </w:r>
      <w:r w:rsidR="00C06A30"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SEG) emisiju struktūru</w:t>
      </w:r>
      <w:r w:rsidR="00C06A30"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 xml:space="preserve">Latvijā lielākās emisijas aptver SEG emisijas no </w:t>
      </w:r>
      <w:r w:rsidRPr="003F18F0">
        <w:rPr>
          <w:rFonts w:ascii="Times New Roman" w:eastAsia="Times New Roman" w:hAnsi="Times New Roman" w:cs="Times New Roman"/>
          <w:color w:val="000000" w:themeColor="text1"/>
          <w:sz w:val="28"/>
          <w:szCs w:val="28"/>
        </w:rPr>
        <w:t>ES ETS neiekļautajā</w:t>
      </w:r>
      <w:r w:rsidR="00C06A30" w:rsidRPr="003F18F0">
        <w:rPr>
          <w:rFonts w:ascii="Times New Roman" w:eastAsia="Times New Roman" w:hAnsi="Times New Roman" w:cs="Times New Roman"/>
          <w:color w:val="000000" w:themeColor="text1"/>
          <w:sz w:val="28"/>
          <w:szCs w:val="28"/>
        </w:rPr>
        <w:t>m</w:t>
      </w:r>
      <w:r w:rsidRPr="003F18F0">
        <w:rPr>
          <w:rFonts w:ascii="Times New Roman" w:eastAsia="Times New Roman" w:hAnsi="Times New Roman" w:cs="Times New Roman"/>
          <w:color w:val="000000" w:themeColor="text1"/>
          <w:sz w:val="28"/>
          <w:szCs w:val="28"/>
        </w:rPr>
        <w:t xml:space="preserve"> darbībām (turpmāk</w:t>
      </w:r>
      <w:r w:rsidR="00C06A30" w:rsidRPr="003F18F0">
        <w:rPr>
          <w:rFonts w:ascii="Times New Roman" w:eastAsia="Times New Roman" w:hAnsi="Times New Roman" w:cs="Times New Roman"/>
          <w:color w:val="000000" w:themeColor="text1"/>
          <w:sz w:val="28"/>
          <w:szCs w:val="28"/>
        </w:rPr>
        <w:t> </w:t>
      </w:r>
      <w:r w:rsidRPr="003F18F0">
        <w:rPr>
          <w:rFonts w:ascii="Times New Roman" w:eastAsia="Times New Roman" w:hAnsi="Times New Roman" w:cs="Times New Roman"/>
          <w:color w:val="000000" w:themeColor="text1"/>
          <w:sz w:val="28"/>
          <w:szCs w:val="28"/>
        </w:rPr>
        <w:t>–</w:t>
      </w:r>
      <w:r w:rsidR="00C06A30" w:rsidRPr="003F18F0">
        <w:rPr>
          <w:rFonts w:ascii="Times New Roman" w:eastAsia="Times New Roman" w:hAnsi="Times New Roman" w:cs="Times New Roman"/>
          <w:color w:val="000000" w:themeColor="text1"/>
          <w:sz w:val="28"/>
          <w:szCs w:val="28"/>
        </w:rPr>
        <w:t> </w:t>
      </w:r>
      <w:r w:rsidRPr="003F18F0">
        <w:rPr>
          <w:rFonts w:ascii="Times New Roman" w:eastAsia="Times New Roman" w:hAnsi="Times New Roman" w:cs="Times New Roman"/>
          <w:color w:val="000000" w:themeColor="text1"/>
          <w:sz w:val="28"/>
          <w:szCs w:val="28"/>
        </w:rPr>
        <w:t>ne-ETS). Ja ES ETS SEG mērķa sasniegšanas izpildei noteikta ES ETS operatoru atbildība</w:t>
      </w:r>
      <w:r w:rsidR="00735F49" w:rsidRPr="003F18F0">
        <w:rPr>
          <w:rFonts w:ascii="Times New Roman" w:eastAsia="Times New Roman" w:hAnsi="Times New Roman" w:cs="Times New Roman"/>
          <w:color w:val="000000" w:themeColor="text1"/>
          <w:sz w:val="28"/>
          <w:szCs w:val="28"/>
        </w:rPr>
        <w:t>, tad ne-ETS mērķa izpildes saistības ir pārdalītas katrai ES dalībvalstij, t.sk. Latvijas valstij.</w:t>
      </w:r>
    </w:p>
    <w:p w14:paraId="0B7EEB2E" w14:textId="77777777" w:rsidR="00C81EB7" w:rsidRPr="000746C5" w:rsidRDefault="00C81EB7" w:rsidP="00C81EB7">
      <w:pPr>
        <w:spacing w:before="120" w:after="120" w:line="240" w:lineRule="auto"/>
        <w:ind w:firstLine="720"/>
        <w:jc w:val="both"/>
        <w:rPr>
          <w:rFonts w:ascii="Times New Roman" w:hAnsi="Times New Roman" w:cs="Times New Roman"/>
          <w:bCs/>
          <w:color w:val="000000" w:themeColor="text1"/>
          <w:sz w:val="28"/>
          <w:szCs w:val="28"/>
        </w:rPr>
      </w:pPr>
      <w:r w:rsidRPr="00791C27">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791C27">
        <w:rPr>
          <w:rFonts w:ascii="Times New Roman" w:hAnsi="Times New Roman" w:cs="Times New Roman"/>
          <w:color w:val="000000" w:themeColor="text1"/>
          <w:sz w:val="28"/>
          <w:szCs w:val="28"/>
        </w:rPr>
        <w:t>. gadā Latvijas kopējā SEG emisiju apjomā dominēja ne-ETS darbību SEG emisijas – </w:t>
      </w:r>
      <w:r>
        <w:rPr>
          <w:rFonts w:ascii="Times New Roman" w:hAnsi="Times New Roman" w:cs="Times New Roman"/>
          <w:color w:val="000000" w:themeColor="text1"/>
          <w:sz w:val="28"/>
          <w:szCs w:val="28"/>
        </w:rPr>
        <w:t>78</w:t>
      </w:r>
      <w:r w:rsidRPr="00791C27">
        <w:rPr>
          <w:rFonts w:ascii="Times New Roman" w:hAnsi="Times New Roman" w:cs="Times New Roman"/>
          <w:color w:val="000000" w:themeColor="text1"/>
          <w:sz w:val="28"/>
          <w:szCs w:val="28"/>
        </w:rPr>
        <w:t> %. Lielākie ne-ETS SEG emisiju avoti ir transporta sektors (29 %</w:t>
      </w:r>
      <w:r>
        <w:rPr>
          <w:rFonts w:ascii="Times New Roman" w:hAnsi="Times New Roman" w:cs="Times New Roman"/>
          <w:color w:val="000000" w:themeColor="text1"/>
          <w:sz w:val="28"/>
          <w:szCs w:val="28"/>
        </w:rPr>
        <w:t xml:space="preserve"> no kopējām emisijām</w:t>
      </w:r>
      <w:r w:rsidRPr="00791C27">
        <w:rPr>
          <w:rFonts w:ascii="Times New Roman" w:hAnsi="Times New Roman" w:cs="Times New Roman"/>
          <w:color w:val="000000" w:themeColor="text1"/>
          <w:sz w:val="28"/>
          <w:szCs w:val="28"/>
        </w:rPr>
        <w:t>), lauksaimniecības sektors (2</w:t>
      </w:r>
      <w:r>
        <w:rPr>
          <w:rFonts w:ascii="Times New Roman" w:hAnsi="Times New Roman" w:cs="Times New Roman"/>
          <w:color w:val="000000" w:themeColor="text1"/>
          <w:sz w:val="28"/>
          <w:szCs w:val="28"/>
        </w:rPr>
        <w:t>2</w:t>
      </w:r>
      <w:r w:rsidRPr="00791C27">
        <w:rPr>
          <w:rFonts w:ascii="Times New Roman" w:hAnsi="Times New Roman" w:cs="Times New Roman"/>
          <w:color w:val="000000" w:themeColor="text1"/>
          <w:sz w:val="28"/>
          <w:szCs w:val="28"/>
        </w:rPr>
        <w:t> %) un cita ne-ETS enerģētika (1</w:t>
      </w:r>
      <w:r>
        <w:rPr>
          <w:rFonts w:ascii="Times New Roman" w:hAnsi="Times New Roman" w:cs="Times New Roman"/>
          <w:color w:val="000000" w:themeColor="text1"/>
          <w:sz w:val="28"/>
          <w:szCs w:val="28"/>
        </w:rPr>
        <w:t>5</w:t>
      </w:r>
      <w:r w:rsidRPr="00791C27">
        <w:rPr>
          <w:rFonts w:ascii="Times New Roman" w:hAnsi="Times New Roman" w:cs="Times New Roman"/>
          <w:color w:val="000000" w:themeColor="text1"/>
          <w:sz w:val="28"/>
          <w:szCs w:val="28"/>
        </w:rPr>
        <w:t xml:space="preserve"> %). Balstoties uz </w:t>
      </w:r>
      <w:r>
        <w:rPr>
          <w:rFonts w:ascii="Times New Roman" w:hAnsi="Times New Roman" w:cs="Times New Roman"/>
          <w:color w:val="000000" w:themeColor="text1"/>
          <w:sz w:val="28"/>
          <w:szCs w:val="28"/>
        </w:rPr>
        <w:t>2020. gada 29. aprīlī</w:t>
      </w:r>
      <w:r w:rsidRPr="00791C27">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EK iesniegto </w:t>
      </w:r>
      <w:r w:rsidRPr="00791C27">
        <w:rPr>
          <w:rFonts w:ascii="Times New Roman" w:hAnsi="Times New Roman" w:cs="Times New Roman"/>
          <w:color w:val="000000" w:themeColor="text1"/>
          <w:sz w:val="28"/>
          <w:szCs w:val="28"/>
        </w:rPr>
        <w:t>ziņojumu par SEG prognozēm, politiku un pasākumiem</w:t>
      </w:r>
      <w:r w:rsidRPr="00791C27">
        <w:rPr>
          <w:rStyle w:val="FootnoteReference"/>
          <w:rFonts w:ascii="Times New Roman" w:hAnsi="Times New Roman" w:cs="Times New Roman"/>
          <w:color w:val="000000" w:themeColor="text1"/>
          <w:sz w:val="28"/>
          <w:szCs w:val="28"/>
        </w:rPr>
        <w:footnoteReference w:id="7"/>
      </w:r>
      <w:r w:rsidRPr="00791C27">
        <w:rPr>
          <w:rFonts w:ascii="Times New Roman" w:hAnsi="Times New Roman" w:cs="Times New Roman"/>
          <w:color w:val="000000" w:themeColor="text1"/>
          <w:sz w:val="28"/>
          <w:szCs w:val="28"/>
        </w:rPr>
        <w:t xml:space="preserve"> ir secināms, ka Latvija izpildīs ikgadējos ne-ETS darbību SEG emisiju mērķus visiem gadiem periodā līdz </w:t>
      </w:r>
      <w:r w:rsidRPr="00791C27">
        <w:rPr>
          <w:rFonts w:ascii="Times New Roman" w:hAnsi="Times New Roman" w:cs="Times New Roman"/>
          <w:color w:val="000000" w:themeColor="text1"/>
          <w:sz w:val="28"/>
          <w:szCs w:val="28"/>
        </w:rPr>
        <w:lastRenderedPageBreak/>
        <w:t>2020. gadam un izpildīs Saistību pārdales lēmumā</w:t>
      </w:r>
      <w:r w:rsidRPr="00791C27">
        <w:rPr>
          <w:rStyle w:val="FootnoteReference"/>
          <w:rFonts w:ascii="Times New Roman" w:hAnsi="Times New Roman" w:cs="Times New Roman"/>
          <w:color w:val="000000" w:themeColor="text1"/>
          <w:sz w:val="28"/>
          <w:szCs w:val="28"/>
        </w:rPr>
        <w:footnoteReference w:id="8"/>
      </w:r>
      <w:r w:rsidRPr="00791C27">
        <w:rPr>
          <w:rFonts w:ascii="Times New Roman" w:hAnsi="Times New Roman" w:cs="Times New Roman"/>
          <w:color w:val="000000" w:themeColor="text1"/>
          <w:sz w:val="28"/>
          <w:szCs w:val="28"/>
        </w:rPr>
        <w:t xml:space="preserve"> noteikto 2020. gada ne-ETS darbību SEG emisiju mērķi. </w:t>
      </w:r>
      <w:r w:rsidRPr="00535040">
        <w:rPr>
          <w:rFonts w:ascii="Times New Roman" w:hAnsi="Times New Roman" w:cs="Times New Roman"/>
          <w:color w:val="000000" w:themeColor="text1"/>
          <w:sz w:val="28"/>
          <w:szCs w:val="28"/>
        </w:rPr>
        <w:t>Latvija</w:t>
      </w:r>
      <w:r>
        <w:rPr>
          <w:rFonts w:ascii="Times New Roman" w:hAnsi="Times New Roman" w:cs="Times New Roman"/>
          <w:color w:val="000000" w:themeColor="text1"/>
          <w:sz w:val="28"/>
          <w:szCs w:val="28"/>
        </w:rPr>
        <w:t>,</w:t>
      </w:r>
      <w:r w:rsidRPr="005350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iespējams,</w:t>
      </w:r>
      <w:r w:rsidRPr="00535040">
        <w:rPr>
          <w:rFonts w:ascii="Times New Roman" w:hAnsi="Times New Roman" w:cs="Times New Roman"/>
          <w:color w:val="000000" w:themeColor="text1"/>
          <w:sz w:val="28"/>
          <w:szCs w:val="28"/>
        </w:rPr>
        <w:t xml:space="preserve"> nodrošinā</w:t>
      </w:r>
      <w:r>
        <w:rPr>
          <w:rFonts w:ascii="Times New Roman" w:hAnsi="Times New Roman" w:cs="Times New Roman"/>
          <w:color w:val="000000" w:themeColor="text1"/>
          <w:sz w:val="28"/>
          <w:szCs w:val="28"/>
        </w:rPr>
        <w:t>s</w:t>
      </w:r>
      <w:r>
        <w:rPr>
          <w:rStyle w:val="FootnoteReference"/>
          <w:rFonts w:ascii="Times New Roman" w:hAnsi="Times New Roman" w:cs="Times New Roman"/>
          <w:color w:val="000000" w:themeColor="text1"/>
          <w:sz w:val="28"/>
          <w:szCs w:val="28"/>
        </w:rPr>
        <w:footnoteReference w:id="9"/>
      </w:r>
      <w:r w:rsidRPr="005350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arī </w:t>
      </w:r>
      <w:r w:rsidRPr="00535040">
        <w:rPr>
          <w:rFonts w:ascii="Times New Roman" w:hAnsi="Times New Roman" w:cs="Times New Roman"/>
          <w:color w:val="000000" w:themeColor="text1"/>
          <w:sz w:val="28"/>
          <w:szCs w:val="28"/>
        </w:rPr>
        <w:t>līdz 2030. gadam noteiktā mērķa</w:t>
      </w:r>
      <w:r>
        <w:rPr>
          <w:rFonts w:ascii="Times New Roman" w:hAnsi="Times New Roman" w:cs="Times New Roman"/>
          <w:color w:val="000000" w:themeColor="text1"/>
          <w:sz w:val="28"/>
          <w:szCs w:val="28"/>
        </w:rPr>
        <w:t> </w:t>
      </w:r>
      <w:r w:rsidRPr="00535040">
        <w:rPr>
          <w:rFonts w:ascii="Times New Roman" w:hAnsi="Times New Roman" w:cs="Times New Roman"/>
          <w:color w:val="000000" w:themeColor="text1"/>
          <w:sz w:val="28"/>
          <w:szCs w:val="28"/>
        </w:rPr>
        <w:t>– 6 %</w:t>
      </w:r>
      <w:r>
        <w:rPr>
          <w:rStyle w:val="FootnoteReference"/>
          <w:rFonts w:ascii="Times New Roman" w:hAnsi="Times New Roman" w:cs="Times New Roman"/>
          <w:color w:val="000000" w:themeColor="text1"/>
          <w:sz w:val="28"/>
          <w:szCs w:val="28"/>
        </w:rPr>
        <w:footnoteReference w:id="10"/>
      </w:r>
      <w:r w:rsidRPr="00535040">
        <w:rPr>
          <w:rFonts w:ascii="Times New Roman" w:hAnsi="Times New Roman" w:cs="Times New Roman"/>
          <w:color w:val="000000" w:themeColor="text1"/>
          <w:sz w:val="28"/>
          <w:szCs w:val="28"/>
        </w:rPr>
        <w:t xml:space="preserve"> pret 2005. gadu sasniegšanu 2030. gadā ne-ETS sektorā scenārijā </w:t>
      </w:r>
      <w:r>
        <w:rPr>
          <w:rFonts w:ascii="Times New Roman" w:hAnsi="Times New Roman" w:cs="Times New Roman"/>
          <w:color w:val="000000" w:themeColor="text1"/>
          <w:sz w:val="28"/>
          <w:szCs w:val="28"/>
        </w:rPr>
        <w:t>“</w:t>
      </w:r>
      <w:r w:rsidRPr="00535040">
        <w:rPr>
          <w:rFonts w:ascii="Times New Roman" w:hAnsi="Times New Roman" w:cs="Times New Roman"/>
          <w:color w:val="000000" w:themeColor="text1"/>
          <w:sz w:val="28"/>
          <w:szCs w:val="28"/>
        </w:rPr>
        <w:t>ar pasākumiem</w:t>
      </w:r>
      <w:r>
        <w:rPr>
          <w:rFonts w:ascii="Times New Roman" w:hAnsi="Times New Roman" w:cs="Times New Roman"/>
          <w:color w:val="000000" w:themeColor="text1"/>
          <w:sz w:val="28"/>
          <w:szCs w:val="28"/>
        </w:rPr>
        <w:t>”</w:t>
      </w:r>
      <w:r w:rsidRPr="00535040">
        <w:rPr>
          <w:rFonts w:ascii="Times New Roman" w:hAnsi="Times New Roman" w:cs="Times New Roman"/>
          <w:color w:val="000000" w:themeColor="text1"/>
          <w:sz w:val="28"/>
          <w:szCs w:val="28"/>
        </w:rPr>
        <w:t>.</w:t>
      </w:r>
    </w:p>
    <w:p w14:paraId="102CA334" w14:textId="77777777" w:rsidR="007343E4" w:rsidRPr="003F18F0" w:rsidRDefault="007343E4" w:rsidP="00987C6B">
      <w:pPr>
        <w:spacing w:after="0" w:line="240" w:lineRule="auto"/>
        <w:ind w:right="-1"/>
        <w:rPr>
          <w:rFonts w:ascii="Times New Roman" w:eastAsia="Times New Roman" w:hAnsi="Times New Roman" w:cs="Times New Roman"/>
          <w:color w:val="000000" w:themeColor="text1"/>
          <w:sz w:val="28"/>
          <w:szCs w:val="28"/>
        </w:rPr>
      </w:pPr>
    </w:p>
    <w:p w14:paraId="612AD97A" w14:textId="725B11D3" w:rsidR="008443BA" w:rsidRPr="00791C27" w:rsidRDefault="001B24E1" w:rsidP="00987C6B">
      <w:pPr>
        <w:spacing w:after="0" w:line="240" w:lineRule="auto"/>
        <w:ind w:right="-1"/>
        <w:jc w:val="center"/>
        <w:rPr>
          <w:rFonts w:ascii="Times New Roman" w:hAnsi="Times New Roman" w:cs="Times New Roman"/>
          <w:color w:val="000000" w:themeColor="text1"/>
          <w:sz w:val="28"/>
          <w:szCs w:val="28"/>
        </w:rPr>
      </w:pPr>
      <w:r w:rsidRPr="002366B5">
        <w:rPr>
          <w:rFonts w:ascii="Times New Roman" w:hAnsi="Times New Roman" w:cs="Times New Roman"/>
          <w:noProof/>
          <w:color w:val="000000" w:themeColor="text1"/>
          <w:sz w:val="28"/>
          <w:szCs w:val="28"/>
          <w:lang w:eastAsia="lv-LV"/>
        </w:rPr>
        <w:drawing>
          <wp:inline distT="0" distB="0" distL="0" distR="0" wp14:anchorId="1BED1A76" wp14:editId="441E286F">
            <wp:extent cx="5760085"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3657600"/>
                    </a:xfrm>
                    <a:prstGeom prst="rect">
                      <a:avLst/>
                    </a:prstGeom>
                  </pic:spPr>
                </pic:pic>
              </a:graphicData>
            </a:graphic>
          </wp:inline>
        </w:drawing>
      </w:r>
      <w:r w:rsidR="007343E4" w:rsidRPr="00791C27">
        <w:rPr>
          <w:rFonts w:ascii="Times New Roman" w:hAnsi="Times New Roman" w:cs="Times New Roman"/>
          <w:color w:val="000000" w:themeColor="text1"/>
          <w:sz w:val="28"/>
          <w:szCs w:val="28"/>
        </w:rPr>
        <w:t>Attēls Nr.</w:t>
      </w:r>
      <w:r w:rsidR="00D4076C" w:rsidRPr="00791C27">
        <w:rPr>
          <w:rFonts w:ascii="Times New Roman" w:hAnsi="Times New Roman" w:cs="Times New Roman"/>
          <w:color w:val="000000" w:themeColor="text1"/>
          <w:sz w:val="28"/>
          <w:szCs w:val="28"/>
        </w:rPr>
        <w:t> </w:t>
      </w:r>
      <w:r w:rsidR="007343E4" w:rsidRPr="00791C27">
        <w:rPr>
          <w:rFonts w:ascii="Times New Roman" w:hAnsi="Times New Roman" w:cs="Times New Roman"/>
          <w:color w:val="000000" w:themeColor="text1"/>
          <w:sz w:val="28"/>
          <w:szCs w:val="28"/>
        </w:rPr>
        <w:t xml:space="preserve">2. Latvijas SEG emisiju avotu struktūra </w:t>
      </w:r>
      <w:r w:rsidRPr="00791C27">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007343E4" w:rsidRPr="00791C27">
        <w:rPr>
          <w:rFonts w:ascii="Times New Roman" w:hAnsi="Times New Roman" w:cs="Times New Roman"/>
          <w:color w:val="000000" w:themeColor="text1"/>
          <w:sz w:val="28"/>
          <w:szCs w:val="28"/>
        </w:rPr>
        <w:t>.</w:t>
      </w:r>
      <w:r w:rsidR="00D4076C" w:rsidRPr="00791C27">
        <w:rPr>
          <w:rFonts w:ascii="Times New Roman" w:hAnsi="Times New Roman" w:cs="Times New Roman"/>
          <w:color w:val="000000" w:themeColor="text1"/>
          <w:sz w:val="28"/>
          <w:szCs w:val="28"/>
        </w:rPr>
        <w:t> </w:t>
      </w:r>
      <w:r w:rsidR="007343E4" w:rsidRPr="00791C27">
        <w:rPr>
          <w:rFonts w:ascii="Times New Roman" w:hAnsi="Times New Roman" w:cs="Times New Roman"/>
          <w:color w:val="000000" w:themeColor="text1"/>
          <w:sz w:val="28"/>
          <w:szCs w:val="28"/>
        </w:rPr>
        <w:t>gadā</w:t>
      </w:r>
    </w:p>
    <w:p w14:paraId="6766EA4A" w14:textId="77777777" w:rsidR="00D4076C" w:rsidRPr="00791C27" w:rsidRDefault="00D4076C" w:rsidP="00987C6B">
      <w:pPr>
        <w:spacing w:after="0" w:line="240" w:lineRule="auto"/>
        <w:ind w:right="-1" w:firstLine="567"/>
        <w:jc w:val="both"/>
        <w:rPr>
          <w:rFonts w:ascii="Times New Roman" w:hAnsi="Times New Roman" w:cs="Times New Roman"/>
          <w:color w:val="000000" w:themeColor="text1"/>
          <w:sz w:val="28"/>
          <w:szCs w:val="28"/>
        </w:rPr>
      </w:pPr>
    </w:p>
    <w:p w14:paraId="10C3A09A" w14:textId="030F18DF" w:rsidR="00BF4134" w:rsidRPr="007569C7" w:rsidRDefault="006E76E0" w:rsidP="00F87FDC">
      <w:pPr>
        <w:spacing w:after="0" w:line="240" w:lineRule="auto"/>
        <w:ind w:firstLine="567"/>
        <w:jc w:val="both"/>
        <w:rPr>
          <w:rFonts w:ascii="Times New Roman" w:hAnsi="Times New Roman" w:cs="Times New Roman"/>
          <w:sz w:val="28"/>
          <w:szCs w:val="28"/>
          <w:shd w:val="clear" w:color="auto" w:fill="FFFFFF"/>
        </w:rPr>
      </w:pPr>
      <w:r w:rsidRPr="00856636">
        <w:rPr>
          <w:rFonts w:ascii="Times New Roman" w:hAnsi="Times New Roman" w:cs="Times New Roman"/>
          <w:color w:val="000000" w:themeColor="text1"/>
          <w:sz w:val="28"/>
          <w:szCs w:val="28"/>
        </w:rPr>
        <w:t>2019.</w:t>
      </w:r>
      <w:r w:rsidR="00FD1EBE">
        <w:rPr>
          <w:rFonts w:ascii="Times New Roman" w:hAnsi="Times New Roman" w:cs="Times New Roman"/>
          <w:color w:val="000000" w:themeColor="text1"/>
          <w:sz w:val="28"/>
          <w:szCs w:val="28"/>
        </w:rPr>
        <w:t> </w:t>
      </w:r>
      <w:r w:rsidRPr="00856636">
        <w:rPr>
          <w:rFonts w:ascii="Times New Roman" w:hAnsi="Times New Roman" w:cs="Times New Roman"/>
          <w:color w:val="000000" w:themeColor="text1"/>
          <w:sz w:val="28"/>
          <w:szCs w:val="28"/>
        </w:rPr>
        <w:t>gada 12.</w:t>
      </w:r>
      <w:r w:rsidR="00FD1EBE">
        <w:rPr>
          <w:rFonts w:ascii="Times New Roman" w:hAnsi="Times New Roman" w:cs="Times New Roman"/>
          <w:color w:val="000000" w:themeColor="text1"/>
          <w:sz w:val="28"/>
          <w:szCs w:val="28"/>
        </w:rPr>
        <w:t> </w:t>
      </w:r>
      <w:r w:rsidRPr="00856636">
        <w:rPr>
          <w:rFonts w:ascii="Times New Roman" w:hAnsi="Times New Roman" w:cs="Times New Roman"/>
          <w:color w:val="000000" w:themeColor="text1"/>
          <w:sz w:val="28"/>
          <w:szCs w:val="28"/>
        </w:rPr>
        <w:t xml:space="preserve">decembrī EK nāca klajā ar paziņojumu par Eiropas zaļo kursu. Eiropas zaļais kurss ir </w:t>
      </w:r>
      <w:r w:rsidRPr="0070562E">
        <w:rPr>
          <w:rFonts w:ascii="Times New Roman" w:hAnsi="Times New Roman" w:cs="Times New Roman"/>
          <w:color w:val="444444"/>
          <w:sz w:val="28"/>
          <w:szCs w:val="28"/>
          <w:shd w:val="clear" w:color="auto" w:fill="FFFFFF"/>
        </w:rPr>
        <w:t>jauna izaugsmes stratēģija, kas tiecas</w:t>
      </w:r>
      <w:r w:rsidR="00FD1EBE">
        <w:rPr>
          <w:rFonts w:ascii="Times New Roman" w:hAnsi="Times New Roman" w:cs="Times New Roman"/>
          <w:color w:val="444444"/>
          <w:sz w:val="28"/>
          <w:szCs w:val="28"/>
          <w:shd w:val="clear" w:color="auto" w:fill="FFFFFF"/>
        </w:rPr>
        <w:t xml:space="preserve"> </w:t>
      </w:r>
      <w:r w:rsidRPr="0070562E">
        <w:rPr>
          <w:rFonts w:ascii="Times New Roman" w:hAnsi="Times New Roman" w:cs="Times New Roman"/>
          <w:color w:val="444444"/>
          <w:sz w:val="28"/>
          <w:szCs w:val="28"/>
          <w:shd w:val="clear" w:color="auto" w:fill="FFFFFF"/>
        </w:rPr>
        <w:t xml:space="preserve">ES pārveidot par </w:t>
      </w:r>
      <w:r w:rsidRPr="007569C7">
        <w:rPr>
          <w:rFonts w:ascii="Times New Roman" w:hAnsi="Times New Roman" w:cs="Times New Roman"/>
          <w:sz w:val="28"/>
          <w:szCs w:val="28"/>
          <w:shd w:val="clear" w:color="auto" w:fill="FFFFFF"/>
        </w:rPr>
        <w:t xml:space="preserve">taisnīgu un pārticīgu sabiedrību ar mūsdienīgu, </w:t>
      </w:r>
      <w:proofErr w:type="spellStart"/>
      <w:r w:rsidRPr="007569C7">
        <w:rPr>
          <w:rFonts w:ascii="Times New Roman" w:hAnsi="Times New Roman" w:cs="Times New Roman"/>
          <w:sz w:val="28"/>
          <w:szCs w:val="28"/>
          <w:shd w:val="clear" w:color="auto" w:fill="FFFFFF"/>
        </w:rPr>
        <w:t>resursefektīvu</w:t>
      </w:r>
      <w:proofErr w:type="spellEnd"/>
      <w:r w:rsidRPr="007569C7">
        <w:rPr>
          <w:rFonts w:ascii="Times New Roman" w:hAnsi="Times New Roman" w:cs="Times New Roman"/>
          <w:sz w:val="28"/>
          <w:szCs w:val="28"/>
          <w:shd w:val="clear" w:color="auto" w:fill="FFFFFF"/>
        </w:rPr>
        <w:t xml:space="preserve"> un konkurētspējīgu ekonomiku, kurā</w:t>
      </w:r>
      <w:r w:rsidR="00FD1EBE" w:rsidRPr="007569C7">
        <w:rPr>
          <w:rFonts w:ascii="Times New Roman" w:hAnsi="Times New Roman" w:cs="Times New Roman"/>
          <w:sz w:val="28"/>
          <w:szCs w:val="28"/>
          <w:shd w:val="clear" w:color="auto" w:fill="FFFFFF"/>
        </w:rPr>
        <w:t xml:space="preserve"> </w:t>
      </w:r>
      <w:r w:rsidR="002270CB">
        <w:rPr>
          <w:rFonts w:ascii="Times New Roman" w:hAnsi="Times New Roman" w:cs="Times New Roman"/>
          <w:sz w:val="28"/>
          <w:szCs w:val="28"/>
          <w:shd w:val="clear" w:color="auto" w:fill="FFFFFF"/>
        </w:rPr>
        <w:t>SEG</w:t>
      </w:r>
      <w:r w:rsidRPr="007569C7">
        <w:rPr>
          <w:rFonts w:ascii="Times New Roman" w:hAnsi="Times New Roman" w:cs="Times New Roman"/>
          <w:sz w:val="28"/>
          <w:szCs w:val="28"/>
          <w:shd w:val="clear" w:color="auto" w:fill="FFFFFF"/>
        </w:rPr>
        <w:t xml:space="preserve"> neto emisijas 2050. gadā samazinātos līdz nullei un ekonomiskā izaugsme būtu atsaistīta no resursu patēriņa.</w:t>
      </w:r>
      <w:r w:rsidR="00FD1EBE" w:rsidRPr="007569C7">
        <w:rPr>
          <w:rFonts w:ascii="Times New Roman" w:hAnsi="Times New Roman" w:cs="Times New Roman"/>
          <w:sz w:val="28"/>
          <w:szCs w:val="28"/>
          <w:shd w:val="clear" w:color="auto" w:fill="FFFFFF"/>
        </w:rPr>
        <w:t xml:space="preserve"> </w:t>
      </w:r>
    </w:p>
    <w:p w14:paraId="24656083" w14:textId="4092A3B5" w:rsidR="00BF4134" w:rsidRPr="00F87FDC" w:rsidRDefault="00BF4134" w:rsidP="00F87FDC">
      <w:pPr>
        <w:spacing w:after="0" w:line="240" w:lineRule="auto"/>
        <w:ind w:firstLine="567"/>
        <w:jc w:val="both"/>
        <w:rPr>
          <w:sz w:val="28"/>
          <w:szCs w:val="28"/>
        </w:rPr>
      </w:pPr>
      <w:r w:rsidRPr="00F87FDC">
        <w:rPr>
          <w:rFonts w:ascii="Times New Roman" w:eastAsia="Times New Roman" w:hAnsi="Times New Roman" w:cs="Times New Roman"/>
          <w:color w:val="000000" w:themeColor="text1"/>
          <w:sz w:val="28"/>
          <w:szCs w:val="28"/>
        </w:rPr>
        <w:t xml:space="preserve">2020. gada 4. martā EK publicēja priekšlikumu Eiropas Parlamenta un Padomes Regulai, ar ko izveido sistēmu </w:t>
      </w:r>
      <w:proofErr w:type="spellStart"/>
      <w:r w:rsidRPr="00F87FDC">
        <w:rPr>
          <w:rFonts w:ascii="Times New Roman" w:eastAsia="Times New Roman" w:hAnsi="Times New Roman" w:cs="Times New Roman"/>
          <w:color w:val="000000" w:themeColor="text1"/>
          <w:sz w:val="28"/>
          <w:szCs w:val="28"/>
        </w:rPr>
        <w:t>klimatneitralitātes</w:t>
      </w:r>
      <w:proofErr w:type="spellEnd"/>
      <w:r w:rsidRPr="00F87FDC">
        <w:rPr>
          <w:rFonts w:ascii="Times New Roman" w:eastAsia="Times New Roman" w:hAnsi="Times New Roman" w:cs="Times New Roman"/>
          <w:color w:val="000000" w:themeColor="text1"/>
          <w:sz w:val="28"/>
          <w:szCs w:val="28"/>
        </w:rPr>
        <w:t xml:space="preserve"> sasniegšanai un groza Regulu Nr. 2018/1999/ES (ES Klimata likums)</w:t>
      </w:r>
      <w:r w:rsidRPr="00F87FDC">
        <w:rPr>
          <w:rStyle w:val="FootnoteReference"/>
          <w:rFonts w:ascii="Times New Roman" w:eastAsia="Times New Roman" w:hAnsi="Times New Roman" w:cs="Times New Roman"/>
          <w:color w:val="000000" w:themeColor="text1"/>
          <w:sz w:val="28"/>
          <w:szCs w:val="28"/>
        </w:rPr>
        <w:footnoteReference w:id="11"/>
      </w:r>
      <w:r w:rsidRPr="00F87FDC">
        <w:rPr>
          <w:rFonts w:ascii="Times New Roman" w:eastAsia="Times New Roman" w:hAnsi="Times New Roman" w:cs="Times New Roman"/>
          <w:color w:val="000000" w:themeColor="text1"/>
          <w:sz w:val="28"/>
          <w:szCs w:val="28"/>
        </w:rPr>
        <w:t xml:space="preserve">, kas paredz juridiski saistošā veidā nostiprināt SEG emisiju samazināšanas mērķus, t.sk., </w:t>
      </w:r>
      <w:proofErr w:type="spellStart"/>
      <w:r w:rsidRPr="00F87FDC">
        <w:rPr>
          <w:rFonts w:ascii="Times New Roman" w:eastAsia="Times New Roman" w:hAnsi="Times New Roman" w:cs="Times New Roman"/>
          <w:color w:val="000000" w:themeColor="text1"/>
          <w:sz w:val="28"/>
          <w:szCs w:val="28"/>
        </w:rPr>
        <w:t>klimatneitralitātes</w:t>
      </w:r>
      <w:proofErr w:type="spellEnd"/>
      <w:r w:rsidRPr="00F87FDC">
        <w:rPr>
          <w:rFonts w:ascii="Times New Roman" w:eastAsia="Times New Roman" w:hAnsi="Times New Roman" w:cs="Times New Roman"/>
          <w:color w:val="000000" w:themeColor="text1"/>
          <w:sz w:val="28"/>
          <w:szCs w:val="28"/>
        </w:rPr>
        <w:t xml:space="preserve"> sasniegšanas mērķi 2050. gadā.</w:t>
      </w:r>
    </w:p>
    <w:p w14:paraId="0CF09E33" w14:textId="66BB8C4B" w:rsidR="00BF4134" w:rsidRPr="00F87FDC" w:rsidRDefault="00BF4134" w:rsidP="00F87FDC">
      <w:pPr>
        <w:spacing w:after="0" w:line="240" w:lineRule="auto"/>
        <w:ind w:firstLine="567"/>
        <w:jc w:val="both"/>
        <w:rPr>
          <w:sz w:val="28"/>
          <w:szCs w:val="28"/>
        </w:rPr>
      </w:pPr>
      <w:r w:rsidRPr="00F87FDC">
        <w:rPr>
          <w:rFonts w:ascii="Times New Roman" w:eastAsia="Times New Roman" w:hAnsi="Times New Roman" w:cs="Times New Roman"/>
          <w:sz w:val="28"/>
          <w:szCs w:val="28"/>
        </w:rPr>
        <w:lastRenderedPageBreak/>
        <w:t xml:space="preserve">Atbilstoši 2020. gada 17. septembrī publicētajam </w:t>
      </w:r>
      <w:r w:rsidRPr="00F87FDC">
        <w:rPr>
          <w:rFonts w:ascii="Times New Roman" w:eastAsia="Times New Roman" w:hAnsi="Times New Roman" w:cs="Times New Roman"/>
          <w:color w:val="000000" w:themeColor="text1"/>
          <w:sz w:val="28"/>
          <w:szCs w:val="28"/>
        </w:rPr>
        <w:t xml:space="preserve">“Eiropas 2030. gada klimata politikas ieceru kāpināšana. Investīcijas </w:t>
      </w:r>
      <w:proofErr w:type="spellStart"/>
      <w:r w:rsidRPr="00F87FDC">
        <w:rPr>
          <w:rFonts w:ascii="Times New Roman" w:eastAsia="Times New Roman" w:hAnsi="Times New Roman" w:cs="Times New Roman"/>
          <w:color w:val="000000" w:themeColor="text1"/>
          <w:sz w:val="28"/>
          <w:szCs w:val="28"/>
        </w:rPr>
        <w:t>klimatneitrālā</w:t>
      </w:r>
      <w:proofErr w:type="spellEnd"/>
      <w:r w:rsidRPr="00F87FDC">
        <w:rPr>
          <w:rFonts w:ascii="Times New Roman" w:eastAsia="Times New Roman" w:hAnsi="Times New Roman" w:cs="Times New Roman"/>
          <w:color w:val="000000" w:themeColor="text1"/>
          <w:sz w:val="28"/>
          <w:szCs w:val="28"/>
        </w:rPr>
        <w:t xml:space="preserve"> nākotnē iedzīvotāju labā”</w:t>
      </w:r>
      <w:r w:rsidRPr="00F87FDC">
        <w:rPr>
          <w:rStyle w:val="FootnoteReference"/>
          <w:rFonts w:ascii="Times New Roman" w:eastAsia="Times New Roman" w:hAnsi="Times New Roman" w:cs="Times New Roman"/>
          <w:color w:val="000000" w:themeColor="text1"/>
          <w:sz w:val="28"/>
          <w:szCs w:val="28"/>
        </w:rPr>
        <w:footnoteReference w:id="12"/>
      </w:r>
      <w:r w:rsidRPr="00F87FDC">
        <w:rPr>
          <w:rFonts w:ascii="Times New Roman" w:eastAsia="Times New Roman" w:hAnsi="Times New Roman" w:cs="Times New Roman"/>
          <w:color w:val="000000" w:themeColor="text1"/>
          <w:sz w:val="28"/>
          <w:szCs w:val="28"/>
        </w:rPr>
        <w:t xml:space="preserve"> p</w:t>
      </w:r>
      <w:r w:rsidRPr="00F87FDC">
        <w:rPr>
          <w:rFonts w:ascii="Times New Roman" w:eastAsia="Times New Roman" w:hAnsi="Times New Roman" w:cs="Times New Roman"/>
          <w:sz w:val="28"/>
          <w:szCs w:val="28"/>
        </w:rPr>
        <w:t>aziņojumam</w:t>
      </w:r>
      <w:r w:rsidRPr="00BF4134">
        <w:rPr>
          <w:rFonts w:ascii="Times New Roman" w:eastAsia="Times New Roman" w:hAnsi="Times New Roman" w:cs="Times New Roman"/>
          <w:sz w:val="28"/>
          <w:szCs w:val="28"/>
        </w:rPr>
        <w:t xml:space="preserve"> (turpmāk</w:t>
      </w:r>
      <w:r w:rsidR="00126F41">
        <w:rPr>
          <w:rFonts w:ascii="Times New Roman" w:eastAsia="Times New Roman" w:hAnsi="Times New Roman" w:cs="Times New Roman"/>
          <w:sz w:val="28"/>
          <w:szCs w:val="28"/>
        </w:rPr>
        <w:t>–</w:t>
      </w:r>
      <w:r w:rsidRPr="00BF4134">
        <w:rPr>
          <w:rFonts w:ascii="Times New Roman" w:eastAsia="Times New Roman" w:hAnsi="Times New Roman" w:cs="Times New Roman"/>
          <w:sz w:val="28"/>
          <w:szCs w:val="28"/>
        </w:rPr>
        <w:t>Paziņojums)</w:t>
      </w:r>
      <w:r w:rsidRPr="00F87FDC">
        <w:rPr>
          <w:rFonts w:ascii="Times New Roman" w:eastAsia="Times New Roman" w:hAnsi="Times New Roman" w:cs="Times New Roman"/>
          <w:sz w:val="28"/>
          <w:szCs w:val="28"/>
        </w:rPr>
        <w:t xml:space="preserve">, EK ir sagatavojusi jaunu ES Klimata likuma priekšlikumu, ar kuru rosināts paaugstināt 2030. gada ES SEG emisiju samazināšanas mērķi </w:t>
      </w:r>
      <w:r w:rsidRPr="00F87FDC">
        <w:rPr>
          <w:rFonts w:ascii="Times New Roman" w:eastAsia="Times New Roman" w:hAnsi="Times New Roman" w:cs="Times New Roman"/>
          <w:bCs/>
          <w:color w:val="000000" w:themeColor="text1"/>
          <w:sz w:val="28"/>
          <w:szCs w:val="28"/>
        </w:rPr>
        <w:t>līdz vismaz 55% 2030. gadā</w:t>
      </w:r>
      <w:r w:rsidRPr="00F87FDC">
        <w:rPr>
          <w:rFonts w:ascii="Times New Roman" w:eastAsia="Times New Roman" w:hAnsi="Times New Roman" w:cs="Times New Roman"/>
          <w:color w:val="000000" w:themeColor="text1"/>
          <w:sz w:val="28"/>
          <w:szCs w:val="28"/>
        </w:rPr>
        <w:t xml:space="preserve"> salīdzinot ar 1990. gadu, aptverot gan SEG emisijas, gan CO</w:t>
      </w:r>
      <w:r w:rsidRPr="00F87FDC">
        <w:rPr>
          <w:rFonts w:ascii="Times New Roman" w:eastAsia="Times New Roman" w:hAnsi="Times New Roman" w:cs="Times New Roman"/>
          <w:color w:val="000000" w:themeColor="text1"/>
          <w:sz w:val="28"/>
          <w:szCs w:val="28"/>
          <w:vertAlign w:val="subscript"/>
        </w:rPr>
        <w:t>2</w:t>
      </w:r>
      <w:r w:rsidRPr="00F87FDC">
        <w:rPr>
          <w:rFonts w:ascii="Times New Roman" w:eastAsia="Times New Roman" w:hAnsi="Times New Roman" w:cs="Times New Roman"/>
          <w:color w:val="000000" w:themeColor="text1"/>
          <w:sz w:val="28"/>
          <w:szCs w:val="28"/>
        </w:rPr>
        <w:t xml:space="preserve"> piesaisti (iepriekš ES Klimata likuma priekšlikumā bija noteikts </w:t>
      </w:r>
      <w:r w:rsidR="00126F41">
        <w:rPr>
          <w:rFonts w:ascii="Times New Roman" w:eastAsia="Times New Roman" w:hAnsi="Times New Roman" w:cs="Times New Roman"/>
          <w:color w:val="000000" w:themeColor="text1"/>
          <w:sz w:val="28"/>
          <w:szCs w:val="28"/>
        </w:rPr>
        <w:t>5</w:t>
      </w:r>
      <w:r w:rsidRPr="00F87FDC">
        <w:rPr>
          <w:rFonts w:ascii="Times New Roman" w:eastAsia="Times New Roman" w:hAnsi="Times New Roman" w:cs="Times New Roman"/>
          <w:color w:val="000000" w:themeColor="text1"/>
          <w:sz w:val="28"/>
          <w:szCs w:val="28"/>
        </w:rPr>
        <w:t xml:space="preserve">0-55% SEG emisiju samazinājums 2030. gadā). Paziņojums ir papildināts ar ietekmes novērtējumu, kas apliecina, ka ar atbilstošām </w:t>
      </w:r>
      <w:proofErr w:type="spellStart"/>
      <w:r w:rsidRPr="00F87FDC">
        <w:rPr>
          <w:rFonts w:ascii="Times New Roman" w:eastAsia="Times New Roman" w:hAnsi="Times New Roman" w:cs="Times New Roman"/>
          <w:color w:val="000000" w:themeColor="text1"/>
          <w:sz w:val="28"/>
          <w:szCs w:val="28"/>
        </w:rPr>
        <w:t>rīcībpolitikām</w:t>
      </w:r>
      <w:proofErr w:type="spellEnd"/>
      <w:r w:rsidRPr="00F87FDC">
        <w:rPr>
          <w:rFonts w:ascii="Times New Roman" w:eastAsia="Times New Roman" w:hAnsi="Times New Roman" w:cs="Times New Roman"/>
          <w:color w:val="000000" w:themeColor="text1"/>
          <w:sz w:val="28"/>
          <w:szCs w:val="28"/>
        </w:rPr>
        <w:t xml:space="preserve"> ir ekonomiski pamatoti ES SEG emisijas līdz 2030. gadam samazināt par vismaz 55</w:t>
      </w:r>
      <w:r w:rsidR="00126F41">
        <w:rPr>
          <w:rFonts w:ascii="Times New Roman" w:eastAsia="Times New Roman" w:hAnsi="Times New Roman" w:cs="Times New Roman"/>
          <w:color w:val="000000" w:themeColor="text1"/>
          <w:sz w:val="28"/>
          <w:szCs w:val="28"/>
        </w:rPr>
        <w:t> </w:t>
      </w:r>
      <w:r w:rsidRPr="00F87FDC">
        <w:rPr>
          <w:rFonts w:ascii="Times New Roman" w:eastAsia="Times New Roman" w:hAnsi="Times New Roman" w:cs="Times New Roman"/>
          <w:color w:val="000000" w:themeColor="text1"/>
          <w:sz w:val="28"/>
          <w:szCs w:val="28"/>
        </w:rPr>
        <w:t xml:space="preserve">%, ņemot vērā plānotās emisijas un to piesaisti. </w:t>
      </w:r>
      <w:r w:rsidR="00F716FA" w:rsidRPr="00F87FDC">
        <w:rPr>
          <w:rFonts w:ascii="Times New Roman" w:hAnsi="Times New Roman" w:cs="Times New Roman"/>
          <w:noProof/>
          <w:sz w:val="28"/>
          <w:szCs w:val="28"/>
        </w:rPr>
        <w:t>Balstoties uz ietekmes novērtējumā veikto analīzi, EK secina, ka, līdz 2030.</w:t>
      </w:r>
      <w:r w:rsidR="00126F41">
        <w:rPr>
          <w:rFonts w:ascii="Times New Roman" w:hAnsi="Times New Roman" w:cs="Times New Roman"/>
          <w:noProof/>
          <w:sz w:val="28"/>
          <w:szCs w:val="28"/>
        </w:rPr>
        <w:t> </w:t>
      </w:r>
      <w:r w:rsidR="00F716FA" w:rsidRPr="00F87FDC">
        <w:rPr>
          <w:rFonts w:ascii="Times New Roman" w:hAnsi="Times New Roman" w:cs="Times New Roman"/>
          <w:noProof/>
          <w:sz w:val="28"/>
          <w:szCs w:val="28"/>
        </w:rPr>
        <w:t>gadam panākot SEG emisiju samazinājumu par 55%, ES ne tikai stingri nostātos uz klimatneitralitātes ceļa, bet arī kļūtu par globālu uzņēmējdarbības un rūpniecības līderi.</w:t>
      </w:r>
    </w:p>
    <w:p w14:paraId="31A88D93" w14:textId="4402061E" w:rsidR="006E76E0" w:rsidRDefault="006E76E0" w:rsidP="00BF4134">
      <w:pPr>
        <w:spacing w:after="0" w:line="240" w:lineRule="auto"/>
        <w:ind w:right="-1" w:firstLine="567"/>
        <w:jc w:val="both"/>
        <w:rPr>
          <w:rFonts w:ascii="Times New Roman" w:hAnsi="Times New Roman" w:cs="Times New Roman"/>
          <w:sz w:val="28"/>
          <w:szCs w:val="28"/>
        </w:rPr>
      </w:pPr>
      <w:r w:rsidRPr="0070562E">
        <w:rPr>
          <w:rFonts w:ascii="Times New Roman" w:hAnsi="Times New Roman" w:cs="Times New Roman"/>
          <w:sz w:val="28"/>
          <w:szCs w:val="28"/>
        </w:rPr>
        <w:t xml:space="preserve">Latvija </w:t>
      </w:r>
      <w:r w:rsidR="00BF4134">
        <w:rPr>
          <w:rFonts w:ascii="Times New Roman" w:hAnsi="Times New Roman" w:cs="Times New Roman"/>
          <w:sz w:val="28"/>
          <w:szCs w:val="28"/>
        </w:rPr>
        <w:t>jau iepriekš ir iestājusies</w:t>
      </w:r>
      <w:r>
        <w:rPr>
          <w:rStyle w:val="FootnoteReference"/>
          <w:rFonts w:ascii="Times New Roman" w:hAnsi="Times New Roman" w:cs="Times New Roman"/>
          <w:sz w:val="28"/>
          <w:szCs w:val="28"/>
        </w:rPr>
        <w:footnoteReference w:id="13"/>
      </w:r>
      <w:r w:rsidRPr="0070562E">
        <w:rPr>
          <w:rFonts w:ascii="Times New Roman" w:hAnsi="Times New Roman" w:cs="Times New Roman"/>
          <w:sz w:val="28"/>
          <w:szCs w:val="28"/>
        </w:rPr>
        <w:t xml:space="preserve"> par ambiciozāku klimata mērķu sasniegšanu, t.sk. izvirzot ES līmenī mērķi samazināt kopējo SEG emisiju apjomu par 55 % līdz 2030. gadam salīdzinājumā ar 1990. gadu</w:t>
      </w:r>
      <w:r w:rsidR="00BF4134">
        <w:rPr>
          <w:rFonts w:ascii="Times New Roman" w:hAnsi="Times New Roman" w:cs="Times New Roman"/>
          <w:sz w:val="28"/>
          <w:szCs w:val="28"/>
        </w:rPr>
        <w:t>.</w:t>
      </w:r>
    </w:p>
    <w:p w14:paraId="60BF0325" w14:textId="5300B04E" w:rsidR="00BF4134" w:rsidRPr="00BF4134" w:rsidRDefault="00BF4134" w:rsidP="00BF4134">
      <w:pPr>
        <w:spacing w:after="0" w:line="240" w:lineRule="auto"/>
        <w:ind w:right="-1" w:firstLine="567"/>
        <w:jc w:val="both"/>
        <w:rPr>
          <w:rFonts w:ascii="Times New Roman" w:eastAsia="Times New Roman" w:hAnsi="Times New Roman" w:cs="Times New Roman"/>
          <w:color w:val="000000" w:themeColor="text1"/>
          <w:sz w:val="28"/>
          <w:szCs w:val="28"/>
        </w:rPr>
      </w:pPr>
      <w:r w:rsidRPr="00F87FDC">
        <w:rPr>
          <w:rFonts w:ascii="Times New Roman" w:eastAsia="Times New Roman" w:hAnsi="Times New Roman" w:cs="Times New Roman"/>
          <w:bCs/>
          <w:sz w:val="28"/>
          <w:szCs w:val="28"/>
        </w:rPr>
        <w:t xml:space="preserve">ES SEG emisiju samazināšanas mērķa paaugstināšana 2030. gadam ir nepieciešama, lai ES īstenotu </w:t>
      </w:r>
      <w:proofErr w:type="spellStart"/>
      <w:r w:rsidRPr="00F87FDC">
        <w:rPr>
          <w:rFonts w:ascii="Times New Roman" w:eastAsia="Times New Roman" w:hAnsi="Times New Roman" w:cs="Times New Roman"/>
          <w:bCs/>
          <w:sz w:val="28"/>
          <w:szCs w:val="28"/>
        </w:rPr>
        <w:t>klimatneitralitātes</w:t>
      </w:r>
      <w:proofErr w:type="spellEnd"/>
      <w:r w:rsidRPr="00F87FDC">
        <w:rPr>
          <w:rFonts w:ascii="Times New Roman" w:eastAsia="Times New Roman" w:hAnsi="Times New Roman" w:cs="Times New Roman"/>
          <w:bCs/>
          <w:sz w:val="28"/>
          <w:szCs w:val="28"/>
        </w:rPr>
        <w:t xml:space="preserve"> mērķi 2050. gadā.</w:t>
      </w:r>
    </w:p>
    <w:p w14:paraId="7633A335" w14:textId="000F4D63" w:rsidR="00F716FA" w:rsidRPr="00F87FDC" w:rsidRDefault="00F716FA" w:rsidP="00F87FDC">
      <w:pPr>
        <w:spacing w:after="0"/>
        <w:ind w:firstLine="567"/>
        <w:jc w:val="both"/>
        <w:rPr>
          <w:rFonts w:ascii="Times New Roman" w:hAnsi="Times New Roman" w:cs="Times New Roman"/>
          <w:sz w:val="28"/>
          <w:szCs w:val="28"/>
        </w:rPr>
      </w:pPr>
      <w:r w:rsidRPr="00F87FDC">
        <w:rPr>
          <w:rFonts w:ascii="Times New Roman" w:hAnsi="Times New Roman" w:cs="Times New Roman"/>
          <w:sz w:val="28"/>
          <w:szCs w:val="28"/>
        </w:rPr>
        <w:t>Kaut arī nav precīzi zināms, kāds varētu būt Latvijai noteiktais devums ne-ETS SEG emisiju samazināšanā, paaugstinoties ES kopējam 2030.</w:t>
      </w:r>
      <w:r w:rsidR="00126F41">
        <w:rPr>
          <w:rFonts w:ascii="Times New Roman" w:hAnsi="Times New Roman" w:cs="Times New Roman"/>
          <w:sz w:val="28"/>
          <w:szCs w:val="28"/>
        </w:rPr>
        <w:t> </w:t>
      </w:r>
      <w:r w:rsidRPr="00F87FDC">
        <w:rPr>
          <w:rFonts w:ascii="Times New Roman" w:hAnsi="Times New Roman" w:cs="Times New Roman"/>
          <w:sz w:val="28"/>
          <w:szCs w:val="28"/>
        </w:rPr>
        <w:t>gada klimata mērķim, jāņem vērā, ka saskaņā ar Latvijas Nacionālo enerģētikas un klimata plānu 2021.</w:t>
      </w:r>
      <w:r w:rsidR="00126F41">
        <w:rPr>
          <w:rFonts w:ascii="Times New Roman" w:hAnsi="Times New Roman" w:cs="Times New Roman"/>
          <w:sz w:val="28"/>
          <w:szCs w:val="28"/>
        </w:rPr>
        <w:t> </w:t>
      </w:r>
      <w:r w:rsidRPr="00F87FDC">
        <w:rPr>
          <w:rFonts w:ascii="Times New Roman" w:hAnsi="Times New Roman" w:cs="Times New Roman"/>
          <w:sz w:val="28"/>
          <w:szCs w:val="28"/>
        </w:rPr>
        <w:t>–</w:t>
      </w:r>
      <w:r w:rsidR="00126F41">
        <w:rPr>
          <w:rFonts w:ascii="Times New Roman" w:hAnsi="Times New Roman" w:cs="Times New Roman"/>
          <w:sz w:val="28"/>
          <w:szCs w:val="28"/>
        </w:rPr>
        <w:t> </w:t>
      </w:r>
      <w:r w:rsidRPr="00F87FDC">
        <w:rPr>
          <w:rFonts w:ascii="Times New Roman" w:hAnsi="Times New Roman" w:cs="Times New Roman"/>
          <w:sz w:val="28"/>
          <w:szCs w:val="28"/>
        </w:rPr>
        <w:t>2030.gadam (</w:t>
      </w:r>
      <w:r>
        <w:rPr>
          <w:rFonts w:ascii="Times New Roman" w:hAnsi="Times New Roman" w:cs="Times New Roman"/>
          <w:sz w:val="28"/>
          <w:szCs w:val="28"/>
        </w:rPr>
        <w:t>turpmāk</w:t>
      </w:r>
      <w:r w:rsidR="00126F41">
        <w:rPr>
          <w:rFonts w:ascii="Times New Roman" w:hAnsi="Times New Roman" w:cs="Times New Roman"/>
          <w:sz w:val="28"/>
          <w:szCs w:val="28"/>
        </w:rPr>
        <w:t> </w:t>
      </w:r>
      <w:r>
        <w:rPr>
          <w:rFonts w:ascii="Times New Roman" w:hAnsi="Times New Roman" w:cs="Times New Roman"/>
          <w:sz w:val="28"/>
          <w:szCs w:val="28"/>
        </w:rPr>
        <w:t>-</w:t>
      </w:r>
      <w:r w:rsidR="00126F41">
        <w:rPr>
          <w:rFonts w:ascii="Times New Roman" w:hAnsi="Times New Roman" w:cs="Times New Roman"/>
          <w:sz w:val="28"/>
          <w:szCs w:val="28"/>
        </w:rPr>
        <w:t> </w:t>
      </w:r>
      <w:r w:rsidRPr="00F87FDC">
        <w:rPr>
          <w:rFonts w:ascii="Times New Roman" w:hAnsi="Times New Roman" w:cs="Times New Roman"/>
          <w:sz w:val="28"/>
          <w:szCs w:val="28"/>
        </w:rPr>
        <w:t>NEKP) mērķa scenārija prognozēm 2030.</w:t>
      </w:r>
      <w:r w:rsidR="00126F41">
        <w:rPr>
          <w:rFonts w:ascii="Times New Roman" w:hAnsi="Times New Roman" w:cs="Times New Roman"/>
          <w:sz w:val="28"/>
          <w:szCs w:val="28"/>
        </w:rPr>
        <w:t> </w:t>
      </w:r>
      <w:r w:rsidRPr="00F87FDC">
        <w:rPr>
          <w:rFonts w:ascii="Times New Roman" w:hAnsi="Times New Roman" w:cs="Times New Roman"/>
          <w:sz w:val="28"/>
          <w:szCs w:val="28"/>
        </w:rPr>
        <w:t xml:space="preserve">gadā Latvijas ne-ETS sektora SEG emisiju apjoms būs 7462 </w:t>
      </w:r>
      <w:proofErr w:type="spellStart"/>
      <w:r w:rsidRPr="00F87FDC">
        <w:rPr>
          <w:rFonts w:ascii="Times New Roman" w:hAnsi="Times New Roman" w:cs="Times New Roman"/>
          <w:sz w:val="28"/>
          <w:szCs w:val="28"/>
        </w:rPr>
        <w:t>kt</w:t>
      </w:r>
      <w:proofErr w:type="spellEnd"/>
      <w:r w:rsidRPr="00F87FDC">
        <w:rPr>
          <w:rFonts w:ascii="Times New Roman" w:hAnsi="Times New Roman" w:cs="Times New Roman"/>
          <w:sz w:val="28"/>
          <w:szCs w:val="28"/>
        </w:rPr>
        <w:t> CO</w:t>
      </w:r>
      <w:r w:rsidRPr="00F87FDC">
        <w:rPr>
          <w:rFonts w:ascii="Times New Roman" w:hAnsi="Times New Roman" w:cs="Times New Roman"/>
          <w:sz w:val="28"/>
          <w:szCs w:val="28"/>
          <w:vertAlign w:val="subscript"/>
        </w:rPr>
        <w:t>2</w:t>
      </w:r>
      <w:r w:rsidRPr="00F87FDC">
        <w:rPr>
          <w:rFonts w:ascii="Times New Roman" w:hAnsi="Times New Roman" w:cs="Times New Roman"/>
          <w:sz w:val="28"/>
          <w:szCs w:val="28"/>
        </w:rPr>
        <w:t>ekv., kas atbilst ~13% samazinājumam (salīdzinot ar 2005.gada ne-ETS emisijām), divas reizes pārsniedzot šobrīd Latvijai noteikto ne-ETS mērķi (-6% ne-ETS emisiju samazinājums 2030.</w:t>
      </w:r>
      <w:r w:rsidR="00126F41">
        <w:rPr>
          <w:rFonts w:ascii="Times New Roman" w:hAnsi="Times New Roman" w:cs="Times New Roman"/>
          <w:sz w:val="28"/>
          <w:szCs w:val="28"/>
        </w:rPr>
        <w:t> </w:t>
      </w:r>
      <w:r w:rsidRPr="00F87FDC">
        <w:rPr>
          <w:rFonts w:ascii="Times New Roman" w:hAnsi="Times New Roman" w:cs="Times New Roman"/>
          <w:sz w:val="28"/>
          <w:szCs w:val="28"/>
        </w:rPr>
        <w:t>gadā salīdzinot ar 2005.</w:t>
      </w:r>
      <w:r w:rsidR="00126F41">
        <w:rPr>
          <w:rFonts w:ascii="Times New Roman" w:hAnsi="Times New Roman" w:cs="Times New Roman"/>
          <w:sz w:val="28"/>
          <w:szCs w:val="28"/>
        </w:rPr>
        <w:t> </w:t>
      </w:r>
      <w:r w:rsidRPr="00F87FDC">
        <w:rPr>
          <w:rFonts w:ascii="Times New Roman" w:hAnsi="Times New Roman" w:cs="Times New Roman"/>
          <w:sz w:val="28"/>
          <w:szCs w:val="28"/>
        </w:rPr>
        <w:t>gadu), kāds ar Regulu 2018/1999</w:t>
      </w:r>
      <w:r w:rsidRPr="00F87FDC">
        <w:rPr>
          <w:rFonts w:ascii="Times New Roman" w:hAnsi="Times New Roman" w:cs="Times New Roman"/>
          <w:sz w:val="28"/>
          <w:szCs w:val="28"/>
          <w:vertAlign w:val="superscript"/>
        </w:rPr>
        <w:footnoteReference w:id="14"/>
      </w:r>
      <w:r w:rsidRPr="00F87FDC">
        <w:rPr>
          <w:rFonts w:ascii="Times New Roman" w:hAnsi="Times New Roman" w:cs="Times New Roman"/>
          <w:sz w:val="28"/>
          <w:szCs w:val="28"/>
        </w:rPr>
        <w:t xml:space="preserve"> tika noteikts esošā - 40% ES kopējā mērķa sasniegšanai. Saskaņā ar Polijas Nacionālā emisiju pārvaldības centra </w:t>
      </w:r>
      <w:proofErr w:type="spellStart"/>
      <w:r w:rsidRPr="00F87FDC">
        <w:rPr>
          <w:rFonts w:ascii="Times New Roman" w:hAnsi="Times New Roman" w:cs="Times New Roman"/>
          <w:sz w:val="28"/>
          <w:szCs w:val="28"/>
        </w:rPr>
        <w:t>KOBiZE</w:t>
      </w:r>
      <w:proofErr w:type="spellEnd"/>
      <w:r w:rsidRPr="00F87FDC">
        <w:rPr>
          <w:rFonts w:ascii="Times New Roman" w:hAnsi="Times New Roman" w:cs="Times New Roman"/>
          <w:sz w:val="28"/>
          <w:szCs w:val="28"/>
        </w:rPr>
        <w:t xml:space="preserve"> pētījumu, ja ES kopējais </w:t>
      </w:r>
      <w:r w:rsidRPr="00F87FDC">
        <w:rPr>
          <w:rFonts w:ascii="Times New Roman" w:hAnsi="Times New Roman" w:cs="Times New Roman"/>
          <w:sz w:val="28"/>
          <w:szCs w:val="28"/>
        </w:rPr>
        <w:lastRenderedPageBreak/>
        <w:t>SEG emisiju samazināšanas mērķis sasniegs -55%, Latvijai noteiktais samazinājums varētu būt -18% (salīdzinot ar 2005.</w:t>
      </w:r>
      <w:r w:rsidR="00126F41">
        <w:rPr>
          <w:rFonts w:ascii="Times New Roman" w:hAnsi="Times New Roman" w:cs="Times New Roman"/>
          <w:sz w:val="28"/>
          <w:szCs w:val="28"/>
        </w:rPr>
        <w:t> </w:t>
      </w:r>
      <w:r w:rsidRPr="00F87FDC">
        <w:rPr>
          <w:rFonts w:ascii="Times New Roman" w:hAnsi="Times New Roman" w:cs="Times New Roman"/>
          <w:sz w:val="28"/>
          <w:szCs w:val="28"/>
        </w:rPr>
        <w:t>gada ne-ETS emisijām)</w:t>
      </w:r>
      <w:r w:rsidRPr="00F87FDC">
        <w:rPr>
          <w:rStyle w:val="FootnoteReference"/>
          <w:rFonts w:ascii="Times New Roman" w:hAnsi="Times New Roman" w:cs="Times New Roman"/>
          <w:sz w:val="28"/>
          <w:szCs w:val="28"/>
        </w:rPr>
        <w:footnoteReference w:id="15"/>
      </w:r>
      <w:r w:rsidRPr="00F87FDC">
        <w:rPr>
          <w:rFonts w:ascii="Times New Roman" w:hAnsi="Times New Roman" w:cs="Times New Roman"/>
          <w:sz w:val="28"/>
          <w:szCs w:val="28"/>
        </w:rPr>
        <w:t>.</w:t>
      </w:r>
    </w:p>
    <w:p w14:paraId="241632ED" w14:textId="45B598CB" w:rsidR="005C3C88" w:rsidRPr="009F010B" w:rsidRDefault="005C3C88" w:rsidP="005C3C88">
      <w:pPr>
        <w:spacing w:after="0"/>
        <w:ind w:firstLine="567"/>
        <w:jc w:val="both"/>
        <w:rPr>
          <w:rFonts w:ascii="Times New Roman" w:hAnsi="Times New Roman" w:cs="Times New Roman"/>
          <w:sz w:val="28"/>
          <w:szCs w:val="28"/>
        </w:rPr>
      </w:pPr>
      <w:r w:rsidRPr="0098743A">
        <w:rPr>
          <w:rFonts w:ascii="Times New Roman" w:hAnsi="Times New Roman" w:cs="Times New Roman"/>
          <w:sz w:val="28"/>
          <w:szCs w:val="28"/>
        </w:rPr>
        <w:t>Saskaņā ar Eiropas Parlament</w:t>
      </w:r>
      <w:r w:rsidR="007569C7">
        <w:rPr>
          <w:rFonts w:ascii="Times New Roman" w:hAnsi="Times New Roman" w:cs="Times New Roman"/>
          <w:sz w:val="28"/>
          <w:szCs w:val="28"/>
        </w:rPr>
        <w:t>a</w:t>
      </w:r>
      <w:r w:rsidRPr="0098743A">
        <w:rPr>
          <w:rFonts w:ascii="Times New Roman" w:hAnsi="Times New Roman" w:cs="Times New Roman"/>
          <w:sz w:val="28"/>
          <w:szCs w:val="28"/>
        </w:rPr>
        <w:t xml:space="preserve"> 2020.</w:t>
      </w:r>
      <w:r w:rsidR="007569C7">
        <w:rPr>
          <w:rFonts w:ascii="Times New Roman" w:hAnsi="Times New Roman" w:cs="Times New Roman"/>
          <w:sz w:val="28"/>
          <w:szCs w:val="28"/>
        </w:rPr>
        <w:t> </w:t>
      </w:r>
      <w:r w:rsidRPr="0098743A">
        <w:rPr>
          <w:rFonts w:ascii="Times New Roman" w:hAnsi="Times New Roman" w:cs="Times New Roman"/>
          <w:sz w:val="28"/>
          <w:szCs w:val="28"/>
        </w:rPr>
        <w:t>gada 8.</w:t>
      </w:r>
      <w:r w:rsidR="007569C7">
        <w:rPr>
          <w:rFonts w:ascii="Times New Roman" w:hAnsi="Times New Roman" w:cs="Times New Roman"/>
          <w:sz w:val="28"/>
          <w:szCs w:val="28"/>
        </w:rPr>
        <w:t> </w:t>
      </w:r>
      <w:r w:rsidRPr="009F010B">
        <w:rPr>
          <w:rFonts w:ascii="Times New Roman" w:hAnsi="Times New Roman" w:cs="Times New Roman"/>
          <w:sz w:val="28"/>
          <w:szCs w:val="28"/>
        </w:rPr>
        <w:t xml:space="preserve">oktobrī pieņemtajiem grozījumiem priekšlikumā Eiropas Parlamenta un Padomes regulai, ar ko izveido </w:t>
      </w:r>
      <w:proofErr w:type="spellStart"/>
      <w:r w:rsidRPr="009F010B">
        <w:rPr>
          <w:rFonts w:ascii="Times New Roman" w:hAnsi="Times New Roman" w:cs="Times New Roman"/>
          <w:sz w:val="28"/>
          <w:szCs w:val="28"/>
        </w:rPr>
        <w:t>klimatneitralitātes</w:t>
      </w:r>
      <w:proofErr w:type="spellEnd"/>
      <w:r w:rsidRPr="009F010B">
        <w:rPr>
          <w:rFonts w:ascii="Times New Roman" w:hAnsi="Times New Roman" w:cs="Times New Roman"/>
          <w:sz w:val="28"/>
          <w:szCs w:val="28"/>
        </w:rPr>
        <w:t xml:space="preserve"> panākšanas satvaru un groza Regulu (ES) 2018/1999 (Eiropas Klimata akts)</w:t>
      </w:r>
      <w:r w:rsidRPr="0098743A">
        <w:rPr>
          <w:rStyle w:val="FootnoteReference"/>
          <w:rFonts w:ascii="Times New Roman" w:hAnsi="Times New Roman" w:cs="Times New Roman"/>
          <w:sz w:val="28"/>
          <w:szCs w:val="28"/>
        </w:rPr>
        <w:footnoteReference w:id="16"/>
      </w:r>
      <w:r w:rsidRPr="0098743A">
        <w:rPr>
          <w:rFonts w:ascii="Times New Roman" w:hAnsi="Times New Roman" w:cs="Times New Roman"/>
          <w:sz w:val="28"/>
          <w:szCs w:val="28"/>
        </w:rPr>
        <w:t xml:space="preserve"> tiek pieprasīts uz 2030. gadu ES </w:t>
      </w:r>
      <w:r w:rsidRPr="009F010B">
        <w:rPr>
          <w:rFonts w:ascii="Times New Roman" w:hAnsi="Times New Roman" w:cs="Times New Roman"/>
          <w:sz w:val="28"/>
          <w:szCs w:val="28"/>
        </w:rPr>
        <w:t xml:space="preserve">samazināt emisijas apjomu par 60 % salīdzinājumā ar 1990. gadu. </w:t>
      </w:r>
    </w:p>
    <w:p w14:paraId="3192CA17" w14:textId="62B37CAF" w:rsidR="00C8456E" w:rsidRDefault="001F1CF3" w:rsidP="00987C6B">
      <w:pPr>
        <w:spacing w:after="0" w:line="240" w:lineRule="auto"/>
        <w:ind w:right="-1"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Ievērojot uzstādīto virzienu uz ambiciozākiem mērķiem, lai nodrošinātu to izpildi</w:t>
      </w:r>
      <w:r w:rsidR="0050350C" w:rsidRPr="003F18F0">
        <w:rPr>
          <w:rFonts w:ascii="Times New Roman" w:eastAsia="Times New Roman" w:hAnsi="Times New Roman" w:cs="Times New Roman"/>
          <w:color w:val="000000" w:themeColor="text1"/>
          <w:sz w:val="28"/>
          <w:szCs w:val="28"/>
        </w:rPr>
        <w:t xml:space="preserve"> arī Modernizācijas fonda līdzekļi b</w:t>
      </w:r>
      <w:r w:rsidR="002E5042" w:rsidRPr="003F18F0">
        <w:rPr>
          <w:rFonts w:ascii="Times New Roman" w:eastAsia="Times New Roman" w:hAnsi="Times New Roman" w:cs="Times New Roman"/>
          <w:color w:val="000000" w:themeColor="text1"/>
          <w:sz w:val="28"/>
          <w:szCs w:val="28"/>
        </w:rPr>
        <w:t>ūt</w:t>
      </w:r>
      <w:r w:rsidR="000C6344" w:rsidRPr="003F18F0">
        <w:rPr>
          <w:rFonts w:ascii="Times New Roman" w:eastAsia="Times New Roman" w:hAnsi="Times New Roman" w:cs="Times New Roman"/>
          <w:color w:val="000000" w:themeColor="text1"/>
          <w:sz w:val="28"/>
          <w:szCs w:val="28"/>
        </w:rPr>
        <w:t>u</w:t>
      </w:r>
      <w:r w:rsidR="008E3C86" w:rsidRPr="003F18F0">
        <w:rPr>
          <w:rFonts w:ascii="Times New Roman" w:eastAsia="Times New Roman" w:hAnsi="Times New Roman" w:cs="Times New Roman"/>
          <w:color w:val="000000" w:themeColor="text1"/>
          <w:sz w:val="28"/>
          <w:szCs w:val="28"/>
        </w:rPr>
        <w:t xml:space="preserve"> jākoncentrē uz investīcijām ne-ETS sektora minētajos problemātiskajos sektoros.</w:t>
      </w:r>
      <w:r w:rsidR="0050350C" w:rsidRPr="003F18F0">
        <w:rPr>
          <w:rFonts w:ascii="Times New Roman" w:eastAsia="Times New Roman" w:hAnsi="Times New Roman" w:cs="Times New Roman"/>
          <w:color w:val="000000" w:themeColor="text1"/>
          <w:sz w:val="28"/>
          <w:szCs w:val="28"/>
        </w:rPr>
        <w:t xml:space="preserve"> </w:t>
      </w:r>
      <w:r w:rsidR="00C01412">
        <w:rPr>
          <w:rFonts w:ascii="Times New Roman" w:eastAsia="Times New Roman" w:hAnsi="Times New Roman" w:cs="Times New Roman"/>
          <w:color w:val="000000" w:themeColor="text1"/>
          <w:sz w:val="28"/>
          <w:szCs w:val="28"/>
        </w:rPr>
        <w:t>Potenciāl</w:t>
      </w:r>
      <w:r w:rsidR="00FD1EBE">
        <w:rPr>
          <w:rFonts w:ascii="Times New Roman" w:hAnsi="Times New Roman" w:cs="Times New Roman"/>
          <w:color w:val="000000" w:themeColor="text1"/>
          <w:sz w:val="28"/>
          <w:szCs w:val="28"/>
        </w:rPr>
        <w:t>ajiem</w:t>
      </w:r>
      <w:r w:rsidRPr="000746C5">
        <w:rPr>
          <w:rFonts w:ascii="Times New Roman" w:hAnsi="Times New Roman" w:cs="Times New Roman"/>
          <w:color w:val="000000" w:themeColor="text1"/>
          <w:sz w:val="28"/>
          <w:szCs w:val="28"/>
        </w:rPr>
        <w:t xml:space="preserve"> </w:t>
      </w:r>
      <w:r w:rsidR="00C01412">
        <w:rPr>
          <w:rFonts w:ascii="Times New Roman" w:hAnsi="Times New Roman" w:cs="Times New Roman"/>
          <w:color w:val="000000" w:themeColor="text1"/>
          <w:sz w:val="28"/>
          <w:szCs w:val="28"/>
        </w:rPr>
        <w:t>prioritār</w:t>
      </w:r>
      <w:r w:rsidR="00FD1EBE">
        <w:rPr>
          <w:rFonts w:ascii="Times New Roman" w:hAnsi="Times New Roman" w:cs="Times New Roman"/>
          <w:color w:val="000000" w:themeColor="text1"/>
          <w:sz w:val="28"/>
          <w:szCs w:val="28"/>
        </w:rPr>
        <w:t>ajiem</w:t>
      </w:r>
      <w:r w:rsidR="00C01412">
        <w:rPr>
          <w:rFonts w:ascii="Times New Roman" w:hAnsi="Times New Roman" w:cs="Times New Roman"/>
          <w:color w:val="000000" w:themeColor="text1"/>
          <w:sz w:val="28"/>
          <w:szCs w:val="28"/>
        </w:rPr>
        <w:t xml:space="preserve"> virzieniem jābūt ciešā</w:t>
      </w:r>
      <w:r w:rsidRPr="000746C5">
        <w:rPr>
          <w:rFonts w:ascii="Times New Roman" w:hAnsi="Times New Roman" w:cs="Times New Roman"/>
          <w:color w:val="000000" w:themeColor="text1"/>
          <w:sz w:val="28"/>
          <w:szCs w:val="28"/>
        </w:rPr>
        <w:t xml:space="preserve"> sinerģijā ar </w:t>
      </w:r>
      <w:r w:rsidR="00F716FA">
        <w:rPr>
          <w:rFonts w:ascii="Times New Roman" w:hAnsi="Times New Roman" w:cs="Times New Roman"/>
          <w:color w:val="000000" w:themeColor="text1"/>
          <w:sz w:val="28"/>
          <w:szCs w:val="28"/>
        </w:rPr>
        <w:t>NEKP</w:t>
      </w:r>
      <w:r w:rsidRPr="000746C5">
        <w:rPr>
          <w:rFonts w:ascii="Times New Roman" w:hAnsi="Times New Roman" w:cs="Times New Roman"/>
          <w:color w:val="000000" w:themeColor="text1"/>
          <w:sz w:val="28"/>
          <w:szCs w:val="28"/>
        </w:rPr>
        <w:t xml:space="preserve"> un </w:t>
      </w:r>
      <w:r w:rsidR="00394764">
        <w:rPr>
          <w:rFonts w:ascii="Times New Roman" w:hAnsi="Times New Roman" w:cs="Times New Roman"/>
          <w:color w:val="000000" w:themeColor="text1"/>
          <w:sz w:val="28"/>
          <w:szCs w:val="28"/>
        </w:rPr>
        <w:t>jāsniedz</w:t>
      </w:r>
      <w:r w:rsidRPr="000746C5">
        <w:rPr>
          <w:rFonts w:ascii="Times New Roman" w:hAnsi="Times New Roman" w:cs="Times New Roman"/>
          <w:color w:val="000000" w:themeColor="text1"/>
          <w:sz w:val="28"/>
          <w:szCs w:val="28"/>
        </w:rPr>
        <w:t xml:space="preserve"> ieguldījumu </w:t>
      </w:r>
      <w:r>
        <w:rPr>
          <w:rFonts w:ascii="Times New Roman" w:hAnsi="Times New Roman" w:cs="Times New Roman"/>
          <w:color w:val="000000" w:themeColor="text1"/>
          <w:sz w:val="28"/>
          <w:szCs w:val="28"/>
        </w:rPr>
        <w:t>tajā</w:t>
      </w:r>
      <w:r w:rsidRPr="000746C5">
        <w:rPr>
          <w:rFonts w:ascii="Times New Roman" w:hAnsi="Times New Roman" w:cs="Times New Roman"/>
          <w:color w:val="000000" w:themeColor="text1"/>
          <w:sz w:val="28"/>
          <w:szCs w:val="28"/>
        </w:rPr>
        <w:t xml:space="preserve"> ietverto pasākumu īstenošanā</w:t>
      </w:r>
      <w:r w:rsidR="00F716FA">
        <w:rPr>
          <w:rFonts w:ascii="Times New Roman" w:hAnsi="Times New Roman" w:cs="Times New Roman"/>
          <w:color w:val="000000" w:themeColor="text1"/>
          <w:sz w:val="28"/>
          <w:szCs w:val="28"/>
        </w:rPr>
        <w:t>.</w:t>
      </w:r>
    </w:p>
    <w:p w14:paraId="5E7B2B9A" w14:textId="1AC336B8" w:rsidR="00C95289" w:rsidRPr="003F18F0" w:rsidRDefault="00E200A8" w:rsidP="00987C6B">
      <w:pPr>
        <w:spacing w:after="0" w:line="240" w:lineRule="auto"/>
        <w:ind w:right="-1" w:firstLine="567"/>
        <w:jc w:val="both"/>
        <w:rPr>
          <w:rFonts w:ascii="Times New Roman" w:hAnsi="Times New Roman" w:cs="Times New Roman"/>
          <w:color w:val="000000" w:themeColor="text1"/>
          <w:sz w:val="28"/>
          <w:szCs w:val="28"/>
        </w:rPr>
      </w:pPr>
      <w:r w:rsidRPr="00E200A8">
        <w:rPr>
          <w:rFonts w:ascii="Times New Roman" w:hAnsi="Times New Roman" w:cs="Times New Roman"/>
          <w:color w:val="000000" w:themeColor="text1"/>
          <w:sz w:val="28"/>
          <w:szCs w:val="28"/>
        </w:rPr>
        <w:t xml:space="preserve">Demarkāciju starp citiem finanšu instrumentiem, fondiem un starp Modernizācijas fondu plānots nodrošināt, izstrādājot Ministru kabineta noteikumus par Modernizācijas fonda </w:t>
      </w:r>
      <w:r w:rsidR="003C2DF7">
        <w:rPr>
          <w:rFonts w:ascii="Times New Roman" w:hAnsi="Times New Roman" w:cs="Times New Roman"/>
          <w:color w:val="000000" w:themeColor="text1"/>
          <w:sz w:val="28"/>
          <w:szCs w:val="28"/>
        </w:rPr>
        <w:t>daudzgadu programmas darbību</w:t>
      </w:r>
      <w:r w:rsidRPr="00E200A8">
        <w:rPr>
          <w:rFonts w:ascii="Times New Roman" w:hAnsi="Times New Roman" w:cs="Times New Roman"/>
          <w:color w:val="000000" w:themeColor="text1"/>
          <w:sz w:val="28"/>
          <w:szCs w:val="28"/>
        </w:rPr>
        <w:t>.</w:t>
      </w:r>
    </w:p>
    <w:p w14:paraId="294003FC" w14:textId="77777777" w:rsidR="002F0836" w:rsidRPr="003F18F0" w:rsidRDefault="002F0836" w:rsidP="00987C6B">
      <w:pPr>
        <w:spacing w:after="0" w:line="240" w:lineRule="auto"/>
        <w:ind w:right="-1" w:firstLine="567"/>
        <w:jc w:val="both"/>
        <w:rPr>
          <w:rFonts w:ascii="Times New Roman" w:hAnsi="Times New Roman" w:cs="Times New Roman"/>
          <w:color w:val="000000" w:themeColor="text1"/>
          <w:sz w:val="28"/>
          <w:szCs w:val="28"/>
          <w:shd w:val="clear" w:color="auto" w:fill="FFFFFF"/>
        </w:rPr>
      </w:pPr>
    </w:p>
    <w:p w14:paraId="586651C0" w14:textId="62CC4451" w:rsidR="009978FE" w:rsidRPr="003F18F0" w:rsidRDefault="00C8456E" w:rsidP="00987C6B">
      <w:pPr>
        <w:pStyle w:val="ListParagraph"/>
        <w:spacing w:after="0" w:line="240" w:lineRule="auto"/>
        <w:ind w:left="0" w:right="-1"/>
        <w:contextualSpacing w:val="0"/>
        <w:jc w:val="center"/>
        <w:rPr>
          <w:rFonts w:ascii="Times New Roman" w:hAnsi="Times New Roman" w:cs="Times New Roman"/>
          <w:b/>
          <w:color w:val="000000" w:themeColor="text1"/>
          <w:sz w:val="28"/>
          <w:szCs w:val="28"/>
          <w:shd w:val="clear" w:color="auto" w:fill="FFFFFF"/>
        </w:rPr>
      </w:pPr>
      <w:r w:rsidRPr="003F18F0">
        <w:rPr>
          <w:rFonts w:ascii="Times New Roman" w:hAnsi="Times New Roman" w:cs="Times New Roman"/>
          <w:b/>
          <w:color w:val="000000" w:themeColor="text1"/>
          <w:sz w:val="28"/>
          <w:szCs w:val="28"/>
          <w:shd w:val="clear" w:color="auto" w:fill="FFFFFF"/>
        </w:rPr>
        <w:t>3.</w:t>
      </w:r>
      <w:r w:rsidR="00D4076C" w:rsidRPr="003F18F0">
        <w:rPr>
          <w:rFonts w:ascii="Times New Roman" w:hAnsi="Times New Roman" w:cs="Times New Roman"/>
          <w:b/>
          <w:color w:val="000000" w:themeColor="text1"/>
          <w:sz w:val="28"/>
          <w:szCs w:val="28"/>
          <w:shd w:val="clear" w:color="auto" w:fill="FFFFFF"/>
        </w:rPr>
        <w:t> </w:t>
      </w:r>
      <w:r w:rsidR="00514778" w:rsidRPr="003F18F0">
        <w:rPr>
          <w:rFonts w:ascii="Times New Roman" w:hAnsi="Times New Roman" w:cs="Times New Roman"/>
          <w:b/>
          <w:color w:val="000000" w:themeColor="text1"/>
          <w:sz w:val="28"/>
          <w:szCs w:val="28"/>
          <w:shd w:val="clear" w:color="auto" w:fill="FFFFFF"/>
        </w:rPr>
        <w:t>Modernizācijas fonda pārvaldība</w:t>
      </w:r>
      <w:r w:rsidR="00017BD4">
        <w:rPr>
          <w:rFonts w:ascii="Times New Roman" w:hAnsi="Times New Roman" w:cs="Times New Roman"/>
          <w:b/>
          <w:color w:val="000000" w:themeColor="text1"/>
          <w:sz w:val="28"/>
          <w:szCs w:val="28"/>
          <w:shd w:val="clear" w:color="auto" w:fill="FFFFFF"/>
        </w:rPr>
        <w:t>,</w:t>
      </w:r>
      <w:r w:rsidR="001507F8" w:rsidRPr="003F18F0">
        <w:rPr>
          <w:rFonts w:ascii="Times New Roman" w:hAnsi="Times New Roman" w:cs="Times New Roman"/>
          <w:b/>
          <w:color w:val="000000" w:themeColor="text1"/>
          <w:sz w:val="28"/>
          <w:szCs w:val="28"/>
          <w:shd w:val="clear" w:color="auto" w:fill="FFFFFF"/>
        </w:rPr>
        <w:t xml:space="preserve"> </w:t>
      </w:r>
      <w:r w:rsidR="009C21A3" w:rsidRPr="003F18F0">
        <w:rPr>
          <w:rFonts w:ascii="Times New Roman" w:hAnsi="Times New Roman" w:cs="Times New Roman"/>
          <w:b/>
          <w:color w:val="000000" w:themeColor="text1"/>
          <w:sz w:val="28"/>
          <w:szCs w:val="28"/>
          <w:shd w:val="clear" w:color="auto" w:fill="FFFFFF"/>
        </w:rPr>
        <w:t>investīciju izvērtēšanas process</w:t>
      </w:r>
      <w:r w:rsidR="00017BD4">
        <w:rPr>
          <w:rFonts w:ascii="Times New Roman" w:hAnsi="Times New Roman" w:cs="Times New Roman"/>
          <w:b/>
          <w:color w:val="000000" w:themeColor="text1"/>
          <w:sz w:val="28"/>
          <w:szCs w:val="28"/>
          <w:shd w:val="clear" w:color="auto" w:fill="FFFFFF"/>
        </w:rPr>
        <w:t xml:space="preserve"> un valsts atbalsts</w:t>
      </w:r>
    </w:p>
    <w:p w14:paraId="78584E7E" w14:textId="77777777" w:rsidR="00D4076C" w:rsidRPr="003F18F0" w:rsidRDefault="00D4076C" w:rsidP="00987C6B">
      <w:pPr>
        <w:spacing w:after="0" w:line="240" w:lineRule="auto"/>
        <w:ind w:right="-1" w:firstLine="567"/>
        <w:jc w:val="both"/>
        <w:rPr>
          <w:rFonts w:ascii="Times New Roman" w:hAnsi="Times New Roman" w:cs="Times New Roman"/>
          <w:color w:val="000000" w:themeColor="text1"/>
          <w:sz w:val="28"/>
          <w:szCs w:val="28"/>
        </w:rPr>
      </w:pPr>
    </w:p>
    <w:p w14:paraId="35153075" w14:textId="3FF82137" w:rsidR="002D7ABC" w:rsidRPr="003F18F0" w:rsidRDefault="005569F9"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Modernizācijas fond</w:t>
      </w:r>
      <w:r w:rsidR="00166156"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darb</w:t>
      </w:r>
      <w:r w:rsidR="00166156" w:rsidRPr="003F18F0">
        <w:rPr>
          <w:rFonts w:ascii="Times New Roman" w:hAnsi="Times New Roman" w:cs="Times New Roman"/>
          <w:color w:val="000000" w:themeColor="text1"/>
          <w:sz w:val="28"/>
          <w:szCs w:val="28"/>
        </w:rPr>
        <w:t>ība ir ES</w:t>
      </w:r>
      <w:r w:rsidRPr="003F18F0">
        <w:rPr>
          <w:rFonts w:ascii="Times New Roman" w:hAnsi="Times New Roman" w:cs="Times New Roman"/>
          <w:color w:val="000000" w:themeColor="text1"/>
          <w:sz w:val="28"/>
          <w:szCs w:val="28"/>
        </w:rPr>
        <w:t xml:space="preserve"> dalībvalstu</w:t>
      </w:r>
      <w:r w:rsidR="003359C3">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 xml:space="preserve"> </w:t>
      </w:r>
      <w:r w:rsidR="003359C3" w:rsidRPr="003F18F0">
        <w:rPr>
          <w:rFonts w:ascii="Times New Roman" w:hAnsi="Times New Roman" w:cs="Times New Roman"/>
          <w:color w:val="000000" w:themeColor="text1"/>
          <w:sz w:val="28"/>
          <w:szCs w:val="28"/>
        </w:rPr>
        <w:t xml:space="preserve">saņēmēju </w:t>
      </w:r>
      <w:r w:rsidRPr="003F18F0">
        <w:rPr>
          <w:rFonts w:ascii="Times New Roman" w:hAnsi="Times New Roman" w:cs="Times New Roman"/>
          <w:color w:val="000000" w:themeColor="text1"/>
          <w:sz w:val="28"/>
          <w:szCs w:val="28"/>
        </w:rPr>
        <w:t>atbildībā</w:t>
      </w:r>
      <w:r w:rsidR="005A116D" w:rsidRPr="003F18F0">
        <w:rPr>
          <w:rFonts w:ascii="Times New Roman" w:hAnsi="Times New Roman" w:cs="Times New Roman"/>
          <w:color w:val="000000" w:themeColor="text1"/>
          <w:sz w:val="28"/>
          <w:szCs w:val="28"/>
        </w:rPr>
        <w:t xml:space="preserve">, savukārt </w:t>
      </w:r>
      <w:r w:rsidR="002A3A4A" w:rsidRPr="003F18F0">
        <w:rPr>
          <w:rFonts w:ascii="Times New Roman" w:hAnsi="Times New Roman" w:cs="Times New Roman"/>
          <w:color w:val="000000" w:themeColor="text1"/>
          <w:sz w:val="28"/>
          <w:szCs w:val="28"/>
        </w:rPr>
        <w:t>EIB</w:t>
      </w:r>
      <w:r w:rsidR="005A116D" w:rsidRPr="003F18F0">
        <w:rPr>
          <w:rFonts w:ascii="Times New Roman" w:hAnsi="Times New Roman" w:cs="Times New Roman"/>
          <w:color w:val="000000" w:themeColor="text1"/>
          <w:sz w:val="28"/>
          <w:szCs w:val="28"/>
        </w:rPr>
        <w:t xml:space="preserve"> ir atbildīga par emisijas kvotu izsolīšanu un ieņēmumu no emisijas kvotu izsolēm pārvaldību.</w:t>
      </w:r>
      <w:r w:rsidRPr="003F18F0">
        <w:rPr>
          <w:rFonts w:ascii="Times New Roman" w:hAnsi="Times New Roman" w:cs="Times New Roman"/>
          <w:color w:val="000000" w:themeColor="text1"/>
          <w:sz w:val="28"/>
          <w:szCs w:val="28"/>
        </w:rPr>
        <w:t xml:space="preserve"> </w:t>
      </w:r>
      <w:r w:rsidR="002D7ABC" w:rsidRPr="003F18F0">
        <w:rPr>
          <w:rFonts w:ascii="Times New Roman" w:hAnsi="Times New Roman" w:cs="Times New Roman"/>
          <w:color w:val="000000" w:themeColor="text1"/>
          <w:sz w:val="28"/>
          <w:szCs w:val="28"/>
        </w:rPr>
        <w:t xml:space="preserve">Pirms </w:t>
      </w:r>
      <w:r w:rsidR="00166156" w:rsidRPr="003F18F0">
        <w:rPr>
          <w:rFonts w:ascii="Times New Roman" w:hAnsi="Times New Roman" w:cs="Times New Roman"/>
          <w:color w:val="000000" w:themeColor="text1"/>
          <w:sz w:val="28"/>
          <w:szCs w:val="28"/>
        </w:rPr>
        <w:t xml:space="preserve">ES </w:t>
      </w:r>
      <w:r w:rsidR="002D7ABC" w:rsidRPr="003F18F0">
        <w:rPr>
          <w:rFonts w:ascii="Times New Roman" w:hAnsi="Times New Roman" w:cs="Times New Roman"/>
          <w:color w:val="000000" w:themeColor="text1"/>
          <w:sz w:val="28"/>
          <w:szCs w:val="28"/>
        </w:rPr>
        <w:t>dalībvalsts</w:t>
      </w:r>
      <w:r w:rsidR="003359C3">
        <w:rPr>
          <w:rFonts w:ascii="Times New Roman" w:hAnsi="Times New Roman" w:cs="Times New Roman"/>
          <w:color w:val="000000" w:themeColor="text1"/>
          <w:sz w:val="28"/>
          <w:szCs w:val="28"/>
        </w:rPr>
        <w:t xml:space="preserve"> -</w:t>
      </w:r>
      <w:r w:rsidR="002D7ABC" w:rsidRPr="003F18F0">
        <w:rPr>
          <w:rFonts w:ascii="Times New Roman" w:hAnsi="Times New Roman" w:cs="Times New Roman"/>
          <w:color w:val="000000" w:themeColor="text1"/>
          <w:sz w:val="28"/>
          <w:szCs w:val="28"/>
        </w:rPr>
        <w:t xml:space="preserve"> </w:t>
      </w:r>
      <w:r w:rsidR="003359C3" w:rsidRPr="003F18F0">
        <w:rPr>
          <w:rFonts w:ascii="Times New Roman" w:hAnsi="Times New Roman" w:cs="Times New Roman"/>
          <w:color w:val="000000" w:themeColor="text1"/>
          <w:sz w:val="28"/>
          <w:szCs w:val="28"/>
        </w:rPr>
        <w:t xml:space="preserve">saņēmēja </w:t>
      </w:r>
      <w:r w:rsidR="002D7ABC" w:rsidRPr="003F18F0">
        <w:rPr>
          <w:rFonts w:ascii="Times New Roman" w:hAnsi="Times New Roman" w:cs="Times New Roman"/>
          <w:color w:val="000000" w:themeColor="text1"/>
          <w:sz w:val="28"/>
          <w:szCs w:val="28"/>
        </w:rPr>
        <w:t xml:space="preserve">nolemj no savas </w:t>
      </w:r>
      <w:r w:rsidR="00745FF9" w:rsidRPr="003F18F0">
        <w:rPr>
          <w:rFonts w:ascii="Times New Roman" w:hAnsi="Times New Roman" w:cs="Times New Roman"/>
          <w:color w:val="000000" w:themeColor="text1"/>
          <w:sz w:val="28"/>
          <w:szCs w:val="28"/>
        </w:rPr>
        <w:t>Modernizācijas fond</w:t>
      </w:r>
      <w:r w:rsidR="00166156" w:rsidRPr="003F18F0">
        <w:rPr>
          <w:rFonts w:ascii="Times New Roman" w:hAnsi="Times New Roman" w:cs="Times New Roman"/>
          <w:color w:val="000000" w:themeColor="text1"/>
          <w:sz w:val="28"/>
          <w:szCs w:val="28"/>
        </w:rPr>
        <w:t>a</w:t>
      </w:r>
      <w:r w:rsidR="002D7ABC" w:rsidRPr="003F18F0">
        <w:rPr>
          <w:rFonts w:ascii="Times New Roman" w:hAnsi="Times New Roman" w:cs="Times New Roman"/>
          <w:color w:val="000000" w:themeColor="text1"/>
          <w:sz w:val="28"/>
          <w:szCs w:val="28"/>
        </w:rPr>
        <w:t xml:space="preserve"> daļas atbalstīt kādu investīciju projektu, tā </w:t>
      </w:r>
      <w:r w:rsidR="00BC0030" w:rsidRPr="003F18F0">
        <w:rPr>
          <w:rFonts w:ascii="Times New Roman" w:hAnsi="Times New Roman" w:cs="Times New Roman"/>
          <w:color w:val="000000" w:themeColor="text1"/>
          <w:sz w:val="28"/>
          <w:szCs w:val="28"/>
        </w:rPr>
        <w:t>attiecīgu informāciju par</w:t>
      </w:r>
      <w:r w:rsidR="002D7ABC" w:rsidRPr="003F18F0">
        <w:rPr>
          <w:rFonts w:ascii="Times New Roman" w:hAnsi="Times New Roman" w:cs="Times New Roman"/>
          <w:color w:val="000000" w:themeColor="text1"/>
          <w:sz w:val="28"/>
          <w:szCs w:val="28"/>
        </w:rPr>
        <w:t xml:space="preserve"> investīciju projektu</w:t>
      </w:r>
      <w:r w:rsidR="00BC0030" w:rsidRPr="003F18F0">
        <w:rPr>
          <w:rFonts w:ascii="Times New Roman" w:hAnsi="Times New Roman" w:cs="Times New Roman"/>
          <w:color w:val="000000" w:themeColor="text1"/>
          <w:sz w:val="28"/>
          <w:szCs w:val="28"/>
        </w:rPr>
        <w:t xml:space="preserve"> (ieguldījumu)</w:t>
      </w:r>
      <w:r w:rsidR="002D7ABC" w:rsidRPr="003F18F0">
        <w:rPr>
          <w:rFonts w:ascii="Times New Roman" w:hAnsi="Times New Roman" w:cs="Times New Roman"/>
          <w:color w:val="000000" w:themeColor="text1"/>
          <w:sz w:val="28"/>
          <w:szCs w:val="28"/>
        </w:rPr>
        <w:t xml:space="preserve"> </w:t>
      </w:r>
      <w:r w:rsidR="00BC0030" w:rsidRPr="003F18F0">
        <w:rPr>
          <w:rFonts w:ascii="Times New Roman" w:hAnsi="Times New Roman" w:cs="Times New Roman"/>
          <w:color w:val="000000" w:themeColor="text1"/>
          <w:sz w:val="28"/>
          <w:szCs w:val="28"/>
        </w:rPr>
        <w:t xml:space="preserve">iesniedz </w:t>
      </w:r>
      <w:r w:rsidR="005A096C">
        <w:rPr>
          <w:rFonts w:ascii="Times New Roman" w:hAnsi="Times New Roman" w:cs="Times New Roman"/>
          <w:color w:val="000000" w:themeColor="text1"/>
          <w:sz w:val="28"/>
          <w:szCs w:val="28"/>
        </w:rPr>
        <w:t xml:space="preserve">EIB un </w:t>
      </w:r>
      <w:r w:rsidR="00CD64BE" w:rsidRPr="003F18F0">
        <w:rPr>
          <w:rFonts w:ascii="Times New Roman" w:hAnsi="Times New Roman" w:cs="Times New Roman"/>
          <w:color w:val="000000" w:themeColor="text1"/>
          <w:sz w:val="28"/>
          <w:szCs w:val="28"/>
        </w:rPr>
        <w:t xml:space="preserve">speciāli Modernizācijas fondam izveidotai </w:t>
      </w:r>
      <w:r w:rsidR="00BC0030" w:rsidRPr="003F18F0">
        <w:rPr>
          <w:rFonts w:ascii="Times New Roman" w:hAnsi="Times New Roman" w:cs="Times New Roman"/>
          <w:color w:val="000000" w:themeColor="text1"/>
          <w:sz w:val="28"/>
          <w:szCs w:val="28"/>
        </w:rPr>
        <w:t>I</w:t>
      </w:r>
      <w:r w:rsidR="002D7ABC" w:rsidRPr="003F18F0">
        <w:rPr>
          <w:rFonts w:ascii="Times New Roman" w:hAnsi="Times New Roman" w:cs="Times New Roman"/>
          <w:color w:val="000000" w:themeColor="text1"/>
          <w:sz w:val="28"/>
          <w:szCs w:val="28"/>
        </w:rPr>
        <w:t>nvestīciju komitej</w:t>
      </w:r>
      <w:r w:rsidR="00BC0030" w:rsidRPr="003F18F0">
        <w:rPr>
          <w:rFonts w:ascii="Times New Roman" w:hAnsi="Times New Roman" w:cs="Times New Roman"/>
          <w:color w:val="000000" w:themeColor="text1"/>
          <w:sz w:val="28"/>
          <w:szCs w:val="28"/>
        </w:rPr>
        <w:t>ai</w:t>
      </w:r>
      <w:r w:rsidR="002D7ABC" w:rsidRPr="003F18F0">
        <w:rPr>
          <w:rFonts w:ascii="Times New Roman" w:hAnsi="Times New Roman" w:cs="Times New Roman"/>
          <w:color w:val="000000" w:themeColor="text1"/>
          <w:sz w:val="28"/>
          <w:szCs w:val="28"/>
        </w:rPr>
        <w:t xml:space="preserve">. Ja EIB apstiprina, ka </w:t>
      </w:r>
      <w:r w:rsidR="00BC0030" w:rsidRPr="003F18F0">
        <w:rPr>
          <w:rFonts w:ascii="Times New Roman" w:hAnsi="Times New Roman" w:cs="Times New Roman"/>
          <w:color w:val="000000" w:themeColor="text1"/>
          <w:sz w:val="28"/>
          <w:szCs w:val="28"/>
        </w:rPr>
        <w:t xml:space="preserve">ieguldījums </w:t>
      </w:r>
      <w:r w:rsidR="002D7ABC" w:rsidRPr="003F18F0">
        <w:rPr>
          <w:rFonts w:ascii="Times New Roman" w:hAnsi="Times New Roman" w:cs="Times New Roman"/>
          <w:color w:val="000000" w:themeColor="text1"/>
          <w:sz w:val="28"/>
          <w:szCs w:val="28"/>
        </w:rPr>
        <w:t xml:space="preserve">ietilpst </w:t>
      </w:r>
      <w:r w:rsidR="00BC0030" w:rsidRPr="003F18F0">
        <w:rPr>
          <w:rFonts w:ascii="Times New Roman" w:hAnsi="Times New Roman" w:cs="Times New Roman"/>
          <w:color w:val="000000" w:themeColor="text1"/>
          <w:sz w:val="28"/>
          <w:szCs w:val="28"/>
        </w:rPr>
        <w:t xml:space="preserve">šī informatīvā ziņojuma 2. nodaļā </w:t>
      </w:r>
      <w:r w:rsidR="002D7ABC" w:rsidRPr="003F18F0">
        <w:rPr>
          <w:rFonts w:ascii="Times New Roman" w:hAnsi="Times New Roman" w:cs="Times New Roman"/>
          <w:color w:val="000000" w:themeColor="text1"/>
          <w:sz w:val="28"/>
          <w:szCs w:val="28"/>
        </w:rPr>
        <w:t xml:space="preserve">uzskaitītajās </w:t>
      </w:r>
      <w:r w:rsidR="00BC0030" w:rsidRPr="003F18F0">
        <w:rPr>
          <w:rFonts w:ascii="Times New Roman" w:hAnsi="Times New Roman" w:cs="Times New Roman"/>
          <w:color w:val="000000" w:themeColor="text1"/>
          <w:sz w:val="28"/>
          <w:szCs w:val="28"/>
        </w:rPr>
        <w:t xml:space="preserve">prioritārajās </w:t>
      </w:r>
      <w:r w:rsidR="002D7ABC" w:rsidRPr="003F18F0">
        <w:rPr>
          <w:rFonts w:ascii="Times New Roman" w:hAnsi="Times New Roman" w:cs="Times New Roman"/>
          <w:color w:val="000000" w:themeColor="text1"/>
          <w:sz w:val="28"/>
          <w:szCs w:val="28"/>
        </w:rPr>
        <w:t>jomās, attiecīgā</w:t>
      </w:r>
      <w:r w:rsidR="00BC0030" w:rsidRPr="003F18F0">
        <w:rPr>
          <w:rFonts w:ascii="Times New Roman" w:hAnsi="Times New Roman" w:cs="Times New Roman"/>
          <w:color w:val="000000" w:themeColor="text1"/>
          <w:sz w:val="28"/>
          <w:szCs w:val="28"/>
        </w:rPr>
        <w:t xml:space="preserve"> ES</w:t>
      </w:r>
      <w:r w:rsidR="002D7ABC" w:rsidRPr="003F18F0">
        <w:rPr>
          <w:rFonts w:ascii="Times New Roman" w:hAnsi="Times New Roman" w:cs="Times New Roman"/>
          <w:color w:val="000000" w:themeColor="text1"/>
          <w:sz w:val="28"/>
          <w:szCs w:val="28"/>
        </w:rPr>
        <w:t xml:space="preserve"> dalībvalsts var sākt investīciju projekta finansēšanu no savas daļas. Ja </w:t>
      </w:r>
      <w:r w:rsidR="00BC0030" w:rsidRPr="003F18F0">
        <w:rPr>
          <w:rFonts w:ascii="Times New Roman" w:hAnsi="Times New Roman" w:cs="Times New Roman"/>
          <w:color w:val="000000" w:themeColor="text1"/>
          <w:sz w:val="28"/>
          <w:szCs w:val="28"/>
        </w:rPr>
        <w:t>ieguldījums</w:t>
      </w:r>
      <w:r w:rsidR="002D7ABC" w:rsidRPr="003F18F0">
        <w:rPr>
          <w:rFonts w:ascii="Times New Roman" w:hAnsi="Times New Roman" w:cs="Times New Roman"/>
          <w:color w:val="000000" w:themeColor="text1"/>
          <w:sz w:val="28"/>
          <w:szCs w:val="28"/>
        </w:rPr>
        <w:t xml:space="preserve">, ko ierosina finansēt no </w:t>
      </w:r>
      <w:r w:rsidR="00811703" w:rsidRPr="003F18F0">
        <w:rPr>
          <w:rFonts w:ascii="Times New Roman" w:hAnsi="Times New Roman" w:cs="Times New Roman"/>
          <w:color w:val="000000" w:themeColor="text1"/>
          <w:sz w:val="28"/>
          <w:szCs w:val="28"/>
        </w:rPr>
        <w:t>M</w:t>
      </w:r>
      <w:r w:rsidR="002D7ABC" w:rsidRPr="003F18F0">
        <w:rPr>
          <w:rFonts w:ascii="Times New Roman" w:hAnsi="Times New Roman" w:cs="Times New Roman"/>
          <w:color w:val="000000" w:themeColor="text1"/>
          <w:sz w:val="28"/>
          <w:szCs w:val="28"/>
        </w:rPr>
        <w:t xml:space="preserve">odernizācijas fonda, neietilpst </w:t>
      </w:r>
      <w:r w:rsidR="00811703" w:rsidRPr="003F18F0">
        <w:rPr>
          <w:rFonts w:ascii="Times New Roman" w:hAnsi="Times New Roman" w:cs="Times New Roman"/>
          <w:color w:val="000000" w:themeColor="text1"/>
          <w:sz w:val="28"/>
          <w:szCs w:val="28"/>
        </w:rPr>
        <w:t xml:space="preserve">prioritāro ieguldījumu </w:t>
      </w:r>
      <w:r w:rsidR="002D7ABC" w:rsidRPr="003F18F0">
        <w:rPr>
          <w:rFonts w:ascii="Times New Roman" w:hAnsi="Times New Roman" w:cs="Times New Roman"/>
          <w:color w:val="000000" w:themeColor="text1"/>
          <w:sz w:val="28"/>
          <w:szCs w:val="28"/>
        </w:rPr>
        <w:t xml:space="preserve">jomās, </w:t>
      </w:r>
      <w:r w:rsidR="00811703" w:rsidRPr="003F18F0">
        <w:rPr>
          <w:rFonts w:ascii="Times New Roman" w:hAnsi="Times New Roman" w:cs="Times New Roman"/>
          <w:color w:val="000000" w:themeColor="text1"/>
          <w:sz w:val="28"/>
          <w:szCs w:val="28"/>
        </w:rPr>
        <w:t>I</w:t>
      </w:r>
      <w:r w:rsidR="002D7ABC" w:rsidRPr="003F18F0">
        <w:rPr>
          <w:rFonts w:ascii="Times New Roman" w:hAnsi="Times New Roman" w:cs="Times New Roman"/>
          <w:color w:val="000000" w:themeColor="text1"/>
          <w:sz w:val="28"/>
          <w:szCs w:val="28"/>
        </w:rPr>
        <w:t xml:space="preserve">nvestīciju komiteja novērtē minēto </w:t>
      </w:r>
      <w:r w:rsidR="00BC0030" w:rsidRPr="003F18F0">
        <w:rPr>
          <w:rFonts w:ascii="Times New Roman" w:hAnsi="Times New Roman" w:cs="Times New Roman"/>
          <w:color w:val="000000" w:themeColor="text1"/>
          <w:sz w:val="28"/>
          <w:szCs w:val="28"/>
        </w:rPr>
        <w:t xml:space="preserve">ieguldījumu </w:t>
      </w:r>
      <w:r w:rsidR="002D7ABC" w:rsidRPr="003F18F0">
        <w:rPr>
          <w:rFonts w:ascii="Times New Roman" w:hAnsi="Times New Roman" w:cs="Times New Roman"/>
          <w:color w:val="000000" w:themeColor="text1"/>
          <w:sz w:val="28"/>
          <w:szCs w:val="28"/>
        </w:rPr>
        <w:t>tehnisko un finansiālo pamatotību, tostarp realizēto emisij</w:t>
      </w:r>
      <w:r w:rsidR="00BC0030" w:rsidRPr="003F18F0">
        <w:rPr>
          <w:rFonts w:ascii="Times New Roman" w:hAnsi="Times New Roman" w:cs="Times New Roman"/>
          <w:color w:val="000000" w:themeColor="text1"/>
          <w:sz w:val="28"/>
          <w:szCs w:val="28"/>
        </w:rPr>
        <w:t>as kvotu</w:t>
      </w:r>
      <w:r w:rsidR="002D7ABC" w:rsidRPr="003F18F0">
        <w:rPr>
          <w:rFonts w:ascii="Times New Roman" w:hAnsi="Times New Roman" w:cs="Times New Roman"/>
          <w:color w:val="000000" w:themeColor="text1"/>
          <w:sz w:val="28"/>
          <w:szCs w:val="28"/>
        </w:rPr>
        <w:t xml:space="preserve"> samazinājumu, un izdod ieteikumu par </w:t>
      </w:r>
      <w:r w:rsidR="00BC0030" w:rsidRPr="003F18F0">
        <w:rPr>
          <w:rFonts w:ascii="Times New Roman" w:hAnsi="Times New Roman" w:cs="Times New Roman"/>
          <w:color w:val="000000" w:themeColor="text1"/>
          <w:sz w:val="28"/>
          <w:szCs w:val="28"/>
        </w:rPr>
        <w:t xml:space="preserve">ieguldījuma </w:t>
      </w:r>
      <w:r w:rsidR="002D7ABC" w:rsidRPr="003F18F0">
        <w:rPr>
          <w:rFonts w:ascii="Times New Roman" w:hAnsi="Times New Roman" w:cs="Times New Roman"/>
          <w:color w:val="000000" w:themeColor="text1"/>
          <w:sz w:val="28"/>
          <w:szCs w:val="28"/>
        </w:rPr>
        <w:t xml:space="preserve">finansēšanu no </w:t>
      </w:r>
      <w:r w:rsidR="00745FF9" w:rsidRPr="003F18F0">
        <w:rPr>
          <w:rFonts w:ascii="Times New Roman" w:hAnsi="Times New Roman" w:cs="Times New Roman"/>
          <w:color w:val="000000" w:themeColor="text1"/>
          <w:sz w:val="28"/>
          <w:szCs w:val="28"/>
        </w:rPr>
        <w:t>Modernizācijas fond</w:t>
      </w:r>
      <w:r w:rsidR="00B5186F" w:rsidRPr="003F18F0">
        <w:rPr>
          <w:rFonts w:ascii="Times New Roman" w:hAnsi="Times New Roman" w:cs="Times New Roman"/>
          <w:color w:val="000000" w:themeColor="text1"/>
          <w:sz w:val="28"/>
          <w:szCs w:val="28"/>
        </w:rPr>
        <w:t>a</w:t>
      </w:r>
      <w:r w:rsidR="002D7ABC" w:rsidRPr="003F18F0">
        <w:rPr>
          <w:rFonts w:ascii="Times New Roman" w:hAnsi="Times New Roman" w:cs="Times New Roman"/>
          <w:color w:val="000000" w:themeColor="text1"/>
          <w:sz w:val="28"/>
          <w:szCs w:val="28"/>
        </w:rPr>
        <w:t xml:space="preserve">. </w:t>
      </w:r>
      <w:r w:rsidR="003812C3" w:rsidRPr="003F18F0">
        <w:rPr>
          <w:rFonts w:ascii="Times New Roman" w:eastAsia="Arial Unicode MS" w:hAnsi="Times New Roman" w:cs="Times New Roman"/>
          <w:color w:val="000000" w:themeColor="text1"/>
          <w:sz w:val="28"/>
          <w:szCs w:val="28"/>
          <w:shd w:val="clear" w:color="auto" w:fill="FFFFFF"/>
        </w:rPr>
        <w:t xml:space="preserve">Investīciju komiteju veido viens pārstāvis no katras </w:t>
      </w:r>
      <w:r w:rsidR="00BC0030" w:rsidRPr="003F18F0">
        <w:rPr>
          <w:rFonts w:ascii="Times New Roman" w:eastAsia="Arial Unicode MS" w:hAnsi="Times New Roman" w:cs="Times New Roman"/>
          <w:color w:val="000000" w:themeColor="text1"/>
          <w:sz w:val="28"/>
          <w:szCs w:val="28"/>
          <w:shd w:val="clear" w:color="auto" w:fill="FFFFFF"/>
        </w:rPr>
        <w:t xml:space="preserve">ES </w:t>
      </w:r>
      <w:r w:rsidR="003812C3" w:rsidRPr="003F18F0">
        <w:rPr>
          <w:rFonts w:ascii="Times New Roman" w:eastAsia="Arial Unicode MS" w:hAnsi="Times New Roman" w:cs="Times New Roman"/>
          <w:color w:val="000000" w:themeColor="text1"/>
          <w:sz w:val="28"/>
          <w:szCs w:val="28"/>
          <w:shd w:val="clear" w:color="auto" w:fill="FFFFFF"/>
        </w:rPr>
        <w:t>dalībvalsts</w:t>
      </w:r>
      <w:r w:rsidR="003359C3" w:rsidRPr="003359C3">
        <w:rPr>
          <w:rFonts w:ascii="Times New Roman" w:eastAsia="Arial Unicode MS" w:hAnsi="Times New Roman" w:cs="Times New Roman"/>
          <w:color w:val="000000" w:themeColor="text1"/>
          <w:sz w:val="28"/>
          <w:szCs w:val="28"/>
          <w:shd w:val="clear" w:color="auto" w:fill="FFFFFF"/>
        </w:rPr>
        <w:t xml:space="preserve"> </w:t>
      </w:r>
      <w:r w:rsidR="003359C3">
        <w:rPr>
          <w:rFonts w:ascii="Times New Roman" w:eastAsia="Arial Unicode MS" w:hAnsi="Times New Roman" w:cs="Times New Roman"/>
          <w:color w:val="000000" w:themeColor="text1"/>
          <w:sz w:val="28"/>
          <w:szCs w:val="28"/>
          <w:shd w:val="clear" w:color="auto" w:fill="FFFFFF"/>
        </w:rPr>
        <w:t xml:space="preserve">- </w:t>
      </w:r>
      <w:r w:rsidR="003359C3" w:rsidRPr="003F18F0">
        <w:rPr>
          <w:rFonts w:ascii="Times New Roman" w:eastAsia="Arial Unicode MS" w:hAnsi="Times New Roman" w:cs="Times New Roman"/>
          <w:color w:val="000000" w:themeColor="text1"/>
          <w:sz w:val="28"/>
          <w:szCs w:val="28"/>
          <w:shd w:val="clear" w:color="auto" w:fill="FFFFFF"/>
        </w:rPr>
        <w:t>saņēmējas</w:t>
      </w:r>
      <w:r w:rsidR="003812C3" w:rsidRPr="003F18F0">
        <w:rPr>
          <w:rFonts w:ascii="Times New Roman" w:eastAsia="Arial Unicode MS" w:hAnsi="Times New Roman" w:cs="Times New Roman"/>
          <w:color w:val="000000" w:themeColor="text1"/>
          <w:sz w:val="28"/>
          <w:szCs w:val="28"/>
          <w:shd w:val="clear" w:color="auto" w:fill="FFFFFF"/>
        </w:rPr>
        <w:t xml:space="preserve">, EK un EIB </w:t>
      </w:r>
      <w:r w:rsidR="003359C3">
        <w:rPr>
          <w:rFonts w:ascii="Times New Roman" w:eastAsia="Arial Unicode MS" w:hAnsi="Times New Roman" w:cs="Times New Roman"/>
          <w:color w:val="000000" w:themeColor="text1"/>
          <w:sz w:val="28"/>
          <w:szCs w:val="28"/>
          <w:shd w:val="clear" w:color="auto" w:fill="FFFFFF"/>
        </w:rPr>
        <w:t xml:space="preserve"> pārstāvjiem </w:t>
      </w:r>
      <w:r w:rsidR="003812C3" w:rsidRPr="003F18F0">
        <w:rPr>
          <w:rFonts w:ascii="Times New Roman" w:eastAsia="Arial Unicode MS" w:hAnsi="Times New Roman" w:cs="Times New Roman"/>
          <w:color w:val="000000" w:themeColor="text1"/>
          <w:sz w:val="28"/>
          <w:szCs w:val="28"/>
          <w:shd w:val="clear" w:color="auto" w:fill="FFFFFF"/>
        </w:rPr>
        <w:t>un tr</w:t>
      </w:r>
      <w:r w:rsidR="003359C3">
        <w:rPr>
          <w:rFonts w:ascii="Times New Roman" w:eastAsia="Arial Unicode MS" w:hAnsi="Times New Roman" w:cs="Times New Roman"/>
          <w:color w:val="000000" w:themeColor="text1"/>
          <w:sz w:val="28"/>
          <w:szCs w:val="28"/>
          <w:shd w:val="clear" w:color="auto" w:fill="FFFFFF"/>
        </w:rPr>
        <w:t>im</w:t>
      </w:r>
      <w:r w:rsidR="003812C3" w:rsidRPr="003F18F0">
        <w:rPr>
          <w:rFonts w:ascii="Times New Roman" w:eastAsia="Arial Unicode MS" w:hAnsi="Times New Roman" w:cs="Times New Roman"/>
          <w:color w:val="000000" w:themeColor="text1"/>
          <w:sz w:val="28"/>
          <w:szCs w:val="28"/>
          <w:shd w:val="clear" w:color="auto" w:fill="FFFFFF"/>
        </w:rPr>
        <w:t xml:space="preserve"> pārstāvji</w:t>
      </w:r>
      <w:r w:rsidR="003359C3">
        <w:rPr>
          <w:rFonts w:ascii="Times New Roman" w:eastAsia="Arial Unicode MS" w:hAnsi="Times New Roman" w:cs="Times New Roman"/>
          <w:color w:val="000000" w:themeColor="text1"/>
          <w:sz w:val="28"/>
          <w:szCs w:val="28"/>
          <w:shd w:val="clear" w:color="auto" w:fill="FFFFFF"/>
        </w:rPr>
        <w:t>em</w:t>
      </w:r>
      <w:r w:rsidR="003812C3" w:rsidRPr="003F18F0">
        <w:rPr>
          <w:rFonts w:ascii="Times New Roman" w:eastAsia="Arial Unicode MS" w:hAnsi="Times New Roman" w:cs="Times New Roman"/>
          <w:color w:val="000000" w:themeColor="text1"/>
          <w:sz w:val="28"/>
          <w:szCs w:val="28"/>
          <w:shd w:val="clear" w:color="auto" w:fill="FFFFFF"/>
        </w:rPr>
        <w:t>, ko uz piec</w:t>
      </w:r>
      <w:r w:rsidR="003359C3">
        <w:rPr>
          <w:rFonts w:ascii="Times New Roman" w:eastAsia="Arial Unicode MS" w:hAnsi="Times New Roman" w:cs="Times New Roman"/>
          <w:color w:val="000000" w:themeColor="text1"/>
          <w:sz w:val="28"/>
          <w:szCs w:val="28"/>
          <w:shd w:val="clear" w:color="auto" w:fill="FFFFFF"/>
        </w:rPr>
        <w:t>iem</w:t>
      </w:r>
      <w:r w:rsidR="003812C3" w:rsidRPr="003F18F0">
        <w:rPr>
          <w:rFonts w:ascii="Times New Roman" w:eastAsia="Arial Unicode MS" w:hAnsi="Times New Roman" w:cs="Times New Roman"/>
          <w:color w:val="000000" w:themeColor="text1"/>
          <w:sz w:val="28"/>
          <w:szCs w:val="28"/>
          <w:shd w:val="clear" w:color="auto" w:fill="FFFFFF"/>
        </w:rPr>
        <w:t xml:space="preserve"> gad</w:t>
      </w:r>
      <w:r w:rsidR="003359C3">
        <w:rPr>
          <w:rFonts w:ascii="Times New Roman" w:eastAsia="Arial Unicode MS" w:hAnsi="Times New Roman" w:cs="Times New Roman"/>
          <w:color w:val="000000" w:themeColor="text1"/>
          <w:sz w:val="28"/>
          <w:szCs w:val="28"/>
          <w:shd w:val="clear" w:color="auto" w:fill="FFFFFF"/>
        </w:rPr>
        <w:t xml:space="preserve">iem </w:t>
      </w:r>
      <w:proofErr w:type="spellStart"/>
      <w:r w:rsidR="003812C3" w:rsidRPr="003F18F0">
        <w:rPr>
          <w:rFonts w:ascii="Times New Roman" w:eastAsia="Arial Unicode MS" w:hAnsi="Times New Roman" w:cs="Times New Roman"/>
          <w:color w:val="000000" w:themeColor="text1"/>
          <w:sz w:val="28"/>
          <w:szCs w:val="28"/>
          <w:shd w:val="clear" w:color="auto" w:fill="FFFFFF"/>
        </w:rPr>
        <w:t>ievēl</w:t>
      </w:r>
      <w:proofErr w:type="spellEnd"/>
      <w:r w:rsidR="003812C3" w:rsidRPr="003F18F0">
        <w:rPr>
          <w:rFonts w:ascii="Times New Roman" w:eastAsia="Arial Unicode MS" w:hAnsi="Times New Roman" w:cs="Times New Roman"/>
          <w:color w:val="000000" w:themeColor="text1"/>
          <w:sz w:val="28"/>
          <w:szCs w:val="28"/>
          <w:shd w:val="clear" w:color="auto" w:fill="FFFFFF"/>
        </w:rPr>
        <w:t xml:space="preserve"> pārējās ES dalībvalstis.</w:t>
      </w:r>
      <w:r w:rsidR="00BC0030" w:rsidRPr="003F18F0">
        <w:rPr>
          <w:rFonts w:ascii="Times New Roman" w:eastAsia="Arial Unicode MS" w:hAnsi="Times New Roman" w:cs="Times New Roman"/>
          <w:color w:val="000000" w:themeColor="text1"/>
          <w:sz w:val="28"/>
          <w:szCs w:val="28"/>
          <w:shd w:val="clear" w:color="auto" w:fill="FFFFFF"/>
        </w:rPr>
        <w:t xml:space="preserve"> </w:t>
      </w:r>
      <w:r w:rsidR="003812C3" w:rsidRPr="003F18F0">
        <w:rPr>
          <w:rFonts w:ascii="Times New Roman" w:eastAsia="Arial Unicode MS" w:hAnsi="Times New Roman" w:cs="Times New Roman"/>
          <w:color w:val="000000" w:themeColor="text1"/>
          <w:sz w:val="28"/>
          <w:szCs w:val="28"/>
          <w:shd w:val="clear" w:color="auto" w:fill="FFFFFF"/>
        </w:rPr>
        <w:t>Investīciju komiteju vada EK pārstāvis.</w:t>
      </w:r>
      <w:r w:rsidR="00BC0030" w:rsidRPr="003F18F0">
        <w:rPr>
          <w:rFonts w:ascii="Times New Roman" w:eastAsia="Arial Unicode MS" w:hAnsi="Times New Roman" w:cs="Times New Roman"/>
          <w:color w:val="000000" w:themeColor="text1"/>
          <w:sz w:val="28"/>
          <w:szCs w:val="28"/>
          <w:shd w:val="clear" w:color="auto" w:fill="FFFFFF"/>
        </w:rPr>
        <w:t xml:space="preserve"> </w:t>
      </w:r>
      <w:r w:rsidR="002D7ABC" w:rsidRPr="003F18F0">
        <w:rPr>
          <w:rFonts w:ascii="Times New Roman" w:hAnsi="Times New Roman" w:cs="Times New Roman"/>
          <w:color w:val="000000" w:themeColor="text1"/>
          <w:sz w:val="28"/>
          <w:szCs w:val="28"/>
        </w:rPr>
        <w:t>Investīciju komiteja nodrošina, ka ar vis</w:t>
      </w:r>
      <w:r w:rsidR="00BC0030" w:rsidRPr="003F18F0">
        <w:rPr>
          <w:rFonts w:ascii="Times New Roman" w:hAnsi="Times New Roman" w:cs="Times New Roman"/>
          <w:color w:val="000000" w:themeColor="text1"/>
          <w:sz w:val="28"/>
          <w:szCs w:val="28"/>
        </w:rPr>
        <w:t>ie</w:t>
      </w:r>
      <w:r w:rsidR="002D7ABC" w:rsidRPr="003F18F0">
        <w:rPr>
          <w:rFonts w:ascii="Times New Roman" w:hAnsi="Times New Roman" w:cs="Times New Roman"/>
          <w:color w:val="000000" w:themeColor="text1"/>
          <w:sz w:val="28"/>
          <w:szCs w:val="28"/>
        </w:rPr>
        <w:t xml:space="preserve">m </w:t>
      </w:r>
      <w:r w:rsidR="00BC0030" w:rsidRPr="003F18F0">
        <w:rPr>
          <w:rFonts w:ascii="Times New Roman" w:hAnsi="Times New Roman" w:cs="Times New Roman"/>
          <w:color w:val="000000" w:themeColor="text1"/>
          <w:sz w:val="28"/>
          <w:szCs w:val="28"/>
        </w:rPr>
        <w:t xml:space="preserve">ieguldījumiem </w:t>
      </w:r>
      <w:r w:rsidR="002D7ABC" w:rsidRPr="003F18F0">
        <w:rPr>
          <w:rFonts w:ascii="Times New Roman" w:hAnsi="Times New Roman" w:cs="Times New Roman"/>
          <w:color w:val="000000" w:themeColor="text1"/>
          <w:sz w:val="28"/>
          <w:szCs w:val="28"/>
        </w:rPr>
        <w:t>saistībā ar centralizēt</w:t>
      </w:r>
      <w:r w:rsidR="00BC0030" w:rsidRPr="003F18F0">
        <w:rPr>
          <w:rFonts w:ascii="Times New Roman" w:hAnsi="Times New Roman" w:cs="Times New Roman"/>
          <w:color w:val="000000" w:themeColor="text1"/>
          <w:sz w:val="28"/>
          <w:szCs w:val="28"/>
        </w:rPr>
        <w:t>o</w:t>
      </w:r>
      <w:r w:rsidR="002D7ABC" w:rsidRPr="003F18F0">
        <w:rPr>
          <w:rFonts w:ascii="Times New Roman" w:hAnsi="Times New Roman" w:cs="Times New Roman"/>
          <w:color w:val="000000" w:themeColor="text1"/>
          <w:sz w:val="28"/>
          <w:szCs w:val="28"/>
        </w:rPr>
        <w:t xml:space="preserve"> siltumapgādi tiek panākts būtisks energoefektivitātes uzlabojums un</w:t>
      </w:r>
      <w:r w:rsidR="003359C3">
        <w:rPr>
          <w:rFonts w:ascii="Times New Roman" w:hAnsi="Times New Roman" w:cs="Times New Roman"/>
          <w:color w:val="000000" w:themeColor="text1"/>
          <w:sz w:val="28"/>
          <w:szCs w:val="28"/>
        </w:rPr>
        <w:t xml:space="preserve"> SEG</w:t>
      </w:r>
      <w:r w:rsidR="002D7ABC" w:rsidRPr="003F18F0">
        <w:rPr>
          <w:rFonts w:ascii="Times New Roman" w:hAnsi="Times New Roman" w:cs="Times New Roman"/>
          <w:color w:val="000000" w:themeColor="text1"/>
          <w:sz w:val="28"/>
          <w:szCs w:val="28"/>
        </w:rPr>
        <w:t xml:space="preserve"> emisiju samazinājum</w:t>
      </w:r>
      <w:r w:rsidR="00BC0030" w:rsidRPr="003F18F0">
        <w:rPr>
          <w:rFonts w:ascii="Times New Roman" w:hAnsi="Times New Roman" w:cs="Times New Roman"/>
          <w:color w:val="000000" w:themeColor="text1"/>
          <w:sz w:val="28"/>
          <w:szCs w:val="28"/>
        </w:rPr>
        <w:t>s</w:t>
      </w:r>
      <w:r w:rsidR="002D7ABC" w:rsidRPr="003F18F0">
        <w:rPr>
          <w:rFonts w:ascii="Times New Roman" w:hAnsi="Times New Roman" w:cs="Times New Roman"/>
          <w:color w:val="000000" w:themeColor="text1"/>
          <w:sz w:val="28"/>
          <w:szCs w:val="28"/>
        </w:rPr>
        <w:t xml:space="preserve">. </w:t>
      </w:r>
    </w:p>
    <w:p w14:paraId="76F1BE6F" w14:textId="20F88D70" w:rsidR="00811703" w:rsidRPr="003F18F0" w:rsidRDefault="006E17BE" w:rsidP="00987C6B">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hAnsi="Times New Roman" w:cs="Times New Roman"/>
          <w:noProof/>
          <w:color w:val="000000" w:themeColor="text1"/>
          <w:sz w:val="28"/>
          <w:szCs w:val="28"/>
          <w:lang w:eastAsia="lv-LV"/>
        </w:rPr>
        <w:lastRenderedPageBreak/>
        <mc:AlternateContent>
          <mc:Choice Requires="wps">
            <w:drawing>
              <wp:anchor distT="0" distB="0" distL="114300" distR="114300" simplePos="0" relativeHeight="251658752" behindDoc="0" locked="0" layoutInCell="1" allowOverlap="1" wp14:anchorId="3ADB1B0E" wp14:editId="77CDD21F">
                <wp:simplePos x="0" y="0"/>
                <wp:positionH relativeFrom="column">
                  <wp:posOffset>2825750</wp:posOffset>
                </wp:positionH>
                <wp:positionV relativeFrom="paragraph">
                  <wp:posOffset>1263650</wp:posOffset>
                </wp:positionV>
                <wp:extent cx="0" cy="971550"/>
                <wp:effectExtent l="76200" t="0" r="76200" b="57150"/>
                <wp:wrapNone/>
                <wp:docPr id="3" name="Straight Arrow Connector 3"/>
                <wp:cNvGraphicFramePr/>
                <a:graphic xmlns:a="http://schemas.openxmlformats.org/drawingml/2006/main">
                  <a:graphicData uri="http://schemas.microsoft.com/office/word/2010/wordprocessingShape">
                    <wps:wsp>
                      <wps:cNvCnPr/>
                      <wps:spPr>
                        <a:xfrm>
                          <a:off x="0" y="0"/>
                          <a:ext cx="0" cy="97155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207EE9" id="_x0000_t32" coordsize="21600,21600" o:spt="32" o:oned="t" path="m,l21600,21600e" filled="f">
                <v:path arrowok="t" fillok="f" o:connecttype="none"/>
                <o:lock v:ext="edit" shapetype="t"/>
              </v:shapetype>
              <v:shape id="Straight Arrow Connector 3" o:spid="_x0000_s1026" type="#_x0000_t32" style="position:absolute;margin-left:222.5pt;margin-top:99.5pt;width:0;height:76.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" strokecolor="black [3213]">
                <v:stroke endarrow="classic" joinstyle="miter"/>
              </v:shape>
            </w:pict>
          </mc:Fallback>
        </mc:AlternateContent>
      </w:r>
      <w:r w:rsidR="00811703" w:rsidRPr="003F18F0">
        <w:rPr>
          <w:rFonts w:ascii="Times New Roman" w:hAnsi="Times New Roman" w:cs="Times New Roman"/>
          <w:noProof/>
          <w:color w:val="000000" w:themeColor="text1"/>
          <w:sz w:val="28"/>
          <w:szCs w:val="28"/>
          <w:lang w:eastAsia="lv-LV"/>
        </w:rPr>
        <w:drawing>
          <wp:inline distT="0" distB="0" distL="0" distR="0" wp14:anchorId="79869A7A" wp14:editId="660A10A3">
            <wp:extent cx="5274310" cy="2963492"/>
            <wp:effectExtent l="0" t="0" r="0" b="660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6B6657" w14:textId="45F51284" w:rsidR="006E17BE" w:rsidRPr="003F18F0" w:rsidRDefault="006E17BE" w:rsidP="00987C6B">
      <w:pPr>
        <w:spacing w:after="0" w:line="240" w:lineRule="auto"/>
        <w:ind w:left="567" w:right="-1"/>
        <w:jc w:val="center"/>
        <w:rPr>
          <w:rFonts w:ascii="Times New Roman" w:hAnsi="Times New Roman" w:cs="Times New Roman"/>
          <w:i/>
          <w:color w:val="000000" w:themeColor="text1"/>
          <w:sz w:val="28"/>
          <w:szCs w:val="28"/>
        </w:rPr>
      </w:pPr>
      <w:r w:rsidRPr="002366B5">
        <w:rPr>
          <w:rFonts w:ascii="Times New Roman" w:hAnsi="Times New Roman" w:cs="Times New Roman"/>
          <w:iCs/>
          <w:color w:val="000000" w:themeColor="text1"/>
          <w:sz w:val="28"/>
          <w:szCs w:val="28"/>
        </w:rPr>
        <w:t>Attēls N</w:t>
      </w:r>
      <w:r w:rsidR="00CA7B76" w:rsidRPr="002366B5">
        <w:rPr>
          <w:rFonts w:ascii="Times New Roman" w:hAnsi="Times New Roman" w:cs="Times New Roman"/>
          <w:iCs/>
          <w:color w:val="000000" w:themeColor="text1"/>
          <w:sz w:val="28"/>
          <w:szCs w:val="28"/>
        </w:rPr>
        <w:t>r.</w:t>
      </w:r>
      <w:r w:rsidR="006D0B13" w:rsidRPr="002366B5">
        <w:rPr>
          <w:rFonts w:ascii="Times New Roman" w:hAnsi="Times New Roman" w:cs="Times New Roman"/>
          <w:iCs/>
          <w:color w:val="000000" w:themeColor="text1"/>
          <w:sz w:val="28"/>
          <w:szCs w:val="28"/>
        </w:rPr>
        <w:t> </w:t>
      </w:r>
      <w:r w:rsidR="007343E4" w:rsidRPr="002366B5">
        <w:rPr>
          <w:rFonts w:ascii="Times New Roman" w:hAnsi="Times New Roman" w:cs="Times New Roman"/>
          <w:iCs/>
          <w:color w:val="000000" w:themeColor="text1"/>
          <w:sz w:val="28"/>
          <w:szCs w:val="28"/>
        </w:rPr>
        <w:t>3</w:t>
      </w:r>
      <w:r w:rsidRPr="002366B5">
        <w:rPr>
          <w:rFonts w:ascii="Times New Roman" w:hAnsi="Times New Roman" w:cs="Times New Roman"/>
          <w:iCs/>
          <w:color w:val="000000" w:themeColor="text1"/>
          <w:sz w:val="28"/>
          <w:szCs w:val="28"/>
        </w:rPr>
        <w:t>.</w:t>
      </w:r>
      <w:r w:rsidR="00CA7B76" w:rsidRPr="003F18F0">
        <w:rPr>
          <w:rFonts w:ascii="Times New Roman" w:hAnsi="Times New Roman" w:cs="Times New Roman"/>
          <w:color w:val="000000" w:themeColor="text1"/>
          <w:sz w:val="28"/>
          <w:szCs w:val="28"/>
        </w:rPr>
        <w:t>Vispārēj</w:t>
      </w:r>
      <w:r w:rsidR="0057265F" w:rsidRPr="003F18F0">
        <w:rPr>
          <w:rFonts w:ascii="Times New Roman" w:hAnsi="Times New Roman" w:cs="Times New Roman"/>
          <w:color w:val="000000" w:themeColor="text1"/>
          <w:sz w:val="28"/>
          <w:szCs w:val="28"/>
        </w:rPr>
        <w:t>ai</w:t>
      </w:r>
      <w:r w:rsidR="00CA7B76" w:rsidRPr="003F18F0">
        <w:rPr>
          <w:rFonts w:ascii="Times New Roman" w:hAnsi="Times New Roman" w:cs="Times New Roman"/>
          <w:color w:val="000000" w:themeColor="text1"/>
          <w:sz w:val="28"/>
          <w:szCs w:val="28"/>
        </w:rPr>
        <w:t>s Modernizācijas fonda pārvaldības process</w:t>
      </w:r>
    </w:p>
    <w:p w14:paraId="0BB8693B" w14:textId="77777777" w:rsidR="00872B44" w:rsidRPr="003F18F0" w:rsidRDefault="00872B44" w:rsidP="00987C6B">
      <w:pPr>
        <w:spacing w:after="0" w:line="240" w:lineRule="auto"/>
        <w:ind w:right="-1" w:firstLine="567"/>
        <w:jc w:val="both"/>
        <w:rPr>
          <w:rFonts w:ascii="Times New Roman" w:hAnsi="Times New Roman" w:cs="Times New Roman"/>
          <w:color w:val="000000" w:themeColor="text1"/>
          <w:sz w:val="28"/>
          <w:szCs w:val="28"/>
        </w:rPr>
      </w:pPr>
    </w:p>
    <w:p w14:paraId="08F0CAC7" w14:textId="43101603" w:rsidR="002D7ABC" w:rsidRPr="003F18F0" w:rsidRDefault="002D7ABC"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Investīciju komiteja ziņojumus un ieteikumus cenšas pieņemt ar </w:t>
      </w:r>
      <w:r w:rsidR="005926D9" w:rsidRPr="003F18F0">
        <w:rPr>
          <w:rFonts w:ascii="Times New Roman" w:hAnsi="Times New Roman" w:cs="Times New Roman"/>
          <w:color w:val="000000" w:themeColor="text1"/>
          <w:sz w:val="28"/>
          <w:szCs w:val="28"/>
        </w:rPr>
        <w:t>konsensu</w:t>
      </w:r>
      <w:r w:rsidRPr="003F18F0">
        <w:rPr>
          <w:rFonts w:ascii="Times New Roman" w:hAnsi="Times New Roman" w:cs="Times New Roman"/>
          <w:color w:val="000000" w:themeColor="text1"/>
          <w:sz w:val="28"/>
          <w:szCs w:val="28"/>
        </w:rPr>
        <w:t xml:space="preserve">. Ja </w:t>
      </w:r>
      <w:r w:rsidR="00E2114A" w:rsidRPr="003F18F0">
        <w:rPr>
          <w:rFonts w:ascii="Times New Roman" w:hAnsi="Times New Roman" w:cs="Times New Roman"/>
          <w:color w:val="000000" w:themeColor="text1"/>
          <w:sz w:val="28"/>
          <w:szCs w:val="28"/>
        </w:rPr>
        <w:t>I</w:t>
      </w:r>
      <w:r w:rsidRPr="003F18F0">
        <w:rPr>
          <w:rFonts w:ascii="Times New Roman" w:hAnsi="Times New Roman" w:cs="Times New Roman"/>
          <w:color w:val="000000" w:themeColor="text1"/>
          <w:sz w:val="28"/>
          <w:szCs w:val="28"/>
        </w:rPr>
        <w:t>nvestīciju komiteja</w:t>
      </w:r>
      <w:r w:rsidR="00E2114A" w:rsidRPr="003F18F0">
        <w:rPr>
          <w:rFonts w:ascii="Times New Roman" w:hAnsi="Times New Roman" w:cs="Times New Roman"/>
          <w:color w:val="000000" w:themeColor="text1"/>
          <w:sz w:val="28"/>
          <w:szCs w:val="28"/>
        </w:rPr>
        <w:t>s</w:t>
      </w:r>
      <w:r w:rsidRPr="003F18F0">
        <w:rPr>
          <w:rFonts w:ascii="Times New Roman" w:hAnsi="Times New Roman" w:cs="Times New Roman"/>
          <w:color w:val="000000" w:themeColor="text1"/>
          <w:sz w:val="28"/>
          <w:szCs w:val="28"/>
        </w:rPr>
        <w:t xml:space="preserve"> priekšsēdētāja noteiktajā termiņā</w:t>
      </w:r>
      <w:r w:rsidR="00E2114A" w:rsidRPr="003F18F0">
        <w:rPr>
          <w:rFonts w:ascii="Times New Roman" w:hAnsi="Times New Roman" w:cs="Times New Roman"/>
          <w:color w:val="000000" w:themeColor="text1"/>
          <w:sz w:val="28"/>
          <w:szCs w:val="28"/>
        </w:rPr>
        <w:t xml:space="preserve"> Investīciju komiteja</w:t>
      </w:r>
      <w:r w:rsidRPr="003F18F0">
        <w:rPr>
          <w:rFonts w:ascii="Times New Roman" w:hAnsi="Times New Roman" w:cs="Times New Roman"/>
          <w:color w:val="000000" w:themeColor="text1"/>
          <w:sz w:val="28"/>
          <w:szCs w:val="28"/>
        </w:rPr>
        <w:t xml:space="preserve"> nespēj pieņemt lēmumu ar </w:t>
      </w:r>
      <w:r w:rsidR="005926D9" w:rsidRPr="003F18F0">
        <w:rPr>
          <w:rFonts w:ascii="Times New Roman" w:hAnsi="Times New Roman" w:cs="Times New Roman"/>
          <w:color w:val="000000" w:themeColor="text1"/>
          <w:sz w:val="28"/>
          <w:szCs w:val="28"/>
        </w:rPr>
        <w:t>konsensu</w:t>
      </w:r>
      <w:r w:rsidRPr="003F18F0">
        <w:rPr>
          <w:rFonts w:ascii="Times New Roman" w:hAnsi="Times New Roman" w:cs="Times New Roman"/>
          <w:color w:val="000000" w:themeColor="text1"/>
          <w:sz w:val="28"/>
          <w:szCs w:val="28"/>
        </w:rPr>
        <w:t xml:space="preserve">, tā lēmumu pieņem ar vienkāršu balsu vairākumu. Ja EIB neapstiprina kāda investīciju projekta finansēšanu, ieteikumu pieņem tikai tad, ja </w:t>
      </w:r>
      <w:r w:rsidR="00601A09" w:rsidRPr="003F18F0">
        <w:rPr>
          <w:rFonts w:ascii="Times New Roman" w:hAnsi="Times New Roman" w:cs="Times New Roman"/>
          <w:color w:val="000000" w:themeColor="text1"/>
          <w:sz w:val="28"/>
          <w:szCs w:val="28"/>
        </w:rPr>
        <w:t xml:space="preserve">par to </w:t>
      </w:r>
      <w:r w:rsidRPr="003F18F0">
        <w:rPr>
          <w:rFonts w:ascii="Times New Roman" w:hAnsi="Times New Roman" w:cs="Times New Roman"/>
          <w:color w:val="000000" w:themeColor="text1"/>
          <w:sz w:val="28"/>
          <w:szCs w:val="28"/>
        </w:rPr>
        <w:t xml:space="preserve">balso </w:t>
      </w:r>
      <w:r w:rsidR="00601A09" w:rsidRPr="003F18F0">
        <w:rPr>
          <w:rFonts w:ascii="Times New Roman" w:hAnsi="Times New Roman" w:cs="Times New Roman"/>
          <w:color w:val="000000" w:themeColor="text1"/>
          <w:sz w:val="28"/>
          <w:szCs w:val="28"/>
        </w:rPr>
        <w:t xml:space="preserve">vismaz </w:t>
      </w:r>
      <w:r w:rsidRPr="003F18F0">
        <w:rPr>
          <w:rFonts w:ascii="Times New Roman" w:hAnsi="Times New Roman" w:cs="Times New Roman"/>
          <w:color w:val="000000" w:themeColor="text1"/>
          <w:sz w:val="28"/>
          <w:szCs w:val="28"/>
        </w:rPr>
        <w:t>div</w:t>
      </w:r>
      <w:r w:rsidR="00601A09" w:rsidRPr="003F18F0">
        <w:rPr>
          <w:rFonts w:ascii="Times New Roman" w:hAnsi="Times New Roman" w:cs="Times New Roman"/>
          <w:color w:val="000000" w:themeColor="text1"/>
          <w:sz w:val="28"/>
          <w:szCs w:val="28"/>
        </w:rPr>
        <w:t>as</w:t>
      </w:r>
      <w:r w:rsidRPr="003F18F0">
        <w:rPr>
          <w:rFonts w:ascii="Times New Roman" w:hAnsi="Times New Roman" w:cs="Times New Roman"/>
          <w:color w:val="000000" w:themeColor="text1"/>
          <w:sz w:val="28"/>
          <w:szCs w:val="28"/>
        </w:rPr>
        <w:t xml:space="preserve"> trešdaļ</w:t>
      </w:r>
      <w:r w:rsidR="00601A09" w:rsidRPr="003F18F0">
        <w:rPr>
          <w:rFonts w:ascii="Times New Roman" w:hAnsi="Times New Roman" w:cs="Times New Roman"/>
          <w:color w:val="000000" w:themeColor="text1"/>
          <w:sz w:val="28"/>
          <w:szCs w:val="28"/>
        </w:rPr>
        <w:t>as</w:t>
      </w:r>
      <w:r w:rsidRPr="003F18F0">
        <w:rPr>
          <w:rFonts w:ascii="Times New Roman" w:hAnsi="Times New Roman" w:cs="Times New Roman"/>
          <w:color w:val="000000" w:themeColor="text1"/>
          <w:sz w:val="28"/>
          <w:szCs w:val="28"/>
        </w:rPr>
        <w:t xml:space="preserve"> </w:t>
      </w:r>
      <w:r w:rsidR="00601A09" w:rsidRPr="003F18F0">
        <w:rPr>
          <w:rFonts w:ascii="Times New Roman" w:hAnsi="Times New Roman" w:cs="Times New Roman"/>
          <w:color w:val="000000" w:themeColor="text1"/>
          <w:sz w:val="28"/>
          <w:szCs w:val="28"/>
        </w:rPr>
        <w:t xml:space="preserve">EIB </w:t>
      </w:r>
      <w:r w:rsidR="007B0C64" w:rsidRPr="003F18F0">
        <w:rPr>
          <w:rFonts w:ascii="Times New Roman" w:hAnsi="Times New Roman" w:cs="Times New Roman"/>
          <w:color w:val="000000" w:themeColor="text1"/>
          <w:sz w:val="28"/>
          <w:szCs w:val="28"/>
        </w:rPr>
        <w:t>pār</w:t>
      </w:r>
      <w:r w:rsidR="00601A09" w:rsidRPr="003F18F0">
        <w:rPr>
          <w:rFonts w:ascii="Times New Roman" w:hAnsi="Times New Roman" w:cs="Times New Roman"/>
          <w:color w:val="000000" w:themeColor="text1"/>
          <w:sz w:val="28"/>
          <w:szCs w:val="28"/>
        </w:rPr>
        <w:t>stāvju</w:t>
      </w:r>
      <w:r w:rsidRPr="003F18F0">
        <w:rPr>
          <w:rFonts w:ascii="Times New Roman" w:hAnsi="Times New Roman" w:cs="Times New Roman"/>
          <w:color w:val="000000" w:themeColor="text1"/>
          <w:sz w:val="28"/>
          <w:szCs w:val="28"/>
        </w:rPr>
        <w:t>. Tādā gadījumā ne tās</w:t>
      </w:r>
      <w:r w:rsidR="00F11E08" w:rsidRPr="003F18F0">
        <w:rPr>
          <w:rFonts w:ascii="Times New Roman" w:hAnsi="Times New Roman" w:cs="Times New Roman"/>
          <w:color w:val="000000" w:themeColor="text1"/>
          <w:sz w:val="28"/>
          <w:szCs w:val="28"/>
        </w:rPr>
        <w:t xml:space="preserve"> ES</w:t>
      </w:r>
      <w:r w:rsidRPr="003F18F0">
        <w:rPr>
          <w:rFonts w:ascii="Times New Roman" w:hAnsi="Times New Roman" w:cs="Times New Roman"/>
          <w:color w:val="000000" w:themeColor="text1"/>
          <w:sz w:val="28"/>
          <w:szCs w:val="28"/>
        </w:rPr>
        <w:t xml:space="preserve"> dalībvalsts pārstāvim, kurā tiek realizēts investīciju projekts, ne EIB pārstāvim nav tiesību </w:t>
      </w:r>
      <w:r w:rsidR="00601A09" w:rsidRPr="003F18F0">
        <w:rPr>
          <w:rFonts w:ascii="Times New Roman" w:hAnsi="Times New Roman" w:cs="Times New Roman"/>
          <w:color w:val="000000" w:themeColor="text1"/>
          <w:sz w:val="28"/>
          <w:szCs w:val="28"/>
        </w:rPr>
        <w:t xml:space="preserve">piedalīties </w:t>
      </w:r>
      <w:r w:rsidRPr="003F18F0">
        <w:rPr>
          <w:rFonts w:ascii="Times New Roman" w:hAnsi="Times New Roman" w:cs="Times New Roman"/>
          <w:color w:val="000000" w:themeColor="text1"/>
          <w:sz w:val="28"/>
          <w:szCs w:val="28"/>
        </w:rPr>
        <w:t>balso</w:t>
      </w:r>
      <w:r w:rsidR="00601A09" w:rsidRPr="003F18F0">
        <w:rPr>
          <w:rFonts w:ascii="Times New Roman" w:hAnsi="Times New Roman" w:cs="Times New Roman"/>
          <w:color w:val="000000" w:themeColor="text1"/>
          <w:sz w:val="28"/>
          <w:szCs w:val="28"/>
        </w:rPr>
        <w:t>jumā</w:t>
      </w:r>
      <w:r w:rsidRPr="003F18F0">
        <w:rPr>
          <w:rFonts w:ascii="Times New Roman" w:hAnsi="Times New Roman" w:cs="Times New Roman"/>
          <w:color w:val="000000" w:themeColor="text1"/>
          <w:sz w:val="28"/>
          <w:szCs w:val="28"/>
        </w:rPr>
        <w:t xml:space="preserve">. </w:t>
      </w:r>
      <w:r w:rsidR="00601A09" w:rsidRPr="003F18F0">
        <w:rPr>
          <w:rFonts w:ascii="Times New Roman" w:hAnsi="Times New Roman" w:cs="Times New Roman"/>
          <w:color w:val="000000" w:themeColor="text1"/>
          <w:sz w:val="28"/>
          <w:szCs w:val="28"/>
        </w:rPr>
        <w:t>N</w:t>
      </w:r>
      <w:r w:rsidRPr="003F18F0">
        <w:rPr>
          <w:rFonts w:ascii="Times New Roman" w:hAnsi="Times New Roman" w:cs="Times New Roman"/>
          <w:color w:val="000000" w:themeColor="text1"/>
          <w:sz w:val="28"/>
          <w:szCs w:val="28"/>
        </w:rPr>
        <w:t xml:space="preserve">osacījums neattiecas uz neliela mēroga projektiem, ko finansē, izmantojot aizdevumus no valsts attīstību veicinošām bankām vai piešķīrumus kādas valsts programmas īstenošanai, kuras specifiskie mērķi saskan ar </w:t>
      </w:r>
      <w:r w:rsidR="00745FF9" w:rsidRPr="003F18F0">
        <w:rPr>
          <w:rFonts w:ascii="Times New Roman" w:hAnsi="Times New Roman" w:cs="Times New Roman"/>
          <w:color w:val="000000" w:themeColor="text1"/>
          <w:sz w:val="28"/>
          <w:szCs w:val="28"/>
        </w:rPr>
        <w:t>Modernizācijas fond</w:t>
      </w:r>
      <w:r w:rsidR="00E2114A"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mērķiem, ar </w:t>
      </w:r>
      <w:r w:rsidR="00F11E08" w:rsidRPr="003F18F0">
        <w:rPr>
          <w:rFonts w:ascii="Times New Roman" w:hAnsi="Times New Roman" w:cs="Times New Roman"/>
          <w:color w:val="000000" w:themeColor="text1"/>
          <w:sz w:val="28"/>
          <w:szCs w:val="28"/>
        </w:rPr>
        <w:t>nosacījumu</w:t>
      </w:r>
      <w:r w:rsidRPr="003F18F0">
        <w:rPr>
          <w:rFonts w:ascii="Times New Roman" w:hAnsi="Times New Roman" w:cs="Times New Roman"/>
          <w:color w:val="000000" w:themeColor="text1"/>
          <w:sz w:val="28"/>
          <w:szCs w:val="28"/>
        </w:rPr>
        <w:t>, ka ar programmu netiek izmantots vairāk par 10</w:t>
      </w:r>
      <w:r w:rsidR="00F11E08"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xml:space="preserve">% no attiecīgās </w:t>
      </w:r>
      <w:r w:rsidR="00F11E08" w:rsidRPr="003F18F0">
        <w:rPr>
          <w:rFonts w:ascii="Times New Roman" w:hAnsi="Times New Roman" w:cs="Times New Roman"/>
          <w:color w:val="000000" w:themeColor="text1"/>
          <w:sz w:val="28"/>
          <w:szCs w:val="28"/>
        </w:rPr>
        <w:t xml:space="preserve">ES </w:t>
      </w:r>
      <w:r w:rsidRPr="003F18F0">
        <w:rPr>
          <w:rFonts w:ascii="Times New Roman" w:hAnsi="Times New Roman" w:cs="Times New Roman"/>
          <w:color w:val="000000" w:themeColor="text1"/>
          <w:sz w:val="28"/>
          <w:szCs w:val="28"/>
        </w:rPr>
        <w:t xml:space="preserve">dalībvalsts daļas, kas noteikta Direktīvas 2003/87/EK </w:t>
      </w:r>
      <w:proofErr w:type="spellStart"/>
      <w:r w:rsidRPr="003F18F0">
        <w:rPr>
          <w:rFonts w:ascii="Times New Roman" w:hAnsi="Times New Roman" w:cs="Times New Roman"/>
          <w:color w:val="000000" w:themeColor="text1"/>
          <w:sz w:val="28"/>
          <w:szCs w:val="28"/>
        </w:rPr>
        <w:t>IIb</w:t>
      </w:r>
      <w:proofErr w:type="spellEnd"/>
      <w:r w:rsidRPr="003F18F0">
        <w:rPr>
          <w:rFonts w:ascii="Times New Roman" w:hAnsi="Times New Roman" w:cs="Times New Roman"/>
          <w:color w:val="000000" w:themeColor="text1"/>
          <w:sz w:val="28"/>
          <w:szCs w:val="28"/>
        </w:rPr>
        <w:t xml:space="preserve"> pielikumā</w:t>
      </w:r>
      <w:r w:rsidR="00695172" w:rsidRPr="003F18F0">
        <w:rPr>
          <w:rFonts w:ascii="Times New Roman" w:hAnsi="Times New Roman" w:cs="Times New Roman"/>
          <w:color w:val="000000" w:themeColor="text1"/>
          <w:sz w:val="28"/>
          <w:szCs w:val="28"/>
        </w:rPr>
        <w:t xml:space="preserve"> “Modernizācijas fonda līdzekļu sadalījums līdz 2030. gada 31. decembrim”</w:t>
      </w:r>
      <w:r w:rsidRPr="003F18F0">
        <w:rPr>
          <w:rFonts w:ascii="Times New Roman" w:hAnsi="Times New Roman" w:cs="Times New Roman"/>
          <w:color w:val="000000" w:themeColor="text1"/>
          <w:sz w:val="28"/>
          <w:szCs w:val="28"/>
        </w:rPr>
        <w:t>.</w:t>
      </w:r>
    </w:p>
    <w:p w14:paraId="189FF8B5" w14:textId="1C4FEFCD" w:rsidR="002D7ABC" w:rsidRPr="003F18F0" w:rsidRDefault="00F11E08" w:rsidP="001D0144">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ES </w:t>
      </w:r>
      <w:r w:rsidR="003359C3" w:rsidRPr="003F18F0">
        <w:rPr>
          <w:rFonts w:ascii="Times New Roman" w:hAnsi="Times New Roman" w:cs="Times New Roman"/>
          <w:color w:val="000000" w:themeColor="text1"/>
          <w:sz w:val="28"/>
          <w:szCs w:val="28"/>
        </w:rPr>
        <w:t>dalībvalstu</w:t>
      </w:r>
      <w:r w:rsidR="003359C3">
        <w:rPr>
          <w:rFonts w:ascii="Times New Roman" w:hAnsi="Times New Roman" w:cs="Times New Roman"/>
          <w:color w:val="000000" w:themeColor="text1"/>
          <w:sz w:val="28"/>
          <w:szCs w:val="28"/>
        </w:rPr>
        <w:t xml:space="preserve"> -</w:t>
      </w:r>
      <w:r w:rsidR="003359C3"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s</w:t>
      </w:r>
      <w:r w:rsidR="002D7ABC" w:rsidRPr="003F18F0">
        <w:rPr>
          <w:rFonts w:ascii="Times New Roman" w:hAnsi="Times New Roman" w:cs="Times New Roman"/>
          <w:color w:val="000000" w:themeColor="text1"/>
          <w:sz w:val="28"/>
          <w:szCs w:val="28"/>
        </w:rPr>
        <w:t xml:space="preserve">aņēmēju atbildībā ir </w:t>
      </w:r>
      <w:r w:rsidR="003359C3">
        <w:rPr>
          <w:rFonts w:ascii="Times New Roman" w:hAnsi="Times New Roman" w:cs="Times New Roman"/>
          <w:color w:val="000000" w:themeColor="text1"/>
          <w:sz w:val="28"/>
          <w:szCs w:val="28"/>
        </w:rPr>
        <w:t>uzraudzīt</w:t>
      </w:r>
      <w:r w:rsidR="002D7ABC" w:rsidRPr="003F18F0">
        <w:rPr>
          <w:rFonts w:ascii="Times New Roman" w:hAnsi="Times New Roman" w:cs="Times New Roman"/>
          <w:color w:val="000000" w:themeColor="text1"/>
          <w:sz w:val="28"/>
          <w:szCs w:val="28"/>
        </w:rPr>
        <w:t xml:space="preserve">, kā atlasītie projekti tiek īstenoti. </w:t>
      </w:r>
      <w:r w:rsidRPr="003F18F0">
        <w:rPr>
          <w:rFonts w:ascii="Times New Roman" w:hAnsi="Times New Roman" w:cs="Times New Roman"/>
          <w:color w:val="000000" w:themeColor="text1"/>
          <w:sz w:val="28"/>
          <w:szCs w:val="28"/>
        </w:rPr>
        <w:t xml:space="preserve">ES </w:t>
      </w:r>
      <w:r w:rsidR="002D7ABC" w:rsidRPr="003F18F0">
        <w:rPr>
          <w:rFonts w:ascii="Times New Roman" w:hAnsi="Times New Roman" w:cs="Times New Roman"/>
          <w:color w:val="000000" w:themeColor="text1"/>
          <w:sz w:val="28"/>
          <w:szCs w:val="28"/>
        </w:rPr>
        <w:t xml:space="preserve">dalībvalstis </w:t>
      </w:r>
      <w:r w:rsidR="003359C3">
        <w:rPr>
          <w:rFonts w:ascii="Times New Roman" w:hAnsi="Times New Roman" w:cs="Times New Roman"/>
          <w:color w:val="000000" w:themeColor="text1"/>
          <w:sz w:val="28"/>
          <w:szCs w:val="28"/>
        </w:rPr>
        <w:t xml:space="preserve">- </w:t>
      </w:r>
      <w:r w:rsidR="003359C3" w:rsidRPr="003F18F0">
        <w:rPr>
          <w:rFonts w:ascii="Times New Roman" w:hAnsi="Times New Roman" w:cs="Times New Roman"/>
          <w:color w:val="000000" w:themeColor="text1"/>
          <w:sz w:val="28"/>
          <w:szCs w:val="28"/>
        </w:rPr>
        <w:t xml:space="preserve">saņēmējas </w:t>
      </w:r>
      <w:r w:rsidR="002D7ABC" w:rsidRPr="003F18F0">
        <w:rPr>
          <w:rFonts w:ascii="Times New Roman" w:hAnsi="Times New Roman" w:cs="Times New Roman"/>
          <w:color w:val="000000" w:themeColor="text1"/>
          <w:sz w:val="28"/>
          <w:szCs w:val="28"/>
        </w:rPr>
        <w:t xml:space="preserve">ik gadu </w:t>
      </w:r>
      <w:r w:rsidR="00601A09" w:rsidRPr="003F18F0">
        <w:rPr>
          <w:rFonts w:ascii="Times New Roman" w:hAnsi="Times New Roman" w:cs="Times New Roman"/>
          <w:color w:val="000000" w:themeColor="text1"/>
          <w:sz w:val="28"/>
          <w:szCs w:val="28"/>
        </w:rPr>
        <w:t>iesniedz ziņojumu</w:t>
      </w:r>
      <w:r w:rsidR="002D7ABC" w:rsidRPr="003F18F0">
        <w:rPr>
          <w:rFonts w:ascii="Times New Roman" w:hAnsi="Times New Roman" w:cs="Times New Roman"/>
          <w:color w:val="000000" w:themeColor="text1"/>
          <w:sz w:val="28"/>
          <w:szCs w:val="28"/>
        </w:rPr>
        <w:t xml:space="preserve"> EK par </w:t>
      </w:r>
      <w:r w:rsidR="00745FF9" w:rsidRPr="003F18F0">
        <w:rPr>
          <w:rFonts w:ascii="Times New Roman" w:hAnsi="Times New Roman" w:cs="Times New Roman"/>
          <w:color w:val="000000" w:themeColor="text1"/>
          <w:sz w:val="28"/>
          <w:szCs w:val="28"/>
        </w:rPr>
        <w:t>Modernizācijas fond</w:t>
      </w:r>
      <w:r w:rsidR="00B5186F" w:rsidRPr="003F18F0">
        <w:rPr>
          <w:rFonts w:ascii="Times New Roman" w:hAnsi="Times New Roman" w:cs="Times New Roman"/>
          <w:color w:val="000000" w:themeColor="text1"/>
          <w:sz w:val="28"/>
          <w:szCs w:val="28"/>
        </w:rPr>
        <w:t>a</w:t>
      </w:r>
      <w:r w:rsidR="002D7ABC" w:rsidRPr="003F18F0">
        <w:rPr>
          <w:rFonts w:ascii="Times New Roman" w:hAnsi="Times New Roman" w:cs="Times New Roman"/>
          <w:color w:val="000000" w:themeColor="text1"/>
          <w:sz w:val="28"/>
          <w:szCs w:val="28"/>
        </w:rPr>
        <w:t xml:space="preserve"> </w:t>
      </w:r>
      <w:r w:rsidR="00601A09" w:rsidRPr="003F18F0">
        <w:rPr>
          <w:rFonts w:ascii="Times New Roman" w:hAnsi="Times New Roman" w:cs="Times New Roman"/>
          <w:color w:val="000000" w:themeColor="text1"/>
          <w:sz w:val="28"/>
          <w:szCs w:val="28"/>
        </w:rPr>
        <w:t>ieguldījumiem.</w:t>
      </w:r>
      <w:r w:rsidR="00114D82" w:rsidRPr="003F18F0">
        <w:rPr>
          <w:rFonts w:ascii="Times New Roman" w:hAnsi="Times New Roman" w:cs="Times New Roman"/>
          <w:color w:val="000000" w:themeColor="text1"/>
          <w:sz w:val="28"/>
          <w:szCs w:val="28"/>
        </w:rPr>
        <w:t xml:space="preserve"> </w:t>
      </w:r>
      <w:r w:rsidR="00601A09" w:rsidRPr="003F18F0">
        <w:rPr>
          <w:rFonts w:ascii="Times New Roman" w:hAnsi="Times New Roman" w:cs="Times New Roman"/>
          <w:color w:val="000000" w:themeColor="text1"/>
          <w:sz w:val="28"/>
          <w:szCs w:val="28"/>
        </w:rPr>
        <w:t>Z</w:t>
      </w:r>
      <w:r w:rsidR="002D7ABC" w:rsidRPr="003F18F0">
        <w:rPr>
          <w:rFonts w:ascii="Times New Roman" w:hAnsi="Times New Roman" w:cs="Times New Roman"/>
          <w:color w:val="000000" w:themeColor="text1"/>
          <w:sz w:val="28"/>
          <w:szCs w:val="28"/>
        </w:rPr>
        <w:t>iņojum</w:t>
      </w:r>
      <w:r w:rsidR="00114D82" w:rsidRPr="003F18F0">
        <w:rPr>
          <w:rFonts w:ascii="Times New Roman" w:hAnsi="Times New Roman" w:cs="Times New Roman"/>
          <w:color w:val="000000" w:themeColor="text1"/>
          <w:sz w:val="28"/>
          <w:szCs w:val="28"/>
        </w:rPr>
        <w:t>am</w:t>
      </w:r>
      <w:r w:rsidR="002D7ABC" w:rsidRPr="003F18F0">
        <w:rPr>
          <w:rFonts w:ascii="Times New Roman" w:hAnsi="Times New Roman" w:cs="Times New Roman"/>
          <w:color w:val="000000" w:themeColor="text1"/>
          <w:sz w:val="28"/>
          <w:szCs w:val="28"/>
        </w:rPr>
        <w:t xml:space="preserve"> ir </w:t>
      </w:r>
      <w:r w:rsidR="00114D82" w:rsidRPr="003F18F0">
        <w:rPr>
          <w:rFonts w:ascii="Times New Roman" w:hAnsi="Times New Roman" w:cs="Times New Roman"/>
          <w:color w:val="000000" w:themeColor="text1"/>
          <w:sz w:val="28"/>
          <w:szCs w:val="28"/>
        </w:rPr>
        <w:t xml:space="preserve">jābūt </w:t>
      </w:r>
      <w:r w:rsidR="002D7ABC" w:rsidRPr="003F18F0">
        <w:rPr>
          <w:rFonts w:ascii="Times New Roman" w:hAnsi="Times New Roman" w:cs="Times New Roman"/>
          <w:color w:val="000000" w:themeColor="text1"/>
          <w:sz w:val="28"/>
          <w:szCs w:val="28"/>
        </w:rPr>
        <w:t>publiski pieejam</w:t>
      </w:r>
      <w:r w:rsidR="00114D82" w:rsidRPr="003F18F0">
        <w:rPr>
          <w:rFonts w:ascii="Times New Roman" w:hAnsi="Times New Roman" w:cs="Times New Roman"/>
          <w:color w:val="000000" w:themeColor="text1"/>
          <w:sz w:val="28"/>
          <w:szCs w:val="28"/>
        </w:rPr>
        <w:t>am</w:t>
      </w:r>
      <w:r w:rsidR="003359C3">
        <w:rPr>
          <w:rFonts w:ascii="Times New Roman" w:hAnsi="Times New Roman" w:cs="Times New Roman"/>
          <w:color w:val="000000" w:themeColor="text1"/>
          <w:sz w:val="28"/>
          <w:szCs w:val="28"/>
        </w:rPr>
        <w:t>,</w:t>
      </w:r>
      <w:r w:rsidR="002D7ABC" w:rsidRPr="003F18F0">
        <w:rPr>
          <w:rFonts w:ascii="Times New Roman" w:hAnsi="Times New Roman" w:cs="Times New Roman"/>
          <w:color w:val="000000" w:themeColor="text1"/>
          <w:sz w:val="28"/>
          <w:szCs w:val="28"/>
        </w:rPr>
        <w:t xml:space="preserve"> </w:t>
      </w:r>
      <w:r w:rsidR="00601A09" w:rsidRPr="003F18F0">
        <w:rPr>
          <w:rFonts w:ascii="Times New Roman" w:hAnsi="Times New Roman" w:cs="Times New Roman"/>
          <w:color w:val="000000" w:themeColor="text1"/>
          <w:sz w:val="28"/>
          <w:szCs w:val="28"/>
        </w:rPr>
        <w:t>jā</w:t>
      </w:r>
      <w:r w:rsidR="002D7ABC" w:rsidRPr="003F18F0">
        <w:rPr>
          <w:rFonts w:ascii="Times New Roman" w:hAnsi="Times New Roman" w:cs="Times New Roman"/>
          <w:color w:val="000000" w:themeColor="text1"/>
          <w:sz w:val="28"/>
          <w:szCs w:val="28"/>
        </w:rPr>
        <w:t>ietver informācij</w:t>
      </w:r>
      <w:r w:rsidR="00601A09" w:rsidRPr="003F18F0">
        <w:rPr>
          <w:rFonts w:ascii="Times New Roman" w:hAnsi="Times New Roman" w:cs="Times New Roman"/>
          <w:color w:val="000000" w:themeColor="text1"/>
          <w:sz w:val="28"/>
          <w:szCs w:val="28"/>
        </w:rPr>
        <w:t>a</w:t>
      </w:r>
      <w:r w:rsidR="002D7ABC" w:rsidRPr="003F18F0">
        <w:rPr>
          <w:rFonts w:ascii="Times New Roman" w:hAnsi="Times New Roman" w:cs="Times New Roman"/>
          <w:color w:val="000000" w:themeColor="text1"/>
          <w:sz w:val="28"/>
          <w:szCs w:val="28"/>
        </w:rPr>
        <w:t xml:space="preserve"> par </w:t>
      </w:r>
      <w:r w:rsidR="00601A09" w:rsidRPr="003F18F0">
        <w:rPr>
          <w:rFonts w:ascii="Times New Roman" w:hAnsi="Times New Roman" w:cs="Times New Roman"/>
          <w:color w:val="000000" w:themeColor="text1"/>
          <w:sz w:val="28"/>
          <w:szCs w:val="28"/>
        </w:rPr>
        <w:t>ieguldījumiem</w:t>
      </w:r>
      <w:r w:rsidR="002D7ABC" w:rsidRPr="003F18F0">
        <w:rPr>
          <w:rFonts w:ascii="Times New Roman" w:hAnsi="Times New Roman" w:cs="Times New Roman"/>
          <w:color w:val="000000" w:themeColor="text1"/>
          <w:sz w:val="28"/>
          <w:szCs w:val="28"/>
        </w:rPr>
        <w:t xml:space="preserve"> katrā </w:t>
      </w:r>
      <w:r w:rsidRPr="003F18F0">
        <w:rPr>
          <w:rFonts w:ascii="Times New Roman" w:hAnsi="Times New Roman" w:cs="Times New Roman"/>
          <w:color w:val="000000" w:themeColor="text1"/>
          <w:sz w:val="28"/>
          <w:szCs w:val="28"/>
        </w:rPr>
        <w:t xml:space="preserve">ES </w:t>
      </w:r>
      <w:r w:rsidR="002D7ABC" w:rsidRPr="003F18F0">
        <w:rPr>
          <w:rFonts w:ascii="Times New Roman" w:hAnsi="Times New Roman" w:cs="Times New Roman"/>
          <w:color w:val="000000" w:themeColor="text1"/>
          <w:sz w:val="28"/>
          <w:szCs w:val="28"/>
        </w:rPr>
        <w:t>saņēmējā dalībvalstī un novērtējum</w:t>
      </w:r>
      <w:r w:rsidR="00601A09" w:rsidRPr="003F18F0">
        <w:rPr>
          <w:rFonts w:ascii="Times New Roman" w:hAnsi="Times New Roman" w:cs="Times New Roman"/>
          <w:color w:val="000000" w:themeColor="text1"/>
          <w:sz w:val="28"/>
          <w:szCs w:val="28"/>
        </w:rPr>
        <w:t>s</w:t>
      </w:r>
      <w:r w:rsidR="002D7ABC" w:rsidRPr="003F18F0">
        <w:rPr>
          <w:rFonts w:ascii="Times New Roman" w:hAnsi="Times New Roman" w:cs="Times New Roman"/>
          <w:color w:val="000000" w:themeColor="text1"/>
          <w:sz w:val="28"/>
          <w:szCs w:val="28"/>
        </w:rPr>
        <w:t xml:space="preserve"> par </w:t>
      </w:r>
      <w:r w:rsidRPr="003F18F0">
        <w:rPr>
          <w:rFonts w:ascii="Times New Roman" w:hAnsi="Times New Roman" w:cs="Times New Roman"/>
          <w:color w:val="000000" w:themeColor="text1"/>
          <w:sz w:val="28"/>
          <w:szCs w:val="28"/>
        </w:rPr>
        <w:t xml:space="preserve">ieguldījumu </w:t>
      </w:r>
      <w:r w:rsidR="002D7ABC" w:rsidRPr="003F18F0">
        <w:rPr>
          <w:rFonts w:ascii="Times New Roman" w:hAnsi="Times New Roman" w:cs="Times New Roman"/>
          <w:color w:val="000000" w:themeColor="text1"/>
          <w:sz w:val="28"/>
          <w:szCs w:val="28"/>
        </w:rPr>
        <w:t>doto pievienoto vērtību energoefektivitātes vai energosistēmas modernizācijas ziņā.</w:t>
      </w:r>
    </w:p>
    <w:p w14:paraId="22179511" w14:textId="30E656CC" w:rsidR="00AF002F" w:rsidRPr="003F18F0" w:rsidRDefault="00AF002F" w:rsidP="001D0144">
      <w:pPr>
        <w:spacing w:after="0" w:line="240" w:lineRule="auto"/>
        <w:ind w:right="-1" w:firstLine="567"/>
        <w:jc w:val="both"/>
        <w:rPr>
          <w:rFonts w:ascii="Times New Roman" w:eastAsia="Arial Unicode MS" w:hAnsi="Times New Roman" w:cs="Times New Roman"/>
          <w:color w:val="000000" w:themeColor="text1"/>
          <w:sz w:val="28"/>
          <w:szCs w:val="28"/>
          <w:shd w:val="clear" w:color="auto" w:fill="FFFFFF"/>
        </w:rPr>
      </w:pPr>
      <w:r w:rsidRPr="003F18F0">
        <w:rPr>
          <w:rFonts w:ascii="Times New Roman" w:eastAsia="Arial Unicode MS" w:hAnsi="Times New Roman" w:cs="Times New Roman"/>
          <w:color w:val="000000" w:themeColor="text1"/>
          <w:sz w:val="28"/>
          <w:szCs w:val="28"/>
          <w:shd w:val="clear" w:color="auto" w:fill="FFFFFF"/>
        </w:rPr>
        <w:t xml:space="preserve">Investīciju komiteja ik gadu ziņo EK par pieredzi </w:t>
      </w:r>
      <w:r w:rsidR="00050CDE" w:rsidRPr="003F18F0">
        <w:rPr>
          <w:rFonts w:ascii="Times New Roman" w:eastAsia="Arial Unicode MS" w:hAnsi="Times New Roman" w:cs="Times New Roman"/>
          <w:color w:val="000000" w:themeColor="text1"/>
          <w:sz w:val="28"/>
          <w:szCs w:val="28"/>
          <w:shd w:val="clear" w:color="auto" w:fill="FFFFFF"/>
        </w:rPr>
        <w:t xml:space="preserve">ieguldījumu </w:t>
      </w:r>
      <w:r w:rsidRPr="003F18F0">
        <w:rPr>
          <w:rFonts w:ascii="Times New Roman" w:eastAsia="Arial Unicode MS" w:hAnsi="Times New Roman" w:cs="Times New Roman"/>
          <w:color w:val="000000" w:themeColor="text1"/>
          <w:sz w:val="28"/>
          <w:szCs w:val="28"/>
          <w:shd w:val="clear" w:color="auto" w:fill="FFFFFF"/>
        </w:rPr>
        <w:t xml:space="preserve">izvērtēšanā. </w:t>
      </w:r>
      <w:r w:rsidR="006E17BE" w:rsidRPr="003F18F0">
        <w:rPr>
          <w:rFonts w:ascii="Times New Roman" w:eastAsia="Arial Unicode MS" w:hAnsi="Times New Roman" w:cs="Times New Roman"/>
          <w:color w:val="000000" w:themeColor="text1"/>
          <w:sz w:val="28"/>
          <w:szCs w:val="28"/>
          <w:shd w:val="clear" w:color="auto" w:fill="FFFFFF"/>
        </w:rPr>
        <w:t>EK</w:t>
      </w:r>
      <w:r w:rsidRPr="003F18F0">
        <w:rPr>
          <w:rFonts w:ascii="Times New Roman" w:eastAsia="Arial Unicode MS" w:hAnsi="Times New Roman" w:cs="Times New Roman"/>
          <w:color w:val="000000" w:themeColor="text1"/>
          <w:sz w:val="28"/>
          <w:szCs w:val="28"/>
          <w:shd w:val="clear" w:color="auto" w:fill="FFFFFF"/>
        </w:rPr>
        <w:t xml:space="preserve">, ņemot vērā </w:t>
      </w:r>
      <w:r w:rsidR="00F11E08" w:rsidRPr="003F18F0">
        <w:rPr>
          <w:rFonts w:ascii="Times New Roman" w:eastAsia="Arial Unicode MS" w:hAnsi="Times New Roman" w:cs="Times New Roman"/>
          <w:color w:val="000000" w:themeColor="text1"/>
          <w:sz w:val="28"/>
          <w:szCs w:val="28"/>
          <w:shd w:val="clear" w:color="auto" w:fill="FFFFFF"/>
        </w:rPr>
        <w:t>I</w:t>
      </w:r>
      <w:r w:rsidRPr="003F18F0">
        <w:rPr>
          <w:rFonts w:ascii="Times New Roman" w:eastAsia="Arial Unicode MS" w:hAnsi="Times New Roman" w:cs="Times New Roman"/>
          <w:color w:val="000000" w:themeColor="text1"/>
          <w:sz w:val="28"/>
          <w:szCs w:val="28"/>
          <w:shd w:val="clear" w:color="auto" w:fill="FFFFFF"/>
        </w:rPr>
        <w:t xml:space="preserve">nvestīciju komitejas </w:t>
      </w:r>
      <w:r w:rsidR="00050CDE" w:rsidRPr="003F18F0">
        <w:rPr>
          <w:rFonts w:ascii="Times New Roman" w:eastAsia="Arial Unicode MS" w:hAnsi="Times New Roman" w:cs="Times New Roman"/>
          <w:color w:val="000000" w:themeColor="text1"/>
          <w:sz w:val="28"/>
          <w:szCs w:val="28"/>
          <w:shd w:val="clear" w:color="auto" w:fill="FFFFFF"/>
        </w:rPr>
        <w:t>ieteikumus</w:t>
      </w:r>
      <w:r w:rsidRPr="003F18F0">
        <w:rPr>
          <w:rFonts w:ascii="Times New Roman" w:eastAsia="Arial Unicode MS" w:hAnsi="Times New Roman" w:cs="Times New Roman"/>
          <w:color w:val="000000" w:themeColor="text1"/>
          <w:sz w:val="28"/>
          <w:szCs w:val="28"/>
          <w:shd w:val="clear" w:color="auto" w:fill="FFFFFF"/>
        </w:rPr>
        <w:t xml:space="preserve">, līdz 2024. gada 31. decembrim pārskata Direktīvas 2003/87/EK 10.d panta 2. punktā minētās projektu jomas un </w:t>
      </w:r>
      <w:r w:rsidR="00050CDE" w:rsidRPr="003F18F0">
        <w:rPr>
          <w:rFonts w:ascii="Times New Roman" w:eastAsia="Arial Unicode MS" w:hAnsi="Times New Roman" w:cs="Times New Roman"/>
          <w:color w:val="000000" w:themeColor="text1"/>
          <w:sz w:val="28"/>
          <w:szCs w:val="28"/>
          <w:shd w:val="clear" w:color="auto" w:fill="FFFFFF"/>
        </w:rPr>
        <w:t>argumentus</w:t>
      </w:r>
      <w:r w:rsidRPr="003F18F0">
        <w:rPr>
          <w:rFonts w:ascii="Times New Roman" w:eastAsia="Arial Unicode MS" w:hAnsi="Times New Roman" w:cs="Times New Roman"/>
          <w:color w:val="000000" w:themeColor="text1"/>
          <w:sz w:val="28"/>
          <w:szCs w:val="28"/>
          <w:shd w:val="clear" w:color="auto" w:fill="FFFFFF"/>
        </w:rPr>
        <w:t xml:space="preserve">, </w:t>
      </w:r>
      <w:r w:rsidR="00050CDE" w:rsidRPr="003F18F0">
        <w:rPr>
          <w:rFonts w:ascii="Times New Roman" w:eastAsia="Arial Unicode MS" w:hAnsi="Times New Roman" w:cs="Times New Roman"/>
          <w:color w:val="000000" w:themeColor="text1"/>
          <w:sz w:val="28"/>
          <w:szCs w:val="28"/>
          <w:shd w:val="clear" w:color="auto" w:fill="FFFFFF"/>
        </w:rPr>
        <w:t xml:space="preserve">kas izmantoti </w:t>
      </w:r>
      <w:r w:rsidR="003812C3" w:rsidRPr="003F18F0">
        <w:rPr>
          <w:rFonts w:ascii="Times New Roman" w:eastAsia="Arial Unicode MS" w:hAnsi="Times New Roman" w:cs="Times New Roman"/>
          <w:color w:val="000000" w:themeColor="text1"/>
          <w:sz w:val="28"/>
          <w:szCs w:val="28"/>
          <w:shd w:val="clear" w:color="auto" w:fill="FFFFFF"/>
        </w:rPr>
        <w:t>I</w:t>
      </w:r>
      <w:r w:rsidRPr="003F18F0">
        <w:rPr>
          <w:rFonts w:ascii="Times New Roman" w:eastAsia="Arial Unicode MS" w:hAnsi="Times New Roman" w:cs="Times New Roman"/>
          <w:color w:val="000000" w:themeColor="text1"/>
          <w:sz w:val="28"/>
          <w:szCs w:val="28"/>
          <w:shd w:val="clear" w:color="auto" w:fill="FFFFFF"/>
        </w:rPr>
        <w:t>nvestīciju komiteja</w:t>
      </w:r>
      <w:r w:rsidR="00050CDE" w:rsidRPr="003F18F0">
        <w:rPr>
          <w:rFonts w:ascii="Times New Roman" w:eastAsia="Arial Unicode MS" w:hAnsi="Times New Roman" w:cs="Times New Roman"/>
          <w:color w:val="000000" w:themeColor="text1"/>
          <w:sz w:val="28"/>
          <w:szCs w:val="28"/>
          <w:shd w:val="clear" w:color="auto" w:fill="FFFFFF"/>
        </w:rPr>
        <w:t>s</w:t>
      </w:r>
      <w:r w:rsidRPr="003F18F0">
        <w:rPr>
          <w:rFonts w:ascii="Times New Roman" w:eastAsia="Arial Unicode MS" w:hAnsi="Times New Roman" w:cs="Times New Roman"/>
          <w:color w:val="000000" w:themeColor="text1"/>
          <w:sz w:val="28"/>
          <w:szCs w:val="28"/>
          <w:shd w:val="clear" w:color="auto" w:fill="FFFFFF"/>
        </w:rPr>
        <w:t xml:space="preserve"> ieteikumu</w:t>
      </w:r>
      <w:r w:rsidR="00050CDE" w:rsidRPr="003F18F0">
        <w:rPr>
          <w:rFonts w:ascii="Times New Roman" w:eastAsia="Arial Unicode MS" w:hAnsi="Times New Roman" w:cs="Times New Roman"/>
          <w:color w:val="000000" w:themeColor="text1"/>
          <w:sz w:val="28"/>
          <w:szCs w:val="28"/>
          <w:shd w:val="clear" w:color="auto" w:fill="FFFFFF"/>
        </w:rPr>
        <w:t xml:space="preserve"> gatavošanā</w:t>
      </w:r>
      <w:r w:rsidRPr="003F18F0">
        <w:rPr>
          <w:rFonts w:ascii="Times New Roman" w:eastAsia="Arial Unicode MS" w:hAnsi="Times New Roman" w:cs="Times New Roman"/>
          <w:color w:val="000000" w:themeColor="text1"/>
          <w:sz w:val="28"/>
          <w:szCs w:val="28"/>
          <w:shd w:val="clear" w:color="auto" w:fill="FFFFFF"/>
        </w:rPr>
        <w:t>.</w:t>
      </w:r>
    </w:p>
    <w:p w14:paraId="3D571389" w14:textId="5102F05F" w:rsidR="00F633AE" w:rsidRPr="00F633AE" w:rsidRDefault="00083B94" w:rsidP="002366B5">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D</w:t>
      </w:r>
      <w:r w:rsidR="00A2123C" w:rsidRPr="003F18F0">
        <w:rPr>
          <w:rFonts w:ascii="Times New Roman" w:hAnsi="Times New Roman" w:cs="Times New Roman"/>
          <w:color w:val="000000" w:themeColor="text1"/>
          <w:sz w:val="28"/>
          <w:szCs w:val="28"/>
        </w:rPr>
        <w:t xml:space="preserve">alībvalstis var pieteikt EIB ne tikai atsevišķus projektus, bet arī daudzgadu programmas (esošas vai no jauna veidotas). </w:t>
      </w:r>
      <w:r w:rsidR="00F633AE">
        <w:rPr>
          <w:rFonts w:ascii="Times New Roman" w:hAnsi="Times New Roman" w:cs="Times New Roman"/>
          <w:color w:val="000000" w:themeColor="text1"/>
          <w:sz w:val="28"/>
          <w:szCs w:val="28"/>
        </w:rPr>
        <w:t xml:space="preserve">Attiecībā uz daudzgadu programmu </w:t>
      </w:r>
      <w:r w:rsidR="00A2123C" w:rsidRPr="003F18F0">
        <w:rPr>
          <w:rFonts w:ascii="Times New Roman" w:hAnsi="Times New Roman" w:cs="Times New Roman"/>
          <w:color w:val="000000" w:themeColor="text1"/>
          <w:sz w:val="28"/>
          <w:szCs w:val="28"/>
        </w:rPr>
        <w:t>Modernizācijas fonda darbības regulas 2.</w:t>
      </w:r>
      <w:r w:rsidRPr="003F18F0">
        <w:rPr>
          <w:rFonts w:ascii="Times New Roman" w:hAnsi="Times New Roman" w:cs="Times New Roman"/>
          <w:color w:val="000000" w:themeColor="text1"/>
          <w:sz w:val="28"/>
          <w:szCs w:val="28"/>
        </w:rPr>
        <w:t> </w:t>
      </w:r>
      <w:r w:rsidR="00A2123C" w:rsidRPr="003F18F0">
        <w:rPr>
          <w:rFonts w:ascii="Times New Roman" w:hAnsi="Times New Roman" w:cs="Times New Roman"/>
          <w:color w:val="000000" w:themeColor="text1"/>
          <w:sz w:val="28"/>
          <w:szCs w:val="28"/>
        </w:rPr>
        <w:t xml:space="preserve">panta </w:t>
      </w:r>
      <w:r w:rsidR="005A096C">
        <w:rPr>
          <w:rFonts w:ascii="Times New Roman" w:hAnsi="Times New Roman" w:cs="Times New Roman"/>
          <w:color w:val="000000" w:themeColor="text1"/>
          <w:sz w:val="28"/>
          <w:szCs w:val="28"/>
        </w:rPr>
        <w:t>5</w:t>
      </w:r>
      <w:r w:rsidR="00A2123C" w:rsidRPr="003F18F0">
        <w:rPr>
          <w:rFonts w:ascii="Times New Roman" w:hAnsi="Times New Roman" w:cs="Times New Roman"/>
          <w:color w:val="000000" w:themeColor="text1"/>
          <w:sz w:val="28"/>
          <w:szCs w:val="28"/>
        </w:rPr>
        <w:t>) punktā tiek definēt</w:t>
      </w:r>
      <w:r w:rsidR="005A096C">
        <w:rPr>
          <w:rFonts w:ascii="Times New Roman" w:hAnsi="Times New Roman" w:cs="Times New Roman"/>
          <w:color w:val="000000" w:themeColor="text1"/>
          <w:sz w:val="28"/>
          <w:szCs w:val="28"/>
        </w:rPr>
        <w:t>s termins</w:t>
      </w:r>
      <w:r w:rsidR="00A2123C" w:rsidRPr="003F18F0">
        <w:rPr>
          <w:rFonts w:ascii="Times New Roman" w:hAnsi="Times New Roman" w:cs="Times New Roman"/>
          <w:color w:val="000000" w:themeColor="text1"/>
          <w:sz w:val="28"/>
          <w:szCs w:val="28"/>
        </w:rPr>
        <w:t xml:space="preserve"> “</w:t>
      </w:r>
      <w:r w:rsidR="005A096C">
        <w:rPr>
          <w:rFonts w:ascii="Times New Roman" w:hAnsi="Times New Roman" w:cs="Times New Roman"/>
          <w:color w:val="000000" w:themeColor="text1"/>
          <w:sz w:val="28"/>
          <w:szCs w:val="28"/>
        </w:rPr>
        <w:t>shēma</w:t>
      </w:r>
      <w:r w:rsidR="00A2123C" w:rsidRPr="003F18F0">
        <w:rPr>
          <w:rFonts w:ascii="Times New Roman" w:hAnsi="Times New Roman" w:cs="Times New Roman"/>
          <w:color w:val="000000" w:themeColor="text1"/>
          <w:sz w:val="28"/>
          <w:szCs w:val="28"/>
        </w:rPr>
        <w:t>”</w:t>
      </w:r>
      <w:r w:rsidR="00F633AE">
        <w:rPr>
          <w:rFonts w:ascii="Times New Roman" w:hAnsi="Times New Roman" w:cs="Times New Roman"/>
          <w:color w:val="000000" w:themeColor="text1"/>
          <w:sz w:val="28"/>
          <w:szCs w:val="28"/>
        </w:rPr>
        <w:t xml:space="preserve">, kas </w:t>
      </w:r>
      <w:r w:rsidR="00F633AE" w:rsidRPr="00F633AE">
        <w:rPr>
          <w:rFonts w:ascii="Times New Roman" w:hAnsi="Times New Roman" w:cs="Times New Roman"/>
          <w:color w:val="000000" w:themeColor="text1"/>
          <w:sz w:val="28"/>
          <w:szCs w:val="28"/>
        </w:rPr>
        <w:t>ir ieguldījumu priekšlikums, kas atbilst šādiem kritērijiem:</w:t>
      </w:r>
    </w:p>
    <w:p w14:paraId="509553B2" w14:textId="67E9C23A" w:rsidR="00F633AE" w:rsidRPr="002366B5" w:rsidRDefault="00F633AE" w:rsidP="002366B5">
      <w:pPr>
        <w:pStyle w:val="ListParagraph"/>
        <w:numPr>
          <w:ilvl w:val="0"/>
          <w:numId w:val="55"/>
        </w:numPr>
        <w:spacing w:after="0" w:line="240" w:lineRule="auto"/>
        <w:ind w:left="0" w:right="-1" w:firstLine="426"/>
        <w:jc w:val="both"/>
        <w:rPr>
          <w:rFonts w:ascii="Times New Roman" w:hAnsi="Times New Roman" w:cs="Times New Roman"/>
          <w:color w:val="000000" w:themeColor="text1"/>
          <w:sz w:val="28"/>
          <w:szCs w:val="28"/>
        </w:rPr>
      </w:pPr>
      <w:r w:rsidRPr="002366B5">
        <w:rPr>
          <w:rFonts w:ascii="Times New Roman" w:hAnsi="Times New Roman" w:cs="Times New Roman"/>
          <w:color w:val="000000" w:themeColor="text1"/>
          <w:sz w:val="28"/>
          <w:szCs w:val="28"/>
        </w:rPr>
        <w:lastRenderedPageBreak/>
        <w:t>tas satur konsekventu prioritāšu kopumu, kas atbilst Modernizācijas fonda mērķiem, un, ņemot vērā shēmā ietverto projektu īpatnības, to var kvalificēt kā prioritāru, vai neprioritāru ieguldījumu;</w:t>
      </w:r>
    </w:p>
    <w:p w14:paraId="0BB8C735" w14:textId="0C25CB43" w:rsidR="00F633AE" w:rsidRPr="002366B5" w:rsidRDefault="00F633AE" w:rsidP="002366B5">
      <w:pPr>
        <w:pStyle w:val="ListParagraph"/>
        <w:numPr>
          <w:ilvl w:val="0"/>
          <w:numId w:val="55"/>
        </w:numPr>
        <w:spacing w:after="0" w:line="240" w:lineRule="auto"/>
        <w:ind w:left="0" w:right="-1" w:firstLine="426"/>
        <w:jc w:val="both"/>
        <w:rPr>
          <w:rFonts w:ascii="Times New Roman" w:hAnsi="Times New Roman" w:cs="Times New Roman"/>
          <w:color w:val="000000" w:themeColor="text1"/>
          <w:sz w:val="28"/>
          <w:szCs w:val="28"/>
        </w:rPr>
      </w:pPr>
      <w:r w:rsidRPr="002366B5">
        <w:rPr>
          <w:rFonts w:ascii="Times New Roman" w:hAnsi="Times New Roman" w:cs="Times New Roman"/>
          <w:color w:val="000000" w:themeColor="text1"/>
          <w:sz w:val="28"/>
          <w:szCs w:val="28"/>
        </w:rPr>
        <w:t>tā ilgums pārsniedz vienu gadu;</w:t>
      </w:r>
    </w:p>
    <w:p w14:paraId="4ABEF32D" w14:textId="78CC4DEA" w:rsidR="00F633AE" w:rsidRPr="002366B5" w:rsidRDefault="00F633AE" w:rsidP="002366B5">
      <w:pPr>
        <w:pStyle w:val="ListParagraph"/>
        <w:numPr>
          <w:ilvl w:val="0"/>
          <w:numId w:val="55"/>
        </w:numPr>
        <w:spacing w:after="0" w:line="240" w:lineRule="auto"/>
        <w:ind w:left="0" w:right="-1" w:firstLine="426"/>
        <w:jc w:val="both"/>
        <w:rPr>
          <w:rFonts w:ascii="Times New Roman" w:hAnsi="Times New Roman" w:cs="Times New Roman"/>
          <w:color w:val="000000" w:themeColor="text1"/>
          <w:sz w:val="28"/>
          <w:szCs w:val="28"/>
        </w:rPr>
      </w:pPr>
      <w:r w:rsidRPr="002366B5">
        <w:rPr>
          <w:rFonts w:ascii="Times New Roman" w:hAnsi="Times New Roman" w:cs="Times New Roman"/>
          <w:color w:val="000000" w:themeColor="text1"/>
          <w:sz w:val="28"/>
          <w:szCs w:val="28"/>
        </w:rPr>
        <w:t>tai ir valsts vai reģiona mērogs;</w:t>
      </w:r>
    </w:p>
    <w:p w14:paraId="7E1CA86D" w14:textId="688924B7" w:rsidR="00A2123C" w:rsidRPr="002366B5" w:rsidRDefault="00F633AE" w:rsidP="002366B5">
      <w:pPr>
        <w:pStyle w:val="ListParagraph"/>
        <w:numPr>
          <w:ilvl w:val="0"/>
          <w:numId w:val="55"/>
        </w:numPr>
        <w:spacing w:after="0" w:line="240" w:lineRule="auto"/>
        <w:ind w:left="0" w:right="-1" w:firstLine="426"/>
        <w:jc w:val="both"/>
        <w:rPr>
          <w:rFonts w:ascii="Times New Roman" w:hAnsi="Times New Roman" w:cs="Times New Roman"/>
          <w:color w:val="000000" w:themeColor="text1"/>
          <w:sz w:val="28"/>
          <w:szCs w:val="28"/>
        </w:rPr>
      </w:pPr>
      <w:r w:rsidRPr="002366B5">
        <w:rPr>
          <w:rFonts w:ascii="Times New Roman" w:hAnsi="Times New Roman" w:cs="Times New Roman"/>
          <w:color w:val="000000" w:themeColor="text1"/>
          <w:sz w:val="28"/>
          <w:szCs w:val="28"/>
        </w:rPr>
        <w:t xml:space="preserve">tā mērķis ir atbalstīt vairāk nekā vienu publisku vai privātu personu vai organizāciju, kas atbild par projektu uzsākšanu vai ierosināšanu un īstenošanu saskaņā ar shēmu. </w:t>
      </w:r>
      <w:r w:rsidR="00083B94" w:rsidRPr="002366B5">
        <w:rPr>
          <w:rFonts w:ascii="Times New Roman" w:hAnsi="Times New Roman" w:cs="Times New Roman"/>
          <w:color w:val="000000" w:themeColor="text1"/>
          <w:sz w:val="28"/>
          <w:szCs w:val="28"/>
        </w:rPr>
        <w:t xml:space="preserve"> </w:t>
      </w:r>
    </w:p>
    <w:p w14:paraId="1AEE0845" w14:textId="1B6D5755" w:rsidR="00644104" w:rsidRPr="003F18F0" w:rsidRDefault="00130E0F"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Ievērojot to, ka VARAM saskaņā ar Ministru kabineta 2011. gada 29. marta noteikumu Nr. 233 “Vides aizsardzības un reģionālās attīstības ministrijas nolikums” 4. punktu ir atbildīg</w:t>
      </w:r>
      <w:r w:rsidR="00DE3714" w:rsidRPr="003F18F0">
        <w:rPr>
          <w:rFonts w:ascii="Times New Roman" w:hAnsi="Times New Roman" w:cs="Times New Roman"/>
          <w:color w:val="000000" w:themeColor="text1"/>
          <w:sz w:val="28"/>
          <w:szCs w:val="28"/>
        </w:rPr>
        <w:t>ā iestāde</w:t>
      </w:r>
      <w:r w:rsidRPr="003F18F0">
        <w:rPr>
          <w:rFonts w:ascii="Times New Roman" w:hAnsi="Times New Roman" w:cs="Times New Roman"/>
          <w:color w:val="000000" w:themeColor="text1"/>
          <w:sz w:val="28"/>
          <w:szCs w:val="28"/>
        </w:rPr>
        <w:t xml:space="preserve"> par vides, dabas aizsardzības un klimata politikas izstrādi un tostarp nodrošina līdzdalību </w:t>
      </w:r>
      <w:r w:rsidR="00DE3714" w:rsidRPr="003F18F0">
        <w:rPr>
          <w:rFonts w:ascii="Times New Roman" w:hAnsi="Times New Roman" w:cs="Times New Roman"/>
          <w:color w:val="000000" w:themeColor="text1"/>
          <w:sz w:val="28"/>
          <w:szCs w:val="28"/>
        </w:rPr>
        <w:t>ES</w:t>
      </w:r>
      <w:r w:rsidRPr="003F18F0">
        <w:rPr>
          <w:rFonts w:ascii="Times New Roman" w:hAnsi="Times New Roman" w:cs="Times New Roman"/>
          <w:color w:val="000000" w:themeColor="text1"/>
          <w:sz w:val="28"/>
          <w:szCs w:val="28"/>
        </w:rPr>
        <w:t xml:space="preserve"> </w:t>
      </w:r>
      <w:r w:rsidR="00C03BFD" w:rsidRPr="003F18F0">
        <w:rPr>
          <w:rFonts w:ascii="Times New Roman" w:hAnsi="Times New Roman" w:cs="Times New Roman"/>
          <w:color w:val="000000" w:themeColor="text1"/>
          <w:sz w:val="28"/>
          <w:szCs w:val="28"/>
        </w:rPr>
        <w:t>ETS</w:t>
      </w:r>
      <w:r w:rsidRPr="003F18F0">
        <w:rPr>
          <w:rFonts w:ascii="Times New Roman" w:hAnsi="Times New Roman" w:cs="Times New Roman"/>
          <w:color w:val="000000" w:themeColor="text1"/>
          <w:sz w:val="28"/>
          <w:szCs w:val="28"/>
        </w:rPr>
        <w:t xml:space="preserve"> un izpilda Latvijas saistības attiecībā uz </w:t>
      </w:r>
      <w:r w:rsidR="00C03BFD" w:rsidRPr="003F18F0">
        <w:rPr>
          <w:rFonts w:ascii="Times New Roman" w:hAnsi="Times New Roman" w:cs="Times New Roman"/>
          <w:color w:val="000000" w:themeColor="text1"/>
          <w:sz w:val="28"/>
          <w:szCs w:val="28"/>
        </w:rPr>
        <w:t>SEG</w:t>
      </w:r>
      <w:r w:rsidRPr="003F18F0">
        <w:rPr>
          <w:rFonts w:ascii="Times New Roman" w:hAnsi="Times New Roman" w:cs="Times New Roman"/>
          <w:color w:val="000000" w:themeColor="text1"/>
          <w:sz w:val="28"/>
          <w:szCs w:val="28"/>
        </w:rPr>
        <w:t xml:space="preserve"> emisiju samazināšanu un oglekļa dioksīda piesaisti likuma “Par piesārņojumu” 2. panta </w:t>
      </w:r>
      <w:r w:rsidR="00682742" w:rsidRPr="003F18F0">
        <w:rPr>
          <w:rFonts w:ascii="Times New Roman" w:hAnsi="Times New Roman" w:cs="Times New Roman"/>
          <w:color w:val="000000" w:themeColor="text1"/>
          <w:sz w:val="28"/>
          <w:szCs w:val="28"/>
        </w:rPr>
        <w:t>8</w:t>
      </w:r>
      <w:r w:rsidRPr="003F18F0">
        <w:rPr>
          <w:rFonts w:ascii="Times New Roman" w:hAnsi="Times New Roman" w:cs="Times New Roman"/>
          <w:color w:val="000000" w:themeColor="text1"/>
          <w:sz w:val="28"/>
          <w:szCs w:val="28"/>
        </w:rPr>
        <w:t>. punkta izpratnē, par</w:t>
      </w:r>
      <w:r w:rsidR="00794040" w:rsidRPr="003F18F0">
        <w:rPr>
          <w:rFonts w:ascii="Times New Roman" w:hAnsi="Times New Roman" w:cs="Times New Roman"/>
          <w:color w:val="000000" w:themeColor="text1"/>
          <w:sz w:val="28"/>
          <w:szCs w:val="28"/>
        </w:rPr>
        <w:t xml:space="preserve"> </w:t>
      </w:r>
      <w:r w:rsidR="00EC07B0" w:rsidRPr="00EB3822">
        <w:rPr>
          <w:rFonts w:ascii="Times New Roman" w:hAnsi="Times New Roman" w:cs="Times New Roman"/>
          <w:color w:val="000000" w:themeColor="text1"/>
          <w:sz w:val="28"/>
          <w:szCs w:val="28"/>
          <w:shd w:val="clear" w:color="auto" w:fill="FFFFFF"/>
        </w:rPr>
        <w:t xml:space="preserve">Eiropas Parlamenta un Padomes </w:t>
      </w:r>
      <w:r w:rsidR="00EC07B0" w:rsidRPr="00EB3822">
        <w:rPr>
          <w:rFonts w:ascii="Times New Roman" w:hAnsi="Times New Roman" w:cs="Times New Roman"/>
          <w:color w:val="000000" w:themeColor="text1"/>
          <w:sz w:val="28"/>
          <w:szCs w:val="28"/>
        </w:rPr>
        <w:t xml:space="preserve">2018. gada 14. marta </w:t>
      </w:r>
      <w:r w:rsidR="00EC07B0" w:rsidRPr="00EB3822">
        <w:rPr>
          <w:rFonts w:ascii="Times New Roman" w:hAnsi="Times New Roman" w:cs="Times New Roman"/>
          <w:color w:val="000000" w:themeColor="text1"/>
          <w:sz w:val="28"/>
          <w:szCs w:val="28"/>
          <w:shd w:val="clear" w:color="auto" w:fill="FFFFFF"/>
        </w:rPr>
        <w:t>Direktīvas (ES) 2018/410,</w:t>
      </w:r>
      <w:r w:rsidR="00EC07B0" w:rsidRPr="003F18F0">
        <w:rPr>
          <w:rFonts w:ascii="Times New Roman" w:hAnsi="Times New Roman" w:cs="Times New Roman"/>
          <w:i/>
          <w:color w:val="000000" w:themeColor="text1"/>
          <w:sz w:val="28"/>
          <w:szCs w:val="28"/>
          <w:shd w:val="clear" w:color="auto" w:fill="FFFFFF"/>
        </w:rPr>
        <w:t xml:space="preserve"> ar ko groza Direktīvu 2003/87/EK, lai sekmētu emisiju </w:t>
      </w:r>
      <w:proofErr w:type="spellStart"/>
      <w:r w:rsidR="00EC07B0" w:rsidRPr="003F18F0">
        <w:rPr>
          <w:rFonts w:ascii="Times New Roman" w:hAnsi="Times New Roman" w:cs="Times New Roman"/>
          <w:i/>
          <w:color w:val="000000" w:themeColor="text1"/>
          <w:sz w:val="28"/>
          <w:szCs w:val="28"/>
          <w:shd w:val="clear" w:color="auto" w:fill="FFFFFF"/>
        </w:rPr>
        <w:t>izmaksefektīvu</w:t>
      </w:r>
      <w:proofErr w:type="spellEnd"/>
      <w:r w:rsidR="00EC07B0" w:rsidRPr="003F18F0">
        <w:rPr>
          <w:rFonts w:ascii="Times New Roman" w:hAnsi="Times New Roman" w:cs="Times New Roman"/>
          <w:i/>
          <w:color w:val="000000" w:themeColor="text1"/>
          <w:sz w:val="28"/>
          <w:szCs w:val="28"/>
          <w:shd w:val="clear" w:color="auto" w:fill="FFFFFF"/>
        </w:rPr>
        <w:t xml:space="preserve"> samazināšanu un investīcijas </w:t>
      </w:r>
      <w:proofErr w:type="spellStart"/>
      <w:r w:rsidR="00EC07B0" w:rsidRPr="003F18F0">
        <w:rPr>
          <w:rFonts w:ascii="Times New Roman" w:hAnsi="Times New Roman" w:cs="Times New Roman"/>
          <w:i/>
          <w:color w:val="000000" w:themeColor="text1"/>
          <w:sz w:val="28"/>
          <w:szCs w:val="28"/>
          <w:shd w:val="clear" w:color="auto" w:fill="FFFFFF"/>
        </w:rPr>
        <w:t>mazoglekļa</w:t>
      </w:r>
      <w:proofErr w:type="spellEnd"/>
      <w:r w:rsidR="00EC07B0" w:rsidRPr="003F18F0">
        <w:rPr>
          <w:rFonts w:ascii="Times New Roman" w:hAnsi="Times New Roman" w:cs="Times New Roman"/>
          <w:i/>
          <w:color w:val="000000" w:themeColor="text1"/>
          <w:sz w:val="28"/>
          <w:szCs w:val="28"/>
          <w:shd w:val="clear" w:color="auto" w:fill="FFFFFF"/>
        </w:rPr>
        <w:t xml:space="preserve"> risinājumos, un Lēmumu (ES) 2015/1814 </w:t>
      </w:r>
      <w:r w:rsidR="00EC07B0" w:rsidRPr="003F18F0">
        <w:rPr>
          <w:rFonts w:ascii="Times New Roman" w:hAnsi="Times New Roman" w:cs="Times New Roman"/>
          <w:color w:val="000000" w:themeColor="text1"/>
          <w:sz w:val="28"/>
          <w:szCs w:val="28"/>
          <w:shd w:val="clear" w:color="auto" w:fill="FFFFFF"/>
        </w:rPr>
        <w:t>(turpmāk – Direktīva 2018/410)</w:t>
      </w:r>
      <w:r w:rsidR="00EC07B0" w:rsidRPr="003F18F0">
        <w:rPr>
          <w:rFonts w:ascii="Times New Roman" w:hAnsi="Times New Roman" w:cs="Times New Roman"/>
          <w:color w:val="000000" w:themeColor="text1"/>
          <w:sz w:val="28"/>
          <w:szCs w:val="28"/>
        </w:rPr>
        <w:t xml:space="preserve"> </w:t>
      </w:r>
      <w:r w:rsidR="00B3189D" w:rsidRPr="003F18F0">
        <w:rPr>
          <w:rFonts w:ascii="Times New Roman" w:hAnsi="Times New Roman" w:cs="Times New Roman"/>
          <w:color w:val="000000" w:themeColor="text1"/>
          <w:sz w:val="28"/>
          <w:szCs w:val="28"/>
        </w:rPr>
        <w:t>pārņemšan</w:t>
      </w:r>
      <w:r w:rsidR="00B3189D">
        <w:rPr>
          <w:rFonts w:ascii="Times New Roman" w:hAnsi="Times New Roman" w:cs="Times New Roman"/>
          <w:color w:val="000000" w:themeColor="text1"/>
          <w:sz w:val="28"/>
          <w:szCs w:val="28"/>
        </w:rPr>
        <w:t>u</w:t>
      </w:r>
      <w:r w:rsidR="00B3189D"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Latvijas nacionālajā likumdošanā</w:t>
      </w:r>
      <w:r w:rsidR="00794040" w:rsidRPr="003F18F0">
        <w:rPr>
          <w:rFonts w:ascii="Times New Roman" w:hAnsi="Times New Roman" w:cs="Times New Roman"/>
          <w:color w:val="000000" w:themeColor="text1"/>
          <w:sz w:val="28"/>
          <w:szCs w:val="28"/>
        </w:rPr>
        <w:t>, t.sk. tās 10.</w:t>
      </w:r>
      <w:r w:rsidR="00C13D95" w:rsidRPr="003F18F0">
        <w:rPr>
          <w:rFonts w:ascii="Times New Roman" w:hAnsi="Times New Roman" w:cs="Times New Roman"/>
          <w:color w:val="000000" w:themeColor="text1"/>
          <w:sz w:val="28"/>
          <w:szCs w:val="28"/>
        </w:rPr>
        <w:t> </w:t>
      </w:r>
      <w:r w:rsidR="00794040" w:rsidRPr="003F18F0">
        <w:rPr>
          <w:rFonts w:ascii="Times New Roman" w:hAnsi="Times New Roman" w:cs="Times New Roman"/>
          <w:color w:val="000000" w:themeColor="text1"/>
          <w:sz w:val="28"/>
          <w:szCs w:val="28"/>
        </w:rPr>
        <w:t xml:space="preserve">d pantu </w:t>
      </w:r>
      <w:r w:rsidRPr="003F18F0">
        <w:rPr>
          <w:rFonts w:ascii="Times New Roman" w:hAnsi="Times New Roman" w:cs="Times New Roman"/>
          <w:color w:val="000000" w:themeColor="text1"/>
          <w:sz w:val="28"/>
          <w:szCs w:val="28"/>
        </w:rPr>
        <w:t xml:space="preserve">par Modernizācijas fondu, </w:t>
      </w:r>
      <w:r w:rsidR="00794040" w:rsidRPr="003F18F0">
        <w:rPr>
          <w:rFonts w:ascii="Times New Roman" w:hAnsi="Times New Roman" w:cs="Times New Roman"/>
          <w:color w:val="000000" w:themeColor="text1"/>
          <w:sz w:val="28"/>
          <w:szCs w:val="28"/>
        </w:rPr>
        <w:t xml:space="preserve">ir atbildīga VARAM. </w:t>
      </w:r>
    </w:p>
    <w:p w14:paraId="5639AF8F" w14:textId="0B36EC8E" w:rsidR="00794040" w:rsidRPr="003F18F0" w:rsidRDefault="00644104" w:rsidP="00987C6B">
      <w:pPr>
        <w:spacing w:after="0" w:line="240" w:lineRule="auto"/>
        <w:ind w:right="-1" w:firstLine="709"/>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rPr>
        <w:t xml:space="preserve">Modernizācijas fonda finansējums tiks nodrošināts izsolot emisijas kvotas. </w:t>
      </w:r>
      <w:r w:rsidR="009F21F7" w:rsidRPr="003F18F0">
        <w:rPr>
          <w:rFonts w:ascii="Times New Roman" w:hAnsi="Times New Roman" w:cs="Times New Roman"/>
          <w:color w:val="000000" w:themeColor="text1"/>
          <w:sz w:val="28"/>
          <w:szCs w:val="28"/>
          <w:shd w:val="clear" w:color="auto" w:fill="FFFFFF"/>
        </w:rPr>
        <w:t xml:space="preserve">Saskaņā ar </w:t>
      </w:r>
      <w:r w:rsidR="00EF11A8" w:rsidRPr="003F18F0">
        <w:rPr>
          <w:rFonts w:ascii="Times New Roman" w:hAnsi="Times New Roman" w:cs="Times New Roman"/>
          <w:color w:val="000000" w:themeColor="text1"/>
          <w:sz w:val="28"/>
          <w:szCs w:val="28"/>
          <w:shd w:val="clear" w:color="auto" w:fill="FFFFFF"/>
        </w:rPr>
        <w:t>Direktīvas 2018/410 preambulas 16</w:t>
      </w:r>
      <w:r w:rsidR="00346844" w:rsidRPr="003F18F0">
        <w:rPr>
          <w:rFonts w:ascii="Times New Roman" w:hAnsi="Times New Roman" w:cs="Times New Roman"/>
          <w:color w:val="000000" w:themeColor="text1"/>
          <w:sz w:val="28"/>
          <w:szCs w:val="28"/>
          <w:shd w:val="clear" w:color="auto" w:fill="FFFFFF"/>
        </w:rPr>
        <w:t>.</w:t>
      </w:r>
      <w:r w:rsidR="00AE09F3" w:rsidRPr="003F18F0">
        <w:rPr>
          <w:rFonts w:ascii="Times New Roman" w:hAnsi="Times New Roman" w:cs="Times New Roman"/>
          <w:color w:val="000000" w:themeColor="text1"/>
          <w:sz w:val="28"/>
          <w:szCs w:val="28"/>
          <w:shd w:val="clear" w:color="auto" w:fill="FFFFFF"/>
        </w:rPr>
        <w:t> </w:t>
      </w:r>
      <w:r w:rsidR="00EF11A8" w:rsidRPr="003F18F0">
        <w:rPr>
          <w:rFonts w:ascii="Times New Roman" w:hAnsi="Times New Roman" w:cs="Times New Roman"/>
          <w:color w:val="000000" w:themeColor="text1"/>
          <w:sz w:val="28"/>
          <w:szCs w:val="28"/>
          <w:shd w:val="clear" w:color="auto" w:fill="FFFFFF"/>
        </w:rPr>
        <w:t>punktā norādīt</w:t>
      </w:r>
      <w:r w:rsidRPr="003F18F0">
        <w:rPr>
          <w:rFonts w:ascii="Times New Roman" w:hAnsi="Times New Roman" w:cs="Times New Roman"/>
          <w:color w:val="000000" w:themeColor="text1"/>
          <w:sz w:val="28"/>
          <w:szCs w:val="28"/>
          <w:shd w:val="clear" w:color="auto" w:fill="FFFFFF"/>
        </w:rPr>
        <w:t>o,</w:t>
      </w:r>
      <w:r w:rsidR="00EF11A8" w:rsidRPr="003F18F0">
        <w:rPr>
          <w:rFonts w:ascii="Times New Roman" w:hAnsi="Times New Roman" w:cs="Times New Roman"/>
          <w:color w:val="000000" w:themeColor="text1"/>
          <w:sz w:val="28"/>
          <w:szCs w:val="28"/>
          <w:shd w:val="clear" w:color="auto" w:fill="FFFFFF"/>
        </w:rPr>
        <w:t xml:space="preserve"> Modernizācijas fonda </w:t>
      </w:r>
      <w:r w:rsidR="00E815C6" w:rsidRPr="003F18F0">
        <w:rPr>
          <w:rFonts w:ascii="Times New Roman" w:hAnsi="Times New Roman" w:cs="Times New Roman"/>
          <w:color w:val="000000" w:themeColor="text1"/>
          <w:sz w:val="28"/>
          <w:szCs w:val="28"/>
          <w:shd w:val="clear" w:color="auto" w:fill="FFFFFF"/>
        </w:rPr>
        <w:t xml:space="preserve">emisijas </w:t>
      </w:r>
      <w:r w:rsidR="00EF11A8" w:rsidRPr="003F18F0">
        <w:rPr>
          <w:rFonts w:ascii="Times New Roman" w:hAnsi="Times New Roman" w:cs="Times New Roman"/>
          <w:color w:val="000000" w:themeColor="text1"/>
          <w:sz w:val="28"/>
          <w:szCs w:val="28"/>
          <w:shd w:val="clear" w:color="auto" w:fill="FFFFFF"/>
        </w:rPr>
        <w:t xml:space="preserve">kvotas tiks izsolītas saskaņā ar </w:t>
      </w:r>
      <w:r w:rsidR="008F6709" w:rsidRPr="00EB3822">
        <w:rPr>
          <w:rFonts w:ascii="Times New Roman" w:hAnsi="Times New Roman" w:cs="Times New Roman"/>
          <w:color w:val="000000" w:themeColor="text1"/>
          <w:sz w:val="28"/>
          <w:szCs w:val="28"/>
          <w:shd w:val="clear" w:color="auto" w:fill="FFFFFF"/>
        </w:rPr>
        <w:t>2010.</w:t>
      </w:r>
      <w:r w:rsidR="00E41BEC" w:rsidRPr="00EB3822">
        <w:rPr>
          <w:rFonts w:ascii="Times New Roman" w:hAnsi="Times New Roman" w:cs="Times New Roman"/>
          <w:color w:val="000000" w:themeColor="text1"/>
          <w:sz w:val="28"/>
          <w:szCs w:val="28"/>
          <w:shd w:val="clear" w:color="auto" w:fill="FFFFFF"/>
        </w:rPr>
        <w:t> </w:t>
      </w:r>
      <w:r w:rsidR="008F6709" w:rsidRPr="00EB3822">
        <w:rPr>
          <w:rFonts w:ascii="Times New Roman" w:hAnsi="Times New Roman" w:cs="Times New Roman"/>
          <w:color w:val="000000" w:themeColor="text1"/>
          <w:sz w:val="28"/>
          <w:szCs w:val="28"/>
          <w:shd w:val="clear" w:color="auto" w:fill="FFFFFF"/>
        </w:rPr>
        <w:t>gada 12.</w:t>
      </w:r>
      <w:r w:rsidR="00E41BEC" w:rsidRPr="00EB3822">
        <w:rPr>
          <w:rFonts w:ascii="Times New Roman" w:hAnsi="Times New Roman" w:cs="Times New Roman"/>
          <w:color w:val="000000" w:themeColor="text1"/>
          <w:sz w:val="28"/>
          <w:szCs w:val="28"/>
          <w:shd w:val="clear" w:color="auto" w:fill="FFFFFF"/>
        </w:rPr>
        <w:t> </w:t>
      </w:r>
      <w:r w:rsidR="008F6709" w:rsidRPr="00EB3822">
        <w:rPr>
          <w:rFonts w:ascii="Times New Roman" w:hAnsi="Times New Roman" w:cs="Times New Roman"/>
          <w:color w:val="000000" w:themeColor="text1"/>
          <w:sz w:val="28"/>
          <w:szCs w:val="28"/>
          <w:shd w:val="clear" w:color="auto" w:fill="FFFFFF"/>
        </w:rPr>
        <w:t>novembra Eiropas Komisijas Regulu (ES) Nr.</w:t>
      </w:r>
      <w:r w:rsidR="00E41BEC" w:rsidRPr="00EB3822">
        <w:rPr>
          <w:rFonts w:ascii="Times New Roman" w:hAnsi="Times New Roman" w:cs="Times New Roman"/>
          <w:color w:val="000000" w:themeColor="text1"/>
          <w:sz w:val="28"/>
          <w:szCs w:val="28"/>
          <w:shd w:val="clear" w:color="auto" w:fill="FFFFFF"/>
        </w:rPr>
        <w:t> </w:t>
      </w:r>
      <w:r w:rsidR="008F6709" w:rsidRPr="00EB3822">
        <w:rPr>
          <w:rFonts w:ascii="Times New Roman" w:hAnsi="Times New Roman" w:cs="Times New Roman"/>
          <w:color w:val="000000" w:themeColor="text1"/>
          <w:sz w:val="28"/>
          <w:szCs w:val="28"/>
          <w:shd w:val="clear" w:color="auto" w:fill="FFFFFF"/>
        </w:rPr>
        <w:t>1031/2010</w:t>
      </w:r>
      <w:r w:rsidR="008F6709" w:rsidRPr="002366B5">
        <w:rPr>
          <w:rFonts w:ascii="Times New Roman" w:hAnsi="Times New Roman" w:cs="Times New Roman"/>
          <w:i/>
          <w:color w:val="000000" w:themeColor="text1"/>
          <w:sz w:val="28"/>
          <w:szCs w:val="28"/>
          <w:shd w:val="clear" w:color="auto" w:fill="FFFFFF"/>
        </w:rPr>
        <w:t>, par siltumnīcas efektu izraisošo gāzu emisiju kvotu izsoļu laika grafiku, administrēšanu un citiem aspektiem saskaņā ar Eiropas Parlamenta un Padomes Direktīvu 2003/87/EK, ar kuru nosaka sistēmu siltumnīcas efektu izraisošo gāzu emisijas kvotu tirdzniecībai Savienībā</w:t>
      </w:r>
      <w:r w:rsidR="008F6709">
        <w:rPr>
          <w:rFonts w:ascii="Times New Roman" w:hAnsi="Times New Roman" w:cs="Times New Roman"/>
          <w:color w:val="000000" w:themeColor="text1"/>
          <w:sz w:val="28"/>
          <w:szCs w:val="28"/>
          <w:shd w:val="clear" w:color="auto" w:fill="FFFFFF"/>
        </w:rPr>
        <w:t xml:space="preserve"> (turpmāk</w:t>
      </w:r>
      <w:r w:rsidR="00E41BEC">
        <w:rPr>
          <w:rFonts w:ascii="Times New Roman" w:hAnsi="Times New Roman" w:cs="Times New Roman"/>
          <w:color w:val="000000" w:themeColor="text1"/>
          <w:sz w:val="28"/>
          <w:szCs w:val="28"/>
          <w:shd w:val="clear" w:color="auto" w:fill="FFFFFF"/>
        </w:rPr>
        <w:t> - </w:t>
      </w:r>
      <w:r w:rsidR="008F6709">
        <w:rPr>
          <w:rFonts w:ascii="Times New Roman" w:hAnsi="Times New Roman" w:cs="Times New Roman"/>
          <w:color w:val="000000" w:themeColor="text1"/>
          <w:sz w:val="28"/>
          <w:szCs w:val="28"/>
          <w:shd w:val="clear" w:color="auto" w:fill="FFFFFF"/>
        </w:rPr>
        <w:t>Izsoļu regula)</w:t>
      </w:r>
      <w:r w:rsidR="009F21F7" w:rsidRPr="003F18F0">
        <w:rPr>
          <w:rFonts w:ascii="Times New Roman" w:hAnsi="Times New Roman" w:cs="Times New Roman"/>
          <w:color w:val="000000" w:themeColor="text1"/>
          <w:sz w:val="28"/>
          <w:szCs w:val="28"/>
          <w:shd w:val="clear" w:color="auto" w:fill="FFFFFF"/>
        </w:rPr>
        <w:t>,</w:t>
      </w:r>
      <w:r w:rsidR="00EF11A8" w:rsidRPr="003F18F0">
        <w:rPr>
          <w:rFonts w:ascii="Times New Roman" w:hAnsi="Times New Roman" w:cs="Times New Roman"/>
          <w:color w:val="000000" w:themeColor="text1"/>
          <w:sz w:val="28"/>
          <w:szCs w:val="28"/>
          <w:shd w:val="clear" w:color="auto" w:fill="FFFFFF"/>
        </w:rPr>
        <w:t xml:space="preserve"> turklāt tas notiks Kopējā izsoļu platform</w:t>
      </w:r>
      <w:r w:rsidR="009F21F7" w:rsidRPr="003F18F0">
        <w:rPr>
          <w:rFonts w:ascii="Times New Roman" w:hAnsi="Times New Roman" w:cs="Times New Roman"/>
          <w:color w:val="000000" w:themeColor="text1"/>
          <w:sz w:val="28"/>
          <w:szCs w:val="28"/>
          <w:shd w:val="clear" w:color="auto" w:fill="FFFFFF"/>
        </w:rPr>
        <w:t>ā</w:t>
      </w:r>
      <w:r w:rsidR="00124E92" w:rsidRPr="003F18F0">
        <w:rPr>
          <w:rStyle w:val="FootnoteReference"/>
          <w:rFonts w:ascii="Times New Roman" w:hAnsi="Times New Roman" w:cs="Times New Roman"/>
          <w:color w:val="000000" w:themeColor="text1"/>
          <w:sz w:val="28"/>
          <w:szCs w:val="28"/>
          <w:shd w:val="clear" w:color="auto" w:fill="FFFFFF"/>
        </w:rPr>
        <w:footnoteReference w:id="17"/>
      </w:r>
      <w:r w:rsidR="009F21F7" w:rsidRPr="003F18F0">
        <w:rPr>
          <w:rFonts w:ascii="Times New Roman" w:hAnsi="Times New Roman" w:cs="Times New Roman"/>
          <w:color w:val="000000" w:themeColor="text1"/>
          <w:sz w:val="28"/>
          <w:szCs w:val="28"/>
          <w:shd w:val="clear" w:color="auto" w:fill="FFFFFF"/>
        </w:rPr>
        <w:t xml:space="preserve">. </w:t>
      </w:r>
      <w:r w:rsidR="00E815C6" w:rsidRPr="003F18F0">
        <w:rPr>
          <w:rFonts w:ascii="Times New Roman" w:hAnsi="Times New Roman" w:cs="Times New Roman"/>
          <w:color w:val="000000" w:themeColor="text1"/>
          <w:sz w:val="28"/>
          <w:szCs w:val="28"/>
          <w:shd w:val="clear" w:color="auto" w:fill="FFFFFF"/>
        </w:rPr>
        <w:t>S</w:t>
      </w:r>
      <w:r w:rsidRPr="003F18F0">
        <w:rPr>
          <w:rFonts w:ascii="Times New Roman" w:hAnsi="Times New Roman" w:cs="Times New Roman"/>
          <w:color w:val="000000" w:themeColor="text1"/>
          <w:sz w:val="28"/>
          <w:szCs w:val="28"/>
          <w:shd w:val="clear" w:color="auto" w:fill="FFFFFF"/>
        </w:rPr>
        <w:t xml:space="preserve">askaņā ar </w:t>
      </w:r>
      <w:r w:rsidR="00E815C6" w:rsidRPr="003F18F0">
        <w:rPr>
          <w:rFonts w:ascii="Times New Roman" w:hAnsi="Times New Roman" w:cs="Times New Roman"/>
          <w:color w:val="000000" w:themeColor="text1"/>
          <w:sz w:val="28"/>
          <w:szCs w:val="28"/>
          <w:shd w:val="clear" w:color="auto" w:fill="FFFFFF"/>
        </w:rPr>
        <w:t xml:space="preserve">Ministru kabineta </w:t>
      </w:r>
      <w:r w:rsidRPr="003F18F0">
        <w:rPr>
          <w:rFonts w:ascii="Times New Roman" w:hAnsi="Times New Roman" w:cs="Times New Roman"/>
          <w:color w:val="000000" w:themeColor="text1"/>
          <w:sz w:val="28"/>
          <w:szCs w:val="28"/>
          <w:shd w:val="clear" w:color="auto" w:fill="FFFFFF"/>
        </w:rPr>
        <w:t>2012.</w:t>
      </w:r>
      <w:r w:rsidR="00E815C6" w:rsidRPr="003F18F0">
        <w:rPr>
          <w:rFonts w:ascii="Times New Roman" w:hAnsi="Times New Roman" w:cs="Times New Roman"/>
          <w:color w:val="000000" w:themeColor="text1"/>
          <w:sz w:val="28"/>
          <w:szCs w:val="28"/>
          <w:shd w:val="clear" w:color="auto" w:fill="FFFFFF"/>
        </w:rPr>
        <w:t> </w:t>
      </w:r>
      <w:r w:rsidRPr="003F18F0">
        <w:rPr>
          <w:rFonts w:ascii="Times New Roman" w:hAnsi="Times New Roman" w:cs="Times New Roman"/>
          <w:color w:val="000000" w:themeColor="text1"/>
          <w:sz w:val="28"/>
          <w:szCs w:val="28"/>
          <w:shd w:val="clear" w:color="auto" w:fill="FFFFFF"/>
        </w:rPr>
        <w:t>gada 25.</w:t>
      </w:r>
      <w:r w:rsidR="00E815C6" w:rsidRPr="003F18F0">
        <w:rPr>
          <w:rFonts w:ascii="Times New Roman" w:hAnsi="Times New Roman" w:cs="Times New Roman"/>
          <w:color w:val="000000" w:themeColor="text1"/>
          <w:sz w:val="28"/>
          <w:szCs w:val="28"/>
          <w:shd w:val="clear" w:color="auto" w:fill="FFFFFF"/>
        </w:rPr>
        <w:t> </w:t>
      </w:r>
      <w:r w:rsidRPr="003F18F0">
        <w:rPr>
          <w:rFonts w:ascii="Times New Roman" w:hAnsi="Times New Roman" w:cs="Times New Roman"/>
          <w:color w:val="000000" w:themeColor="text1"/>
          <w:sz w:val="28"/>
          <w:szCs w:val="28"/>
          <w:shd w:val="clear" w:color="auto" w:fill="FFFFFF"/>
        </w:rPr>
        <w:t>septembra noteikumu Nr.</w:t>
      </w:r>
      <w:r w:rsidR="00E815C6" w:rsidRPr="003F18F0">
        <w:rPr>
          <w:rFonts w:ascii="Times New Roman" w:hAnsi="Times New Roman" w:cs="Times New Roman"/>
          <w:color w:val="000000" w:themeColor="text1"/>
          <w:sz w:val="28"/>
          <w:szCs w:val="28"/>
          <w:shd w:val="clear" w:color="auto" w:fill="FFFFFF"/>
        </w:rPr>
        <w:t> </w:t>
      </w:r>
      <w:r w:rsidRPr="003F18F0">
        <w:rPr>
          <w:rFonts w:ascii="Times New Roman" w:hAnsi="Times New Roman" w:cs="Times New Roman"/>
          <w:color w:val="000000" w:themeColor="text1"/>
          <w:sz w:val="28"/>
          <w:szCs w:val="28"/>
          <w:shd w:val="clear" w:color="auto" w:fill="FFFFFF"/>
        </w:rPr>
        <w:t xml:space="preserve">657 </w:t>
      </w:r>
      <w:r w:rsidR="00427C6A">
        <w:rPr>
          <w:rFonts w:ascii="Times New Roman" w:hAnsi="Times New Roman" w:cs="Times New Roman"/>
          <w:color w:val="000000" w:themeColor="text1"/>
          <w:sz w:val="28"/>
          <w:szCs w:val="28"/>
          <w:shd w:val="clear" w:color="auto" w:fill="FFFFFF"/>
        </w:rPr>
        <w:t>“</w:t>
      </w:r>
      <w:r w:rsidR="00427C6A" w:rsidRPr="00427C6A">
        <w:rPr>
          <w:rFonts w:ascii="Times New Roman" w:hAnsi="Times New Roman" w:cs="Times New Roman"/>
          <w:color w:val="000000" w:themeColor="text1"/>
          <w:sz w:val="28"/>
          <w:szCs w:val="28"/>
          <w:shd w:val="clear" w:color="auto" w:fill="FFFFFF"/>
        </w:rPr>
        <w:t>Latvijai piešķirto emisijas kvotu izsolīšanas kārtība</w:t>
      </w:r>
      <w:r w:rsidR="00427C6A">
        <w:rPr>
          <w:rFonts w:ascii="Times New Roman" w:hAnsi="Times New Roman" w:cs="Times New Roman"/>
          <w:color w:val="000000" w:themeColor="text1"/>
          <w:sz w:val="28"/>
          <w:szCs w:val="28"/>
          <w:shd w:val="clear" w:color="auto" w:fill="FFFFFF"/>
        </w:rPr>
        <w:t>”</w:t>
      </w:r>
      <w:r w:rsidR="00E815C6" w:rsidRPr="003F18F0">
        <w:rPr>
          <w:rFonts w:ascii="Times New Roman" w:hAnsi="Times New Roman" w:cs="Times New Roman"/>
          <w:color w:val="000000" w:themeColor="text1"/>
          <w:sz w:val="28"/>
          <w:szCs w:val="28"/>
          <w:shd w:val="clear" w:color="auto" w:fill="FFFFFF"/>
        </w:rPr>
        <w:t xml:space="preserve"> </w:t>
      </w:r>
      <w:r w:rsidRPr="003F18F0">
        <w:rPr>
          <w:rFonts w:ascii="Times New Roman" w:hAnsi="Times New Roman" w:cs="Times New Roman"/>
          <w:color w:val="000000" w:themeColor="text1"/>
          <w:sz w:val="28"/>
          <w:szCs w:val="28"/>
          <w:shd w:val="clear" w:color="auto" w:fill="FFFFFF"/>
        </w:rPr>
        <w:t>5.</w:t>
      </w:r>
      <w:r w:rsidR="00E815C6" w:rsidRPr="003F18F0">
        <w:rPr>
          <w:rFonts w:ascii="Times New Roman" w:hAnsi="Times New Roman" w:cs="Times New Roman"/>
          <w:color w:val="000000" w:themeColor="text1"/>
          <w:sz w:val="28"/>
          <w:szCs w:val="28"/>
          <w:shd w:val="clear" w:color="auto" w:fill="FFFFFF"/>
        </w:rPr>
        <w:t> </w:t>
      </w:r>
      <w:r w:rsidRPr="003F18F0">
        <w:rPr>
          <w:rFonts w:ascii="Times New Roman" w:hAnsi="Times New Roman" w:cs="Times New Roman"/>
          <w:color w:val="000000" w:themeColor="text1"/>
          <w:sz w:val="28"/>
          <w:szCs w:val="28"/>
          <w:shd w:val="clear" w:color="auto" w:fill="FFFFFF"/>
        </w:rPr>
        <w:t xml:space="preserve">punktu </w:t>
      </w:r>
      <w:r w:rsidR="00E815C6" w:rsidRPr="003F18F0">
        <w:rPr>
          <w:rFonts w:ascii="Times New Roman" w:hAnsi="Times New Roman" w:cs="Times New Roman"/>
          <w:color w:val="000000" w:themeColor="text1"/>
          <w:sz w:val="28"/>
          <w:szCs w:val="28"/>
          <w:shd w:val="clear" w:color="auto" w:fill="FFFFFF"/>
        </w:rPr>
        <w:t xml:space="preserve">kompetentā iestāde emisijas kvotu izsolīšanas nodrošināšanā </w:t>
      </w:r>
      <w:r w:rsidRPr="003F18F0">
        <w:rPr>
          <w:rFonts w:ascii="Times New Roman" w:hAnsi="Times New Roman" w:cs="Times New Roman"/>
          <w:color w:val="000000" w:themeColor="text1"/>
          <w:sz w:val="28"/>
          <w:szCs w:val="28"/>
          <w:shd w:val="clear" w:color="auto" w:fill="FFFFFF"/>
        </w:rPr>
        <w:t>ir VARAM.</w:t>
      </w:r>
    </w:p>
    <w:p w14:paraId="7FAF91F6" w14:textId="512C81A2" w:rsidR="00A2123C" w:rsidRPr="003F18F0" w:rsidRDefault="00130E0F" w:rsidP="00987C6B">
      <w:pPr>
        <w:spacing w:after="0" w:line="240" w:lineRule="auto"/>
        <w:ind w:right="-1" w:firstLine="709"/>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shd w:val="clear" w:color="auto" w:fill="FFFFFF"/>
        </w:rPr>
        <w:t>Ņemot vērā iepriekš minēto un faktu, ka Modernizācijas fond</w:t>
      </w:r>
      <w:r w:rsidR="00E815C6" w:rsidRPr="003F18F0">
        <w:rPr>
          <w:rFonts w:ascii="Times New Roman" w:hAnsi="Times New Roman" w:cs="Times New Roman"/>
          <w:color w:val="000000" w:themeColor="text1"/>
          <w:sz w:val="28"/>
          <w:szCs w:val="28"/>
          <w:shd w:val="clear" w:color="auto" w:fill="FFFFFF"/>
        </w:rPr>
        <w:t>a</w:t>
      </w:r>
      <w:r w:rsidRPr="003F18F0">
        <w:rPr>
          <w:rFonts w:ascii="Times New Roman" w:hAnsi="Times New Roman" w:cs="Times New Roman"/>
          <w:color w:val="000000" w:themeColor="text1"/>
          <w:sz w:val="28"/>
          <w:szCs w:val="28"/>
          <w:shd w:val="clear" w:color="auto" w:fill="FFFFFF"/>
        </w:rPr>
        <w:t xml:space="preserve"> ietv</w:t>
      </w:r>
      <w:r w:rsidR="00AD4627" w:rsidRPr="003F18F0">
        <w:rPr>
          <w:rFonts w:ascii="Times New Roman" w:hAnsi="Times New Roman" w:cs="Times New Roman"/>
          <w:color w:val="000000" w:themeColor="text1"/>
          <w:sz w:val="28"/>
          <w:szCs w:val="28"/>
          <w:shd w:val="clear" w:color="auto" w:fill="FFFFFF"/>
        </w:rPr>
        <w:t>a</w:t>
      </w:r>
      <w:r w:rsidRPr="003F18F0">
        <w:rPr>
          <w:rFonts w:ascii="Times New Roman" w:hAnsi="Times New Roman" w:cs="Times New Roman"/>
          <w:color w:val="000000" w:themeColor="text1"/>
          <w:sz w:val="28"/>
          <w:szCs w:val="28"/>
          <w:shd w:val="clear" w:color="auto" w:fill="FFFFFF"/>
        </w:rPr>
        <w:t>rs saistāms ar</w:t>
      </w:r>
      <w:r w:rsidR="00AD4627" w:rsidRPr="003F18F0">
        <w:rPr>
          <w:rFonts w:ascii="Times New Roman" w:hAnsi="Times New Roman" w:cs="Times New Roman"/>
          <w:color w:val="000000" w:themeColor="text1"/>
          <w:sz w:val="28"/>
          <w:szCs w:val="28"/>
          <w:shd w:val="clear" w:color="auto" w:fill="FFFFFF"/>
        </w:rPr>
        <w:t xml:space="preserve"> klimata mērķu sasniegšanu </w:t>
      </w:r>
      <w:r w:rsidRPr="003F18F0">
        <w:rPr>
          <w:rFonts w:ascii="Times New Roman" w:hAnsi="Times New Roman" w:cs="Times New Roman"/>
          <w:color w:val="000000" w:themeColor="text1"/>
          <w:sz w:val="28"/>
          <w:szCs w:val="28"/>
          <w:shd w:val="clear" w:color="auto" w:fill="FFFFFF"/>
        </w:rPr>
        <w:t>enerģētikas, transporta</w:t>
      </w:r>
      <w:r w:rsidR="00AD4627" w:rsidRPr="003F18F0">
        <w:rPr>
          <w:rFonts w:ascii="Times New Roman" w:hAnsi="Times New Roman" w:cs="Times New Roman"/>
          <w:color w:val="000000" w:themeColor="text1"/>
          <w:sz w:val="28"/>
          <w:szCs w:val="28"/>
          <w:shd w:val="clear" w:color="auto" w:fill="FFFFFF"/>
        </w:rPr>
        <w:t>,</w:t>
      </w:r>
      <w:r w:rsidRPr="003F18F0">
        <w:rPr>
          <w:rFonts w:ascii="Times New Roman" w:hAnsi="Times New Roman" w:cs="Times New Roman"/>
          <w:color w:val="000000" w:themeColor="text1"/>
          <w:sz w:val="28"/>
          <w:szCs w:val="28"/>
          <w:shd w:val="clear" w:color="auto" w:fill="FFFFFF"/>
        </w:rPr>
        <w:t xml:space="preserve"> lauksaimniecības </w:t>
      </w:r>
      <w:r w:rsidR="00AD4627" w:rsidRPr="003F18F0">
        <w:rPr>
          <w:rFonts w:ascii="Times New Roman" w:hAnsi="Times New Roman" w:cs="Times New Roman"/>
          <w:color w:val="000000" w:themeColor="text1"/>
          <w:sz w:val="28"/>
          <w:szCs w:val="28"/>
          <w:shd w:val="clear" w:color="auto" w:fill="FFFFFF"/>
        </w:rPr>
        <w:t xml:space="preserve">un atkritumu apsaimniekošanas </w:t>
      </w:r>
      <w:r w:rsidRPr="003F18F0">
        <w:rPr>
          <w:rFonts w:ascii="Times New Roman" w:hAnsi="Times New Roman" w:cs="Times New Roman"/>
          <w:color w:val="000000" w:themeColor="text1"/>
          <w:sz w:val="28"/>
          <w:szCs w:val="28"/>
          <w:shd w:val="clear" w:color="auto" w:fill="FFFFFF"/>
        </w:rPr>
        <w:t>sektor</w:t>
      </w:r>
      <w:r w:rsidR="00E815C6" w:rsidRPr="003F18F0">
        <w:rPr>
          <w:rFonts w:ascii="Times New Roman" w:hAnsi="Times New Roman" w:cs="Times New Roman"/>
          <w:color w:val="000000" w:themeColor="text1"/>
          <w:sz w:val="28"/>
          <w:szCs w:val="28"/>
          <w:shd w:val="clear" w:color="auto" w:fill="FFFFFF"/>
        </w:rPr>
        <w:t>os</w:t>
      </w:r>
      <w:r w:rsidR="00AD4627" w:rsidRPr="003F18F0">
        <w:rPr>
          <w:rFonts w:ascii="Times New Roman" w:hAnsi="Times New Roman" w:cs="Times New Roman"/>
          <w:color w:val="000000" w:themeColor="text1"/>
          <w:sz w:val="28"/>
          <w:szCs w:val="28"/>
          <w:shd w:val="clear" w:color="auto" w:fill="FFFFFF"/>
        </w:rPr>
        <w:t xml:space="preserve">, </w:t>
      </w:r>
      <w:r w:rsidR="00AD4627" w:rsidRPr="003F18F0">
        <w:rPr>
          <w:rFonts w:ascii="Times New Roman" w:hAnsi="Times New Roman" w:cs="Times New Roman"/>
          <w:color w:val="000000" w:themeColor="text1"/>
          <w:sz w:val="28"/>
          <w:szCs w:val="28"/>
          <w:u w:val="single"/>
          <w:shd w:val="clear" w:color="auto" w:fill="FFFFFF"/>
        </w:rPr>
        <w:t xml:space="preserve">par Modernizācijas fonda </w:t>
      </w:r>
      <w:r w:rsidR="00EC07B0" w:rsidRPr="003F18F0">
        <w:rPr>
          <w:rFonts w:ascii="Times New Roman" w:hAnsi="Times New Roman" w:cs="Times New Roman"/>
          <w:color w:val="000000" w:themeColor="text1"/>
          <w:sz w:val="28"/>
          <w:szCs w:val="28"/>
          <w:u w:val="single"/>
          <w:shd w:val="clear" w:color="auto" w:fill="FFFFFF"/>
        </w:rPr>
        <w:t>atbildīgo</w:t>
      </w:r>
      <w:r w:rsidR="00AD4627" w:rsidRPr="003F18F0">
        <w:rPr>
          <w:rFonts w:ascii="Times New Roman" w:hAnsi="Times New Roman" w:cs="Times New Roman"/>
          <w:color w:val="000000" w:themeColor="text1"/>
          <w:sz w:val="28"/>
          <w:szCs w:val="28"/>
          <w:u w:val="single"/>
          <w:shd w:val="clear" w:color="auto" w:fill="FFFFFF"/>
        </w:rPr>
        <w:t xml:space="preserve"> iestādi </w:t>
      </w:r>
      <w:r w:rsidR="00613518" w:rsidRPr="003F18F0">
        <w:rPr>
          <w:rFonts w:ascii="Times New Roman" w:hAnsi="Times New Roman" w:cs="Times New Roman"/>
          <w:color w:val="000000" w:themeColor="text1"/>
          <w:sz w:val="28"/>
          <w:szCs w:val="28"/>
          <w:u w:val="single"/>
          <w:shd w:val="clear" w:color="auto" w:fill="FFFFFF"/>
        </w:rPr>
        <w:t>Latvijā</w:t>
      </w:r>
      <w:r w:rsidR="00AD4627" w:rsidRPr="003F18F0">
        <w:rPr>
          <w:rFonts w:ascii="Times New Roman" w:hAnsi="Times New Roman" w:cs="Times New Roman"/>
          <w:color w:val="000000" w:themeColor="text1"/>
          <w:sz w:val="28"/>
          <w:szCs w:val="28"/>
          <w:u w:val="single"/>
          <w:shd w:val="clear" w:color="auto" w:fill="FFFFFF"/>
        </w:rPr>
        <w:t xml:space="preserve"> </w:t>
      </w:r>
      <w:r w:rsidR="00F86C89" w:rsidRPr="003F18F0">
        <w:rPr>
          <w:rFonts w:ascii="Times New Roman" w:hAnsi="Times New Roman" w:cs="Times New Roman"/>
          <w:color w:val="000000" w:themeColor="text1"/>
          <w:sz w:val="28"/>
          <w:szCs w:val="28"/>
          <w:u w:val="single"/>
          <w:shd w:val="clear" w:color="auto" w:fill="FFFFFF"/>
        </w:rPr>
        <w:t xml:space="preserve">ir </w:t>
      </w:r>
      <w:r w:rsidR="00AD4627" w:rsidRPr="003F18F0">
        <w:rPr>
          <w:rFonts w:ascii="Times New Roman" w:hAnsi="Times New Roman" w:cs="Times New Roman"/>
          <w:color w:val="000000" w:themeColor="text1"/>
          <w:sz w:val="28"/>
          <w:szCs w:val="28"/>
          <w:u w:val="single"/>
          <w:shd w:val="clear" w:color="auto" w:fill="FFFFFF"/>
        </w:rPr>
        <w:t>jānosaka VARAM</w:t>
      </w:r>
      <w:r w:rsidR="005872BA" w:rsidRPr="003F18F0">
        <w:rPr>
          <w:rFonts w:ascii="Times New Roman" w:hAnsi="Times New Roman" w:cs="Times New Roman"/>
          <w:color w:val="000000" w:themeColor="text1"/>
          <w:sz w:val="28"/>
          <w:szCs w:val="28"/>
          <w:u w:val="single"/>
          <w:shd w:val="clear" w:color="auto" w:fill="FFFFFF"/>
        </w:rPr>
        <w:t>.</w:t>
      </w:r>
      <w:r w:rsidR="005872BA" w:rsidRPr="003F18F0">
        <w:rPr>
          <w:rFonts w:ascii="Times New Roman" w:hAnsi="Times New Roman" w:cs="Times New Roman"/>
          <w:color w:val="000000" w:themeColor="text1"/>
          <w:sz w:val="28"/>
          <w:szCs w:val="28"/>
          <w:shd w:val="clear" w:color="auto" w:fill="FFFFFF"/>
        </w:rPr>
        <w:t xml:space="preserve"> </w:t>
      </w:r>
      <w:r w:rsidR="00375F7D">
        <w:rPr>
          <w:rFonts w:ascii="Times New Roman" w:hAnsi="Times New Roman" w:cs="Times New Roman"/>
          <w:color w:val="000000" w:themeColor="text1"/>
          <w:sz w:val="28"/>
          <w:szCs w:val="28"/>
          <w:shd w:val="clear" w:color="auto" w:fill="FFFFFF"/>
        </w:rPr>
        <w:t>Tā kā</w:t>
      </w:r>
      <w:r w:rsidR="005872BA" w:rsidRPr="003F18F0">
        <w:rPr>
          <w:rFonts w:ascii="Times New Roman" w:hAnsi="Times New Roman" w:cs="Times New Roman"/>
          <w:color w:val="000000" w:themeColor="text1"/>
          <w:sz w:val="28"/>
          <w:szCs w:val="28"/>
          <w:shd w:val="clear" w:color="auto" w:fill="FFFFFF"/>
        </w:rPr>
        <w:t xml:space="preserve"> Modernizācijas fonda ietvaros atbalstām</w:t>
      </w:r>
      <w:r w:rsidR="00F427F2" w:rsidRPr="003F18F0">
        <w:rPr>
          <w:rFonts w:ascii="Times New Roman" w:hAnsi="Times New Roman" w:cs="Times New Roman"/>
          <w:color w:val="000000" w:themeColor="text1"/>
          <w:sz w:val="28"/>
          <w:szCs w:val="28"/>
          <w:shd w:val="clear" w:color="auto" w:fill="FFFFFF"/>
        </w:rPr>
        <w:t>ās</w:t>
      </w:r>
      <w:r w:rsidR="005872BA" w:rsidRPr="003F18F0">
        <w:rPr>
          <w:rFonts w:ascii="Times New Roman" w:hAnsi="Times New Roman" w:cs="Times New Roman"/>
          <w:color w:val="000000" w:themeColor="text1"/>
          <w:sz w:val="28"/>
          <w:szCs w:val="28"/>
          <w:shd w:val="clear" w:color="auto" w:fill="FFFFFF"/>
        </w:rPr>
        <w:t xml:space="preserve"> aktivitā</w:t>
      </w:r>
      <w:r w:rsidR="00F427F2" w:rsidRPr="003F18F0">
        <w:rPr>
          <w:rFonts w:ascii="Times New Roman" w:hAnsi="Times New Roman" w:cs="Times New Roman"/>
          <w:color w:val="000000" w:themeColor="text1"/>
          <w:sz w:val="28"/>
          <w:szCs w:val="28"/>
          <w:shd w:val="clear" w:color="auto" w:fill="FFFFFF"/>
        </w:rPr>
        <w:t>tes galvenokārt (bet ne tikai) ir saistāmas ar enerģētikas nozari</w:t>
      </w:r>
      <w:r w:rsidR="005872BA" w:rsidRPr="003F18F0">
        <w:rPr>
          <w:rFonts w:ascii="Times New Roman" w:hAnsi="Times New Roman" w:cs="Times New Roman"/>
          <w:color w:val="000000" w:themeColor="text1"/>
          <w:sz w:val="28"/>
          <w:szCs w:val="28"/>
          <w:shd w:val="clear" w:color="auto" w:fill="FFFFFF"/>
        </w:rPr>
        <w:t xml:space="preserve">, kas ir Ekonomikas ministrijas </w:t>
      </w:r>
      <w:r w:rsidR="00A2123C" w:rsidRPr="003F18F0">
        <w:rPr>
          <w:rFonts w:ascii="Times New Roman" w:hAnsi="Times New Roman" w:cs="Times New Roman"/>
          <w:color w:val="000000" w:themeColor="text1"/>
          <w:sz w:val="28"/>
          <w:szCs w:val="28"/>
          <w:shd w:val="clear" w:color="auto" w:fill="FFFFFF"/>
        </w:rPr>
        <w:t>(turpmāk</w:t>
      </w:r>
      <w:r w:rsidR="008503F2" w:rsidRPr="003F18F0">
        <w:rPr>
          <w:rFonts w:ascii="Times New Roman" w:hAnsi="Times New Roman" w:cs="Times New Roman"/>
          <w:color w:val="000000" w:themeColor="text1"/>
          <w:sz w:val="28"/>
          <w:szCs w:val="28"/>
          <w:shd w:val="clear" w:color="auto" w:fill="FFFFFF"/>
        </w:rPr>
        <w:t> </w:t>
      </w:r>
      <w:r w:rsidR="00A2123C" w:rsidRPr="003F18F0">
        <w:rPr>
          <w:rFonts w:ascii="Times New Roman" w:hAnsi="Times New Roman" w:cs="Times New Roman"/>
          <w:color w:val="000000" w:themeColor="text1"/>
          <w:sz w:val="28"/>
          <w:szCs w:val="28"/>
          <w:shd w:val="clear" w:color="auto" w:fill="FFFFFF"/>
        </w:rPr>
        <w:t>–</w:t>
      </w:r>
      <w:r w:rsidR="008503F2" w:rsidRPr="003F18F0">
        <w:rPr>
          <w:rFonts w:ascii="Times New Roman" w:hAnsi="Times New Roman" w:cs="Times New Roman"/>
          <w:color w:val="000000" w:themeColor="text1"/>
          <w:sz w:val="28"/>
          <w:szCs w:val="28"/>
          <w:shd w:val="clear" w:color="auto" w:fill="FFFFFF"/>
        </w:rPr>
        <w:t> </w:t>
      </w:r>
      <w:r w:rsidR="00A2123C" w:rsidRPr="003F18F0">
        <w:rPr>
          <w:rFonts w:ascii="Times New Roman" w:hAnsi="Times New Roman" w:cs="Times New Roman"/>
          <w:color w:val="000000" w:themeColor="text1"/>
          <w:sz w:val="28"/>
          <w:szCs w:val="28"/>
          <w:shd w:val="clear" w:color="auto" w:fill="FFFFFF"/>
        </w:rPr>
        <w:t xml:space="preserve">EM) </w:t>
      </w:r>
      <w:r w:rsidR="00F427F2" w:rsidRPr="003F18F0">
        <w:rPr>
          <w:rFonts w:ascii="Times New Roman" w:hAnsi="Times New Roman" w:cs="Times New Roman"/>
          <w:color w:val="000000" w:themeColor="text1"/>
          <w:sz w:val="28"/>
          <w:szCs w:val="28"/>
          <w:shd w:val="clear" w:color="auto" w:fill="FFFFFF"/>
        </w:rPr>
        <w:t>kompetences jautājums</w:t>
      </w:r>
      <w:r w:rsidR="005872BA" w:rsidRPr="003F18F0">
        <w:rPr>
          <w:rFonts w:ascii="Times New Roman" w:hAnsi="Times New Roman" w:cs="Times New Roman"/>
          <w:color w:val="000000" w:themeColor="text1"/>
          <w:sz w:val="28"/>
          <w:szCs w:val="28"/>
          <w:shd w:val="clear" w:color="auto" w:fill="FFFFFF"/>
        </w:rPr>
        <w:t xml:space="preserve">, Modernizācijas fonda ieviešana un darbības nodrošināšana nacionālā līmenī VARAM jāveic sadarbībā ar </w:t>
      </w:r>
      <w:r w:rsidR="00A2123C" w:rsidRPr="003F18F0">
        <w:rPr>
          <w:rFonts w:ascii="Times New Roman" w:hAnsi="Times New Roman" w:cs="Times New Roman"/>
          <w:color w:val="000000" w:themeColor="text1"/>
          <w:sz w:val="28"/>
          <w:szCs w:val="28"/>
          <w:shd w:val="clear" w:color="auto" w:fill="FFFFFF"/>
        </w:rPr>
        <w:t>EM.</w:t>
      </w:r>
    </w:p>
    <w:p w14:paraId="31B1BB4C" w14:textId="3874CED4" w:rsidR="00D6784C" w:rsidRDefault="00A2123C"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lastRenderedPageBreak/>
        <w:t>Lai nodrošinātu centralizētu investīciju priekšlikumu iesniegšanu</w:t>
      </w:r>
      <w:r w:rsidR="001A105C">
        <w:rPr>
          <w:rFonts w:ascii="Times New Roman" w:hAnsi="Times New Roman" w:cs="Times New Roman"/>
          <w:color w:val="000000" w:themeColor="text1"/>
          <w:sz w:val="28"/>
          <w:szCs w:val="28"/>
        </w:rPr>
        <w:t xml:space="preserve"> EIB un</w:t>
      </w:r>
      <w:r w:rsidR="008503F2"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lai nodrošinātu līdzekļu segregāciju no esošaj</w:t>
      </w:r>
      <w:r w:rsidR="004B20CE" w:rsidRPr="003F18F0">
        <w:rPr>
          <w:rFonts w:ascii="Times New Roman" w:hAnsi="Times New Roman" w:cs="Times New Roman"/>
          <w:color w:val="000000" w:themeColor="text1"/>
          <w:sz w:val="28"/>
          <w:szCs w:val="28"/>
        </w:rPr>
        <w:t>iem</w:t>
      </w:r>
      <w:r w:rsidRPr="003F18F0">
        <w:rPr>
          <w:rFonts w:ascii="Times New Roman" w:hAnsi="Times New Roman" w:cs="Times New Roman"/>
          <w:color w:val="000000" w:themeColor="text1"/>
          <w:sz w:val="28"/>
          <w:szCs w:val="28"/>
        </w:rPr>
        <w:t xml:space="preserve"> finanšu </w:t>
      </w:r>
      <w:r w:rsidR="004B20CE" w:rsidRPr="003F18F0">
        <w:rPr>
          <w:rFonts w:ascii="Times New Roman" w:hAnsi="Times New Roman" w:cs="Times New Roman"/>
          <w:color w:val="000000" w:themeColor="text1"/>
          <w:sz w:val="28"/>
          <w:szCs w:val="28"/>
        </w:rPr>
        <w:t>instrumentiem</w:t>
      </w:r>
      <w:r w:rsidRPr="003F18F0">
        <w:rPr>
          <w:rFonts w:ascii="Times New Roman" w:hAnsi="Times New Roman" w:cs="Times New Roman"/>
          <w:color w:val="000000" w:themeColor="text1"/>
          <w:sz w:val="28"/>
          <w:szCs w:val="28"/>
        </w:rPr>
        <w:t xml:space="preserve">, piemēram, </w:t>
      </w:r>
      <w:r w:rsidR="00F34434">
        <w:rPr>
          <w:rFonts w:ascii="Times New Roman" w:hAnsi="Times New Roman" w:cs="Times New Roman"/>
          <w:color w:val="000000" w:themeColor="text1"/>
          <w:sz w:val="28"/>
          <w:szCs w:val="28"/>
        </w:rPr>
        <w:t>Emisijas kvotu izsolīšanas instrument</w:t>
      </w:r>
      <w:r w:rsidR="00F5169D">
        <w:rPr>
          <w:rFonts w:ascii="Times New Roman" w:hAnsi="Times New Roman" w:cs="Times New Roman"/>
          <w:color w:val="000000" w:themeColor="text1"/>
          <w:sz w:val="28"/>
          <w:szCs w:val="28"/>
        </w:rPr>
        <w:t xml:space="preserve">a (turpmāk - </w:t>
      </w:r>
      <w:r w:rsidRPr="003F18F0">
        <w:rPr>
          <w:rFonts w:ascii="Times New Roman" w:hAnsi="Times New Roman" w:cs="Times New Roman"/>
          <w:color w:val="000000" w:themeColor="text1"/>
          <w:sz w:val="28"/>
          <w:szCs w:val="28"/>
        </w:rPr>
        <w:t>EKII</w:t>
      </w:r>
      <w:r w:rsidR="00F5169D">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w:t>
      </w:r>
      <w:r w:rsidR="008503F2" w:rsidRPr="003F18F0">
        <w:rPr>
          <w:rFonts w:ascii="Times New Roman" w:hAnsi="Times New Roman" w:cs="Times New Roman"/>
          <w:color w:val="000000" w:themeColor="text1"/>
          <w:sz w:val="28"/>
          <w:szCs w:val="28"/>
        </w:rPr>
        <w:t>ir</w:t>
      </w:r>
      <w:r w:rsidRPr="003F18F0">
        <w:rPr>
          <w:rFonts w:ascii="Times New Roman" w:hAnsi="Times New Roman" w:cs="Times New Roman"/>
          <w:color w:val="000000" w:themeColor="text1"/>
          <w:sz w:val="28"/>
          <w:szCs w:val="28"/>
        </w:rPr>
        <w:t xml:space="preserve"> nepieciešams izstrādāt jaunu nacionālo investīciju programmu</w:t>
      </w:r>
      <w:r w:rsidR="002145B0">
        <w:rPr>
          <w:rFonts w:ascii="Times New Roman" w:hAnsi="Times New Roman" w:cs="Times New Roman"/>
          <w:color w:val="000000" w:themeColor="text1"/>
          <w:sz w:val="28"/>
          <w:szCs w:val="28"/>
        </w:rPr>
        <w:t xml:space="preserve"> (shēmu)</w:t>
      </w:r>
      <w:r w:rsidRPr="003F18F0">
        <w:rPr>
          <w:rFonts w:ascii="Times New Roman" w:hAnsi="Times New Roman" w:cs="Times New Roman"/>
          <w:color w:val="000000" w:themeColor="text1"/>
          <w:sz w:val="28"/>
          <w:szCs w:val="28"/>
        </w:rPr>
        <w:t xml:space="preserve">. </w:t>
      </w:r>
      <w:bookmarkStart w:id="0" w:name="_Hlk54097256"/>
      <w:r w:rsidR="00D06ED8" w:rsidRPr="00EB3822">
        <w:rPr>
          <w:rFonts w:ascii="Times New Roman" w:hAnsi="Times New Roman" w:cs="Times New Roman"/>
          <w:sz w:val="28"/>
          <w:szCs w:val="28"/>
        </w:rPr>
        <w:t xml:space="preserve">Modernizācijas fonda līdzekļu </w:t>
      </w:r>
      <w:r w:rsidR="002F790C">
        <w:rPr>
          <w:rFonts w:ascii="Times New Roman" w:hAnsi="Times New Roman" w:cs="Times New Roman"/>
          <w:sz w:val="28"/>
          <w:szCs w:val="28"/>
        </w:rPr>
        <w:t>investē</w:t>
      </w:r>
      <w:r w:rsidR="00AE7FD4">
        <w:rPr>
          <w:rFonts w:ascii="Times New Roman" w:hAnsi="Times New Roman" w:cs="Times New Roman"/>
          <w:sz w:val="28"/>
          <w:szCs w:val="28"/>
        </w:rPr>
        <w:t>šanas</w:t>
      </w:r>
      <w:r w:rsidR="00D06ED8" w:rsidRPr="00EB3822">
        <w:rPr>
          <w:rFonts w:ascii="Times New Roman" w:hAnsi="Times New Roman" w:cs="Times New Roman"/>
          <w:sz w:val="28"/>
          <w:szCs w:val="28"/>
        </w:rPr>
        <w:t xml:space="preserve"> </w:t>
      </w:r>
      <w:r w:rsidR="00013011">
        <w:rPr>
          <w:rFonts w:ascii="Times New Roman" w:hAnsi="Times New Roman" w:cs="Times New Roman"/>
          <w:sz w:val="28"/>
          <w:szCs w:val="28"/>
        </w:rPr>
        <w:t xml:space="preserve">funkciju </w:t>
      </w:r>
      <w:r w:rsidR="00D06ED8" w:rsidRPr="00EB3822">
        <w:rPr>
          <w:rFonts w:ascii="Times New Roman" w:hAnsi="Times New Roman" w:cs="Times New Roman"/>
          <w:sz w:val="28"/>
          <w:szCs w:val="28"/>
        </w:rPr>
        <w:t>atbildīg</w:t>
      </w:r>
      <w:r w:rsidR="00782BBC" w:rsidRPr="00EB3822">
        <w:rPr>
          <w:rFonts w:ascii="Times New Roman" w:hAnsi="Times New Roman" w:cs="Times New Roman"/>
          <w:sz w:val="28"/>
          <w:szCs w:val="28"/>
        </w:rPr>
        <w:t>ā</w:t>
      </w:r>
      <w:r w:rsidR="00013011">
        <w:rPr>
          <w:rFonts w:ascii="Times New Roman" w:hAnsi="Times New Roman" w:cs="Times New Roman"/>
          <w:sz w:val="28"/>
          <w:szCs w:val="28"/>
        </w:rPr>
        <w:t>s</w:t>
      </w:r>
      <w:r w:rsidR="00D06ED8" w:rsidRPr="00EB3822">
        <w:rPr>
          <w:rFonts w:ascii="Times New Roman" w:hAnsi="Times New Roman" w:cs="Times New Roman"/>
          <w:sz w:val="28"/>
          <w:szCs w:val="28"/>
        </w:rPr>
        <w:t xml:space="preserve"> iestād</w:t>
      </w:r>
      <w:r w:rsidR="00782BBC" w:rsidRPr="00EB3822">
        <w:rPr>
          <w:rFonts w:ascii="Times New Roman" w:hAnsi="Times New Roman" w:cs="Times New Roman"/>
          <w:sz w:val="28"/>
          <w:szCs w:val="28"/>
        </w:rPr>
        <w:t>e</w:t>
      </w:r>
      <w:r w:rsidR="00013011">
        <w:rPr>
          <w:rFonts w:ascii="Times New Roman" w:hAnsi="Times New Roman" w:cs="Times New Roman"/>
          <w:sz w:val="28"/>
          <w:szCs w:val="28"/>
        </w:rPr>
        <w:t>s noteikšana</w:t>
      </w:r>
      <w:r w:rsidR="00D06ED8" w:rsidRPr="00EB3822">
        <w:rPr>
          <w:rFonts w:ascii="Times New Roman" w:hAnsi="Times New Roman" w:cs="Times New Roman"/>
          <w:sz w:val="28"/>
          <w:szCs w:val="28"/>
        </w:rPr>
        <w:t xml:space="preserve"> Latvijā </w:t>
      </w:r>
      <w:r w:rsidR="00782BBC" w:rsidRPr="00EB3822">
        <w:rPr>
          <w:rFonts w:ascii="Times New Roman" w:hAnsi="Times New Roman" w:cs="Times New Roman"/>
          <w:sz w:val="28"/>
          <w:szCs w:val="28"/>
        </w:rPr>
        <w:t xml:space="preserve">tiks vērtēta </w:t>
      </w:r>
      <w:r w:rsidR="00D06ED8" w:rsidRPr="00EB3822">
        <w:rPr>
          <w:rFonts w:ascii="Times New Roman" w:hAnsi="Times New Roman" w:cs="Times New Roman"/>
          <w:sz w:val="28"/>
          <w:szCs w:val="28"/>
        </w:rPr>
        <w:t xml:space="preserve">kopā ar </w:t>
      </w:r>
      <w:r w:rsidR="00013011">
        <w:rPr>
          <w:rFonts w:ascii="Times New Roman" w:hAnsi="Times New Roman" w:cs="Times New Roman"/>
          <w:sz w:val="28"/>
          <w:szCs w:val="28"/>
        </w:rPr>
        <w:t xml:space="preserve">VARAM un EM izstrādāto </w:t>
      </w:r>
      <w:r w:rsidR="00D06ED8" w:rsidRPr="00EB3822">
        <w:rPr>
          <w:rFonts w:ascii="Times New Roman" w:hAnsi="Times New Roman" w:cs="Times New Roman"/>
          <w:sz w:val="28"/>
          <w:szCs w:val="28"/>
        </w:rPr>
        <w:t>Modernizācijas fonda daudzgadu programmas</w:t>
      </w:r>
      <w:r w:rsidR="00013011">
        <w:rPr>
          <w:rFonts w:ascii="Times New Roman" w:hAnsi="Times New Roman" w:cs="Times New Roman"/>
          <w:sz w:val="28"/>
          <w:szCs w:val="28"/>
        </w:rPr>
        <w:t xml:space="preserve"> (shēmas)</w:t>
      </w:r>
      <w:r w:rsidR="00D06ED8" w:rsidRPr="00EB3822">
        <w:rPr>
          <w:rFonts w:ascii="Times New Roman" w:hAnsi="Times New Roman" w:cs="Times New Roman"/>
          <w:sz w:val="28"/>
          <w:szCs w:val="28"/>
        </w:rPr>
        <w:t xml:space="preserve"> darbības noteikumu apstiprināšanu.</w:t>
      </w:r>
      <w:r w:rsidR="002055FA">
        <w:rPr>
          <w:rFonts w:ascii="Times New Roman" w:hAnsi="Times New Roman" w:cs="Times New Roman"/>
          <w:sz w:val="28"/>
          <w:szCs w:val="28"/>
        </w:rPr>
        <w:t xml:space="preserve"> </w:t>
      </w:r>
      <w:bookmarkEnd w:id="0"/>
      <w:r w:rsidR="002055FA">
        <w:rPr>
          <w:rFonts w:ascii="Times New Roman" w:hAnsi="Times New Roman" w:cs="Times New Roman"/>
          <w:sz w:val="28"/>
          <w:szCs w:val="28"/>
        </w:rPr>
        <w:t>Uz informatīvā ziņojuma izstrādes brīdi</w:t>
      </w:r>
      <w:r w:rsidR="00387CDC">
        <w:rPr>
          <w:rFonts w:ascii="Times New Roman" w:hAnsi="Times New Roman" w:cs="Times New Roman"/>
          <w:sz w:val="28"/>
          <w:szCs w:val="28"/>
        </w:rPr>
        <w:t xml:space="preserve"> kā piemērotākā iestāde </w:t>
      </w:r>
      <w:r w:rsidR="00387CDC">
        <w:rPr>
          <w:rFonts w:ascii="Times New Roman" w:hAnsi="Times New Roman" w:cs="Times New Roman"/>
          <w:color w:val="000000" w:themeColor="text1"/>
          <w:sz w:val="28"/>
          <w:szCs w:val="28"/>
        </w:rPr>
        <w:t xml:space="preserve">daudzgadu programmas līdzekļu </w:t>
      </w:r>
      <w:r w:rsidR="00AE7FD4">
        <w:rPr>
          <w:rFonts w:ascii="Times New Roman" w:hAnsi="Times New Roman" w:cs="Times New Roman"/>
          <w:color w:val="000000" w:themeColor="text1"/>
          <w:sz w:val="28"/>
          <w:szCs w:val="28"/>
        </w:rPr>
        <w:t>investēšanas</w:t>
      </w:r>
      <w:r w:rsidR="00387CDC">
        <w:rPr>
          <w:rFonts w:ascii="Times New Roman" w:hAnsi="Times New Roman" w:cs="Times New Roman"/>
          <w:color w:val="000000" w:themeColor="text1"/>
          <w:sz w:val="28"/>
          <w:szCs w:val="28"/>
        </w:rPr>
        <w:t xml:space="preserve"> funkciju</w:t>
      </w:r>
      <w:r w:rsidR="00387CDC">
        <w:rPr>
          <w:rFonts w:ascii="Times New Roman" w:hAnsi="Times New Roman" w:cs="Times New Roman"/>
          <w:sz w:val="28"/>
          <w:szCs w:val="28"/>
        </w:rPr>
        <w:t xml:space="preserve"> īstenošanai varētu būt</w:t>
      </w:r>
      <w:r w:rsidR="00387CDC" w:rsidDel="00387CDC">
        <w:rPr>
          <w:rFonts w:ascii="Times New Roman" w:hAnsi="Times New Roman" w:cs="Times New Roman"/>
          <w:sz w:val="28"/>
          <w:szCs w:val="28"/>
        </w:rPr>
        <w:t xml:space="preserve"> </w:t>
      </w:r>
      <w:r w:rsidR="00387CDC">
        <w:rPr>
          <w:rFonts w:ascii="Times New Roman" w:hAnsi="Times New Roman" w:cs="Times New Roman"/>
          <w:color w:val="000000" w:themeColor="text1"/>
          <w:sz w:val="28"/>
          <w:szCs w:val="28"/>
        </w:rPr>
        <w:t>a</w:t>
      </w:r>
      <w:r w:rsidR="00F9123E" w:rsidRPr="003F18F0">
        <w:rPr>
          <w:rFonts w:ascii="Times New Roman" w:hAnsi="Times New Roman" w:cs="Times New Roman"/>
          <w:color w:val="000000" w:themeColor="text1"/>
          <w:sz w:val="28"/>
          <w:szCs w:val="28"/>
        </w:rPr>
        <w:t>kciju sabiedrība</w:t>
      </w:r>
      <w:r w:rsidRPr="003F18F0">
        <w:rPr>
          <w:rFonts w:ascii="Times New Roman" w:hAnsi="Times New Roman" w:cs="Times New Roman"/>
          <w:color w:val="000000" w:themeColor="text1"/>
          <w:sz w:val="28"/>
          <w:szCs w:val="28"/>
        </w:rPr>
        <w:t xml:space="preserve"> </w:t>
      </w:r>
      <w:r w:rsidR="00BC02A3">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Attīstības finanšu institūcija </w:t>
      </w:r>
      <w:proofErr w:type="spellStart"/>
      <w:r w:rsidRPr="003F18F0">
        <w:rPr>
          <w:rFonts w:ascii="Times New Roman" w:hAnsi="Times New Roman" w:cs="Times New Roman"/>
          <w:color w:val="000000" w:themeColor="text1"/>
          <w:sz w:val="28"/>
          <w:szCs w:val="28"/>
        </w:rPr>
        <w:t>Altum</w:t>
      </w:r>
      <w:proofErr w:type="spellEnd"/>
      <w:r w:rsidR="00BC02A3">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(turpmāk</w:t>
      </w:r>
      <w:r w:rsidR="008503F2" w:rsidRPr="003F18F0">
        <w:rPr>
          <w:rFonts w:ascii="Times New Roman" w:hAnsi="Times New Roman" w:cs="Times New Roman"/>
          <w:color w:val="000000" w:themeColor="text1"/>
          <w:sz w:val="28"/>
          <w:szCs w:val="28"/>
        </w:rPr>
        <w:t> – </w:t>
      </w:r>
      <w:r w:rsidRPr="003F18F0">
        <w:rPr>
          <w:rFonts w:ascii="Times New Roman" w:hAnsi="Times New Roman" w:cs="Times New Roman"/>
          <w:color w:val="000000" w:themeColor="text1"/>
          <w:sz w:val="28"/>
          <w:szCs w:val="28"/>
        </w:rPr>
        <w:t>ALTUM)</w:t>
      </w:r>
      <w:r w:rsidR="00A86768">
        <w:rPr>
          <w:rFonts w:ascii="Times New Roman" w:hAnsi="Times New Roman" w:cs="Times New Roman"/>
          <w:color w:val="000000" w:themeColor="text1"/>
          <w:sz w:val="28"/>
          <w:szCs w:val="28"/>
        </w:rPr>
        <w:t xml:space="preserve">, jo tai </w:t>
      </w:r>
      <w:r w:rsidR="00BC1EDF" w:rsidRPr="003F18F0">
        <w:rPr>
          <w:rFonts w:ascii="Times New Roman" w:hAnsi="Times New Roman" w:cs="Times New Roman"/>
          <w:color w:val="000000" w:themeColor="text1"/>
          <w:sz w:val="28"/>
          <w:szCs w:val="28"/>
        </w:rPr>
        <w:t>ir</w:t>
      </w:r>
      <w:r w:rsidRPr="003F18F0">
        <w:rPr>
          <w:rFonts w:ascii="Times New Roman" w:hAnsi="Times New Roman" w:cs="Times New Roman"/>
          <w:color w:val="000000" w:themeColor="text1"/>
          <w:sz w:val="28"/>
          <w:szCs w:val="28"/>
        </w:rPr>
        <w:t xml:space="preserve"> pieredz</w:t>
      </w:r>
      <w:r w:rsidR="00BC1EDF" w:rsidRPr="003F18F0">
        <w:rPr>
          <w:rFonts w:ascii="Times New Roman" w:hAnsi="Times New Roman" w:cs="Times New Roman"/>
          <w:color w:val="000000" w:themeColor="text1"/>
          <w:sz w:val="28"/>
          <w:szCs w:val="28"/>
        </w:rPr>
        <w:t>e</w:t>
      </w:r>
      <w:r w:rsidRPr="003F18F0">
        <w:rPr>
          <w:rFonts w:ascii="Times New Roman" w:hAnsi="Times New Roman" w:cs="Times New Roman"/>
          <w:color w:val="000000" w:themeColor="text1"/>
          <w:sz w:val="28"/>
          <w:szCs w:val="28"/>
        </w:rPr>
        <w:t xml:space="preserve"> dažād</w:t>
      </w:r>
      <w:r w:rsidR="008503F2" w:rsidRPr="003F18F0">
        <w:rPr>
          <w:rFonts w:ascii="Times New Roman" w:hAnsi="Times New Roman" w:cs="Times New Roman"/>
          <w:color w:val="000000" w:themeColor="text1"/>
          <w:sz w:val="28"/>
          <w:szCs w:val="28"/>
        </w:rPr>
        <w:t>u</w:t>
      </w:r>
      <w:r w:rsidRPr="003F18F0">
        <w:rPr>
          <w:rFonts w:ascii="Times New Roman" w:hAnsi="Times New Roman" w:cs="Times New Roman"/>
          <w:color w:val="000000" w:themeColor="text1"/>
          <w:sz w:val="28"/>
          <w:szCs w:val="28"/>
        </w:rPr>
        <w:t xml:space="preserve"> finanšu instrument</w:t>
      </w:r>
      <w:r w:rsidR="008503F2" w:rsidRPr="003F18F0">
        <w:rPr>
          <w:rFonts w:ascii="Times New Roman" w:hAnsi="Times New Roman" w:cs="Times New Roman"/>
          <w:color w:val="000000" w:themeColor="text1"/>
          <w:sz w:val="28"/>
          <w:szCs w:val="28"/>
        </w:rPr>
        <w:t>u</w:t>
      </w:r>
      <w:r w:rsidRPr="003F18F0">
        <w:rPr>
          <w:rFonts w:ascii="Times New Roman" w:hAnsi="Times New Roman" w:cs="Times New Roman"/>
          <w:color w:val="000000" w:themeColor="text1"/>
          <w:sz w:val="28"/>
          <w:szCs w:val="28"/>
        </w:rPr>
        <w:t xml:space="preserve"> izmanto</w:t>
      </w:r>
      <w:r w:rsidR="008503F2" w:rsidRPr="003F18F0">
        <w:rPr>
          <w:rFonts w:ascii="Times New Roman" w:hAnsi="Times New Roman" w:cs="Times New Roman"/>
          <w:color w:val="000000" w:themeColor="text1"/>
          <w:sz w:val="28"/>
          <w:szCs w:val="28"/>
        </w:rPr>
        <w:t>šanā</w:t>
      </w:r>
      <w:r w:rsidRPr="003F18F0">
        <w:rPr>
          <w:rFonts w:ascii="Times New Roman" w:hAnsi="Times New Roman" w:cs="Times New Roman"/>
          <w:color w:val="000000" w:themeColor="text1"/>
          <w:sz w:val="28"/>
          <w:szCs w:val="28"/>
        </w:rPr>
        <w:t>, t.sk. energoefektivitātes veicināšanā un atbalsta lauksaimnieku attīstībai sniegšanā</w:t>
      </w:r>
      <w:r w:rsidR="00BC1EDF"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w:t>
      </w:r>
    </w:p>
    <w:p w14:paraId="4B803EAB" w14:textId="7A45680D" w:rsidR="00017BD4" w:rsidRPr="00FF3333" w:rsidRDefault="00BC02A3" w:rsidP="00FF3333">
      <w:pPr>
        <w:spacing w:after="0" w:line="240" w:lineRule="auto"/>
        <w:ind w:right="-1"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L</w:t>
      </w:r>
      <w:r w:rsidR="003534CC" w:rsidRPr="003F18F0">
        <w:rPr>
          <w:rFonts w:ascii="Times New Roman" w:hAnsi="Times New Roman" w:cs="Times New Roman"/>
          <w:color w:val="000000" w:themeColor="text1"/>
          <w:sz w:val="28"/>
          <w:szCs w:val="28"/>
        </w:rPr>
        <w:t>ai nodrošinātu Modernizācijas fonda finansējuma saderību ar iekšējo tirgu, ES dalībvalstīm saskaņā ar Līguma par Eiropas Savienības darbību</w:t>
      </w:r>
      <w:r w:rsidR="003534CC">
        <w:rPr>
          <w:rFonts w:ascii="Times New Roman" w:hAnsi="Times New Roman" w:cs="Times New Roman"/>
          <w:color w:val="000000" w:themeColor="text1"/>
          <w:sz w:val="28"/>
          <w:szCs w:val="28"/>
        </w:rPr>
        <w:t xml:space="preserve"> (turpmāk</w:t>
      </w:r>
      <w:r>
        <w:rPr>
          <w:rFonts w:ascii="Times New Roman" w:hAnsi="Times New Roman" w:cs="Times New Roman"/>
          <w:color w:val="000000" w:themeColor="text1"/>
          <w:sz w:val="28"/>
          <w:szCs w:val="28"/>
        </w:rPr>
        <w:t> </w:t>
      </w:r>
      <w:r w:rsidR="003534C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534CC">
        <w:rPr>
          <w:rFonts w:ascii="Times New Roman" w:hAnsi="Times New Roman" w:cs="Times New Roman"/>
          <w:color w:val="000000" w:themeColor="text1"/>
          <w:sz w:val="28"/>
          <w:szCs w:val="28"/>
        </w:rPr>
        <w:t>LESD)</w:t>
      </w:r>
      <w:r w:rsidR="003534CC" w:rsidRPr="003F18F0">
        <w:rPr>
          <w:rFonts w:ascii="Times New Roman" w:hAnsi="Times New Roman" w:cs="Times New Roman"/>
          <w:color w:val="000000" w:themeColor="text1"/>
          <w:sz w:val="28"/>
          <w:szCs w:val="28"/>
        </w:rPr>
        <w:t xml:space="preserve"> 108. panta 3. punktu būs jāpaziņo EK par visiem plānotajiem ieguldījumiem, kas ir valsts atbalsts 107. panta 1. daļas nozīmē un uz kuru neattieksies esoša apstiprināta vai atbrīvota atbalsta shēma vai individuāls lēmums.</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Tas</w:t>
      </w:r>
      <w:r w:rsidR="00017BD4" w:rsidRPr="00FF3333">
        <w:rPr>
          <w:rFonts w:ascii="Times New Roman" w:hAnsi="Times New Roman" w:cs="Times New Roman"/>
          <w:sz w:val="28"/>
          <w:szCs w:val="28"/>
        </w:rPr>
        <w:t xml:space="preserve"> nozīmē</w:t>
      </w:r>
      <w:r w:rsidR="003534CC">
        <w:rPr>
          <w:rFonts w:ascii="Times New Roman" w:hAnsi="Times New Roman" w:cs="Times New Roman"/>
          <w:sz w:val="28"/>
          <w:szCs w:val="28"/>
        </w:rPr>
        <w:t xml:space="preserve">, ka pirms Modernizācijas fonda </w:t>
      </w:r>
      <w:r w:rsidR="007C3354">
        <w:rPr>
          <w:rFonts w:ascii="Times New Roman" w:hAnsi="Times New Roman" w:cs="Times New Roman"/>
          <w:sz w:val="28"/>
          <w:szCs w:val="28"/>
        </w:rPr>
        <w:t xml:space="preserve">reālas </w:t>
      </w:r>
      <w:r w:rsidR="003534CC">
        <w:rPr>
          <w:rFonts w:ascii="Times New Roman" w:hAnsi="Times New Roman" w:cs="Times New Roman"/>
          <w:sz w:val="28"/>
          <w:szCs w:val="28"/>
        </w:rPr>
        <w:t xml:space="preserve">darbības uzsākšanas nacionālajā līmenī </w:t>
      </w:r>
      <w:r w:rsidR="00E87EC9">
        <w:rPr>
          <w:rFonts w:ascii="Times New Roman" w:hAnsi="Times New Roman" w:cs="Times New Roman"/>
          <w:sz w:val="28"/>
          <w:szCs w:val="28"/>
        </w:rPr>
        <w:t xml:space="preserve">nepieciešamības gadījumā </w:t>
      </w:r>
      <w:r>
        <w:rPr>
          <w:rFonts w:ascii="Times New Roman" w:hAnsi="Times New Roman" w:cs="Times New Roman"/>
          <w:sz w:val="28"/>
          <w:szCs w:val="28"/>
        </w:rPr>
        <w:t xml:space="preserve">būs jāizpilda nosacījumi atbilstoši </w:t>
      </w:r>
      <w:r w:rsidR="003534CC">
        <w:rPr>
          <w:rFonts w:ascii="Times New Roman" w:hAnsi="Times New Roman" w:cs="Times New Roman"/>
          <w:sz w:val="28"/>
          <w:szCs w:val="28"/>
        </w:rPr>
        <w:t xml:space="preserve">valsts atbalsta </w:t>
      </w:r>
      <w:r>
        <w:rPr>
          <w:rFonts w:ascii="Times New Roman" w:hAnsi="Times New Roman" w:cs="Times New Roman"/>
          <w:sz w:val="28"/>
          <w:szCs w:val="28"/>
        </w:rPr>
        <w:t>tiesiskajam regulējumam</w:t>
      </w:r>
      <w:r w:rsidR="007C3354">
        <w:rPr>
          <w:rFonts w:ascii="Times New Roman" w:hAnsi="Times New Roman" w:cs="Times New Roman"/>
          <w:sz w:val="28"/>
          <w:szCs w:val="28"/>
        </w:rPr>
        <w:t>.</w:t>
      </w:r>
      <w:r w:rsidR="003534CC">
        <w:rPr>
          <w:rFonts w:ascii="Times New Roman" w:hAnsi="Times New Roman" w:cs="Times New Roman"/>
          <w:sz w:val="28"/>
          <w:szCs w:val="28"/>
        </w:rPr>
        <w:t xml:space="preserve"> </w:t>
      </w:r>
      <w:r w:rsidR="007C3354">
        <w:rPr>
          <w:rFonts w:ascii="Times New Roman" w:hAnsi="Times New Roman" w:cs="Times New Roman"/>
          <w:sz w:val="28"/>
          <w:szCs w:val="28"/>
        </w:rPr>
        <w:t>Arī</w:t>
      </w:r>
      <w:r w:rsidR="003534CC">
        <w:rPr>
          <w:rFonts w:ascii="Times New Roman" w:hAnsi="Times New Roman" w:cs="Times New Roman"/>
          <w:sz w:val="28"/>
          <w:szCs w:val="28"/>
        </w:rPr>
        <w:t xml:space="preserve"> </w:t>
      </w:r>
      <w:r w:rsidR="00017BD4" w:rsidRPr="00FF3333">
        <w:rPr>
          <w:rFonts w:ascii="Times New Roman" w:hAnsi="Times New Roman" w:cs="Times New Roman"/>
          <w:sz w:val="28"/>
          <w:szCs w:val="28"/>
        </w:rPr>
        <w:t>M</w:t>
      </w:r>
      <w:r w:rsidR="007C3354" w:rsidRPr="007C3354">
        <w:rPr>
          <w:rFonts w:ascii="Times New Roman" w:hAnsi="Times New Roman" w:cs="Times New Roman"/>
          <w:sz w:val="28"/>
          <w:szCs w:val="28"/>
        </w:rPr>
        <w:t>odernizācijas fonda līdzekļu</w:t>
      </w:r>
      <w:r w:rsidR="00017BD4" w:rsidRPr="00FF3333">
        <w:rPr>
          <w:rFonts w:ascii="Times New Roman" w:hAnsi="Times New Roman" w:cs="Times New Roman"/>
          <w:sz w:val="28"/>
          <w:szCs w:val="28"/>
        </w:rPr>
        <w:t xml:space="preserve"> izmaks</w:t>
      </w:r>
      <w:r w:rsidR="007C3354">
        <w:rPr>
          <w:rFonts w:ascii="Times New Roman" w:hAnsi="Times New Roman" w:cs="Times New Roman"/>
          <w:sz w:val="28"/>
          <w:szCs w:val="28"/>
        </w:rPr>
        <w:t>a no EIB</w:t>
      </w:r>
      <w:r w:rsidR="00017BD4" w:rsidRPr="00FF3333">
        <w:rPr>
          <w:rFonts w:ascii="Times New Roman" w:hAnsi="Times New Roman" w:cs="Times New Roman"/>
          <w:sz w:val="28"/>
          <w:szCs w:val="28"/>
        </w:rPr>
        <w:t xml:space="preserve"> </w:t>
      </w:r>
      <w:r w:rsidR="003534CC">
        <w:rPr>
          <w:rFonts w:ascii="Times New Roman" w:hAnsi="Times New Roman" w:cs="Times New Roman"/>
          <w:sz w:val="28"/>
          <w:szCs w:val="28"/>
        </w:rPr>
        <w:t xml:space="preserve">Latvijai </w:t>
      </w:r>
      <w:r w:rsidR="007C3354">
        <w:rPr>
          <w:rFonts w:ascii="Times New Roman" w:hAnsi="Times New Roman" w:cs="Times New Roman"/>
          <w:sz w:val="28"/>
          <w:szCs w:val="28"/>
        </w:rPr>
        <w:t xml:space="preserve">notiks </w:t>
      </w:r>
      <w:r w:rsidR="00017BD4" w:rsidRPr="00FF3333">
        <w:rPr>
          <w:rFonts w:ascii="Times New Roman" w:hAnsi="Times New Roman" w:cs="Times New Roman"/>
          <w:sz w:val="28"/>
          <w:szCs w:val="28"/>
        </w:rPr>
        <w:t xml:space="preserve">tikai pēc valsts atbalsta </w:t>
      </w:r>
      <w:r w:rsidR="009C6D91">
        <w:rPr>
          <w:rFonts w:ascii="Times New Roman" w:hAnsi="Times New Roman" w:cs="Times New Roman"/>
          <w:sz w:val="28"/>
          <w:szCs w:val="28"/>
        </w:rPr>
        <w:t>prasību nodrošināšanas</w:t>
      </w:r>
      <w:r w:rsidR="00017BD4" w:rsidRPr="00FF3333">
        <w:rPr>
          <w:rFonts w:ascii="Times New Roman" w:hAnsi="Times New Roman" w:cs="Times New Roman"/>
          <w:sz w:val="28"/>
          <w:szCs w:val="28"/>
        </w:rPr>
        <w:t>.</w:t>
      </w:r>
    </w:p>
    <w:p w14:paraId="5EAF8FD0" w14:textId="5E4388D7" w:rsidR="0005531B" w:rsidRPr="00FF3333" w:rsidRDefault="0005531B" w:rsidP="0005531B">
      <w:pPr>
        <w:spacing w:after="0" w:line="240" w:lineRule="auto"/>
        <w:ind w:firstLine="709"/>
        <w:jc w:val="both"/>
        <w:rPr>
          <w:rFonts w:ascii="Times New Roman" w:hAnsi="Times New Roman" w:cs="Times New Roman"/>
          <w:sz w:val="28"/>
          <w:szCs w:val="28"/>
        </w:rPr>
      </w:pPr>
      <w:r w:rsidRPr="00FF3333">
        <w:rPr>
          <w:rFonts w:ascii="Times New Roman" w:hAnsi="Times New Roman" w:cs="Times New Roman"/>
          <w:sz w:val="28"/>
          <w:szCs w:val="28"/>
        </w:rPr>
        <w:t>Jā</w:t>
      </w:r>
      <w:r w:rsidR="0042429D">
        <w:rPr>
          <w:rFonts w:ascii="Times New Roman" w:hAnsi="Times New Roman" w:cs="Times New Roman"/>
          <w:sz w:val="28"/>
          <w:szCs w:val="28"/>
        </w:rPr>
        <w:t>atzīmē, ka</w:t>
      </w:r>
      <w:r w:rsidR="007F1DC7">
        <w:rPr>
          <w:rFonts w:ascii="Times New Roman" w:hAnsi="Times New Roman" w:cs="Times New Roman"/>
          <w:sz w:val="28"/>
          <w:szCs w:val="28"/>
        </w:rPr>
        <w:t>,</w:t>
      </w:r>
      <w:r w:rsidR="0042429D">
        <w:rPr>
          <w:rFonts w:ascii="Times New Roman" w:hAnsi="Times New Roman" w:cs="Times New Roman"/>
          <w:sz w:val="28"/>
          <w:szCs w:val="28"/>
        </w:rPr>
        <w:t xml:space="preserve"> izvērtējot Modernizācijas fonda līdzekļu </w:t>
      </w:r>
      <w:r w:rsidR="00BE226B">
        <w:rPr>
          <w:rFonts w:ascii="Times New Roman" w:hAnsi="Times New Roman" w:cs="Times New Roman"/>
          <w:sz w:val="28"/>
          <w:szCs w:val="28"/>
        </w:rPr>
        <w:t>investēšanas</w:t>
      </w:r>
      <w:r w:rsidR="0042429D">
        <w:rPr>
          <w:rFonts w:ascii="Times New Roman" w:hAnsi="Times New Roman" w:cs="Times New Roman"/>
          <w:sz w:val="28"/>
          <w:szCs w:val="28"/>
        </w:rPr>
        <w:t xml:space="preserve"> </w:t>
      </w:r>
      <w:r w:rsidR="000435D1">
        <w:rPr>
          <w:rFonts w:ascii="Times New Roman" w:hAnsi="Times New Roman" w:cs="Times New Roman"/>
          <w:sz w:val="28"/>
          <w:szCs w:val="28"/>
        </w:rPr>
        <w:t>funkcijas nodošan</w:t>
      </w:r>
      <w:r w:rsidR="00387CDC">
        <w:rPr>
          <w:rFonts w:ascii="Times New Roman" w:hAnsi="Times New Roman" w:cs="Times New Roman"/>
          <w:sz w:val="28"/>
          <w:szCs w:val="28"/>
        </w:rPr>
        <w:t>u</w:t>
      </w:r>
      <w:r w:rsidR="003A21E4">
        <w:rPr>
          <w:rFonts w:ascii="Times New Roman" w:hAnsi="Times New Roman" w:cs="Times New Roman"/>
          <w:sz w:val="28"/>
          <w:szCs w:val="28"/>
        </w:rPr>
        <w:t xml:space="preserve"> </w:t>
      </w:r>
      <w:bookmarkStart w:id="1" w:name="_Hlk54520046"/>
      <w:r w:rsidR="003A21E4">
        <w:rPr>
          <w:rFonts w:ascii="Times New Roman" w:hAnsi="Times New Roman" w:cs="Times New Roman"/>
          <w:sz w:val="28"/>
          <w:szCs w:val="28"/>
        </w:rPr>
        <w:t>(</w:t>
      </w:r>
      <w:r w:rsidR="003A21E4" w:rsidRPr="003A21E4">
        <w:rPr>
          <w:rFonts w:ascii="Times New Roman" w:hAnsi="Times New Roman" w:cs="Times New Roman"/>
          <w:sz w:val="28"/>
          <w:szCs w:val="28"/>
        </w:rPr>
        <w:t>vie</w:t>
      </w:r>
      <w:r w:rsidR="003A21E4">
        <w:rPr>
          <w:rFonts w:ascii="Times New Roman" w:hAnsi="Times New Roman" w:cs="Times New Roman"/>
          <w:sz w:val="28"/>
          <w:szCs w:val="28"/>
        </w:rPr>
        <w:t>n</w:t>
      </w:r>
      <w:r w:rsidR="003A21E4" w:rsidRPr="003A21E4">
        <w:rPr>
          <w:rFonts w:ascii="Times New Roman" w:hAnsi="Times New Roman" w:cs="Times New Roman"/>
          <w:sz w:val="28"/>
          <w:szCs w:val="28"/>
        </w:rPr>
        <w:t xml:space="preserve">laikus ar </w:t>
      </w:r>
      <w:r w:rsidR="003A21E4" w:rsidRPr="00C24B11">
        <w:rPr>
          <w:rFonts w:ascii="Times New Roman" w:hAnsi="Times New Roman" w:cs="Times New Roman"/>
          <w:sz w:val="28"/>
          <w:szCs w:val="28"/>
        </w:rPr>
        <w:t>Modernizācijas fonda daudzgadu programmas darbības noteikumu apstiprināšanu</w:t>
      </w:r>
      <w:r w:rsidR="003A21E4">
        <w:rPr>
          <w:rFonts w:ascii="Times New Roman" w:hAnsi="Times New Roman" w:cs="Times New Roman"/>
          <w:sz w:val="28"/>
          <w:szCs w:val="28"/>
        </w:rPr>
        <w:t>)</w:t>
      </w:r>
      <w:r w:rsidR="00387CDC">
        <w:rPr>
          <w:rFonts w:ascii="Times New Roman" w:hAnsi="Times New Roman" w:cs="Times New Roman"/>
          <w:sz w:val="28"/>
          <w:szCs w:val="28"/>
        </w:rPr>
        <w:t xml:space="preserve"> </w:t>
      </w:r>
      <w:bookmarkEnd w:id="1"/>
      <w:r w:rsidR="0042429D">
        <w:rPr>
          <w:rFonts w:ascii="Times New Roman" w:hAnsi="Times New Roman" w:cs="Times New Roman"/>
          <w:sz w:val="28"/>
          <w:szCs w:val="28"/>
        </w:rPr>
        <w:t xml:space="preserve">ALTUM </w:t>
      </w:r>
      <w:r w:rsidR="00387CDC">
        <w:rPr>
          <w:rFonts w:ascii="Times New Roman" w:hAnsi="Times New Roman" w:cs="Times New Roman"/>
          <w:sz w:val="28"/>
          <w:szCs w:val="28"/>
        </w:rPr>
        <w:t>būs</w:t>
      </w:r>
      <w:r w:rsidR="00255EB0">
        <w:rPr>
          <w:rFonts w:ascii="Times New Roman" w:hAnsi="Times New Roman" w:cs="Times New Roman"/>
          <w:sz w:val="28"/>
          <w:szCs w:val="28"/>
        </w:rPr>
        <w:t xml:space="preserve"> jā</w:t>
      </w:r>
      <w:r w:rsidRPr="00FF3333">
        <w:rPr>
          <w:rFonts w:ascii="Times New Roman" w:hAnsi="Times New Roman" w:cs="Times New Roman"/>
          <w:sz w:val="28"/>
          <w:szCs w:val="28"/>
        </w:rPr>
        <w:t xml:space="preserve">ņem vērā, ka attiecībā uz </w:t>
      </w:r>
      <w:r w:rsidR="00591D9E">
        <w:rPr>
          <w:rFonts w:ascii="Times New Roman" w:hAnsi="Times New Roman" w:cs="Times New Roman"/>
          <w:sz w:val="28"/>
          <w:szCs w:val="28"/>
        </w:rPr>
        <w:t>to</w:t>
      </w:r>
      <w:r>
        <w:rPr>
          <w:rFonts w:ascii="Times New Roman" w:hAnsi="Times New Roman" w:cs="Times New Roman"/>
          <w:sz w:val="28"/>
          <w:szCs w:val="28"/>
        </w:rPr>
        <w:t xml:space="preserve"> </w:t>
      </w:r>
      <w:r w:rsidRPr="00FF3333">
        <w:rPr>
          <w:rFonts w:ascii="Times New Roman" w:hAnsi="Times New Roman" w:cs="Times New Roman"/>
          <w:sz w:val="28"/>
          <w:szCs w:val="28"/>
        </w:rPr>
        <w:t>ir spēkā Eiropas Komisijas lēmums par valsts atbalstu SA.36904</w:t>
      </w:r>
      <w:r>
        <w:rPr>
          <w:rFonts w:ascii="Times New Roman" w:hAnsi="Times New Roman" w:cs="Times New Roman"/>
          <w:sz w:val="28"/>
          <w:szCs w:val="28"/>
        </w:rPr>
        <w:t> </w:t>
      </w:r>
      <w:r w:rsidRPr="00FF3333">
        <w:rPr>
          <w:rFonts w:ascii="Times New Roman" w:hAnsi="Times New Roman" w:cs="Times New Roman"/>
          <w:sz w:val="28"/>
          <w:szCs w:val="28"/>
        </w:rPr>
        <w:t>–</w:t>
      </w:r>
      <w:r>
        <w:rPr>
          <w:rFonts w:ascii="Times New Roman" w:hAnsi="Times New Roman" w:cs="Times New Roman"/>
          <w:sz w:val="28"/>
          <w:szCs w:val="28"/>
        </w:rPr>
        <w:t> </w:t>
      </w:r>
      <w:r w:rsidR="00591D9E">
        <w:rPr>
          <w:rFonts w:ascii="Times New Roman" w:hAnsi="Times New Roman" w:cs="Times New Roman"/>
          <w:sz w:val="28"/>
          <w:szCs w:val="28"/>
        </w:rPr>
        <w:t>“</w:t>
      </w:r>
      <w:r w:rsidRPr="00FF3333">
        <w:rPr>
          <w:rFonts w:ascii="Times New Roman" w:hAnsi="Times New Roman" w:cs="Times New Roman"/>
          <w:sz w:val="28"/>
          <w:szCs w:val="28"/>
        </w:rPr>
        <w:t>Latvija, Hipotēku un zemes bankas attīstības daļu un Latvijas Attīstības finanšu institūcijas izveidi</w:t>
      </w:r>
      <w:r w:rsidR="005D4481">
        <w:rPr>
          <w:rFonts w:ascii="Times New Roman" w:hAnsi="Times New Roman" w:cs="Times New Roman"/>
          <w:sz w:val="28"/>
          <w:szCs w:val="28"/>
        </w:rPr>
        <w:t>”</w:t>
      </w:r>
      <w:r w:rsidRPr="00FF3333">
        <w:rPr>
          <w:rFonts w:ascii="Times New Roman" w:hAnsi="Times New Roman" w:cs="Times New Roman"/>
          <w:sz w:val="28"/>
          <w:szCs w:val="28"/>
        </w:rPr>
        <w:t xml:space="preserve"> (turpmāk</w:t>
      </w:r>
      <w:r>
        <w:rPr>
          <w:rFonts w:ascii="Times New Roman" w:hAnsi="Times New Roman" w:cs="Times New Roman"/>
          <w:sz w:val="28"/>
          <w:szCs w:val="28"/>
        </w:rPr>
        <w:t> </w:t>
      </w:r>
      <w:r w:rsidRPr="00FF3333">
        <w:rPr>
          <w:rFonts w:ascii="Times New Roman" w:hAnsi="Times New Roman" w:cs="Times New Roman"/>
          <w:sz w:val="28"/>
          <w:szCs w:val="28"/>
        </w:rPr>
        <w:t>–</w:t>
      </w:r>
      <w:r>
        <w:rPr>
          <w:rFonts w:ascii="Times New Roman" w:hAnsi="Times New Roman" w:cs="Times New Roman"/>
          <w:sz w:val="28"/>
          <w:szCs w:val="28"/>
        </w:rPr>
        <w:t> </w:t>
      </w:r>
      <w:r w:rsidRPr="00FF3333">
        <w:rPr>
          <w:rFonts w:ascii="Times New Roman" w:hAnsi="Times New Roman" w:cs="Times New Roman"/>
          <w:sz w:val="28"/>
          <w:szCs w:val="28"/>
        </w:rPr>
        <w:t>EK lēmums SA.36904) un saskaņā ar šā lēmum</w:t>
      </w:r>
      <w:r w:rsidR="00387CDC">
        <w:rPr>
          <w:rFonts w:ascii="Times New Roman" w:hAnsi="Times New Roman" w:cs="Times New Roman"/>
          <w:sz w:val="28"/>
          <w:szCs w:val="28"/>
        </w:rPr>
        <w:t>a</w:t>
      </w:r>
      <w:r w:rsidRPr="00FF3333">
        <w:rPr>
          <w:rFonts w:ascii="Times New Roman" w:hAnsi="Times New Roman" w:cs="Times New Roman"/>
          <w:sz w:val="28"/>
          <w:szCs w:val="28"/>
        </w:rPr>
        <w:t xml:space="preserve"> 5.</w:t>
      </w:r>
      <w:r>
        <w:rPr>
          <w:rFonts w:ascii="Times New Roman" w:hAnsi="Times New Roman" w:cs="Times New Roman"/>
          <w:sz w:val="28"/>
          <w:szCs w:val="28"/>
        </w:rPr>
        <w:t> </w:t>
      </w:r>
      <w:r w:rsidRPr="00FF3333">
        <w:rPr>
          <w:rFonts w:ascii="Times New Roman" w:hAnsi="Times New Roman" w:cs="Times New Roman"/>
          <w:sz w:val="28"/>
          <w:szCs w:val="28"/>
        </w:rPr>
        <w:t>sadaļas (121) punktā noteikto, ka, lai veiktu jebkuru turpmāku kapitāla iepludināšanu, kas pārsniedz minēto summu, vai jebkuru citu pasākumu, uz kuru attiecas LESD 107.</w:t>
      </w:r>
      <w:r>
        <w:rPr>
          <w:rFonts w:ascii="Times New Roman" w:hAnsi="Times New Roman" w:cs="Times New Roman"/>
          <w:sz w:val="28"/>
          <w:szCs w:val="28"/>
        </w:rPr>
        <w:t> </w:t>
      </w:r>
      <w:r w:rsidRPr="00FF3333">
        <w:rPr>
          <w:rFonts w:ascii="Times New Roman" w:hAnsi="Times New Roman" w:cs="Times New Roman"/>
          <w:sz w:val="28"/>
          <w:szCs w:val="28"/>
        </w:rPr>
        <w:t>panta 1.</w:t>
      </w:r>
      <w:r>
        <w:rPr>
          <w:rFonts w:ascii="Times New Roman" w:hAnsi="Times New Roman" w:cs="Times New Roman"/>
          <w:sz w:val="28"/>
          <w:szCs w:val="28"/>
        </w:rPr>
        <w:t> </w:t>
      </w:r>
      <w:r w:rsidRPr="00FF3333">
        <w:rPr>
          <w:rFonts w:ascii="Times New Roman" w:hAnsi="Times New Roman" w:cs="Times New Roman"/>
          <w:sz w:val="28"/>
          <w:szCs w:val="28"/>
        </w:rPr>
        <w:t xml:space="preserve">punkts, ir nepieciešams oficiāls paziņojums Komisijai un tās apstiprinājums. </w:t>
      </w:r>
      <w:r w:rsidR="00F17054">
        <w:rPr>
          <w:rFonts w:ascii="Times New Roman" w:hAnsi="Times New Roman" w:cs="Times New Roman"/>
          <w:sz w:val="28"/>
          <w:szCs w:val="28"/>
        </w:rPr>
        <w:t>G</w:t>
      </w:r>
      <w:r w:rsidR="00F17054" w:rsidRPr="00F17054">
        <w:rPr>
          <w:rFonts w:ascii="Times New Roman" w:hAnsi="Times New Roman" w:cs="Times New Roman"/>
          <w:sz w:val="28"/>
          <w:szCs w:val="28"/>
        </w:rPr>
        <w:t xml:space="preserve">rozījumi EK lēmumā SA.36904 </w:t>
      </w:r>
      <w:r w:rsidR="00387CDC">
        <w:rPr>
          <w:rFonts w:ascii="Times New Roman" w:hAnsi="Times New Roman" w:cs="Times New Roman"/>
          <w:sz w:val="28"/>
          <w:szCs w:val="28"/>
        </w:rPr>
        <w:t>būs</w:t>
      </w:r>
      <w:r w:rsidR="00F17054" w:rsidRPr="00F17054">
        <w:rPr>
          <w:rFonts w:ascii="Times New Roman" w:hAnsi="Times New Roman" w:cs="Times New Roman"/>
          <w:sz w:val="28"/>
          <w:szCs w:val="28"/>
        </w:rPr>
        <w:t xml:space="preserve"> </w:t>
      </w:r>
      <w:r w:rsidR="00F17054">
        <w:rPr>
          <w:rFonts w:ascii="Times New Roman" w:hAnsi="Times New Roman" w:cs="Times New Roman"/>
          <w:sz w:val="28"/>
          <w:szCs w:val="28"/>
        </w:rPr>
        <w:t>nepieciešami</w:t>
      </w:r>
      <w:r w:rsidR="00F17054" w:rsidRPr="00F17054">
        <w:rPr>
          <w:rFonts w:ascii="Times New Roman" w:hAnsi="Times New Roman" w:cs="Times New Roman"/>
          <w:sz w:val="28"/>
          <w:szCs w:val="28"/>
        </w:rPr>
        <w:t xml:space="preserve"> arī tad, ja netiks veikts ieguldījums A</w:t>
      </w:r>
      <w:r w:rsidR="000A54E6">
        <w:rPr>
          <w:rFonts w:ascii="Times New Roman" w:hAnsi="Times New Roman" w:cs="Times New Roman"/>
          <w:sz w:val="28"/>
          <w:szCs w:val="28"/>
        </w:rPr>
        <w:t xml:space="preserve">LTUM </w:t>
      </w:r>
      <w:r w:rsidR="00F17054" w:rsidRPr="00F17054">
        <w:rPr>
          <w:rFonts w:ascii="Times New Roman" w:hAnsi="Times New Roman" w:cs="Times New Roman"/>
          <w:sz w:val="28"/>
          <w:szCs w:val="28"/>
        </w:rPr>
        <w:t>kapitālā, jo EK lēmuma SA.36904 23.punkts citādu iespēju, kā finansējumu iepludināt caur pamatkapitālu vai rezerves kapitālu nemaz neparedz.</w:t>
      </w:r>
    </w:p>
    <w:p w14:paraId="6530D6B1" w14:textId="4C8A5AD2" w:rsidR="00017BD4" w:rsidRPr="00D65A54" w:rsidRDefault="00017BD4">
      <w:pPr>
        <w:spacing w:after="0" w:line="240" w:lineRule="auto"/>
        <w:ind w:firstLine="709"/>
        <w:jc w:val="both"/>
        <w:rPr>
          <w:rFonts w:ascii="Times New Roman" w:hAnsi="Times New Roman" w:cs="Times New Roman"/>
          <w:color w:val="000000" w:themeColor="text1"/>
          <w:sz w:val="28"/>
          <w:szCs w:val="28"/>
        </w:rPr>
      </w:pPr>
      <w:r w:rsidRPr="00017BD4">
        <w:rPr>
          <w:rFonts w:ascii="Times New Roman" w:hAnsi="Times New Roman" w:cs="Times New Roman"/>
          <w:color w:val="000000" w:themeColor="text1"/>
          <w:sz w:val="28"/>
          <w:szCs w:val="28"/>
        </w:rPr>
        <w:t xml:space="preserve">Turklāt saskaņā ar Komercdarbības atbalsta kontroles likuma 10. panta pirmajā daļā noteikto ikvienu plānoto atbalsta programmu vai individuālo atbalsta projektu, kā arī ikvienu plānoto grozījumu esošajās atbalsta programmās vai individuālajos atbalsta projektos pirms to īstenošanas uzsākšanas atbalsta sniedzējs iesniedz sākotnējai izvērtēšanai Finanšu ministrijā, izņemot formāla vai administratīva rakstura izmaiņas, kas </w:t>
      </w:r>
      <w:r w:rsidRPr="00D65A54">
        <w:rPr>
          <w:rFonts w:ascii="Times New Roman" w:hAnsi="Times New Roman" w:cs="Times New Roman"/>
          <w:color w:val="000000" w:themeColor="text1"/>
          <w:sz w:val="28"/>
          <w:szCs w:val="28"/>
        </w:rPr>
        <w:t xml:space="preserve">nevar ietekmēt novērtējumu par komercdarbības atbalsta pasākuma saderību ar Eiropas Savienības iekšējo tirgu. </w:t>
      </w:r>
    </w:p>
    <w:p w14:paraId="72154D36" w14:textId="343A95B9" w:rsidR="003A21E4" w:rsidRPr="00D65A54" w:rsidRDefault="007D0AFE" w:rsidP="00C24B11">
      <w:pPr>
        <w:spacing w:after="0" w:line="240" w:lineRule="auto"/>
        <w:ind w:firstLine="709"/>
        <w:jc w:val="both"/>
        <w:rPr>
          <w:rFonts w:ascii="Times New Roman" w:hAnsi="Times New Roman" w:cs="Times New Roman"/>
          <w:color w:val="000000" w:themeColor="text1"/>
          <w:sz w:val="28"/>
          <w:szCs w:val="28"/>
          <w:shd w:val="clear" w:color="auto" w:fill="FFFFFF"/>
        </w:rPr>
      </w:pPr>
      <w:r w:rsidRPr="00D65A54">
        <w:rPr>
          <w:rFonts w:ascii="Times New Roman" w:hAnsi="Times New Roman" w:cs="Times New Roman"/>
          <w:sz w:val="28"/>
          <w:szCs w:val="28"/>
        </w:rPr>
        <w:lastRenderedPageBreak/>
        <w:t>Saskaņā ar EK 2020. gada 4. jūnija skaidrojumu</w:t>
      </w:r>
      <w:r w:rsidRPr="00D65A54">
        <w:rPr>
          <w:rStyle w:val="FootnoteReference"/>
          <w:rFonts w:ascii="Times New Roman" w:hAnsi="Times New Roman" w:cs="Times New Roman"/>
          <w:sz w:val="28"/>
          <w:szCs w:val="28"/>
        </w:rPr>
        <w:footnoteReference w:id="18"/>
      </w:r>
      <w:r w:rsidRPr="00D65A54">
        <w:rPr>
          <w:rFonts w:ascii="Times New Roman" w:hAnsi="Times New Roman" w:cs="Times New Roman"/>
          <w:sz w:val="28"/>
          <w:szCs w:val="28"/>
        </w:rPr>
        <w:t xml:space="preserve"> no Modernizācijas fonda līdzekļiem nebūs iespējams segt dalībvalstu, t.sk. </w:t>
      </w:r>
      <w:r w:rsidRPr="003C08F1">
        <w:rPr>
          <w:rFonts w:ascii="Times New Roman" w:hAnsi="Times New Roman" w:cs="Times New Roman"/>
          <w:sz w:val="28"/>
          <w:szCs w:val="28"/>
        </w:rPr>
        <w:t>Latvijas administratīvās izmaksas, kas rodas saistībā ar Modernizācijas fonda darbību un uzturēšanu.</w:t>
      </w:r>
      <w:r w:rsidR="00304BE1" w:rsidRPr="003C08F1">
        <w:rPr>
          <w:rFonts w:ascii="Times New Roman" w:hAnsi="Times New Roman" w:cs="Times New Roman"/>
          <w:sz w:val="28"/>
          <w:szCs w:val="28"/>
        </w:rPr>
        <w:t xml:space="preserve"> </w:t>
      </w:r>
      <w:r w:rsidRPr="003C08F1">
        <w:rPr>
          <w:rFonts w:ascii="Times New Roman" w:hAnsi="Times New Roman" w:cs="Times New Roman"/>
          <w:sz w:val="28"/>
          <w:szCs w:val="28"/>
        </w:rPr>
        <w:t>Administratīvo izmaksu finansēšanas avots un apjoms, kas būs nepieciešams saistībā ar Modernizācijas fonda darbību un uzturēšanu, tiks noteikts Modernizācijas fonda daudzgadu programmas noteikumu izstrādes laikā</w:t>
      </w:r>
      <w:r w:rsidR="006D2DA6" w:rsidRPr="003C08F1">
        <w:rPr>
          <w:rFonts w:ascii="Times New Roman" w:hAnsi="Times New Roman" w:cs="Times New Roman"/>
          <w:sz w:val="28"/>
          <w:szCs w:val="28"/>
        </w:rPr>
        <w:t xml:space="preserve">, t.i. ņemot vērā nosacījumus, kas saistīti ar izvēlēto iestādi </w:t>
      </w:r>
      <w:r w:rsidR="006D2DA6" w:rsidRPr="00C24B11">
        <w:rPr>
          <w:rFonts w:ascii="Times New Roman" w:hAnsi="Times New Roman" w:cs="Times New Roman"/>
          <w:sz w:val="28"/>
          <w:szCs w:val="28"/>
        </w:rPr>
        <w:t xml:space="preserve">daudzgadu programmas līdzekļu </w:t>
      </w:r>
      <w:r w:rsidR="00BE226B" w:rsidRPr="00C24B11">
        <w:rPr>
          <w:rFonts w:ascii="Times New Roman" w:hAnsi="Times New Roman" w:cs="Times New Roman"/>
          <w:sz w:val="28"/>
          <w:szCs w:val="28"/>
        </w:rPr>
        <w:t>investēšanas</w:t>
      </w:r>
      <w:r w:rsidR="006D2DA6" w:rsidRPr="00C24B11">
        <w:rPr>
          <w:rFonts w:ascii="Times New Roman" w:hAnsi="Times New Roman" w:cs="Times New Roman"/>
          <w:sz w:val="28"/>
          <w:szCs w:val="28"/>
        </w:rPr>
        <w:t xml:space="preserve"> funkciju</w:t>
      </w:r>
      <w:r w:rsidR="006D2DA6" w:rsidRPr="00D65A54">
        <w:rPr>
          <w:rFonts w:ascii="Times New Roman" w:hAnsi="Times New Roman" w:cs="Times New Roman"/>
          <w:sz w:val="28"/>
          <w:szCs w:val="28"/>
        </w:rPr>
        <w:t xml:space="preserve"> īstenošanai, kā arī programmas (shēmas) ieviešanas praktiskajiem nosacījumiem</w:t>
      </w:r>
      <w:r w:rsidRPr="00D65A54">
        <w:rPr>
          <w:rFonts w:ascii="Times New Roman" w:hAnsi="Times New Roman" w:cs="Times New Roman"/>
          <w:sz w:val="28"/>
          <w:szCs w:val="28"/>
        </w:rPr>
        <w:t>.</w:t>
      </w:r>
      <w:r w:rsidR="00D826E5">
        <w:rPr>
          <w:rFonts w:ascii="Times New Roman" w:hAnsi="Times New Roman" w:cs="Times New Roman"/>
          <w:sz w:val="28"/>
          <w:szCs w:val="28"/>
        </w:rPr>
        <w:t xml:space="preserve"> </w:t>
      </w:r>
      <w:r w:rsidR="00D65A54" w:rsidRPr="00C24B11">
        <w:rPr>
          <w:rFonts w:ascii="Times New Roman" w:hAnsi="Times New Roman" w:cs="Times New Roman"/>
          <w:color w:val="414142"/>
          <w:sz w:val="28"/>
          <w:szCs w:val="28"/>
          <w:shd w:val="clear" w:color="auto" w:fill="FFFFFF"/>
        </w:rPr>
        <w:t>Jautājum</w:t>
      </w:r>
      <w:r w:rsidR="00D826E5">
        <w:rPr>
          <w:rFonts w:ascii="Times New Roman" w:hAnsi="Times New Roman" w:cs="Times New Roman"/>
          <w:color w:val="414142"/>
          <w:sz w:val="28"/>
          <w:szCs w:val="28"/>
          <w:shd w:val="clear" w:color="auto" w:fill="FFFFFF"/>
        </w:rPr>
        <w:t>s</w:t>
      </w:r>
      <w:r w:rsidR="00D65A54" w:rsidRPr="00C24B11">
        <w:rPr>
          <w:rFonts w:ascii="Times New Roman" w:hAnsi="Times New Roman" w:cs="Times New Roman"/>
          <w:color w:val="414142"/>
          <w:sz w:val="28"/>
          <w:szCs w:val="28"/>
          <w:shd w:val="clear" w:color="auto" w:fill="FFFFFF"/>
        </w:rPr>
        <w:t xml:space="preserve"> par valsts budžeta līdzekļu piešķiršanu </w:t>
      </w:r>
      <w:r w:rsidR="00D826E5">
        <w:rPr>
          <w:rFonts w:ascii="Times New Roman" w:hAnsi="Times New Roman" w:cs="Times New Roman"/>
          <w:color w:val="414142"/>
          <w:sz w:val="28"/>
          <w:szCs w:val="28"/>
          <w:shd w:val="clear" w:color="auto" w:fill="FFFFFF"/>
        </w:rPr>
        <w:t>Modernizācijas fonda administratīvo izdevumu segšanai</w:t>
      </w:r>
      <w:r w:rsidR="00D65A54" w:rsidRPr="00C24B11">
        <w:rPr>
          <w:rFonts w:ascii="Times New Roman" w:hAnsi="Times New Roman" w:cs="Times New Roman"/>
          <w:color w:val="414142"/>
          <w:sz w:val="28"/>
          <w:szCs w:val="28"/>
          <w:shd w:val="clear" w:color="auto" w:fill="FFFFFF"/>
        </w:rPr>
        <w:t xml:space="preserve"> 202</w:t>
      </w:r>
      <w:r w:rsidR="000B08F4">
        <w:rPr>
          <w:rFonts w:ascii="Times New Roman" w:hAnsi="Times New Roman" w:cs="Times New Roman"/>
          <w:color w:val="414142"/>
          <w:sz w:val="28"/>
          <w:szCs w:val="28"/>
          <w:shd w:val="clear" w:color="auto" w:fill="FFFFFF"/>
        </w:rPr>
        <w:t>2</w:t>
      </w:r>
      <w:r w:rsidR="00D65A54" w:rsidRPr="00C24B11">
        <w:rPr>
          <w:rFonts w:ascii="Times New Roman" w:hAnsi="Times New Roman" w:cs="Times New Roman"/>
          <w:color w:val="414142"/>
          <w:sz w:val="28"/>
          <w:szCs w:val="28"/>
          <w:shd w:val="clear" w:color="auto" w:fill="FFFFFF"/>
        </w:rPr>
        <w:t>.</w:t>
      </w:r>
      <w:r w:rsidR="00D826E5">
        <w:rPr>
          <w:rFonts w:ascii="Times New Roman" w:hAnsi="Times New Roman" w:cs="Times New Roman"/>
          <w:color w:val="414142"/>
          <w:sz w:val="28"/>
          <w:szCs w:val="28"/>
          <w:shd w:val="clear" w:color="auto" w:fill="FFFFFF"/>
        </w:rPr>
        <w:t> </w:t>
      </w:r>
      <w:r w:rsidR="00D65A54" w:rsidRPr="00C24B11">
        <w:rPr>
          <w:rFonts w:ascii="Times New Roman" w:hAnsi="Times New Roman" w:cs="Times New Roman"/>
          <w:color w:val="414142"/>
          <w:sz w:val="28"/>
          <w:szCs w:val="28"/>
          <w:shd w:val="clear" w:color="auto" w:fill="FFFFFF"/>
        </w:rPr>
        <w:t xml:space="preserve">gadā un turpmākajos gados </w:t>
      </w:r>
      <w:r w:rsidR="00D826E5">
        <w:rPr>
          <w:rFonts w:ascii="Times New Roman" w:hAnsi="Times New Roman" w:cs="Times New Roman"/>
          <w:color w:val="414142"/>
          <w:sz w:val="28"/>
          <w:szCs w:val="28"/>
          <w:shd w:val="clear" w:color="auto" w:fill="FFFFFF"/>
        </w:rPr>
        <w:t xml:space="preserve">tiks </w:t>
      </w:r>
      <w:r w:rsidR="00D65A54" w:rsidRPr="00C24B11">
        <w:rPr>
          <w:rFonts w:ascii="Times New Roman" w:hAnsi="Times New Roman" w:cs="Times New Roman"/>
          <w:color w:val="414142"/>
          <w:sz w:val="28"/>
          <w:szCs w:val="28"/>
          <w:shd w:val="clear" w:color="auto" w:fill="FFFFFF"/>
        </w:rPr>
        <w:t>izskatīt</w:t>
      </w:r>
      <w:r w:rsidR="00D826E5">
        <w:rPr>
          <w:rFonts w:ascii="Times New Roman" w:hAnsi="Times New Roman" w:cs="Times New Roman"/>
          <w:color w:val="414142"/>
          <w:sz w:val="28"/>
          <w:szCs w:val="28"/>
          <w:shd w:val="clear" w:color="auto" w:fill="FFFFFF"/>
        </w:rPr>
        <w:t>s</w:t>
      </w:r>
      <w:r w:rsidR="00D65A54" w:rsidRPr="00C24B11">
        <w:rPr>
          <w:rFonts w:ascii="Times New Roman" w:hAnsi="Times New Roman" w:cs="Times New Roman"/>
          <w:color w:val="414142"/>
          <w:sz w:val="28"/>
          <w:szCs w:val="28"/>
          <w:shd w:val="clear" w:color="auto" w:fill="FFFFFF"/>
        </w:rPr>
        <w:t xml:space="preserve"> Ministru kabinetā kopā ar visu ministriju un citu centrālo valsts iestāžu iesniegtajiem prioritāro pasākumu pieteikumiem gadskārtējā valsts budžeta likumprojekta un vidēja termiņa budžeta ietvara likumprojekta sagatavošanas un izskatīšanas procesā atbilstoši valsts budžeta finansiālajām iespējām.</w:t>
      </w:r>
      <w:r w:rsidR="00D65A54" w:rsidRPr="00304BE1">
        <w:rPr>
          <w:rFonts w:ascii="Times New Roman" w:hAnsi="Times New Roman" w:cs="Times New Roman"/>
          <w:sz w:val="28"/>
          <w:szCs w:val="28"/>
        </w:rPr>
        <w:t xml:space="preserve"> </w:t>
      </w:r>
      <w:r w:rsidR="00304BE1" w:rsidRPr="00304BE1">
        <w:rPr>
          <w:rFonts w:ascii="Times New Roman" w:hAnsi="Times New Roman" w:cs="Times New Roman"/>
          <w:sz w:val="28"/>
          <w:szCs w:val="28"/>
        </w:rPr>
        <w:t xml:space="preserve">Tajā pat laikā </w:t>
      </w:r>
      <w:r w:rsidR="003C08F1">
        <w:rPr>
          <w:rFonts w:ascii="Times New Roman" w:hAnsi="Times New Roman" w:cs="Times New Roman"/>
          <w:sz w:val="28"/>
          <w:szCs w:val="28"/>
        </w:rPr>
        <w:t xml:space="preserve">kā alternatīva </w:t>
      </w:r>
      <w:r w:rsidR="00304BE1" w:rsidRPr="00304BE1">
        <w:rPr>
          <w:rFonts w:ascii="Times New Roman" w:hAnsi="Times New Roman" w:cs="Times New Roman"/>
          <w:sz w:val="28"/>
          <w:szCs w:val="28"/>
        </w:rPr>
        <w:t>iespēja</w:t>
      </w:r>
      <w:r w:rsidR="003C08F1">
        <w:rPr>
          <w:rFonts w:ascii="Times New Roman" w:hAnsi="Times New Roman" w:cs="Times New Roman"/>
          <w:sz w:val="28"/>
          <w:szCs w:val="28"/>
        </w:rPr>
        <w:t xml:space="preserve"> ir</w:t>
      </w:r>
      <w:r w:rsidR="00304BE1" w:rsidRPr="00304BE1">
        <w:rPr>
          <w:rFonts w:ascii="Times New Roman" w:hAnsi="Times New Roman" w:cs="Times New Roman"/>
          <w:sz w:val="28"/>
          <w:szCs w:val="28"/>
        </w:rPr>
        <w:t xml:space="preserve"> izvērtēt </w:t>
      </w:r>
      <w:r w:rsidR="00304BE1" w:rsidRPr="00C24B11">
        <w:rPr>
          <w:rFonts w:ascii="Times New Roman" w:hAnsi="Times New Roman" w:cs="Times New Roman"/>
          <w:sz w:val="28"/>
          <w:szCs w:val="28"/>
        </w:rPr>
        <w:t>Modernizācijas fonda administratīvo izmaksu segšanu atbilstoši Direktīvas 2003/87/EK 10 panta 3.daļas i) punktā noteiktajam, t.i. segt izmaksas no emisijas kvotu izsoļu ieņēmumiem, kas uzskatāmas kā ar klimatu saistīti izdevumi.</w:t>
      </w:r>
    </w:p>
    <w:p w14:paraId="4347D0D6" w14:textId="77777777" w:rsidR="00826E9B" w:rsidRDefault="00826E9B" w:rsidP="00BE2E03">
      <w:pPr>
        <w:spacing w:after="0" w:line="240" w:lineRule="auto"/>
        <w:ind w:right="-1" w:firstLine="709"/>
        <w:jc w:val="both"/>
        <w:rPr>
          <w:rFonts w:ascii="Times New Roman" w:hAnsi="Times New Roman" w:cs="Times New Roman"/>
          <w:color w:val="000000" w:themeColor="text1"/>
          <w:sz w:val="28"/>
          <w:szCs w:val="28"/>
        </w:rPr>
      </w:pPr>
    </w:p>
    <w:p w14:paraId="0E093035" w14:textId="64661A85" w:rsidR="00942CA4" w:rsidRPr="003F18F0" w:rsidRDefault="00872B44" w:rsidP="00103AC8">
      <w:pPr>
        <w:pStyle w:val="ListParagraph"/>
        <w:spacing w:after="0" w:line="240" w:lineRule="auto"/>
        <w:ind w:left="1890" w:right="-1"/>
        <w:contextualSpacing w:val="0"/>
        <w:jc w:val="both"/>
        <w:rPr>
          <w:rFonts w:ascii="Times New Roman" w:hAnsi="Times New Roman" w:cs="Times New Roman"/>
          <w:b/>
          <w:color w:val="000000" w:themeColor="text1"/>
          <w:sz w:val="28"/>
          <w:szCs w:val="28"/>
        </w:rPr>
      </w:pPr>
      <w:r w:rsidRPr="003F18F0">
        <w:rPr>
          <w:rFonts w:ascii="Times New Roman" w:hAnsi="Times New Roman" w:cs="Times New Roman"/>
          <w:b/>
          <w:color w:val="000000" w:themeColor="text1"/>
          <w:sz w:val="28"/>
          <w:szCs w:val="28"/>
        </w:rPr>
        <w:t>4. </w:t>
      </w:r>
      <w:r w:rsidR="00942CA4" w:rsidRPr="003F18F0">
        <w:rPr>
          <w:rFonts w:ascii="Times New Roman" w:hAnsi="Times New Roman" w:cs="Times New Roman"/>
          <w:b/>
          <w:color w:val="000000" w:themeColor="text1"/>
          <w:sz w:val="28"/>
          <w:szCs w:val="28"/>
        </w:rPr>
        <w:t xml:space="preserve">Modernizācijas fonda </w:t>
      </w:r>
      <w:r w:rsidR="00A1266E" w:rsidRPr="003F18F0">
        <w:rPr>
          <w:rFonts w:ascii="Times New Roman" w:hAnsi="Times New Roman" w:cs="Times New Roman"/>
          <w:b/>
          <w:color w:val="000000" w:themeColor="text1"/>
          <w:sz w:val="28"/>
          <w:szCs w:val="28"/>
        </w:rPr>
        <w:t>finansējum</w:t>
      </w:r>
      <w:r w:rsidR="00C8456E" w:rsidRPr="003F18F0">
        <w:rPr>
          <w:rFonts w:ascii="Times New Roman" w:hAnsi="Times New Roman" w:cs="Times New Roman"/>
          <w:b/>
          <w:color w:val="000000" w:themeColor="text1"/>
          <w:sz w:val="28"/>
          <w:szCs w:val="28"/>
        </w:rPr>
        <w:t xml:space="preserve">a apjoms </w:t>
      </w:r>
    </w:p>
    <w:p w14:paraId="47F6DC16" w14:textId="77777777" w:rsidR="00872B44" w:rsidRPr="003F18F0" w:rsidRDefault="00872B44" w:rsidP="00987C6B">
      <w:pPr>
        <w:spacing w:after="0" w:line="240" w:lineRule="auto"/>
        <w:ind w:right="-1" w:firstLine="567"/>
        <w:jc w:val="both"/>
        <w:rPr>
          <w:rFonts w:ascii="Times New Roman" w:hAnsi="Times New Roman" w:cs="Times New Roman"/>
          <w:color w:val="000000" w:themeColor="text1"/>
          <w:sz w:val="28"/>
          <w:szCs w:val="28"/>
        </w:rPr>
      </w:pPr>
    </w:p>
    <w:p w14:paraId="2A6861D3" w14:textId="5FB52978" w:rsidR="00C8456E" w:rsidRPr="003F18F0" w:rsidRDefault="00C8456E"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Modernizācijas fonda finansējums veidosies no 310 miljon</w:t>
      </w:r>
      <w:r w:rsidR="00B21E14" w:rsidRPr="003F18F0">
        <w:rPr>
          <w:rFonts w:ascii="Times New Roman" w:hAnsi="Times New Roman" w:cs="Times New Roman"/>
          <w:color w:val="000000" w:themeColor="text1"/>
          <w:sz w:val="28"/>
          <w:szCs w:val="28"/>
        </w:rPr>
        <w:t>u</w:t>
      </w:r>
      <w:r w:rsidR="00947669">
        <w:rPr>
          <w:rStyle w:val="FootnoteReference"/>
          <w:rFonts w:ascii="Times New Roman" w:hAnsi="Times New Roman" w:cs="Times New Roman"/>
          <w:color w:val="000000" w:themeColor="text1"/>
          <w:sz w:val="28"/>
          <w:szCs w:val="28"/>
        </w:rPr>
        <w:footnoteReference w:id="19"/>
      </w:r>
      <w:r w:rsidRPr="003F18F0">
        <w:rPr>
          <w:rFonts w:ascii="Times New Roman" w:hAnsi="Times New Roman" w:cs="Times New Roman"/>
          <w:color w:val="000000" w:themeColor="text1"/>
          <w:sz w:val="28"/>
          <w:szCs w:val="28"/>
        </w:rPr>
        <w:t xml:space="preserve"> emisijas kvotu</w:t>
      </w:r>
      <w:r w:rsidR="00B06C87">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izsolīšanas</w:t>
      </w:r>
      <w:r w:rsidR="00BF3627">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jeb</w:t>
      </w:r>
      <w:r w:rsidR="00BF3627">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kā noteikts Direktīvas 2003/87 </w:t>
      </w:r>
      <w:r w:rsidR="00B21E14"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10.</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panta 1.</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punktā</w:t>
      </w:r>
      <w:r w:rsidR="00B21E14" w:rsidRPr="003F18F0">
        <w:rPr>
          <w:rFonts w:ascii="Times New Roman" w:hAnsi="Times New Roman" w:cs="Times New Roman"/>
          <w:color w:val="000000" w:themeColor="text1"/>
          <w:sz w:val="28"/>
          <w:szCs w:val="28"/>
        </w:rPr>
        <w:t> </w:t>
      </w:r>
      <w:r w:rsidR="00836E3E" w:rsidRPr="003F18F0">
        <w:rPr>
          <w:rFonts w:ascii="Times New Roman" w:hAnsi="Times New Roman" w:cs="Times New Roman"/>
          <w:color w:val="000000" w:themeColor="text1"/>
          <w:sz w:val="28"/>
          <w:szCs w:val="28"/>
        </w:rPr>
        <w:t>–</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2</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xml:space="preserve">% no visām izsolāmajām emisijas kvotām periodā no 2021. līdz 2030. gadam. </w:t>
      </w:r>
      <w:r w:rsidR="00B21E14" w:rsidRPr="003F18F0">
        <w:rPr>
          <w:rFonts w:ascii="Times New Roman" w:hAnsi="Times New Roman" w:cs="Times New Roman"/>
          <w:color w:val="000000" w:themeColor="text1"/>
          <w:sz w:val="28"/>
          <w:szCs w:val="28"/>
        </w:rPr>
        <w:t>Emisijas k</w:t>
      </w:r>
      <w:r w:rsidRPr="003F18F0">
        <w:rPr>
          <w:rFonts w:ascii="Times New Roman" w:hAnsi="Times New Roman" w:cs="Times New Roman"/>
          <w:color w:val="000000" w:themeColor="text1"/>
          <w:sz w:val="28"/>
          <w:szCs w:val="28"/>
        </w:rPr>
        <w:t xml:space="preserve">votu </w:t>
      </w:r>
      <w:proofErr w:type="spellStart"/>
      <w:r w:rsidRPr="003F18F0">
        <w:rPr>
          <w:rFonts w:ascii="Times New Roman" w:hAnsi="Times New Roman" w:cs="Times New Roman"/>
          <w:color w:val="000000" w:themeColor="text1"/>
          <w:sz w:val="28"/>
          <w:szCs w:val="28"/>
        </w:rPr>
        <w:t>monetizēšana</w:t>
      </w:r>
      <w:proofErr w:type="spellEnd"/>
      <w:r w:rsidRPr="003F18F0">
        <w:rPr>
          <w:rFonts w:ascii="Times New Roman" w:hAnsi="Times New Roman" w:cs="Times New Roman"/>
          <w:color w:val="000000" w:themeColor="text1"/>
          <w:sz w:val="28"/>
          <w:szCs w:val="28"/>
        </w:rPr>
        <w:t xml:space="preserve"> notiks pakāpeniski un to nodrošinās</w:t>
      </w:r>
      <w:r w:rsidR="00B21E14"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EIB</w:t>
      </w:r>
      <w:r w:rsidR="007B0C64" w:rsidRPr="003F18F0">
        <w:rPr>
          <w:rFonts w:ascii="Times New Roman" w:hAnsi="Times New Roman" w:cs="Times New Roman"/>
          <w:color w:val="000000" w:themeColor="text1"/>
          <w:sz w:val="28"/>
          <w:szCs w:val="28"/>
        </w:rPr>
        <w:t xml:space="preserve"> caur izsolīšanu</w:t>
      </w:r>
      <w:r w:rsidR="00B21E14"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w:t>
      </w:r>
      <w:r w:rsidR="00B21E14" w:rsidRPr="003F18F0">
        <w:rPr>
          <w:rFonts w:ascii="Times New Roman" w:hAnsi="Times New Roman" w:cs="Times New Roman"/>
          <w:color w:val="000000" w:themeColor="text1"/>
          <w:sz w:val="28"/>
          <w:szCs w:val="28"/>
        </w:rPr>
        <w:t xml:space="preserve">EIB </w:t>
      </w:r>
      <w:r w:rsidRPr="003F18F0">
        <w:rPr>
          <w:rFonts w:ascii="Times New Roman" w:hAnsi="Times New Roman" w:cs="Times New Roman"/>
          <w:color w:val="000000" w:themeColor="text1"/>
          <w:sz w:val="28"/>
          <w:szCs w:val="28"/>
        </w:rPr>
        <w:t>būs atbildīga par ieņēmumu pārvaldību</w:t>
      </w:r>
      <w:r w:rsidR="00B21E14" w:rsidRPr="003F18F0">
        <w:rPr>
          <w:rFonts w:ascii="Times New Roman" w:hAnsi="Times New Roman" w:cs="Times New Roman"/>
          <w:color w:val="000000" w:themeColor="text1"/>
          <w:sz w:val="28"/>
          <w:szCs w:val="28"/>
        </w:rPr>
        <w:t xml:space="preserve">, kā arī </w:t>
      </w:r>
      <w:r w:rsidRPr="003F18F0">
        <w:rPr>
          <w:rFonts w:ascii="Times New Roman" w:hAnsi="Times New Roman" w:cs="Times New Roman"/>
          <w:color w:val="000000" w:themeColor="text1"/>
          <w:sz w:val="28"/>
          <w:szCs w:val="28"/>
        </w:rPr>
        <w:t>nodos</w:t>
      </w:r>
      <w:r w:rsidR="00B21E14" w:rsidRPr="003F18F0">
        <w:rPr>
          <w:rFonts w:ascii="Times New Roman" w:hAnsi="Times New Roman" w:cs="Times New Roman"/>
          <w:color w:val="000000" w:themeColor="text1"/>
          <w:sz w:val="28"/>
          <w:szCs w:val="28"/>
        </w:rPr>
        <w:t xml:space="preserve"> ES</w:t>
      </w:r>
      <w:r w:rsidRPr="003F18F0">
        <w:rPr>
          <w:rFonts w:ascii="Times New Roman" w:hAnsi="Times New Roman" w:cs="Times New Roman"/>
          <w:color w:val="000000" w:themeColor="text1"/>
          <w:sz w:val="28"/>
          <w:szCs w:val="28"/>
        </w:rPr>
        <w:t xml:space="preserve"> dalībvalstīm ieņēmumus no emisijas kvotu </w:t>
      </w:r>
      <w:r w:rsidR="007B0C64" w:rsidRPr="003F18F0">
        <w:rPr>
          <w:rFonts w:ascii="Times New Roman" w:hAnsi="Times New Roman" w:cs="Times New Roman"/>
          <w:color w:val="000000" w:themeColor="text1"/>
          <w:sz w:val="28"/>
          <w:szCs w:val="28"/>
        </w:rPr>
        <w:t xml:space="preserve">izsolēm </w:t>
      </w:r>
      <w:r w:rsidRPr="003F18F0">
        <w:rPr>
          <w:rFonts w:ascii="Times New Roman" w:hAnsi="Times New Roman" w:cs="Times New Roman"/>
          <w:color w:val="000000" w:themeColor="text1"/>
          <w:sz w:val="28"/>
          <w:szCs w:val="28"/>
        </w:rPr>
        <w:t>tikai pēc EK lēmuma</w:t>
      </w:r>
      <w:r w:rsidR="00B21E14" w:rsidRPr="003F18F0">
        <w:rPr>
          <w:rFonts w:ascii="Times New Roman" w:hAnsi="Times New Roman" w:cs="Times New Roman"/>
          <w:color w:val="000000" w:themeColor="text1"/>
          <w:sz w:val="28"/>
          <w:szCs w:val="28"/>
        </w:rPr>
        <w:t xml:space="preserve"> pieņem</w:t>
      </w:r>
      <w:r w:rsidR="007B0C64" w:rsidRPr="003F18F0">
        <w:rPr>
          <w:rFonts w:ascii="Times New Roman" w:hAnsi="Times New Roman" w:cs="Times New Roman"/>
          <w:color w:val="000000" w:themeColor="text1"/>
          <w:sz w:val="28"/>
          <w:szCs w:val="28"/>
        </w:rPr>
        <w:t>ša</w:t>
      </w:r>
      <w:r w:rsidR="00B21E14" w:rsidRPr="003F18F0">
        <w:rPr>
          <w:rFonts w:ascii="Times New Roman" w:hAnsi="Times New Roman" w:cs="Times New Roman"/>
          <w:color w:val="000000" w:themeColor="text1"/>
          <w:sz w:val="28"/>
          <w:szCs w:val="28"/>
        </w:rPr>
        <w:t>nas</w:t>
      </w:r>
      <w:r w:rsidRPr="003F18F0">
        <w:rPr>
          <w:rFonts w:ascii="Times New Roman" w:hAnsi="Times New Roman" w:cs="Times New Roman"/>
          <w:color w:val="000000" w:themeColor="text1"/>
          <w:sz w:val="28"/>
          <w:szCs w:val="28"/>
        </w:rPr>
        <w:t xml:space="preserve">. </w:t>
      </w:r>
      <w:r w:rsidR="00B21E14" w:rsidRPr="003F18F0">
        <w:rPr>
          <w:rFonts w:ascii="Times New Roman" w:hAnsi="Times New Roman" w:cs="Times New Roman"/>
          <w:color w:val="000000" w:themeColor="text1"/>
          <w:sz w:val="28"/>
          <w:szCs w:val="28"/>
        </w:rPr>
        <w:t>Emisijas k</w:t>
      </w:r>
      <w:r w:rsidRPr="003F18F0">
        <w:rPr>
          <w:rFonts w:ascii="Times New Roman" w:hAnsi="Times New Roman" w:cs="Times New Roman"/>
          <w:color w:val="000000" w:themeColor="text1"/>
          <w:sz w:val="28"/>
          <w:szCs w:val="28"/>
        </w:rPr>
        <w:t xml:space="preserve">votu </w:t>
      </w:r>
      <w:r w:rsidR="007B0C64" w:rsidRPr="003F18F0">
        <w:rPr>
          <w:rFonts w:ascii="Times New Roman" w:hAnsi="Times New Roman" w:cs="Times New Roman"/>
          <w:color w:val="000000" w:themeColor="text1"/>
          <w:sz w:val="28"/>
          <w:szCs w:val="28"/>
        </w:rPr>
        <w:t>izsoles</w:t>
      </w:r>
      <w:r w:rsidRPr="003F18F0">
        <w:rPr>
          <w:rFonts w:ascii="Times New Roman" w:hAnsi="Times New Roman" w:cs="Times New Roman"/>
          <w:color w:val="000000" w:themeColor="text1"/>
          <w:sz w:val="28"/>
          <w:szCs w:val="28"/>
        </w:rPr>
        <w:t xml:space="preserve"> notiks Kopējā izsoļu platformā katru gadu vienādos apjomos laika periodā no 2021</w:t>
      </w:r>
      <w:r w:rsidR="00B21E14"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-2030.</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gadam.</w:t>
      </w:r>
    </w:p>
    <w:p w14:paraId="017DA443" w14:textId="68541701" w:rsidR="00C8456E" w:rsidRPr="00B12F24" w:rsidRDefault="00C8456E" w:rsidP="006F3EA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Saskaņā ar Direktīvas 2003/87/EK </w:t>
      </w:r>
      <w:proofErr w:type="spellStart"/>
      <w:r w:rsidRPr="003F18F0">
        <w:rPr>
          <w:rFonts w:ascii="Times New Roman" w:hAnsi="Times New Roman" w:cs="Times New Roman"/>
          <w:color w:val="000000" w:themeColor="text1"/>
          <w:sz w:val="28"/>
          <w:szCs w:val="28"/>
        </w:rPr>
        <w:t>II.b</w:t>
      </w:r>
      <w:proofErr w:type="spellEnd"/>
      <w:r w:rsidRPr="003F18F0">
        <w:rPr>
          <w:rFonts w:ascii="Times New Roman" w:hAnsi="Times New Roman" w:cs="Times New Roman"/>
          <w:color w:val="000000" w:themeColor="text1"/>
          <w:sz w:val="28"/>
          <w:szCs w:val="28"/>
        </w:rPr>
        <w:t xml:space="preserve"> pielikumu Latvijai pienākas 1,44</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xml:space="preserve">% no visiem Modernizācijas fonda </w:t>
      </w:r>
      <w:proofErr w:type="spellStart"/>
      <w:r w:rsidRPr="003F18F0">
        <w:rPr>
          <w:rFonts w:ascii="Times New Roman" w:hAnsi="Times New Roman" w:cs="Times New Roman"/>
          <w:color w:val="000000" w:themeColor="text1"/>
          <w:sz w:val="28"/>
          <w:szCs w:val="28"/>
        </w:rPr>
        <w:t>līdzekļiem</w:t>
      </w:r>
      <w:r w:rsidR="002C1F87">
        <w:rPr>
          <w:rFonts w:ascii="Times New Roman" w:hAnsi="Times New Roman" w:cs="Times New Roman"/>
          <w:color w:val="000000" w:themeColor="text1"/>
          <w:sz w:val="28"/>
          <w:szCs w:val="28"/>
        </w:rPr>
        <w:t>,</w:t>
      </w:r>
      <w:r w:rsidR="00E45C7C">
        <w:rPr>
          <w:rFonts w:ascii="Times New Roman" w:hAnsi="Times New Roman" w:cs="Times New Roman"/>
          <w:color w:val="000000" w:themeColor="text1"/>
          <w:sz w:val="28"/>
          <w:szCs w:val="28"/>
        </w:rPr>
        <w:t>jeb</w:t>
      </w:r>
      <w:proofErr w:type="spellEnd"/>
      <w:r w:rsidR="00E45C7C">
        <w:rPr>
          <w:rFonts w:ascii="Times New Roman" w:hAnsi="Times New Roman" w:cs="Times New Roman"/>
          <w:color w:val="000000" w:themeColor="text1"/>
          <w:sz w:val="28"/>
          <w:szCs w:val="28"/>
        </w:rPr>
        <w:t xml:space="preserve"> </w:t>
      </w:r>
      <w:r w:rsidR="000D626C">
        <w:rPr>
          <w:rFonts w:ascii="Times New Roman" w:hAnsi="Times New Roman" w:cs="Times New Roman"/>
          <w:color w:val="000000" w:themeColor="text1"/>
          <w:sz w:val="28"/>
          <w:szCs w:val="28"/>
        </w:rPr>
        <w:t>~4,4</w:t>
      </w:r>
      <w:r w:rsidR="00724BBF">
        <w:rPr>
          <w:rFonts w:ascii="Times New Roman" w:hAnsi="Times New Roman" w:cs="Times New Roman"/>
          <w:color w:val="000000" w:themeColor="text1"/>
          <w:sz w:val="28"/>
          <w:szCs w:val="28"/>
        </w:rPr>
        <w:t>7</w:t>
      </w:r>
      <w:r w:rsidR="000D626C">
        <w:rPr>
          <w:rFonts w:ascii="Times New Roman" w:hAnsi="Times New Roman" w:cs="Times New Roman"/>
          <w:color w:val="000000" w:themeColor="text1"/>
          <w:sz w:val="28"/>
          <w:szCs w:val="28"/>
        </w:rPr>
        <w:t xml:space="preserve"> milj. emisijas kvotas</w:t>
      </w:r>
      <w:r w:rsidR="00B73237">
        <w:rPr>
          <w:rFonts w:ascii="Times New Roman" w:hAnsi="Times New Roman" w:cs="Times New Roman"/>
          <w:color w:val="000000" w:themeColor="text1"/>
          <w:sz w:val="28"/>
          <w:szCs w:val="28"/>
        </w:rPr>
        <w:t xml:space="preserve"> (no 310 milj. emisijas kvotām)</w:t>
      </w:r>
      <w:r w:rsidR="000D626C">
        <w:rPr>
          <w:rFonts w:ascii="Times New Roman" w:hAnsi="Times New Roman" w:cs="Times New Roman"/>
          <w:color w:val="000000" w:themeColor="text1"/>
          <w:sz w:val="28"/>
          <w:szCs w:val="28"/>
        </w:rPr>
        <w:t xml:space="preserve">, kas </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pie vidējās cenas par emisijas kvotu</w:t>
      </w:r>
      <w:r w:rsidR="00B21E14" w:rsidRPr="003F18F0">
        <w:rPr>
          <w:rFonts w:ascii="Times New Roman" w:hAnsi="Times New Roman" w:cs="Times New Roman"/>
          <w:color w:val="000000" w:themeColor="text1"/>
          <w:sz w:val="28"/>
          <w:szCs w:val="28"/>
        </w:rPr>
        <w:t xml:space="preserve"> (25</w:t>
      </w:r>
      <w:r w:rsidR="00B21E14" w:rsidRPr="003F18F0">
        <w:rPr>
          <w:rStyle w:val="FootnoteReference"/>
          <w:rFonts w:ascii="Times New Roman" w:hAnsi="Times New Roman" w:cs="Times New Roman"/>
          <w:color w:val="000000" w:themeColor="text1"/>
          <w:sz w:val="28"/>
          <w:szCs w:val="28"/>
        </w:rPr>
        <w:footnoteReference w:id="20"/>
      </w:r>
      <w:r w:rsidR="00B21E14" w:rsidRPr="003F18F0">
        <w:rPr>
          <w:rFonts w:ascii="Times New Roman" w:hAnsi="Times New Roman" w:cs="Times New Roman"/>
          <w:color w:val="000000" w:themeColor="text1"/>
          <w:sz w:val="28"/>
          <w:szCs w:val="28"/>
        </w:rPr>
        <w:t>-</w:t>
      </w:r>
      <w:r w:rsidR="00780675">
        <w:rPr>
          <w:rFonts w:ascii="Times New Roman" w:hAnsi="Times New Roman" w:cs="Times New Roman"/>
          <w:color w:val="000000" w:themeColor="text1"/>
          <w:sz w:val="28"/>
          <w:szCs w:val="28"/>
        </w:rPr>
        <w:lastRenderedPageBreak/>
        <w:t>44,5</w:t>
      </w:r>
      <w:r w:rsidR="00B21E14" w:rsidRPr="003F18F0">
        <w:rPr>
          <w:rStyle w:val="FootnoteReference"/>
          <w:rFonts w:ascii="Times New Roman" w:hAnsi="Times New Roman" w:cs="Times New Roman"/>
          <w:i/>
          <w:color w:val="000000" w:themeColor="text1"/>
          <w:sz w:val="28"/>
          <w:szCs w:val="28"/>
        </w:rPr>
        <w:footnoteReference w:id="21"/>
      </w:r>
      <w:proofErr w:type="spellStart"/>
      <w:r w:rsidR="00B21E14" w:rsidRPr="003F18F0">
        <w:rPr>
          <w:rFonts w:ascii="Times New Roman" w:hAnsi="Times New Roman" w:cs="Times New Roman"/>
          <w:i/>
          <w:color w:val="000000" w:themeColor="text1"/>
          <w:sz w:val="28"/>
          <w:szCs w:val="28"/>
        </w:rPr>
        <w:t>euro</w:t>
      </w:r>
      <w:proofErr w:type="spellEnd"/>
      <w:r w:rsidR="00B21E14"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Latvijai varētu būt pieejami attiecīgi 111,63-</w:t>
      </w:r>
      <w:r w:rsidR="001450D2">
        <w:rPr>
          <w:rFonts w:ascii="Times New Roman" w:hAnsi="Times New Roman" w:cs="Times New Roman"/>
          <w:color w:val="000000" w:themeColor="text1"/>
          <w:sz w:val="28"/>
          <w:szCs w:val="28"/>
        </w:rPr>
        <w:t>198</w:t>
      </w:r>
      <w:r w:rsidR="008525AF">
        <w:rPr>
          <w:rFonts w:ascii="Times New Roman" w:hAnsi="Times New Roman" w:cs="Times New Roman"/>
          <w:color w:val="000000" w:themeColor="text1"/>
          <w:sz w:val="28"/>
          <w:szCs w:val="28"/>
        </w:rPr>
        <w:t>,69</w:t>
      </w:r>
      <w:r w:rsidR="00BF3627">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miljon</w:t>
      </w:r>
      <w:r w:rsidR="00B21E14" w:rsidRPr="003F18F0">
        <w:rPr>
          <w:rFonts w:ascii="Times New Roman" w:hAnsi="Times New Roman" w:cs="Times New Roman"/>
          <w:color w:val="000000" w:themeColor="text1"/>
          <w:sz w:val="28"/>
          <w:szCs w:val="28"/>
        </w:rPr>
        <w:t>i</w:t>
      </w:r>
      <w:r w:rsidRPr="003F18F0">
        <w:rPr>
          <w:rFonts w:ascii="Times New Roman" w:hAnsi="Times New Roman" w:cs="Times New Roman"/>
          <w:color w:val="000000" w:themeColor="text1"/>
          <w:sz w:val="28"/>
          <w:szCs w:val="28"/>
        </w:rPr>
        <w:t xml:space="preserve"> </w:t>
      </w:r>
      <w:proofErr w:type="spellStart"/>
      <w:r w:rsidRPr="003F18F0">
        <w:rPr>
          <w:rFonts w:ascii="Times New Roman" w:hAnsi="Times New Roman" w:cs="Times New Roman"/>
          <w:i/>
          <w:color w:val="000000" w:themeColor="text1"/>
          <w:sz w:val="28"/>
          <w:szCs w:val="28"/>
        </w:rPr>
        <w:t>euro</w:t>
      </w:r>
      <w:proofErr w:type="spellEnd"/>
      <w:r w:rsidR="00EF54F4">
        <w:rPr>
          <w:rStyle w:val="FootnoteReference"/>
          <w:rFonts w:ascii="Times New Roman" w:hAnsi="Times New Roman" w:cs="Times New Roman"/>
          <w:i/>
          <w:color w:val="000000" w:themeColor="text1"/>
          <w:sz w:val="28"/>
          <w:szCs w:val="28"/>
        </w:rPr>
        <w:footnoteReference w:id="22"/>
      </w:r>
      <w:r w:rsidRPr="003F18F0">
        <w:rPr>
          <w:rFonts w:ascii="Times New Roman" w:hAnsi="Times New Roman" w:cs="Times New Roman"/>
          <w:i/>
          <w:color w:val="000000" w:themeColor="text1"/>
          <w:sz w:val="28"/>
          <w:szCs w:val="28"/>
        </w:rPr>
        <w:t xml:space="preserve"> </w:t>
      </w:r>
      <w:r w:rsidR="00DF3696" w:rsidRPr="003F18F0">
        <w:rPr>
          <w:rFonts w:ascii="Times New Roman" w:hAnsi="Times New Roman" w:cs="Times New Roman"/>
          <w:color w:val="000000" w:themeColor="text1"/>
          <w:sz w:val="28"/>
          <w:szCs w:val="28"/>
        </w:rPr>
        <w:t xml:space="preserve">(Modernizācijas fonda </w:t>
      </w:r>
      <w:r w:rsidRPr="003F18F0">
        <w:rPr>
          <w:rFonts w:ascii="Times New Roman" w:hAnsi="Times New Roman" w:cs="Times New Roman"/>
          <w:color w:val="000000" w:themeColor="text1"/>
          <w:sz w:val="28"/>
          <w:szCs w:val="28"/>
        </w:rPr>
        <w:t>finansējum</w:t>
      </w:r>
      <w:r w:rsidR="00DF3696" w:rsidRPr="003F18F0">
        <w:rPr>
          <w:rFonts w:ascii="Times New Roman" w:hAnsi="Times New Roman" w:cs="Times New Roman"/>
          <w:color w:val="000000" w:themeColor="text1"/>
          <w:sz w:val="28"/>
          <w:szCs w:val="28"/>
        </w:rPr>
        <w:t xml:space="preserve">a </w:t>
      </w:r>
      <w:proofErr w:type="spellStart"/>
      <w:r w:rsidR="00DF3696" w:rsidRPr="003F18F0">
        <w:rPr>
          <w:rFonts w:ascii="Times New Roman" w:hAnsi="Times New Roman" w:cs="Times New Roman"/>
          <w:color w:val="000000" w:themeColor="text1"/>
          <w:sz w:val="28"/>
          <w:szCs w:val="28"/>
        </w:rPr>
        <w:t>pamatapmērs</w:t>
      </w:r>
      <w:proofErr w:type="spellEnd"/>
      <w:r w:rsidR="00DF3696"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Ņemot vērā </w:t>
      </w:r>
      <w:r w:rsidR="00B21E14" w:rsidRPr="003F18F0">
        <w:rPr>
          <w:rFonts w:ascii="Times New Roman" w:hAnsi="Times New Roman" w:cs="Times New Roman"/>
          <w:color w:val="000000" w:themeColor="text1"/>
          <w:sz w:val="28"/>
          <w:szCs w:val="28"/>
        </w:rPr>
        <w:t xml:space="preserve">emisijas </w:t>
      </w:r>
      <w:r w:rsidRPr="003F18F0">
        <w:rPr>
          <w:rFonts w:ascii="Times New Roman" w:hAnsi="Times New Roman" w:cs="Times New Roman"/>
          <w:color w:val="000000" w:themeColor="text1"/>
          <w:sz w:val="28"/>
          <w:szCs w:val="28"/>
        </w:rPr>
        <w:t xml:space="preserve">kvotu pakāpenisko </w:t>
      </w:r>
      <w:proofErr w:type="spellStart"/>
      <w:r w:rsidRPr="003F18F0">
        <w:rPr>
          <w:rFonts w:ascii="Times New Roman" w:hAnsi="Times New Roman" w:cs="Times New Roman"/>
          <w:color w:val="000000" w:themeColor="text1"/>
          <w:sz w:val="28"/>
          <w:szCs w:val="28"/>
        </w:rPr>
        <w:t>monetizēšanu</w:t>
      </w:r>
      <w:proofErr w:type="spellEnd"/>
      <w:r w:rsidRPr="003F18F0">
        <w:rPr>
          <w:rFonts w:ascii="Times New Roman" w:hAnsi="Times New Roman" w:cs="Times New Roman"/>
          <w:color w:val="000000" w:themeColor="text1"/>
          <w:sz w:val="28"/>
          <w:szCs w:val="28"/>
        </w:rPr>
        <w:t>, Latvijai finansējums būs pieejams pakāpeniski pa daļām, t.i. nebūs iespējams saņemt finansējumu</w:t>
      </w:r>
      <w:r w:rsidR="00B92408" w:rsidRPr="003F18F0">
        <w:rPr>
          <w:rFonts w:ascii="Times New Roman" w:hAnsi="Times New Roman" w:cs="Times New Roman"/>
          <w:color w:val="000000" w:themeColor="text1"/>
          <w:sz w:val="28"/>
          <w:szCs w:val="28"/>
        </w:rPr>
        <w:t xml:space="preserve"> uzreiz pilnā apmērā</w:t>
      </w:r>
      <w:r w:rsidRPr="003F18F0">
        <w:rPr>
          <w:rFonts w:ascii="Times New Roman" w:hAnsi="Times New Roman" w:cs="Times New Roman"/>
          <w:color w:val="000000" w:themeColor="text1"/>
          <w:sz w:val="28"/>
          <w:szCs w:val="28"/>
        </w:rPr>
        <w:t>.</w:t>
      </w:r>
      <w:r w:rsidR="008525AF">
        <w:rPr>
          <w:rFonts w:ascii="Times New Roman" w:hAnsi="Times New Roman" w:cs="Times New Roman"/>
          <w:color w:val="000000" w:themeColor="text1"/>
          <w:sz w:val="28"/>
          <w:szCs w:val="28"/>
        </w:rPr>
        <w:t xml:space="preserve"> Ir būtiski </w:t>
      </w:r>
      <w:r w:rsidR="0011474B">
        <w:rPr>
          <w:rFonts w:ascii="Times New Roman" w:hAnsi="Times New Roman" w:cs="Times New Roman"/>
          <w:color w:val="000000" w:themeColor="text1"/>
          <w:sz w:val="28"/>
          <w:szCs w:val="28"/>
        </w:rPr>
        <w:t xml:space="preserve">uzsvērt, ka </w:t>
      </w:r>
      <w:r w:rsidR="0011474B" w:rsidRPr="00EB3822">
        <w:rPr>
          <w:rFonts w:ascii="Times New Roman" w:hAnsi="Times New Roman" w:cs="Times New Roman"/>
          <w:color w:val="000000" w:themeColor="text1"/>
          <w:sz w:val="28"/>
          <w:szCs w:val="28"/>
          <w:u w:val="single"/>
        </w:rPr>
        <w:t>precīzu Latvijai pienā</w:t>
      </w:r>
      <w:r w:rsidR="0011612D" w:rsidRPr="00EB3822">
        <w:rPr>
          <w:rFonts w:ascii="Times New Roman" w:hAnsi="Times New Roman" w:cs="Times New Roman"/>
          <w:color w:val="000000" w:themeColor="text1"/>
          <w:sz w:val="28"/>
          <w:szCs w:val="28"/>
          <w:u w:val="single"/>
        </w:rPr>
        <w:t xml:space="preserve">košo finansējuma apjomu </w:t>
      </w:r>
      <w:r w:rsidR="00AB5EB4" w:rsidRPr="00EB3822">
        <w:rPr>
          <w:rFonts w:ascii="Times New Roman" w:hAnsi="Times New Roman" w:cs="Times New Roman"/>
          <w:color w:val="000000" w:themeColor="text1"/>
          <w:sz w:val="28"/>
          <w:szCs w:val="28"/>
          <w:u w:val="single"/>
        </w:rPr>
        <w:t xml:space="preserve">uz informatīvā ziņojuma sagatavošanas brīdi </w:t>
      </w:r>
      <w:r w:rsidR="0011612D" w:rsidRPr="00EB3822">
        <w:rPr>
          <w:rFonts w:ascii="Times New Roman" w:hAnsi="Times New Roman" w:cs="Times New Roman"/>
          <w:color w:val="000000" w:themeColor="text1"/>
          <w:sz w:val="28"/>
          <w:szCs w:val="28"/>
          <w:u w:val="single"/>
        </w:rPr>
        <w:t>nav iespējams noteikt</w:t>
      </w:r>
      <w:r w:rsidR="0011612D">
        <w:rPr>
          <w:rFonts w:ascii="Times New Roman" w:hAnsi="Times New Roman" w:cs="Times New Roman"/>
          <w:color w:val="000000" w:themeColor="text1"/>
          <w:sz w:val="28"/>
          <w:szCs w:val="28"/>
        </w:rPr>
        <w:t xml:space="preserve"> lielās neskaidrības dēļ</w:t>
      </w:r>
      <w:r w:rsidR="007620EF">
        <w:rPr>
          <w:rFonts w:ascii="Times New Roman" w:hAnsi="Times New Roman" w:cs="Times New Roman"/>
          <w:color w:val="000000" w:themeColor="text1"/>
          <w:sz w:val="28"/>
          <w:szCs w:val="28"/>
        </w:rPr>
        <w:t xml:space="preserve"> -</w:t>
      </w:r>
      <w:r w:rsidR="0011612D">
        <w:rPr>
          <w:rFonts w:ascii="Times New Roman" w:hAnsi="Times New Roman" w:cs="Times New Roman"/>
          <w:color w:val="000000" w:themeColor="text1"/>
          <w:sz w:val="28"/>
          <w:szCs w:val="28"/>
        </w:rPr>
        <w:t xml:space="preserve"> gan kopējā </w:t>
      </w:r>
      <w:r w:rsidR="007808ED">
        <w:rPr>
          <w:rFonts w:ascii="Times New Roman" w:hAnsi="Times New Roman" w:cs="Times New Roman"/>
          <w:color w:val="000000" w:themeColor="text1"/>
          <w:sz w:val="28"/>
          <w:szCs w:val="28"/>
        </w:rPr>
        <w:t>emisijas kvotu kopapjoma (“</w:t>
      </w:r>
      <w:proofErr w:type="spellStart"/>
      <w:r w:rsidR="007808ED" w:rsidRPr="00EB3822">
        <w:rPr>
          <w:rFonts w:ascii="Times New Roman" w:hAnsi="Times New Roman" w:cs="Times New Roman"/>
          <w:i/>
          <w:iCs/>
          <w:color w:val="000000" w:themeColor="text1"/>
          <w:sz w:val="28"/>
          <w:szCs w:val="28"/>
        </w:rPr>
        <w:t>cap</w:t>
      </w:r>
      <w:proofErr w:type="spellEnd"/>
      <w:r w:rsidR="007808ED">
        <w:rPr>
          <w:rFonts w:ascii="Times New Roman" w:hAnsi="Times New Roman" w:cs="Times New Roman"/>
          <w:color w:val="000000" w:themeColor="text1"/>
          <w:sz w:val="28"/>
          <w:szCs w:val="28"/>
        </w:rPr>
        <w:t>”) pārrēķina</w:t>
      </w:r>
      <w:r w:rsidR="00BF4E1F">
        <w:rPr>
          <w:rFonts w:ascii="Times New Roman" w:hAnsi="Times New Roman" w:cs="Times New Roman"/>
          <w:color w:val="000000" w:themeColor="text1"/>
          <w:sz w:val="28"/>
          <w:szCs w:val="28"/>
        </w:rPr>
        <w:t xml:space="preserve"> dē</w:t>
      </w:r>
      <w:r w:rsidR="00950E3E">
        <w:rPr>
          <w:rFonts w:ascii="Times New Roman" w:hAnsi="Times New Roman" w:cs="Times New Roman"/>
          <w:color w:val="000000" w:themeColor="text1"/>
          <w:sz w:val="28"/>
          <w:szCs w:val="28"/>
        </w:rPr>
        <w:t>ļ</w:t>
      </w:r>
      <w:r w:rsidR="007808ED">
        <w:rPr>
          <w:rFonts w:ascii="Times New Roman" w:hAnsi="Times New Roman" w:cs="Times New Roman"/>
          <w:color w:val="000000" w:themeColor="text1"/>
          <w:sz w:val="28"/>
          <w:szCs w:val="28"/>
        </w:rPr>
        <w:t xml:space="preserve">, gan </w:t>
      </w:r>
      <w:r w:rsidR="004177B5">
        <w:rPr>
          <w:rFonts w:ascii="Times New Roman" w:hAnsi="Times New Roman" w:cs="Times New Roman"/>
          <w:color w:val="000000" w:themeColor="text1"/>
          <w:sz w:val="28"/>
          <w:szCs w:val="28"/>
        </w:rPr>
        <w:t xml:space="preserve">dēļ </w:t>
      </w:r>
      <w:proofErr w:type="spellStart"/>
      <w:r w:rsidR="007808ED">
        <w:rPr>
          <w:rFonts w:ascii="Times New Roman" w:hAnsi="Times New Roman" w:cs="Times New Roman"/>
          <w:color w:val="000000" w:themeColor="text1"/>
          <w:sz w:val="28"/>
          <w:szCs w:val="28"/>
        </w:rPr>
        <w:t>daudzajām</w:t>
      </w:r>
      <w:proofErr w:type="spellEnd"/>
      <w:r w:rsidR="007808ED">
        <w:rPr>
          <w:rFonts w:ascii="Times New Roman" w:hAnsi="Times New Roman" w:cs="Times New Roman"/>
          <w:color w:val="000000" w:themeColor="text1"/>
          <w:sz w:val="28"/>
          <w:szCs w:val="28"/>
        </w:rPr>
        <w:t xml:space="preserve"> EK iniciatīvām, kas nāks klajā</w:t>
      </w:r>
      <w:r w:rsidR="00BF4E1F">
        <w:rPr>
          <w:rFonts w:ascii="Times New Roman" w:hAnsi="Times New Roman" w:cs="Times New Roman"/>
          <w:color w:val="000000" w:themeColor="text1"/>
          <w:sz w:val="28"/>
          <w:szCs w:val="28"/>
        </w:rPr>
        <w:t xml:space="preserve"> 2021. gadā saistībā ar SEG</w:t>
      </w:r>
      <w:r w:rsidR="00EB3822">
        <w:rPr>
          <w:rFonts w:ascii="Times New Roman" w:hAnsi="Times New Roman" w:cs="Times New Roman"/>
          <w:color w:val="000000" w:themeColor="text1"/>
          <w:sz w:val="28"/>
          <w:szCs w:val="28"/>
        </w:rPr>
        <w:t xml:space="preserve"> emisiju</w:t>
      </w:r>
      <w:r w:rsidR="00BF4E1F">
        <w:rPr>
          <w:rFonts w:ascii="Times New Roman" w:hAnsi="Times New Roman" w:cs="Times New Roman"/>
          <w:color w:val="000000" w:themeColor="text1"/>
          <w:sz w:val="28"/>
          <w:szCs w:val="28"/>
        </w:rPr>
        <w:t xml:space="preserve"> </w:t>
      </w:r>
      <w:r w:rsidR="003A732D">
        <w:rPr>
          <w:rFonts w:ascii="Times New Roman" w:hAnsi="Times New Roman" w:cs="Times New Roman"/>
          <w:color w:val="000000" w:themeColor="text1"/>
          <w:sz w:val="28"/>
          <w:szCs w:val="28"/>
        </w:rPr>
        <w:t>samazināj</w:t>
      </w:r>
      <w:r w:rsidR="00A4434A">
        <w:rPr>
          <w:rFonts w:ascii="Times New Roman" w:hAnsi="Times New Roman" w:cs="Times New Roman"/>
          <w:color w:val="000000" w:themeColor="text1"/>
          <w:sz w:val="28"/>
          <w:szCs w:val="28"/>
        </w:rPr>
        <w:t>u</w:t>
      </w:r>
      <w:r w:rsidR="003A732D">
        <w:rPr>
          <w:rFonts w:ascii="Times New Roman" w:hAnsi="Times New Roman" w:cs="Times New Roman"/>
          <w:color w:val="000000" w:themeColor="text1"/>
          <w:sz w:val="28"/>
          <w:szCs w:val="28"/>
        </w:rPr>
        <w:t>m</w:t>
      </w:r>
      <w:r w:rsidR="00EB3822">
        <w:rPr>
          <w:rFonts w:ascii="Times New Roman" w:hAnsi="Times New Roman" w:cs="Times New Roman"/>
          <w:color w:val="000000" w:themeColor="text1"/>
          <w:sz w:val="28"/>
          <w:szCs w:val="28"/>
        </w:rPr>
        <w:t>a</w:t>
      </w:r>
      <w:r w:rsidR="003A732D">
        <w:rPr>
          <w:rFonts w:ascii="Times New Roman" w:hAnsi="Times New Roman" w:cs="Times New Roman"/>
          <w:color w:val="000000" w:themeColor="text1"/>
          <w:sz w:val="28"/>
          <w:szCs w:val="28"/>
        </w:rPr>
        <w:t xml:space="preserve"> </w:t>
      </w:r>
      <w:r w:rsidR="00BF4E1F">
        <w:rPr>
          <w:rFonts w:ascii="Times New Roman" w:hAnsi="Times New Roman" w:cs="Times New Roman"/>
          <w:color w:val="000000" w:themeColor="text1"/>
          <w:sz w:val="28"/>
          <w:szCs w:val="28"/>
        </w:rPr>
        <w:t xml:space="preserve">mērķa ambīciju </w:t>
      </w:r>
      <w:proofErr w:type="spellStart"/>
      <w:r w:rsidR="00BF4E1F">
        <w:rPr>
          <w:rFonts w:ascii="Times New Roman" w:hAnsi="Times New Roman" w:cs="Times New Roman"/>
          <w:color w:val="000000" w:themeColor="text1"/>
          <w:sz w:val="28"/>
          <w:szCs w:val="28"/>
        </w:rPr>
        <w:t>paugstināšanu</w:t>
      </w:r>
      <w:proofErr w:type="spellEnd"/>
      <w:r w:rsidR="00BF4E1F">
        <w:rPr>
          <w:rFonts w:ascii="Times New Roman" w:hAnsi="Times New Roman" w:cs="Times New Roman"/>
          <w:color w:val="000000" w:themeColor="text1"/>
          <w:sz w:val="28"/>
          <w:szCs w:val="28"/>
        </w:rPr>
        <w:t xml:space="preserve"> uz “vismaz 55%”</w:t>
      </w:r>
      <w:r w:rsidR="003A732D">
        <w:rPr>
          <w:rFonts w:ascii="Times New Roman" w:hAnsi="Times New Roman" w:cs="Times New Roman"/>
          <w:color w:val="000000" w:themeColor="text1"/>
          <w:sz w:val="28"/>
          <w:szCs w:val="28"/>
        </w:rPr>
        <w:t xml:space="preserve">. </w:t>
      </w:r>
      <w:r w:rsidR="00136B5E">
        <w:rPr>
          <w:rFonts w:ascii="Times New Roman" w:hAnsi="Times New Roman" w:cs="Times New Roman"/>
          <w:color w:val="000000" w:themeColor="text1"/>
          <w:sz w:val="28"/>
          <w:szCs w:val="28"/>
        </w:rPr>
        <w:t>EK</w:t>
      </w:r>
      <w:r w:rsidR="000B60F1">
        <w:rPr>
          <w:rFonts w:ascii="Times New Roman" w:hAnsi="Times New Roman" w:cs="Times New Roman"/>
          <w:color w:val="000000" w:themeColor="text1"/>
          <w:sz w:val="28"/>
          <w:szCs w:val="28"/>
        </w:rPr>
        <w:t xml:space="preserve"> </w:t>
      </w:r>
      <w:r w:rsidR="00D77688">
        <w:rPr>
          <w:rFonts w:ascii="Times New Roman" w:hAnsi="Times New Roman" w:cs="Times New Roman"/>
          <w:color w:val="000000" w:themeColor="text1"/>
          <w:sz w:val="28"/>
          <w:szCs w:val="28"/>
        </w:rPr>
        <w:t xml:space="preserve">pirmajā Investīciju komitejas sēdē </w:t>
      </w:r>
      <w:r w:rsidR="00AD7F4B">
        <w:rPr>
          <w:rFonts w:ascii="Times New Roman" w:hAnsi="Times New Roman" w:cs="Times New Roman"/>
          <w:color w:val="000000" w:themeColor="text1"/>
          <w:sz w:val="28"/>
          <w:szCs w:val="28"/>
        </w:rPr>
        <w:t>iepazīstināja dalībvalstis ar tabulu, kur</w:t>
      </w:r>
      <w:r w:rsidR="00EB3822">
        <w:rPr>
          <w:rFonts w:ascii="Times New Roman" w:hAnsi="Times New Roman" w:cs="Times New Roman"/>
          <w:color w:val="000000" w:themeColor="text1"/>
          <w:sz w:val="28"/>
          <w:szCs w:val="28"/>
        </w:rPr>
        <w:t>ā bija attēloti</w:t>
      </w:r>
      <w:r w:rsidR="00AD7F4B">
        <w:rPr>
          <w:rFonts w:ascii="Times New Roman" w:hAnsi="Times New Roman" w:cs="Times New Roman"/>
          <w:color w:val="000000" w:themeColor="text1"/>
          <w:sz w:val="28"/>
          <w:szCs w:val="28"/>
        </w:rPr>
        <w:t xml:space="preserve"> pārrēķināti</w:t>
      </w:r>
      <w:r w:rsidR="00EB3822">
        <w:rPr>
          <w:rFonts w:ascii="Times New Roman" w:hAnsi="Times New Roman" w:cs="Times New Roman"/>
          <w:color w:val="000000" w:themeColor="text1"/>
          <w:sz w:val="28"/>
          <w:szCs w:val="28"/>
        </w:rPr>
        <w:t>e</w:t>
      </w:r>
      <w:r w:rsidR="00AD7F4B">
        <w:rPr>
          <w:rFonts w:ascii="Times New Roman" w:hAnsi="Times New Roman" w:cs="Times New Roman"/>
          <w:color w:val="000000" w:themeColor="text1"/>
          <w:sz w:val="28"/>
          <w:szCs w:val="28"/>
        </w:rPr>
        <w:t xml:space="preserve"> (samazināti</w:t>
      </w:r>
      <w:r w:rsidR="00EB3822">
        <w:rPr>
          <w:rFonts w:ascii="Times New Roman" w:hAnsi="Times New Roman" w:cs="Times New Roman"/>
          <w:color w:val="000000" w:themeColor="text1"/>
          <w:sz w:val="28"/>
          <w:szCs w:val="28"/>
        </w:rPr>
        <w:t>e</w:t>
      </w:r>
      <w:r w:rsidR="00AD7F4B">
        <w:rPr>
          <w:rFonts w:ascii="Times New Roman" w:hAnsi="Times New Roman" w:cs="Times New Roman"/>
          <w:color w:val="000000" w:themeColor="text1"/>
          <w:sz w:val="28"/>
          <w:szCs w:val="28"/>
        </w:rPr>
        <w:t xml:space="preserve">) </w:t>
      </w:r>
      <w:r w:rsidR="001564D3">
        <w:rPr>
          <w:rFonts w:ascii="Times New Roman" w:hAnsi="Times New Roman" w:cs="Times New Roman"/>
          <w:color w:val="000000" w:themeColor="text1"/>
          <w:sz w:val="28"/>
          <w:szCs w:val="28"/>
        </w:rPr>
        <w:t>dalībvalst</w:t>
      </w:r>
      <w:r w:rsidR="00223189">
        <w:rPr>
          <w:rFonts w:ascii="Times New Roman" w:hAnsi="Times New Roman" w:cs="Times New Roman"/>
          <w:color w:val="000000" w:themeColor="text1"/>
          <w:sz w:val="28"/>
          <w:szCs w:val="28"/>
        </w:rPr>
        <w:t>īm</w:t>
      </w:r>
      <w:r w:rsidR="001564D3">
        <w:rPr>
          <w:rFonts w:ascii="Times New Roman" w:hAnsi="Times New Roman" w:cs="Times New Roman"/>
          <w:color w:val="000000" w:themeColor="text1"/>
          <w:sz w:val="28"/>
          <w:szCs w:val="28"/>
        </w:rPr>
        <w:t xml:space="preserve"> </w:t>
      </w:r>
      <w:r w:rsidR="00223189">
        <w:rPr>
          <w:rFonts w:ascii="Times New Roman" w:hAnsi="Times New Roman" w:cs="Times New Roman"/>
          <w:color w:val="000000" w:themeColor="text1"/>
          <w:sz w:val="28"/>
          <w:szCs w:val="28"/>
        </w:rPr>
        <w:t>pieejamie M</w:t>
      </w:r>
      <w:r w:rsidR="001564D3">
        <w:rPr>
          <w:rFonts w:ascii="Times New Roman" w:hAnsi="Times New Roman" w:cs="Times New Roman"/>
          <w:color w:val="000000" w:themeColor="text1"/>
          <w:sz w:val="28"/>
          <w:szCs w:val="28"/>
        </w:rPr>
        <w:t>odernizācijas</w:t>
      </w:r>
      <w:r w:rsidR="00223189">
        <w:rPr>
          <w:rFonts w:ascii="Times New Roman" w:hAnsi="Times New Roman" w:cs="Times New Roman"/>
          <w:color w:val="000000" w:themeColor="text1"/>
          <w:sz w:val="28"/>
          <w:szCs w:val="28"/>
        </w:rPr>
        <w:t xml:space="preserve"> fonda līdzekļi</w:t>
      </w:r>
      <w:r w:rsidR="00CB63C1">
        <w:rPr>
          <w:rFonts w:ascii="Times New Roman" w:hAnsi="Times New Roman" w:cs="Times New Roman"/>
          <w:color w:val="000000" w:themeColor="text1"/>
          <w:sz w:val="28"/>
          <w:szCs w:val="28"/>
        </w:rPr>
        <w:t xml:space="preserve"> – Latvijai būtu pieejami 4 miljoni </w:t>
      </w:r>
      <w:r w:rsidR="00EB3822">
        <w:rPr>
          <w:rFonts w:ascii="Times New Roman" w:hAnsi="Times New Roman" w:cs="Times New Roman"/>
          <w:color w:val="000000" w:themeColor="text1"/>
          <w:sz w:val="28"/>
          <w:szCs w:val="28"/>
        </w:rPr>
        <w:t xml:space="preserve">emisijas </w:t>
      </w:r>
      <w:r w:rsidR="00CB63C1">
        <w:rPr>
          <w:rFonts w:ascii="Times New Roman" w:hAnsi="Times New Roman" w:cs="Times New Roman"/>
          <w:color w:val="000000" w:themeColor="text1"/>
          <w:sz w:val="28"/>
          <w:szCs w:val="28"/>
        </w:rPr>
        <w:t xml:space="preserve">kvotu, kas </w:t>
      </w:r>
      <w:r w:rsidR="00E3791C">
        <w:rPr>
          <w:rFonts w:ascii="Times New Roman" w:hAnsi="Times New Roman" w:cs="Times New Roman"/>
          <w:color w:val="000000" w:themeColor="text1"/>
          <w:sz w:val="28"/>
          <w:szCs w:val="28"/>
        </w:rPr>
        <w:t xml:space="preserve">pēc EK aprēķiniem būtu </w:t>
      </w:r>
      <w:r w:rsidR="00DA0124">
        <w:rPr>
          <w:rFonts w:ascii="Times New Roman" w:hAnsi="Times New Roman" w:cs="Times New Roman"/>
          <w:color w:val="000000" w:themeColor="text1"/>
          <w:sz w:val="28"/>
          <w:szCs w:val="28"/>
        </w:rPr>
        <w:t xml:space="preserve">99,3 milj. </w:t>
      </w:r>
      <w:proofErr w:type="spellStart"/>
      <w:r w:rsidR="00DA0124">
        <w:rPr>
          <w:rFonts w:ascii="Times New Roman" w:hAnsi="Times New Roman" w:cs="Times New Roman"/>
          <w:color w:val="000000" w:themeColor="text1"/>
          <w:sz w:val="28"/>
          <w:szCs w:val="28"/>
        </w:rPr>
        <w:t>euro</w:t>
      </w:r>
      <w:proofErr w:type="spellEnd"/>
      <w:r w:rsidR="00DA0124">
        <w:rPr>
          <w:rFonts w:ascii="Times New Roman" w:hAnsi="Times New Roman" w:cs="Times New Roman"/>
          <w:color w:val="000000" w:themeColor="text1"/>
          <w:sz w:val="28"/>
          <w:szCs w:val="28"/>
        </w:rPr>
        <w:t xml:space="preserve"> (pie cenas 25 </w:t>
      </w:r>
      <w:proofErr w:type="spellStart"/>
      <w:r w:rsidR="00DA0124" w:rsidRPr="00EB3822">
        <w:rPr>
          <w:rFonts w:ascii="Times New Roman" w:hAnsi="Times New Roman" w:cs="Times New Roman"/>
          <w:i/>
          <w:iCs/>
          <w:color w:val="000000" w:themeColor="text1"/>
          <w:sz w:val="28"/>
          <w:szCs w:val="28"/>
        </w:rPr>
        <w:t>euro</w:t>
      </w:r>
      <w:proofErr w:type="spellEnd"/>
      <w:r w:rsidR="00DA0124">
        <w:rPr>
          <w:rFonts w:ascii="Times New Roman" w:hAnsi="Times New Roman" w:cs="Times New Roman"/>
          <w:color w:val="000000" w:themeColor="text1"/>
          <w:sz w:val="28"/>
          <w:szCs w:val="28"/>
        </w:rPr>
        <w:t xml:space="preserve"> par C</w:t>
      </w:r>
      <w:r w:rsidR="00D5465E">
        <w:rPr>
          <w:rFonts w:ascii="Times New Roman" w:hAnsi="Times New Roman" w:cs="Times New Roman"/>
          <w:color w:val="000000" w:themeColor="text1"/>
          <w:sz w:val="28"/>
          <w:szCs w:val="28"/>
        </w:rPr>
        <w:t>O</w:t>
      </w:r>
      <w:r w:rsidR="00DA0124" w:rsidRPr="00EB3822">
        <w:rPr>
          <w:rFonts w:ascii="Times New Roman" w:hAnsi="Times New Roman" w:cs="Times New Roman"/>
          <w:color w:val="000000" w:themeColor="text1"/>
          <w:sz w:val="28"/>
          <w:szCs w:val="28"/>
          <w:vertAlign w:val="subscript"/>
        </w:rPr>
        <w:t>2</w:t>
      </w:r>
      <w:r w:rsidR="00DA0124">
        <w:rPr>
          <w:rFonts w:ascii="Times New Roman" w:hAnsi="Times New Roman" w:cs="Times New Roman"/>
          <w:color w:val="000000" w:themeColor="text1"/>
          <w:sz w:val="28"/>
          <w:szCs w:val="28"/>
        </w:rPr>
        <w:t xml:space="preserve"> t)</w:t>
      </w:r>
      <w:r w:rsidR="00B93FCF">
        <w:rPr>
          <w:rFonts w:ascii="Times New Roman" w:hAnsi="Times New Roman" w:cs="Times New Roman"/>
          <w:color w:val="000000" w:themeColor="text1"/>
          <w:sz w:val="28"/>
          <w:szCs w:val="28"/>
        </w:rPr>
        <w:t>, taču šie apjomi nav vēl oficiāli apstiprināti</w:t>
      </w:r>
      <w:r w:rsidR="00702E95">
        <w:rPr>
          <w:rFonts w:ascii="Times New Roman" w:hAnsi="Times New Roman" w:cs="Times New Roman"/>
          <w:color w:val="000000" w:themeColor="text1"/>
          <w:sz w:val="28"/>
          <w:szCs w:val="28"/>
        </w:rPr>
        <w:t>.</w:t>
      </w:r>
      <w:r w:rsidR="00D5465E">
        <w:rPr>
          <w:rFonts w:ascii="Times New Roman" w:hAnsi="Times New Roman" w:cs="Times New Roman"/>
          <w:color w:val="000000" w:themeColor="text1"/>
          <w:sz w:val="28"/>
          <w:szCs w:val="28"/>
        </w:rPr>
        <w:t xml:space="preserve"> </w:t>
      </w:r>
      <w:r w:rsidR="00F7296E">
        <w:rPr>
          <w:rFonts w:ascii="Times New Roman" w:hAnsi="Times New Roman" w:cs="Times New Roman"/>
          <w:color w:val="000000" w:themeColor="text1"/>
          <w:sz w:val="28"/>
          <w:szCs w:val="28"/>
        </w:rPr>
        <w:t>Cenu prognozējamība šobrīd ir ļoti apgrūtinoša</w:t>
      </w:r>
      <w:r w:rsidR="006D7825">
        <w:rPr>
          <w:rFonts w:ascii="Times New Roman" w:hAnsi="Times New Roman" w:cs="Times New Roman"/>
          <w:color w:val="000000" w:themeColor="text1"/>
          <w:sz w:val="28"/>
          <w:szCs w:val="28"/>
        </w:rPr>
        <w:t xml:space="preserve"> un cenu līmenis var būtiski atšķirties atkarībā no nākotnes iniciatīvu attīstības scenārijiem. Piemēram, EK veiktajā </w:t>
      </w:r>
      <w:r w:rsidR="00C01EDA">
        <w:rPr>
          <w:rFonts w:ascii="Times New Roman" w:hAnsi="Times New Roman" w:cs="Times New Roman"/>
          <w:color w:val="000000" w:themeColor="text1"/>
          <w:sz w:val="28"/>
          <w:szCs w:val="28"/>
        </w:rPr>
        <w:t xml:space="preserve">Ietekmes novērtējumā </w:t>
      </w:r>
      <w:r w:rsidR="006F3EAB">
        <w:rPr>
          <w:rFonts w:ascii="Times New Roman" w:hAnsi="Times New Roman" w:cs="Times New Roman"/>
          <w:color w:val="000000" w:themeColor="text1"/>
          <w:sz w:val="28"/>
          <w:szCs w:val="28"/>
        </w:rPr>
        <w:t>saistībā ar EK komunikāciju “</w:t>
      </w:r>
      <w:r w:rsidR="006F3EAB" w:rsidRPr="006F3EAB">
        <w:rPr>
          <w:rFonts w:ascii="Times New Roman" w:hAnsi="Times New Roman" w:cs="Times New Roman"/>
          <w:color w:val="000000" w:themeColor="text1"/>
          <w:sz w:val="28"/>
          <w:szCs w:val="28"/>
        </w:rPr>
        <w:t>Palielināt Eiropas 2030. gada klimata ambīcijas</w:t>
      </w:r>
      <w:r w:rsidR="006F3EAB">
        <w:rPr>
          <w:rFonts w:ascii="Times New Roman" w:hAnsi="Times New Roman" w:cs="Times New Roman"/>
          <w:color w:val="000000" w:themeColor="text1"/>
          <w:sz w:val="28"/>
          <w:szCs w:val="28"/>
        </w:rPr>
        <w:t xml:space="preserve">. </w:t>
      </w:r>
      <w:r w:rsidR="006F3EAB" w:rsidRPr="006F3EAB">
        <w:rPr>
          <w:rFonts w:ascii="Times New Roman" w:hAnsi="Times New Roman" w:cs="Times New Roman"/>
          <w:color w:val="000000" w:themeColor="text1"/>
          <w:sz w:val="28"/>
          <w:szCs w:val="28"/>
        </w:rPr>
        <w:t xml:space="preserve">Ieguldījumi </w:t>
      </w:r>
      <w:proofErr w:type="spellStart"/>
      <w:r w:rsidR="006F3EAB" w:rsidRPr="006F3EAB">
        <w:rPr>
          <w:rFonts w:ascii="Times New Roman" w:hAnsi="Times New Roman" w:cs="Times New Roman"/>
          <w:color w:val="000000" w:themeColor="text1"/>
          <w:sz w:val="28"/>
          <w:szCs w:val="28"/>
        </w:rPr>
        <w:t>klimatneitrālā</w:t>
      </w:r>
      <w:proofErr w:type="spellEnd"/>
      <w:r w:rsidR="006F3EAB" w:rsidRPr="006F3EAB">
        <w:rPr>
          <w:rFonts w:ascii="Times New Roman" w:hAnsi="Times New Roman" w:cs="Times New Roman"/>
          <w:color w:val="000000" w:themeColor="text1"/>
          <w:sz w:val="28"/>
          <w:szCs w:val="28"/>
        </w:rPr>
        <w:t xml:space="preserve"> nākotnē mūsu cilvēku labā</w:t>
      </w:r>
      <w:r w:rsidR="006F3EAB">
        <w:rPr>
          <w:rFonts w:ascii="Times New Roman" w:hAnsi="Times New Roman" w:cs="Times New Roman"/>
          <w:color w:val="000000" w:themeColor="text1"/>
          <w:sz w:val="28"/>
          <w:szCs w:val="28"/>
        </w:rPr>
        <w:t>”</w:t>
      </w:r>
      <w:r w:rsidR="00D16719">
        <w:rPr>
          <w:rFonts w:ascii="Times New Roman" w:hAnsi="Times New Roman" w:cs="Times New Roman"/>
          <w:color w:val="000000" w:themeColor="text1"/>
          <w:sz w:val="28"/>
          <w:szCs w:val="28"/>
        </w:rPr>
        <w:t xml:space="preserve"> </w:t>
      </w:r>
      <w:r w:rsidR="00D053A1">
        <w:rPr>
          <w:rFonts w:ascii="Times New Roman" w:hAnsi="Times New Roman" w:cs="Times New Roman"/>
          <w:color w:val="000000" w:themeColor="text1"/>
          <w:sz w:val="28"/>
          <w:szCs w:val="28"/>
        </w:rPr>
        <w:t>emisijas kvotu cena 2030. gad</w:t>
      </w:r>
      <w:r w:rsidR="00B12F24">
        <w:rPr>
          <w:rFonts w:ascii="Times New Roman" w:hAnsi="Times New Roman" w:cs="Times New Roman"/>
          <w:color w:val="000000" w:themeColor="text1"/>
          <w:sz w:val="28"/>
          <w:szCs w:val="28"/>
        </w:rPr>
        <w:t>ā</w:t>
      </w:r>
      <w:r w:rsidR="00D053A1">
        <w:rPr>
          <w:rFonts w:ascii="Times New Roman" w:hAnsi="Times New Roman" w:cs="Times New Roman"/>
          <w:color w:val="000000" w:themeColor="text1"/>
          <w:sz w:val="28"/>
          <w:szCs w:val="28"/>
        </w:rPr>
        <w:t xml:space="preserve"> svārstās </w:t>
      </w:r>
      <w:r w:rsidR="00B12F24">
        <w:rPr>
          <w:rFonts w:ascii="Times New Roman" w:hAnsi="Times New Roman" w:cs="Times New Roman"/>
          <w:color w:val="000000" w:themeColor="text1"/>
          <w:sz w:val="28"/>
          <w:szCs w:val="28"/>
        </w:rPr>
        <w:t xml:space="preserve">no 32 </w:t>
      </w:r>
      <w:proofErr w:type="spellStart"/>
      <w:r w:rsidR="00B12F24">
        <w:rPr>
          <w:rFonts w:ascii="Times New Roman" w:hAnsi="Times New Roman" w:cs="Times New Roman"/>
          <w:i/>
          <w:iCs/>
          <w:color w:val="000000" w:themeColor="text1"/>
          <w:sz w:val="28"/>
          <w:szCs w:val="28"/>
        </w:rPr>
        <w:t>euro</w:t>
      </w:r>
      <w:proofErr w:type="spellEnd"/>
      <w:r w:rsidR="00B12F24">
        <w:rPr>
          <w:rFonts w:ascii="Times New Roman" w:hAnsi="Times New Roman" w:cs="Times New Roman"/>
          <w:i/>
          <w:iCs/>
          <w:color w:val="000000" w:themeColor="text1"/>
          <w:sz w:val="28"/>
          <w:szCs w:val="28"/>
        </w:rPr>
        <w:t xml:space="preserve"> </w:t>
      </w:r>
      <w:r w:rsidR="00B12F24" w:rsidRPr="00EB3822">
        <w:rPr>
          <w:rFonts w:ascii="Times New Roman" w:hAnsi="Times New Roman" w:cs="Times New Roman"/>
          <w:color w:val="000000" w:themeColor="text1"/>
          <w:sz w:val="28"/>
          <w:szCs w:val="28"/>
        </w:rPr>
        <w:t>par 1 CO</w:t>
      </w:r>
      <w:r w:rsidR="00B12F24" w:rsidRPr="00EB3822">
        <w:rPr>
          <w:rFonts w:ascii="Times New Roman" w:hAnsi="Times New Roman" w:cs="Times New Roman"/>
          <w:color w:val="000000" w:themeColor="text1"/>
          <w:sz w:val="28"/>
          <w:szCs w:val="28"/>
          <w:vertAlign w:val="subscript"/>
        </w:rPr>
        <w:t>2</w:t>
      </w:r>
      <w:r w:rsidR="00B12F24" w:rsidRPr="00EB3822">
        <w:rPr>
          <w:rFonts w:ascii="Times New Roman" w:hAnsi="Times New Roman" w:cs="Times New Roman"/>
          <w:color w:val="000000" w:themeColor="text1"/>
          <w:sz w:val="28"/>
          <w:szCs w:val="28"/>
        </w:rPr>
        <w:t xml:space="preserve"> tonnu</w:t>
      </w:r>
      <w:r w:rsidR="00B12F24">
        <w:rPr>
          <w:rFonts w:ascii="Times New Roman" w:hAnsi="Times New Roman" w:cs="Times New Roman"/>
          <w:color w:val="000000" w:themeColor="text1"/>
          <w:sz w:val="28"/>
          <w:szCs w:val="28"/>
        </w:rPr>
        <w:t xml:space="preserve"> bāzes scenārijā </w:t>
      </w:r>
      <w:r w:rsidR="00EE346A">
        <w:rPr>
          <w:rFonts w:ascii="Times New Roman" w:hAnsi="Times New Roman" w:cs="Times New Roman"/>
          <w:color w:val="000000" w:themeColor="text1"/>
          <w:sz w:val="28"/>
          <w:szCs w:val="28"/>
        </w:rPr>
        <w:t xml:space="preserve">(BSL) </w:t>
      </w:r>
      <w:r w:rsidR="00B12F24">
        <w:rPr>
          <w:rFonts w:ascii="Times New Roman" w:hAnsi="Times New Roman" w:cs="Times New Roman"/>
          <w:color w:val="000000" w:themeColor="text1"/>
          <w:sz w:val="28"/>
          <w:szCs w:val="28"/>
        </w:rPr>
        <w:t xml:space="preserve">līdz pat 65 </w:t>
      </w:r>
      <w:proofErr w:type="spellStart"/>
      <w:r w:rsidR="00B12F24">
        <w:rPr>
          <w:rFonts w:ascii="Times New Roman" w:hAnsi="Times New Roman" w:cs="Times New Roman"/>
          <w:i/>
          <w:iCs/>
          <w:color w:val="000000" w:themeColor="text1"/>
          <w:sz w:val="28"/>
          <w:szCs w:val="28"/>
        </w:rPr>
        <w:t>euro</w:t>
      </w:r>
      <w:proofErr w:type="spellEnd"/>
      <w:r w:rsidR="00B12F24">
        <w:rPr>
          <w:rFonts w:ascii="Times New Roman" w:hAnsi="Times New Roman" w:cs="Times New Roman"/>
          <w:color w:val="000000" w:themeColor="text1"/>
          <w:sz w:val="28"/>
          <w:szCs w:val="28"/>
        </w:rPr>
        <w:t xml:space="preserve"> </w:t>
      </w:r>
      <w:r w:rsidR="00EE346A">
        <w:rPr>
          <w:rFonts w:ascii="Times New Roman" w:hAnsi="Times New Roman" w:cs="Times New Roman"/>
          <w:color w:val="000000" w:themeColor="text1"/>
          <w:sz w:val="28"/>
          <w:szCs w:val="28"/>
        </w:rPr>
        <w:t xml:space="preserve">augstāko ambīciju scenārijā (ALLBNK). </w:t>
      </w:r>
    </w:p>
    <w:p w14:paraId="73B98788" w14:textId="71FC6029" w:rsidR="004F428C" w:rsidRPr="003F18F0" w:rsidRDefault="00B92408"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Saskaņā ar </w:t>
      </w:r>
      <w:r w:rsidR="00942CA4" w:rsidRPr="003F18F0">
        <w:rPr>
          <w:rFonts w:ascii="Times New Roman" w:hAnsi="Times New Roman" w:cs="Times New Roman"/>
          <w:color w:val="000000" w:themeColor="text1"/>
          <w:sz w:val="28"/>
          <w:szCs w:val="28"/>
        </w:rPr>
        <w:t>Ministru kabinet</w:t>
      </w:r>
      <w:r w:rsidRPr="003F18F0">
        <w:rPr>
          <w:rFonts w:ascii="Times New Roman" w:hAnsi="Times New Roman" w:cs="Times New Roman"/>
          <w:color w:val="000000" w:themeColor="text1"/>
          <w:sz w:val="28"/>
          <w:szCs w:val="28"/>
        </w:rPr>
        <w:t>a</w:t>
      </w:r>
      <w:r w:rsidR="00942CA4" w:rsidRPr="003F18F0">
        <w:rPr>
          <w:rFonts w:ascii="Times New Roman" w:hAnsi="Times New Roman" w:cs="Times New Roman"/>
          <w:color w:val="000000" w:themeColor="text1"/>
          <w:sz w:val="28"/>
          <w:szCs w:val="28"/>
        </w:rPr>
        <w:t xml:space="preserve"> 2019.</w:t>
      </w:r>
      <w:r w:rsidRPr="003F18F0">
        <w:rPr>
          <w:rFonts w:ascii="Times New Roman" w:hAnsi="Times New Roman" w:cs="Times New Roman"/>
          <w:color w:val="000000" w:themeColor="text1"/>
          <w:sz w:val="28"/>
          <w:szCs w:val="28"/>
        </w:rPr>
        <w:t> </w:t>
      </w:r>
      <w:r w:rsidR="00942CA4" w:rsidRPr="003F18F0">
        <w:rPr>
          <w:rFonts w:ascii="Times New Roman" w:hAnsi="Times New Roman" w:cs="Times New Roman"/>
          <w:color w:val="000000" w:themeColor="text1"/>
          <w:sz w:val="28"/>
          <w:szCs w:val="28"/>
        </w:rPr>
        <w:t>gada 16.</w:t>
      </w:r>
      <w:r w:rsidRPr="003F18F0">
        <w:rPr>
          <w:rFonts w:ascii="Times New Roman" w:hAnsi="Times New Roman" w:cs="Times New Roman"/>
          <w:color w:val="000000" w:themeColor="text1"/>
          <w:sz w:val="28"/>
          <w:szCs w:val="28"/>
        </w:rPr>
        <w:t> </w:t>
      </w:r>
      <w:r w:rsidR="00942CA4" w:rsidRPr="003F18F0">
        <w:rPr>
          <w:rFonts w:ascii="Times New Roman" w:hAnsi="Times New Roman" w:cs="Times New Roman"/>
          <w:color w:val="000000" w:themeColor="text1"/>
          <w:sz w:val="28"/>
          <w:szCs w:val="28"/>
        </w:rPr>
        <w:t>jūlija sēdē izskat</w:t>
      </w:r>
      <w:r w:rsidRPr="003F18F0">
        <w:rPr>
          <w:rFonts w:ascii="Times New Roman" w:hAnsi="Times New Roman" w:cs="Times New Roman"/>
          <w:color w:val="000000" w:themeColor="text1"/>
          <w:sz w:val="28"/>
          <w:szCs w:val="28"/>
        </w:rPr>
        <w:t>īto</w:t>
      </w:r>
      <w:r w:rsidR="00942CA4" w:rsidRPr="003F18F0">
        <w:rPr>
          <w:rFonts w:ascii="Times New Roman" w:hAnsi="Times New Roman" w:cs="Times New Roman"/>
          <w:color w:val="000000" w:themeColor="text1"/>
          <w:sz w:val="28"/>
          <w:szCs w:val="28"/>
        </w:rPr>
        <w:t xml:space="preserve"> </w:t>
      </w:r>
      <w:r w:rsidR="00D22DDA" w:rsidRPr="003F18F0">
        <w:rPr>
          <w:rFonts w:ascii="Times New Roman" w:hAnsi="Times New Roman" w:cs="Times New Roman"/>
          <w:color w:val="000000" w:themeColor="text1"/>
          <w:sz w:val="28"/>
          <w:szCs w:val="28"/>
        </w:rPr>
        <w:t xml:space="preserve">konceptuālo ziņojumu </w:t>
      </w:r>
      <w:r w:rsidRPr="003F18F0">
        <w:rPr>
          <w:rFonts w:ascii="Times New Roman" w:hAnsi="Times New Roman" w:cs="Times New Roman"/>
          <w:color w:val="000000" w:themeColor="text1"/>
          <w:sz w:val="28"/>
          <w:szCs w:val="28"/>
        </w:rPr>
        <w:t>”</w:t>
      </w:r>
      <w:r w:rsidR="00D22DDA" w:rsidRPr="003F18F0">
        <w:rPr>
          <w:rFonts w:ascii="Times New Roman" w:hAnsi="Times New Roman" w:cs="Times New Roman"/>
          <w:color w:val="000000" w:themeColor="text1"/>
          <w:sz w:val="28"/>
          <w:szCs w:val="28"/>
        </w:rPr>
        <w:t>Par bezmaksas emisijas kvotu piešķiršanu elektroenerģijas ražotājiem Eiropas Savienības emisiju tirdzniecības sistēmas 2021.-2030.gada periodā</w:t>
      </w:r>
      <w:r w:rsidRPr="003F18F0">
        <w:rPr>
          <w:rFonts w:ascii="Times New Roman" w:hAnsi="Times New Roman" w:cs="Times New Roman"/>
          <w:color w:val="000000" w:themeColor="text1"/>
          <w:sz w:val="28"/>
          <w:szCs w:val="28"/>
        </w:rPr>
        <w:t>”</w:t>
      </w:r>
      <w:r w:rsidR="006B4F25" w:rsidRPr="003F18F0">
        <w:rPr>
          <w:rFonts w:ascii="Times New Roman" w:hAnsi="Times New Roman" w:cs="Times New Roman"/>
          <w:color w:val="000000" w:themeColor="text1"/>
          <w:sz w:val="28"/>
          <w:szCs w:val="28"/>
        </w:rPr>
        <w:t xml:space="preserve"> ir nolemts</w:t>
      </w:r>
      <w:r w:rsidR="00D22DDA" w:rsidRPr="003F18F0">
        <w:rPr>
          <w:rFonts w:ascii="Times New Roman" w:hAnsi="Times New Roman" w:cs="Times New Roman"/>
          <w:color w:val="000000" w:themeColor="text1"/>
          <w:sz w:val="28"/>
          <w:szCs w:val="28"/>
        </w:rPr>
        <w:t xml:space="preserve"> nepiešķirt bezmaksas emisijas kvotas elektroenerģijas ražošanas iekārtām. Saskaņā </w:t>
      </w:r>
      <w:r w:rsidR="006B4F25" w:rsidRPr="003F18F0">
        <w:rPr>
          <w:rFonts w:ascii="Times New Roman" w:hAnsi="Times New Roman" w:cs="Times New Roman"/>
          <w:color w:val="000000" w:themeColor="text1"/>
          <w:sz w:val="28"/>
          <w:szCs w:val="28"/>
        </w:rPr>
        <w:t xml:space="preserve">ar </w:t>
      </w:r>
      <w:r w:rsidR="00D22DDA" w:rsidRPr="003F18F0">
        <w:rPr>
          <w:rFonts w:ascii="Times New Roman" w:hAnsi="Times New Roman" w:cs="Times New Roman"/>
          <w:color w:val="000000" w:themeColor="text1"/>
          <w:sz w:val="28"/>
          <w:szCs w:val="28"/>
        </w:rPr>
        <w:t>2018.</w:t>
      </w:r>
      <w:r w:rsidR="006B4F25" w:rsidRPr="003F18F0">
        <w:rPr>
          <w:rFonts w:ascii="Times New Roman" w:hAnsi="Times New Roman" w:cs="Times New Roman"/>
          <w:color w:val="000000" w:themeColor="text1"/>
          <w:sz w:val="28"/>
          <w:szCs w:val="28"/>
        </w:rPr>
        <w:t> </w:t>
      </w:r>
      <w:r w:rsidR="00D22DDA" w:rsidRPr="003F18F0">
        <w:rPr>
          <w:rFonts w:ascii="Times New Roman" w:hAnsi="Times New Roman" w:cs="Times New Roman"/>
          <w:color w:val="000000" w:themeColor="text1"/>
          <w:sz w:val="28"/>
          <w:szCs w:val="28"/>
        </w:rPr>
        <w:t>gada 14.</w:t>
      </w:r>
      <w:r w:rsidR="006B4F25" w:rsidRPr="003F18F0">
        <w:rPr>
          <w:rFonts w:ascii="Times New Roman" w:hAnsi="Times New Roman" w:cs="Times New Roman"/>
          <w:color w:val="000000" w:themeColor="text1"/>
          <w:sz w:val="28"/>
          <w:szCs w:val="28"/>
        </w:rPr>
        <w:t> </w:t>
      </w:r>
      <w:r w:rsidR="00D22DDA" w:rsidRPr="003F18F0">
        <w:rPr>
          <w:rFonts w:ascii="Times New Roman" w:hAnsi="Times New Roman" w:cs="Times New Roman"/>
          <w:color w:val="000000" w:themeColor="text1"/>
          <w:sz w:val="28"/>
          <w:szCs w:val="28"/>
        </w:rPr>
        <w:t xml:space="preserve">martā grozīto Direktīvas 2003/87/EK 10.c pantu </w:t>
      </w:r>
      <w:r w:rsidR="006B4F25" w:rsidRPr="003F18F0">
        <w:rPr>
          <w:rFonts w:ascii="Times New Roman" w:hAnsi="Times New Roman" w:cs="Times New Roman"/>
          <w:color w:val="000000" w:themeColor="text1"/>
          <w:sz w:val="28"/>
          <w:szCs w:val="28"/>
        </w:rPr>
        <w:t xml:space="preserve">ES </w:t>
      </w:r>
      <w:r w:rsidR="00D22DDA" w:rsidRPr="003F18F0">
        <w:rPr>
          <w:rFonts w:ascii="Times New Roman" w:hAnsi="Times New Roman" w:cs="Times New Roman"/>
          <w:color w:val="000000" w:themeColor="text1"/>
          <w:sz w:val="28"/>
          <w:szCs w:val="28"/>
        </w:rPr>
        <w:t>dalībvalstis, kuru</w:t>
      </w:r>
      <w:r w:rsidR="00836E3E" w:rsidRPr="003F18F0">
        <w:rPr>
          <w:rFonts w:ascii="Times New Roman" w:hAnsi="Times New Roman" w:cs="Times New Roman"/>
          <w:color w:val="000000" w:themeColor="text1"/>
          <w:sz w:val="28"/>
          <w:szCs w:val="28"/>
        </w:rPr>
        <w:t xml:space="preserve"> </w:t>
      </w:r>
      <w:r w:rsidR="00D22DDA" w:rsidRPr="003F18F0">
        <w:rPr>
          <w:rFonts w:ascii="Times New Roman" w:hAnsi="Times New Roman" w:cs="Times New Roman"/>
          <w:color w:val="000000" w:themeColor="text1"/>
          <w:sz w:val="28"/>
          <w:szCs w:val="28"/>
        </w:rPr>
        <w:t>IKP uz vienu iedzīvotāju, izsakot tirgus cenās (</w:t>
      </w:r>
      <w:proofErr w:type="spellStart"/>
      <w:r w:rsidR="00D22DDA" w:rsidRPr="003F18F0">
        <w:rPr>
          <w:rFonts w:ascii="Times New Roman" w:hAnsi="Times New Roman" w:cs="Times New Roman"/>
          <w:i/>
          <w:color w:val="000000" w:themeColor="text1"/>
          <w:sz w:val="28"/>
          <w:szCs w:val="28"/>
        </w:rPr>
        <w:t>euro</w:t>
      </w:r>
      <w:proofErr w:type="spellEnd"/>
      <w:r w:rsidR="00D22DDA" w:rsidRPr="003F18F0">
        <w:rPr>
          <w:rFonts w:ascii="Times New Roman" w:hAnsi="Times New Roman" w:cs="Times New Roman"/>
          <w:color w:val="000000" w:themeColor="text1"/>
          <w:sz w:val="28"/>
          <w:szCs w:val="28"/>
        </w:rPr>
        <w:t>), 2013.</w:t>
      </w:r>
      <w:r w:rsidR="006B4F25" w:rsidRPr="003F18F0">
        <w:rPr>
          <w:rFonts w:ascii="Times New Roman" w:hAnsi="Times New Roman" w:cs="Times New Roman"/>
          <w:color w:val="000000" w:themeColor="text1"/>
          <w:sz w:val="28"/>
          <w:szCs w:val="28"/>
        </w:rPr>
        <w:t> </w:t>
      </w:r>
      <w:r w:rsidR="00D22DDA" w:rsidRPr="003F18F0">
        <w:rPr>
          <w:rFonts w:ascii="Times New Roman" w:hAnsi="Times New Roman" w:cs="Times New Roman"/>
          <w:color w:val="000000" w:themeColor="text1"/>
          <w:sz w:val="28"/>
          <w:szCs w:val="28"/>
        </w:rPr>
        <w:t>gadā nesasniedza 60</w:t>
      </w:r>
      <w:r w:rsidR="006B4F25" w:rsidRPr="003F18F0">
        <w:rPr>
          <w:rFonts w:ascii="Times New Roman" w:hAnsi="Times New Roman" w:cs="Times New Roman"/>
          <w:color w:val="000000" w:themeColor="text1"/>
          <w:sz w:val="28"/>
          <w:szCs w:val="28"/>
        </w:rPr>
        <w:t> </w:t>
      </w:r>
      <w:r w:rsidR="00D22DDA" w:rsidRPr="003F18F0">
        <w:rPr>
          <w:rFonts w:ascii="Times New Roman" w:hAnsi="Times New Roman" w:cs="Times New Roman"/>
          <w:color w:val="000000" w:themeColor="text1"/>
          <w:sz w:val="28"/>
          <w:szCs w:val="28"/>
        </w:rPr>
        <w:t>% no ES vidējā rādītāja, var</w:t>
      </w:r>
      <w:r w:rsidR="00046A62" w:rsidRPr="003F18F0">
        <w:rPr>
          <w:rFonts w:ascii="Times New Roman" w:hAnsi="Times New Roman" w:cs="Times New Roman"/>
          <w:color w:val="000000" w:themeColor="text1"/>
          <w:sz w:val="28"/>
          <w:szCs w:val="28"/>
        </w:rPr>
        <w:t>ēja</w:t>
      </w:r>
      <w:r w:rsidR="00D22DDA" w:rsidRPr="003F18F0">
        <w:rPr>
          <w:rFonts w:ascii="Times New Roman" w:hAnsi="Times New Roman" w:cs="Times New Roman"/>
          <w:color w:val="000000" w:themeColor="text1"/>
          <w:sz w:val="28"/>
          <w:szCs w:val="28"/>
        </w:rPr>
        <w:t xml:space="preserve"> izlemt piešķirt bezmaksas emisijas kvotas elektroenerģijas ražošanas iekārtām</w:t>
      </w:r>
      <w:r w:rsidR="00046A62" w:rsidRPr="003F18F0">
        <w:rPr>
          <w:rFonts w:ascii="Times New Roman" w:hAnsi="Times New Roman" w:cs="Times New Roman"/>
          <w:color w:val="000000" w:themeColor="text1"/>
          <w:sz w:val="28"/>
          <w:szCs w:val="28"/>
        </w:rPr>
        <w:t xml:space="preserve"> (</w:t>
      </w:r>
      <w:r w:rsidR="005A70EA" w:rsidRPr="003F18F0">
        <w:rPr>
          <w:rFonts w:ascii="Times New Roman" w:hAnsi="Times New Roman" w:cs="Times New Roman"/>
          <w:color w:val="000000" w:themeColor="text1"/>
          <w:sz w:val="28"/>
          <w:szCs w:val="28"/>
        </w:rPr>
        <w:t>turpmāk</w:t>
      </w:r>
      <w:r w:rsidR="006B4F25" w:rsidRPr="003F18F0">
        <w:rPr>
          <w:rFonts w:ascii="Times New Roman" w:hAnsi="Times New Roman" w:cs="Times New Roman"/>
          <w:color w:val="000000" w:themeColor="text1"/>
          <w:sz w:val="28"/>
          <w:szCs w:val="28"/>
        </w:rPr>
        <w:t> </w:t>
      </w:r>
      <w:r w:rsidR="00836E3E" w:rsidRPr="003F18F0">
        <w:rPr>
          <w:rFonts w:ascii="Times New Roman" w:hAnsi="Times New Roman" w:cs="Times New Roman"/>
          <w:color w:val="000000" w:themeColor="text1"/>
          <w:sz w:val="28"/>
          <w:szCs w:val="28"/>
        </w:rPr>
        <w:t>–</w:t>
      </w:r>
      <w:r w:rsidR="006B4F25" w:rsidRPr="003F18F0">
        <w:rPr>
          <w:rFonts w:ascii="Times New Roman" w:hAnsi="Times New Roman" w:cs="Times New Roman"/>
          <w:color w:val="000000" w:themeColor="text1"/>
          <w:sz w:val="28"/>
          <w:szCs w:val="28"/>
        </w:rPr>
        <w:t> </w:t>
      </w:r>
      <w:proofErr w:type="spellStart"/>
      <w:r w:rsidR="00046A62" w:rsidRPr="003F18F0">
        <w:rPr>
          <w:rFonts w:ascii="Times New Roman" w:hAnsi="Times New Roman" w:cs="Times New Roman"/>
          <w:color w:val="000000" w:themeColor="text1"/>
          <w:sz w:val="28"/>
          <w:szCs w:val="28"/>
        </w:rPr>
        <w:t>derogācija</w:t>
      </w:r>
      <w:proofErr w:type="spellEnd"/>
      <w:r w:rsidR="00046A62" w:rsidRPr="003F18F0">
        <w:rPr>
          <w:rFonts w:ascii="Times New Roman" w:hAnsi="Times New Roman" w:cs="Times New Roman"/>
          <w:color w:val="000000" w:themeColor="text1"/>
          <w:sz w:val="28"/>
          <w:szCs w:val="28"/>
        </w:rPr>
        <w:t>)</w:t>
      </w:r>
      <w:r w:rsidR="00D22DDA" w:rsidRPr="003F18F0">
        <w:rPr>
          <w:rFonts w:ascii="Times New Roman" w:hAnsi="Times New Roman" w:cs="Times New Roman"/>
          <w:color w:val="000000" w:themeColor="text1"/>
          <w:sz w:val="28"/>
          <w:szCs w:val="28"/>
        </w:rPr>
        <w:t>.</w:t>
      </w:r>
      <w:r w:rsidR="004A2694" w:rsidRPr="003F18F0">
        <w:rPr>
          <w:rFonts w:ascii="Times New Roman" w:hAnsi="Times New Roman" w:cs="Times New Roman"/>
          <w:color w:val="000000" w:themeColor="text1"/>
          <w:sz w:val="28"/>
          <w:szCs w:val="28"/>
        </w:rPr>
        <w:t xml:space="preserve"> </w:t>
      </w:r>
      <w:r w:rsidR="006B4F25" w:rsidRPr="003F18F0">
        <w:rPr>
          <w:rFonts w:ascii="Times New Roman" w:eastAsia="Arial Unicode MS" w:hAnsi="Times New Roman" w:cs="Times New Roman"/>
          <w:color w:val="000000" w:themeColor="text1"/>
          <w:sz w:val="28"/>
          <w:szCs w:val="28"/>
          <w:shd w:val="clear" w:color="auto" w:fill="FFFFFF"/>
        </w:rPr>
        <w:t>Atbi</w:t>
      </w:r>
      <w:r w:rsidR="007B0C64" w:rsidRPr="003F18F0">
        <w:rPr>
          <w:rFonts w:ascii="Times New Roman" w:eastAsia="Arial Unicode MS" w:hAnsi="Times New Roman" w:cs="Times New Roman"/>
          <w:color w:val="000000" w:themeColor="text1"/>
          <w:sz w:val="28"/>
          <w:szCs w:val="28"/>
          <w:shd w:val="clear" w:color="auto" w:fill="FFFFFF"/>
        </w:rPr>
        <w:t>l</w:t>
      </w:r>
      <w:r w:rsidR="006B4F25" w:rsidRPr="003F18F0">
        <w:rPr>
          <w:rFonts w:ascii="Times New Roman" w:eastAsia="Arial Unicode MS" w:hAnsi="Times New Roman" w:cs="Times New Roman"/>
          <w:color w:val="000000" w:themeColor="text1"/>
          <w:sz w:val="28"/>
          <w:szCs w:val="28"/>
          <w:shd w:val="clear" w:color="auto" w:fill="FFFFFF"/>
        </w:rPr>
        <w:t>stoši</w:t>
      </w:r>
      <w:r w:rsidR="004F428C" w:rsidRPr="003F18F0">
        <w:rPr>
          <w:rFonts w:ascii="Times New Roman" w:eastAsia="Arial Unicode MS" w:hAnsi="Times New Roman" w:cs="Times New Roman"/>
          <w:color w:val="000000" w:themeColor="text1"/>
          <w:sz w:val="28"/>
          <w:szCs w:val="28"/>
          <w:shd w:val="clear" w:color="auto" w:fill="FFFFFF"/>
        </w:rPr>
        <w:t xml:space="preserve"> </w:t>
      </w:r>
      <w:r w:rsidR="007D5912" w:rsidRPr="003F18F0">
        <w:rPr>
          <w:rFonts w:ascii="Times New Roman" w:hAnsi="Times New Roman" w:cs="Times New Roman"/>
          <w:color w:val="000000" w:themeColor="text1"/>
          <w:sz w:val="28"/>
          <w:szCs w:val="28"/>
        </w:rPr>
        <w:t xml:space="preserve">Direktīvas 2003/87/EK </w:t>
      </w:r>
      <w:r w:rsidR="004F428C" w:rsidRPr="003F18F0">
        <w:rPr>
          <w:rFonts w:ascii="Times New Roman" w:eastAsia="Arial Unicode MS" w:hAnsi="Times New Roman" w:cs="Times New Roman"/>
          <w:color w:val="000000" w:themeColor="text1"/>
          <w:sz w:val="28"/>
          <w:szCs w:val="28"/>
          <w:shd w:val="clear" w:color="auto" w:fill="FFFFFF"/>
        </w:rPr>
        <w:t>10.c panta 4. punkt</w:t>
      </w:r>
      <w:r w:rsidR="006B4F25" w:rsidRPr="003F18F0">
        <w:rPr>
          <w:rFonts w:ascii="Times New Roman" w:eastAsia="Arial Unicode MS" w:hAnsi="Times New Roman" w:cs="Times New Roman"/>
          <w:color w:val="000000" w:themeColor="text1"/>
          <w:sz w:val="28"/>
          <w:szCs w:val="28"/>
          <w:shd w:val="clear" w:color="auto" w:fill="FFFFFF"/>
        </w:rPr>
        <w:t>am</w:t>
      </w:r>
      <w:r w:rsidR="004F428C" w:rsidRPr="003F18F0">
        <w:rPr>
          <w:rFonts w:ascii="Times New Roman" w:eastAsia="Arial Unicode MS" w:hAnsi="Times New Roman" w:cs="Times New Roman"/>
          <w:color w:val="000000" w:themeColor="text1"/>
          <w:sz w:val="28"/>
          <w:szCs w:val="28"/>
          <w:shd w:val="clear" w:color="auto" w:fill="FFFFFF"/>
        </w:rPr>
        <w:t xml:space="preserve"> kopējais </w:t>
      </w:r>
      <w:proofErr w:type="spellStart"/>
      <w:r w:rsidR="004F428C" w:rsidRPr="003F18F0">
        <w:rPr>
          <w:rFonts w:ascii="Times New Roman" w:eastAsia="Arial Unicode MS" w:hAnsi="Times New Roman" w:cs="Times New Roman"/>
          <w:color w:val="000000" w:themeColor="text1"/>
          <w:sz w:val="28"/>
          <w:szCs w:val="28"/>
          <w:shd w:val="clear" w:color="auto" w:fill="FFFFFF"/>
        </w:rPr>
        <w:t>derogācijai</w:t>
      </w:r>
      <w:proofErr w:type="spellEnd"/>
      <w:r w:rsidR="004F428C" w:rsidRPr="003F18F0">
        <w:rPr>
          <w:rFonts w:ascii="Times New Roman" w:eastAsia="Arial Unicode MS" w:hAnsi="Times New Roman" w:cs="Times New Roman"/>
          <w:color w:val="000000" w:themeColor="text1"/>
          <w:sz w:val="28"/>
          <w:szCs w:val="28"/>
          <w:shd w:val="clear" w:color="auto" w:fill="FFFFFF"/>
        </w:rPr>
        <w:t xml:space="preserve"> piešķirto bezmaksas </w:t>
      </w:r>
      <w:r w:rsidR="006B4F25" w:rsidRPr="003F18F0">
        <w:rPr>
          <w:rFonts w:ascii="Times New Roman" w:eastAsia="Arial Unicode MS" w:hAnsi="Times New Roman" w:cs="Times New Roman"/>
          <w:color w:val="000000" w:themeColor="text1"/>
          <w:sz w:val="28"/>
          <w:szCs w:val="28"/>
          <w:shd w:val="clear" w:color="auto" w:fill="FFFFFF"/>
        </w:rPr>
        <w:t xml:space="preserve">emisijas </w:t>
      </w:r>
      <w:r w:rsidR="004F428C" w:rsidRPr="003F18F0">
        <w:rPr>
          <w:rFonts w:ascii="Times New Roman" w:eastAsia="Arial Unicode MS" w:hAnsi="Times New Roman" w:cs="Times New Roman"/>
          <w:color w:val="000000" w:themeColor="text1"/>
          <w:sz w:val="28"/>
          <w:szCs w:val="28"/>
          <w:shd w:val="clear" w:color="auto" w:fill="FFFFFF"/>
        </w:rPr>
        <w:t xml:space="preserve">kvotu apjoms nav lielāks par 40 % no </w:t>
      </w:r>
      <w:r w:rsidR="006B4F25" w:rsidRPr="003F18F0">
        <w:rPr>
          <w:rFonts w:ascii="Times New Roman" w:eastAsia="Arial Unicode MS" w:hAnsi="Times New Roman" w:cs="Times New Roman"/>
          <w:color w:val="000000" w:themeColor="text1"/>
          <w:sz w:val="28"/>
          <w:szCs w:val="28"/>
          <w:shd w:val="clear" w:color="auto" w:fill="FFFFFF"/>
        </w:rPr>
        <w:t xml:space="preserve">emisijas </w:t>
      </w:r>
      <w:r w:rsidR="004F428C" w:rsidRPr="003F18F0">
        <w:rPr>
          <w:rFonts w:ascii="Times New Roman" w:eastAsia="Arial Unicode MS" w:hAnsi="Times New Roman" w:cs="Times New Roman"/>
          <w:color w:val="000000" w:themeColor="text1"/>
          <w:sz w:val="28"/>
          <w:szCs w:val="28"/>
          <w:shd w:val="clear" w:color="auto" w:fill="FFFFFF"/>
        </w:rPr>
        <w:t xml:space="preserve">kvotu apjoma, ko attiecīgā </w:t>
      </w:r>
      <w:r w:rsidR="006B4F25" w:rsidRPr="003F18F0">
        <w:rPr>
          <w:rFonts w:ascii="Times New Roman" w:eastAsia="Arial Unicode MS" w:hAnsi="Times New Roman" w:cs="Times New Roman"/>
          <w:color w:val="000000" w:themeColor="text1"/>
          <w:sz w:val="28"/>
          <w:szCs w:val="28"/>
          <w:shd w:val="clear" w:color="auto" w:fill="FFFFFF"/>
        </w:rPr>
        <w:t xml:space="preserve">ES </w:t>
      </w:r>
      <w:r w:rsidR="004F428C" w:rsidRPr="003F18F0">
        <w:rPr>
          <w:rFonts w:ascii="Times New Roman" w:eastAsia="Arial Unicode MS" w:hAnsi="Times New Roman" w:cs="Times New Roman"/>
          <w:color w:val="000000" w:themeColor="text1"/>
          <w:sz w:val="28"/>
          <w:szCs w:val="28"/>
          <w:shd w:val="clear" w:color="auto" w:fill="FFFFFF"/>
        </w:rPr>
        <w:t xml:space="preserve">dalībvalsts saņems laikposmā no 2021. līdz 2030. gadam saskaņā ar </w:t>
      </w:r>
      <w:r w:rsidR="004F428C" w:rsidRPr="003F18F0">
        <w:rPr>
          <w:rFonts w:ascii="Times New Roman" w:hAnsi="Times New Roman" w:cs="Times New Roman"/>
          <w:color w:val="000000" w:themeColor="text1"/>
          <w:sz w:val="28"/>
          <w:szCs w:val="28"/>
        </w:rPr>
        <w:t>Direktīvas 2003/87/EK</w:t>
      </w:r>
      <w:r w:rsidR="004F428C" w:rsidRPr="003F18F0">
        <w:rPr>
          <w:rFonts w:ascii="Times New Roman" w:eastAsia="Arial Unicode MS" w:hAnsi="Times New Roman" w:cs="Times New Roman"/>
          <w:color w:val="000000" w:themeColor="text1"/>
          <w:sz w:val="28"/>
          <w:szCs w:val="28"/>
          <w:shd w:val="clear" w:color="auto" w:fill="FFFFFF"/>
        </w:rPr>
        <w:t xml:space="preserve"> 10. panta 2. punkta a) apakšpunktu</w:t>
      </w:r>
      <w:r w:rsidR="004F428C" w:rsidRPr="003F18F0">
        <w:rPr>
          <w:rStyle w:val="FootnoteReference"/>
          <w:rFonts w:ascii="Times New Roman" w:eastAsia="Arial Unicode MS" w:hAnsi="Times New Roman" w:cs="Times New Roman"/>
          <w:color w:val="000000" w:themeColor="text1"/>
          <w:sz w:val="28"/>
          <w:szCs w:val="28"/>
          <w:shd w:val="clear" w:color="auto" w:fill="FFFFFF"/>
        </w:rPr>
        <w:footnoteReference w:id="23"/>
      </w:r>
      <w:r w:rsidR="004F428C" w:rsidRPr="003F18F0">
        <w:rPr>
          <w:rFonts w:ascii="Times New Roman" w:eastAsia="Arial Unicode MS" w:hAnsi="Times New Roman" w:cs="Times New Roman"/>
          <w:color w:val="000000" w:themeColor="text1"/>
          <w:sz w:val="28"/>
          <w:szCs w:val="28"/>
          <w:shd w:val="clear" w:color="auto" w:fill="FFFFFF"/>
        </w:rPr>
        <w:t xml:space="preserve"> jeb provizoriski tas būtu nepilni 4,12 miljoni</w:t>
      </w:r>
      <w:r w:rsidR="00EF54F4">
        <w:rPr>
          <w:rStyle w:val="FootnoteReference"/>
          <w:rFonts w:ascii="Times New Roman" w:eastAsia="Arial Unicode MS" w:hAnsi="Times New Roman" w:cs="Times New Roman"/>
          <w:color w:val="000000" w:themeColor="text1"/>
          <w:sz w:val="28"/>
          <w:szCs w:val="28"/>
          <w:shd w:val="clear" w:color="auto" w:fill="FFFFFF"/>
        </w:rPr>
        <w:footnoteReference w:id="24"/>
      </w:r>
      <w:r w:rsidR="004F428C" w:rsidRPr="003F18F0">
        <w:rPr>
          <w:rFonts w:ascii="Times New Roman" w:eastAsia="Arial Unicode MS" w:hAnsi="Times New Roman" w:cs="Times New Roman"/>
          <w:color w:val="000000" w:themeColor="text1"/>
          <w:sz w:val="28"/>
          <w:szCs w:val="28"/>
          <w:shd w:val="clear" w:color="auto" w:fill="FFFFFF"/>
        </w:rPr>
        <w:t xml:space="preserve"> emisijas kvotu. </w:t>
      </w:r>
    </w:p>
    <w:p w14:paraId="211B2F89" w14:textId="6BCE430E" w:rsidR="0083403E" w:rsidRPr="003F18F0" w:rsidRDefault="006B4F25"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shd w:val="clear" w:color="auto" w:fill="FFFFFF"/>
        </w:rPr>
        <w:t>E</w:t>
      </w:r>
      <w:r w:rsidR="0083403E" w:rsidRPr="003F18F0">
        <w:rPr>
          <w:rFonts w:ascii="Times New Roman" w:hAnsi="Times New Roman" w:cs="Times New Roman"/>
          <w:color w:val="000000" w:themeColor="text1"/>
          <w:sz w:val="28"/>
          <w:szCs w:val="28"/>
          <w:shd w:val="clear" w:color="auto" w:fill="FFFFFF"/>
        </w:rPr>
        <w:t>misij</w:t>
      </w:r>
      <w:r w:rsidRPr="003F18F0">
        <w:rPr>
          <w:rFonts w:ascii="Times New Roman" w:hAnsi="Times New Roman" w:cs="Times New Roman"/>
          <w:color w:val="000000" w:themeColor="text1"/>
          <w:sz w:val="28"/>
          <w:szCs w:val="28"/>
          <w:shd w:val="clear" w:color="auto" w:fill="FFFFFF"/>
        </w:rPr>
        <w:t>as</w:t>
      </w:r>
      <w:r w:rsidR="0083403E" w:rsidRPr="003F18F0">
        <w:rPr>
          <w:rFonts w:ascii="Times New Roman" w:hAnsi="Times New Roman" w:cs="Times New Roman"/>
          <w:color w:val="000000" w:themeColor="text1"/>
          <w:sz w:val="28"/>
          <w:szCs w:val="28"/>
          <w:shd w:val="clear" w:color="auto" w:fill="FFFFFF"/>
        </w:rPr>
        <w:t xml:space="preserve"> kvotu apjomi, kas bija pieejami </w:t>
      </w:r>
      <w:proofErr w:type="spellStart"/>
      <w:r w:rsidR="0083403E" w:rsidRPr="003F18F0">
        <w:rPr>
          <w:rFonts w:ascii="Times New Roman" w:hAnsi="Times New Roman" w:cs="Times New Roman"/>
          <w:color w:val="000000" w:themeColor="text1"/>
          <w:sz w:val="28"/>
          <w:szCs w:val="28"/>
          <w:shd w:val="clear" w:color="auto" w:fill="FFFFFF"/>
        </w:rPr>
        <w:t>derogācijai</w:t>
      </w:r>
      <w:proofErr w:type="spellEnd"/>
      <w:r w:rsidR="0083403E" w:rsidRPr="003F18F0">
        <w:rPr>
          <w:rFonts w:ascii="Times New Roman" w:hAnsi="Times New Roman" w:cs="Times New Roman"/>
          <w:color w:val="000000" w:themeColor="text1"/>
          <w:sz w:val="28"/>
          <w:szCs w:val="28"/>
          <w:shd w:val="clear" w:color="auto" w:fill="FFFFFF"/>
        </w:rPr>
        <w:t xml:space="preserve"> un potenciālais Modernizācijas Fonda finansējuma palielinājums ir tieši atkarīgs no Latvijas izsolāmā emisijas kvotu apjoma.</w:t>
      </w:r>
      <w:r w:rsidR="0083403E" w:rsidRPr="003F18F0">
        <w:rPr>
          <w:rFonts w:ascii="Times New Roman" w:hAnsi="Times New Roman" w:cs="Times New Roman"/>
          <w:color w:val="000000" w:themeColor="text1"/>
          <w:sz w:val="28"/>
          <w:szCs w:val="28"/>
        </w:rPr>
        <w:t xml:space="preserve"> ES ETS 4. periodā Latvijas labā kopējais izsolāmais </w:t>
      </w:r>
      <w:r w:rsidRPr="003F18F0">
        <w:rPr>
          <w:rFonts w:ascii="Times New Roman" w:hAnsi="Times New Roman" w:cs="Times New Roman"/>
          <w:color w:val="000000" w:themeColor="text1"/>
          <w:sz w:val="28"/>
          <w:szCs w:val="28"/>
        </w:rPr>
        <w:t xml:space="preserve">emisijas kvotu </w:t>
      </w:r>
      <w:r w:rsidR="0083403E" w:rsidRPr="003F18F0">
        <w:rPr>
          <w:rFonts w:ascii="Times New Roman" w:hAnsi="Times New Roman" w:cs="Times New Roman"/>
          <w:color w:val="000000" w:themeColor="text1"/>
          <w:sz w:val="28"/>
          <w:szCs w:val="28"/>
        </w:rPr>
        <w:t xml:space="preserve">apjoms veidojas no izsolāmā emisijas kvotu </w:t>
      </w:r>
      <w:r w:rsidR="0083403E" w:rsidRPr="003F18F0">
        <w:rPr>
          <w:rFonts w:ascii="Times New Roman" w:hAnsi="Times New Roman" w:cs="Times New Roman"/>
          <w:color w:val="000000" w:themeColor="text1"/>
          <w:sz w:val="28"/>
          <w:szCs w:val="28"/>
        </w:rPr>
        <w:lastRenderedPageBreak/>
        <w:t>pamatapjoma</w:t>
      </w:r>
      <w:r w:rsidR="0083403E" w:rsidRPr="003F18F0">
        <w:rPr>
          <w:rStyle w:val="FootnoteReference"/>
          <w:rFonts w:ascii="Times New Roman" w:hAnsi="Times New Roman" w:cs="Times New Roman"/>
          <w:color w:val="000000" w:themeColor="text1"/>
          <w:sz w:val="28"/>
          <w:szCs w:val="28"/>
        </w:rPr>
        <w:footnoteReference w:id="25"/>
      </w:r>
      <w:r w:rsidR="0083403E" w:rsidRPr="003F18F0">
        <w:rPr>
          <w:rFonts w:ascii="Times New Roman" w:hAnsi="Times New Roman" w:cs="Times New Roman"/>
          <w:color w:val="000000" w:themeColor="text1"/>
          <w:sz w:val="28"/>
          <w:szCs w:val="28"/>
        </w:rPr>
        <w:t xml:space="preserve"> un </w:t>
      </w:r>
      <w:r w:rsidR="0083403E" w:rsidRPr="003F18F0">
        <w:rPr>
          <w:rFonts w:ascii="Times New Roman" w:eastAsia="Arial Unicode MS" w:hAnsi="Times New Roman" w:cs="Times New Roman"/>
          <w:color w:val="000000" w:themeColor="text1"/>
          <w:sz w:val="28"/>
          <w:szCs w:val="28"/>
          <w:shd w:val="clear" w:color="auto" w:fill="FFFFFF"/>
        </w:rPr>
        <w:t xml:space="preserve">emisijas kvotām, kas piešķirtas dažām dalībvalstīm, t.sk. Latvijai, solidaritātes, izaugsmes un </w:t>
      </w:r>
      <w:proofErr w:type="spellStart"/>
      <w:r w:rsidR="0083403E" w:rsidRPr="003F18F0">
        <w:rPr>
          <w:rFonts w:ascii="Times New Roman" w:eastAsia="Arial Unicode MS" w:hAnsi="Times New Roman" w:cs="Times New Roman"/>
          <w:color w:val="000000" w:themeColor="text1"/>
          <w:sz w:val="28"/>
          <w:szCs w:val="28"/>
          <w:shd w:val="clear" w:color="auto" w:fill="FFFFFF"/>
        </w:rPr>
        <w:t>starpsavienojumu</w:t>
      </w:r>
      <w:proofErr w:type="spellEnd"/>
      <w:r w:rsidR="0083403E" w:rsidRPr="003F18F0">
        <w:rPr>
          <w:rFonts w:ascii="Times New Roman" w:eastAsia="Arial Unicode MS" w:hAnsi="Times New Roman" w:cs="Times New Roman"/>
          <w:color w:val="000000" w:themeColor="text1"/>
          <w:sz w:val="28"/>
          <w:szCs w:val="28"/>
          <w:shd w:val="clear" w:color="auto" w:fill="FFFFFF"/>
        </w:rPr>
        <w:t xml:space="preserve"> labad (turpmāk</w:t>
      </w:r>
      <w:r w:rsidRPr="003F18F0">
        <w:rPr>
          <w:rFonts w:ascii="Times New Roman" w:eastAsia="Arial Unicode MS" w:hAnsi="Times New Roman" w:cs="Times New Roman"/>
          <w:color w:val="000000" w:themeColor="text1"/>
          <w:sz w:val="28"/>
          <w:szCs w:val="28"/>
          <w:shd w:val="clear" w:color="auto" w:fill="FFFFFF"/>
        </w:rPr>
        <w:t> </w:t>
      </w:r>
      <w:r w:rsidR="00836E3E" w:rsidRPr="003F18F0">
        <w:rPr>
          <w:rFonts w:ascii="Times New Roman" w:eastAsia="Arial Unicode MS" w:hAnsi="Times New Roman" w:cs="Times New Roman"/>
          <w:color w:val="000000" w:themeColor="text1"/>
          <w:sz w:val="28"/>
          <w:szCs w:val="28"/>
          <w:shd w:val="clear" w:color="auto" w:fill="FFFFFF"/>
        </w:rPr>
        <w:t>–</w:t>
      </w:r>
      <w:r w:rsidRPr="003F18F0">
        <w:rPr>
          <w:rFonts w:ascii="Times New Roman" w:eastAsia="Arial Unicode MS" w:hAnsi="Times New Roman" w:cs="Times New Roman"/>
          <w:color w:val="000000" w:themeColor="text1"/>
          <w:sz w:val="28"/>
          <w:szCs w:val="28"/>
          <w:shd w:val="clear" w:color="auto" w:fill="FFFFFF"/>
        </w:rPr>
        <w:t> </w:t>
      </w:r>
      <w:r w:rsidR="0083403E" w:rsidRPr="003F18F0">
        <w:rPr>
          <w:rFonts w:ascii="Times New Roman" w:eastAsia="Arial Unicode MS" w:hAnsi="Times New Roman" w:cs="Times New Roman"/>
          <w:color w:val="000000" w:themeColor="text1"/>
          <w:sz w:val="28"/>
          <w:szCs w:val="28"/>
          <w:shd w:val="clear" w:color="auto" w:fill="FFFFFF"/>
        </w:rPr>
        <w:t>solidaritātes emisijas kvotas</w:t>
      </w:r>
      <w:r w:rsidR="0083403E" w:rsidRPr="003F18F0">
        <w:rPr>
          <w:rStyle w:val="FootnoteReference"/>
          <w:rFonts w:ascii="Times New Roman" w:eastAsia="Arial Unicode MS" w:hAnsi="Times New Roman" w:cs="Times New Roman"/>
          <w:color w:val="000000" w:themeColor="text1"/>
          <w:sz w:val="28"/>
          <w:szCs w:val="28"/>
          <w:shd w:val="clear" w:color="auto" w:fill="FFFFFF"/>
        </w:rPr>
        <w:footnoteReference w:id="26"/>
      </w:r>
      <w:r w:rsidR="0083403E" w:rsidRPr="003F18F0">
        <w:rPr>
          <w:rFonts w:ascii="Times New Roman" w:eastAsia="Arial Unicode MS" w:hAnsi="Times New Roman" w:cs="Times New Roman"/>
          <w:color w:val="000000" w:themeColor="text1"/>
          <w:sz w:val="28"/>
          <w:szCs w:val="28"/>
          <w:shd w:val="clear" w:color="auto" w:fill="FFFFFF"/>
        </w:rPr>
        <w:t>).</w:t>
      </w:r>
      <w:r w:rsidR="00A1266E" w:rsidRPr="003F18F0">
        <w:rPr>
          <w:rFonts w:ascii="Times New Roman" w:eastAsia="Arial Unicode MS" w:hAnsi="Times New Roman" w:cs="Times New Roman"/>
          <w:color w:val="000000" w:themeColor="text1"/>
          <w:sz w:val="28"/>
          <w:szCs w:val="28"/>
          <w:shd w:val="clear" w:color="auto" w:fill="FFFFFF"/>
        </w:rPr>
        <w:t xml:space="preserve"> </w:t>
      </w:r>
      <w:r w:rsidR="00A1266E" w:rsidRPr="003F18F0">
        <w:rPr>
          <w:rFonts w:ascii="Times New Roman" w:hAnsi="Times New Roman" w:cs="Times New Roman"/>
          <w:color w:val="000000" w:themeColor="text1"/>
          <w:sz w:val="28"/>
          <w:szCs w:val="28"/>
          <w:shd w:val="clear" w:color="auto" w:fill="FFFFFF"/>
        </w:rPr>
        <w:t xml:space="preserve">Saskaņā ar </w:t>
      </w:r>
      <w:r w:rsidR="00A1266E" w:rsidRPr="003F18F0">
        <w:rPr>
          <w:rFonts w:ascii="Times New Roman" w:eastAsia="Arial Unicode MS" w:hAnsi="Times New Roman" w:cs="Times New Roman"/>
          <w:color w:val="000000" w:themeColor="text1"/>
          <w:sz w:val="28"/>
          <w:szCs w:val="28"/>
          <w:shd w:val="clear" w:color="auto" w:fill="FFFFFF"/>
        </w:rPr>
        <w:t>likuma “Par piesārņojumu” 32</w:t>
      </w:r>
      <w:r w:rsidR="00A1266E" w:rsidRPr="003F18F0">
        <w:rPr>
          <w:rFonts w:ascii="Times New Roman" w:eastAsia="Arial Unicode MS" w:hAnsi="Times New Roman" w:cs="Times New Roman"/>
          <w:color w:val="000000" w:themeColor="text1"/>
          <w:sz w:val="28"/>
          <w:szCs w:val="28"/>
          <w:shd w:val="clear" w:color="auto" w:fill="FFFFFF"/>
          <w:vertAlign w:val="superscript"/>
        </w:rPr>
        <w:t>2</w:t>
      </w:r>
      <w:r w:rsidR="00A1266E" w:rsidRPr="003F18F0">
        <w:rPr>
          <w:rFonts w:ascii="Times New Roman" w:eastAsia="Arial Unicode MS" w:hAnsi="Times New Roman" w:cs="Times New Roman"/>
          <w:color w:val="000000" w:themeColor="text1"/>
          <w:sz w:val="28"/>
          <w:szCs w:val="28"/>
          <w:shd w:val="clear" w:color="auto" w:fill="FFFFFF"/>
        </w:rPr>
        <w:t>.</w:t>
      </w:r>
      <w:r w:rsidR="00836E3E" w:rsidRPr="003F18F0">
        <w:rPr>
          <w:rFonts w:ascii="Times New Roman" w:eastAsia="Arial Unicode MS" w:hAnsi="Times New Roman" w:cs="Times New Roman"/>
          <w:color w:val="000000" w:themeColor="text1"/>
          <w:sz w:val="28"/>
          <w:szCs w:val="28"/>
          <w:shd w:val="clear" w:color="auto" w:fill="FFFFFF"/>
        </w:rPr>
        <w:t> </w:t>
      </w:r>
      <w:r w:rsidR="00A1266E" w:rsidRPr="003F18F0">
        <w:rPr>
          <w:rFonts w:ascii="Times New Roman" w:eastAsia="Arial Unicode MS" w:hAnsi="Times New Roman" w:cs="Times New Roman"/>
          <w:color w:val="000000" w:themeColor="text1"/>
          <w:sz w:val="28"/>
          <w:szCs w:val="28"/>
          <w:shd w:val="clear" w:color="auto" w:fill="FFFFFF"/>
        </w:rPr>
        <w:t>panta 3</w:t>
      </w:r>
      <w:r w:rsidR="00A1266E" w:rsidRPr="003F18F0">
        <w:rPr>
          <w:rFonts w:ascii="Times New Roman" w:eastAsia="Arial Unicode MS" w:hAnsi="Times New Roman" w:cs="Times New Roman"/>
          <w:color w:val="000000" w:themeColor="text1"/>
          <w:sz w:val="28"/>
          <w:szCs w:val="28"/>
          <w:shd w:val="clear" w:color="auto" w:fill="FFFFFF"/>
          <w:vertAlign w:val="superscript"/>
        </w:rPr>
        <w:t>2</w:t>
      </w:r>
      <w:r w:rsidR="00A1266E" w:rsidRPr="003F18F0">
        <w:rPr>
          <w:rFonts w:ascii="Times New Roman" w:eastAsia="Arial Unicode MS" w:hAnsi="Times New Roman" w:cs="Times New Roman"/>
          <w:color w:val="000000" w:themeColor="text1"/>
          <w:sz w:val="28"/>
          <w:szCs w:val="28"/>
          <w:shd w:val="clear" w:color="auto" w:fill="FFFFFF"/>
        </w:rPr>
        <w:t>. daļu</w:t>
      </w:r>
      <w:r w:rsidR="00A1266E" w:rsidRPr="003F18F0">
        <w:rPr>
          <w:rFonts w:ascii="Times New Roman" w:hAnsi="Times New Roman" w:cs="Times New Roman"/>
          <w:color w:val="000000" w:themeColor="text1"/>
          <w:sz w:val="28"/>
          <w:szCs w:val="28"/>
          <w:shd w:val="clear" w:color="auto" w:fill="FFFFFF"/>
        </w:rPr>
        <w:t xml:space="preserve"> </w:t>
      </w:r>
      <w:r w:rsidR="00970E4E" w:rsidRPr="003F18F0">
        <w:rPr>
          <w:rFonts w:ascii="Times New Roman" w:hAnsi="Times New Roman" w:cs="Times New Roman"/>
          <w:color w:val="000000" w:themeColor="text1"/>
          <w:sz w:val="28"/>
          <w:szCs w:val="28"/>
          <w:shd w:val="clear" w:color="auto" w:fill="FFFFFF"/>
        </w:rPr>
        <w:t xml:space="preserve">šobrīd </w:t>
      </w:r>
      <w:r w:rsidR="00A1266E" w:rsidRPr="003F18F0">
        <w:rPr>
          <w:rFonts w:ascii="Times New Roman" w:hAnsi="Times New Roman" w:cs="Times New Roman"/>
          <w:color w:val="000000" w:themeColor="text1"/>
          <w:sz w:val="28"/>
          <w:szCs w:val="28"/>
          <w:shd w:val="clear" w:color="auto" w:fill="FFFFFF"/>
        </w:rPr>
        <w:t xml:space="preserve">visi emisijas kvotu izsoļu ieņēmumi ir </w:t>
      </w:r>
      <w:r w:rsidR="00C90B96" w:rsidRPr="003F18F0">
        <w:rPr>
          <w:rFonts w:ascii="Times New Roman" w:hAnsi="Times New Roman" w:cs="Times New Roman"/>
          <w:color w:val="000000" w:themeColor="text1"/>
          <w:sz w:val="28"/>
          <w:szCs w:val="28"/>
          <w:shd w:val="clear" w:color="auto" w:fill="FFFFFF"/>
        </w:rPr>
        <w:t xml:space="preserve">valsts budžeta </w:t>
      </w:r>
      <w:r w:rsidR="00A1266E" w:rsidRPr="003F18F0">
        <w:rPr>
          <w:rFonts w:ascii="Times New Roman" w:hAnsi="Times New Roman" w:cs="Times New Roman"/>
          <w:color w:val="000000" w:themeColor="text1"/>
          <w:sz w:val="28"/>
          <w:szCs w:val="28"/>
          <w:shd w:val="clear" w:color="auto" w:fill="FFFFFF"/>
        </w:rPr>
        <w:t xml:space="preserve">programmas </w:t>
      </w:r>
      <w:r w:rsidR="00C90B96" w:rsidRPr="003F18F0">
        <w:rPr>
          <w:rFonts w:ascii="Times New Roman" w:hAnsi="Times New Roman" w:cs="Times New Roman"/>
          <w:color w:val="000000" w:themeColor="text1"/>
          <w:sz w:val="28"/>
          <w:szCs w:val="28"/>
          <w:shd w:val="clear" w:color="auto" w:fill="FFFFFF"/>
        </w:rPr>
        <w:t>“</w:t>
      </w:r>
      <w:r w:rsidR="00A1266E" w:rsidRPr="003F18F0">
        <w:rPr>
          <w:rFonts w:ascii="Times New Roman" w:hAnsi="Times New Roman" w:cs="Times New Roman"/>
          <w:color w:val="000000" w:themeColor="text1"/>
          <w:sz w:val="28"/>
          <w:szCs w:val="28"/>
          <w:shd w:val="clear" w:color="auto" w:fill="FFFFFF"/>
        </w:rPr>
        <w:t>Emisijas kvotu izsolīšanas instrument</w:t>
      </w:r>
      <w:r w:rsidR="00C90B96" w:rsidRPr="003F18F0">
        <w:rPr>
          <w:rFonts w:ascii="Times New Roman" w:hAnsi="Times New Roman" w:cs="Times New Roman"/>
          <w:color w:val="000000" w:themeColor="text1"/>
          <w:sz w:val="28"/>
          <w:szCs w:val="28"/>
          <w:shd w:val="clear" w:color="auto" w:fill="FFFFFF"/>
        </w:rPr>
        <w:t>s”</w:t>
      </w:r>
      <w:r w:rsidR="00A1266E" w:rsidRPr="003F18F0">
        <w:rPr>
          <w:rFonts w:ascii="Times New Roman" w:hAnsi="Times New Roman" w:cs="Times New Roman"/>
          <w:color w:val="000000" w:themeColor="text1"/>
          <w:sz w:val="28"/>
          <w:szCs w:val="28"/>
          <w:shd w:val="clear" w:color="auto" w:fill="FFFFFF"/>
        </w:rPr>
        <w:t xml:space="preserve"> finanšu avots.</w:t>
      </w:r>
    </w:p>
    <w:p w14:paraId="6B1C7845" w14:textId="396CC582" w:rsidR="002D7ABC" w:rsidRPr="003F18F0" w:rsidRDefault="002D7ABC"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Direktīvas 2003/87</w:t>
      </w:r>
      <w:r w:rsidR="006F6E2D">
        <w:rPr>
          <w:rFonts w:ascii="Times New Roman" w:hAnsi="Times New Roman" w:cs="Times New Roman"/>
          <w:color w:val="000000" w:themeColor="text1"/>
          <w:sz w:val="28"/>
          <w:szCs w:val="28"/>
        </w:rPr>
        <w:t>/EK</w:t>
      </w:r>
      <w:r w:rsidRPr="003F18F0">
        <w:rPr>
          <w:rFonts w:ascii="Times New Roman" w:hAnsi="Times New Roman" w:cs="Times New Roman"/>
          <w:color w:val="000000" w:themeColor="text1"/>
          <w:sz w:val="28"/>
          <w:szCs w:val="28"/>
        </w:rPr>
        <w:t xml:space="preserve"> </w:t>
      </w:r>
      <w:r w:rsidR="006B4F25"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10.</w:t>
      </w:r>
      <w:r w:rsidR="006B4F25"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d panta 4</w:t>
      </w:r>
      <w:r w:rsidR="00BC185B"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punkts paredz</w:t>
      </w:r>
      <w:r w:rsidR="00230C88">
        <w:rPr>
          <w:rFonts w:ascii="Times New Roman" w:hAnsi="Times New Roman" w:cs="Times New Roman"/>
          <w:color w:val="000000" w:themeColor="text1"/>
          <w:sz w:val="28"/>
          <w:szCs w:val="28"/>
        </w:rPr>
        <w:t>ēja</w:t>
      </w:r>
      <w:r w:rsidRPr="003F18F0">
        <w:rPr>
          <w:rFonts w:ascii="Times New Roman" w:hAnsi="Times New Roman" w:cs="Times New Roman"/>
          <w:color w:val="000000" w:themeColor="text1"/>
          <w:sz w:val="28"/>
          <w:szCs w:val="28"/>
        </w:rPr>
        <w:t xml:space="preserve"> iespēju palielināt </w:t>
      </w:r>
      <w:r w:rsidR="00745FF9" w:rsidRPr="003F18F0">
        <w:rPr>
          <w:rFonts w:ascii="Times New Roman" w:hAnsi="Times New Roman" w:cs="Times New Roman"/>
          <w:color w:val="000000" w:themeColor="text1"/>
          <w:sz w:val="28"/>
          <w:szCs w:val="28"/>
        </w:rPr>
        <w:t>Modernizācijas fond</w:t>
      </w:r>
      <w:r w:rsidR="00B5186F"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finansējumu ar</w:t>
      </w:r>
      <w:r w:rsidR="00836E3E" w:rsidRPr="003F18F0">
        <w:rPr>
          <w:rFonts w:ascii="Times New Roman" w:hAnsi="Times New Roman" w:cs="Times New Roman"/>
          <w:color w:val="000000" w:themeColor="text1"/>
          <w:sz w:val="28"/>
          <w:szCs w:val="28"/>
        </w:rPr>
        <w:t xml:space="preserve"> finansējumu, ko var gūt no</w:t>
      </w:r>
      <w:r w:rsidRPr="003F18F0">
        <w:rPr>
          <w:rFonts w:ascii="Times New Roman" w:hAnsi="Times New Roman" w:cs="Times New Roman"/>
          <w:color w:val="000000" w:themeColor="text1"/>
          <w:sz w:val="28"/>
          <w:szCs w:val="28"/>
        </w:rPr>
        <w:t xml:space="preserve"> </w:t>
      </w:r>
      <w:proofErr w:type="spellStart"/>
      <w:r w:rsidRPr="003F18F0">
        <w:rPr>
          <w:rFonts w:ascii="Times New Roman" w:hAnsi="Times New Roman" w:cs="Times New Roman"/>
          <w:color w:val="000000" w:themeColor="text1"/>
          <w:sz w:val="28"/>
          <w:szCs w:val="28"/>
        </w:rPr>
        <w:t>derogācijai</w:t>
      </w:r>
      <w:proofErr w:type="spellEnd"/>
      <w:r w:rsidRPr="003F18F0">
        <w:rPr>
          <w:rFonts w:ascii="Times New Roman" w:hAnsi="Times New Roman" w:cs="Times New Roman"/>
          <w:color w:val="000000" w:themeColor="text1"/>
          <w:sz w:val="28"/>
          <w:szCs w:val="28"/>
        </w:rPr>
        <w:t xml:space="preserve"> bezmaksas emisij</w:t>
      </w:r>
      <w:r w:rsidR="006B4F25" w:rsidRPr="003F18F0">
        <w:rPr>
          <w:rFonts w:ascii="Times New Roman" w:hAnsi="Times New Roman" w:cs="Times New Roman"/>
          <w:color w:val="000000" w:themeColor="text1"/>
          <w:sz w:val="28"/>
          <w:szCs w:val="28"/>
        </w:rPr>
        <w:t>as</w:t>
      </w:r>
      <w:r w:rsidRPr="003F18F0">
        <w:rPr>
          <w:rFonts w:ascii="Times New Roman" w:hAnsi="Times New Roman" w:cs="Times New Roman"/>
          <w:color w:val="000000" w:themeColor="text1"/>
          <w:sz w:val="28"/>
          <w:szCs w:val="28"/>
        </w:rPr>
        <w:t xml:space="preserve"> kvotu piešķīruma un</w:t>
      </w:r>
      <w:r w:rsidR="006B4F25" w:rsidRPr="003F18F0">
        <w:rPr>
          <w:rFonts w:ascii="Times New Roman" w:hAnsi="Times New Roman" w:cs="Times New Roman"/>
          <w:color w:val="000000" w:themeColor="text1"/>
          <w:sz w:val="28"/>
          <w:szCs w:val="28"/>
        </w:rPr>
        <w:t xml:space="preserve"> ES</w:t>
      </w:r>
      <w:r w:rsidRPr="003F18F0">
        <w:rPr>
          <w:rFonts w:ascii="Times New Roman" w:hAnsi="Times New Roman" w:cs="Times New Roman"/>
          <w:color w:val="000000" w:themeColor="text1"/>
          <w:sz w:val="28"/>
          <w:szCs w:val="28"/>
        </w:rPr>
        <w:t xml:space="preserve"> dalībvalstu labā izsolām</w:t>
      </w:r>
      <w:r w:rsidR="00836E3E" w:rsidRPr="003F18F0">
        <w:rPr>
          <w:rFonts w:ascii="Times New Roman" w:hAnsi="Times New Roman" w:cs="Times New Roman"/>
          <w:color w:val="000000" w:themeColor="text1"/>
          <w:sz w:val="28"/>
          <w:szCs w:val="28"/>
        </w:rPr>
        <w:t>o</w:t>
      </w:r>
      <w:r w:rsidRPr="003F18F0">
        <w:rPr>
          <w:rFonts w:ascii="Times New Roman" w:hAnsi="Times New Roman" w:cs="Times New Roman"/>
          <w:color w:val="000000" w:themeColor="text1"/>
          <w:sz w:val="28"/>
          <w:szCs w:val="28"/>
        </w:rPr>
        <w:t xml:space="preserve"> solidaritātes emisijas kvot</w:t>
      </w:r>
      <w:r w:rsidR="00836E3E" w:rsidRPr="003F18F0">
        <w:rPr>
          <w:rFonts w:ascii="Times New Roman" w:hAnsi="Times New Roman" w:cs="Times New Roman"/>
          <w:color w:val="000000" w:themeColor="text1"/>
          <w:sz w:val="28"/>
          <w:szCs w:val="28"/>
        </w:rPr>
        <w:t>u izsolīšanas</w:t>
      </w:r>
      <w:r w:rsidRPr="003F18F0">
        <w:rPr>
          <w:rFonts w:ascii="Times New Roman" w:hAnsi="Times New Roman" w:cs="Times New Roman"/>
          <w:color w:val="000000" w:themeColor="text1"/>
          <w:sz w:val="28"/>
          <w:szCs w:val="28"/>
        </w:rPr>
        <w:t>:</w:t>
      </w:r>
    </w:p>
    <w:p w14:paraId="3E3EEAEC" w14:textId="77B02F9D" w:rsidR="002D7ABC" w:rsidRPr="003F18F0" w:rsidRDefault="002D7ABC" w:rsidP="00987C6B">
      <w:pPr>
        <w:pStyle w:val="ListParagraph"/>
        <w:numPr>
          <w:ilvl w:val="0"/>
          <w:numId w:val="27"/>
        </w:numPr>
        <w:spacing w:after="0" w:line="240" w:lineRule="auto"/>
        <w:ind w:left="709"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d</w:t>
      </w:r>
      <w:r w:rsidR="00DF3696" w:rsidRPr="003F18F0">
        <w:rPr>
          <w:rFonts w:ascii="Times New Roman" w:hAnsi="Times New Roman" w:cs="Times New Roman"/>
          <w:color w:val="000000" w:themeColor="text1"/>
          <w:sz w:val="28"/>
          <w:szCs w:val="28"/>
        </w:rPr>
        <w:t>alībvalstīm</w:t>
      </w:r>
      <w:r w:rsidRPr="003F18F0">
        <w:rPr>
          <w:rFonts w:ascii="Times New Roman" w:hAnsi="Times New Roman" w:cs="Times New Roman"/>
          <w:color w:val="000000" w:themeColor="text1"/>
          <w:sz w:val="28"/>
          <w:szCs w:val="28"/>
        </w:rPr>
        <w:t xml:space="preserve"> tā vietā, lai veiktu </w:t>
      </w:r>
      <w:proofErr w:type="spellStart"/>
      <w:r w:rsidR="00C90B96" w:rsidRPr="003F18F0">
        <w:rPr>
          <w:rFonts w:ascii="Times New Roman" w:hAnsi="Times New Roman" w:cs="Times New Roman"/>
          <w:color w:val="000000" w:themeColor="text1"/>
          <w:sz w:val="28"/>
          <w:szCs w:val="28"/>
        </w:rPr>
        <w:t>d</w:t>
      </w:r>
      <w:r w:rsidRPr="003F18F0">
        <w:rPr>
          <w:rFonts w:ascii="Times New Roman" w:hAnsi="Times New Roman" w:cs="Times New Roman"/>
          <w:color w:val="000000" w:themeColor="text1"/>
          <w:sz w:val="28"/>
          <w:szCs w:val="28"/>
        </w:rPr>
        <w:t>erogācijas</w:t>
      </w:r>
      <w:proofErr w:type="spellEnd"/>
      <w:r w:rsidRPr="003F18F0">
        <w:rPr>
          <w:rFonts w:ascii="Times New Roman" w:hAnsi="Times New Roman" w:cs="Times New Roman"/>
          <w:color w:val="000000" w:themeColor="text1"/>
          <w:sz w:val="28"/>
          <w:szCs w:val="28"/>
        </w:rPr>
        <w:t xml:space="preserve"> standarta</w:t>
      </w:r>
      <w:r w:rsidR="007B0C64"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 xml:space="preserve">piešķīrumu 4,12 miljoniem emisijas kvotu  apmērā, </w:t>
      </w:r>
      <w:r w:rsidR="00230C88">
        <w:rPr>
          <w:rFonts w:ascii="Times New Roman" w:hAnsi="Times New Roman" w:cs="Times New Roman"/>
          <w:color w:val="000000" w:themeColor="text1"/>
          <w:sz w:val="28"/>
          <w:szCs w:val="28"/>
        </w:rPr>
        <w:t>bija</w:t>
      </w:r>
      <w:r w:rsidR="00230C88" w:rsidRPr="003F18F0">
        <w:rPr>
          <w:rFonts w:ascii="Times New Roman" w:hAnsi="Times New Roman" w:cs="Times New Roman"/>
          <w:color w:val="000000" w:themeColor="text1"/>
          <w:sz w:val="28"/>
          <w:szCs w:val="28"/>
        </w:rPr>
        <w:t xml:space="preserve"> </w:t>
      </w:r>
      <w:r w:rsidR="0083403E" w:rsidRPr="003F18F0">
        <w:rPr>
          <w:rFonts w:ascii="Times New Roman" w:hAnsi="Times New Roman" w:cs="Times New Roman"/>
          <w:color w:val="000000" w:themeColor="text1"/>
          <w:sz w:val="28"/>
          <w:szCs w:val="28"/>
        </w:rPr>
        <w:t xml:space="preserve">atļauts </w:t>
      </w:r>
      <w:r w:rsidRPr="003F18F0">
        <w:rPr>
          <w:rFonts w:ascii="Times New Roman" w:hAnsi="Times New Roman" w:cs="Times New Roman"/>
          <w:color w:val="000000" w:themeColor="text1"/>
          <w:sz w:val="28"/>
          <w:szCs w:val="28"/>
        </w:rPr>
        <w:t xml:space="preserve">par šo daudzumu palielināt </w:t>
      </w:r>
      <w:r w:rsidR="00745FF9" w:rsidRPr="003F18F0">
        <w:rPr>
          <w:rFonts w:ascii="Times New Roman" w:hAnsi="Times New Roman" w:cs="Times New Roman"/>
          <w:color w:val="000000" w:themeColor="text1"/>
          <w:sz w:val="28"/>
          <w:szCs w:val="28"/>
        </w:rPr>
        <w:t>Modernizācijas fond</w:t>
      </w:r>
      <w:r w:rsidR="00B5186F"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finansējumu. </w:t>
      </w:r>
      <w:r w:rsidR="00745FF9" w:rsidRPr="003F18F0">
        <w:rPr>
          <w:rFonts w:ascii="Times New Roman" w:hAnsi="Times New Roman" w:cs="Times New Roman"/>
          <w:color w:val="000000" w:themeColor="text1"/>
          <w:sz w:val="28"/>
          <w:szCs w:val="28"/>
        </w:rPr>
        <w:t>Modernizācijas fond</w:t>
      </w:r>
      <w:r w:rsidR="00B5186F"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finansējuma apjoma pieaugums attiecīgi negatīvi ietekmē </w:t>
      </w:r>
      <w:r w:rsidR="00C90B96" w:rsidRPr="003F18F0">
        <w:rPr>
          <w:rFonts w:ascii="Times New Roman" w:hAnsi="Times New Roman" w:cs="Times New Roman"/>
          <w:color w:val="000000" w:themeColor="text1"/>
          <w:sz w:val="28"/>
          <w:szCs w:val="28"/>
          <w:shd w:val="clear" w:color="auto" w:fill="FFFFFF"/>
        </w:rPr>
        <w:t xml:space="preserve">valsts budžeta programmas “Emisijas kvotu izsolīšanas instruments” </w:t>
      </w:r>
      <w:r w:rsidRPr="003F18F0">
        <w:rPr>
          <w:rFonts w:ascii="Times New Roman" w:hAnsi="Times New Roman" w:cs="Times New Roman"/>
          <w:color w:val="000000" w:themeColor="text1"/>
          <w:sz w:val="28"/>
          <w:szCs w:val="28"/>
        </w:rPr>
        <w:t>finansējuma apjomu;</w:t>
      </w:r>
    </w:p>
    <w:p w14:paraId="0EC74351" w14:textId="4B6C35C8" w:rsidR="002D7ABC" w:rsidRPr="003F18F0" w:rsidRDefault="002D7ABC" w:rsidP="00987C6B">
      <w:pPr>
        <w:pStyle w:val="ListParagraph"/>
        <w:numPr>
          <w:ilvl w:val="0"/>
          <w:numId w:val="27"/>
        </w:numPr>
        <w:spacing w:after="0" w:line="240" w:lineRule="auto"/>
        <w:ind w:left="709"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dalībvalstis var</w:t>
      </w:r>
      <w:r w:rsidR="00230C88">
        <w:rPr>
          <w:rFonts w:ascii="Times New Roman" w:hAnsi="Times New Roman" w:cs="Times New Roman"/>
          <w:color w:val="000000" w:themeColor="text1"/>
          <w:sz w:val="28"/>
          <w:szCs w:val="28"/>
        </w:rPr>
        <w:t>ēja</w:t>
      </w:r>
      <w:r w:rsidRPr="003F18F0">
        <w:rPr>
          <w:rFonts w:ascii="Times New Roman" w:hAnsi="Times New Roman" w:cs="Times New Roman"/>
          <w:color w:val="000000" w:themeColor="text1"/>
          <w:sz w:val="28"/>
          <w:szCs w:val="28"/>
        </w:rPr>
        <w:t xml:space="preserve"> palielināt </w:t>
      </w:r>
      <w:r w:rsidR="00745FF9" w:rsidRPr="003F18F0">
        <w:rPr>
          <w:rFonts w:ascii="Times New Roman" w:hAnsi="Times New Roman" w:cs="Times New Roman"/>
          <w:color w:val="000000" w:themeColor="text1"/>
          <w:sz w:val="28"/>
          <w:szCs w:val="28"/>
        </w:rPr>
        <w:t>Modernizācijas fon</w:t>
      </w:r>
      <w:r w:rsidR="00B5186F" w:rsidRPr="003F18F0">
        <w:rPr>
          <w:rFonts w:ascii="Times New Roman" w:hAnsi="Times New Roman" w:cs="Times New Roman"/>
          <w:color w:val="000000" w:themeColor="text1"/>
          <w:sz w:val="28"/>
          <w:szCs w:val="28"/>
        </w:rPr>
        <w:t>da</w:t>
      </w:r>
      <w:r w:rsidRPr="003F18F0">
        <w:rPr>
          <w:rFonts w:ascii="Times New Roman" w:hAnsi="Times New Roman" w:cs="Times New Roman"/>
          <w:color w:val="000000" w:themeColor="text1"/>
          <w:sz w:val="28"/>
          <w:szCs w:val="28"/>
        </w:rPr>
        <w:t xml:space="preserve"> finansējumu par </w:t>
      </w:r>
      <w:r w:rsidR="00F60E31" w:rsidRPr="003F18F0">
        <w:rPr>
          <w:rFonts w:ascii="Times New Roman" w:hAnsi="Times New Roman" w:cs="Times New Roman"/>
          <w:color w:val="000000" w:themeColor="text1"/>
          <w:sz w:val="28"/>
          <w:szCs w:val="28"/>
        </w:rPr>
        <w:t xml:space="preserve">finansējuma apjomu, kas gūts no </w:t>
      </w:r>
      <w:r w:rsidRPr="003F18F0">
        <w:rPr>
          <w:rFonts w:ascii="Times New Roman" w:hAnsi="Times New Roman" w:cs="Times New Roman"/>
          <w:color w:val="000000" w:themeColor="text1"/>
          <w:sz w:val="28"/>
          <w:szCs w:val="28"/>
        </w:rPr>
        <w:t>solidaritātes emisij</w:t>
      </w:r>
      <w:r w:rsidR="006B4F25" w:rsidRPr="003F18F0">
        <w:rPr>
          <w:rFonts w:ascii="Times New Roman" w:hAnsi="Times New Roman" w:cs="Times New Roman"/>
          <w:color w:val="000000" w:themeColor="text1"/>
          <w:sz w:val="28"/>
          <w:szCs w:val="28"/>
        </w:rPr>
        <w:t>as</w:t>
      </w:r>
      <w:r w:rsidRPr="003F18F0">
        <w:rPr>
          <w:rFonts w:ascii="Times New Roman" w:hAnsi="Times New Roman" w:cs="Times New Roman"/>
          <w:color w:val="000000" w:themeColor="text1"/>
          <w:sz w:val="28"/>
          <w:szCs w:val="28"/>
        </w:rPr>
        <w:t xml:space="preserve"> kvotu apjom</w:t>
      </w:r>
      <w:r w:rsidR="00F60E31"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vai tā daļ</w:t>
      </w:r>
      <w:r w:rsidR="00F60E31" w:rsidRPr="003F18F0">
        <w:rPr>
          <w:rFonts w:ascii="Times New Roman" w:hAnsi="Times New Roman" w:cs="Times New Roman"/>
          <w:color w:val="000000" w:themeColor="text1"/>
          <w:sz w:val="28"/>
          <w:szCs w:val="28"/>
        </w:rPr>
        <w:t>as izsolīšanas</w:t>
      </w:r>
      <w:r w:rsidRPr="003F18F0">
        <w:rPr>
          <w:rFonts w:ascii="Times New Roman" w:hAnsi="Times New Roman" w:cs="Times New Roman"/>
          <w:color w:val="000000" w:themeColor="text1"/>
          <w:sz w:val="28"/>
          <w:szCs w:val="28"/>
        </w:rPr>
        <w:t>, atbilstoši samazinot</w:t>
      </w:r>
      <w:r w:rsidR="00F60E31" w:rsidRPr="003F18F0">
        <w:rPr>
          <w:rFonts w:ascii="Times New Roman" w:hAnsi="Times New Roman" w:cs="Times New Roman"/>
          <w:color w:val="000000" w:themeColor="text1"/>
          <w:sz w:val="28"/>
          <w:szCs w:val="28"/>
        </w:rPr>
        <w:t xml:space="preserve"> finansējuma apjomu, kas gūts no</w:t>
      </w:r>
      <w:r w:rsidRPr="003F18F0">
        <w:rPr>
          <w:rFonts w:ascii="Times New Roman" w:hAnsi="Times New Roman" w:cs="Times New Roman"/>
          <w:color w:val="000000" w:themeColor="text1"/>
          <w:sz w:val="28"/>
          <w:szCs w:val="28"/>
        </w:rPr>
        <w:t xml:space="preserve"> Latv</w:t>
      </w:r>
      <w:r w:rsidR="00C87049" w:rsidRPr="003F18F0">
        <w:rPr>
          <w:rFonts w:ascii="Times New Roman" w:hAnsi="Times New Roman" w:cs="Times New Roman"/>
          <w:color w:val="000000" w:themeColor="text1"/>
          <w:sz w:val="28"/>
          <w:szCs w:val="28"/>
        </w:rPr>
        <w:t>i</w:t>
      </w:r>
      <w:r w:rsidRPr="003F18F0">
        <w:rPr>
          <w:rFonts w:ascii="Times New Roman" w:hAnsi="Times New Roman" w:cs="Times New Roman"/>
          <w:color w:val="000000" w:themeColor="text1"/>
          <w:sz w:val="28"/>
          <w:szCs w:val="28"/>
        </w:rPr>
        <w:t>jas labā regulārajās izsolēs izsolāmo emisijas kvotu apjom</w:t>
      </w:r>
      <w:r w:rsidR="00F60E31"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un līdz ar to EKII finansējumu (Latvijas labā solidaritātes</w:t>
      </w:r>
      <w:r w:rsidR="006B4F25" w:rsidRPr="003F18F0">
        <w:rPr>
          <w:rFonts w:ascii="Times New Roman" w:hAnsi="Times New Roman" w:cs="Times New Roman"/>
          <w:color w:val="000000" w:themeColor="text1"/>
          <w:sz w:val="28"/>
          <w:szCs w:val="28"/>
        </w:rPr>
        <w:t xml:space="preserve"> emisijas</w:t>
      </w:r>
      <w:r w:rsidRPr="003F18F0">
        <w:rPr>
          <w:rFonts w:ascii="Times New Roman" w:hAnsi="Times New Roman" w:cs="Times New Roman"/>
          <w:color w:val="000000" w:themeColor="text1"/>
          <w:sz w:val="28"/>
          <w:szCs w:val="28"/>
        </w:rPr>
        <w:t xml:space="preserve"> kvotas kopā pēc provizoriskiem aprēķiniem sasniedz 5,</w:t>
      </w:r>
      <w:r w:rsidR="00CE594D" w:rsidRPr="003F18F0">
        <w:rPr>
          <w:rFonts w:ascii="Times New Roman" w:hAnsi="Times New Roman" w:cs="Times New Roman"/>
          <w:color w:val="000000" w:themeColor="text1"/>
          <w:sz w:val="28"/>
          <w:szCs w:val="28"/>
        </w:rPr>
        <w:t xml:space="preserve">78 </w:t>
      </w:r>
      <w:r w:rsidRPr="003F18F0">
        <w:rPr>
          <w:rFonts w:ascii="Times New Roman" w:hAnsi="Times New Roman" w:cs="Times New Roman"/>
          <w:color w:val="000000" w:themeColor="text1"/>
          <w:sz w:val="28"/>
          <w:szCs w:val="28"/>
        </w:rPr>
        <w:t>milj.</w:t>
      </w:r>
      <w:r w:rsidR="00386AAC">
        <w:rPr>
          <w:rStyle w:val="FootnoteReference"/>
          <w:rFonts w:ascii="Times New Roman" w:hAnsi="Times New Roman" w:cs="Times New Roman"/>
          <w:color w:val="000000" w:themeColor="text1"/>
          <w:sz w:val="28"/>
          <w:szCs w:val="28"/>
        </w:rPr>
        <w:footnoteReference w:id="27"/>
      </w:r>
      <w:r w:rsidRPr="003F18F0">
        <w:rPr>
          <w:rFonts w:ascii="Times New Roman" w:hAnsi="Times New Roman" w:cs="Times New Roman"/>
          <w:color w:val="000000" w:themeColor="text1"/>
          <w:sz w:val="28"/>
          <w:szCs w:val="28"/>
        </w:rPr>
        <w:t xml:space="preserve"> emisijas kvotas);</w:t>
      </w:r>
    </w:p>
    <w:p w14:paraId="0D6E3D44" w14:textId="7D5EF4CA" w:rsidR="002D7ABC" w:rsidRPr="003F18F0" w:rsidRDefault="002D7ABC" w:rsidP="00987C6B">
      <w:pPr>
        <w:pStyle w:val="ListParagraph"/>
        <w:numPr>
          <w:ilvl w:val="0"/>
          <w:numId w:val="27"/>
        </w:numPr>
        <w:spacing w:after="0" w:line="240" w:lineRule="auto"/>
        <w:ind w:left="709"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dalībvalstis var</w:t>
      </w:r>
      <w:r w:rsidR="00230C88">
        <w:rPr>
          <w:rFonts w:ascii="Times New Roman" w:hAnsi="Times New Roman" w:cs="Times New Roman"/>
          <w:color w:val="000000" w:themeColor="text1"/>
          <w:sz w:val="28"/>
          <w:szCs w:val="28"/>
        </w:rPr>
        <w:t>ēja</w:t>
      </w:r>
      <w:r w:rsidRPr="003F18F0">
        <w:rPr>
          <w:rFonts w:ascii="Times New Roman" w:hAnsi="Times New Roman" w:cs="Times New Roman"/>
          <w:color w:val="000000" w:themeColor="text1"/>
          <w:sz w:val="28"/>
          <w:szCs w:val="28"/>
        </w:rPr>
        <w:t xml:space="preserve"> </w:t>
      </w:r>
      <w:r w:rsidR="00031021" w:rsidRPr="003F18F0">
        <w:rPr>
          <w:rFonts w:ascii="Times New Roman" w:hAnsi="Times New Roman" w:cs="Times New Roman"/>
          <w:color w:val="000000" w:themeColor="text1"/>
          <w:sz w:val="28"/>
          <w:szCs w:val="28"/>
        </w:rPr>
        <w:t>palielināt Modernizācijas fonda finans</w:t>
      </w:r>
      <w:r w:rsidR="00CE594D" w:rsidRPr="003F18F0">
        <w:rPr>
          <w:rFonts w:ascii="Times New Roman" w:hAnsi="Times New Roman" w:cs="Times New Roman"/>
          <w:color w:val="000000" w:themeColor="text1"/>
          <w:sz w:val="28"/>
          <w:szCs w:val="28"/>
        </w:rPr>
        <w:t>ējumu</w:t>
      </w:r>
      <w:r w:rsidR="00F60E31" w:rsidRPr="003F18F0">
        <w:rPr>
          <w:rFonts w:ascii="Times New Roman" w:hAnsi="Times New Roman" w:cs="Times New Roman"/>
          <w:color w:val="000000" w:themeColor="text1"/>
          <w:sz w:val="28"/>
          <w:szCs w:val="28"/>
        </w:rPr>
        <w:t xml:space="preserve"> par finansējuma apjomu, kas gūts </w:t>
      </w:r>
      <w:r w:rsidR="00CE594D" w:rsidRPr="003F18F0">
        <w:rPr>
          <w:rFonts w:ascii="Times New Roman" w:hAnsi="Times New Roman" w:cs="Times New Roman"/>
          <w:color w:val="000000" w:themeColor="text1"/>
          <w:sz w:val="28"/>
          <w:szCs w:val="28"/>
        </w:rPr>
        <w:t>vienlaicīgi</w:t>
      </w:r>
      <w:r w:rsidR="00031021" w:rsidRPr="003F18F0">
        <w:rPr>
          <w:rFonts w:ascii="Times New Roman" w:hAnsi="Times New Roman" w:cs="Times New Roman"/>
          <w:color w:val="000000" w:themeColor="text1"/>
          <w:sz w:val="28"/>
          <w:szCs w:val="28"/>
        </w:rPr>
        <w:t xml:space="preserve"> gan </w:t>
      </w:r>
      <w:r w:rsidRPr="003F18F0">
        <w:rPr>
          <w:rFonts w:ascii="Times New Roman" w:hAnsi="Times New Roman" w:cs="Times New Roman"/>
          <w:color w:val="000000" w:themeColor="text1"/>
          <w:sz w:val="28"/>
          <w:szCs w:val="28"/>
        </w:rPr>
        <w:t>ar solidaritātes emisijas kvot</w:t>
      </w:r>
      <w:r w:rsidR="00F60E31" w:rsidRPr="003F18F0">
        <w:rPr>
          <w:rFonts w:ascii="Times New Roman" w:hAnsi="Times New Roman" w:cs="Times New Roman"/>
          <w:color w:val="000000" w:themeColor="text1"/>
          <w:sz w:val="28"/>
          <w:szCs w:val="28"/>
        </w:rPr>
        <w:t>u</w:t>
      </w:r>
      <w:r w:rsidR="00CE594D" w:rsidRPr="003F18F0">
        <w:rPr>
          <w:rFonts w:ascii="Times New Roman" w:hAnsi="Times New Roman" w:cs="Times New Roman"/>
          <w:color w:val="000000" w:themeColor="text1"/>
          <w:sz w:val="28"/>
          <w:szCs w:val="28"/>
        </w:rPr>
        <w:t xml:space="preserve">, gan iepriekš </w:t>
      </w:r>
      <w:proofErr w:type="spellStart"/>
      <w:r w:rsidR="00CE594D" w:rsidRPr="003F18F0">
        <w:rPr>
          <w:rFonts w:ascii="Times New Roman" w:hAnsi="Times New Roman" w:cs="Times New Roman"/>
          <w:color w:val="000000" w:themeColor="text1"/>
          <w:sz w:val="28"/>
          <w:szCs w:val="28"/>
        </w:rPr>
        <w:t>derogācijai</w:t>
      </w:r>
      <w:proofErr w:type="spellEnd"/>
      <w:r w:rsidR="00CE594D" w:rsidRPr="003F18F0">
        <w:rPr>
          <w:rFonts w:ascii="Times New Roman" w:hAnsi="Times New Roman" w:cs="Times New Roman"/>
          <w:color w:val="000000" w:themeColor="text1"/>
          <w:sz w:val="28"/>
          <w:szCs w:val="28"/>
        </w:rPr>
        <w:t xml:space="preserve"> potenciāli pieejamiem emisij</w:t>
      </w:r>
      <w:r w:rsidR="006B4F25" w:rsidRPr="003F18F0">
        <w:rPr>
          <w:rFonts w:ascii="Times New Roman" w:hAnsi="Times New Roman" w:cs="Times New Roman"/>
          <w:color w:val="000000" w:themeColor="text1"/>
          <w:sz w:val="28"/>
          <w:szCs w:val="28"/>
        </w:rPr>
        <w:t>as</w:t>
      </w:r>
      <w:r w:rsidR="00CE594D" w:rsidRPr="003F18F0">
        <w:rPr>
          <w:rFonts w:ascii="Times New Roman" w:hAnsi="Times New Roman" w:cs="Times New Roman"/>
          <w:color w:val="000000" w:themeColor="text1"/>
          <w:sz w:val="28"/>
          <w:szCs w:val="28"/>
        </w:rPr>
        <w:t xml:space="preserve"> kvotu apjom</w:t>
      </w:r>
      <w:r w:rsidR="00F60E31" w:rsidRPr="003F18F0">
        <w:rPr>
          <w:rFonts w:ascii="Times New Roman" w:hAnsi="Times New Roman" w:cs="Times New Roman"/>
          <w:color w:val="000000" w:themeColor="text1"/>
          <w:sz w:val="28"/>
          <w:szCs w:val="28"/>
        </w:rPr>
        <w:t>u izsolīšanas</w:t>
      </w:r>
      <w:r w:rsidR="00B40C09"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 xml:space="preserve">tādejādi </w:t>
      </w:r>
      <w:r w:rsidR="00B40C09" w:rsidRPr="003F18F0">
        <w:rPr>
          <w:rFonts w:ascii="Times New Roman" w:hAnsi="Times New Roman" w:cs="Times New Roman"/>
          <w:color w:val="000000" w:themeColor="text1"/>
          <w:sz w:val="28"/>
          <w:szCs w:val="28"/>
        </w:rPr>
        <w:t xml:space="preserve">maksimāli </w:t>
      </w:r>
      <w:r w:rsidRPr="003F18F0">
        <w:rPr>
          <w:rFonts w:ascii="Times New Roman" w:hAnsi="Times New Roman" w:cs="Times New Roman"/>
          <w:color w:val="000000" w:themeColor="text1"/>
          <w:sz w:val="28"/>
          <w:szCs w:val="28"/>
        </w:rPr>
        <w:t>samazinot EKII potenciālos ieņēmumus.</w:t>
      </w:r>
    </w:p>
    <w:p w14:paraId="5439A8EC" w14:textId="63146CA1" w:rsidR="00877308" w:rsidRPr="003F18F0" w:rsidRDefault="00E57DDD" w:rsidP="002366B5">
      <w:pPr>
        <w:spacing w:before="120" w:after="0" w:line="240" w:lineRule="auto"/>
        <w:ind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Visas iespējamās finansējuma kombinācijas </w:t>
      </w:r>
      <w:r w:rsidR="00A1266E" w:rsidRPr="003F18F0">
        <w:rPr>
          <w:rFonts w:ascii="Times New Roman" w:hAnsi="Times New Roman" w:cs="Times New Roman"/>
          <w:color w:val="000000" w:themeColor="text1"/>
          <w:sz w:val="28"/>
          <w:szCs w:val="28"/>
        </w:rPr>
        <w:t>saskaņā</w:t>
      </w:r>
      <w:r w:rsidR="00395AE3" w:rsidRPr="003F18F0">
        <w:rPr>
          <w:rFonts w:ascii="Times New Roman" w:hAnsi="Times New Roman" w:cs="Times New Roman"/>
          <w:color w:val="000000" w:themeColor="text1"/>
          <w:sz w:val="28"/>
          <w:szCs w:val="28"/>
        </w:rPr>
        <w:t xml:space="preserve"> ar Direktīvas 2003/87</w:t>
      </w:r>
      <w:r w:rsidR="0046134D">
        <w:rPr>
          <w:rFonts w:ascii="Times New Roman" w:hAnsi="Times New Roman" w:cs="Times New Roman"/>
          <w:color w:val="000000" w:themeColor="text1"/>
          <w:sz w:val="28"/>
          <w:szCs w:val="28"/>
        </w:rPr>
        <w:t>/EK</w:t>
      </w:r>
      <w:r w:rsidR="00395AE3" w:rsidRPr="003F18F0">
        <w:rPr>
          <w:rFonts w:ascii="Times New Roman" w:hAnsi="Times New Roman" w:cs="Times New Roman"/>
          <w:color w:val="000000" w:themeColor="text1"/>
          <w:sz w:val="28"/>
          <w:szCs w:val="28"/>
        </w:rPr>
        <w:t xml:space="preserve"> 10.d panta 4.</w:t>
      </w:r>
      <w:r w:rsidR="006B4F25" w:rsidRPr="003F18F0">
        <w:rPr>
          <w:rFonts w:ascii="Times New Roman" w:hAnsi="Times New Roman" w:cs="Times New Roman"/>
          <w:color w:val="000000" w:themeColor="text1"/>
          <w:sz w:val="28"/>
          <w:szCs w:val="28"/>
        </w:rPr>
        <w:t> </w:t>
      </w:r>
      <w:r w:rsidR="00395AE3" w:rsidRPr="003F18F0">
        <w:rPr>
          <w:rFonts w:ascii="Times New Roman" w:hAnsi="Times New Roman" w:cs="Times New Roman"/>
          <w:color w:val="000000" w:themeColor="text1"/>
          <w:sz w:val="28"/>
          <w:szCs w:val="28"/>
        </w:rPr>
        <w:t xml:space="preserve">daļu </w:t>
      </w:r>
      <w:r w:rsidR="006B4F25" w:rsidRPr="003F18F0">
        <w:rPr>
          <w:rFonts w:ascii="Times New Roman" w:hAnsi="Times New Roman" w:cs="Times New Roman"/>
          <w:color w:val="000000" w:themeColor="text1"/>
          <w:sz w:val="28"/>
          <w:szCs w:val="28"/>
        </w:rPr>
        <w:t xml:space="preserve">attēlotas </w:t>
      </w:r>
      <w:r w:rsidRPr="003F18F0">
        <w:rPr>
          <w:rFonts w:ascii="Times New Roman" w:hAnsi="Times New Roman" w:cs="Times New Roman"/>
          <w:color w:val="000000" w:themeColor="text1"/>
          <w:sz w:val="28"/>
          <w:szCs w:val="28"/>
        </w:rPr>
        <w:t>attēlā Nr.</w:t>
      </w:r>
      <w:r w:rsidR="006B4F25" w:rsidRPr="003F18F0">
        <w:rPr>
          <w:rFonts w:ascii="Times New Roman" w:hAnsi="Times New Roman" w:cs="Times New Roman"/>
          <w:color w:val="000000" w:themeColor="text1"/>
          <w:sz w:val="28"/>
          <w:szCs w:val="28"/>
        </w:rPr>
        <w:t> </w:t>
      </w:r>
      <w:r w:rsidR="007343E4" w:rsidRPr="003F18F0">
        <w:rPr>
          <w:rFonts w:ascii="Times New Roman" w:hAnsi="Times New Roman" w:cs="Times New Roman"/>
          <w:color w:val="000000" w:themeColor="text1"/>
          <w:sz w:val="28"/>
          <w:szCs w:val="28"/>
        </w:rPr>
        <w:t>4</w:t>
      </w:r>
      <w:r w:rsidRPr="003F18F0">
        <w:rPr>
          <w:rFonts w:ascii="Times New Roman" w:hAnsi="Times New Roman" w:cs="Times New Roman"/>
          <w:color w:val="000000" w:themeColor="text1"/>
          <w:sz w:val="28"/>
          <w:szCs w:val="28"/>
        </w:rPr>
        <w:t>.</w:t>
      </w:r>
    </w:p>
    <w:p w14:paraId="3F081C18" w14:textId="7AC3CDEB" w:rsidR="00E57DDD" w:rsidRPr="003F18F0" w:rsidRDefault="00E57DDD" w:rsidP="00011BD1">
      <w:pPr>
        <w:spacing w:after="0" w:line="240" w:lineRule="auto"/>
        <w:ind w:right="-1"/>
        <w:jc w:val="center"/>
        <w:rPr>
          <w:rFonts w:ascii="Times New Roman" w:hAnsi="Times New Roman" w:cs="Times New Roman"/>
          <w:color w:val="000000" w:themeColor="text1"/>
          <w:sz w:val="28"/>
          <w:szCs w:val="28"/>
        </w:rPr>
      </w:pPr>
    </w:p>
    <w:p w14:paraId="7EEFF227" w14:textId="16269DD6" w:rsidR="00653AC6" w:rsidRDefault="00CB1218" w:rsidP="00FC0498">
      <w:pPr>
        <w:spacing w:after="0" w:line="240" w:lineRule="auto"/>
        <w:ind w:right="-1"/>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5EE67848" wp14:editId="6CD617DA">
            <wp:extent cx="5759450" cy="6139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6139815"/>
                    </a:xfrm>
                    <a:prstGeom prst="rect">
                      <a:avLst/>
                    </a:prstGeom>
                    <a:noFill/>
                    <a:ln>
                      <a:noFill/>
                    </a:ln>
                  </pic:spPr>
                </pic:pic>
              </a:graphicData>
            </a:graphic>
          </wp:inline>
        </w:drawing>
      </w:r>
    </w:p>
    <w:p w14:paraId="265DD46B" w14:textId="72543F57" w:rsidR="00877308" w:rsidRPr="003F18F0" w:rsidRDefault="00E57DDD" w:rsidP="00DA15F9">
      <w:pPr>
        <w:spacing w:after="0" w:line="240" w:lineRule="auto"/>
        <w:ind w:right="-1" w:firstLine="567"/>
        <w:jc w:val="center"/>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Attēls Nr.</w:t>
      </w:r>
      <w:r w:rsidR="006B4F25" w:rsidRPr="003F18F0">
        <w:rPr>
          <w:rFonts w:ascii="Times New Roman" w:hAnsi="Times New Roman" w:cs="Times New Roman"/>
          <w:color w:val="000000" w:themeColor="text1"/>
          <w:sz w:val="28"/>
          <w:szCs w:val="28"/>
        </w:rPr>
        <w:t> </w:t>
      </w:r>
      <w:r w:rsidR="007343E4" w:rsidRPr="003F18F0">
        <w:rPr>
          <w:rFonts w:ascii="Times New Roman" w:hAnsi="Times New Roman" w:cs="Times New Roman"/>
          <w:color w:val="000000" w:themeColor="text1"/>
          <w:sz w:val="28"/>
          <w:szCs w:val="28"/>
        </w:rPr>
        <w:t>4</w:t>
      </w:r>
      <w:r w:rsidRPr="003F18F0">
        <w:rPr>
          <w:rFonts w:ascii="Times New Roman" w:hAnsi="Times New Roman" w:cs="Times New Roman"/>
          <w:color w:val="000000" w:themeColor="text1"/>
          <w:sz w:val="28"/>
          <w:szCs w:val="28"/>
        </w:rPr>
        <w:t>.</w:t>
      </w:r>
      <w:r w:rsidRPr="003F18F0">
        <w:rPr>
          <w:rFonts w:ascii="Times New Roman" w:hAnsi="Times New Roman" w:cs="Times New Roman"/>
          <w:i/>
          <w:color w:val="000000" w:themeColor="text1"/>
          <w:sz w:val="28"/>
          <w:szCs w:val="28"/>
        </w:rPr>
        <w:t xml:space="preserve"> </w:t>
      </w:r>
      <w:r w:rsidRPr="003F18F0">
        <w:rPr>
          <w:rFonts w:ascii="Times New Roman" w:hAnsi="Times New Roman" w:cs="Times New Roman"/>
          <w:color w:val="000000" w:themeColor="text1"/>
          <w:sz w:val="28"/>
          <w:szCs w:val="28"/>
        </w:rPr>
        <w:t xml:space="preserve">Modernizācijas fonda </w:t>
      </w:r>
      <w:r w:rsidR="00FB2766" w:rsidRPr="003F18F0">
        <w:rPr>
          <w:rFonts w:ascii="Times New Roman" w:hAnsi="Times New Roman" w:cs="Times New Roman"/>
          <w:color w:val="000000" w:themeColor="text1"/>
          <w:sz w:val="28"/>
          <w:szCs w:val="28"/>
        </w:rPr>
        <w:t>finansējuma</w:t>
      </w:r>
      <w:r w:rsidR="00023462">
        <w:rPr>
          <w:rStyle w:val="FootnoteReference"/>
          <w:rFonts w:ascii="Times New Roman" w:hAnsi="Times New Roman" w:cs="Times New Roman"/>
          <w:color w:val="000000" w:themeColor="text1"/>
          <w:sz w:val="28"/>
          <w:szCs w:val="28"/>
        </w:rPr>
        <w:footnoteReference w:id="28"/>
      </w:r>
      <w:r w:rsidR="00FB2766"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teorētiskie</w:t>
      </w:r>
      <w:r w:rsidR="00FB2766" w:rsidRPr="003F18F0">
        <w:rPr>
          <w:rFonts w:ascii="Times New Roman" w:hAnsi="Times New Roman" w:cs="Times New Roman"/>
          <w:color w:val="000000" w:themeColor="text1"/>
          <w:sz w:val="28"/>
          <w:szCs w:val="28"/>
        </w:rPr>
        <w:t xml:space="preserve"> varianti un to ietekme uz EKII</w:t>
      </w:r>
      <w:r w:rsidR="002B51BB" w:rsidRPr="003F18F0">
        <w:rPr>
          <w:rFonts w:ascii="Times New Roman" w:hAnsi="Times New Roman" w:cs="Times New Roman"/>
          <w:color w:val="000000" w:themeColor="text1"/>
          <w:sz w:val="28"/>
          <w:szCs w:val="28"/>
        </w:rPr>
        <w:t xml:space="preserve"> laika periodā no 2021</w:t>
      </w:r>
      <w:r w:rsidR="00974DDB" w:rsidRPr="003F18F0">
        <w:rPr>
          <w:rFonts w:ascii="Times New Roman" w:hAnsi="Times New Roman" w:cs="Times New Roman"/>
          <w:color w:val="000000" w:themeColor="text1"/>
          <w:sz w:val="28"/>
          <w:szCs w:val="28"/>
        </w:rPr>
        <w:t>.</w:t>
      </w:r>
      <w:r w:rsidR="002B51BB" w:rsidRPr="003F18F0">
        <w:rPr>
          <w:rFonts w:ascii="Times New Roman" w:hAnsi="Times New Roman" w:cs="Times New Roman"/>
          <w:color w:val="000000" w:themeColor="text1"/>
          <w:sz w:val="28"/>
          <w:szCs w:val="28"/>
        </w:rPr>
        <w:t>-2030.</w:t>
      </w:r>
      <w:r w:rsidR="00974DDB" w:rsidRPr="003F18F0">
        <w:rPr>
          <w:rFonts w:ascii="Times New Roman" w:hAnsi="Times New Roman" w:cs="Times New Roman"/>
          <w:color w:val="000000" w:themeColor="text1"/>
          <w:sz w:val="28"/>
          <w:szCs w:val="28"/>
        </w:rPr>
        <w:t> </w:t>
      </w:r>
      <w:r w:rsidR="002B51BB" w:rsidRPr="003F18F0">
        <w:rPr>
          <w:rFonts w:ascii="Times New Roman" w:hAnsi="Times New Roman" w:cs="Times New Roman"/>
          <w:color w:val="000000" w:themeColor="text1"/>
          <w:sz w:val="28"/>
          <w:szCs w:val="28"/>
        </w:rPr>
        <w:t>gadam</w:t>
      </w:r>
      <w:r w:rsidR="00FB2766" w:rsidRPr="003F18F0">
        <w:rPr>
          <w:rFonts w:ascii="Times New Roman" w:hAnsi="Times New Roman" w:cs="Times New Roman"/>
          <w:color w:val="000000" w:themeColor="text1"/>
          <w:sz w:val="28"/>
          <w:szCs w:val="28"/>
        </w:rPr>
        <w:t>.</w:t>
      </w:r>
    </w:p>
    <w:p w14:paraId="2523DDFD" w14:textId="77777777" w:rsidR="00872B44" w:rsidRPr="003F18F0" w:rsidRDefault="00872B44" w:rsidP="00987C6B">
      <w:pPr>
        <w:spacing w:after="0" w:line="240" w:lineRule="auto"/>
        <w:ind w:right="-1" w:firstLine="567"/>
        <w:jc w:val="both"/>
        <w:rPr>
          <w:rFonts w:ascii="Times New Roman" w:hAnsi="Times New Roman" w:cs="Times New Roman"/>
          <w:color w:val="000000" w:themeColor="text1"/>
          <w:sz w:val="28"/>
          <w:szCs w:val="28"/>
        </w:rPr>
      </w:pPr>
    </w:p>
    <w:p w14:paraId="4FBAF313" w14:textId="3FAF7BCE" w:rsidR="00877308" w:rsidRPr="003F18F0" w:rsidRDefault="00540F14"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Saskaņā ar Direktīvu 2003/87</w:t>
      </w:r>
      <w:r w:rsidR="006F6E2D">
        <w:rPr>
          <w:rFonts w:ascii="Times New Roman" w:hAnsi="Times New Roman" w:cs="Times New Roman"/>
          <w:color w:val="000000" w:themeColor="text1"/>
          <w:sz w:val="28"/>
          <w:szCs w:val="28"/>
        </w:rPr>
        <w:t>/EK</w:t>
      </w:r>
      <w:r w:rsidRPr="003F18F0">
        <w:rPr>
          <w:rFonts w:ascii="Times New Roman" w:hAnsi="Times New Roman" w:cs="Times New Roman"/>
          <w:color w:val="000000" w:themeColor="text1"/>
          <w:sz w:val="28"/>
          <w:szCs w:val="28"/>
        </w:rPr>
        <w:t xml:space="preserve"> emisijas</w:t>
      </w:r>
      <w:r w:rsidR="00FB2766" w:rsidRPr="003F18F0">
        <w:rPr>
          <w:rFonts w:ascii="Times New Roman" w:hAnsi="Times New Roman" w:cs="Times New Roman"/>
          <w:color w:val="000000" w:themeColor="text1"/>
          <w:sz w:val="28"/>
          <w:szCs w:val="28"/>
        </w:rPr>
        <w:t xml:space="preserve"> kvotu apjom</w:t>
      </w:r>
      <w:r w:rsidRPr="003F18F0">
        <w:rPr>
          <w:rFonts w:ascii="Times New Roman" w:hAnsi="Times New Roman" w:cs="Times New Roman"/>
          <w:color w:val="000000" w:themeColor="text1"/>
          <w:sz w:val="28"/>
          <w:szCs w:val="28"/>
        </w:rPr>
        <w:t>s</w:t>
      </w:r>
      <w:r w:rsidR="00FB2766" w:rsidRPr="003F18F0">
        <w:rPr>
          <w:rFonts w:ascii="Times New Roman" w:hAnsi="Times New Roman" w:cs="Times New Roman"/>
          <w:color w:val="000000" w:themeColor="text1"/>
          <w:sz w:val="28"/>
          <w:szCs w:val="28"/>
        </w:rPr>
        <w:t xml:space="preserve">, ko potenciāli varēja izmantot </w:t>
      </w:r>
      <w:proofErr w:type="spellStart"/>
      <w:r w:rsidR="00FB2766" w:rsidRPr="003F18F0">
        <w:rPr>
          <w:rFonts w:ascii="Times New Roman" w:hAnsi="Times New Roman" w:cs="Times New Roman"/>
          <w:color w:val="000000" w:themeColor="text1"/>
          <w:sz w:val="28"/>
          <w:szCs w:val="28"/>
        </w:rPr>
        <w:t>derogācijai</w:t>
      </w:r>
      <w:proofErr w:type="spellEnd"/>
      <w:r w:rsidRPr="003F18F0">
        <w:rPr>
          <w:rFonts w:ascii="Times New Roman" w:hAnsi="Times New Roman" w:cs="Times New Roman"/>
          <w:color w:val="000000" w:themeColor="text1"/>
          <w:sz w:val="28"/>
          <w:szCs w:val="28"/>
        </w:rPr>
        <w:t xml:space="preserve"> nav noteikts</w:t>
      </w:r>
      <w:r w:rsidR="00FB2766" w:rsidRPr="003F18F0">
        <w:rPr>
          <w:rFonts w:ascii="Times New Roman" w:hAnsi="Times New Roman" w:cs="Times New Roman"/>
          <w:color w:val="000000" w:themeColor="text1"/>
          <w:sz w:val="28"/>
          <w:szCs w:val="28"/>
        </w:rPr>
        <w:t>, kā</w:t>
      </w:r>
      <w:r w:rsidRPr="003F18F0">
        <w:rPr>
          <w:rFonts w:ascii="Times New Roman" w:hAnsi="Times New Roman" w:cs="Times New Roman"/>
          <w:color w:val="000000" w:themeColor="text1"/>
          <w:sz w:val="28"/>
          <w:szCs w:val="28"/>
        </w:rPr>
        <w:t xml:space="preserve"> emisijas</w:t>
      </w:r>
      <w:r w:rsidR="00FB2766" w:rsidRPr="003F18F0">
        <w:rPr>
          <w:rFonts w:ascii="Times New Roman" w:hAnsi="Times New Roman" w:cs="Times New Roman"/>
          <w:color w:val="000000" w:themeColor="text1"/>
          <w:sz w:val="28"/>
          <w:szCs w:val="28"/>
        </w:rPr>
        <w:t xml:space="preserve"> kvot</w:t>
      </w:r>
      <w:r w:rsidRPr="003F18F0">
        <w:rPr>
          <w:rFonts w:ascii="Times New Roman" w:hAnsi="Times New Roman" w:cs="Times New Roman"/>
          <w:color w:val="000000" w:themeColor="text1"/>
          <w:sz w:val="28"/>
          <w:szCs w:val="28"/>
        </w:rPr>
        <w:t>u apjoms</w:t>
      </w:r>
      <w:r w:rsidR="00FB2766" w:rsidRPr="003F18F0">
        <w:rPr>
          <w:rFonts w:ascii="Times New Roman" w:hAnsi="Times New Roman" w:cs="Times New Roman"/>
          <w:color w:val="000000" w:themeColor="text1"/>
          <w:sz w:val="28"/>
          <w:szCs w:val="28"/>
        </w:rPr>
        <w:t xml:space="preserve">, kas </w:t>
      </w:r>
      <w:r w:rsidRPr="003F18F0">
        <w:rPr>
          <w:rFonts w:ascii="Times New Roman" w:hAnsi="Times New Roman" w:cs="Times New Roman"/>
          <w:color w:val="000000" w:themeColor="text1"/>
          <w:sz w:val="28"/>
          <w:szCs w:val="28"/>
        </w:rPr>
        <w:t>“</w:t>
      </w:r>
      <w:r w:rsidR="00FB2766" w:rsidRPr="003F18F0">
        <w:rPr>
          <w:rFonts w:ascii="Times New Roman" w:hAnsi="Times New Roman" w:cs="Times New Roman"/>
          <w:color w:val="000000" w:themeColor="text1"/>
          <w:sz w:val="28"/>
          <w:szCs w:val="28"/>
        </w:rPr>
        <w:t>iezīmēts</w:t>
      </w:r>
      <w:r w:rsidRPr="003F18F0">
        <w:rPr>
          <w:rFonts w:ascii="Times New Roman" w:hAnsi="Times New Roman" w:cs="Times New Roman"/>
          <w:color w:val="000000" w:themeColor="text1"/>
          <w:sz w:val="28"/>
          <w:szCs w:val="28"/>
        </w:rPr>
        <w:t>”</w:t>
      </w:r>
      <w:r w:rsidR="00FB2766" w:rsidRPr="003F18F0">
        <w:rPr>
          <w:rFonts w:ascii="Times New Roman" w:hAnsi="Times New Roman" w:cs="Times New Roman"/>
          <w:color w:val="000000" w:themeColor="text1"/>
          <w:sz w:val="28"/>
          <w:szCs w:val="28"/>
        </w:rPr>
        <w:t xml:space="preserve"> elektroenerģijas ražojošo iekārtu atbalstam vai enerģētikas nozares modernizācijai</w:t>
      </w:r>
      <w:r w:rsidR="008344C9" w:rsidRPr="003F18F0">
        <w:rPr>
          <w:rFonts w:ascii="Times New Roman" w:hAnsi="Times New Roman" w:cs="Times New Roman"/>
          <w:color w:val="000000" w:themeColor="text1"/>
          <w:sz w:val="28"/>
          <w:szCs w:val="28"/>
        </w:rPr>
        <w:t>.</w:t>
      </w:r>
    </w:p>
    <w:p w14:paraId="6F496A12" w14:textId="06D2FFD3" w:rsidR="00395AE3" w:rsidRPr="003F18F0" w:rsidRDefault="00395AE3"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eastAsia="Arial Unicode MS" w:hAnsi="Times New Roman" w:cs="Times New Roman"/>
          <w:color w:val="000000" w:themeColor="text1"/>
          <w:sz w:val="28"/>
          <w:szCs w:val="28"/>
          <w:shd w:val="clear" w:color="auto" w:fill="FFFFFF"/>
        </w:rPr>
        <w:t xml:space="preserve">Jebkādi Modernizācijas fonda palielinājumi nozīmētu emisijas kvotu daudzuma samazinājumu </w:t>
      </w:r>
      <w:r w:rsidR="00540F14" w:rsidRPr="003F18F0">
        <w:rPr>
          <w:rFonts w:ascii="Times New Roman" w:eastAsia="Arial Unicode MS" w:hAnsi="Times New Roman" w:cs="Times New Roman"/>
          <w:color w:val="000000" w:themeColor="text1"/>
          <w:sz w:val="28"/>
          <w:szCs w:val="28"/>
          <w:shd w:val="clear" w:color="auto" w:fill="FFFFFF"/>
        </w:rPr>
        <w:t xml:space="preserve">ES </w:t>
      </w:r>
      <w:r w:rsidRPr="003F18F0">
        <w:rPr>
          <w:rFonts w:ascii="Times New Roman" w:eastAsia="Arial Unicode MS" w:hAnsi="Times New Roman" w:cs="Times New Roman"/>
          <w:color w:val="000000" w:themeColor="text1"/>
          <w:sz w:val="28"/>
          <w:szCs w:val="28"/>
          <w:shd w:val="clear" w:color="auto" w:fill="FFFFFF"/>
        </w:rPr>
        <w:t>dalībvalsts izsol</w:t>
      </w:r>
      <w:r w:rsidR="00DF3696" w:rsidRPr="003F18F0">
        <w:rPr>
          <w:rFonts w:ascii="Times New Roman" w:eastAsia="Arial Unicode MS" w:hAnsi="Times New Roman" w:cs="Times New Roman"/>
          <w:color w:val="000000" w:themeColor="text1"/>
          <w:sz w:val="28"/>
          <w:szCs w:val="28"/>
          <w:shd w:val="clear" w:color="auto" w:fill="FFFFFF"/>
        </w:rPr>
        <w:t>āmajā emisijas kvotu apjomā</w:t>
      </w:r>
      <w:r w:rsidRPr="003F18F0">
        <w:rPr>
          <w:rFonts w:ascii="Times New Roman" w:eastAsia="Arial Unicode MS" w:hAnsi="Times New Roman" w:cs="Times New Roman"/>
          <w:color w:val="000000" w:themeColor="text1"/>
          <w:sz w:val="28"/>
          <w:szCs w:val="28"/>
          <w:shd w:val="clear" w:color="auto" w:fill="FFFFFF"/>
        </w:rPr>
        <w:t xml:space="preserve"> primārajā tirgū, kas ir </w:t>
      </w:r>
      <w:r w:rsidR="00C90B96" w:rsidRPr="003F18F0">
        <w:rPr>
          <w:rFonts w:ascii="Times New Roman" w:eastAsia="Arial Unicode MS" w:hAnsi="Times New Roman" w:cs="Times New Roman"/>
          <w:color w:val="000000" w:themeColor="text1"/>
          <w:sz w:val="28"/>
          <w:szCs w:val="28"/>
          <w:shd w:val="clear" w:color="auto" w:fill="FFFFFF"/>
        </w:rPr>
        <w:t xml:space="preserve">valsts </w:t>
      </w:r>
      <w:r w:rsidR="00540F14" w:rsidRPr="003F18F0">
        <w:rPr>
          <w:rFonts w:ascii="Times New Roman" w:eastAsia="Arial Unicode MS" w:hAnsi="Times New Roman" w:cs="Times New Roman"/>
          <w:color w:val="000000" w:themeColor="text1"/>
          <w:sz w:val="28"/>
          <w:szCs w:val="28"/>
          <w:shd w:val="clear" w:color="auto" w:fill="FFFFFF"/>
        </w:rPr>
        <w:t xml:space="preserve">budžeta programmas “Emisijas kvotu izsolīšanas instruments” </w:t>
      </w:r>
      <w:r w:rsidRPr="003F18F0">
        <w:rPr>
          <w:rFonts w:ascii="Times New Roman" w:eastAsia="Arial Unicode MS" w:hAnsi="Times New Roman" w:cs="Times New Roman"/>
          <w:color w:val="000000" w:themeColor="text1"/>
          <w:sz w:val="28"/>
          <w:szCs w:val="28"/>
          <w:shd w:val="clear" w:color="auto" w:fill="FFFFFF"/>
        </w:rPr>
        <w:t>finansējuma pamat</w:t>
      </w:r>
      <w:r w:rsidR="00540F14" w:rsidRPr="003F18F0">
        <w:rPr>
          <w:rFonts w:ascii="Times New Roman" w:eastAsia="Arial Unicode MS" w:hAnsi="Times New Roman" w:cs="Times New Roman"/>
          <w:color w:val="000000" w:themeColor="text1"/>
          <w:sz w:val="28"/>
          <w:szCs w:val="28"/>
          <w:shd w:val="clear" w:color="auto" w:fill="FFFFFF"/>
        </w:rPr>
        <w:t>s</w:t>
      </w:r>
      <w:r w:rsidRPr="003F18F0">
        <w:rPr>
          <w:rFonts w:ascii="Times New Roman" w:eastAsia="Arial Unicode MS" w:hAnsi="Times New Roman" w:cs="Times New Roman"/>
          <w:color w:val="000000" w:themeColor="text1"/>
          <w:sz w:val="28"/>
          <w:szCs w:val="28"/>
          <w:shd w:val="clear" w:color="auto" w:fill="FFFFFF"/>
        </w:rPr>
        <w:t>.</w:t>
      </w:r>
    </w:p>
    <w:p w14:paraId="520BF59F" w14:textId="0FF4088A" w:rsidR="00877308" w:rsidRPr="003F18F0" w:rsidRDefault="00395AE3"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eastAsia="Arial Unicode MS" w:hAnsi="Times New Roman" w:cs="Times New Roman"/>
          <w:color w:val="000000" w:themeColor="text1"/>
          <w:sz w:val="28"/>
          <w:szCs w:val="28"/>
          <w:shd w:val="clear" w:color="auto" w:fill="FFFFFF"/>
        </w:rPr>
        <w:lastRenderedPageBreak/>
        <w:t xml:space="preserve">Saskaņā ar </w:t>
      </w:r>
      <w:r w:rsidR="00C21E07" w:rsidRPr="003F18F0">
        <w:rPr>
          <w:rFonts w:ascii="Times New Roman" w:eastAsia="Arial Unicode MS" w:hAnsi="Times New Roman" w:cs="Times New Roman"/>
          <w:color w:val="000000" w:themeColor="text1"/>
          <w:sz w:val="28"/>
          <w:szCs w:val="28"/>
          <w:shd w:val="clear" w:color="auto" w:fill="FFFFFF"/>
        </w:rPr>
        <w:t xml:space="preserve">indikatīviem </w:t>
      </w:r>
      <w:r w:rsidRPr="003F18F0">
        <w:rPr>
          <w:rFonts w:ascii="Times New Roman" w:eastAsia="Arial Unicode MS" w:hAnsi="Times New Roman" w:cs="Times New Roman"/>
          <w:color w:val="000000" w:themeColor="text1"/>
          <w:sz w:val="28"/>
          <w:szCs w:val="28"/>
          <w:shd w:val="clear" w:color="auto" w:fill="FFFFFF"/>
        </w:rPr>
        <w:t>aprēķiniem Latvija ES ETS 4. periodā varētu izsolīt ~16,07 miljon</w:t>
      </w:r>
      <w:r w:rsidR="00C21E07" w:rsidRPr="003F18F0">
        <w:rPr>
          <w:rFonts w:ascii="Times New Roman" w:eastAsia="Arial Unicode MS" w:hAnsi="Times New Roman" w:cs="Times New Roman"/>
          <w:color w:val="000000" w:themeColor="text1"/>
          <w:sz w:val="28"/>
          <w:szCs w:val="28"/>
          <w:shd w:val="clear" w:color="auto" w:fill="FFFFFF"/>
        </w:rPr>
        <w:t>us</w:t>
      </w:r>
      <w:r w:rsidRPr="003F18F0">
        <w:rPr>
          <w:rFonts w:ascii="Times New Roman" w:eastAsia="Arial Unicode MS" w:hAnsi="Times New Roman" w:cs="Times New Roman"/>
          <w:color w:val="000000" w:themeColor="text1"/>
          <w:sz w:val="28"/>
          <w:szCs w:val="28"/>
          <w:shd w:val="clear" w:color="auto" w:fill="FFFFFF"/>
        </w:rPr>
        <w:t xml:space="preserve"> emisijas kvotu</w:t>
      </w:r>
      <w:r w:rsidRPr="003F18F0">
        <w:rPr>
          <w:rStyle w:val="FootnoteReference"/>
          <w:rFonts w:ascii="Times New Roman" w:eastAsia="Arial Unicode MS" w:hAnsi="Times New Roman" w:cs="Times New Roman"/>
          <w:color w:val="000000" w:themeColor="text1"/>
          <w:sz w:val="28"/>
          <w:szCs w:val="28"/>
          <w:shd w:val="clear" w:color="auto" w:fill="FFFFFF"/>
        </w:rPr>
        <w:footnoteReference w:id="29"/>
      </w:r>
      <w:r w:rsidRPr="003F18F0">
        <w:rPr>
          <w:rFonts w:ascii="Times New Roman" w:eastAsia="Arial Unicode MS" w:hAnsi="Times New Roman" w:cs="Times New Roman"/>
          <w:color w:val="000000" w:themeColor="text1"/>
          <w:sz w:val="28"/>
          <w:szCs w:val="28"/>
          <w:shd w:val="clear" w:color="auto" w:fill="FFFFFF"/>
        </w:rPr>
        <w:t>. Jāuzsver, ka, sākot ar 2019.</w:t>
      </w:r>
      <w:r w:rsidR="00C21E07" w:rsidRPr="003F18F0">
        <w:rPr>
          <w:rFonts w:ascii="Times New Roman" w:eastAsia="Arial Unicode MS" w:hAnsi="Times New Roman" w:cs="Times New Roman"/>
          <w:color w:val="000000" w:themeColor="text1"/>
          <w:sz w:val="28"/>
          <w:szCs w:val="28"/>
          <w:shd w:val="clear" w:color="auto" w:fill="FFFFFF"/>
        </w:rPr>
        <w:t> </w:t>
      </w:r>
      <w:r w:rsidRPr="003F18F0">
        <w:rPr>
          <w:rFonts w:ascii="Times New Roman" w:eastAsia="Arial Unicode MS" w:hAnsi="Times New Roman" w:cs="Times New Roman"/>
          <w:color w:val="000000" w:themeColor="text1"/>
          <w:sz w:val="28"/>
          <w:szCs w:val="28"/>
          <w:shd w:val="clear" w:color="auto" w:fill="FFFFFF"/>
        </w:rPr>
        <w:t>gadu, darbību uzsāk tirgus stabilitātes rezerve</w:t>
      </w:r>
      <w:r w:rsidRPr="003F18F0">
        <w:rPr>
          <w:rStyle w:val="FootnoteReference"/>
          <w:rFonts w:ascii="Times New Roman" w:eastAsia="Arial Unicode MS" w:hAnsi="Times New Roman" w:cs="Times New Roman"/>
          <w:color w:val="000000" w:themeColor="text1"/>
          <w:sz w:val="28"/>
          <w:szCs w:val="28"/>
          <w:shd w:val="clear" w:color="auto" w:fill="FFFFFF"/>
        </w:rPr>
        <w:footnoteReference w:id="30"/>
      </w:r>
      <w:r w:rsidRPr="003F18F0">
        <w:rPr>
          <w:rFonts w:ascii="Times New Roman" w:eastAsia="Arial Unicode MS" w:hAnsi="Times New Roman" w:cs="Times New Roman"/>
          <w:color w:val="000000" w:themeColor="text1"/>
          <w:sz w:val="28"/>
          <w:szCs w:val="28"/>
          <w:shd w:val="clear" w:color="auto" w:fill="FFFFFF"/>
        </w:rPr>
        <w:t xml:space="preserve">, kas balstoties uz indikatīviem aprēķiniem faktiski nozīmēs to, ka </w:t>
      </w:r>
      <w:r w:rsidR="00C21E07" w:rsidRPr="003F18F0">
        <w:rPr>
          <w:rFonts w:ascii="Times New Roman" w:eastAsia="Arial Unicode MS" w:hAnsi="Times New Roman" w:cs="Times New Roman"/>
          <w:color w:val="000000" w:themeColor="text1"/>
          <w:sz w:val="28"/>
          <w:szCs w:val="28"/>
          <w:shd w:val="clear" w:color="auto" w:fill="FFFFFF"/>
        </w:rPr>
        <w:t xml:space="preserve">ES </w:t>
      </w:r>
      <w:r w:rsidRPr="003F18F0">
        <w:rPr>
          <w:rFonts w:ascii="Times New Roman" w:eastAsia="Arial Unicode MS" w:hAnsi="Times New Roman" w:cs="Times New Roman"/>
          <w:color w:val="000000" w:themeColor="text1"/>
          <w:sz w:val="28"/>
          <w:szCs w:val="28"/>
          <w:shd w:val="clear" w:color="auto" w:fill="FFFFFF"/>
        </w:rPr>
        <w:t xml:space="preserve">dalībvalstis aptuveni līdz </w:t>
      </w:r>
      <w:r w:rsidR="00E10FB4" w:rsidRPr="003F18F0">
        <w:rPr>
          <w:rFonts w:ascii="Times New Roman" w:eastAsia="Arial Unicode MS" w:hAnsi="Times New Roman" w:cs="Times New Roman"/>
          <w:color w:val="000000" w:themeColor="text1"/>
          <w:sz w:val="28"/>
          <w:szCs w:val="28"/>
          <w:shd w:val="clear" w:color="auto" w:fill="FFFFFF"/>
        </w:rPr>
        <w:t>202</w:t>
      </w:r>
      <w:r w:rsidR="00E10FB4">
        <w:rPr>
          <w:rFonts w:ascii="Times New Roman" w:eastAsia="Arial Unicode MS" w:hAnsi="Times New Roman" w:cs="Times New Roman"/>
          <w:color w:val="000000" w:themeColor="text1"/>
          <w:sz w:val="28"/>
          <w:szCs w:val="28"/>
          <w:shd w:val="clear" w:color="auto" w:fill="FFFFFF"/>
        </w:rPr>
        <w:t>3</w:t>
      </w:r>
      <w:r w:rsidRPr="003F18F0">
        <w:rPr>
          <w:rFonts w:ascii="Times New Roman" w:eastAsia="Arial Unicode MS" w:hAnsi="Times New Roman" w:cs="Times New Roman"/>
          <w:color w:val="000000" w:themeColor="text1"/>
          <w:sz w:val="28"/>
          <w:szCs w:val="28"/>
          <w:shd w:val="clear" w:color="auto" w:fill="FFFFFF"/>
        </w:rPr>
        <w:t>.</w:t>
      </w:r>
      <w:r w:rsidR="00C21E07" w:rsidRPr="003F18F0">
        <w:rPr>
          <w:rFonts w:ascii="Times New Roman" w:eastAsia="Arial Unicode MS" w:hAnsi="Times New Roman" w:cs="Times New Roman"/>
          <w:color w:val="000000" w:themeColor="text1"/>
          <w:sz w:val="28"/>
          <w:szCs w:val="28"/>
          <w:shd w:val="clear" w:color="auto" w:fill="FFFFFF"/>
        </w:rPr>
        <w:t> </w:t>
      </w:r>
      <w:r w:rsidRPr="003F18F0">
        <w:rPr>
          <w:rFonts w:ascii="Times New Roman" w:eastAsia="Arial Unicode MS" w:hAnsi="Times New Roman" w:cs="Times New Roman"/>
          <w:color w:val="000000" w:themeColor="text1"/>
          <w:sz w:val="28"/>
          <w:szCs w:val="28"/>
          <w:shd w:val="clear" w:color="auto" w:fill="FFFFFF"/>
        </w:rPr>
        <w:t>gadam</w:t>
      </w:r>
      <w:r w:rsidR="00BF624B">
        <w:rPr>
          <w:rFonts w:ascii="Times New Roman" w:eastAsia="Arial Unicode MS" w:hAnsi="Times New Roman" w:cs="Times New Roman"/>
          <w:color w:val="000000" w:themeColor="text1"/>
          <w:sz w:val="28"/>
          <w:szCs w:val="28"/>
          <w:shd w:val="clear" w:color="auto" w:fill="FFFFFF"/>
        </w:rPr>
        <w:t xml:space="preserve"> (ieskaitot)</w:t>
      </w:r>
      <w:r w:rsidRPr="003F18F0">
        <w:rPr>
          <w:rFonts w:ascii="Times New Roman" w:eastAsia="Arial Unicode MS" w:hAnsi="Times New Roman" w:cs="Times New Roman"/>
          <w:color w:val="000000" w:themeColor="text1"/>
          <w:sz w:val="28"/>
          <w:szCs w:val="28"/>
          <w:shd w:val="clear" w:color="auto" w:fill="FFFFFF"/>
        </w:rPr>
        <w:t xml:space="preserve"> visdrīzāk izsolīs emisijas kvotas samazinātā apjomā</w:t>
      </w:r>
      <w:r w:rsidR="00E10FB4">
        <w:rPr>
          <w:rFonts w:ascii="Times New Roman" w:eastAsia="Arial Unicode MS" w:hAnsi="Times New Roman" w:cs="Times New Roman"/>
          <w:color w:val="000000" w:themeColor="text1"/>
          <w:sz w:val="28"/>
          <w:szCs w:val="28"/>
          <w:shd w:val="clear" w:color="auto" w:fill="FFFFFF"/>
        </w:rPr>
        <w:t xml:space="preserve">, kas </w:t>
      </w:r>
      <w:r w:rsidRPr="003F18F0">
        <w:rPr>
          <w:rFonts w:ascii="Times New Roman" w:eastAsia="Arial Unicode MS" w:hAnsi="Times New Roman" w:cs="Times New Roman"/>
          <w:color w:val="000000" w:themeColor="text1"/>
          <w:sz w:val="28"/>
          <w:szCs w:val="28"/>
          <w:shd w:val="clear" w:color="auto" w:fill="FFFFFF"/>
        </w:rPr>
        <w:t xml:space="preserve">Latvijas gadījumā </w:t>
      </w:r>
      <w:r w:rsidR="00E10FB4">
        <w:rPr>
          <w:rFonts w:ascii="Times New Roman" w:eastAsia="Arial Unicode MS" w:hAnsi="Times New Roman" w:cs="Times New Roman"/>
          <w:color w:val="000000" w:themeColor="text1"/>
          <w:sz w:val="28"/>
          <w:szCs w:val="28"/>
          <w:shd w:val="clear" w:color="auto" w:fill="FFFFFF"/>
        </w:rPr>
        <w:t>no 2021.-</w:t>
      </w:r>
      <w:r w:rsidRPr="003F18F0">
        <w:rPr>
          <w:rFonts w:ascii="Times New Roman" w:eastAsia="Arial Unicode MS" w:hAnsi="Times New Roman" w:cs="Times New Roman"/>
          <w:color w:val="000000" w:themeColor="text1"/>
          <w:sz w:val="28"/>
          <w:szCs w:val="28"/>
          <w:shd w:val="clear" w:color="auto" w:fill="FFFFFF"/>
        </w:rPr>
        <w:t xml:space="preserve"> </w:t>
      </w:r>
      <w:r w:rsidR="00E10FB4" w:rsidRPr="003F18F0">
        <w:rPr>
          <w:rFonts w:ascii="Times New Roman" w:eastAsia="Arial Unicode MS" w:hAnsi="Times New Roman" w:cs="Times New Roman"/>
          <w:color w:val="000000" w:themeColor="text1"/>
          <w:sz w:val="28"/>
          <w:szCs w:val="28"/>
          <w:shd w:val="clear" w:color="auto" w:fill="FFFFFF"/>
        </w:rPr>
        <w:t>202</w:t>
      </w:r>
      <w:r w:rsidR="00E10FB4">
        <w:rPr>
          <w:rFonts w:ascii="Times New Roman" w:eastAsia="Arial Unicode MS" w:hAnsi="Times New Roman" w:cs="Times New Roman"/>
          <w:color w:val="000000" w:themeColor="text1"/>
          <w:sz w:val="28"/>
          <w:szCs w:val="28"/>
          <w:shd w:val="clear" w:color="auto" w:fill="FFFFFF"/>
        </w:rPr>
        <w:t>3</w:t>
      </w:r>
      <w:r w:rsidRPr="003F18F0">
        <w:rPr>
          <w:rFonts w:ascii="Times New Roman" w:eastAsia="Arial Unicode MS" w:hAnsi="Times New Roman" w:cs="Times New Roman"/>
          <w:color w:val="000000" w:themeColor="text1"/>
          <w:sz w:val="28"/>
          <w:szCs w:val="28"/>
          <w:shd w:val="clear" w:color="auto" w:fill="FFFFFF"/>
        </w:rPr>
        <w:t>.</w:t>
      </w:r>
      <w:r w:rsidR="00C21E07" w:rsidRPr="003F18F0">
        <w:rPr>
          <w:rFonts w:ascii="Times New Roman" w:eastAsia="Arial Unicode MS" w:hAnsi="Times New Roman" w:cs="Times New Roman"/>
          <w:color w:val="000000" w:themeColor="text1"/>
          <w:sz w:val="28"/>
          <w:szCs w:val="28"/>
          <w:shd w:val="clear" w:color="auto" w:fill="FFFFFF"/>
        </w:rPr>
        <w:t> </w:t>
      </w:r>
      <w:r w:rsidRPr="003F18F0">
        <w:rPr>
          <w:rFonts w:ascii="Times New Roman" w:eastAsia="Arial Unicode MS" w:hAnsi="Times New Roman" w:cs="Times New Roman"/>
          <w:color w:val="000000" w:themeColor="text1"/>
          <w:sz w:val="28"/>
          <w:szCs w:val="28"/>
          <w:shd w:val="clear" w:color="auto" w:fill="FFFFFF"/>
        </w:rPr>
        <w:t xml:space="preserve">gadam </w:t>
      </w:r>
      <w:r w:rsidR="00BF624B">
        <w:rPr>
          <w:rFonts w:ascii="Times New Roman" w:eastAsia="Arial Unicode MS" w:hAnsi="Times New Roman" w:cs="Times New Roman"/>
          <w:color w:val="000000" w:themeColor="text1"/>
          <w:sz w:val="28"/>
          <w:szCs w:val="28"/>
          <w:shd w:val="clear" w:color="auto" w:fill="FFFFFF"/>
        </w:rPr>
        <w:t xml:space="preserve">nozīmē, ka </w:t>
      </w:r>
      <w:r w:rsidRPr="003F18F0">
        <w:rPr>
          <w:rFonts w:ascii="Times New Roman" w:eastAsia="Arial Unicode MS" w:hAnsi="Times New Roman" w:cs="Times New Roman"/>
          <w:color w:val="000000" w:themeColor="text1"/>
          <w:sz w:val="28"/>
          <w:szCs w:val="28"/>
          <w:shd w:val="clear" w:color="auto" w:fill="FFFFFF"/>
        </w:rPr>
        <w:t>izsolām</w:t>
      </w:r>
      <w:r w:rsidR="00974DDB" w:rsidRPr="003F18F0">
        <w:rPr>
          <w:rFonts w:ascii="Times New Roman" w:eastAsia="Arial Unicode MS" w:hAnsi="Times New Roman" w:cs="Times New Roman"/>
          <w:color w:val="000000" w:themeColor="text1"/>
          <w:sz w:val="28"/>
          <w:szCs w:val="28"/>
          <w:shd w:val="clear" w:color="auto" w:fill="FFFFFF"/>
        </w:rPr>
        <w:t>ais</w:t>
      </w:r>
      <w:r w:rsidRPr="003F18F0">
        <w:rPr>
          <w:rFonts w:ascii="Times New Roman" w:eastAsia="Arial Unicode MS" w:hAnsi="Times New Roman" w:cs="Times New Roman"/>
          <w:color w:val="000000" w:themeColor="text1"/>
          <w:sz w:val="28"/>
          <w:szCs w:val="28"/>
          <w:shd w:val="clear" w:color="auto" w:fill="FFFFFF"/>
        </w:rPr>
        <w:t xml:space="preserve"> </w:t>
      </w:r>
      <w:r w:rsidR="00C21E07" w:rsidRPr="003F18F0">
        <w:rPr>
          <w:rFonts w:ascii="Times New Roman" w:eastAsia="Arial Unicode MS" w:hAnsi="Times New Roman" w:cs="Times New Roman"/>
          <w:color w:val="000000" w:themeColor="text1"/>
          <w:sz w:val="28"/>
          <w:szCs w:val="28"/>
          <w:shd w:val="clear" w:color="auto" w:fill="FFFFFF"/>
        </w:rPr>
        <w:t xml:space="preserve">emisijas kvotu </w:t>
      </w:r>
      <w:r w:rsidRPr="003F18F0">
        <w:rPr>
          <w:rFonts w:ascii="Times New Roman" w:eastAsia="Arial Unicode MS" w:hAnsi="Times New Roman" w:cs="Times New Roman"/>
          <w:color w:val="000000" w:themeColor="text1"/>
          <w:sz w:val="28"/>
          <w:szCs w:val="28"/>
          <w:shd w:val="clear" w:color="auto" w:fill="FFFFFF"/>
        </w:rPr>
        <w:t>apjom</w:t>
      </w:r>
      <w:r w:rsidR="00970E4E" w:rsidRPr="003F18F0">
        <w:rPr>
          <w:rFonts w:ascii="Times New Roman" w:eastAsia="Arial Unicode MS" w:hAnsi="Times New Roman" w:cs="Times New Roman"/>
          <w:color w:val="000000" w:themeColor="text1"/>
          <w:sz w:val="28"/>
          <w:szCs w:val="28"/>
          <w:shd w:val="clear" w:color="auto" w:fill="FFFFFF"/>
        </w:rPr>
        <w:t>s</w:t>
      </w:r>
      <w:r w:rsidRPr="003F18F0">
        <w:rPr>
          <w:rFonts w:ascii="Times New Roman" w:eastAsia="Arial Unicode MS" w:hAnsi="Times New Roman" w:cs="Times New Roman"/>
          <w:color w:val="000000" w:themeColor="text1"/>
          <w:sz w:val="28"/>
          <w:szCs w:val="28"/>
          <w:shd w:val="clear" w:color="auto" w:fill="FFFFFF"/>
        </w:rPr>
        <w:t xml:space="preserve"> varētu būt par ~ 1,8</w:t>
      </w:r>
      <w:r w:rsidR="00011BD1">
        <w:rPr>
          <w:rFonts w:ascii="Times New Roman" w:eastAsia="Arial Unicode MS" w:hAnsi="Times New Roman" w:cs="Times New Roman"/>
          <w:color w:val="000000" w:themeColor="text1"/>
          <w:sz w:val="28"/>
          <w:szCs w:val="28"/>
          <w:shd w:val="clear" w:color="auto" w:fill="FFFFFF"/>
        </w:rPr>
        <w:t>9</w:t>
      </w:r>
      <w:r w:rsidRPr="003F18F0">
        <w:rPr>
          <w:rFonts w:ascii="Times New Roman" w:eastAsia="Arial Unicode MS" w:hAnsi="Times New Roman" w:cs="Times New Roman"/>
          <w:color w:val="000000" w:themeColor="text1"/>
          <w:sz w:val="28"/>
          <w:szCs w:val="28"/>
          <w:shd w:val="clear" w:color="auto" w:fill="FFFFFF"/>
        </w:rPr>
        <w:t xml:space="preserve"> milj. emisijas kvotām mazāk.</w:t>
      </w:r>
      <w:r w:rsidR="006553E2" w:rsidRPr="003F18F0">
        <w:rPr>
          <w:rFonts w:ascii="Times New Roman" w:eastAsia="Arial Unicode MS" w:hAnsi="Times New Roman" w:cs="Times New Roman"/>
          <w:color w:val="000000" w:themeColor="text1"/>
          <w:sz w:val="28"/>
          <w:szCs w:val="28"/>
          <w:shd w:val="clear" w:color="auto" w:fill="FFFFFF"/>
        </w:rPr>
        <w:t xml:space="preserve"> </w:t>
      </w:r>
      <w:r w:rsidR="00C21E07" w:rsidRPr="003F18F0">
        <w:rPr>
          <w:rFonts w:ascii="Times New Roman" w:eastAsia="Arial Unicode MS" w:hAnsi="Times New Roman" w:cs="Times New Roman"/>
          <w:color w:val="000000" w:themeColor="text1"/>
          <w:sz w:val="28"/>
          <w:szCs w:val="28"/>
          <w:shd w:val="clear" w:color="auto" w:fill="FFFFFF"/>
        </w:rPr>
        <w:t>A</w:t>
      </w:r>
      <w:r w:rsidR="006553E2" w:rsidRPr="003F18F0">
        <w:rPr>
          <w:rFonts w:ascii="Times New Roman" w:eastAsia="Arial Unicode MS" w:hAnsi="Times New Roman" w:cs="Times New Roman"/>
          <w:color w:val="000000" w:themeColor="text1"/>
          <w:sz w:val="28"/>
          <w:szCs w:val="28"/>
          <w:shd w:val="clear" w:color="auto" w:fill="FFFFFF"/>
        </w:rPr>
        <w:t>ttēlā Nr.</w:t>
      </w:r>
      <w:r w:rsidR="00C21E07" w:rsidRPr="003F18F0">
        <w:rPr>
          <w:rFonts w:ascii="Times New Roman" w:eastAsia="Arial Unicode MS" w:hAnsi="Times New Roman" w:cs="Times New Roman"/>
          <w:color w:val="000000" w:themeColor="text1"/>
          <w:sz w:val="28"/>
          <w:szCs w:val="28"/>
          <w:shd w:val="clear" w:color="auto" w:fill="FFFFFF"/>
        </w:rPr>
        <w:t> </w:t>
      </w:r>
      <w:r w:rsidR="00C90B96" w:rsidRPr="003F18F0">
        <w:rPr>
          <w:rFonts w:ascii="Times New Roman" w:eastAsia="Arial Unicode MS" w:hAnsi="Times New Roman" w:cs="Times New Roman"/>
          <w:color w:val="000000" w:themeColor="text1"/>
          <w:sz w:val="28"/>
          <w:szCs w:val="28"/>
          <w:shd w:val="clear" w:color="auto" w:fill="FFFFFF"/>
        </w:rPr>
        <w:t>4</w:t>
      </w:r>
      <w:r w:rsidR="006553E2" w:rsidRPr="003F18F0">
        <w:rPr>
          <w:rFonts w:ascii="Times New Roman" w:eastAsia="Arial Unicode MS" w:hAnsi="Times New Roman" w:cs="Times New Roman"/>
          <w:color w:val="000000" w:themeColor="text1"/>
          <w:sz w:val="28"/>
          <w:szCs w:val="28"/>
          <w:shd w:val="clear" w:color="auto" w:fill="FFFFFF"/>
        </w:rPr>
        <w:t xml:space="preserve"> </w:t>
      </w:r>
      <w:r w:rsidR="00C21E07" w:rsidRPr="003F18F0">
        <w:rPr>
          <w:rFonts w:ascii="Times New Roman" w:eastAsia="Arial Unicode MS" w:hAnsi="Times New Roman" w:cs="Times New Roman"/>
          <w:color w:val="000000" w:themeColor="text1"/>
          <w:sz w:val="28"/>
          <w:szCs w:val="28"/>
          <w:shd w:val="clear" w:color="auto" w:fill="FFFFFF"/>
        </w:rPr>
        <w:t xml:space="preserve">ir norādīts, ka </w:t>
      </w:r>
      <w:r w:rsidR="006553E2" w:rsidRPr="003F18F0">
        <w:rPr>
          <w:rFonts w:ascii="Times New Roman" w:eastAsia="Arial Unicode MS" w:hAnsi="Times New Roman" w:cs="Times New Roman"/>
          <w:color w:val="000000" w:themeColor="text1"/>
          <w:sz w:val="28"/>
          <w:szCs w:val="28"/>
          <w:shd w:val="clear" w:color="auto" w:fill="FFFFFF"/>
        </w:rPr>
        <w:t xml:space="preserve">jebkuri Modernizācijas fonda finansējuma palielinājumi būtiski samazinātu </w:t>
      </w:r>
      <w:r w:rsidR="00DE2EF3" w:rsidRPr="003F18F0">
        <w:rPr>
          <w:rFonts w:ascii="Times New Roman" w:eastAsia="Arial Unicode MS" w:hAnsi="Times New Roman" w:cs="Times New Roman"/>
          <w:color w:val="000000" w:themeColor="text1"/>
          <w:sz w:val="28"/>
          <w:szCs w:val="28"/>
          <w:shd w:val="clear" w:color="auto" w:fill="FFFFFF"/>
        </w:rPr>
        <w:t xml:space="preserve">valsts </w:t>
      </w:r>
      <w:r w:rsidR="006553E2" w:rsidRPr="003F18F0">
        <w:rPr>
          <w:rFonts w:ascii="Times New Roman" w:eastAsia="Arial Unicode MS" w:hAnsi="Times New Roman" w:cs="Times New Roman"/>
          <w:color w:val="000000" w:themeColor="text1"/>
          <w:sz w:val="28"/>
          <w:szCs w:val="28"/>
          <w:shd w:val="clear" w:color="auto" w:fill="FFFFFF"/>
        </w:rPr>
        <w:t>budžeta programmas</w:t>
      </w:r>
      <w:r w:rsidR="00DE2EF3" w:rsidRPr="003F18F0">
        <w:rPr>
          <w:rFonts w:ascii="Times New Roman" w:eastAsia="Arial Unicode MS" w:hAnsi="Times New Roman" w:cs="Times New Roman"/>
          <w:color w:val="000000" w:themeColor="text1"/>
          <w:sz w:val="28"/>
          <w:szCs w:val="28"/>
          <w:shd w:val="clear" w:color="auto" w:fill="FFFFFF"/>
        </w:rPr>
        <w:t xml:space="preserve"> “Emisijas kvotu izsolīšanas instruments”</w:t>
      </w:r>
      <w:r w:rsidR="00974DDB" w:rsidRPr="003F18F0">
        <w:rPr>
          <w:rFonts w:ascii="Times New Roman" w:eastAsia="Arial Unicode MS" w:hAnsi="Times New Roman" w:cs="Times New Roman"/>
          <w:color w:val="000000" w:themeColor="text1"/>
          <w:sz w:val="28"/>
          <w:szCs w:val="28"/>
          <w:shd w:val="clear" w:color="auto" w:fill="FFFFFF"/>
        </w:rPr>
        <w:t xml:space="preserve"> finansējuma apjomu</w:t>
      </w:r>
      <w:r w:rsidR="003800CF" w:rsidRPr="003F18F0">
        <w:rPr>
          <w:rFonts w:ascii="Times New Roman" w:eastAsia="Arial Unicode MS" w:hAnsi="Times New Roman" w:cs="Times New Roman"/>
          <w:color w:val="000000" w:themeColor="text1"/>
          <w:sz w:val="28"/>
          <w:szCs w:val="28"/>
          <w:shd w:val="clear" w:color="auto" w:fill="FFFFFF"/>
        </w:rPr>
        <w:t xml:space="preserve">. </w:t>
      </w:r>
      <w:r w:rsidR="00DE2EF3" w:rsidRPr="003F18F0">
        <w:rPr>
          <w:rFonts w:ascii="Times New Roman" w:eastAsia="Arial Unicode MS" w:hAnsi="Times New Roman" w:cs="Times New Roman"/>
          <w:color w:val="000000" w:themeColor="text1"/>
          <w:sz w:val="28"/>
          <w:szCs w:val="28"/>
          <w:shd w:val="clear" w:color="auto" w:fill="FFFFFF"/>
        </w:rPr>
        <w:t xml:space="preserve">Savukārt </w:t>
      </w:r>
      <w:r w:rsidR="003800CF" w:rsidRPr="003F18F0">
        <w:rPr>
          <w:rFonts w:ascii="Times New Roman" w:eastAsia="Arial Unicode MS" w:hAnsi="Times New Roman" w:cs="Times New Roman"/>
          <w:color w:val="000000" w:themeColor="text1"/>
          <w:sz w:val="28"/>
          <w:szCs w:val="28"/>
          <w:shd w:val="clear" w:color="auto" w:fill="FFFFFF"/>
        </w:rPr>
        <w:t>5</w:t>
      </w:r>
      <w:r w:rsidR="003800CF" w:rsidRPr="003F18F0">
        <w:rPr>
          <w:rFonts w:ascii="Times New Roman" w:hAnsi="Times New Roman" w:cs="Times New Roman"/>
          <w:color w:val="000000" w:themeColor="text1"/>
          <w:sz w:val="28"/>
          <w:szCs w:val="28"/>
        </w:rPr>
        <w:t>.</w:t>
      </w:r>
      <w:r w:rsidR="00DE2EF3" w:rsidRPr="003F18F0">
        <w:rPr>
          <w:rFonts w:ascii="Times New Roman" w:hAnsi="Times New Roman" w:cs="Times New Roman"/>
          <w:color w:val="000000" w:themeColor="text1"/>
          <w:sz w:val="28"/>
          <w:szCs w:val="28"/>
        </w:rPr>
        <w:t> </w:t>
      </w:r>
      <w:r w:rsidR="003800CF" w:rsidRPr="003F18F0">
        <w:rPr>
          <w:rFonts w:ascii="Times New Roman" w:hAnsi="Times New Roman" w:cs="Times New Roman"/>
          <w:color w:val="000000" w:themeColor="text1"/>
          <w:sz w:val="28"/>
          <w:szCs w:val="28"/>
        </w:rPr>
        <w:t xml:space="preserve">attēlā grafiski parādītas potenciālās izmaiņas </w:t>
      </w:r>
      <w:r w:rsidR="00DE2EF3" w:rsidRPr="003F18F0">
        <w:rPr>
          <w:rFonts w:ascii="Times New Roman" w:hAnsi="Times New Roman" w:cs="Times New Roman"/>
          <w:color w:val="000000" w:themeColor="text1"/>
          <w:sz w:val="28"/>
          <w:szCs w:val="28"/>
        </w:rPr>
        <w:t xml:space="preserve">emisijas kvotu </w:t>
      </w:r>
      <w:r w:rsidR="003800CF" w:rsidRPr="003F18F0">
        <w:rPr>
          <w:rFonts w:ascii="Times New Roman" w:hAnsi="Times New Roman" w:cs="Times New Roman"/>
          <w:color w:val="000000" w:themeColor="text1"/>
          <w:sz w:val="28"/>
          <w:szCs w:val="28"/>
        </w:rPr>
        <w:t>izsoļu ieņēmumos laika griezumā līdz 2030.</w:t>
      </w:r>
      <w:r w:rsidR="00DE2EF3" w:rsidRPr="003F18F0">
        <w:rPr>
          <w:rFonts w:ascii="Times New Roman" w:hAnsi="Times New Roman" w:cs="Times New Roman"/>
          <w:color w:val="000000" w:themeColor="text1"/>
          <w:sz w:val="28"/>
          <w:szCs w:val="28"/>
        </w:rPr>
        <w:t> </w:t>
      </w:r>
      <w:r w:rsidR="003800CF" w:rsidRPr="003F18F0">
        <w:rPr>
          <w:rFonts w:ascii="Times New Roman" w:hAnsi="Times New Roman" w:cs="Times New Roman"/>
          <w:color w:val="000000" w:themeColor="text1"/>
          <w:sz w:val="28"/>
          <w:szCs w:val="28"/>
        </w:rPr>
        <w:t xml:space="preserve">gadam. </w:t>
      </w:r>
    </w:p>
    <w:p w14:paraId="193558BC" w14:textId="77777777" w:rsidR="00872B44" w:rsidRPr="003F18F0" w:rsidRDefault="00872B44" w:rsidP="00987C6B">
      <w:pPr>
        <w:spacing w:after="0" w:line="240" w:lineRule="auto"/>
        <w:ind w:right="-1" w:firstLine="709"/>
        <w:jc w:val="both"/>
        <w:rPr>
          <w:rFonts w:ascii="Times New Roman" w:hAnsi="Times New Roman" w:cs="Times New Roman"/>
          <w:color w:val="000000" w:themeColor="text1"/>
          <w:sz w:val="28"/>
          <w:szCs w:val="28"/>
        </w:rPr>
      </w:pPr>
    </w:p>
    <w:p w14:paraId="3AF24B4B" w14:textId="1F8C5ED8" w:rsidR="00F76B36" w:rsidRPr="003F18F0" w:rsidRDefault="005664D5" w:rsidP="00103AC8">
      <w:pPr>
        <w:spacing w:after="0" w:line="240" w:lineRule="auto"/>
        <w:ind w:right="-1"/>
        <w:rPr>
          <w:rFonts w:ascii="Times New Roman" w:eastAsia="Arial Unicode MS" w:hAnsi="Times New Roman" w:cs="Times New Roman"/>
          <w:color w:val="000000" w:themeColor="text1"/>
          <w:sz w:val="28"/>
          <w:szCs w:val="28"/>
          <w:shd w:val="clear" w:color="auto" w:fill="FFFFFF"/>
        </w:rPr>
      </w:pPr>
      <w:r>
        <w:rPr>
          <w:rFonts w:ascii="Times New Roman" w:eastAsia="Arial Unicode MS" w:hAnsi="Times New Roman" w:cs="Times New Roman"/>
          <w:noProof/>
          <w:color w:val="000000" w:themeColor="text1"/>
          <w:sz w:val="28"/>
          <w:szCs w:val="28"/>
          <w:shd w:val="clear" w:color="auto" w:fill="FFFFFF"/>
        </w:rPr>
        <w:drawing>
          <wp:inline distT="0" distB="0" distL="0" distR="0" wp14:anchorId="220B1002" wp14:editId="15252246">
            <wp:extent cx="5753735" cy="32359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735" cy="3235960"/>
                    </a:xfrm>
                    <a:prstGeom prst="rect">
                      <a:avLst/>
                    </a:prstGeom>
                    <a:noFill/>
                    <a:ln>
                      <a:noFill/>
                    </a:ln>
                  </pic:spPr>
                </pic:pic>
              </a:graphicData>
            </a:graphic>
          </wp:inline>
        </w:drawing>
      </w:r>
    </w:p>
    <w:p w14:paraId="1A016EC2" w14:textId="7D93F1F4" w:rsidR="00F76B36" w:rsidRPr="003F18F0" w:rsidRDefault="00F76B36" w:rsidP="00987C6B">
      <w:pPr>
        <w:spacing w:after="0" w:line="240" w:lineRule="auto"/>
        <w:ind w:right="-1" w:firstLine="567"/>
        <w:jc w:val="center"/>
        <w:rPr>
          <w:rFonts w:ascii="Times New Roman" w:eastAsia="Arial Unicode MS" w:hAnsi="Times New Roman" w:cs="Times New Roman"/>
          <w:color w:val="000000" w:themeColor="text1"/>
          <w:sz w:val="28"/>
          <w:szCs w:val="28"/>
          <w:shd w:val="clear" w:color="auto" w:fill="FFFFFF"/>
        </w:rPr>
      </w:pPr>
      <w:r w:rsidRPr="003F18F0">
        <w:rPr>
          <w:rFonts w:ascii="Times New Roman" w:eastAsia="Arial Unicode MS" w:hAnsi="Times New Roman" w:cs="Times New Roman"/>
          <w:color w:val="000000" w:themeColor="text1"/>
          <w:sz w:val="28"/>
          <w:szCs w:val="28"/>
          <w:shd w:val="clear" w:color="auto" w:fill="FFFFFF"/>
        </w:rPr>
        <w:t xml:space="preserve">Attēls </w:t>
      </w:r>
      <w:r w:rsidR="00872B44" w:rsidRPr="003F18F0">
        <w:rPr>
          <w:rFonts w:ascii="Times New Roman" w:eastAsia="Arial Unicode MS" w:hAnsi="Times New Roman" w:cs="Times New Roman"/>
          <w:color w:val="000000" w:themeColor="text1"/>
          <w:sz w:val="28"/>
          <w:szCs w:val="28"/>
          <w:shd w:val="clear" w:color="auto" w:fill="FFFFFF"/>
        </w:rPr>
        <w:t>N</w:t>
      </w:r>
      <w:r w:rsidRPr="003F18F0">
        <w:rPr>
          <w:rFonts w:ascii="Times New Roman" w:eastAsia="Arial Unicode MS" w:hAnsi="Times New Roman" w:cs="Times New Roman"/>
          <w:color w:val="000000" w:themeColor="text1"/>
          <w:sz w:val="28"/>
          <w:szCs w:val="28"/>
          <w:shd w:val="clear" w:color="auto" w:fill="FFFFFF"/>
        </w:rPr>
        <w:t>r.</w:t>
      </w:r>
      <w:r w:rsidR="00872B44" w:rsidRPr="003F18F0">
        <w:rPr>
          <w:rFonts w:ascii="Times New Roman" w:eastAsia="Arial Unicode MS" w:hAnsi="Times New Roman" w:cs="Times New Roman"/>
          <w:color w:val="000000" w:themeColor="text1"/>
          <w:sz w:val="28"/>
          <w:szCs w:val="28"/>
          <w:shd w:val="clear" w:color="auto" w:fill="FFFFFF"/>
        </w:rPr>
        <w:t> </w:t>
      </w:r>
      <w:r w:rsidRPr="003F18F0">
        <w:rPr>
          <w:rFonts w:ascii="Times New Roman" w:eastAsia="Arial Unicode MS" w:hAnsi="Times New Roman" w:cs="Times New Roman"/>
          <w:color w:val="000000" w:themeColor="text1"/>
          <w:sz w:val="28"/>
          <w:szCs w:val="28"/>
          <w:shd w:val="clear" w:color="auto" w:fill="FFFFFF"/>
        </w:rPr>
        <w:t>5.</w:t>
      </w:r>
      <w:r w:rsidRPr="003F18F0">
        <w:rPr>
          <w:rFonts w:ascii="Times New Roman" w:eastAsia="Arial Unicode MS" w:hAnsi="Times New Roman" w:cs="Times New Roman"/>
          <w:i/>
          <w:color w:val="000000" w:themeColor="text1"/>
          <w:sz w:val="28"/>
          <w:szCs w:val="28"/>
          <w:shd w:val="clear" w:color="auto" w:fill="FFFFFF"/>
        </w:rPr>
        <w:t xml:space="preserve"> </w:t>
      </w:r>
      <w:r w:rsidRPr="003F18F0">
        <w:rPr>
          <w:rFonts w:ascii="Times New Roman" w:eastAsia="Arial Unicode MS" w:hAnsi="Times New Roman" w:cs="Times New Roman"/>
          <w:color w:val="000000" w:themeColor="text1"/>
          <w:sz w:val="28"/>
          <w:szCs w:val="28"/>
          <w:shd w:val="clear" w:color="auto" w:fill="FFFFFF"/>
        </w:rPr>
        <w:t>EKII ieņēmumu dinamika līdz 2030.</w:t>
      </w:r>
      <w:r w:rsidR="00DE2EF3" w:rsidRPr="003F18F0">
        <w:rPr>
          <w:rFonts w:ascii="Times New Roman" w:eastAsia="Arial Unicode MS" w:hAnsi="Times New Roman" w:cs="Times New Roman"/>
          <w:color w:val="000000" w:themeColor="text1"/>
          <w:sz w:val="28"/>
          <w:szCs w:val="28"/>
          <w:shd w:val="clear" w:color="auto" w:fill="FFFFFF"/>
        </w:rPr>
        <w:t> </w:t>
      </w:r>
      <w:r w:rsidRPr="003F18F0">
        <w:rPr>
          <w:rFonts w:ascii="Times New Roman" w:eastAsia="Arial Unicode MS" w:hAnsi="Times New Roman" w:cs="Times New Roman"/>
          <w:color w:val="000000" w:themeColor="text1"/>
          <w:sz w:val="28"/>
          <w:szCs w:val="28"/>
          <w:shd w:val="clear" w:color="auto" w:fill="FFFFFF"/>
        </w:rPr>
        <w:t xml:space="preserve">gadam ņemot vērā Modernizācijas fonda finansējuma </w:t>
      </w:r>
      <w:r w:rsidR="003800CF" w:rsidRPr="003F18F0">
        <w:rPr>
          <w:rFonts w:ascii="Times New Roman" w:eastAsia="Arial Unicode MS" w:hAnsi="Times New Roman" w:cs="Times New Roman"/>
          <w:color w:val="000000" w:themeColor="text1"/>
          <w:sz w:val="28"/>
          <w:szCs w:val="28"/>
          <w:shd w:val="clear" w:color="auto" w:fill="FFFFFF"/>
        </w:rPr>
        <w:t xml:space="preserve">potenciālo </w:t>
      </w:r>
      <w:r w:rsidRPr="003F18F0">
        <w:rPr>
          <w:rFonts w:ascii="Times New Roman" w:eastAsia="Arial Unicode MS" w:hAnsi="Times New Roman" w:cs="Times New Roman"/>
          <w:color w:val="000000" w:themeColor="text1"/>
          <w:sz w:val="28"/>
          <w:szCs w:val="28"/>
          <w:shd w:val="clear" w:color="auto" w:fill="FFFFFF"/>
        </w:rPr>
        <w:t>palielināšanu</w:t>
      </w:r>
      <w:r w:rsidR="003800CF" w:rsidRPr="003F18F0">
        <w:rPr>
          <w:rFonts w:ascii="Times New Roman" w:eastAsia="Arial Unicode MS" w:hAnsi="Times New Roman" w:cs="Times New Roman"/>
          <w:color w:val="000000" w:themeColor="text1"/>
          <w:sz w:val="28"/>
          <w:szCs w:val="28"/>
          <w:shd w:val="clear" w:color="auto" w:fill="FFFFFF"/>
        </w:rPr>
        <w:t>.</w:t>
      </w:r>
    </w:p>
    <w:p w14:paraId="2E99E449" w14:textId="11998CF2" w:rsidR="00872B44" w:rsidRPr="003F18F0" w:rsidRDefault="00872B44" w:rsidP="00987C6B">
      <w:pPr>
        <w:spacing w:after="0" w:line="240" w:lineRule="auto"/>
        <w:ind w:right="-1" w:firstLine="567"/>
        <w:jc w:val="both"/>
        <w:rPr>
          <w:rFonts w:ascii="Times New Roman" w:hAnsi="Times New Roman" w:cs="Times New Roman"/>
          <w:color w:val="000000" w:themeColor="text1"/>
          <w:sz w:val="28"/>
          <w:szCs w:val="28"/>
        </w:rPr>
      </w:pPr>
    </w:p>
    <w:p w14:paraId="4AC0CB4C" w14:textId="5775A31E" w:rsidR="000229D6" w:rsidRPr="003F18F0" w:rsidRDefault="000229D6" w:rsidP="00987C6B">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Modelējot situāciju, tiek ņemts vērā indikatīvais emisiju kvotu piešķiramais apjoms izsolīšanai Latvijas labā, </w:t>
      </w:r>
      <w:proofErr w:type="spellStart"/>
      <w:r w:rsidRPr="003F18F0">
        <w:rPr>
          <w:rFonts w:ascii="Times New Roman" w:hAnsi="Times New Roman" w:cs="Times New Roman"/>
          <w:i/>
          <w:color w:val="000000" w:themeColor="text1"/>
          <w:sz w:val="28"/>
          <w:szCs w:val="28"/>
        </w:rPr>
        <w:t>Carbon</w:t>
      </w:r>
      <w:proofErr w:type="spellEnd"/>
      <w:r w:rsidRPr="003F18F0">
        <w:rPr>
          <w:rFonts w:ascii="Times New Roman" w:hAnsi="Times New Roman" w:cs="Times New Roman"/>
          <w:i/>
          <w:color w:val="000000" w:themeColor="text1"/>
          <w:sz w:val="28"/>
          <w:szCs w:val="28"/>
        </w:rPr>
        <w:t xml:space="preserve"> </w:t>
      </w:r>
      <w:proofErr w:type="spellStart"/>
      <w:r w:rsidRPr="003F18F0">
        <w:rPr>
          <w:rFonts w:ascii="Times New Roman" w:hAnsi="Times New Roman" w:cs="Times New Roman"/>
          <w:i/>
          <w:color w:val="000000" w:themeColor="text1"/>
          <w:sz w:val="28"/>
          <w:szCs w:val="28"/>
        </w:rPr>
        <w:t>Pulse</w:t>
      </w:r>
      <w:proofErr w:type="spellEnd"/>
      <w:r w:rsidRPr="003F18F0">
        <w:rPr>
          <w:rFonts w:ascii="Times New Roman" w:hAnsi="Times New Roman" w:cs="Times New Roman"/>
          <w:color w:val="000000" w:themeColor="text1"/>
          <w:sz w:val="28"/>
          <w:szCs w:val="28"/>
        </w:rPr>
        <w:t xml:space="preserve"> ekspertu</w:t>
      </w:r>
      <w:r w:rsidR="00491A43">
        <w:rPr>
          <w:rStyle w:val="FootnoteReference"/>
          <w:rFonts w:ascii="Times New Roman" w:hAnsi="Times New Roman" w:cs="Times New Roman"/>
          <w:color w:val="000000" w:themeColor="text1"/>
          <w:sz w:val="28"/>
          <w:szCs w:val="28"/>
        </w:rPr>
        <w:footnoteReference w:id="31"/>
      </w:r>
      <w:r w:rsidRPr="003F18F0">
        <w:rPr>
          <w:rFonts w:ascii="Times New Roman" w:hAnsi="Times New Roman" w:cs="Times New Roman"/>
          <w:color w:val="000000" w:themeColor="text1"/>
          <w:sz w:val="28"/>
          <w:szCs w:val="28"/>
        </w:rPr>
        <w:t xml:space="preserve"> prognozētās vidējās katra gada cenas un tirgus stabilitātes rezerves potenciālā ietekme. Aprēķinos </w:t>
      </w:r>
      <w:r w:rsidRPr="003F18F0">
        <w:rPr>
          <w:rFonts w:ascii="Times New Roman" w:hAnsi="Times New Roman" w:cs="Times New Roman"/>
          <w:color w:val="000000" w:themeColor="text1"/>
          <w:sz w:val="28"/>
          <w:szCs w:val="28"/>
        </w:rPr>
        <w:lastRenderedPageBreak/>
        <w:t>netiek iekļautas emisijas kvotas, kas tiks izsolītas 2020. gadā Inovācijas fonda</w:t>
      </w:r>
      <w:r w:rsidR="000D4AB1" w:rsidRPr="003F18F0">
        <w:rPr>
          <w:rStyle w:val="FootnoteReference"/>
          <w:rFonts w:ascii="Times New Roman" w:hAnsi="Times New Roman" w:cs="Times New Roman"/>
          <w:color w:val="000000" w:themeColor="text1"/>
          <w:sz w:val="28"/>
          <w:szCs w:val="28"/>
        </w:rPr>
        <w:footnoteReference w:id="32"/>
      </w:r>
      <w:r w:rsidRPr="003F18F0">
        <w:rPr>
          <w:rFonts w:ascii="Times New Roman" w:hAnsi="Times New Roman" w:cs="Times New Roman"/>
          <w:color w:val="000000" w:themeColor="text1"/>
          <w:sz w:val="28"/>
          <w:szCs w:val="28"/>
        </w:rPr>
        <w:t xml:space="preserve"> darbības uzsākšanai.</w:t>
      </w:r>
    </w:p>
    <w:p w14:paraId="7E5BBAAE" w14:textId="77777777" w:rsidR="00103AC8" w:rsidRPr="003F18F0" w:rsidRDefault="00103AC8" w:rsidP="00987C6B">
      <w:pPr>
        <w:spacing w:after="0" w:line="240" w:lineRule="auto"/>
        <w:ind w:right="-1" w:firstLine="567"/>
        <w:jc w:val="both"/>
        <w:rPr>
          <w:rFonts w:ascii="Times New Roman" w:hAnsi="Times New Roman" w:cs="Times New Roman"/>
          <w:color w:val="000000" w:themeColor="text1"/>
          <w:sz w:val="28"/>
          <w:szCs w:val="28"/>
        </w:rPr>
      </w:pPr>
    </w:p>
    <w:p w14:paraId="16C480A8" w14:textId="48838D27" w:rsidR="00D3461B" w:rsidRPr="003F18F0" w:rsidRDefault="00B22D09" w:rsidP="00DA15F9">
      <w:pPr>
        <w:spacing w:after="120" w:line="240" w:lineRule="auto"/>
        <w:ind w:right="-1"/>
        <w:jc w:val="center"/>
        <w:rPr>
          <w:rFonts w:ascii="Times New Roman" w:hAnsi="Times New Roman" w:cs="Times New Roman"/>
          <w:b/>
          <w:color w:val="000000" w:themeColor="text1"/>
          <w:sz w:val="28"/>
          <w:szCs w:val="28"/>
        </w:rPr>
      </w:pPr>
      <w:r w:rsidRPr="003F18F0">
        <w:rPr>
          <w:rFonts w:ascii="Times New Roman" w:hAnsi="Times New Roman" w:cs="Times New Roman"/>
          <w:b/>
          <w:color w:val="000000" w:themeColor="text1"/>
          <w:sz w:val="28"/>
          <w:szCs w:val="28"/>
        </w:rPr>
        <w:t>5.</w:t>
      </w:r>
      <w:r w:rsidR="00D81275" w:rsidRPr="003F18F0">
        <w:rPr>
          <w:rFonts w:ascii="Times New Roman" w:hAnsi="Times New Roman" w:cs="Times New Roman"/>
          <w:b/>
          <w:color w:val="000000" w:themeColor="text1"/>
          <w:sz w:val="28"/>
          <w:szCs w:val="28"/>
        </w:rPr>
        <w:t> </w:t>
      </w:r>
      <w:r w:rsidR="000229D6" w:rsidRPr="003F18F0">
        <w:rPr>
          <w:rFonts w:ascii="Times New Roman" w:hAnsi="Times New Roman" w:cs="Times New Roman"/>
          <w:b/>
          <w:color w:val="000000" w:themeColor="text1"/>
          <w:sz w:val="28"/>
          <w:szCs w:val="28"/>
        </w:rPr>
        <w:t xml:space="preserve">Apsvērumi lēmuma pieņemšanai attiecībā uz </w:t>
      </w:r>
      <w:r w:rsidR="005F585A" w:rsidRPr="003F18F0">
        <w:rPr>
          <w:rFonts w:ascii="Times New Roman" w:hAnsi="Times New Roman" w:cs="Times New Roman"/>
          <w:b/>
          <w:color w:val="000000" w:themeColor="text1"/>
          <w:sz w:val="28"/>
          <w:szCs w:val="28"/>
        </w:rPr>
        <w:t>finansējuma pārvirzīšan</w:t>
      </w:r>
      <w:r w:rsidR="00322F12" w:rsidRPr="003F18F0">
        <w:rPr>
          <w:rFonts w:ascii="Times New Roman" w:hAnsi="Times New Roman" w:cs="Times New Roman"/>
          <w:b/>
          <w:color w:val="000000" w:themeColor="text1"/>
          <w:sz w:val="28"/>
          <w:szCs w:val="28"/>
        </w:rPr>
        <w:t>as iespēju</w:t>
      </w:r>
      <w:r w:rsidR="005F585A" w:rsidRPr="003F18F0">
        <w:rPr>
          <w:rFonts w:ascii="Times New Roman" w:hAnsi="Times New Roman" w:cs="Times New Roman"/>
          <w:b/>
          <w:color w:val="000000" w:themeColor="text1"/>
          <w:sz w:val="28"/>
          <w:szCs w:val="28"/>
        </w:rPr>
        <w:t xml:space="preserve"> no EKII uz Modernizācijas fondu</w:t>
      </w:r>
    </w:p>
    <w:p w14:paraId="63EC90EB" w14:textId="768E5859" w:rsidR="00C00CD2" w:rsidRPr="003F18F0" w:rsidRDefault="00C00CD2"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EKII ir šobrīd vienīgais nacionālais specializētais instruments Latvijā, kas vērsts specifiski uz klimata politikas mērķu sasniegšanu</w:t>
      </w:r>
      <w:r w:rsidR="00991F02" w:rsidRPr="003F18F0">
        <w:rPr>
          <w:rFonts w:ascii="Times New Roman" w:hAnsi="Times New Roman" w:cs="Times New Roman"/>
          <w:color w:val="000000" w:themeColor="text1"/>
          <w:sz w:val="28"/>
          <w:szCs w:val="28"/>
        </w:rPr>
        <w:t xml:space="preserve"> un tā tvērums </w:t>
      </w:r>
      <w:r w:rsidR="00226AB2" w:rsidRPr="003F18F0">
        <w:rPr>
          <w:rFonts w:ascii="Times New Roman" w:hAnsi="Times New Roman" w:cs="Times New Roman"/>
          <w:color w:val="000000" w:themeColor="text1"/>
          <w:sz w:val="28"/>
          <w:szCs w:val="28"/>
        </w:rPr>
        <w:t xml:space="preserve">ir </w:t>
      </w:r>
      <w:r w:rsidR="00991F02" w:rsidRPr="003F18F0">
        <w:rPr>
          <w:rFonts w:ascii="Times New Roman" w:hAnsi="Times New Roman" w:cs="Times New Roman"/>
          <w:color w:val="000000" w:themeColor="text1"/>
          <w:sz w:val="28"/>
          <w:szCs w:val="28"/>
        </w:rPr>
        <w:t>nedaudz plašāks nekā Modernizācijas fondam</w:t>
      </w:r>
      <w:r w:rsidR="00226AB2" w:rsidRPr="003F18F0">
        <w:rPr>
          <w:rFonts w:ascii="Times New Roman" w:hAnsi="Times New Roman" w:cs="Times New Roman"/>
          <w:color w:val="000000" w:themeColor="text1"/>
          <w:sz w:val="28"/>
          <w:szCs w:val="28"/>
        </w:rPr>
        <w:t>, kas koncentrējas uz energoefektivitātes uzlabošanu un energosistēmu modernizāciju</w:t>
      </w:r>
      <w:r w:rsidRPr="003F18F0">
        <w:rPr>
          <w:rFonts w:ascii="Times New Roman" w:hAnsi="Times New Roman" w:cs="Times New Roman"/>
          <w:color w:val="000000" w:themeColor="text1"/>
          <w:sz w:val="28"/>
          <w:szCs w:val="28"/>
        </w:rPr>
        <w:t xml:space="preserve">. </w:t>
      </w:r>
      <w:r w:rsidR="0057430D" w:rsidRPr="003F18F0">
        <w:rPr>
          <w:rFonts w:ascii="Times New Roman" w:hAnsi="Times New Roman" w:cs="Times New Roman"/>
          <w:color w:val="000000" w:themeColor="text1"/>
          <w:sz w:val="28"/>
          <w:szCs w:val="28"/>
        </w:rPr>
        <w:t xml:space="preserve">Saskaņā ar likumu “Par Piesārņojumu” </w:t>
      </w:r>
      <w:r w:rsidR="0057430D" w:rsidRPr="003F18F0">
        <w:rPr>
          <w:rFonts w:ascii="TimesNewRomanPSMT" w:hAnsi="TimesNewRomanPSMT" w:cs="TimesNewRomanPSMT"/>
          <w:color w:val="000000" w:themeColor="text1"/>
          <w:sz w:val="28"/>
          <w:szCs w:val="28"/>
        </w:rPr>
        <w:t>32.</w:t>
      </w:r>
      <w:r w:rsidR="0057430D" w:rsidRPr="003F18F0">
        <w:rPr>
          <w:rFonts w:ascii="TimesNewRomanPSMT" w:hAnsi="TimesNewRomanPSMT" w:cs="TimesNewRomanPSMT"/>
          <w:color w:val="000000" w:themeColor="text1"/>
          <w:sz w:val="28"/>
          <w:szCs w:val="28"/>
          <w:vertAlign w:val="superscript"/>
        </w:rPr>
        <w:t>2</w:t>
      </w:r>
      <w:r w:rsidR="0057430D" w:rsidRPr="003F18F0">
        <w:rPr>
          <w:rFonts w:ascii="TimesNewRomanPSMT" w:hAnsi="TimesNewRomanPSMT" w:cs="TimesNewRomanPSMT"/>
          <w:color w:val="000000" w:themeColor="text1"/>
          <w:sz w:val="28"/>
          <w:szCs w:val="28"/>
        </w:rPr>
        <w:t xml:space="preserve"> panta 4</w:t>
      </w:r>
      <w:r w:rsidR="0057430D" w:rsidRPr="003F18F0">
        <w:rPr>
          <w:rFonts w:ascii="TimesNewRomanPSMT" w:hAnsi="TimesNewRomanPSMT" w:cs="TimesNewRomanPSMT"/>
          <w:color w:val="000000" w:themeColor="text1"/>
          <w:sz w:val="28"/>
          <w:szCs w:val="28"/>
          <w:vertAlign w:val="superscript"/>
        </w:rPr>
        <w:t>4</w:t>
      </w:r>
      <w:r w:rsidR="0057430D" w:rsidRPr="003F18F0">
        <w:rPr>
          <w:rFonts w:ascii="TimesNewRomanPSMT" w:hAnsi="TimesNewRomanPSMT" w:cs="TimesNewRomanPSMT"/>
          <w:color w:val="000000" w:themeColor="text1"/>
          <w:sz w:val="28"/>
          <w:szCs w:val="28"/>
        </w:rPr>
        <w:t xml:space="preserve">. daļu </w:t>
      </w:r>
      <w:r w:rsidR="0057430D" w:rsidRPr="003F18F0">
        <w:rPr>
          <w:rFonts w:ascii="Times New Roman" w:hAnsi="Times New Roman" w:cs="Times New Roman"/>
          <w:color w:val="000000" w:themeColor="text1"/>
          <w:sz w:val="28"/>
          <w:szCs w:val="28"/>
        </w:rPr>
        <w:t xml:space="preserve">emisiju kvotu izsoļu </w:t>
      </w:r>
      <w:r w:rsidRPr="003F18F0">
        <w:rPr>
          <w:rFonts w:ascii="Times New Roman" w:hAnsi="Times New Roman" w:cs="Times New Roman"/>
          <w:color w:val="000000" w:themeColor="text1"/>
          <w:sz w:val="28"/>
          <w:szCs w:val="28"/>
        </w:rPr>
        <w:t xml:space="preserve">ieņēmumus izmanto, lai mazinātu klimata pārmaiņas un nodrošinātu pielāgošanos klimata pārmaiņām, t.sk. SEG emisiju samazināšanai vai ierobežošanai enerģētikas, rūpniecības, transporta, lauksaimniecības, mežsaimniecības un atkritumu apsaimniekošanas nozarēs, </w:t>
      </w:r>
      <w:r w:rsidRPr="003F18F0">
        <w:rPr>
          <w:rFonts w:ascii="Times New Roman" w:hAnsi="Times New Roman" w:cs="Times New Roman"/>
          <w:color w:val="000000" w:themeColor="text1"/>
          <w:sz w:val="28"/>
          <w:szCs w:val="28"/>
          <w:shd w:val="clear" w:color="auto" w:fill="FFFFFF"/>
        </w:rPr>
        <w:t>kā arī iespēju pielāgoties klimata pārmaiņām palielināšanai</w:t>
      </w:r>
      <w:r w:rsidRPr="003F18F0">
        <w:rPr>
          <w:rFonts w:ascii="Times New Roman" w:hAnsi="Times New Roman" w:cs="Times New Roman"/>
          <w:color w:val="000000" w:themeColor="text1"/>
          <w:sz w:val="28"/>
          <w:szCs w:val="28"/>
        </w:rPr>
        <w:t>. EKII izmantojams arī A</w:t>
      </w:r>
      <w:r w:rsidR="00695172" w:rsidRPr="003F18F0">
        <w:rPr>
          <w:rFonts w:ascii="Times New Roman" w:hAnsi="Times New Roman" w:cs="Times New Roman"/>
          <w:color w:val="000000" w:themeColor="text1"/>
          <w:sz w:val="28"/>
          <w:szCs w:val="28"/>
        </w:rPr>
        <w:t xml:space="preserve">pvienoto </w:t>
      </w:r>
      <w:r w:rsidRPr="003F18F0">
        <w:rPr>
          <w:rFonts w:ascii="Times New Roman" w:hAnsi="Times New Roman" w:cs="Times New Roman"/>
          <w:color w:val="000000" w:themeColor="text1"/>
          <w:sz w:val="28"/>
          <w:szCs w:val="28"/>
        </w:rPr>
        <w:t>N</w:t>
      </w:r>
      <w:r w:rsidR="00695172" w:rsidRPr="003F18F0">
        <w:rPr>
          <w:rFonts w:ascii="Times New Roman" w:hAnsi="Times New Roman" w:cs="Times New Roman"/>
          <w:color w:val="000000" w:themeColor="text1"/>
          <w:sz w:val="28"/>
          <w:szCs w:val="28"/>
        </w:rPr>
        <w:t xml:space="preserve">āciju </w:t>
      </w:r>
      <w:r w:rsidRPr="003F18F0">
        <w:rPr>
          <w:rFonts w:ascii="Times New Roman" w:hAnsi="Times New Roman" w:cs="Times New Roman"/>
          <w:color w:val="000000" w:themeColor="text1"/>
          <w:sz w:val="28"/>
          <w:szCs w:val="28"/>
        </w:rPr>
        <w:t>O</w:t>
      </w:r>
      <w:r w:rsidR="00695172" w:rsidRPr="003F18F0">
        <w:rPr>
          <w:rFonts w:ascii="Times New Roman" w:hAnsi="Times New Roman" w:cs="Times New Roman"/>
          <w:color w:val="000000" w:themeColor="text1"/>
          <w:sz w:val="28"/>
          <w:szCs w:val="28"/>
        </w:rPr>
        <w:t>rganizācijas</w:t>
      </w:r>
      <w:r w:rsidRPr="003F18F0">
        <w:rPr>
          <w:rFonts w:ascii="Times New Roman" w:hAnsi="Times New Roman" w:cs="Times New Roman"/>
          <w:color w:val="000000" w:themeColor="text1"/>
          <w:sz w:val="28"/>
          <w:szCs w:val="28"/>
        </w:rPr>
        <w:t xml:space="preserve"> Vispārējās konvencijas par klimata pārmaiņām un tās Kioto protokola saistību, kā arī citu starptautisko saistību izpildei </w:t>
      </w:r>
      <w:r w:rsidR="00DE2EF3" w:rsidRPr="003F18F0">
        <w:rPr>
          <w:rFonts w:ascii="Times New Roman" w:hAnsi="Times New Roman" w:cs="Times New Roman"/>
          <w:color w:val="000000" w:themeColor="text1"/>
          <w:sz w:val="28"/>
          <w:szCs w:val="28"/>
        </w:rPr>
        <w:t>SEG</w:t>
      </w:r>
      <w:r w:rsidRPr="003F18F0">
        <w:rPr>
          <w:rFonts w:ascii="Times New Roman" w:hAnsi="Times New Roman" w:cs="Times New Roman"/>
          <w:color w:val="000000" w:themeColor="text1"/>
          <w:sz w:val="28"/>
          <w:szCs w:val="28"/>
        </w:rPr>
        <w:t xml:space="preserve"> emisiju samazināšanas jomā.</w:t>
      </w:r>
    </w:p>
    <w:p w14:paraId="7B3F9A22" w14:textId="75CCB347" w:rsidR="002035D4" w:rsidRPr="003F18F0" w:rsidRDefault="00991F02" w:rsidP="00DA15F9">
      <w:pPr>
        <w:spacing w:after="0" w:line="240" w:lineRule="auto"/>
        <w:ind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EKII ir jau esoša strādājoša sistēma, kur</w:t>
      </w:r>
      <w:r w:rsidR="00D81275" w:rsidRPr="003F18F0">
        <w:rPr>
          <w:rFonts w:ascii="Times New Roman" w:hAnsi="Times New Roman" w:cs="Times New Roman"/>
          <w:color w:val="000000" w:themeColor="text1"/>
          <w:sz w:val="28"/>
          <w:szCs w:val="28"/>
        </w:rPr>
        <w:t>as ietvaros ir</w:t>
      </w:r>
      <w:r w:rsidRPr="003F18F0">
        <w:rPr>
          <w:rFonts w:ascii="Times New Roman" w:hAnsi="Times New Roman" w:cs="Times New Roman"/>
          <w:color w:val="000000" w:themeColor="text1"/>
          <w:sz w:val="28"/>
          <w:szCs w:val="28"/>
        </w:rPr>
        <w:t xml:space="preserve"> organizēti</w:t>
      </w:r>
      <w:r w:rsidR="00D81275" w:rsidRPr="003F18F0">
        <w:rPr>
          <w:rFonts w:ascii="Times New Roman" w:hAnsi="Times New Roman" w:cs="Times New Roman"/>
          <w:color w:val="000000" w:themeColor="text1"/>
          <w:sz w:val="28"/>
          <w:szCs w:val="28"/>
        </w:rPr>
        <w:t xml:space="preserve"> </w:t>
      </w:r>
      <w:r w:rsidR="00DA3C99" w:rsidRPr="003F18F0">
        <w:rPr>
          <w:rFonts w:ascii="Times New Roman" w:hAnsi="Times New Roman" w:cs="Times New Roman"/>
          <w:color w:val="000000" w:themeColor="text1"/>
          <w:sz w:val="28"/>
          <w:szCs w:val="28"/>
        </w:rPr>
        <w:t>atk</w:t>
      </w:r>
      <w:r w:rsidR="00D81275" w:rsidRPr="003F18F0">
        <w:rPr>
          <w:rFonts w:ascii="Times New Roman" w:hAnsi="Times New Roman" w:cs="Times New Roman"/>
          <w:color w:val="000000" w:themeColor="text1"/>
          <w:sz w:val="28"/>
          <w:szCs w:val="28"/>
        </w:rPr>
        <w:t>lāto</w:t>
      </w:r>
      <w:r w:rsidRPr="003F18F0">
        <w:rPr>
          <w:rFonts w:ascii="Times New Roman" w:hAnsi="Times New Roman" w:cs="Times New Roman"/>
          <w:color w:val="000000" w:themeColor="text1"/>
          <w:sz w:val="28"/>
          <w:szCs w:val="28"/>
        </w:rPr>
        <w:t xml:space="preserve"> projektu konkursi</w:t>
      </w:r>
      <w:r w:rsidRPr="003F18F0">
        <w:rPr>
          <w:rStyle w:val="FootnoteReference"/>
          <w:rFonts w:ascii="Times New Roman" w:hAnsi="Times New Roman" w:cs="Times New Roman"/>
          <w:color w:val="000000" w:themeColor="text1"/>
          <w:sz w:val="28"/>
          <w:szCs w:val="28"/>
        </w:rPr>
        <w:footnoteReference w:id="33"/>
      </w:r>
      <w:r w:rsidR="00D743E1" w:rsidRPr="003F18F0">
        <w:rPr>
          <w:rFonts w:ascii="Times New Roman" w:hAnsi="Times New Roman" w:cs="Times New Roman"/>
          <w:color w:val="000000" w:themeColor="text1"/>
          <w:sz w:val="28"/>
          <w:szCs w:val="28"/>
        </w:rPr>
        <w:t xml:space="preserve">, ir izstrādāta VARAM </w:t>
      </w:r>
      <w:r w:rsidR="00C06882" w:rsidRPr="003F18F0">
        <w:rPr>
          <w:rFonts w:ascii="Times New Roman" w:hAnsi="Times New Roman" w:cs="Times New Roman"/>
          <w:color w:val="000000" w:themeColor="text1"/>
          <w:sz w:val="28"/>
          <w:szCs w:val="28"/>
        </w:rPr>
        <w:t>EKII</w:t>
      </w:r>
      <w:r w:rsidR="00D743E1" w:rsidRPr="003F18F0">
        <w:rPr>
          <w:rFonts w:ascii="Times New Roman" w:hAnsi="Times New Roman" w:cs="Times New Roman"/>
          <w:color w:val="000000" w:themeColor="text1"/>
          <w:sz w:val="28"/>
          <w:szCs w:val="28"/>
        </w:rPr>
        <w:t xml:space="preserve"> darbības stratēģija, kurā identificēti potenciāli</w:t>
      </w:r>
      <w:r w:rsidR="00C90B96" w:rsidRPr="003F18F0">
        <w:rPr>
          <w:rFonts w:ascii="Times New Roman" w:hAnsi="Times New Roman" w:cs="Times New Roman"/>
          <w:color w:val="000000" w:themeColor="text1"/>
          <w:sz w:val="28"/>
          <w:szCs w:val="28"/>
        </w:rPr>
        <w:t>e</w:t>
      </w:r>
      <w:r w:rsidR="00D743E1" w:rsidRPr="003F18F0">
        <w:rPr>
          <w:rFonts w:ascii="Times New Roman" w:hAnsi="Times New Roman" w:cs="Times New Roman"/>
          <w:color w:val="000000" w:themeColor="text1"/>
          <w:sz w:val="28"/>
          <w:szCs w:val="28"/>
        </w:rPr>
        <w:t xml:space="preserve"> ieguldījumu virzieni līdz 2020.</w:t>
      </w:r>
      <w:r w:rsidR="00832CD8" w:rsidRPr="003F18F0">
        <w:rPr>
          <w:rFonts w:ascii="Times New Roman" w:hAnsi="Times New Roman" w:cs="Times New Roman"/>
          <w:color w:val="000000" w:themeColor="text1"/>
          <w:sz w:val="28"/>
          <w:szCs w:val="28"/>
        </w:rPr>
        <w:t> </w:t>
      </w:r>
      <w:r w:rsidR="00D743E1" w:rsidRPr="003F18F0">
        <w:rPr>
          <w:rFonts w:ascii="Times New Roman" w:hAnsi="Times New Roman" w:cs="Times New Roman"/>
          <w:color w:val="000000" w:themeColor="text1"/>
          <w:sz w:val="28"/>
          <w:szCs w:val="28"/>
        </w:rPr>
        <w:t>gadam</w:t>
      </w:r>
      <w:r w:rsidR="001640F9" w:rsidRPr="003F18F0">
        <w:rPr>
          <w:rStyle w:val="FootnoteReference"/>
          <w:rFonts w:ascii="Times New Roman" w:hAnsi="Times New Roman" w:cs="Times New Roman"/>
          <w:color w:val="000000" w:themeColor="text1"/>
          <w:sz w:val="28"/>
          <w:szCs w:val="28"/>
        </w:rPr>
        <w:footnoteReference w:id="34"/>
      </w:r>
      <w:r w:rsidR="00CC025D" w:rsidRPr="003F18F0">
        <w:rPr>
          <w:rFonts w:ascii="Times New Roman" w:hAnsi="Times New Roman" w:cs="Times New Roman"/>
          <w:color w:val="000000" w:themeColor="text1"/>
          <w:sz w:val="28"/>
          <w:szCs w:val="28"/>
        </w:rPr>
        <w:t>.</w:t>
      </w:r>
      <w:r w:rsidR="001153CF" w:rsidRPr="003F18F0">
        <w:rPr>
          <w:rFonts w:ascii="Times New Roman" w:hAnsi="Times New Roman"/>
          <w:color w:val="000000" w:themeColor="text1"/>
          <w:sz w:val="24"/>
          <w:szCs w:val="24"/>
        </w:rPr>
        <w:t xml:space="preserve"> </w:t>
      </w:r>
      <w:r w:rsidR="001153CF" w:rsidRPr="003F18F0">
        <w:rPr>
          <w:rFonts w:ascii="Times New Roman" w:hAnsi="Times New Roman"/>
          <w:color w:val="000000" w:themeColor="text1"/>
          <w:sz w:val="28"/>
          <w:szCs w:val="28"/>
        </w:rPr>
        <w:t xml:space="preserve">EKII </w:t>
      </w:r>
      <w:r w:rsidR="00832CD8" w:rsidRPr="003F18F0">
        <w:rPr>
          <w:rFonts w:ascii="Times New Roman" w:hAnsi="Times New Roman"/>
          <w:color w:val="000000" w:themeColor="text1"/>
          <w:sz w:val="28"/>
          <w:szCs w:val="28"/>
        </w:rPr>
        <w:t xml:space="preserve">projektu </w:t>
      </w:r>
      <w:r w:rsidR="001153CF" w:rsidRPr="003F18F0">
        <w:rPr>
          <w:rFonts w:ascii="Times New Roman" w:hAnsi="Times New Roman"/>
          <w:color w:val="000000" w:themeColor="text1"/>
          <w:sz w:val="28"/>
          <w:szCs w:val="28"/>
        </w:rPr>
        <w:t xml:space="preserve">konkursos atbalstāmās aktivitātes, </w:t>
      </w:r>
      <w:r w:rsidR="00832CD8" w:rsidRPr="003F18F0">
        <w:rPr>
          <w:rFonts w:ascii="Times New Roman" w:hAnsi="Times New Roman"/>
          <w:color w:val="000000" w:themeColor="text1"/>
          <w:sz w:val="28"/>
          <w:szCs w:val="28"/>
        </w:rPr>
        <w:t xml:space="preserve">projektu iesniegumu vērtēšanas </w:t>
      </w:r>
      <w:r w:rsidR="001153CF" w:rsidRPr="003F18F0">
        <w:rPr>
          <w:rFonts w:ascii="Times New Roman" w:hAnsi="Times New Roman"/>
          <w:color w:val="000000" w:themeColor="text1"/>
          <w:sz w:val="28"/>
          <w:szCs w:val="28"/>
        </w:rPr>
        <w:t xml:space="preserve">kritēriji, </w:t>
      </w:r>
      <w:r w:rsidR="00832CD8" w:rsidRPr="003F18F0">
        <w:rPr>
          <w:rFonts w:ascii="Times New Roman" w:hAnsi="Times New Roman"/>
          <w:color w:val="000000" w:themeColor="text1"/>
          <w:sz w:val="28"/>
          <w:szCs w:val="28"/>
        </w:rPr>
        <w:t>sasniedzamie</w:t>
      </w:r>
      <w:r w:rsidR="001153CF" w:rsidRPr="003F18F0">
        <w:rPr>
          <w:rFonts w:ascii="Times New Roman" w:hAnsi="Times New Roman"/>
          <w:color w:val="000000" w:themeColor="text1"/>
          <w:sz w:val="28"/>
          <w:szCs w:val="28"/>
        </w:rPr>
        <w:t xml:space="preserve"> rādītāji un citi nosacījumi ir atrunāti EKII </w:t>
      </w:r>
      <w:r w:rsidR="00832CD8" w:rsidRPr="003F18F0">
        <w:rPr>
          <w:rFonts w:ascii="Times New Roman" w:hAnsi="Times New Roman"/>
          <w:color w:val="000000" w:themeColor="text1"/>
          <w:sz w:val="28"/>
          <w:szCs w:val="28"/>
        </w:rPr>
        <w:t xml:space="preserve">projektu </w:t>
      </w:r>
      <w:r w:rsidR="001153CF" w:rsidRPr="003F18F0">
        <w:rPr>
          <w:rFonts w:ascii="Times New Roman" w:hAnsi="Times New Roman"/>
          <w:color w:val="000000" w:themeColor="text1"/>
          <w:sz w:val="28"/>
          <w:szCs w:val="28"/>
        </w:rPr>
        <w:t>konkursu nolikumos, kas</w:t>
      </w:r>
      <w:r w:rsidR="00832CD8" w:rsidRPr="003F18F0">
        <w:rPr>
          <w:rFonts w:ascii="Times New Roman" w:hAnsi="Times New Roman"/>
          <w:color w:val="000000" w:themeColor="text1"/>
          <w:sz w:val="28"/>
          <w:szCs w:val="28"/>
        </w:rPr>
        <w:t xml:space="preserve"> tiek</w:t>
      </w:r>
      <w:r w:rsidR="001153CF" w:rsidRPr="003F18F0">
        <w:rPr>
          <w:rFonts w:ascii="Times New Roman" w:hAnsi="Times New Roman"/>
          <w:color w:val="000000" w:themeColor="text1"/>
          <w:sz w:val="28"/>
          <w:szCs w:val="28"/>
        </w:rPr>
        <w:t xml:space="preserve"> saskaņoti un apstiprināti kā M</w:t>
      </w:r>
      <w:r w:rsidR="00F55175">
        <w:rPr>
          <w:rFonts w:ascii="Times New Roman" w:hAnsi="Times New Roman"/>
          <w:color w:val="000000" w:themeColor="text1"/>
          <w:sz w:val="28"/>
          <w:szCs w:val="28"/>
        </w:rPr>
        <w:t>inistru kabineta</w:t>
      </w:r>
      <w:r w:rsidR="001153CF" w:rsidRPr="003F18F0">
        <w:rPr>
          <w:rFonts w:ascii="Times New Roman" w:hAnsi="Times New Roman"/>
          <w:color w:val="000000" w:themeColor="text1"/>
          <w:sz w:val="28"/>
          <w:szCs w:val="28"/>
        </w:rPr>
        <w:t xml:space="preserve"> noteikumi.</w:t>
      </w:r>
      <w:r w:rsidR="002035D4" w:rsidRPr="003F18F0">
        <w:rPr>
          <w:rFonts w:ascii="Times New Roman" w:hAnsi="Times New Roman" w:cs="Times New Roman"/>
          <w:color w:val="000000" w:themeColor="text1"/>
          <w:sz w:val="28"/>
          <w:szCs w:val="28"/>
        </w:rPr>
        <w:t xml:space="preserve"> Lai gan </w:t>
      </w:r>
      <w:r w:rsidR="009E4EFA">
        <w:rPr>
          <w:rFonts w:ascii="Times New Roman" w:hAnsi="Times New Roman" w:cs="Times New Roman"/>
          <w:color w:val="000000" w:themeColor="text1"/>
          <w:sz w:val="28"/>
          <w:szCs w:val="28"/>
        </w:rPr>
        <w:t xml:space="preserve">2017. gada valsts kontroles ziņojumā </w:t>
      </w:r>
      <w:r w:rsidR="00FE711B">
        <w:rPr>
          <w:rFonts w:ascii="Times New Roman" w:hAnsi="Times New Roman" w:cs="Times New Roman"/>
          <w:color w:val="000000" w:themeColor="text1"/>
          <w:sz w:val="28"/>
          <w:szCs w:val="28"/>
        </w:rPr>
        <w:t>“</w:t>
      </w:r>
      <w:r w:rsidR="00FE711B" w:rsidRPr="00FE711B">
        <w:rPr>
          <w:rFonts w:ascii="Times New Roman" w:hAnsi="Times New Roman" w:cs="Times New Roman"/>
          <w:color w:val="000000" w:themeColor="text1"/>
          <w:sz w:val="28"/>
          <w:szCs w:val="28"/>
        </w:rPr>
        <w:t>Vai Vides aizsardzības un reģionālās attīstības ministrijas administrētie klimata pārmaiņu samazināšanai paredzētie līdzekļi tiek plānoti un izlietoti efektīvi un atbilstoši normatīvo aktu prasībām?</w:t>
      </w:r>
      <w:r w:rsidR="00FE711B">
        <w:rPr>
          <w:rFonts w:ascii="Times New Roman" w:hAnsi="Times New Roman" w:cs="Times New Roman"/>
          <w:color w:val="000000" w:themeColor="text1"/>
          <w:sz w:val="28"/>
          <w:szCs w:val="28"/>
        </w:rPr>
        <w:t>”</w:t>
      </w:r>
      <w:r w:rsidR="002035D4" w:rsidRPr="003F18F0">
        <w:rPr>
          <w:rFonts w:ascii="Times New Roman" w:hAnsi="Times New Roman" w:cs="Times New Roman"/>
          <w:color w:val="000000" w:themeColor="text1"/>
          <w:sz w:val="28"/>
          <w:szCs w:val="28"/>
        </w:rPr>
        <w:t xml:space="preserve"> </w:t>
      </w:r>
      <w:r w:rsidR="00E52EFE">
        <w:rPr>
          <w:rFonts w:ascii="Times New Roman" w:hAnsi="Times New Roman" w:cs="Times New Roman"/>
          <w:color w:val="000000" w:themeColor="text1"/>
          <w:sz w:val="28"/>
          <w:szCs w:val="28"/>
        </w:rPr>
        <w:t>norādīta</w:t>
      </w:r>
      <w:r w:rsidR="00E52EFE" w:rsidRPr="003F18F0">
        <w:rPr>
          <w:rFonts w:ascii="Times New Roman" w:hAnsi="Times New Roman" w:cs="Times New Roman"/>
          <w:color w:val="000000" w:themeColor="text1"/>
          <w:sz w:val="28"/>
          <w:szCs w:val="28"/>
        </w:rPr>
        <w:t xml:space="preserve"> </w:t>
      </w:r>
      <w:r w:rsidR="002035D4" w:rsidRPr="003F18F0">
        <w:rPr>
          <w:rFonts w:ascii="Times New Roman" w:hAnsi="Times New Roman" w:cs="Times New Roman"/>
          <w:color w:val="000000" w:themeColor="text1"/>
          <w:sz w:val="28"/>
          <w:szCs w:val="28"/>
        </w:rPr>
        <w:t xml:space="preserve">informācija par EKII finanšu instrumenta zemo </w:t>
      </w:r>
      <w:r w:rsidR="00632230" w:rsidRPr="003F18F0">
        <w:rPr>
          <w:rFonts w:ascii="Times New Roman" w:hAnsi="Times New Roman" w:cs="Times New Roman"/>
          <w:color w:val="000000" w:themeColor="text1"/>
          <w:sz w:val="28"/>
          <w:szCs w:val="28"/>
        </w:rPr>
        <w:t xml:space="preserve">ieguldījumu </w:t>
      </w:r>
      <w:r w:rsidR="002035D4" w:rsidRPr="003F18F0">
        <w:rPr>
          <w:rFonts w:ascii="Times New Roman" w:hAnsi="Times New Roman" w:cs="Times New Roman"/>
          <w:color w:val="000000" w:themeColor="text1"/>
          <w:sz w:val="28"/>
          <w:szCs w:val="28"/>
        </w:rPr>
        <w:t>efektivitāti</w:t>
      </w:r>
      <w:r w:rsidR="002035D4" w:rsidRPr="003F18F0">
        <w:rPr>
          <w:rStyle w:val="FootnoteReference"/>
          <w:rFonts w:ascii="Times New Roman" w:hAnsi="Times New Roman" w:cs="Times New Roman"/>
          <w:color w:val="000000" w:themeColor="text1"/>
          <w:sz w:val="28"/>
          <w:szCs w:val="28"/>
        </w:rPr>
        <w:footnoteReference w:id="35"/>
      </w:r>
      <w:r w:rsidR="00632230" w:rsidRPr="003F18F0">
        <w:rPr>
          <w:rFonts w:ascii="Times New Roman" w:hAnsi="Times New Roman" w:cs="Times New Roman"/>
          <w:color w:val="000000" w:themeColor="text1"/>
          <w:sz w:val="28"/>
          <w:szCs w:val="28"/>
        </w:rPr>
        <w:t xml:space="preserve"> </w:t>
      </w:r>
      <w:r w:rsidR="000229D6" w:rsidRPr="003F18F0">
        <w:rPr>
          <w:rFonts w:ascii="Times New Roman" w:hAnsi="Times New Roman" w:cs="Times New Roman"/>
          <w:color w:val="000000" w:themeColor="text1"/>
          <w:sz w:val="28"/>
          <w:szCs w:val="28"/>
        </w:rPr>
        <w:t xml:space="preserve">salīdzinājumā ar </w:t>
      </w:r>
      <w:r w:rsidR="00832CD8" w:rsidRPr="003F18F0">
        <w:rPr>
          <w:rFonts w:ascii="Times New Roman" w:hAnsi="Times New Roman" w:cs="Times New Roman"/>
          <w:color w:val="000000" w:themeColor="text1"/>
          <w:sz w:val="28"/>
          <w:szCs w:val="28"/>
        </w:rPr>
        <w:t>K</w:t>
      </w:r>
      <w:r w:rsidR="000229D6" w:rsidRPr="003F18F0">
        <w:rPr>
          <w:rFonts w:ascii="Times New Roman" w:hAnsi="Times New Roman" w:cs="Times New Roman"/>
          <w:color w:val="000000" w:themeColor="text1"/>
          <w:sz w:val="28"/>
          <w:szCs w:val="28"/>
        </w:rPr>
        <w:t>limata pārmaiņu finanšu instrumentu (t</w:t>
      </w:r>
      <w:r w:rsidR="00832CD8" w:rsidRPr="003F18F0">
        <w:rPr>
          <w:rFonts w:ascii="Times New Roman" w:hAnsi="Times New Roman" w:cs="Times New Roman"/>
          <w:color w:val="000000" w:themeColor="text1"/>
          <w:sz w:val="28"/>
          <w:szCs w:val="28"/>
        </w:rPr>
        <w:t>u</w:t>
      </w:r>
      <w:r w:rsidR="000229D6" w:rsidRPr="003F18F0">
        <w:rPr>
          <w:rFonts w:ascii="Times New Roman" w:hAnsi="Times New Roman" w:cs="Times New Roman"/>
          <w:color w:val="000000" w:themeColor="text1"/>
          <w:sz w:val="28"/>
          <w:szCs w:val="28"/>
        </w:rPr>
        <w:t>rpmāk</w:t>
      </w:r>
      <w:r w:rsidR="00832CD8" w:rsidRPr="003F18F0">
        <w:rPr>
          <w:rFonts w:ascii="Times New Roman" w:hAnsi="Times New Roman" w:cs="Times New Roman"/>
          <w:color w:val="000000" w:themeColor="text1"/>
          <w:sz w:val="28"/>
          <w:szCs w:val="28"/>
        </w:rPr>
        <w:t> </w:t>
      </w:r>
      <w:r w:rsidR="000229D6" w:rsidRPr="003F18F0">
        <w:rPr>
          <w:rFonts w:ascii="Times New Roman" w:hAnsi="Times New Roman" w:cs="Times New Roman"/>
          <w:color w:val="000000" w:themeColor="text1"/>
          <w:sz w:val="28"/>
          <w:szCs w:val="28"/>
        </w:rPr>
        <w:t>–</w:t>
      </w:r>
      <w:r w:rsidR="00832CD8" w:rsidRPr="003F18F0">
        <w:rPr>
          <w:rFonts w:ascii="Times New Roman" w:hAnsi="Times New Roman" w:cs="Times New Roman"/>
          <w:color w:val="000000" w:themeColor="text1"/>
          <w:sz w:val="28"/>
          <w:szCs w:val="28"/>
        </w:rPr>
        <w:t> </w:t>
      </w:r>
      <w:r w:rsidR="000229D6" w:rsidRPr="003F18F0">
        <w:rPr>
          <w:rFonts w:ascii="Times New Roman" w:hAnsi="Times New Roman" w:cs="Times New Roman"/>
          <w:color w:val="000000" w:themeColor="text1"/>
          <w:sz w:val="28"/>
          <w:szCs w:val="28"/>
        </w:rPr>
        <w:t>KPFI)</w:t>
      </w:r>
      <w:r w:rsidR="002035D4" w:rsidRPr="003F18F0">
        <w:rPr>
          <w:rFonts w:ascii="Times New Roman" w:hAnsi="Times New Roman" w:cs="Times New Roman"/>
          <w:color w:val="000000" w:themeColor="text1"/>
          <w:sz w:val="28"/>
          <w:szCs w:val="28"/>
        </w:rPr>
        <w:t xml:space="preserve">, </w:t>
      </w:r>
      <w:r w:rsidR="00832CD8" w:rsidRPr="003F18F0">
        <w:rPr>
          <w:rFonts w:ascii="Times New Roman" w:hAnsi="Times New Roman" w:cs="Times New Roman"/>
          <w:color w:val="000000" w:themeColor="text1"/>
          <w:sz w:val="28"/>
          <w:szCs w:val="28"/>
        </w:rPr>
        <w:t xml:space="preserve">ir </w:t>
      </w:r>
      <w:r w:rsidR="002035D4" w:rsidRPr="003F18F0">
        <w:rPr>
          <w:rFonts w:ascii="Times New Roman" w:hAnsi="Times New Roman" w:cs="Times New Roman"/>
          <w:color w:val="000000" w:themeColor="text1"/>
          <w:sz w:val="28"/>
          <w:szCs w:val="28"/>
        </w:rPr>
        <w:t xml:space="preserve">jāņem vērā, ka </w:t>
      </w:r>
      <w:r w:rsidR="00893FB7" w:rsidRPr="003F18F0">
        <w:rPr>
          <w:rFonts w:ascii="Times New Roman" w:hAnsi="Times New Roman" w:cs="Times New Roman"/>
          <w:color w:val="000000" w:themeColor="text1"/>
          <w:sz w:val="28"/>
          <w:szCs w:val="28"/>
        </w:rPr>
        <w:t xml:space="preserve">par </w:t>
      </w:r>
      <w:r w:rsidR="002035D4" w:rsidRPr="003F18F0">
        <w:rPr>
          <w:rFonts w:ascii="Times New Roman" w:hAnsi="Times New Roman" w:cs="Times New Roman"/>
          <w:color w:val="000000" w:themeColor="text1"/>
          <w:sz w:val="28"/>
          <w:szCs w:val="28"/>
        </w:rPr>
        <w:t xml:space="preserve">efektivitāti nevar spriest tikai pēc </w:t>
      </w:r>
      <w:proofErr w:type="spellStart"/>
      <w:r w:rsidR="00220C33" w:rsidRPr="003F18F0">
        <w:rPr>
          <w:rFonts w:ascii="Times New Roman" w:hAnsi="Times New Roman" w:cs="Times New Roman"/>
          <w:i/>
          <w:color w:val="000000" w:themeColor="text1"/>
          <w:sz w:val="28"/>
          <w:szCs w:val="28"/>
        </w:rPr>
        <w:t>euro</w:t>
      </w:r>
      <w:proofErr w:type="spellEnd"/>
      <w:r w:rsidR="002035D4" w:rsidRPr="003F18F0">
        <w:rPr>
          <w:rFonts w:ascii="Times New Roman" w:hAnsi="Times New Roman" w:cs="Times New Roman"/>
          <w:color w:val="000000" w:themeColor="text1"/>
          <w:sz w:val="28"/>
          <w:szCs w:val="28"/>
        </w:rPr>
        <w:t xml:space="preserve">/SEG rādītāja, jo būtiski ņemt vērā ne vien tiešos SEG emisiju samazinājumus, bet arī </w:t>
      </w:r>
      <w:r w:rsidR="00D80B22" w:rsidRPr="003F18F0">
        <w:rPr>
          <w:rFonts w:ascii="Times New Roman" w:hAnsi="Times New Roman" w:cs="Times New Roman"/>
          <w:color w:val="000000" w:themeColor="text1"/>
          <w:sz w:val="28"/>
          <w:szCs w:val="28"/>
        </w:rPr>
        <w:t xml:space="preserve">to </w:t>
      </w:r>
      <w:r w:rsidR="002035D4" w:rsidRPr="003F18F0">
        <w:rPr>
          <w:rFonts w:ascii="Times New Roman" w:hAnsi="Times New Roman" w:cs="Times New Roman"/>
          <w:color w:val="000000" w:themeColor="text1"/>
          <w:sz w:val="28"/>
          <w:szCs w:val="28"/>
        </w:rPr>
        <w:t xml:space="preserve">netiešos SEG </w:t>
      </w:r>
      <w:r w:rsidR="002035D4" w:rsidRPr="003F18F0">
        <w:rPr>
          <w:rFonts w:ascii="Times New Roman" w:hAnsi="Times New Roman" w:cs="Times New Roman"/>
          <w:color w:val="000000" w:themeColor="text1"/>
          <w:sz w:val="28"/>
          <w:szCs w:val="28"/>
        </w:rPr>
        <w:lastRenderedPageBreak/>
        <w:t>emisiju samazinājumus</w:t>
      </w:r>
      <w:r w:rsidR="00220C33" w:rsidRPr="003F18F0">
        <w:rPr>
          <w:rFonts w:ascii="Times New Roman" w:hAnsi="Times New Roman" w:cs="Times New Roman"/>
          <w:color w:val="000000" w:themeColor="text1"/>
          <w:sz w:val="28"/>
          <w:szCs w:val="28"/>
        </w:rPr>
        <w:t xml:space="preserve"> nākotnē</w:t>
      </w:r>
      <w:r w:rsidR="002035D4" w:rsidRPr="003F18F0">
        <w:rPr>
          <w:rFonts w:ascii="Times New Roman" w:hAnsi="Times New Roman" w:cs="Times New Roman"/>
          <w:color w:val="000000" w:themeColor="text1"/>
          <w:sz w:val="28"/>
          <w:szCs w:val="28"/>
        </w:rPr>
        <w:t xml:space="preserve">, kas iespējami dēļ projektu </w:t>
      </w:r>
      <w:r w:rsidR="00220C33" w:rsidRPr="003F18F0">
        <w:rPr>
          <w:rFonts w:ascii="Times New Roman" w:hAnsi="Times New Roman" w:cs="Times New Roman"/>
          <w:color w:val="000000" w:themeColor="text1"/>
          <w:sz w:val="28"/>
          <w:szCs w:val="28"/>
        </w:rPr>
        <w:t xml:space="preserve">inovācijas, </w:t>
      </w:r>
      <w:r w:rsidR="002035D4" w:rsidRPr="003F18F0">
        <w:rPr>
          <w:rFonts w:ascii="Times New Roman" w:hAnsi="Times New Roman" w:cs="Times New Roman"/>
          <w:color w:val="000000" w:themeColor="text1"/>
          <w:sz w:val="28"/>
          <w:szCs w:val="28"/>
        </w:rPr>
        <w:t xml:space="preserve">demonstrācijas un </w:t>
      </w:r>
      <w:proofErr w:type="spellStart"/>
      <w:r w:rsidR="002035D4" w:rsidRPr="003F18F0">
        <w:rPr>
          <w:rFonts w:ascii="Times New Roman" w:hAnsi="Times New Roman" w:cs="Times New Roman"/>
          <w:color w:val="000000" w:themeColor="text1"/>
          <w:sz w:val="28"/>
          <w:szCs w:val="28"/>
        </w:rPr>
        <w:t>multiplikatīvā</w:t>
      </w:r>
      <w:proofErr w:type="spellEnd"/>
      <w:r w:rsidR="002035D4" w:rsidRPr="003F18F0">
        <w:rPr>
          <w:rFonts w:ascii="Times New Roman" w:hAnsi="Times New Roman" w:cs="Times New Roman"/>
          <w:color w:val="000000" w:themeColor="text1"/>
          <w:sz w:val="28"/>
          <w:szCs w:val="28"/>
        </w:rPr>
        <w:t xml:space="preserve"> efekta.</w:t>
      </w:r>
    </w:p>
    <w:p w14:paraId="57308B1F" w14:textId="5F82316E" w:rsidR="00114384" w:rsidRPr="003F18F0" w:rsidRDefault="00FB480C" w:rsidP="00DA15F9">
      <w:pPr>
        <w:pStyle w:val="Default"/>
        <w:ind w:firstLine="567"/>
        <w:jc w:val="both"/>
        <w:rPr>
          <w:rFonts w:ascii="Times New Roman" w:hAnsi="Times New Roman" w:cs="Times New Roman"/>
          <w:color w:val="000000" w:themeColor="text1"/>
          <w:sz w:val="28"/>
          <w:szCs w:val="28"/>
        </w:rPr>
      </w:pPr>
      <w:r>
        <w:rPr>
          <w:rFonts w:ascii="TimesNewRomanPSMT" w:hAnsi="TimesNewRomanPSMT" w:cs="TimesNewRomanPSMT"/>
          <w:color w:val="000000" w:themeColor="text1"/>
          <w:sz w:val="28"/>
          <w:szCs w:val="28"/>
        </w:rPr>
        <w:t>Uz informatīvā ziņojuma sagatavošanas brīdi</w:t>
      </w:r>
      <w:r w:rsidRPr="003F18F0">
        <w:rPr>
          <w:rFonts w:ascii="TimesNewRomanPSMT" w:hAnsi="TimesNewRomanPSMT" w:cs="TimesNewRomanPSMT"/>
          <w:color w:val="000000" w:themeColor="text1"/>
          <w:sz w:val="28"/>
          <w:szCs w:val="28"/>
        </w:rPr>
        <w:t xml:space="preserve"> </w:t>
      </w:r>
      <w:r w:rsidR="001153CF" w:rsidRPr="003F18F0">
        <w:rPr>
          <w:rFonts w:ascii="TimesNewRomanPSMT" w:hAnsi="TimesNewRomanPSMT" w:cs="TimesNewRomanPSMT"/>
          <w:color w:val="000000" w:themeColor="text1"/>
          <w:sz w:val="28"/>
          <w:szCs w:val="28"/>
        </w:rPr>
        <w:t>ieņēmumus no emisijas kvotu izsolīšanas kopējās izsoļu platform</w:t>
      </w:r>
      <w:r w:rsidR="005C334C" w:rsidRPr="003F18F0">
        <w:rPr>
          <w:rFonts w:ascii="TimesNewRomanPSMT" w:hAnsi="TimesNewRomanPSMT" w:cs="TimesNewRomanPSMT"/>
          <w:color w:val="000000" w:themeColor="text1"/>
          <w:sz w:val="28"/>
          <w:szCs w:val="28"/>
        </w:rPr>
        <w:t>as</w:t>
      </w:r>
      <w:r w:rsidR="001153CF" w:rsidRPr="003F18F0">
        <w:rPr>
          <w:rFonts w:ascii="TimesNewRomanPSMT" w:hAnsi="TimesNewRomanPSMT" w:cs="TimesNewRomanPSMT"/>
          <w:color w:val="000000" w:themeColor="text1"/>
          <w:sz w:val="28"/>
          <w:szCs w:val="28"/>
        </w:rPr>
        <w:t xml:space="preserve">, kuru apkalpo </w:t>
      </w:r>
      <w:proofErr w:type="spellStart"/>
      <w:r w:rsidR="001153CF" w:rsidRPr="003F18F0">
        <w:rPr>
          <w:rFonts w:ascii="TimesNewRomanPSMT" w:hAnsi="TimesNewRomanPSMT" w:cs="TimesNewRomanPSMT"/>
          <w:i/>
          <w:color w:val="000000" w:themeColor="text1"/>
          <w:sz w:val="28"/>
          <w:szCs w:val="28"/>
        </w:rPr>
        <w:t>European</w:t>
      </w:r>
      <w:proofErr w:type="spellEnd"/>
      <w:r w:rsidR="001153CF" w:rsidRPr="003F18F0">
        <w:rPr>
          <w:rFonts w:ascii="TimesNewRomanPSMT" w:hAnsi="TimesNewRomanPSMT" w:cs="TimesNewRomanPSMT"/>
          <w:i/>
          <w:color w:val="000000" w:themeColor="text1"/>
          <w:sz w:val="28"/>
          <w:szCs w:val="28"/>
        </w:rPr>
        <w:t xml:space="preserve"> </w:t>
      </w:r>
      <w:proofErr w:type="spellStart"/>
      <w:r w:rsidR="001153CF" w:rsidRPr="003F18F0">
        <w:rPr>
          <w:rFonts w:ascii="TimesNewRomanPSMT" w:hAnsi="TimesNewRomanPSMT" w:cs="TimesNewRomanPSMT"/>
          <w:i/>
          <w:color w:val="000000" w:themeColor="text1"/>
          <w:sz w:val="28"/>
          <w:szCs w:val="28"/>
        </w:rPr>
        <w:t>Energy</w:t>
      </w:r>
      <w:proofErr w:type="spellEnd"/>
      <w:r w:rsidR="001153CF" w:rsidRPr="003F18F0">
        <w:rPr>
          <w:rFonts w:ascii="TimesNewRomanPSMT" w:hAnsi="TimesNewRomanPSMT" w:cs="TimesNewRomanPSMT"/>
          <w:i/>
          <w:color w:val="000000" w:themeColor="text1"/>
          <w:sz w:val="28"/>
          <w:szCs w:val="28"/>
        </w:rPr>
        <w:t xml:space="preserve"> </w:t>
      </w:r>
      <w:proofErr w:type="spellStart"/>
      <w:r w:rsidR="001153CF" w:rsidRPr="003F18F0">
        <w:rPr>
          <w:rFonts w:ascii="TimesNewRomanPSMT" w:hAnsi="TimesNewRomanPSMT" w:cs="TimesNewRomanPSMT"/>
          <w:i/>
          <w:color w:val="000000" w:themeColor="text1"/>
          <w:sz w:val="28"/>
          <w:szCs w:val="28"/>
        </w:rPr>
        <w:t>Excange</w:t>
      </w:r>
      <w:proofErr w:type="spellEnd"/>
      <w:r w:rsidR="00AA393E" w:rsidRPr="003F18F0">
        <w:rPr>
          <w:rFonts w:ascii="TimesNewRomanPSMT" w:hAnsi="TimesNewRomanPSMT" w:cs="TimesNewRomanPSMT"/>
          <w:i/>
          <w:color w:val="000000" w:themeColor="text1"/>
          <w:sz w:val="28"/>
          <w:szCs w:val="28"/>
        </w:rPr>
        <w:t xml:space="preserve"> (EEX)</w:t>
      </w:r>
      <w:r w:rsidR="001153CF" w:rsidRPr="003F18F0">
        <w:rPr>
          <w:rFonts w:ascii="TimesNewRomanPSMT" w:hAnsi="TimesNewRomanPSMT" w:cs="TimesNewRomanPSMT"/>
          <w:i/>
          <w:color w:val="000000" w:themeColor="text1"/>
          <w:sz w:val="28"/>
          <w:szCs w:val="28"/>
        </w:rPr>
        <w:t xml:space="preserve">, </w:t>
      </w:r>
      <w:r w:rsidR="001153CF" w:rsidRPr="003F18F0">
        <w:rPr>
          <w:rFonts w:ascii="TimesNewRomanPSMT" w:hAnsi="TimesNewRomanPSMT" w:cs="TimesNewRomanPSMT"/>
          <w:color w:val="000000" w:themeColor="text1"/>
          <w:sz w:val="28"/>
          <w:szCs w:val="28"/>
        </w:rPr>
        <w:t>klīringa kompānija</w:t>
      </w:r>
      <w:r w:rsidR="005C334C" w:rsidRPr="003F18F0">
        <w:rPr>
          <w:rFonts w:ascii="TimesNewRomanPSMT" w:hAnsi="TimesNewRomanPSMT" w:cs="TimesNewRomanPSMT"/>
          <w:color w:val="000000" w:themeColor="text1"/>
          <w:sz w:val="28"/>
          <w:szCs w:val="28"/>
        </w:rPr>
        <w:t> </w:t>
      </w:r>
      <w:r w:rsidR="00352FC6" w:rsidRPr="003F18F0">
        <w:rPr>
          <w:rFonts w:ascii="TimesNewRomanPSMT" w:hAnsi="TimesNewRomanPSMT" w:cs="TimesNewRomanPSMT"/>
          <w:color w:val="000000" w:themeColor="text1"/>
          <w:sz w:val="28"/>
          <w:szCs w:val="28"/>
        </w:rPr>
        <w:t>–</w:t>
      </w:r>
      <w:r w:rsidR="005C334C" w:rsidRPr="003F18F0">
        <w:rPr>
          <w:rFonts w:ascii="TimesNewRomanPSMT" w:hAnsi="TimesNewRomanPSMT" w:cs="TimesNewRomanPSMT"/>
          <w:color w:val="000000" w:themeColor="text1"/>
          <w:sz w:val="28"/>
          <w:szCs w:val="28"/>
        </w:rPr>
        <w:t> </w:t>
      </w:r>
      <w:proofErr w:type="spellStart"/>
      <w:r w:rsidR="001153CF" w:rsidRPr="003F18F0">
        <w:rPr>
          <w:rFonts w:ascii="TimesNewRomanPSMT" w:hAnsi="TimesNewRomanPSMT" w:cs="TimesNewRomanPSMT"/>
          <w:i/>
          <w:color w:val="000000" w:themeColor="text1"/>
          <w:sz w:val="28"/>
          <w:szCs w:val="28"/>
        </w:rPr>
        <w:t>European</w:t>
      </w:r>
      <w:proofErr w:type="spellEnd"/>
      <w:r w:rsidR="001153CF" w:rsidRPr="003F18F0">
        <w:rPr>
          <w:rFonts w:ascii="TimesNewRomanPSMT" w:hAnsi="TimesNewRomanPSMT" w:cs="TimesNewRomanPSMT"/>
          <w:i/>
          <w:color w:val="000000" w:themeColor="text1"/>
          <w:sz w:val="28"/>
          <w:szCs w:val="28"/>
        </w:rPr>
        <w:t xml:space="preserve"> </w:t>
      </w:r>
      <w:proofErr w:type="spellStart"/>
      <w:r w:rsidR="001153CF" w:rsidRPr="003F18F0">
        <w:rPr>
          <w:rFonts w:ascii="TimesNewRomanPSMT" w:hAnsi="TimesNewRomanPSMT" w:cs="TimesNewRomanPSMT"/>
          <w:i/>
          <w:color w:val="000000" w:themeColor="text1"/>
          <w:sz w:val="28"/>
          <w:szCs w:val="28"/>
        </w:rPr>
        <w:t>Commodity</w:t>
      </w:r>
      <w:proofErr w:type="spellEnd"/>
      <w:r w:rsidR="001153CF" w:rsidRPr="003F18F0">
        <w:rPr>
          <w:rFonts w:ascii="TimesNewRomanPSMT" w:hAnsi="TimesNewRomanPSMT" w:cs="TimesNewRomanPSMT"/>
          <w:i/>
          <w:color w:val="000000" w:themeColor="text1"/>
          <w:sz w:val="28"/>
          <w:szCs w:val="28"/>
        </w:rPr>
        <w:t xml:space="preserve"> </w:t>
      </w:r>
      <w:proofErr w:type="spellStart"/>
      <w:r w:rsidR="001153CF" w:rsidRPr="003F18F0">
        <w:rPr>
          <w:rFonts w:ascii="TimesNewRomanPSMT" w:hAnsi="TimesNewRomanPSMT" w:cs="TimesNewRomanPSMT"/>
          <w:i/>
          <w:color w:val="000000" w:themeColor="text1"/>
          <w:sz w:val="28"/>
          <w:szCs w:val="28"/>
        </w:rPr>
        <w:t>Clearing</w:t>
      </w:r>
      <w:proofErr w:type="spellEnd"/>
      <w:r w:rsidR="001153CF" w:rsidRPr="003F18F0">
        <w:rPr>
          <w:rFonts w:ascii="TimesNewRomanPSMT" w:hAnsi="TimesNewRomanPSMT" w:cs="TimesNewRomanPSMT"/>
          <w:color w:val="000000" w:themeColor="text1"/>
          <w:sz w:val="28"/>
          <w:szCs w:val="28"/>
        </w:rPr>
        <w:t xml:space="preserve"> </w:t>
      </w:r>
      <w:r w:rsidR="00AA393E" w:rsidRPr="003F18F0">
        <w:rPr>
          <w:rFonts w:ascii="TimesNewRomanPSMT" w:hAnsi="TimesNewRomanPSMT" w:cs="TimesNewRomanPSMT"/>
          <w:i/>
          <w:color w:val="000000" w:themeColor="text1"/>
          <w:sz w:val="28"/>
          <w:szCs w:val="28"/>
        </w:rPr>
        <w:t>(ECC)</w:t>
      </w:r>
      <w:r w:rsidR="00AA393E" w:rsidRPr="003F18F0">
        <w:rPr>
          <w:rFonts w:ascii="TimesNewRomanPSMT" w:hAnsi="TimesNewRomanPSMT" w:cs="TimesNewRomanPSMT"/>
          <w:color w:val="000000" w:themeColor="text1"/>
          <w:sz w:val="28"/>
          <w:szCs w:val="28"/>
        </w:rPr>
        <w:t xml:space="preserve"> </w:t>
      </w:r>
      <w:r w:rsidR="001153CF" w:rsidRPr="003F18F0">
        <w:rPr>
          <w:rFonts w:ascii="TimesNewRomanPSMT" w:hAnsi="TimesNewRomanPSMT" w:cs="TimesNewRomanPSMT"/>
          <w:color w:val="000000" w:themeColor="text1"/>
          <w:sz w:val="28"/>
          <w:szCs w:val="28"/>
        </w:rPr>
        <w:t xml:space="preserve">pēc solīšanas perioda beigām pārskaita naudu dalībvalstīm, t.sk. Latvijai, kas nozīmē to, ka </w:t>
      </w:r>
      <w:r w:rsidR="001153CF" w:rsidRPr="003F18F0" w:rsidDel="00DF5C91">
        <w:rPr>
          <w:rFonts w:ascii="Times New Roman" w:hAnsi="Times New Roman" w:cs="Times New Roman"/>
          <w:color w:val="000000" w:themeColor="text1"/>
          <w:sz w:val="28"/>
          <w:szCs w:val="28"/>
        </w:rPr>
        <w:t xml:space="preserve">naudas līdzekļi ir pieejami valsts kontā </w:t>
      </w:r>
      <w:r w:rsidR="001153CF" w:rsidRPr="003F18F0">
        <w:rPr>
          <w:rFonts w:ascii="TimesNewRomanPSMT" w:hAnsi="TimesNewRomanPSMT" w:cs="TimesNewRomanPSMT"/>
          <w:color w:val="000000" w:themeColor="text1"/>
          <w:sz w:val="28"/>
          <w:szCs w:val="28"/>
        </w:rPr>
        <w:t>uzreiz</w:t>
      </w:r>
      <w:r w:rsidR="001153CF" w:rsidRPr="003F18F0">
        <w:rPr>
          <w:rStyle w:val="FootnoteReference"/>
          <w:rFonts w:ascii="TimesNewRomanPSMT" w:hAnsi="TimesNewRomanPSMT" w:cs="TimesNewRomanPSMT"/>
          <w:color w:val="000000" w:themeColor="text1"/>
          <w:sz w:val="28"/>
          <w:szCs w:val="28"/>
        </w:rPr>
        <w:footnoteReference w:id="36"/>
      </w:r>
      <w:r w:rsidR="001153CF" w:rsidRPr="003F18F0">
        <w:rPr>
          <w:rFonts w:ascii="TimesNewRomanPSMT" w:hAnsi="TimesNewRomanPSMT" w:cs="TimesNewRomanPSMT"/>
          <w:color w:val="000000" w:themeColor="text1"/>
          <w:sz w:val="28"/>
          <w:szCs w:val="28"/>
        </w:rPr>
        <w:t xml:space="preserve"> </w:t>
      </w:r>
      <w:r w:rsidR="001153CF" w:rsidRPr="003F18F0" w:rsidDel="00DF5C91">
        <w:rPr>
          <w:rFonts w:ascii="Times New Roman" w:hAnsi="Times New Roman" w:cs="Times New Roman"/>
          <w:color w:val="000000" w:themeColor="text1"/>
          <w:sz w:val="28"/>
          <w:szCs w:val="28"/>
        </w:rPr>
        <w:t>pēc emisiju kvotu izsolēm</w:t>
      </w:r>
      <w:r w:rsidR="001153CF" w:rsidRPr="003F18F0">
        <w:rPr>
          <w:rFonts w:ascii="Times New Roman" w:hAnsi="Times New Roman" w:cs="Times New Roman"/>
          <w:color w:val="000000" w:themeColor="text1"/>
          <w:sz w:val="28"/>
          <w:szCs w:val="28"/>
        </w:rPr>
        <w:t>. Savukārt</w:t>
      </w:r>
      <w:r w:rsidR="00AA393E" w:rsidRPr="003F18F0">
        <w:rPr>
          <w:rFonts w:ascii="Times New Roman" w:hAnsi="Times New Roman" w:cs="Times New Roman"/>
          <w:color w:val="000000" w:themeColor="text1"/>
          <w:sz w:val="28"/>
          <w:szCs w:val="28"/>
        </w:rPr>
        <w:t>,</w:t>
      </w:r>
      <w:r w:rsidR="001153CF" w:rsidRPr="003F18F0">
        <w:rPr>
          <w:rFonts w:ascii="Times New Roman" w:hAnsi="Times New Roman" w:cs="Times New Roman"/>
          <w:color w:val="000000" w:themeColor="text1"/>
          <w:sz w:val="28"/>
          <w:szCs w:val="28"/>
        </w:rPr>
        <w:t xml:space="preserve"> </w:t>
      </w:r>
      <w:r w:rsidR="00AA393E" w:rsidRPr="003F18F0">
        <w:rPr>
          <w:rFonts w:ascii="TimesNewRomanPSMT" w:hAnsi="TimesNewRomanPSMT" w:cs="TimesNewRomanPSMT"/>
          <w:color w:val="000000" w:themeColor="text1"/>
          <w:sz w:val="28"/>
          <w:szCs w:val="28"/>
        </w:rPr>
        <w:t xml:space="preserve">Modernizācijas fonda gadījumā emisijas kvotu izsoļu </w:t>
      </w:r>
      <w:r w:rsidR="00231918" w:rsidRPr="003F18F0">
        <w:rPr>
          <w:rFonts w:ascii="TimesNewRomanPSMT" w:hAnsi="TimesNewRomanPSMT" w:cs="TimesNewRomanPSMT"/>
          <w:color w:val="000000" w:themeColor="text1"/>
          <w:sz w:val="28"/>
          <w:szCs w:val="28"/>
        </w:rPr>
        <w:t>ieņēmum</w:t>
      </w:r>
      <w:r w:rsidR="004D48DB" w:rsidRPr="003F18F0">
        <w:rPr>
          <w:rFonts w:ascii="TimesNewRomanPSMT" w:hAnsi="TimesNewRomanPSMT" w:cs="TimesNewRomanPSMT"/>
          <w:color w:val="000000" w:themeColor="text1"/>
          <w:sz w:val="28"/>
          <w:szCs w:val="28"/>
        </w:rPr>
        <w:t>u</w:t>
      </w:r>
      <w:r w:rsidR="00231918" w:rsidRPr="003F18F0">
        <w:rPr>
          <w:rFonts w:ascii="TimesNewRomanPSMT" w:hAnsi="TimesNewRomanPSMT" w:cs="TimesNewRomanPSMT"/>
          <w:color w:val="000000" w:themeColor="text1"/>
          <w:sz w:val="28"/>
          <w:szCs w:val="28"/>
        </w:rPr>
        <w:t xml:space="preserve"> </w:t>
      </w:r>
      <w:r w:rsidR="00AA393E" w:rsidRPr="003F18F0">
        <w:rPr>
          <w:rFonts w:ascii="TimesNewRomanPSMT" w:hAnsi="TimesNewRomanPSMT" w:cs="TimesNewRomanPSMT"/>
          <w:color w:val="000000" w:themeColor="text1"/>
          <w:sz w:val="28"/>
          <w:szCs w:val="28"/>
        </w:rPr>
        <w:t>līdzekļi</w:t>
      </w:r>
      <w:r w:rsidR="001153CF" w:rsidRPr="003F18F0">
        <w:rPr>
          <w:rFonts w:ascii="Times New Roman" w:hAnsi="Times New Roman" w:cs="Times New Roman"/>
          <w:color w:val="000000" w:themeColor="text1"/>
          <w:sz w:val="28"/>
          <w:szCs w:val="28"/>
        </w:rPr>
        <w:t xml:space="preserve"> </w:t>
      </w:r>
      <w:r w:rsidR="00AA393E" w:rsidRPr="003F18F0">
        <w:rPr>
          <w:rFonts w:ascii="Times New Roman" w:hAnsi="Times New Roman" w:cs="Times New Roman"/>
          <w:color w:val="000000" w:themeColor="text1"/>
          <w:sz w:val="28"/>
          <w:szCs w:val="28"/>
        </w:rPr>
        <w:t xml:space="preserve">no </w:t>
      </w:r>
      <w:r w:rsidR="00AA393E" w:rsidRPr="003F18F0">
        <w:rPr>
          <w:rFonts w:ascii="Times New Roman" w:hAnsi="Times New Roman" w:cs="Times New Roman"/>
          <w:i/>
          <w:color w:val="000000" w:themeColor="text1"/>
          <w:sz w:val="28"/>
          <w:szCs w:val="28"/>
        </w:rPr>
        <w:t>ECC</w:t>
      </w:r>
      <w:r w:rsidR="00AA393E" w:rsidRPr="003F18F0">
        <w:rPr>
          <w:rFonts w:ascii="Times New Roman" w:hAnsi="Times New Roman" w:cs="Times New Roman"/>
          <w:color w:val="000000" w:themeColor="text1"/>
          <w:sz w:val="28"/>
          <w:szCs w:val="28"/>
        </w:rPr>
        <w:t xml:space="preserve"> nonāk EIB un tikai pēc EK izmaksas lēmuma nonāk </w:t>
      </w:r>
      <w:r w:rsidR="004D48DB" w:rsidRPr="003F18F0">
        <w:rPr>
          <w:rFonts w:ascii="Times New Roman" w:hAnsi="Times New Roman" w:cs="Times New Roman"/>
          <w:color w:val="000000" w:themeColor="text1"/>
          <w:sz w:val="28"/>
          <w:szCs w:val="28"/>
        </w:rPr>
        <w:t xml:space="preserve">ES </w:t>
      </w:r>
      <w:r w:rsidR="00AA393E" w:rsidRPr="003F18F0">
        <w:rPr>
          <w:rFonts w:ascii="Times New Roman" w:hAnsi="Times New Roman" w:cs="Times New Roman"/>
          <w:color w:val="000000" w:themeColor="text1"/>
          <w:sz w:val="28"/>
          <w:szCs w:val="28"/>
        </w:rPr>
        <w:t>dalībvalstu rīcīb</w:t>
      </w:r>
      <w:r w:rsidR="00231918" w:rsidRPr="003F18F0">
        <w:rPr>
          <w:rFonts w:ascii="Times New Roman" w:hAnsi="Times New Roman" w:cs="Times New Roman"/>
          <w:color w:val="000000" w:themeColor="text1"/>
          <w:sz w:val="28"/>
          <w:szCs w:val="28"/>
        </w:rPr>
        <w:t>ā.</w:t>
      </w:r>
      <w:r w:rsidR="00AA393E" w:rsidRPr="003F18F0">
        <w:rPr>
          <w:rFonts w:ascii="Times New Roman" w:hAnsi="Times New Roman" w:cs="Times New Roman"/>
          <w:color w:val="000000" w:themeColor="text1"/>
          <w:sz w:val="28"/>
          <w:szCs w:val="28"/>
        </w:rPr>
        <w:t xml:space="preserve"> </w:t>
      </w:r>
      <w:r w:rsidR="00231918" w:rsidRPr="003F18F0">
        <w:rPr>
          <w:rFonts w:ascii="Times New Roman" w:hAnsi="Times New Roman" w:cs="Times New Roman"/>
          <w:color w:val="000000" w:themeColor="text1"/>
          <w:sz w:val="28"/>
          <w:szCs w:val="28"/>
        </w:rPr>
        <w:t>T</w:t>
      </w:r>
      <w:r w:rsidR="00AA393E" w:rsidRPr="003F18F0">
        <w:rPr>
          <w:rFonts w:ascii="Times New Roman" w:hAnsi="Times New Roman" w:cs="Times New Roman"/>
          <w:color w:val="000000" w:themeColor="text1"/>
          <w:sz w:val="28"/>
          <w:szCs w:val="28"/>
        </w:rPr>
        <w:t xml:space="preserve">ādā </w:t>
      </w:r>
      <w:r w:rsidR="00231918" w:rsidRPr="003F18F0">
        <w:rPr>
          <w:rFonts w:ascii="Times New Roman" w:hAnsi="Times New Roman" w:cs="Times New Roman"/>
          <w:color w:val="000000" w:themeColor="text1"/>
          <w:sz w:val="28"/>
          <w:szCs w:val="28"/>
        </w:rPr>
        <w:t xml:space="preserve">veidā līdzekļiem, par kādu tiktu palielināts finansējums Modernizācijas fondam no solidaritātes emisijas kvotu vai iepriekš </w:t>
      </w:r>
      <w:proofErr w:type="spellStart"/>
      <w:r w:rsidR="00231918" w:rsidRPr="003F18F0">
        <w:rPr>
          <w:rFonts w:ascii="Times New Roman" w:hAnsi="Times New Roman" w:cs="Times New Roman"/>
          <w:color w:val="000000" w:themeColor="text1"/>
          <w:sz w:val="28"/>
          <w:szCs w:val="28"/>
        </w:rPr>
        <w:t>derogācijai</w:t>
      </w:r>
      <w:proofErr w:type="spellEnd"/>
      <w:r w:rsidR="00231918" w:rsidRPr="003F18F0">
        <w:rPr>
          <w:rFonts w:ascii="Times New Roman" w:hAnsi="Times New Roman" w:cs="Times New Roman"/>
          <w:color w:val="000000" w:themeColor="text1"/>
          <w:sz w:val="28"/>
          <w:szCs w:val="28"/>
        </w:rPr>
        <w:t xml:space="preserve"> potenciāli pieejamo emisijas kvotu apjomiem, tiek veidots </w:t>
      </w:r>
      <w:r w:rsidR="004D48DB" w:rsidRPr="003F18F0">
        <w:rPr>
          <w:rFonts w:ascii="Times New Roman" w:hAnsi="Times New Roman" w:cs="Times New Roman"/>
          <w:color w:val="000000" w:themeColor="text1"/>
          <w:sz w:val="28"/>
          <w:szCs w:val="28"/>
        </w:rPr>
        <w:t>“</w:t>
      </w:r>
      <w:r w:rsidR="00231918" w:rsidRPr="003F18F0">
        <w:rPr>
          <w:rFonts w:ascii="Times New Roman" w:hAnsi="Times New Roman" w:cs="Times New Roman"/>
          <w:color w:val="000000" w:themeColor="text1"/>
          <w:sz w:val="28"/>
          <w:szCs w:val="28"/>
        </w:rPr>
        <w:t>garāks ceļš</w:t>
      </w:r>
      <w:r w:rsidR="004D48DB" w:rsidRPr="003F18F0">
        <w:rPr>
          <w:rFonts w:ascii="Times New Roman" w:hAnsi="Times New Roman" w:cs="Times New Roman"/>
          <w:color w:val="000000" w:themeColor="text1"/>
          <w:sz w:val="28"/>
          <w:szCs w:val="28"/>
        </w:rPr>
        <w:t>”</w:t>
      </w:r>
      <w:r w:rsidR="00231918" w:rsidRPr="003F18F0">
        <w:rPr>
          <w:rFonts w:ascii="Times New Roman" w:hAnsi="Times New Roman" w:cs="Times New Roman"/>
          <w:color w:val="000000" w:themeColor="text1"/>
          <w:sz w:val="28"/>
          <w:szCs w:val="28"/>
        </w:rPr>
        <w:t>, līdz tie nonāk valsts rīcībā</w:t>
      </w:r>
      <w:r w:rsidR="0043475F" w:rsidRPr="003F18F0">
        <w:rPr>
          <w:rFonts w:ascii="Times New Roman" w:hAnsi="Times New Roman" w:cs="Times New Roman"/>
          <w:color w:val="000000" w:themeColor="text1"/>
          <w:sz w:val="28"/>
          <w:szCs w:val="28"/>
        </w:rPr>
        <w:t>, t.i. t</w:t>
      </w:r>
      <w:r w:rsidR="00D04FE4" w:rsidRPr="003F18F0">
        <w:rPr>
          <w:rFonts w:ascii="Times New Roman" w:hAnsi="Times New Roman" w:cs="Times New Roman"/>
          <w:color w:val="000000" w:themeColor="text1"/>
          <w:sz w:val="28"/>
          <w:szCs w:val="28"/>
        </w:rPr>
        <w:t>iek</w:t>
      </w:r>
      <w:r w:rsidR="0043475F" w:rsidRPr="003F18F0">
        <w:rPr>
          <w:rFonts w:ascii="Times New Roman" w:hAnsi="Times New Roman" w:cs="Times New Roman"/>
          <w:color w:val="000000" w:themeColor="text1"/>
          <w:sz w:val="28"/>
          <w:szCs w:val="28"/>
        </w:rPr>
        <w:t xml:space="preserve"> veidota</w:t>
      </w:r>
      <w:r w:rsidR="00D04FE4" w:rsidRPr="003F18F0">
        <w:rPr>
          <w:rFonts w:ascii="Times New Roman" w:hAnsi="Times New Roman" w:cs="Times New Roman"/>
          <w:color w:val="000000" w:themeColor="text1"/>
          <w:sz w:val="28"/>
          <w:szCs w:val="28"/>
        </w:rPr>
        <w:t xml:space="preserve"> sarežģīt</w:t>
      </w:r>
      <w:r w:rsidR="0043475F" w:rsidRPr="003F18F0">
        <w:rPr>
          <w:rFonts w:ascii="Times New Roman" w:hAnsi="Times New Roman" w:cs="Times New Roman"/>
          <w:color w:val="000000" w:themeColor="text1"/>
          <w:sz w:val="28"/>
          <w:szCs w:val="28"/>
        </w:rPr>
        <w:t>āk</w:t>
      </w:r>
      <w:r w:rsidR="00D04FE4" w:rsidRPr="003F18F0">
        <w:rPr>
          <w:rFonts w:ascii="Times New Roman" w:hAnsi="Times New Roman" w:cs="Times New Roman"/>
          <w:color w:val="000000" w:themeColor="text1"/>
          <w:sz w:val="28"/>
          <w:szCs w:val="28"/>
        </w:rPr>
        <w:t>a naudas plūsmas struktūra</w:t>
      </w:r>
      <w:r w:rsidR="00114384" w:rsidRPr="003F18F0">
        <w:rPr>
          <w:rFonts w:ascii="Times New Roman" w:hAnsi="Times New Roman" w:cs="Times New Roman"/>
          <w:color w:val="000000" w:themeColor="text1"/>
          <w:sz w:val="28"/>
          <w:szCs w:val="28"/>
        </w:rPr>
        <w:t xml:space="preserve"> (</w:t>
      </w:r>
      <w:r w:rsidR="004D48DB" w:rsidRPr="003F18F0">
        <w:rPr>
          <w:rFonts w:ascii="Times New Roman" w:hAnsi="Times New Roman" w:cs="Times New Roman"/>
          <w:color w:val="000000" w:themeColor="text1"/>
          <w:sz w:val="28"/>
          <w:szCs w:val="28"/>
        </w:rPr>
        <w:t>s</w:t>
      </w:r>
      <w:r w:rsidR="00114384" w:rsidRPr="003F18F0">
        <w:rPr>
          <w:rFonts w:ascii="Times New Roman" w:hAnsi="Times New Roman" w:cs="Times New Roman"/>
          <w:color w:val="000000" w:themeColor="text1"/>
          <w:sz w:val="28"/>
          <w:szCs w:val="28"/>
        </w:rPr>
        <w:t>katīt Attēlu Nr.</w:t>
      </w:r>
      <w:r w:rsidR="004D48DB" w:rsidRPr="003F18F0">
        <w:rPr>
          <w:rFonts w:ascii="Times New Roman" w:hAnsi="Times New Roman" w:cs="Times New Roman"/>
          <w:color w:val="000000" w:themeColor="text1"/>
          <w:sz w:val="28"/>
          <w:szCs w:val="28"/>
        </w:rPr>
        <w:t> </w:t>
      </w:r>
      <w:r w:rsidR="00114384" w:rsidRPr="003F18F0">
        <w:rPr>
          <w:rFonts w:ascii="Times New Roman" w:hAnsi="Times New Roman" w:cs="Times New Roman"/>
          <w:color w:val="000000" w:themeColor="text1"/>
          <w:sz w:val="28"/>
          <w:szCs w:val="28"/>
        </w:rPr>
        <w:t>6)</w:t>
      </w:r>
      <w:r w:rsidR="00D04FE4" w:rsidRPr="003F18F0">
        <w:rPr>
          <w:rFonts w:ascii="Times New Roman" w:hAnsi="Times New Roman" w:cs="Times New Roman"/>
          <w:color w:val="000000" w:themeColor="text1"/>
          <w:sz w:val="28"/>
          <w:szCs w:val="28"/>
        </w:rPr>
        <w:t xml:space="preserve">. </w:t>
      </w:r>
      <w:r w:rsidR="00305836" w:rsidRPr="003F18F0">
        <w:rPr>
          <w:rFonts w:ascii="Times New Roman" w:hAnsi="Times New Roman" w:cs="Times New Roman"/>
          <w:color w:val="000000" w:themeColor="text1"/>
          <w:sz w:val="28"/>
          <w:szCs w:val="28"/>
        </w:rPr>
        <w:t>Jānorāda</w:t>
      </w:r>
      <w:r w:rsidR="00311A47" w:rsidRPr="003F18F0">
        <w:rPr>
          <w:rFonts w:ascii="Times New Roman" w:hAnsi="Times New Roman" w:cs="Times New Roman"/>
          <w:color w:val="000000" w:themeColor="text1"/>
          <w:sz w:val="28"/>
          <w:szCs w:val="28"/>
        </w:rPr>
        <w:t xml:space="preserve">, ka saskaņā ar </w:t>
      </w:r>
      <w:r w:rsidR="008F6709">
        <w:rPr>
          <w:rFonts w:ascii="Times New Roman" w:hAnsi="Times New Roman" w:cs="Times New Roman"/>
          <w:color w:val="000000" w:themeColor="text1"/>
          <w:sz w:val="28"/>
          <w:szCs w:val="28"/>
        </w:rPr>
        <w:t xml:space="preserve"> Izsoļu regulas 24.</w:t>
      </w:r>
      <w:r w:rsidR="0075563E">
        <w:rPr>
          <w:rFonts w:ascii="Times New Roman" w:hAnsi="Times New Roman" w:cs="Times New Roman"/>
          <w:color w:val="000000" w:themeColor="text1"/>
          <w:sz w:val="28"/>
          <w:szCs w:val="28"/>
        </w:rPr>
        <w:t> </w:t>
      </w:r>
      <w:r w:rsidR="008F6709">
        <w:rPr>
          <w:rFonts w:ascii="Times New Roman" w:hAnsi="Times New Roman" w:cs="Times New Roman"/>
          <w:color w:val="000000" w:themeColor="text1"/>
          <w:sz w:val="28"/>
          <w:szCs w:val="28"/>
        </w:rPr>
        <w:t xml:space="preserve">pantu </w:t>
      </w:r>
      <w:r w:rsidR="00311A47" w:rsidRPr="003F18F0">
        <w:rPr>
          <w:rFonts w:ascii="Times New Roman" w:hAnsi="Times New Roman" w:cs="Times New Roman"/>
          <w:color w:val="000000" w:themeColor="text1"/>
          <w:sz w:val="28"/>
          <w:szCs w:val="28"/>
        </w:rPr>
        <w:t xml:space="preserve">visas </w:t>
      </w:r>
      <w:r w:rsidR="00305836" w:rsidRPr="003F18F0">
        <w:rPr>
          <w:rFonts w:ascii="Times New Roman" w:hAnsi="Times New Roman" w:cs="Times New Roman"/>
          <w:color w:val="000000" w:themeColor="text1"/>
          <w:sz w:val="28"/>
          <w:szCs w:val="28"/>
        </w:rPr>
        <w:t xml:space="preserve">Modernizācijas fonda </w:t>
      </w:r>
      <w:r w:rsidR="004D48DB" w:rsidRPr="003F18F0">
        <w:rPr>
          <w:rFonts w:ascii="Times New Roman" w:hAnsi="Times New Roman" w:cs="Times New Roman"/>
          <w:color w:val="000000" w:themeColor="text1"/>
          <w:sz w:val="28"/>
          <w:szCs w:val="28"/>
        </w:rPr>
        <w:t xml:space="preserve">emisijas </w:t>
      </w:r>
      <w:r w:rsidR="00311A47" w:rsidRPr="003F18F0">
        <w:rPr>
          <w:rFonts w:ascii="Times New Roman" w:hAnsi="Times New Roman" w:cs="Times New Roman"/>
          <w:color w:val="000000" w:themeColor="text1"/>
          <w:sz w:val="28"/>
          <w:szCs w:val="28"/>
        </w:rPr>
        <w:t xml:space="preserve">kvotas tiks izsolītas kopējā izsoļu platformā vienlaikus </w:t>
      </w:r>
      <w:r w:rsidR="00305836" w:rsidRPr="003F18F0">
        <w:rPr>
          <w:rFonts w:ascii="Times New Roman" w:hAnsi="Times New Roman" w:cs="Times New Roman"/>
          <w:color w:val="000000" w:themeColor="text1"/>
          <w:sz w:val="28"/>
          <w:szCs w:val="28"/>
        </w:rPr>
        <w:t xml:space="preserve">tajās pašās izsolēs, kur dalībvalstis izsolīs savas </w:t>
      </w:r>
      <w:r w:rsidR="004D48DB" w:rsidRPr="003F18F0">
        <w:rPr>
          <w:rFonts w:ascii="Times New Roman" w:hAnsi="Times New Roman" w:cs="Times New Roman"/>
          <w:color w:val="000000" w:themeColor="text1"/>
          <w:sz w:val="28"/>
          <w:szCs w:val="28"/>
        </w:rPr>
        <w:t xml:space="preserve">emisijas </w:t>
      </w:r>
      <w:r w:rsidR="00305836" w:rsidRPr="003F18F0">
        <w:rPr>
          <w:rFonts w:ascii="Times New Roman" w:hAnsi="Times New Roman" w:cs="Times New Roman"/>
          <w:color w:val="000000" w:themeColor="text1"/>
          <w:sz w:val="28"/>
          <w:szCs w:val="28"/>
        </w:rPr>
        <w:t>kvotas.</w:t>
      </w:r>
    </w:p>
    <w:p w14:paraId="3FCC0006" w14:textId="77777777" w:rsidR="00860E7D" w:rsidRPr="003F18F0" w:rsidRDefault="00860E7D" w:rsidP="00DA15F9">
      <w:pPr>
        <w:pStyle w:val="Default"/>
        <w:ind w:firstLine="567"/>
        <w:jc w:val="both"/>
        <w:rPr>
          <w:color w:val="000000" w:themeColor="text1"/>
        </w:rPr>
      </w:pPr>
    </w:p>
    <w:p w14:paraId="73A47822" w14:textId="200292A1" w:rsidR="00114384" w:rsidRPr="003F18F0" w:rsidRDefault="00F10311" w:rsidP="00DA15F9">
      <w:pPr>
        <w:tabs>
          <w:tab w:val="left" w:pos="0"/>
        </w:tabs>
        <w:spacing w:after="0" w:line="240" w:lineRule="auto"/>
        <w:ind w:right="-1"/>
        <w:jc w:val="center"/>
        <w:rPr>
          <w:rFonts w:ascii="Times New Roman" w:hAnsi="Times New Roman" w:cs="Times New Roman"/>
          <w:color w:val="000000" w:themeColor="text1"/>
          <w:sz w:val="28"/>
          <w:szCs w:val="28"/>
        </w:rPr>
      </w:pPr>
      <w:r>
        <w:rPr>
          <w:color w:val="000000" w:themeColor="text1"/>
        </w:rPr>
        <w:pict w14:anchorId="765F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15pt;height:231.45pt" wrapcoords="-36 0 -36 21528 21600 21528 21600 0 -36 0">
            <v:imagedata r:id="rId21" o:title="naudasplusma"/>
          </v:shape>
        </w:pict>
      </w:r>
    </w:p>
    <w:p w14:paraId="13A460BB" w14:textId="142AFB39" w:rsidR="00E16F06" w:rsidRPr="003F18F0" w:rsidRDefault="00114384" w:rsidP="00352FC6">
      <w:pPr>
        <w:spacing w:after="0" w:line="240" w:lineRule="auto"/>
        <w:jc w:val="center"/>
        <w:rPr>
          <w:color w:val="000000" w:themeColor="text1"/>
        </w:rPr>
      </w:pPr>
      <w:r w:rsidRPr="003F18F0">
        <w:rPr>
          <w:rFonts w:ascii="Times New Roman" w:hAnsi="Times New Roman" w:cs="Times New Roman"/>
          <w:color w:val="000000" w:themeColor="text1"/>
          <w:sz w:val="28"/>
          <w:szCs w:val="28"/>
        </w:rPr>
        <w:t>Attēls N</w:t>
      </w:r>
      <w:r w:rsidR="00E16F06" w:rsidRPr="003F18F0">
        <w:rPr>
          <w:rFonts w:ascii="Times New Roman" w:hAnsi="Times New Roman" w:cs="Times New Roman"/>
          <w:color w:val="000000" w:themeColor="text1"/>
          <w:sz w:val="28"/>
          <w:szCs w:val="28"/>
        </w:rPr>
        <w:t>r.</w:t>
      </w:r>
      <w:r w:rsidR="008F7F33" w:rsidRPr="003F18F0">
        <w:rPr>
          <w:rFonts w:ascii="Times New Roman" w:hAnsi="Times New Roman" w:cs="Times New Roman"/>
          <w:color w:val="000000" w:themeColor="text1"/>
          <w:sz w:val="28"/>
          <w:szCs w:val="28"/>
        </w:rPr>
        <w:t> </w:t>
      </w:r>
      <w:r w:rsidR="00E16F06" w:rsidRPr="003F18F0">
        <w:rPr>
          <w:rFonts w:ascii="Times New Roman" w:hAnsi="Times New Roman" w:cs="Times New Roman"/>
          <w:color w:val="000000" w:themeColor="text1"/>
          <w:sz w:val="28"/>
          <w:szCs w:val="28"/>
        </w:rPr>
        <w:t xml:space="preserve">6. Ieņēmumu no solidaritātes emisijas kvotu un iepriekš </w:t>
      </w:r>
      <w:proofErr w:type="spellStart"/>
      <w:r w:rsidR="00E16F06" w:rsidRPr="003F18F0">
        <w:rPr>
          <w:rFonts w:ascii="Times New Roman" w:hAnsi="Times New Roman" w:cs="Times New Roman"/>
          <w:color w:val="000000" w:themeColor="text1"/>
          <w:sz w:val="28"/>
          <w:szCs w:val="28"/>
        </w:rPr>
        <w:t>derogācijai</w:t>
      </w:r>
      <w:proofErr w:type="spellEnd"/>
      <w:r w:rsidR="00E16F06" w:rsidRPr="003F18F0">
        <w:rPr>
          <w:rFonts w:ascii="Times New Roman" w:hAnsi="Times New Roman" w:cs="Times New Roman"/>
          <w:color w:val="000000" w:themeColor="text1"/>
          <w:sz w:val="28"/>
          <w:szCs w:val="28"/>
        </w:rPr>
        <w:t xml:space="preserve"> potenciāli pieejamo emisijas kvotu izsolīšanas plūsma EKII un Modernizācijas fonda sastāvā</w:t>
      </w:r>
    </w:p>
    <w:p w14:paraId="653DDDB2" w14:textId="77777777" w:rsidR="00352FC6" w:rsidRPr="003F18F0" w:rsidRDefault="00352FC6" w:rsidP="00DA15F9">
      <w:pPr>
        <w:spacing w:after="0" w:line="240" w:lineRule="auto"/>
        <w:ind w:right="-1" w:firstLine="567"/>
        <w:jc w:val="both"/>
        <w:rPr>
          <w:rFonts w:ascii="Times New Roman" w:hAnsi="Times New Roman" w:cs="Times New Roman"/>
          <w:color w:val="000000" w:themeColor="text1"/>
          <w:sz w:val="28"/>
          <w:szCs w:val="28"/>
        </w:rPr>
      </w:pPr>
    </w:p>
    <w:p w14:paraId="3B1D91E4" w14:textId="402F5334" w:rsidR="00991F02" w:rsidRPr="003F18F0" w:rsidRDefault="0043475F" w:rsidP="00DA15F9">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Šāda līdzekļu pārvirze būtu </w:t>
      </w:r>
      <w:r w:rsidR="008F7F33" w:rsidRPr="003F18F0">
        <w:rPr>
          <w:rFonts w:ascii="Times New Roman" w:hAnsi="Times New Roman" w:cs="Times New Roman"/>
          <w:color w:val="000000" w:themeColor="text1"/>
          <w:sz w:val="28"/>
          <w:szCs w:val="28"/>
        </w:rPr>
        <w:t>piemērota</w:t>
      </w:r>
      <w:r w:rsidR="00F76D3F" w:rsidRPr="003F18F0">
        <w:rPr>
          <w:rFonts w:ascii="Times New Roman" w:hAnsi="Times New Roman" w:cs="Times New Roman"/>
          <w:color w:val="000000" w:themeColor="text1"/>
          <w:sz w:val="28"/>
          <w:szCs w:val="28"/>
        </w:rPr>
        <w:t xml:space="preserve"> </w:t>
      </w:r>
      <w:r w:rsidR="00AF69A3" w:rsidRPr="003F18F0">
        <w:rPr>
          <w:rFonts w:ascii="Times New Roman" w:hAnsi="Times New Roman" w:cs="Times New Roman"/>
          <w:color w:val="000000" w:themeColor="text1"/>
          <w:sz w:val="28"/>
          <w:szCs w:val="28"/>
        </w:rPr>
        <w:t>tā</w:t>
      </w:r>
      <w:r w:rsidR="00797B18" w:rsidRPr="003F18F0">
        <w:rPr>
          <w:rFonts w:ascii="Times New Roman" w:hAnsi="Times New Roman" w:cs="Times New Roman"/>
          <w:color w:val="000000" w:themeColor="text1"/>
          <w:sz w:val="28"/>
          <w:szCs w:val="28"/>
        </w:rPr>
        <w:t>dā</w:t>
      </w:r>
      <w:r w:rsidR="00AF69A3" w:rsidRPr="003F18F0">
        <w:rPr>
          <w:rFonts w:ascii="Times New Roman" w:hAnsi="Times New Roman" w:cs="Times New Roman"/>
          <w:color w:val="000000" w:themeColor="text1"/>
          <w:sz w:val="28"/>
          <w:szCs w:val="28"/>
        </w:rPr>
        <w:t xml:space="preserve">m </w:t>
      </w:r>
      <w:r w:rsidR="008F7F33" w:rsidRPr="003F18F0">
        <w:rPr>
          <w:rFonts w:ascii="Times New Roman" w:hAnsi="Times New Roman" w:cs="Times New Roman"/>
          <w:color w:val="000000" w:themeColor="text1"/>
          <w:sz w:val="28"/>
          <w:szCs w:val="28"/>
        </w:rPr>
        <w:t xml:space="preserve">ES </w:t>
      </w:r>
      <w:r w:rsidR="00AF69A3" w:rsidRPr="003F18F0">
        <w:rPr>
          <w:rFonts w:ascii="Times New Roman" w:hAnsi="Times New Roman" w:cs="Times New Roman"/>
          <w:color w:val="000000" w:themeColor="text1"/>
          <w:sz w:val="28"/>
          <w:szCs w:val="28"/>
        </w:rPr>
        <w:t>dalībvalstīm,</w:t>
      </w:r>
      <w:r w:rsidR="00543E29" w:rsidRPr="003F18F0">
        <w:rPr>
          <w:rFonts w:ascii="Times New Roman" w:hAnsi="Times New Roman" w:cs="Times New Roman"/>
          <w:color w:val="000000" w:themeColor="text1"/>
          <w:sz w:val="28"/>
          <w:szCs w:val="28"/>
        </w:rPr>
        <w:t xml:space="preserve"> kā</w:t>
      </w:r>
      <w:r w:rsidR="00B62537" w:rsidRPr="003F18F0">
        <w:rPr>
          <w:rFonts w:ascii="Times New Roman" w:hAnsi="Times New Roman" w:cs="Times New Roman"/>
          <w:color w:val="000000" w:themeColor="text1"/>
          <w:sz w:val="28"/>
          <w:szCs w:val="28"/>
        </w:rPr>
        <w:t>,</w:t>
      </w:r>
      <w:r w:rsidR="00543E29" w:rsidRPr="003F18F0">
        <w:rPr>
          <w:rFonts w:ascii="Times New Roman" w:hAnsi="Times New Roman" w:cs="Times New Roman"/>
          <w:color w:val="000000" w:themeColor="text1"/>
          <w:sz w:val="28"/>
          <w:szCs w:val="28"/>
        </w:rPr>
        <w:t xml:space="preserve"> piemēram</w:t>
      </w:r>
      <w:r w:rsidR="00797B18" w:rsidRPr="003F18F0">
        <w:rPr>
          <w:rFonts w:ascii="Times New Roman" w:hAnsi="Times New Roman" w:cs="Times New Roman"/>
          <w:color w:val="000000" w:themeColor="text1"/>
          <w:sz w:val="28"/>
          <w:szCs w:val="28"/>
        </w:rPr>
        <w:t>,</w:t>
      </w:r>
      <w:r w:rsidR="00543E29" w:rsidRPr="003F18F0">
        <w:rPr>
          <w:rFonts w:ascii="Times New Roman" w:hAnsi="Times New Roman" w:cs="Times New Roman"/>
          <w:color w:val="000000" w:themeColor="text1"/>
          <w:sz w:val="28"/>
          <w:szCs w:val="28"/>
        </w:rPr>
        <w:t xml:space="preserve"> Polija,</w:t>
      </w:r>
      <w:r w:rsidR="00AF69A3" w:rsidRPr="003F18F0">
        <w:rPr>
          <w:rFonts w:ascii="Times New Roman" w:hAnsi="Times New Roman" w:cs="Times New Roman"/>
          <w:color w:val="000000" w:themeColor="text1"/>
          <w:sz w:val="28"/>
          <w:szCs w:val="28"/>
        </w:rPr>
        <w:t xml:space="preserve"> kurām emisij</w:t>
      </w:r>
      <w:r w:rsidR="00797B18" w:rsidRPr="003F18F0">
        <w:rPr>
          <w:rFonts w:ascii="Times New Roman" w:hAnsi="Times New Roman" w:cs="Times New Roman"/>
          <w:color w:val="000000" w:themeColor="text1"/>
          <w:sz w:val="28"/>
          <w:szCs w:val="28"/>
        </w:rPr>
        <w:t>as</w:t>
      </w:r>
      <w:r w:rsidR="00AF69A3" w:rsidRPr="003F18F0">
        <w:rPr>
          <w:rFonts w:ascii="Times New Roman" w:hAnsi="Times New Roman" w:cs="Times New Roman"/>
          <w:color w:val="000000" w:themeColor="text1"/>
          <w:sz w:val="28"/>
          <w:szCs w:val="28"/>
        </w:rPr>
        <w:t xml:space="preserve"> kvotu izsoļu ieņēmumi nonāk kopējā budžetā bez līdzekļu “iezīmēšanas” klimata pasākumiem, tādejādi</w:t>
      </w:r>
      <w:r w:rsidR="002F562C" w:rsidRPr="003F18F0">
        <w:rPr>
          <w:rFonts w:ascii="Times New Roman" w:hAnsi="Times New Roman" w:cs="Times New Roman"/>
          <w:color w:val="000000" w:themeColor="text1"/>
          <w:sz w:val="28"/>
          <w:szCs w:val="28"/>
        </w:rPr>
        <w:t xml:space="preserve"> palielinot finansējuma pieejamību ar klimatu pārmaiņu mazināšanu un pielāgošanos klimata pārmaiņām pasākumiem</w:t>
      </w:r>
      <w:r w:rsidR="00AF69A3"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w:t>
      </w:r>
      <w:r w:rsidR="002F562C" w:rsidRPr="003F18F0">
        <w:rPr>
          <w:rFonts w:ascii="Times New Roman" w:hAnsi="Times New Roman" w:cs="Times New Roman"/>
          <w:color w:val="000000" w:themeColor="text1"/>
          <w:sz w:val="28"/>
          <w:szCs w:val="28"/>
        </w:rPr>
        <w:t>S</w:t>
      </w:r>
      <w:r w:rsidRPr="003F18F0">
        <w:rPr>
          <w:rFonts w:ascii="Times New Roman" w:hAnsi="Times New Roman" w:cs="Times New Roman"/>
          <w:color w:val="000000" w:themeColor="text1"/>
          <w:sz w:val="28"/>
          <w:szCs w:val="28"/>
        </w:rPr>
        <w:t>askaņā ar Direktīvas 2003/87</w:t>
      </w:r>
      <w:r w:rsidR="009044CE">
        <w:rPr>
          <w:rFonts w:ascii="Times New Roman" w:hAnsi="Times New Roman" w:cs="Times New Roman"/>
          <w:color w:val="000000" w:themeColor="text1"/>
          <w:sz w:val="28"/>
          <w:szCs w:val="28"/>
        </w:rPr>
        <w:t>/EK</w:t>
      </w:r>
      <w:r w:rsidRPr="003F18F0">
        <w:rPr>
          <w:rFonts w:ascii="Times New Roman" w:hAnsi="Times New Roman" w:cs="Times New Roman"/>
          <w:color w:val="000000" w:themeColor="text1"/>
          <w:sz w:val="28"/>
          <w:szCs w:val="28"/>
        </w:rPr>
        <w:t xml:space="preserve"> 10.</w:t>
      </w:r>
      <w:r w:rsidR="00797B18"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panta 3.</w:t>
      </w:r>
      <w:r w:rsidR="00797B18"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punktu dalībvalstīm vismaz 50</w:t>
      </w:r>
      <w:r w:rsidR="00797B18"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no izsoļu ieņēmumiem jānovirza ar kli</w:t>
      </w:r>
      <w:r w:rsidR="00AF69A3" w:rsidRPr="003F18F0">
        <w:rPr>
          <w:rFonts w:ascii="Times New Roman" w:hAnsi="Times New Roman" w:cs="Times New Roman"/>
          <w:color w:val="000000" w:themeColor="text1"/>
          <w:sz w:val="28"/>
          <w:szCs w:val="28"/>
        </w:rPr>
        <w:t>m</w:t>
      </w:r>
      <w:r w:rsidRPr="003F18F0">
        <w:rPr>
          <w:rFonts w:ascii="Times New Roman" w:hAnsi="Times New Roman" w:cs="Times New Roman"/>
          <w:color w:val="000000" w:themeColor="text1"/>
          <w:sz w:val="28"/>
          <w:szCs w:val="28"/>
        </w:rPr>
        <w:t>atu saistītiem pasākumiem</w:t>
      </w:r>
      <w:r w:rsidR="002F562C" w:rsidRPr="003F18F0">
        <w:rPr>
          <w:rFonts w:ascii="Times New Roman" w:hAnsi="Times New Roman" w:cs="Times New Roman"/>
          <w:color w:val="000000" w:themeColor="text1"/>
          <w:sz w:val="28"/>
          <w:szCs w:val="28"/>
        </w:rPr>
        <w:t xml:space="preserve">, </w:t>
      </w:r>
      <w:r w:rsidR="002F562C" w:rsidRPr="003F18F0">
        <w:rPr>
          <w:rFonts w:ascii="Times New Roman" w:hAnsi="Times New Roman" w:cs="Times New Roman"/>
          <w:color w:val="000000" w:themeColor="text1"/>
          <w:sz w:val="28"/>
          <w:szCs w:val="28"/>
        </w:rPr>
        <w:lastRenderedPageBreak/>
        <w:t>taču Latvijas gadījumā saskaņā ar likumu “Par piesārņojumu”</w:t>
      </w:r>
      <w:r w:rsidR="002F562C" w:rsidRPr="003F18F0">
        <w:rPr>
          <w:rFonts w:ascii="TimesNewRomanPSMT" w:hAnsi="TimesNewRomanPSMT" w:cs="TimesNewRomanPSMT"/>
          <w:color w:val="000000" w:themeColor="text1"/>
          <w:sz w:val="28"/>
          <w:szCs w:val="28"/>
        </w:rPr>
        <w:t xml:space="preserve"> 32.</w:t>
      </w:r>
      <w:r w:rsidR="002F562C" w:rsidRPr="003F18F0">
        <w:rPr>
          <w:rFonts w:ascii="TimesNewRomanPSMT" w:hAnsi="TimesNewRomanPSMT" w:cs="TimesNewRomanPSMT"/>
          <w:color w:val="000000" w:themeColor="text1"/>
          <w:sz w:val="28"/>
          <w:szCs w:val="28"/>
          <w:vertAlign w:val="superscript"/>
        </w:rPr>
        <w:t>2</w:t>
      </w:r>
      <w:r w:rsidR="002F562C" w:rsidRPr="003F18F0">
        <w:rPr>
          <w:rFonts w:ascii="TimesNewRomanPSMT" w:hAnsi="TimesNewRomanPSMT" w:cs="TimesNewRomanPSMT"/>
          <w:color w:val="000000" w:themeColor="text1"/>
          <w:sz w:val="28"/>
          <w:szCs w:val="28"/>
        </w:rPr>
        <w:t xml:space="preserve"> panta 4</w:t>
      </w:r>
      <w:r w:rsidR="002F562C" w:rsidRPr="003F18F0">
        <w:rPr>
          <w:rFonts w:ascii="TimesNewRomanPSMT" w:hAnsi="TimesNewRomanPSMT" w:cs="TimesNewRomanPSMT"/>
          <w:color w:val="000000" w:themeColor="text1"/>
          <w:sz w:val="28"/>
          <w:szCs w:val="28"/>
          <w:vertAlign w:val="superscript"/>
        </w:rPr>
        <w:t>4</w:t>
      </w:r>
      <w:r w:rsidR="002F562C" w:rsidRPr="003F18F0">
        <w:rPr>
          <w:rFonts w:ascii="TimesNewRomanPSMT" w:hAnsi="TimesNewRomanPSMT" w:cs="TimesNewRomanPSMT"/>
          <w:color w:val="000000" w:themeColor="text1"/>
          <w:sz w:val="28"/>
          <w:szCs w:val="28"/>
        </w:rPr>
        <w:t xml:space="preserve">. daļu visi izsoļu ieņēmumi tiek </w:t>
      </w:r>
      <w:r w:rsidR="00FB480C">
        <w:rPr>
          <w:rFonts w:ascii="TimesNewRomanPSMT" w:hAnsi="TimesNewRomanPSMT" w:cs="TimesNewRomanPSMT"/>
          <w:color w:val="000000" w:themeColor="text1"/>
          <w:sz w:val="28"/>
          <w:szCs w:val="28"/>
        </w:rPr>
        <w:t xml:space="preserve">“iezīmēti” un </w:t>
      </w:r>
      <w:r w:rsidR="002F562C" w:rsidRPr="003F18F0">
        <w:rPr>
          <w:rFonts w:ascii="TimesNewRomanPSMT" w:hAnsi="TimesNewRomanPSMT" w:cs="TimesNewRomanPSMT"/>
          <w:color w:val="000000" w:themeColor="text1"/>
          <w:sz w:val="28"/>
          <w:szCs w:val="28"/>
        </w:rPr>
        <w:t>izlietoti ar klimatu saistītiem pasākumiem.</w:t>
      </w:r>
    </w:p>
    <w:p w14:paraId="44702D22" w14:textId="10B55A92" w:rsidR="00BC2574" w:rsidRPr="003F18F0" w:rsidRDefault="00782250" w:rsidP="00DA15F9">
      <w:pPr>
        <w:spacing w:after="0" w:line="240" w:lineRule="auto"/>
        <w:ind w:right="-1" w:firstLine="567"/>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rPr>
        <w:t>Lai gan Modernizācijas fonda</w:t>
      </w:r>
      <w:r w:rsidR="00A50F24" w:rsidRPr="003F18F0">
        <w:rPr>
          <w:rFonts w:ascii="Times New Roman" w:hAnsi="Times New Roman" w:cs="Times New Roman"/>
          <w:color w:val="000000" w:themeColor="text1"/>
          <w:sz w:val="28"/>
          <w:szCs w:val="28"/>
        </w:rPr>
        <w:t>, gan EKII gadījumā dal</w:t>
      </w:r>
      <w:r w:rsidR="00803E01" w:rsidRPr="003F18F0">
        <w:rPr>
          <w:rFonts w:ascii="Times New Roman" w:hAnsi="Times New Roman" w:cs="Times New Roman"/>
          <w:color w:val="000000" w:themeColor="text1"/>
          <w:sz w:val="28"/>
          <w:szCs w:val="28"/>
        </w:rPr>
        <w:t>ī</w:t>
      </w:r>
      <w:r w:rsidR="00A50F24" w:rsidRPr="003F18F0">
        <w:rPr>
          <w:rFonts w:ascii="Times New Roman" w:hAnsi="Times New Roman" w:cs="Times New Roman"/>
          <w:color w:val="000000" w:themeColor="text1"/>
          <w:sz w:val="28"/>
          <w:szCs w:val="28"/>
        </w:rPr>
        <w:t xml:space="preserve">bvalsts pati atbildīga par </w:t>
      </w:r>
      <w:r w:rsidR="00BC2574" w:rsidRPr="003F18F0">
        <w:rPr>
          <w:rFonts w:ascii="Times New Roman" w:hAnsi="Times New Roman" w:cs="Times New Roman"/>
          <w:color w:val="000000" w:themeColor="text1"/>
          <w:sz w:val="28"/>
          <w:szCs w:val="28"/>
        </w:rPr>
        <w:t>projektu konkursu nolikumu izstrād</w:t>
      </w:r>
      <w:r w:rsidR="00803E01" w:rsidRPr="003F18F0">
        <w:rPr>
          <w:rFonts w:ascii="Times New Roman" w:hAnsi="Times New Roman" w:cs="Times New Roman"/>
          <w:color w:val="000000" w:themeColor="text1"/>
          <w:sz w:val="28"/>
          <w:szCs w:val="28"/>
        </w:rPr>
        <w:t>i</w:t>
      </w:r>
      <w:r w:rsidR="00BC2574" w:rsidRPr="003F18F0">
        <w:rPr>
          <w:rFonts w:ascii="Times New Roman" w:hAnsi="Times New Roman" w:cs="Times New Roman"/>
          <w:color w:val="000000" w:themeColor="text1"/>
          <w:sz w:val="28"/>
          <w:szCs w:val="28"/>
        </w:rPr>
        <w:t xml:space="preserve">, </w:t>
      </w:r>
      <w:r w:rsidR="00803E01" w:rsidRPr="003F18F0">
        <w:rPr>
          <w:rFonts w:ascii="Times New Roman" w:hAnsi="Times New Roman" w:cs="Times New Roman"/>
          <w:color w:val="000000" w:themeColor="text1"/>
          <w:sz w:val="28"/>
          <w:szCs w:val="28"/>
        </w:rPr>
        <w:t xml:space="preserve">tomēr EKII gadījumā </w:t>
      </w:r>
      <w:r w:rsidR="00BC2574" w:rsidRPr="003F18F0">
        <w:rPr>
          <w:rFonts w:ascii="Times New Roman" w:hAnsi="Times New Roman" w:cs="Times New Roman"/>
          <w:color w:val="000000" w:themeColor="text1"/>
          <w:sz w:val="28"/>
          <w:szCs w:val="28"/>
        </w:rPr>
        <w:t>pārraudzība un lēmumu pieņemšana notiek nacionālā līmenī tādā veidā nav papildu saistību attiecībā uz ES institūcijām</w:t>
      </w:r>
      <w:r w:rsidR="00797B18" w:rsidRPr="003F18F0">
        <w:rPr>
          <w:rFonts w:ascii="Times New Roman" w:hAnsi="Times New Roman" w:cs="Times New Roman"/>
          <w:color w:val="000000" w:themeColor="text1"/>
          <w:sz w:val="28"/>
          <w:szCs w:val="28"/>
        </w:rPr>
        <w:t> </w:t>
      </w:r>
      <w:r w:rsidR="00860E7D" w:rsidRPr="003F18F0">
        <w:rPr>
          <w:rFonts w:ascii="Times New Roman" w:hAnsi="Times New Roman" w:cs="Times New Roman"/>
          <w:color w:val="000000" w:themeColor="text1"/>
          <w:sz w:val="28"/>
          <w:szCs w:val="28"/>
        </w:rPr>
        <w:t>–</w:t>
      </w:r>
      <w:r w:rsidR="00797B18" w:rsidRPr="003F18F0">
        <w:rPr>
          <w:rFonts w:ascii="Times New Roman" w:hAnsi="Times New Roman" w:cs="Times New Roman"/>
          <w:color w:val="000000" w:themeColor="text1"/>
          <w:sz w:val="28"/>
          <w:szCs w:val="28"/>
        </w:rPr>
        <w:t> </w:t>
      </w:r>
      <w:r w:rsidR="00BC2574" w:rsidRPr="003F18F0">
        <w:rPr>
          <w:rFonts w:ascii="Times New Roman" w:hAnsi="Times New Roman" w:cs="Times New Roman"/>
          <w:color w:val="000000" w:themeColor="text1"/>
          <w:sz w:val="28"/>
          <w:szCs w:val="28"/>
        </w:rPr>
        <w:t>EK un EIB</w:t>
      </w:r>
      <w:r w:rsidR="00803E01" w:rsidRPr="003F18F0">
        <w:rPr>
          <w:rFonts w:ascii="Times New Roman" w:hAnsi="Times New Roman" w:cs="Times New Roman"/>
          <w:color w:val="000000" w:themeColor="text1"/>
          <w:sz w:val="28"/>
          <w:szCs w:val="28"/>
        </w:rPr>
        <w:t xml:space="preserve">, </w:t>
      </w:r>
      <w:r w:rsidR="00803E01" w:rsidRPr="003F18F0">
        <w:rPr>
          <w:rFonts w:ascii="Times New Roman" w:hAnsi="Times New Roman" w:cs="Times New Roman"/>
          <w:color w:val="000000" w:themeColor="text1"/>
          <w:sz w:val="28"/>
          <w:szCs w:val="28"/>
          <w:shd w:val="clear" w:color="auto" w:fill="FFFFFF"/>
        </w:rPr>
        <w:t>t</w:t>
      </w:r>
      <w:r w:rsidR="00BC2574" w:rsidRPr="003F18F0">
        <w:rPr>
          <w:rFonts w:ascii="Times New Roman" w:hAnsi="Times New Roman" w:cs="Times New Roman"/>
          <w:color w:val="000000" w:themeColor="text1"/>
          <w:sz w:val="28"/>
          <w:szCs w:val="28"/>
          <w:shd w:val="clear" w:color="auto" w:fill="FFFFFF"/>
        </w:rPr>
        <w:t>urklāt nacionālā līmenī ir iespējama lielāka elastība, t.sk. var noteikt savas prioritārās aktivitātes</w:t>
      </w:r>
      <w:r w:rsidR="00803E01" w:rsidRPr="003F18F0">
        <w:rPr>
          <w:rFonts w:ascii="Times New Roman" w:hAnsi="Times New Roman" w:cs="Times New Roman"/>
          <w:color w:val="000000" w:themeColor="text1"/>
          <w:sz w:val="28"/>
          <w:szCs w:val="28"/>
          <w:shd w:val="clear" w:color="auto" w:fill="FFFFFF"/>
        </w:rPr>
        <w:t>.</w:t>
      </w:r>
      <w:r w:rsidR="00803E01" w:rsidRPr="003F18F0">
        <w:rPr>
          <w:rFonts w:ascii="Times New Roman" w:hAnsi="Times New Roman" w:cs="Times New Roman"/>
          <w:color w:val="000000" w:themeColor="text1"/>
          <w:sz w:val="28"/>
          <w:szCs w:val="28"/>
        </w:rPr>
        <w:t xml:space="preserve"> </w:t>
      </w:r>
      <w:r w:rsidR="001E6CDF" w:rsidRPr="003F18F0">
        <w:rPr>
          <w:rFonts w:ascii="Times New Roman" w:hAnsi="Times New Roman" w:cs="Times New Roman"/>
          <w:color w:val="000000" w:themeColor="text1"/>
          <w:sz w:val="28"/>
          <w:szCs w:val="28"/>
        </w:rPr>
        <w:t>Savukārt</w:t>
      </w:r>
      <w:r w:rsidR="008671C1">
        <w:rPr>
          <w:rFonts w:ascii="Times New Roman" w:hAnsi="Times New Roman" w:cs="Times New Roman"/>
          <w:color w:val="000000" w:themeColor="text1"/>
          <w:sz w:val="28"/>
          <w:szCs w:val="28"/>
        </w:rPr>
        <w:t>,</w:t>
      </w:r>
      <w:r w:rsidR="001E6CDF" w:rsidRPr="003F18F0">
        <w:rPr>
          <w:rFonts w:ascii="Times New Roman" w:hAnsi="Times New Roman" w:cs="Times New Roman"/>
          <w:color w:val="000000" w:themeColor="text1"/>
          <w:sz w:val="28"/>
          <w:szCs w:val="28"/>
        </w:rPr>
        <w:t xml:space="preserve"> </w:t>
      </w:r>
      <w:r w:rsidR="00803E01" w:rsidRPr="003F18F0">
        <w:rPr>
          <w:rFonts w:ascii="Times New Roman" w:hAnsi="Times New Roman" w:cs="Times New Roman"/>
          <w:color w:val="000000" w:themeColor="text1"/>
          <w:sz w:val="28"/>
          <w:szCs w:val="28"/>
        </w:rPr>
        <w:t>Modernizācijas fonda ietvaros vis</w:t>
      </w:r>
      <w:r w:rsidR="00FB480C">
        <w:rPr>
          <w:rFonts w:ascii="Times New Roman" w:hAnsi="Times New Roman" w:cs="Times New Roman"/>
          <w:color w:val="000000" w:themeColor="text1"/>
          <w:sz w:val="28"/>
          <w:szCs w:val="28"/>
        </w:rPr>
        <w:t xml:space="preserve">as programmas (shēmas) un </w:t>
      </w:r>
      <w:r w:rsidR="00803E01" w:rsidRPr="003F18F0">
        <w:rPr>
          <w:rFonts w:ascii="Times New Roman" w:hAnsi="Times New Roman" w:cs="Times New Roman"/>
          <w:color w:val="000000" w:themeColor="text1"/>
          <w:sz w:val="28"/>
          <w:szCs w:val="28"/>
        </w:rPr>
        <w:t xml:space="preserve">projekti jāsaskaņo ar EIB (un nepieciešamības gadījumā </w:t>
      </w:r>
      <w:r w:rsidR="001E6CDF" w:rsidRPr="003F18F0">
        <w:rPr>
          <w:rFonts w:ascii="Times New Roman" w:hAnsi="Times New Roman" w:cs="Times New Roman"/>
          <w:color w:val="000000" w:themeColor="text1"/>
          <w:sz w:val="28"/>
          <w:szCs w:val="28"/>
        </w:rPr>
        <w:t xml:space="preserve">vēl </w:t>
      </w:r>
      <w:r w:rsidR="00803E01" w:rsidRPr="003F18F0">
        <w:rPr>
          <w:rFonts w:ascii="Times New Roman" w:hAnsi="Times New Roman" w:cs="Times New Roman"/>
          <w:color w:val="000000" w:themeColor="text1"/>
          <w:sz w:val="28"/>
          <w:szCs w:val="28"/>
        </w:rPr>
        <w:t xml:space="preserve">arī ar Investīciju komiteju) un arī ik gadu būs jāatskaitās ziņojumu veidā. No vienas puses uzraudzība Eiropas līmenī ir pozitīvi vērtējams fakts, tādā veidā nodrošinot lielāku kontroli, taču jānorāda, ka tādā veidā tai daļai, par kuru tiktu palielināts Modernizācijas fonds, tiktu uzlikts papildus administratīvais slogs. </w:t>
      </w:r>
      <w:r w:rsidR="00797B18" w:rsidRPr="003F18F0">
        <w:rPr>
          <w:rFonts w:ascii="Times New Roman" w:hAnsi="Times New Roman" w:cs="Times New Roman"/>
          <w:color w:val="000000" w:themeColor="text1"/>
          <w:sz w:val="28"/>
          <w:szCs w:val="28"/>
        </w:rPr>
        <w:t>A</w:t>
      </w:r>
      <w:r w:rsidR="00803E01" w:rsidRPr="003F18F0">
        <w:rPr>
          <w:rFonts w:ascii="Times New Roman" w:hAnsi="Times New Roman" w:cs="Times New Roman"/>
          <w:color w:val="000000" w:themeColor="text1"/>
          <w:sz w:val="28"/>
          <w:szCs w:val="28"/>
        </w:rPr>
        <w:t>rī EKII ietvaros tiek ziņots EK par emisijas kvotu izsoļu ieņēmumu izlietojum</w:t>
      </w:r>
      <w:r w:rsidR="00797B18" w:rsidRPr="003F18F0">
        <w:rPr>
          <w:rFonts w:ascii="Times New Roman" w:hAnsi="Times New Roman" w:cs="Times New Roman"/>
          <w:color w:val="000000" w:themeColor="text1"/>
          <w:sz w:val="28"/>
          <w:szCs w:val="28"/>
        </w:rPr>
        <w:t>u</w:t>
      </w:r>
      <w:r w:rsidR="00803E01" w:rsidRPr="003F18F0">
        <w:rPr>
          <w:rFonts w:ascii="Times New Roman" w:hAnsi="Times New Roman" w:cs="Times New Roman"/>
          <w:color w:val="000000" w:themeColor="text1"/>
          <w:sz w:val="28"/>
          <w:szCs w:val="28"/>
        </w:rPr>
        <w:t>, taču to formāts ir salīdzinoši vienkāršs un neprasa det</w:t>
      </w:r>
      <w:r w:rsidR="008F0C04">
        <w:rPr>
          <w:rFonts w:ascii="Times New Roman" w:hAnsi="Times New Roman" w:cs="Times New Roman"/>
          <w:color w:val="000000" w:themeColor="text1"/>
          <w:sz w:val="28"/>
          <w:szCs w:val="28"/>
        </w:rPr>
        <w:t>a</w:t>
      </w:r>
      <w:r w:rsidR="00803E01" w:rsidRPr="003F18F0">
        <w:rPr>
          <w:rFonts w:ascii="Times New Roman" w:hAnsi="Times New Roman" w:cs="Times New Roman"/>
          <w:color w:val="000000" w:themeColor="text1"/>
          <w:sz w:val="28"/>
          <w:szCs w:val="28"/>
        </w:rPr>
        <w:t>lizāciju attiecībā uz sasniedzamajiem rādītājiem.</w:t>
      </w:r>
    </w:p>
    <w:p w14:paraId="1791572A" w14:textId="1AB0707F" w:rsidR="00C00CD2" w:rsidRPr="003F18F0" w:rsidRDefault="007F0023" w:rsidP="00DA15F9">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Modernizācijas fonds, saskaņā ar </w:t>
      </w:r>
      <w:r w:rsidR="00364128">
        <w:rPr>
          <w:rFonts w:ascii="Times New Roman" w:hAnsi="Times New Roman" w:cs="Times New Roman"/>
          <w:color w:val="000000" w:themeColor="text1"/>
          <w:sz w:val="28"/>
          <w:szCs w:val="28"/>
        </w:rPr>
        <w:t xml:space="preserve">Direktīvas 2003/87/EK </w:t>
      </w:r>
      <w:r w:rsidRPr="003F18F0">
        <w:rPr>
          <w:rFonts w:ascii="Times New Roman" w:hAnsi="Times New Roman" w:cs="Times New Roman"/>
          <w:color w:val="000000" w:themeColor="text1"/>
          <w:sz w:val="28"/>
          <w:szCs w:val="28"/>
        </w:rPr>
        <w:t>10.</w:t>
      </w:r>
      <w:r w:rsidR="00364128">
        <w:rPr>
          <w:rFonts w:ascii="Times New Roman" w:hAnsi="Times New Roman" w:cs="Times New Roman"/>
          <w:color w:val="000000" w:themeColor="text1"/>
          <w:sz w:val="28"/>
          <w:szCs w:val="28"/>
        </w:rPr>
        <w:t>d</w:t>
      </w:r>
      <w:r w:rsidR="00DF5C91"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xml:space="preserve">panta </w:t>
      </w:r>
      <w:r w:rsidR="00D3461B" w:rsidRPr="003F18F0">
        <w:rPr>
          <w:rFonts w:ascii="Times New Roman" w:hAnsi="Times New Roman" w:cs="Times New Roman"/>
          <w:color w:val="000000" w:themeColor="text1"/>
          <w:sz w:val="28"/>
          <w:szCs w:val="28"/>
        </w:rPr>
        <w:t>pirmo</w:t>
      </w:r>
      <w:r w:rsidRPr="003F18F0">
        <w:rPr>
          <w:rFonts w:ascii="Times New Roman" w:hAnsi="Times New Roman" w:cs="Times New Roman"/>
          <w:color w:val="000000" w:themeColor="text1"/>
          <w:sz w:val="28"/>
          <w:szCs w:val="28"/>
        </w:rPr>
        <w:t xml:space="preserve"> daļu darbosies līdz 2030.</w:t>
      </w:r>
      <w:r w:rsidR="00D3461B"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gadam, kas rada līdzekļu apgūšanas ierobežojumu</w:t>
      </w:r>
      <w:r w:rsidR="00826751" w:rsidRPr="003F18F0">
        <w:rPr>
          <w:rFonts w:ascii="Times New Roman" w:hAnsi="Times New Roman" w:cs="Times New Roman"/>
          <w:color w:val="000000" w:themeColor="text1"/>
          <w:sz w:val="28"/>
          <w:szCs w:val="28"/>
        </w:rPr>
        <w:t xml:space="preserve">, </w:t>
      </w:r>
      <w:r w:rsidR="008624F4" w:rsidRPr="003F18F0">
        <w:rPr>
          <w:rFonts w:ascii="Times New Roman" w:hAnsi="Times New Roman" w:cs="Times New Roman"/>
          <w:color w:val="000000" w:themeColor="text1"/>
          <w:sz w:val="28"/>
          <w:szCs w:val="28"/>
        </w:rPr>
        <w:t>savukārt, saskaņā ar likumu “Par piesārņojumu” 32.</w:t>
      </w:r>
      <w:r w:rsidR="008624F4" w:rsidRPr="003F18F0">
        <w:rPr>
          <w:rFonts w:ascii="Times New Roman" w:hAnsi="Times New Roman" w:cs="Times New Roman"/>
          <w:color w:val="000000" w:themeColor="text1"/>
          <w:sz w:val="28"/>
          <w:szCs w:val="28"/>
          <w:vertAlign w:val="superscript"/>
        </w:rPr>
        <w:t>2</w:t>
      </w:r>
      <w:r w:rsidR="008624F4" w:rsidRPr="003F18F0">
        <w:rPr>
          <w:rFonts w:ascii="Times New Roman" w:hAnsi="Times New Roman" w:cs="Times New Roman"/>
          <w:color w:val="000000" w:themeColor="text1"/>
          <w:sz w:val="28"/>
          <w:szCs w:val="28"/>
        </w:rPr>
        <w:t xml:space="preserve"> panta 4</w:t>
      </w:r>
      <w:r w:rsidR="008624F4" w:rsidRPr="003F18F0">
        <w:rPr>
          <w:rFonts w:ascii="Times New Roman" w:hAnsi="Times New Roman" w:cs="Times New Roman"/>
          <w:color w:val="000000" w:themeColor="text1"/>
          <w:sz w:val="28"/>
          <w:szCs w:val="28"/>
          <w:vertAlign w:val="superscript"/>
        </w:rPr>
        <w:t>6</w:t>
      </w:r>
      <w:r w:rsidR="008624F4" w:rsidRPr="003F18F0">
        <w:rPr>
          <w:rFonts w:ascii="Times New Roman" w:hAnsi="Times New Roman" w:cs="Times New Roman"/>
          <w:color w:val="000000" w:themeColor="text1"/>
          <w:sz w:val="28"/>
          <w:szCs w:val="28"/>
        </w:rPr>
        <w:t>. punktu noteikts, ka EKII līdzekļu izmantošana</w:t>
      </w:r>
      <w:r w:rsidR="000D753B" w:rsidRPr="003F18F0">
        <w:rPr>
          <w:rFonts w:ascii="Times New Roman" w:hAnsi="Times New Roman" w:cs="Times New Roman"/>
          <w:color w:val="000000" w:themeColor="text1"/>
          <w:sz w:val="28"/>
          <w:szCs w:val="28"/>
        </w:rPr>
        <w:t xml:space="preserve"> </w:t>
      </w:r>
      <w:r w:rsidR="008624F4" w:rsidRPr="003F18F0">
        <w:rPr>
          <w:rFonts w:ascii="Times New Roman" w:hAnsi="Times New Roman" w:cs="Times New Roman"/>
          <w:color w:val="000000" w:themeColor="text1"/>
          <w:sz w:val="28"/>
          <w:szCs w:val="28"/>
        </w:rPr>
        <w:t xml:space="preserve">ir </w:t>
      </w:r>
      <w:r w:rsidR="009044CE">
        <w:rPr>
          <w:rFonts w:ascii="Times New Roman" w:hAnsi="Times New Roman" w:cs="Times New Roman"/>
          <w:color w:val="000000" w:themeColor="text1"/>
          <w:sz w:val="28"/>
          <w:szCs w:val="28"/>
        </w:rPr>
        <w:t xml:space="preserve">pieci </w:t>
      </w:r>
      <w:r w:rsidR="008624F4" w:rsidRPr="003F18F0">
        <w:rPr>
          <w:rFonts w:ascii="Times New Roman" w:hAnsi="Times New Roman" w:cs="Times New Roman"/>
          <w:color w:val="000000" w:themeColor="text1"/>
          <w:sz w:val="28"/>
          <w:szCs w:val="28"/>
        </w:rPr>
        <w:t xml:space="preserve">gadi pēc ES ETS sistēmas darbības beigām. Tā kā ES ETS sistēmas </w:t>
      </w:r>
      <w:r w:rsidR="000D753B" w:rsidRPr="003F18F0">
        <w:rPr>
          <w:rFonts w:ascii="Times New Roman" w:hAnsi="Times New Roman" w:cs="Times New Roman"/>
          <w:color w:val="000000" w:themeColor="text1"/>
          <w:sz w:val="28"/>
          <w:szCs w:val="28"/>
        </w:rPr>
        <w:t>darbības</w:t>
      </w:r>
      <w:r w:rsidR="008624F4" w:rsidRPr="003F18F0">
        <w:rPr>
          <w:rFonts w:ascii="Times New Roman" w:hAnsi="Times New Roman" w:cs="Times New Roman"/>
          <w:color w:val="000000" w:themeColor="text1"/>
          <w:sz w:val="28"/>
          <w:szCs w:val="28"/>
        </w:rPr>
        <w:t xml:space="preserve"> beigu datum</w:t>
      </w:r>
      <w:r w:rsidR="000D753B" w:rsidRPr="003F18F0">
        <w:rPr>
          <w:rFonts w:ascii="Times New Roman" w:hAnsi="Times New Roman" w:cs="Times New Roman"/>
          <w:color w:val="000000" w:themeColor="text1"/>
          <w:sz w:val="28"/>
          <w:szCs w:val="28"/>
        </w:rPr>
        <w:t>s</w:t>
      </w:r>
      <w:r w:rsidR="008624F4" w:rsidRPr="003F18F0">
        <w:rPr>
          <w:rFonts w:ascii="Times New Roman" w:hAnsi="Times New Roman" w:cs="Times New Roman"/>
          <w:color w:val="000000" w:themeColor="text1"/>
          <w:sz w:val="28"/>
          <w:szCs w:val="28"/>
        </w:rPr>
        <w:t xml:space="preserve"> </w:t>
      </w:r>
      <w:r w:rsidR="000D753B" w:rsidRPr="003F18F0">
        <w:rPr>
          <w:rFonts w:ascii="Times New Roman" w:hAnsi="Times New Roman" w:cs="Times New Roman"/>
          <w:color w:val="000000" w:themeColor="text1"/>
          <w:sz w:val="28"/>
          <w:szCs w:val="28"/>
        </w:rPr>
        <w:t>nav noteikts</w:t>
      </w:r>
      <w:r w:rsidR="008624F4" w:rsidRPr="003F18F0">
        <w:rPr>
          <w:rFonts w:ascii="Times New Roman" w:hAnsi="Times New Roman" w:cs="Times New Roman"/>
          <w:color w:val="000000" w:themeColor="text1"/>
          <w:sz w:val="28"/>
          <w:szCs w:val="28"/>
        </w:rPr>
        <w:t>,</w:t>
      </w:r>
      <w:r w:rsidR="000D753B" w:rsidRPr="003F18F0">
        <w:rPr>
          <w:rFonts w:ascii="Times New Roman" w:hAnsi="Times New Roman" w:cs="Times New Roman"/>
          <w:color w:val="000000" w:themeColor="text1"/>
          <w:sz w:val="28"/>
          <w:szCs w:val="28"/>
        </w:rPr>
        <w:t xml:space="preserve"> tad</w:t>
      </w:r>
      <w:r w:rsidR="008624F4" w:rsidRPr="003F18F0">
        <w:rPr>
          <w:rFonts w:ascii="Times New Roman" w:hAnsi="Times New Roman" w:cs="Times New Roman"/>
          <w:color w:val="000000" w:themeColor="text1"/>
          <w:sz w:val="28"/>
          <w:szCs w:val="28"/>
        </w:rPr>
        <w:t xml:space="preserve"> </w:t>
      </w:r>
      <w:r w:rsidR="00826751" w:rsidRPr="003F18F0">
        <w:rPr>
          <w:rFonts w:ascii="Times New Roman" w:hAnsi="Times New Roman" w:cs="Times New Roman"/>
          <w:color w:val="000000" w:themeColor="text1"/>
          <w:sz w:val="28"/>
          <w:szCs w:val="28"/>
        </w:rPr>
        <w:t>EKII</w:t>
      </w:r>
      <w:r w:rsidR="008624F4" w:rsidRPr="003F18F0">
        <w:rPr>
          <w:rFonts w:ascii="Times New Roman" w:hAnsi="Times New Roman" w:cs="Times New Roman"/>
          <w:color w:val="000000" w:themeColor="text1"/>
          <w:sz w:val="28"/>
          <w:szCs w:val="28"/>
        </w:rPr>
        <w:t xml:space="preserve"> līdzekļu apgūšana</w:t>
      </w:r>
      <w:r w:rsidR="00046515">
        <w:rPr>
          <w:rFonts w:ascii="Times New Roman" w:hAnsi="Times New Roman" w:cs="Times New Roman"/>
          <w:color w:val="000000" w:themeColor="text1"/>
          <w:sz w:val="28"/>
          <w:szCs w:val="28"/>
        </w:rPr>
        <w:t>i</w:t>
      </w:r>
      <w:r w:rsidR="005F3CE7">
        <w:rPr>
          <w:rFonts w:ascii="Times New Roman" w:hAnsi="Times New Roman" w:cs="Times New Roman"/>
          <w:color w:val="000000" w:themeColor="text1"/>
          <w:sz w:val="28"/>
          <w:szCs w:val="28"/>
        </w:rPr>
        <w:t xml:space="preserve"> </w:t>
      </w:r>
      <w:r w:rsidR="008624F4" w:rsidRPr="003F18F0">
        <w:rPr>
          <w:rFonts w:ascii="Times New Roman" w:hAnsi="Times New Roman" w:cs="Times New Roman"/>
          <w:color w:val="000000" w:themeColor="text1"/>
          <w:sz w:val="28"/>
          <w:szCs w:val="28"/>
        </w:rPr>
        <w:t>ierobežoj</w:t>
      </w:r>
      <w:r w:rsidR="005F3CE7">
        <w:rPr>
          <w:rFonts w:ascii="Times New Roman" w:hAnsi="Times New Roman" w:cs="Times New Roman"/>
          <w:color w:val="000000" w:themeColor="text1"/>
          <w:sz w:val="28"/>
          <w:szCs w:val="28"/>
        </w:rPr>
        <w:t xml:space="preserve">oša </w:t>
      </w:r>
      <w:r w:rsidR="008624F4" w:rsidRPr="003F18F0">
        <w:rPr>
          <w:rFonts w:ascii="Times New Roman" w:hAnsi="Times New Roman" w:cs="Times New Roman"/>
          <w:color w:val="000000" w:themeColor="text1"/>
          <w:sz w:val="28"/>
          <w:szCs w:val="28"/>
        </w:rPr>
        <w:t>termiņa (vismaz tuvākos 15</w:t>
      </w:r>
      <w:r w:rsidR="000D753B" w:rsidRPr="003F18F0">
        <w:rPr>
          <w:rFonts w:ascii="Times New Roman" w:hAnsi="Times New Roman" w:cs="Times New Roman"/>
          <w:color w:val="000000" w:themeColor="text1"/>
          <w:sz w:val="28"/>
          <w:szCs w:val="28"/>
        </w:rPr>
        <w:t xml:space="preserve"> </w:t>
      </w:r>
      <w:r w:rsidR="008624F4" w:rsidRPr="003F18F0">
        <w:rPr>
          <w:rFonts w:ascii="Times New Roman" w:hAnsi="Times New Roman" w:cs="Times New Roman"/>
          <w:color w:val="000000" w:themeColor="text1"/>
          <w:sz w:val="28"/>
          <w:szCs w:val="28"/>
        </w:rPr>
        <w:t>gadus) nav</w:t>
      </w:r>
      <w:r w:rsidR="00826751" w:rsidRPr="003F18F0">
        <w:rPr>
          <w:rFonts w:ascii="Times New Roman" w:hAnsi="Times New Roman" w:cs="Times New Roman"/>
          <w:color w:val="000000" w:themeColor="text1"/>
          <w:sz w:val="28"/>
          <w:szCs w:val="28"/>
        </w:rPr>
        <w:t>.</w:t>
      </w:r>
      <w:r w:rsidR="000D753B" w:rsidRPr="003F18F0">
        <w:rPr>
          <w:rFonts w:ascii="Times New Roman" w:hAnsi="Times New Roman" w:cs="Times New Roman"/>
          <w:color w:val="000000" w:themeColor="text1"/>
          <w:sz w:val="28"/>
          <w:szCs w:val="28"/>
        </w:rPr>
        <w:t xml:space="preserve"> </w:t>
      </w:r>
      <w:r w:rsidR="008624F4" w:rsidRPr="003F18F0">
        <w:rPr>
          <w:rFonts w:ascii="Times New Roman" w:hAnsi="Times New Roman" w:cs="Times New Roman"/>
          <w:color w:val="000000" w:themeColor="text1"/>
          <w:sz w:val="28"/>
          <w:szCs w:val="28"/>
        </w:rPr>
        <w:t>Ņemot vērā</w:t>
      </w:r>
      <w:r w:rsidR="00826751" w:rsidRPr="003F18F0">
        <w:rPr>
          <w:rFonts w:ascii="Times New Roman" w:hAnsi="Times New Roman" w:cs="Times New Roman"/>
          <w:color w:val="000000" w:themeColor="text1"/>
          <w:sz w:val="28"/>
          <w:szCs w:val="28"/>
        </w:rPr>
        <w:t xml:space="preserve"> </w:t>
      </w:r>
      <w:r w:rsidR="008624F4" w:rsidRPr="003F18F0">
        <w:rPr>
          <w:rFonts w:ascii="Times New Roman" w:hAnsi="Times New Roman" w:cs="Times New Roman"/>
          <w:color w:val="000000" w:themeColor="text1"/>
          <w:sz w:val="28"/>
          <w:szCs w:val="28"/>
        </w:rPr>
        <w:t xml:space="preserve">Izsoļu regulas grozījumu </w:t>
      </w:r>
      <w:r w:rsidR="002008B9" w:rsidRPr="003F18F0">
        <w:rPr>
          <w:rFonts w:ascii="Times New Roman" w:hAnsi="Times New Roman" w:cs="Times New Roman"/>
          <w:color w:val="000000" w:themeColor="text1"/>
          <w:sz w:val="28"/>
          <w:szCs w:val="28"/>
        </w:rPr>
        <w:t>1.</w:t>
      </w:r>
      <w:r w:rsidR="000D753B" w:rsidRPr="003F18F0">
        <w:rPr>
          <w:rFonts w:ascii="Times New Roman" w:hAnsi="Times New Roman" w:cs="Times New Roman"/>
          <w:color w:val="000000" w:themeColor="text1"/>
          <w:sz w:val="28"/>
          <w:szCs w:val="28"/>
        </w:rPr>
        <w:t> </w:t>
      </w:r>
      <w:r w:rsidR="002008B9" w:rsidRPr="003F18F0">
        <w:rPr>
          <w:rFonts w:ascii="Times New Roman" w:hAnsi="Times New Roman" w:cs="Times New Roman"/>
          <w:color w:val="000000" w:themeColor="text1"/>
          <w:sz w:val="28"/>
          <w:szCs w:val="28"/>
        </w:rPr>
        <w:t>panta 19.</w:t>
      </w:r>
      <w:r w:rsidR="000D753B" w:rsidRPr="003F18F0">
        <w:rPr>
          <w:rFonts w:ascii="Times New Roman" w:hAnsi="Times New Roman" w:cs="Times New Roman"/>
          <w:color w:val="000000" w:themeColor="text1"/>
          <w:sz w:val="28"/>
          <w:szCs w:val="28"/>
        </w:rPr>
        <w:t> </w:t>
      </w:r>
      <w:r w:rsidR="002008B9" w:rsidRPr="003F18F0">
        <w:rPr>
          <w:rFonts w:ascii="Times New Roman" w:hAnsi="Times New Roman" w:cs="Times New Roman"/>
          <w:color w:val="000000" w:themeColor="text1"/>
          <w:sz w:val="28"/>
          <w:szCs w:val="28"/>
        </w:rPr>
        <w:t>punktu Modernizācijas fonda līdzekļi tiks sadalīti laika periodā no 2021.</w:t>
      </w:r>
      <w:r w:rsidR="000D753B" w:rsidRPr="003F18F0">
        <w:rPr>
          <w:rFonts w:ascii="Times New Roman" w:hAnsi="Times New Roman" w:cs="Times New Roman"/>
          <w:color w:val="000000" w:themeColor="text1"/>
          <w:sz w:val="28"/>
          <w:szCs w:val="28"/>
        </w:rPr>
        <w:t xml:space="preserve"> līdz </w:t>
      </w:r>
      <w:r w:rsidR="002008B9" w:rsidRPr="003F18F0">
        <w:rPr>
          <w:rFonts w:ascii="Times New Roman" w:hAnsi="Times New Roman" w:cs="Times New Roman"/>
          <w:color w:val="000000" w:themeColor="text1"/>
          <w:sz w:val="28"/>
          <w:szCs w:val="28"/>
        </w:rPr>
        <w:t>2030</w:t>
      </w:r>
      <w:r w:rsidR="000D753B" w:rsidRPr="003F18F0">
        <w:rPr>
          <w:rFonts w:ascii="Times New Roman" w:hAnsi="Times New Roman" w:cs="Times New Roman"/>
          <w:color w:val="000000" w:themeColor="text1"/>
          <w:sz w:val="28"/>
          <w:szCs w:val="28"/>
        </w:rPr>
        <w:t>.</w:t>
      </w:r>
      <w:r w:rsidR="00860E7D" w:rsidRPr="003F18F0">
        <w:rPr>
          <w:rFonts w:ascii="Times New Roman" w:hAnsi="Times New Roman" w:cs="Times New Roman"/>
          <w:color w:val="000000" w:themeColor="text1"/>
          <w:sz w:val="28"/>
          <w:szCs w:val="28"/>
        </w:rPr>
        <w:t> </w:t>
      </w:r>
      <w:r w:rsidR="000D753B" w:rsidRPr="003F18F0">
        <w:rPr>
          <w:rFonts w:ascii="Times New Roman" w:hAnsi="Times New Roman" w:cs="Times New Roman"/>
          <w:color w:val="000000" w:themeColor="text1"/>
          <w:sz w:val="28"/>
          <w:szCs w:val="28"/>
        </w:rPr>
        <w:t>gadam</w:t>
      </w:r>
      <w:r w:rsidR="002008B9" w:rsidRPr="003F18F0">
        <w:rPr>
          <w:rFonts w:ascii="Times New Roman" w:hAnsi="Times New Roman" w:cs="Times New Roman"/>
          <w:color w:val="000000" w:themeColor="text1"/>
          <w:sz w:val="28"/>
          <w:szCs w:val="28"/>
        </w:rPr>
        <w:t xml:space="preserve"> un izsolīti katru gadu vienādā apjomā, kas ņemot vērā augstākminēto ierobežojumu, var uzlikt zināmu spriedzi uz pēdējo</w:t>
      </w:r>
      <w:r w:rsidR="009D73FA">
        <w:rPr>
          <w:rFonts w:ascii="Times New Roman" w:hAnsi="Times New Roman" w:cs="Times New Roman"/>
          <w:color w:val="000000" w:themeColor="text1"/>
          <w:sz w:val="28"/>
          <w:szCs w:val="28"/>
        </w:rPr>
        <w:t>s</w:t>
      </w:r>
      <w:r w:rsidR="002008B9" w:rsidRPr="003F18F0">
        <w:rPr>
          <w:rFonts w:ascii="Times New Roman" w:hAnsi="Times New Roman" w:cs="Times New Roman"/>
          <w:color w:val="000000" w:themeColor="text1"/>
          <w:sz w:val="28"/>
          <w:szCs w:val="28"/>
        </w:rPr>
        <w:t xml:space="preserve"> gad</w:t>
      </w:r>
      <w:r w:rsidR="009D73FA">
        <w:rPr>
          <w:rFonts w:ascii="Times New Roman" w:hAnsi="Times New Roman" w:cs="Times New Roman"/>
          <w:color w:val="000000" w:themeColor="text1"/>
          <w:sz w:val="28"/>
          <w:szCs w:val="28"/>
        </w:rPr>
        <w:t>os</w:t>
      </w:r>
      <w:r w:rsidR="002008B9" w:rsidRPr="003F18F0">
        <w:rPr>
          <w:rFonts w:ascii="Times New Roman" w:hAnsi="Times New Roman" w:cs="Times New Roman"/>
          <w:color w:val="000000" w:themeColor="text1"/>
          <w:sz w:val="28"/>
          <w:szCs w:val="28"/>
        </w:rPr>
        <w:t xml:space="preserve"> </w:t>
      </w:r>
      <w:proofErr w:type="spellStart"/>
      <w:r w:rsidR="002008B9" w:rsidRPr="003F18F0">
        <w:rPr>
          <w:rFonts w:ascii="Times New Roman" w:hAnsi="Times New Roman" w:cs="Times New Roman"/>
          <w:color w:val="000000" w:themeColor="text1"/>
          <w:sz w:val="28"/>
          <w:szCs w:val="28"/>
        </w:rPr>
        <w:t>monetizēto</w:t>
      </w:r>
      <w:proofErr w:type="spellEnd"/>
      <w:r w:rsidR="002008B9" w:rsidRPr="003F18F0">
        <w:rPr>
          <w:rFonts w:ascii="Times New Roman" w:hAnsi="Times New Roman" w:cs="Times New Roman"/>
          <w:color w:val="000000" w:themeColor="text1"/>
          <w:sz w:val="28"/>
          <w:szCs w:val="28"/>
        </w:rPr>
        <w:t xml:space="preserve"> līdzekļu a</w:t>
      </w:r>
      <w:r w:rsidR="000D753B" w:rsidRPr="003F18F0">
        <w:rPr>
          <w:rFonts w:ascii="Times New Roman" w:hAnsi="Times New Roman" w:cs="Times New Roman"/>
          <w:color w:val="000000" w:themeColor="text1"/>
          <w:sz w:val="28"/>
          <w:szCs w:val="28"/>
        </w:rPr>
        <w:t>p</w:t>
      </w:r>
      <w:r w:rsidR="002008B9" w:rsidRPr="003F18F0">
        <w:rPr>
          <w:rFonts w:ascii="Times New Roman" w:hAnsi="Times New Roman" w:cs="Times New Roman"/>
          <w:color w:val="000000" w:themeColor="text1"/>
          <w:sz w:val="28"/>
          <w:szCs w:val="28"/>
        </w:rPr>
        <w:t xml:space="preserve">gūšanu. </w:t>
      </w:r>
      <w:r w:rsidR="00D3461B" w:rsidRPr="003F18F0">
        <w:rPr>
          <w:rFonts w:ascii="Times New Roman" w:hAnsi="Times New Roman" w:cs="Times New Roman"/>
          <w:color w:val="000000" w:themeColor="text1"/>
          <w:sz w:val="28"/>
          <w:szCs w:val="28"/>
        </w:rPr>
        <w:t>Š</w:t>
      </w:r>
      <w:r w:rsidR="00826751" w:rsidRPr="003F18F0">
        <w:rPr>
          <w:rFonts w:ascii="Times New Roman" w:hAnsi="Times New Roman" w:cs="Times New Roman"/>
          <w:color w:val="000000" w:themeColor="text1"/>
          <w:sz w:val="28"/>
          <w:szCs w:val="28"/>
        </w:rPr>
        <w:t>obrīd nav skaidrības par Modernizācijas fonda neapgūto līdzekļu nākotni pēc 2030.</w:t>
      </w:r>
      <w:r w:rsidR="00D3461B" w:rsidRPr="003F18F0">
        <w:rPr>
          <w:rFonts w:ascii="Times New Roman" w:hAnsi="Times New Roman" w:cs="Times New Roman"/>
          <w:color w:val="000000" w:themeColor="text1"/>
          <w:sz w:val="28"/>
          <w:szCs w:val="28"/>
        </w:rPr>
        <w:t> </w:t>
      </w:r>
      <w:r w:rsidR="00826751" w:rsidRPr="003F18F0">
        <w:rPr>
          <w:rFonts w:ascii="Times New Roman" w:hAnsi="Times New Roman" w:cs="Times New Roman"/>
          <w:color w:val="000000" w:themeColor="text1"/>
          <w:sz w:val="28"/>
          <w:szCs w:val="28"/>
        </w:rPr>
        <w:t>gada.</w:t>
      </w:r>
      <w:r w:rsidR="002008B9" w:rsidRPr="003F18F0">
        <w:rPr>
          <w:rFonts w:ascii="Times New Roman" w:hAnsi="Times New Roman" w:cs="Times New Roman"/>
          <w:color w:val="000000" w:themeColor="text1"/>
          <w:sz w:val="28"/>
          <w:szCs w:val="28"/>
        </w:rPr>
        <w:t xml:space="preserve"> Līdz ar to solidaritātes emisijas kvotu vai iepriekš </w:t>
      </w:r>
      <w:proofErr w:type="spellStart"/>
      <w:r w:rsidR="002008B9" w:rsidRPr="003F18F0">
        <w:rPr>
          <w:rFonts w:ascii="Times New Roman" w:hAnsi="Times New Roman" w:cs="Times New Roman"/>
          <w:color w:val="000000" w:themeColor="text1"/>
          <w:sz w:val="28"/>
          <w:szCs w:val="28"/>
        </w:rPr>
        <w:t>derogācijai</w:t>
      </w:r>
      <w:proofErr w:type="spellEnd"/>
      <w:r w:rsidR="002008B9" w:rsidRPr="003F18F0">
        <w:rPr>
          <w:rFonts w:ascii="Times New Roman" w:hAnsi="Times New Roman" w:cs="Times New Roman"/>
          <w:color w:val="000000" w:themeColor="text1"/>
          <w:sz w:val="28"/>
          <w:szCs w:val="28"/>
        </w:rPr>
        <w:t xml:space="preserve"> potenciāli pieejamo emisijas kvotu atstāšana EKII </w:t>
      </w:r>
      <w:r w:rsidR="000D753B" w:rsidRPr="003F18F0">
        <w:rPr>
          <w:rFonts w:ascii="Times New Roman" w:hAnsi="Times New Roman" w:cs="Times New Roman"/>
          <w:color w:val="000000" w:themeColor="text1"/>
          <w:sz w:val="28"/>
          <w:szCs w:val="28"/>
        </w:rPr>
        <w:t>ietvaros</w:t>
      </w:r>
      <w:r w:rsidR="002008B9" w:rsidRPr="003F18F0">
        <w:rPr>
          <w:rFonts w:ascii="Times New Roman" w:hAnsi="Times New Roman" w:cs="Times New Roman"/>
          <w:color w:val="000000" w:themeColor="text1"/>
          <w:sz w:val="28"/>
          <w:szCs w:val="28"/>
        </w:rPr>
        <w:t xml:space="preserve"> izslēdz potenciālos riskus un sekas, kas varētu rasties, no iepriekšminēto </w:t>
      </w:r>
      <w:r w:rsidR="000D753B" w:rsidRPr="003F18F0">
        <w:rPr>
          <w:rFonts w:ascii="Times New Roman" w:hAnsi="Times New Roman" w:cs="Times New Roman"/>
          <w:color w:val="000000" w:themeColor="text1"/>
          <w:sz w:val="28"/>
          <w:szCs w:val="28"/>
        </w:rPr>
        <w:t xml:space="preserve">emisijas </w:t>
      </w:r>
      <w:r w:rsidR="002008B9" w:rsidRPr="003F18F0">
        <w:rPr>
          <w:rFonts w:ascii="Times New Roman" w:hAnsi="Times New Roman" w:cs="Times New Roman"/>
          <w:color w:val="000000" w:themeColor="text1"/>
          <w:sz w:val="28"/>
          <w:szCs w:val="28"/>
        </w:rPr>
        <w:t xml:space="preserve">kvotu </w:t>
      </w:r>
      <w:proofErr w:type="spellStart"/>
      <w:r w:rsidR="002008B9" w:rsidRPr="003F18F0">
        <w:rPr>
          <w:rFonts w:ascii="Times New Roman" w:hAnsi="Times New Roman" w:cs="Times New Roman"/>
          <w:color w:val="000000" w:themeColor="text1"/>
          <w:sz w:val="28"/>
          <w:szCs w:val="28"/>
        </w:rPr>
        <w:t>monetizēto</w:t>
      </w:r>
      <w:proofErr w:type="spellEnd"/>
      <w:r w:rsidR="002008B9" w:rsidRPr="003F18F0">
        <w:rPr>
          <w:rFonts w:ascii="Times New Roman" w:hAnsi="Times New Roman" w:cs="Times New Roman"/>
          <w:color w:val="000000" w:themeColor="text1"/>
          <w:sz w:val="28"/>
          <w:szCs w:val="28"/>
        </w:rPr>
        <w:t xml:space="preserve"> ieņēmumu neapgūšanas, ja tās </w:t>
      </w:r>
      <w:r w:rsidR="005747FF">
        <w:rPr>
          <w:rFonts w:ascii="Times New Roman" w:hAnsi="Times New Roman" w:cs="Times New Roman"/>
          <w:color w:val="000000" w:themeColor="text1"/>
          <w:sz w:val="28"/>
          <w:szCs w:val="28"/>
        </w:rPr>
        <w:t>tiktu novirzītas</w:t>
      </w:r>
      <w:r w:rsidR="005747FF" w:rsidRPr="003F18F0">
        <w:rPr>
          <w:rFonts w:ascii="Times New Roman" w:hAnsi="Times New Roman" w:cs="Times New Roman"/>
          <w:color w:val="000000" w:themeColor="text1"/>
          <w:sz w:val="28"/>
          <w:szCs w:val="28"/>
        </w:rPr>
        <w:t xml:space="preserve"> </w:t>
      </w:r>
      <w:r w:rsidR="002008B9" w:rsidRPr="003F18F0">
        <w:rPr>
          <w:rFonts w:ascii="Times New Roman" w:hAnsi="Times New Roman" w:cs="Times New Roman"/>
          <w:color w:val="000000" w:themeColor="text1"/>
          <w:sz w:val="28"/>
          <w:szCs w:val="28"/>
        </w:rPr>
        <w:t>Modernizācijas fonda</w:t>
      </w:r>
      <w:r w:rsidR="00A86ACC">
        <w:rPr>
          <w:rFonts w:ascii="Times New Roman" w:hAnsi="Times New Roman" w:cs="Times New Roman"/>
          <w:color w:val="000000" w:themeColor="text1"/>
          <w:sz w:val="28"/>
          <w:szCs w:val="28"/>
        </w:rPr>
        <w:t>m</w:t>
      </w:r>
      <w:r w:rsidR="002008B9" w:rsidRPr="003F18F0">
        <w:rPr>
          <w:rFonts w:ascii="Times New Roman" w:hAnsi="Times New Roman" w:cs="Times New Roman"/>
          <w:color w:val="000000" w:themeColor="text1"/>
          <w:sz w:val="28"/>
          <w:szCs w:val="28"/>
        </w:rPr>
        <w:t>.</w:t>
      </w:r>
    </w:p>
    <w:p w14:paraId="23231D85" w14:textId="629847BB" w:rsidR="00737455" w:rsidRPr="003F18F0" w:rsidRDefault="00384147"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shd w:val="clear" w:color="auto" w:fill="FFFFFF"/>
        </w:rPr>
        <w:t xml:space="preserve">Lai nodrošinātu turpmāku efektīvu valsts budžeta programmas </w:t>
      </w:r>
      <w:r w:rsidR="00DF5C91" w:rsidRPr="003F18F0">
        <w:rPr>
          <w:rFonts w:ascii="Times New Roman" w:hAnsi="Times New Roman" w:cs="Times New Roman"/>
          <w:color w:val="000000" w:themeColor="text1"/>
          <w:sz w:val="28"/>
          <w:szCs w:val="28"/>
          <w:shd w:val="clear" w:color="auto" w:fill="FFFFFF"/>
        </w:rPr>
        <w:t xml:space="preserve">“Emisijas kvotu izsolīšanas instruments” </w:t>
      </w:r>
      <w:r w:rsidRPr="003F18F0">
        <w:rPr>
          <w:rFonts w:ascii="Times New Roman" w:hAnsi="Times New Roman" w:cs="Times New Roman"/>
          <w:color w:val="000000" w:themeColor="text1"/>
          <w:sz w:val="28"/>
          <w:szCs w:val="28"/>
          <w:shd w:val="clear" w:color="auto" w:fill="FFFFFF"/>
        </w:rPr>
        <w:t xml:space="preserve">īstenošanu, izmantojot </w:t>
      </w:r>
      <w:r w:rsidR="00DF5C91" w:rsidRPr="003F18F0">
        <w:rPr>
          <w:rFonts w:ascii="Times New Roman" w:hAnsi="Times New Roman" w:cs="Times New Roman"/>
          <w:color w:val="000000" w:themeColor="text1"/>
          <w:sz w:val="28"/>
          <w:szCs w:val="28"/>
          <w:shd w:val="clear" w:color="auto" w:fill="FFFFFF"/>
        </w:rPr>
        <w:t>līdzšinējo</w:t>
      </w:r>
      <w:r w:rsidRPr="003F18F0">
        <w:rPr>
          <w:rFonts w:ascii="Times New Roman" w:hAnsi="Times New Roman" w:cs="Times New Roman"/>
          <w:color w:val="000000" w:themeColor="text1"/>
          <w:sz w:val="28"/>
          <w:szCs w:val="28"/>
          <w:shd w:val="clear" w:color="auto" w:fill="FFFFFF"/>
        </w:rPr>
        <w:t xml:space="preserve"> pieredzi projektu konkursu organizēšanā</w:t>
      </w:r>
      <w:r w:rsidR="000229D6" w:rsidRPr="003F18F0">
        <w:rPr>
          <w:rFonts w:ascii="Times New Roman" w:hAnsi="Times New Roman" w:cs="Times New Roman"/>
          <w:color w:val="000000" w:themeColor="text1"/>
          <w:sz w:val="28"/>
          <w:szCs w:val="28"/>
          <w:shd w:val="clear" w:color="auto" w:fill="FFFFFF"/>
        </w:rPr>
        <w:t xml:space="preserve"> (t.sk</w:t>
      </w:r>
      <w:r w:rsidR="007A0DF9" w:rsidRPr="003F18F0">
        <w:rPr>
          <w:rFonts w:ascii="Times New Roman" w:hAnsi="Times New Roman" w:cs="Times New Roman"/>
          <w:color w:val="000000" w:themeColor="text1"/>
          <w:sz w:val="28"/>
          <w:szCs w:val="28"/>
          <w:shd w:val="clear" w:color="auto" w:fill="FFFFFF"/>
        </w:rPr>
        <w:t>.</w:t>
      </w:r>
      <w:r w:rsidR="000229D6" w:rsidRPr="003F18F0">
        <w:rPr>
          <w:rFonts w:ascii="Times New Roman" w:hAnsi="Times New Roman" w:cs="Times New Roman"/>
          <w:color w:val="000000" w:themeColor="text1"/>
          <w:sz w:val="28"/>
          <w:szCs w:val="28"/>
          <w:shd w:val="clear" w:color="auto" w:fill="FFFFFF"/>
        </w:rPr>
        <w:t xml:space="preserve"> KPFI ietvaros)</w:t>
      </w:r>
      <w:r w:rsidRPr="003F18F0">
        <w:rPr>
          <w:rFonts w:ascii="Times New Roman" w:hAnsi="Times New Roman" w:cs="Times New Roman"/>
          <w:color w:val="000000" w:themeColor="text1"/>
          <w:sz w:val="28"/>
          <w:szCs w:val="28"/>
          <w:shd w:val="clear" w:color="auto" w:fill="FFFFFF"/>
        </w:rPr>
        <w:t>, kā arī ņ</w:t>
      </w:r>
      <w:r w:rsidR="00737455" w:rsidRPr="003F18F0">
        <w:rPr>
          <w:rFonts w:ascii="Times New Roman" w:hAnsi="Times New Roman" w:cs="Times New Roman"/>
          <w:color w:val="000000" w:themeColor="text1"/>
          <w:sz w:val="28"/>
          <w:szCs w:val="28"/>
          <w:shd w:val="clear" w:color="auto" w:fill="FFFFFF"/>
        </w:rPr>
        <w:t>emot vēr</w:t>
      </w:r>
      <w:r w:rsidR="007F0023" w:rsidRPr="003F18F0">
        <w:rPr>
          <w:rFonts w:ascii="Times New Roman" w:hAnsi="Times New Roman" w:cs="Times New Roman"/>
          <w:color w:val="000000" w:themeColor="text1"/>
          <w:sz w:val="28"/>
          <w:szCs w:val="28"/>
          <w:shd w:val="clear" w:color="auto" w:fill="FFFFFF"/>
        </w:rPr>
        <w:t xml:space="preserve">ā augstāk minēto </w:t>
      </w:r>
      <w:r w:rsidRPr="003F18F0">
        <w:rPr>
          <w:rFonts w:ascii="Times New Roman" w:hAnsi="Times New Roman" w:cs="Times New Roman"/>
          <w:color w:val="000000" w:themeColor="text1"/>
          <w:sz w:val="28"/>
          <w:szCs w:val="28"/>
          <w:shd w:val="clear" w:color="auto" w:fill="FFFFFF"/>
        </w:rPr>
        <w:t xml:space="preserve">nav </w:t>
      </w:r>
      <w:r w:rsidR="007F0023" w:rsidRPr="003F18F0">
        <w:rPr>
          <w:rFonts w:ascii="Times New Roman" w:hAnsi="Times New Roman" w:cs="Times New Roman"/>
          <w:color w:val="000000" w:themeColor="text1"/>
          <w:sz w:val="28"/>
          <w:szCs w:val="28"/>
          <w:shd w:val="clear" w:color="auto" w:fill="FFFFFF"/>
        </w:rPr>
        <w:t xml:space="preserve">lietderīgi veikt </w:t>
      </w:r>
      <w:r w:rsidR="00B22D09" w:rsidRPr="003F18F0">
        <w:rPr>
          <w:rFonts w:ascii="Times New Roman" w:hAnsi="Times New Roman" w:cs="Times New Roman"/>
          <w:color w:val="000000" w:themeColor="text1"/>
          <w:sz w:val="28"/>
          <w:szCs w:val="28"/>
          <w:shd w:val="clear" w:color="auto" w:fill="FFFFFF"/>
        </w:rPr>
        <w:t>izsolāmo emisiju kvotu</w:t>
      </w:r>
      <w:r w:rsidR="00DF5C91" w:rsidRPr="003F18F0">
        <w:rPr>
          <w:rFonts w:ascii="Times New Roman" w:hAnsi="Times New Roman" w:cs="Times New Roman"/>
          <w:color w:val="000000" w:themeColor="text1"/>
          <w:sz w:val="28"/>
          <w:szCs w:val="28"/>
          <w:shd w:val="clear" w:color="auto" w:fill="FFFFFF"/>
        </w:rPr>
        <w:t xml:space="preserve"> (</w:t>
      </w:r>
      <w:r w:rsidR="00DF5C91" w:rsidRPr="003F18F0">
        <w:rPr>
          <w:rFonts w:ascii="Times New Roman" w:hAnsi="Times New Roman" w:cs="Times New Roman"/>
          <w:color w:val="000000" w:themeColor="text1"/>
          <w:sz w:val="28"/>
          <w:szCs w:val="28"/>
        </w:rPr>
        <w:t xml:space="preserve">solidaritātes emisijas kvotu vai iepriekš </w:t>
      </w:r>
      <w:proofErr w:type="spellStart"/>
      <w:r w:rsidR="00DF5C91" w:rsidRPr="003F18F0">
        <w:rPr>
          <w:rFonts w:ascii="Times New Roman" w:hAnsi="Times New Roman" w:cs="Times New Roman"/>
          <w:color w:val="000000" w:themeColor="text1"/>
          <w:sz w:val="28"/>
          <w:szCs w:val="28"/>
        </w:rPr>
        <w:t>derogācijai</w:t>
      </w:r>
      <w:proofErr w:type="spellEnd"/>
      <w:r w:rsidR="00DF5C91" w:rsidRPr="003F18F0">
        <w:rPr>
          <w:rFonts w:ascii="Times New Roman" w:hAnsi="Times New Roman" w:cs="Times New Roman"/>
          <w:color w:val="000000" w:themeColor="text1"/>
          <w:sz w:val="28"/>
          <w:szCs w:val="28"/>
        </w:rPr>
        <w:t xml:space="preserve"> potenciāli pieejamo emisijas kvotu</w:t>
      </w:r>
      <w:r w:rsidR="00DF5C91" w:rsidRPr="003F18F0">
        <w:rPr>
          <w:rFonts w:ascii="Times New Roman" w:hAnsi="Times New Roman" w:cs="Times New Roman"/>
          <w:color w:val="000000" w:themeColor="text1"/>
          <w:sz w:val="28"/>
          <w:szCs w:val="28"/>
          <w:shd w:val="clear" w:color="auto" w:fill="FFFFFF"/>
        </w:rPr>
        <w:t>)</w:t>
      </w:r>
      <w:r w:rsidR="00B22D09" w:rsidRPr="003F18F0">
        <w:rPr>
          <w:rFonts w:ascii="Times New Roman" w:hAnsi="Times New Roman" w:cs="Times New Roman"/>
          <w:color w:val="000000" w:themeColor="text1"/>
          <w:sz w:val="28"/>
          <w:szCs w:val="28"/>
          <w:shd w:val="clear" w:color="auto" w:fill="FFFFFF"/>
        </w:rPr>
        <w:t xml:space="preserve"> </w:t>
      </w:r>
      <w:r w:rsidR="007F0023" w:rsidRPr="003F18F0">
        <w:rPr>
          <w:rFonts w:ascii="Times New Roman" w:hAnsi="Times New Roman" w:cs="Times New Roman"/>
          <w:color w:val="000000" w:themeColor="text1"/>
          <w:sz w:val="28"/>
          <w:szCs w:val="28"/>
          <w:shd w:val="clear" w:color="auto" w:fill="FFFFFF"/>
        </w:rPr>
        <w:t>pārvirzi no EKII uz Modernizācijas fondu</w:t>
      </w:r>
      <w:r w:rsidR="00DF3696" w:rsidRPr="003F18F0">
        <w:rPr>
          <w:rFonts w:ascii="Times New Roman" w:hAnsi="Times New Roman" w:cs="Times New Roman"/>
          <w:color w:val="000000" w:themeColor="text1"/>
          <w:sz w:val="28"/>
          <w:szCs w:val="28"/>
          <w:shd w:val="clear" w:color="auto" w:fill="FFFFFF"/>
        </w:rPr>
        <w:t xml:space="preserve">, līdz ar to Modernizācijas fonda finansējums </w:t>
      </w:r>
      <w:r w:rsidR="00616983" w:rsidRPr="003F18F0">
        <w:rPr>
          <w:rFonts w:ascii="Times New Roman" w:hAnsi="Times New Roman" w:cs="Times New Roman"/>
          <w:color w:val="000000" w:themeColor="text1"/>
          <w:sz w:val="28"/>
          <w:szCs w:val="28"/>
          <w:shd w:val="clear" w:color="auto" w:fill="FFFFFF"/>
        </w:rPr>
        <w:t xml:space="preserve">tiek </w:t>
      </w:r>
      <w:r w:rsidR="00DF3696" w:rsidRPr="003F18F0">
        <w:rPr>
          <w:rFonts w:ascii="Times New Roman" w:hAnsi="Times New Roman" w:cs="Times New Roman"/>
          <w:color w:val="000000" w:themeColor="text1"/>
          <w:sz w:val="28"/>
          <w:szCs w:val="28"/>
          <w:shd w:val="clear" w:color="auto" w:fill="FFFFFF"/>
        </w:rPr>
        <w:t>atstā</w:t>
      </w:r>
      <w:r w:rsidR="00616983" w:rsidRPr="003F18F0">
        <w:rPr>
          <w:rFonts w:ascii="Times New Roman" w:hAnsi="Times New Roman" w:cs="Times New Roman"/>
          <w:color w:val="000000" w:themeColor="text1"/>
          <w:sz w:val="28"/>
          <w:szCs w:val="28"/>
          <w:shd w:val="clear" w:color="auto" w:fill="FFFFFF"/>
        </w:rPr>
        <w:t>ts</w:t>
      </w:r>
      <w:r w:rsidR="00DF3696" w:rsidRPr="003F18F0">
        <w:rPr>
          <w:rFonts w:ascii="Times New Roman" w:hAnsi="Times New Roman" w:cs="Times New Roman"/>
          <w:color w:val="000000" w:themeColor="text1"/>
          <w:sz w:val="28"/>
          <w:szCs w:val="28"/>
          <w:shd w:val="clear" w:color="auto" w:fill="FFFFFF"/>
        </w:rPr>
        <w:t xml:space="preserve"> </w:t>
      </w:r>
      <w:proofErr w:type="spellStart"/>
      <w:r w:rsidR="00DF3696" w:rsidRPr="003F18F0">
        <w:rPr>
          <w:rFonts w:ascii="Times New Roman" w:hAnsi="Times New Roman" w:cs="Times New Roman"/>
          <w:color w:val="000000" w:themeColor="text1"/>
          <w:sz w:val="28"/>
          <w:szCs w:val="28"/>
          <w:shd w:val="clear" w:color="auto" w:fill="FFFFFF"/>
        </w:rPr>
        <w:t>pamatapmērā</w:t>
      </w:r>
      <w:proofErr w:type="spellEnd"/>
      <w:r w:rsidR="00DF3696" w:rsidRPr="003F18F0">
        <w:rPr>
          <w:rFonts w:ascii="Times New Roman" w:hAnsi="Times New Roman" w:cs="Times New Roman"/>
          <w:color w:val="000000" w:themeColor="text1"/>
          <w:sz w:val="28"/>
          <w:szCs w:val="28"/>
          <w:shd w:val="clear" w:color="auto" w:fill="FFFFFF"/>
        </w:rPr>
        <w:t xml:space="preserve">. </w:t>
      </w:r>
    </w:p>
    <w:p w14:paraId="7A662D24" w14:textId="1DB69EEF" w:rsidR="00A87EA5" w:rsidRPr="003F18F0" w:rsidRDefault="00A62A36" w:rsidP="008B0B3E">
      <w:pPr>
        <w:spacing w:after="0" w:line="240" w:lineRule="auto"/>
        <w:ind w:right="-1" w:firstLine="567"/>
        <w:jc w:val="both"/>
        <w:rPr>
          <w:rFonts w:ascii="Times New Roman" w:hAnsi="Times New Roman" w:cs="Times New Roman"/>
          <w:b/>
          <w:color w:val="000000" w:themeColor="text1"/>
          <w:sz w:val="28"/>
          <w:szCs w:val="28"/>
        </w:rPr>
      </w:pPr>
      <w:bookmarkStart w:id="2" w:name="_Toc462330875"/>
      <w:r w:rsidRPr="003F18F0">
        <w:rPr>
          <w:rFonts w:ascii="Times New Roman" w:hAnsi="Times New Roman" w:cs="Times New Roman"/>
          <w:color w:val="000000" w:themeColor="text1"/>
          <w:sz w:val="28"/>
          <w:szCs w:val="28"/>
          <w:shd w:val="clear" w:color="auto" w:fill="FFFFFF"/>
        </w:rPr>
        <w:t>L</w:t>
      </w:r>
      <w:r w:rsidR="00535D59" w:rsidRPr="003F18F0">
        <w:rPr>
          <w:rFonts w:ascii="Times New Roman" w:hAnsi="Times New Roman" w:cs="Times New Roman"/>
          <w:color w:val="000000" w:themeColor="text1"/>
          <w:sz w:val="28"/>
          <w:szCs w:val="28"/>
          <w:shd w:val="clear" w:color="auto" w:fill="FFFFFF"/>
        </w:rPr>
        <w:t>ēmuma pieņemšana Ministru kabinetā</w:t>
      </w:r>
      <w:r w:rsidR="00A2123C" w:rsidRPr="003F18F0">
        <w:rPr>
          <w:rStyle w:val="FootnoteReference"/>
          <w:rFonts w:ascii="Times New Roman" w:hAnsi="Times New Roman" w:cs="Times New Roman"/>
          <w:color w:val="000000" w:themeColor="text1"/>
          <w:sz w:val="28"/>
          <w:szCs w:val="28"/>
          <w:shd w:val="clear" w:color="auto" w:fill="FFFFFF"/>
        </w:rPr>
        <w:footnoteReference w:id="37"/>
      </w:r>
      <w:r w:rsidR="00535D59" w:rsidRPr="003F18F0">
        <w:rPr>
          <w:rFonts w:ascii="Times New Roman" w:hAnsi="Times New Roman" w:cs="Times New Roman"/>
          <w:color w:val="000000" w:themeColor="text1"/>
          <w:sz w:val="28"/>
          <w:szCs w:val="28"/>
          <w:shd w:val="clear" w:color="auto" w:fill="FFFFFF"/>
        </w:rPr>
        <w:t xml:space="preserve"> par finansējuma apjomiem ir formāla</w:t>
      </w:r>
      <w:r w:rsidRPr="003F18F0">
        <w:rPr>
          <w:rFonts w:ascii="Times New Roman" w:hAnsi="Times New Roman" w:cs="Times New Roman"/>
          <w:color w:val="000000" w:themeColor="text1"/>
          <w:sz w:val="28"/>
          <w:szCs w:val="28"/>
          <w:shd w:val="clear" w:color="auto" w:fill="FFFFFF"/>
        </w:rPr>
        <w:t>,</w:t>
      </w:r>
      <w:r w:rsidR="008B0B3E" w:rsidRPr="003F18F0">
        <w:rPr>
          <w:rFonts w:ascii="Times New Roman" w:hAnsi="Times New Roman" w:cs="Times New Roman"/>
          <w:color w:val="000000" w:themeColor="text1"/>
          <w:sz w:val="28"/>
          <w:szCs w:val="28"/>
          <w:shd w:val="clear" w:color="auto" w:fill="FFFFFF"/>
        </w:rPr>
        <w:t xml:space="preserve"> jo ir </w:t>
      </w:r>
      <w:r w:rsidR="006333FD" w:rsidRPr="003F18F0">
        <w:rPr>
          <w:rFonts w:ascii="Times New Roman" w:hAnsi="Times New Roman" w:cs="Times New Roman"/>
          <w:color w:val="000000" w:themeColor="text1"/>
          <w:sz w:val="28"/>
          <w:szCs w:val="28"/>
        </w:rPr>
        <w:t xml:space="preserve">iestājies </w:t>
      </w:r>
      <w:r w:rsidR="008B0B3E" w:rsidRPr="003F18F0">
        <w:rPr>
          <w:rFonts w:ascii="Times New Roman" w:hAnsi="Times New Roman" w:cs="Times New Roman"/>
          <w:color w:val="000000" w:themeColor="text1"/>
          <w:sz w:val="28"/>
          <w:szCs w:val="28"/>
        </w:rPr>
        <w:t>Direktīvas 2003/87</w:t>
      </w:r>
      <w:r w:rsidR="005F3CE7">
        <w:rPr>
          <w:rFonts w:ascii="Times New Roman" w:hAnsi="Times New Roman" w:cs="Times New Roman"/>
          <w:color w:val="000000" w:themeColor="text1"/>
          <w:sz w:val="28"/>
          <w:szCs w:val="28"/>
        </w:rPr>
        <w:t>/EK</w:t>
      </w:r>
      <w:r w:rsidR="008B0B3E" w:rsidRPr="003F18F0">
        <w:rPr>
          <w:rFonts w:ascii="Times New Roman" w:hAnsi="Times New Roman" w:cs="Times New Roman"/>
          <w:color w:val="000000" w:themeColor="text1"/>
          <w:sz w:val="28"/>
          <w:szCs w:val="28"/>
        </w:rPr>
        <w:t>10 d. panta ceturtajā daļā noteiktais termiņš (</w:t>
      </w:r>
      <w:r w:rsidR="008B0B3E" w:rsidRPr="003F18F0">
        <w:rPr>
          <w:rFonts w:ascii="Times New Roman" w:hAnsi="Times New Roman" w:cs="Times New Roman"/>
          <w:color w:val="000000" w:themeColor="text1"/>
          <w:sz w:val="28"/>
          <w:szCs w:val="28"/>
          <w:shd w:val="clear" w:color="auto" w:fill="FFFFFF"/>
        </w:rPr>
        <w:t>2019. gada 30. septembris)</w:t>
      </w:r>
      <w:r w:rsidR="004B20CE" w:rsidRPr="003F18F0">
        <w:rPr>
          <w:rFonts w:ascii="Times New Roman" w:hAnsi="Times New Roman" w:cs="Times New Roman"/>
          <w:color w:val="000000" w:themeColor="text1"/>
          <w:sz w:val="28"/>
          <w:szCs w:val="28"/>
          <w:shd w:val="clear" w:color="auto" w:fill="FFFFFF"/>
        </w:rPr>
        <w:t xml:space="preserve">, turklāt </w:t>
      </w:r>
      <w:r w:rsidR="002C12CE" w:rsidRPr="003F18F0">
        <w:rPr>
          <w:rFonts w:ascii="Times New Roman" w:hAnsi="Times New Roman" w:cs="Times New Roman"/>
          <w:color w:val="000000" w:themeColor="text1"/>
          <w:sz w:val="28"/>
          <w:szCs w:val="28"/>
          <w:shd w:val="clear" w:color="auto" w:fill="FFFFFF"/>
        </w:rPr>
        <w:t>EK</w:t>
      </w:r>
      <w:r w:rsidR="00535D59" w:rsidRPr="003F18F0">
        <w:rPr>
          <w:rFonts w:ascii="Times New Roman" w:hAnsi="Times New Roman" w:cs="Times New Roman"/>
          <w:color w:val="000000" w:themeColor="text1"/>
          <w:sz w:val="28"/>
          <w:szCs w:val="28"/>
          <w:shd w:val="clear" w:color="auto" w:fill="FFFFFF"/>
        </w:rPr>
        <w:t xml:space="preserve"> </w:t>
      </w:r>
      <w:r w:rsidR="002078E3">
        <w:rPr>
          <w:rFonts w:ascii="Times New Roman" w:hAnsi="Times New Roman" w:cs="Times New Roman"/>
          <w:color w:val="000000" w:themeColor="text1"/>
          <w:sz w:val="28"/>
          <w:szCs w:val="28"/>
          <w:shd w:val="clear" w:color="auto" w:fill="FFFFFF"/>
        </w:rPr>
        <w:t>2019. gada 30. </w:t>
      </w:r>
      <w:r w:rsidR="004B20CE" w:rsidRPr="003F18F0">
        <w:rPr>
          <w:rFonts w:ascii="Times New Roman" w:hAnsi="Times New Roman" w:cs="Times New Roman"/>
          <w:color w:val="000000" w:themeColor="text1"/>
          <w:sz w:val="28"/>
          <w:szCs w:val="28"/>
          <w:shd w:val="clear" w:color="auto" w:fill="FFFFFF"/>
        </w:rPr>
        <w:t xml:space="preserve">oktobra telefonsarunā ar VARAM </w:t>
      </w:r>
      <w:r w:rsidR="002E1F30">
        <w:rPr>
          <w:rFonts w:ascii="Times New Roman" w:hAnsi="Times New Roman" w:cs="Times New Roman"/>
          <w:color w:val="000000" w:themeColor="text1"/>
          <w:sz w:val="28"/>
          <w:szCs w:val="28"/>
          <w:shd w:val="clear" w:color="auto" w:fill="FFFFFF"/>
        </w:rPr>
        <w:t xml:space="preserve">kontaktpersonu </w:t>
      </w:r>
      <w:r w:rsidR="00782792">
        <w:rPr>
          <w:rFonts w:ascii="Times New Roman" w:hAnsi="Times New Roman" w:cs="Times New Roman"/>
          <w:color w:val="000000" w:themeColor="text1"/>
          <w:sz w:val="28"/>
          <w:szCs w:val="28"/>
          <w:shd w:val="clear" w:color="auto" w:fill="FFFFFF"/>
        </w:rPr>
        <w:t xml:space="preserve">Modernizācijas fonda jautājumos </w:t>
      </w:r>
      <w:r w:rsidR="004B20CE" w:rsidRPr="003F18F0">
        <w:rPr>
          <w:rFonts w:ascii="Times New Roman" w:hAnsi="Times New Roman" w:cs="Times New Roman"/>
          <w:color w:val="000000" w:themeColor="text1"/>
          <w:sz w:val="28"/>
          <w:szCs w:val="28"/>
          <w:shd w:val="clear" w:color="auto" w:fill="FFFFFF"/>
        </w:rPr>
        <w:lastRenderedPageBreak/>
        <w:t xml:space="preserve">minēja, ka </w:t>
      </w:r>
      <w:r w:rsidR="007814C4">
        <w:rPr>
          <w:rFonts w:ascii="Times New Roman" w:hAnsi="Times New Roman" w:cs="Times New Roman"/>
          <w:color w:val="000000" w:themeColor="text1"/>
          <w:sz w:val="28"/>
          <w:szCs w:val="28"/>
          <w:shd w:val="clear" w:color="auto" w:fill="FFFFFF"/>
        </w:rPr>
        <w:t>EK</w:t>
      </w:r>
      <w:r w:rsidR="004B20CE" w:rsidRPr="003F18F0">
        <w:rPr>
          <w:rFonts w:ascii="Times New Roman" w:hAnsi="Times New Roman" w:cs="Times New Roman"/>
          <w:color w:val="000000" w:themeColor="text1"/>
          <w:sz w:val="28"/>
          <w:szCs w:val="28"/>
          <w:shd w:val="clear" w:color="auto" w:fill="FFFFFF"/>
        </w:rPr>
        <w:t xml:space="preserve"> </w:t>
      </w:r>
      <w:r w:rsidR="00535D59" w:rsidRPr="003F18F0">
        <w:rPr>
          <w:rFonts w:ascii="Times New Roman" w:hAnsi="Times New Roman" w:cs="Times New Roman"/>
          <w:color w:val="000000" w:themeColor="text1"/>
          <w:sz w:val="28"/>
          <w:szCs w:val="28"/>
          <w:shd w:val="clear" w:color="auto" w:fill="FFFFFF"/>
        </w:rPr>
        <w:t xml:space="preserve">uzskata, ka Latvija neizmanto iespēju palielināt Modernizācijas fonda finansējumu un saskaņā ar </w:t>
      </w:r>
      <w:r w:rsidR="002C12CE" w:rsidRPr="003F18F0">
        <w:rPr>
          <w:rFonts w:ascii="Times New Roman" w:hAnsi="Times New Roman" w:cs="Times New Roman"/>
          <w:color w:val="000000" w:themeColor="text1"/>
          <w:sz w:val="28"/>
          <w:szCs w:val="28"/>
          <w:shd w:val="clear" w:color="auto" w:fill="FFFFFF"/>
        </w:rPr>
        <w:t>EK</w:t>
      </w:r>
      <w:r w:rsidR="00535D59" w:rsidRPr="003F18F0">
        <w:rPr>
          <w:rFonts w:ascii="Times New Roman" w:hAnsi="Times New Roman" w:cs="Times New Roman"/>
          <w:color w:val="000000" w:themeColor="text1"/>
          <w:sz w:val="28"/>
          <w:szCs w:val="28"/>
          <w:shd w:val="clear" w:color="auto" w:fill="FFFFFF"/>
        </w:rPr>
        <w:t xml:space="preserve"> norādījumiem </w:t>
      </w:r>
      <w:r w:rsidRPr="003F18F0">
        <w:rPr>
          <w:rFonts w:ascii="Times New Roman" w:hAnsi="Times New Roman" w:cs="Times New Roman"/>
          <w:color w:val="000000" w:themeColor="text1"/>
          <w:sz w:val="28"/>
          <w:szCs w:val="28"/>
          <w:shd w:val="clear" w:color="auto" w:fill="FFFFFF"/>
        </w:rPr>
        <w:t xml:space="preserve">ES </w:t>
      </w:r>
      <w:r w:rsidR="00535D59" w:rsidRPr="003F18F0">
        <w:rPr>
          <w:rFonts w:ascii="Times New Roman" w:hAnsi="Times New Roman" w:cs="Times New Roman"/>
          <w:color w:val="000000" w:themeColor="text1"/>
          <w:sz w:val="28"/>
          <w:szCs w:val="28"/>
          <w:shd w:val="clear" w:color="auto" w:fill="FFFFFF"/>
        </w:rPr>
        <w:t xml:space="preserve">dalībvalstīm, kas izvēlas </w:t>
      </w:r>
      <w:r w:rsidR="006333FD" w:rsidRPr="003F18F0">
        <w:rPr>
          <w:rFonts w:ascii="Times New Roman" w:hAnsi="Times New Roman" w:cs="Times New Roman"/>
          <w:color w:val="000000" w:themeColor="text1"/>
          <w:sz w:val="28"/>
          <w:szCs w:val="28"/>
          <w:shd w:val="clear" w:color="auto" w:fill="FFFFFF"/>
        </w:rPr>
        <w:t>ne</w:t>
      </w:r>
      <w:r w:rsidR="00535D59" w:rsidRPr="003F18F0">
        <w:rPr>
          <w:rFonts w:ascii="Times New Roman" w:hAnsi="Times New Roman" w:cs="Times New Roman"/>
          <w:color w:val="000000" w:themeColor="text1"/>
          <w:sz w:val="28"/>
          <w:szCs w:val="28"/>
          <w:shd w:val="clear" w:color="auto" w:fill="FFFFFF"/>
        </w:rPr>
        <w:t>veikt Modernizācijas fonda finansējuma palielinājumu</w:t>
      </w:r>
      <w:r w:rsidR="002208BE">
        <w:rPr>
          <w:rFonts w:ascii="Times New Roman" w:hAnsi="Times New Roman" w:cs="Times New Roman"/>
          <w:color w:val="000000" w:themeColor="text1"/>
          <w:sz w:val="28"/>
          <w:szCs w:val="28"/>
          <w:shd w:val="clear" w:color="auto" w:fill="FFFFFF"/>
        </w:rPr>
        <w:t>,</w:t>
      </w:r>
      <w:r w:rsidR="00535D59" w:rsidRPr="003F18F0">
        <w:rPr>
          <w:rFonts w:ascii="Times New Roman" w:hAnsi="Times New Roman" w:cs="Times New Roman"/>
          <w:color w:val="000000" w:themeColor="text1"/>
          <w:sz w:val="28"/>
          <w:szCs w:val="28"/>
          <w:shd w:val="clear" w:color="auto" w:fill="FFFFFF"/>
        </w:rPr>
        <w:t xml:space="preserve"> veicot emisiju kvotu pārskaitīšanu no izsolāmajiem kvotu apjomiem, </w:t>
      </w:r>
      <w:r w:rsidR="006333FD" w:rsidRPr="003F18F0">
        <w:rPr>
          <w:rFonts w:ascii="Times New Roman" w:hAnsi="Times New Roman" w:cs="Times New Roman"/>
          <w:color w:val="000000" w:themeColor="text1"/>
          <w:sz w:val="28"/>
          <w:szCs w:val="28"/>
          <w:shd w:val="clear" w:color="auto" w:fill="FFFFFF"/>
        </w:rPr>
        <w:t xml:space="preserve">tām </w:t>
      </w:r>
      <w:r w:rsidR="00535D59" w:rsidRPr="003F18F0">
        <w:rPr>
          <w:rFonts w:ascii="Times New Roman" w:hAnsi="Times New Roman" w:cs="Times New Roman"/>
          <w:color w:val="000000" w:themeColor="text1"/>
          <w:sz w:val="28"/>
          <w:szCs w:val="28"/>
          <w:shd w:val="clear" w:color="auto" w:fill="FFFFFF"/>
        </w:rPr>
        <w:t xml:space="preserve">nav jāinformē </w:t>
      </w:r>
      <w:r w:rsidR="002C12CE" w:rsidRPr="003F18F0">
        <w:rPr>
          <w:rFonts w:ascii="Times New Roman" w:hAnsi="Times New Roman" w:cs="Times New Roman"/>
          <w:color w:val="000000" w:themeColor="text1"/>
          <w:sz w:val="28"/>
          <w:szCs w:val="28"/>
          <w:shd w:val="clear" w:color="auto" w:fill="FFFFFF"/>
        </w:rPr>
        <w:t>EK</w:t>
      </w:r>
      <w:r w:rsidR="00535D59" w:rsidRPr="003F18F0">
        <w:rPr>
          <w:rFonts w:ascii="Times New Roman" w:hAnsi="Times New Roman" w:cs="Times New Roman"/>
          <w:color w:val="000000" w:themeColor="text1"/>
          <w:sz w:val="28"/>
          <w:szCs w:val="28"/>
          <w:shd w:val="clear" w:color="auto" w:fill="FFFFFF"/>
        </w:rPr>
        <w:t xml:space="preserve"> par pieņemto lēmumu.</w:t>
      </w:r>
    </w:p>
    <w:p w14:paraId="3DA21BD7" w14:textId="67FD6865" w:rsidR="00A87EA5" w:rsidRDefault="00A87EA5" w:rsidP="00987C6B">
      <w:pPr>
        <w:spacing w:after="0" w:line="240" w:lineRule="auto"/>
        <w:ind w:right="-1" w:firstLine="567"/>
        <w:jc w:val="center"/>
        <w:rPr>
          <w:rFonts w:ascii="Times New Roman" w:hAnsi="Times New Roman" w:cs="Times New Roman"/>
          <w:b/>
          <w:color w:val="000000" w:themeColor="text1"/>
          <w:sz w:val="28"/>
          <w:szCs w:val="28"/>
        </w:rPr>
      </w:pPr>
    </w:p>
    <w:p w14:paraId="7F9AC9FF" w14:textId="70443DA2" w:rsidR="0075563E" w:rsidRDefault="0075563E" w:rsidP="00987C6B">
      <w:pPr>
        <w:spacing w:after="0" w:line="240" w:lineRule="auto"/>
        <w:ind w:right="-1" w:firstLine="567"/>
        <w:jc w:val="center"/>
        <w:rPr>
          <w:rFonts w:ascii="Times New Roman" w:hAnsi="Times New Roman" w:cs="Times New Roman"/>
          <w:b/>
          <w:color w:val="000000" w:themeColor="text1"/>
          <w:sz w:val="28"/>
          <w:szCs w:val="28"/>
        </w:rPr>
      </w:pPr>
    </w:p>
    <w:p w14:paraId="04FD75C1" w14:textId="0A9B1102" w:rsidR="0075563E" w:rsidRDefault="0075563E" w:rsidP="00987C6B">
      <w:pPr>
        <w:spacing w:after="0" w:line="240" w:lineRule="auto"/>
        <w:ind w:right="-1" w:firstLine="567"/>
        <w:jc w:val="center"/>
        <w:rPr>
          <w:rFonts w:ascii="Times New Roman" w:hAnsi="Times New Roman" w:cs="Times New Roman"/>
          <w:b/>
          <w:color w:val="000000" w:themeColor="text1"/>
          <w:sz w:val="28"/>
          <w:szCs w:val="28"/>
        </w:rPr>
      </w:pPr>
    </w:p>
    <w:p w14:paraId="79E82D6D" w14:textId="77777777" w:rsidR="0075563E" w:rsidRPr="003F18F0" w:rsidRDefault="0075563E" w:rsidP="00987C6B">
      <w:pPr>
        <w:spacing w:after="0" w:line="240" w:lineRule="auto"/>
        <w:ind w:right="-1" w:firstLine="567"/>
        <w:jc w:val="center"/>
        <w:rPr>
          <w:rFonts w:ascii="Times New Roman" w:hAnsi="Times New Roman" w:cs="Times New Roman"/>
          <w:b/>
          <w:color w:val="000000" w:themeColor="text1"/>
          <w:sz w:val="28"/>
          <w:szCs w:val="28"/>
        </w:rPr>
      </w:pPr>
    </w:p>
    <w:bookmarkEnd w:id="2"/>
    <w:p w14:paraId="5E913D0F" w14:textId="77777777" w:rsidR="00F10311" w:rsidRDefault="00F10311" w:rsidP="00F10311">
      <w:pPr>
        <w:pStyle w:val="Style3"/>
        <w:widowControl/>
        <w:jc w:val="both"/>
        <w:rPr>
          <w:sz w:val="28"/>
          <w:szCs w:val="28"/>
          <w:lang w:eastAsia="en-US"/>
        </w:rPr>
      </w:pPr>
    </w:p>
    <w:p w14:paraId="04E055C6" w14:textId="77777777" w:rsidR="00F10311" w:rsidRDefault="00F10311" w:rsidP="00F10311">
      <w:pPr>
        <w:spacing w:after="0" w:line="240" w:lineRule="auto"/>
        <w:jc w:val="both"/>
        <w:rPr>
          <w:rFonts w:ascii="Times New Roman" w:hAnsi="Times New Roman"/>
          <w:sz w:val="28"/>
          <w:szCs w:val="28"/>
        </w:rPr>
      </w:pPr>
      <w:r>
        <w:rPr>
          <w:rFonts w:ascii="Times New Roman" w:hAnsi="Times New Roman"/>
          <w:sz w:val="28"/>
          <w:szCs w:val="28"/>
        </w:rPr>
        <w:t xml:space="preserve">Vides aizsardzības un reģionālās </w:t>
      </w:r>
    </w:p>
    <w:p w14:paraId="2D4740EE" w14:textId="77777777" w:rsidR="00F10311" w:rsidRDefault="00F10311" w:rsidP="00F10311">
      <w:pPr>
        <w:spacing w:after="0" w:line="240" w:lineRule="auto"/>
        <w:jc w:val="both"/>
        <w:rPr>
          <w:rFonts w:ascii="Times New Roman" w:hAnsi="Times New Roman"/>
          <w:sz w:val="28"/>
          <w:szCs w:val="28"/>
        </w:rPr>
      </w:pPr>
      <w:r>
        <w:rPr>
          <w:rFonts w:ascii="Times New Roman" w:hAnsi="Times New Roman"/>
          <w:sz w:val="28"/>
          <w:szCs w:val="28"/>
        </w:rPr>
        <w:t xml:space="preserve">attīstības ministra </w:t>
      </w:r>
      <w:proofErr w:type="spellStart"/>
      <w:r>
        <w:rPr>
          <w:rFonts w:ascii="Times New Roman" w:hAnsi="Times New Roman"/>
          <w:sz w:val="28"/>
          <w:szCs w:val="28"/>
        </w:rPr>
        <w:t>p.i</w:t>
      </w:r>
      <w:proofErr w:type="spellEnd"/>
      <w:r>
        <w:rPr>
          <w:rFonts w:ascii="Times New Roman" w:hAnsi="Times New Roman"/>
          <w:sz w:val="28"/>
          <w:szCs w:val="28"/>
        </w:rPr>
        <w:t>.-</w:t>
      </w:r>
    </w:p>
    <w:p w14:paraId="2192C68D" w14:textId="77777777" w:rsidR="00F10311" w:rsidRDefault="00F10311" w:rsidP="00F10311">
      <w:pPr>
        <w:spacing w:after="0" w:line="240" w:lineRule="auto"/>
        <w:jc w:val="both"/>
        <w:rPr>
          <w:rFonts w:ascii="Times New Roman" w:hAnsi="Times New Roman"/>
          <w:sz w:val="28"/>
          <w:szCs w:val="28"/>
        </w:rPr>
      </w:pPr>
      <w:r>
        <w:rPr>
          <w:rFonts w:ascii="Times New Roman" w:hAnsi="Times New Roman"/>
          <w:sz w:val="28"/>
          <w:szCs w:val="28"/>
        </w:rPr>
        <w:t xml:space="preserve">Ministru prezidenta biedrs, </w:t>
      </w:r>
    </w:p>
    <w:p w14:paraId="16D7CBC4" w14:textId="528F2223" w:rsidR="00F10311" w:rsidRDefault="00F10311" w:rsidP="00F10311">
      <w:pPr>
        <w:spacing w:after="0" w:line="240" w:lineRule="auto"/>
        <w:jc w:val="both"/>
        <w:rPr>
          <w:rFonts w:ascii="Times New Roman" w:hAnsi="Times New Roman"/>
          <w:sz w:val="28"/>
          <w:szCs w:val="28"/>
        </w:rPr>
      </w:pPr>
      <w:r>
        <w:rPr>
          <w:rFonts w:ascii="Times New Roman" w:hAnsi="Times New Roman"/>
          <w:sz w:val="28"/>
          <w:szCs w:val="28"/>
        </w:rPr>
        <w:t>aizsardzības ministrs                                                              </w:t>
      </w:r>
      <w:r>
        <w:rPr>
          <w:rFonts w:ascii="Times New Roman" w:hAnsi="Times New Roman"/>
          <w:sz w:val="28"/>
          <w:szCs w:val="28"/>
        </w:rPr>
        <w:t xml:space="preserve">        </w:t>
      </w:r>
      <w:r>
        <w:rPr>
          <w:rFonts w:ascii="Times New Roman" w:hAnsi="Times New Roman"/>
          <w:sz w:val="28"/>
          <w:szCs w:val="28"/>
        </w:rPr>
        <w:t>    Artis Pabriks</w:t>
      </w:r>
    </w:p>
    <w:p w14:paraId="7AD1C18D" w14:textId="1B6796F4" w:rsidR="002C36F7" w:rsidRPr="003F18F0" w:rsidRDefault="002C36F7" w:rsidP="00987C6B">
      <w:pPr>
        <w:spacing w:after="0" w:line="240" w:lineRule="auto"/>
        <w:ind w:right="-1" w:firstLine="567"/>
        <w:jc w:val="center"/>
        <w:rPr>
          <w:rFonts w:ascii="Times New Roman" w:hAnsi="Times New Roman" w:cs="Times New Roman"/>
          <w:color w:val="000000" w:themeColor="text1"/>
          <w:sz w:val="28"/>
          <w:szCs w:val="28"/>
        </w:rPr>
      </w:pPr>
    </w:p>
    <w:p w14:paraId="2BCBCF57" w14:textId="63C224C6" w:rsidR="00A413A1" w:rsidRPr="003F18F0" w:rsidRDefault="00A413A1" w:rsidP="00A413A1">
      <w:pPr>
        <w:tabs>
          <w:tab w:val="left" w:pos="7655"/>
        </w:tabs>
        <w:spacing w:after="0" w:line="240" w:lineRule="auto"/>
        <w:ind w:right="-1"/>
        <w:jc w:val="both"/>
        <w:rPr>
          <w:rFonts w:ascii="Times New Roman" w:hAnsi="Times New Roman" w:cs="Times New Roman"/>
          <w:color w:val="000000" w:themeColor="text1"/>
          <w:sz w:val="28"/>
          <w:szCs w:val="28"/>
        </w:rPr>
      </w:pPr>
    </w:p>
    <w:p w14:paraId="7419157B" w14:textId="77777777" w:rsidR="00A413A1" w:rsidRPr="003F18F0" w:rsidRDefault="00A413A1" w:rsidP="00A413A1">
      <w:pPr>
        <w:tabs>
          <w:tab w:val="left" w:pos="7655"/>
        </w:tabs>
        <w:spacing w:after="0" w:line="240" w:lineRule="auto"/>
        <w:ind w:right="-1"/>
        <w:jc w:val="both"/>
        <w:rPr>
          <w:rFonts w:ascii="Times New Roman" w:hAnsi="Times New Roman" w:cs="Times New Roman"/>
          <w:color w:val="000000" w:themeColor="text1"/>
          <w:sz w:val="28"/>
          <w:szCs w:val="28"/>
        </w:rPr>
      </w:pPr>
    </w:p>
    <w:p w14:paraId="227C6557" w14:textId="5B23952C" w:rsidR="00DA15F9" w:rsidRDefault="00DA15F9" w:rsidP="00A413A1">
      <w:pPr>
        <w:tabs>
          <w:tab w:val="left" w:pos="7655"/>
        </w:tabs>
        <w:spacing w:after="0" w:line="240" w:lineRule="auto"/>
        <w:ind w:right="-1"/>
        <w:jc w:val="both"/>
        <w:rPr>
          <w:rFonts w:ascii="Times New Roman" w:hAnsi="Times New Roman" w:cs="Times New Roman"/>
          <w:color w:val="000000" w:themeColor="text1"/>
          <w:sz w:val="28"/>
          <w:szCs w:val="28"/>
        </w:rPr>
      </w:pPr>
    </w:p>
    <w:p w14:paraId="7F1EAC72" w14:textId="56CA8E18" w:rsidR="0075563E" w:rsidRDefault="0075563E" w:rsidP="00A413A1">
      <w:pPr>
        <w:tabs>
          <w:tab w:val="left" w:pos="7655"/>
        </w:tabs>
        <w:spacing w:after="0" w:line="240" w:lineRule="auto"/>
        <w:ind w:right="-1"/>
        <w:jc w:val="both"/>
        <w:rPr>
          <w:rFonts w:ascii="Times New Roman" w:hAnsi="Times New Roman" w:cs="Times New Roman"/>
          <w:color w:val="000000" w:themeColor="text1"/>
          <w:sz w:val="28"/>
          <w:szCs w:val="28"/>
        </w:rPr>
      </w:pPr>
    </w:p>
    <w:p w14:paraId="33BA1226" w14:textId="77777777" w:rsidR="0075563E" w:rsidRPr="003F18F0" w:rsidRDefault="0075563E" w:rsidP="00A413A1">
      <w:pPr>
        <w:tabs>
          <w:tab w:val="left" w:pos="7655"/>
        </w:tabs>
        <w:spacing w:after="0" w:line="240" w:lineRule="auto"/>
        <w:ind w:right="-1"/>
        <w:jc w:val="both"/>
        <w:rPr>
          <w:rFonts w:ascii="Times New Roman" w:hAnsi="Times New Roman" w:cs="Times New Roman"/>
          <w:color w:val="000000" w:themeColor="text1"/>
          <w:sz w:val="28"/>
          <w:szCs w:val="28"/>
        </w:rPr>
      </w:pPr>
    </w:p>
    <w:p w14:paraId="19487919" w14:textId="77777777" w:rsidR="00DA15F9" w:rsidRPr="003F18F0" w:rsidRDefault="00DA15F9" w:rsidP="00A413A1">
      <w:pPr>
        <w:tabs>
          <w:tab w:val="left" w:pos="7655"/>
        </w:tabs>
        <w:spacing w:after="0" w:line="240" w:lineRule="auto"/>
        <w:ind w:right="-1"/>
        <w:jc w:val="both"/>
        <w:rPr>
          <w:rFonts w:ascii="Times New Roman" w:hAnsi="Times New Roman" w:cs="Times New Roman"/>
          <w:color w:val="000000" w:themeColor="text1"/>
          <w:sz w:val="28"/>
          <w:szCs w:val="28"/>
        </w:rPr>
      </w:pPr>
    </w:p>
    <w:p w14:paraId="41910979" w14:textId="3F1D9535" w:rsidR="00A413A1" w:rsidRPr="003F18F0" w:rsidRDefault="00A413A1" w:rsidP="00A413A1">
      <w:pPr>
        <w:tabs>
          <w:tab w:val="left" w:pos="3695"/>
        </w:tabs>
        <w:spacing w:after="0" w:line="240" w:lineRule="auto"/>
        <w:jc w:val="both"/>
        <w:rPr>
          <w:rFonts w:ascii="Times New Roman" w:hAnsi="Times New Roman" w:cs="Times New Roman"/>
          <w:noProof/>
          <w:color w:val="000000" w:themeColor="text1"/>
          <w:sz w:val="20"/>
          <w:szCs w:val="20"/>
        </w:rPr>
      </w:pPr>
      <w:r w:rsidRPr="003F18F0">
        <w:rPr>
          <w:rFonts w:ascii="Times New Roman" w:hAnsi="Times New Roman" w:cs="Times New Roman"/>
          <w:noProof/>
          <w:color w:val="000000" w:themeColor="text1"/>
          <w:sz w:val="20"/>
          <w:szCs w:val="20"/>
        </w:rPr>
        <w:fldChar w:fldCharType="begin"/>
      </w:r>
      <w:r w:rsidRPr="003F18F0">
        <w:rPr>
          <w:rFonts w:ascii="Times New Roman" w:hAnsi="Times New Roman" w:cs="Times New Roman"/>
          <w:noProof/>
          <w:color w:val="000000" w:themeColor="text1"/>
          <w:sz w:val="20"/>
          <w:szCs w:val="20"/>
        </w:rPr>
        <w:instrText xml:space="preserve"> DATE  \@ "dd.MM.yyyy" </w:instrText>
      </w:r>
      <w:r w:rsidRPr="003F18F0">
        <w:rPr>
          <w:rFonts w:ascii="Times New Roman" w:hAnsi="Times New Roman" w:cs="Times New Roman"/>
          <w:noProof/>
          <w:color w:val="000000" w:themeColor="text1"/>
          <w:sz w:val="20"/>
          <w:szCs w:val="20"/>
        </w:rPr>
        <w:fldChar w:fldCharType="separate"/>
      </w:r>
      <w:r w:rsidR="00F10311">
        <w:rPr>
          <w:rFonts w:ascii="Times New Roman" w:hAnsi="Times New Roman" w:cs="Times New Roman"/>
          <w:noProof/>
          <w:color w:val="000000" w:themeColor="text1"/>
          <w:sz w:val="20"/>
          <w:szCs w:val="20"/>
        </w:rPr>
        <w:t>13.11.2020</w:t>
      </w:r>
      <w:r w:rsidRPr="003F18F0">
        <w:rPr>
          <w:rFonts w:ascii="Times New Roman" w:hAnsi="Times New Roman" w:cs="Times New Roman"/>
          <w:noProof/>
          <w:color w:val="000000" w:themeColor="text1"/>
          <w:sz w:val="20"/>
          <w:szCs w:val="20"/>
        </w:rPr>
        <w:fldChar w:fldCharType="end"/>
      </w:r>
      <w:r w:rsidRPr="003F18F0">
        <w:rPr>
          <w:rFonts w:ascii="Times New Roman" w:hAnsi="Times New Roman" w:cs="Times New Roman"/>
          <w:noProof/>
          <w:color w:val="000000" w:themeColor="text1"/>
          <w:sz w:val="20"/>
          <w:szCs w:val="20"/>
        </w:rPr>
        <w:t xml:space="preserve"> </w:t>
      </w:r>
    </w:p>
    <w:p w14:paraId="74252EE3" w14:textId="77777777" w:rsidR="00A413A1" w:rsidRPr="003F18F0" w:rsidRDefault="00A413A1" w:rsidP="00A413A1">
      <w:pPr>
        <w:tabs>
          <w:tab w:val="left" w:pos="3695"/>
        </w:tabs>
        <w:spacing w:after="0" w:line="240" w:lineRule="auto"/>
        <w:jc w:val="both"/>
        <w:rPr>
          <w:rFonts w:ascii="Times New Roman" w:hAnsi="Times New Roman" w:cs="Times New Roman"/>
          <w:noProof/>
          <w:color w:val="000000" w:themeColor="text1"/>
          <w:sz w:val="20"/>
          <w:szCs w:val="20"/>
        </w:rPr>
      </w:pPr>
      <w:r w:rsidRPr="003F18F0">
        <w:rPr>
          <w:rFonts w:ascii="Times New Roman" w:hAnsi="Times New Roman" w:cs="Times New Roman"/>
          <w:noProof/>
          <w:color w:val="000000" w:themeColor="text1"/>
          <w:sz w:val="20"/>
          <w:szCs w:val="20"/>
        </w:rPr>
        <w:t>Zustenieks 67026489</w:t>
      </w:r>
    </w:p>
    <w:p w14:paraId="5184B9B1" w14:textId="77777777" w:rsidR="00A413A1" w:rsidRPr="003F18F0" w:rsidRDefault="00F10311" w:rsidP="00A413A1">
      <w:pPr>
        <w:tabs>
          <w:tab w:val="left" w:pos="3695"/>
        </w:tabs>
        <w:spacing w:after="0" w:line="240" w:lineRule="auto"/>
        <w:jc w:val="both"/>
        <w:rPr>
          <w:rStyle w:val="Hyperlink"/>
          <w:rFonts w:ascii="Times New Roman" w:hAnsi="Times New Roman" w:cs="Times New Roman"/>
          <w:noProof/>
          <w:color w:val="000000" w:themeColor="text1"/>
          <w:sz w:val="20"/>
          <w:szCs w:val="20"/>
        </w:rPr>
      </w:pPr>
      <w:hyperlink r:id="rId22" w:history="1">
        <w:r w:rsidR="00A413A1" w:rsidRPr="003F18F0">
          <w:rPr>
            <w:rStyle w:val="Hyperlink"/>
            <w:rFonts w:ascii="Times New Roman" w:hAnsi="Times New Roman" w:cs="Times New Roman"/>
            <w:noProof/>
            <w:color w:val="000000" w:themeColor="text1"/>
            <w:sz w:val="20"/>
            <w:szCs w:val="20"/>
          </w:rPr>
          <w:t>Gusts.Zustenieks@varam.gov.lv</w:t>
        </w:r>
      </w:hyperlink>
      <w:r w:rsidR="00A413A1" w:rsidRPr="003F18F0">
        <w:rPr>
          <w:rStyle w:val="Hyperlink"/>
          <w:rFonts w:ascii="Times New Roman" w:hAnsi="Times New Roman" w:cs="Times New Roman"/>
          <w:noProof/>
          <w:color w:val="000000" w:themeColor="text1"/>
          <w:sz w:val="20"/>
          <w:szCs w:val="20"/>
        </w:rPr>
        <w:t xml:space="preserve"> </w:t>
      </w:r>
    </w:p>
    <w:p w14:paraId="01B616B0" w14:textId="77777777" w:rsidR="00A413A1" w:rsidRPr="003F18F0" w:rsidRDefault="00A413A1" w:rsidP="00A413A1">
      <w:pPr>
        <w:tabs>
          <w:tab w:val="left" w:pos="7655"/>
        </w:tabs>
        <w:spacing w:after="0" w:line="240" w:lineRule="auto"/>
        <w:ind w:right="-1"/>
        <w:jc w:val="both"/>
        <w:rPr>
          <w:rFonts w:ascii="Times New Roman" w:hAnsi="Times New Roman" w:cs="Times New Roman"/>
          <w:color w:val="000000" w:themeColor="text1"/>
          <w:sz w:val="28"/>
          <w:szCs w:val="28"/>
        </w:rPr>
      </w:pPr>
    </w:p>
    <w:sectPr w:rsidR="00A413A1" w:rsidRPr="003F18F0" w:rsidSect="00DB15BA">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E48FF" w14:textId="77777777" w:rsidR="003D4E5E" w:rsidRDefault="003D4E5E" w:rsidP="00D64BCF">
      <w:pPr>
        <w:spacing w:after="0" w:line="240" w:lineRule="auto"/>
      </w:pPr>
      <w:r>
        <w:separator/>
      </w:r>
    </w:p>
  </w:endnote>
  <w:endnote w:type="continuationSeparator" w:id="0">
    <w:p w14:paraId="44C4C8F5" w14:textId="77777777" w:rsidR="003D4E5E" w:rsidRDefault="003D4E5E" w:rsidP="00D6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EE"/>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3B94" w14:textId="28633A96" w:rsidR="0046134D" w:rsidRPr="00047C72" w:rsidRDefault="0046134D" w:rsidP="00047C72">
    <w:pPr>
      <w:pStyle w:val="Footer"/>
      <w:ind w:right="360"/>
      <w:jc w:val="both"/>
      <w:rPr>
        <w:rFonts w:ascii="Times New Roman" w:hAnsi="Times New Roman" w:cs="Times New Roman"/>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4E4383">
      <w:rPr>
        <w:rFonts w:ascii="Times New Roman" w:hAnsi="Times New Roman" w:cs="Times New Roman"/>
        <w:noProof/>
        <w:sz w:val="20"/>
        <w:szCs w:val="20"/>
      </w:rPr>
      <w:t>VARAMZino_ModF_091120</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F703" w14:textId="3E86F826" w:rsidR="0046134D" w:rsidRPr="001618DE" w:rsidRDefault="0046134D" w:rsidP="001618DE">
    <w:pPr>
      <w:pStyle w:val="Footer"/>
      <w:ind w:right="360"/>
      <w:jc w:val="both"/>
      <w:rPr>
        <w:rFonts w:ascii="Times New Roman" w:hAnsi="Times New Roman" w:cs="Times New Roman"/>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4E4383">
      <w:rPr>
        <w:rFonts w:ascii="Times New Roman" w:hAnsi="Times New Roman" w:cs="Times New Roman"/>
        <w:noProof/>
        <w:sz w:val="20"/>
        <w:szCs w:val="20"/>
      </w:rPr>
      <w:t>VARAMZino_ModF_091120</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5667D" w14:textId="77777777" w:rsidR="003D4E5E" w:rsidRDefault="003D4E5E" w:rsidP="00D64BCF">
      <w:pPr>
        <w:spacing w:after="0" w:line="240" w:lineRule="auto"/>
      </w:pPr>
      <w:r>
        <w:separator/>
      </w:r>
    </w:p>
  </w:footnote>
  <w:footnote w:type="continuationSeparator" w:id="0">
    <w:p w14:paraId="19FD4BF4" w14:textId="77777777" w:rsidR="003D4E5E" w:rsidRDefault="003D4E5E" w:rsidP="00D64BCF">
      <w:pPr>
        <w:spacing w:after="0" w:line="240" w:lineRule="auto"/>
      </w:pPr>
      <w:r>
        <w:continuationSeparator/>
      </w:r>
    </w:p>
  </w:footnote>
  <w:footnote w:id="1">
    <w:p w14:paraId="5730CF8E" w14:textId="256E28C1" w:rsidR="0046134D" w:rsidRDefault="0046134D">
      <w:pPr>
        <w:pStyle w:val="FootnoteText"/>
      </w:pPr>
      <w:r>
        <w:rPr>
          <w:rStyle w:val="FootnoteReference"/>
        </w:rPr>
        <w:footnoteRef/>
      </w:r>
      <w:r>
        <w:t xml:space="preserve"> </w:t>
      </w:r>
      <w:r w:rsidRPr="002366B5">
        <w:rPr>
          <w:rFonts w:ascii="Times New Roman" w:hAnsi="Times New Roman" w:cs="Times New Roman"/>
          <w:color w:val="000000" w:themeColor="text1"/>
        </w:rPr>
        <w:t>DG CLIMA, DG REGIO, DG COMP, DG REFORM</w:t>
      </w:r>
      <w:r>
        <w:rPr>
          <w:rFonts w:ascii="Times New Roman" w:hAnsi="Times New Roman" w:cs="Times New Roman"/>
          <w:color w:val="000000" w:themeColor="text1"/>
        </w:rPr>
        <w:t>;</w:t>
      </w:r>
    </w:p>
  </w:footnote>
  <w:footnote w:id="2">
    <w:p w14:paraId="4E6209CC" w14:textId="03342296" w:rsidR="005C28BE" w:rsidRDefault="005C28BE">
      <w:pPr>
        <w:pStyle w:val="FootnoteText"/>
      </w:pPr>
      <w:r>
        <w:rPr>
          <w:rStyle w:val="FootnoteReference"/>
        </w:rPr>
        <w:footnoteRef/>
      </w:r>
      <w:r>
        <w:t xml:space="preserve"> </w:t>
      </w:r>
      <w:r w:rsidRPr="007569C7">
        <w:rPr>
          <w:rFonts w:ascii="Times New Roman" w:hAnsi="Times New Roman" w:cs="Times New Roman"/>
        </w:rPr>
        <w:t xml:space="preserve">Novērotāju var nominēt tikai tās </w:t>
      </w:r>
      <w:r w:rsidR="007569C7">
        <w:rPr>
          <w:rFonts w:ascii="Times New Roman" w:hAnsi="Times New Roman" w:cs="Times New Roman"/>
        </w:rPr>
        <w:t xml:space="preserve">ES </w:t>
      </w:r>
      <w:r w:rsidRPr="007569C7">
        <w:rPr>
          <w:rFonts w:ascii="Times New Roman" w:hAnsi="Times New Roman" w:cs="Times New Roman"/>
        </w:rPr>
        <w:t>dalībvalstis, kas nav</w:t>
      </w:r>
      <w:r w:rsidR="006B5E48" w:rsidRPr="007569C7">
        <w:rPr>
          <w:rFonts w:ascii="Times New Roman" w:hAnsi="Times New Roman" w:cs="Times New Roman"/>
        </w:rPr>
        <w:t xml:space="preserve"> Investīciju komitejas sastāvā;</w:t>
      </w:r>
      <w:r w:rsidR="006B5E48" w:rsidRPr="007569C7">
        <w:rPr>
          <w:rFonts w:ascii="Times New Roman" w:hAnsi="Times New Roman" w:cs="Times New Roman"/>
          <w:sz w:val="22"/>
          <w:szCs w:val="22"/>
        </w:rPr>
        <w:t xml:space="preserve"> </w:t>
      </w:r>
    </w:p>
  </w:footnote>
  <w:footnote w:id="3">
    <w:p w14:paraId="121A6E59" w14:textId="52EB9045" w:rsidR="006A128B" w:rsidRDefault="006A128B">
      <w:pPr>
        <w:pStyle w:val="FootnoteText"/>
      </w:pPr>
      <w:r>
        <w:rPr>
          <w:rStyle w:val="FootnoteReference"/>
        </w:rPr>
        <w:footnoteRef/>
      </w:r>
      <w:r>
        <w:t xml:space="preserve"> </w:t>
      </w:r>
      <w:r w:rsidR="007569C7" w:rsidRPr="00F54DFA">
        <w:rPr>
          <w:rFonts w:ascii="Times New Roman" w:hAnsi="Times New Roman" w:cs="Times New Roman"/>
        </w:rPr>
        <w:t xml:space="preserve">VARAM </w:t>
      </w:r>
      <w:r w:rsidR="00E25F56" w:rsidRPr="007569C7">
        <w:rPr>
          <w:rFonts w:ascii="Times New Roman" w:hAnsi="Times New Roman" w:cs="Times New Roman"/>
        </w:rPr>
        <w:t>2020. gada 11. septembra vēstule Nr.</w:t>
      </w:r>
      <w:r w:rsidR="00616B31" w:rsidRPr="007569C7">
        <w:rPr>
          <w:rFonts w:ascii="Times New Roman" w:hAnsi="Times New Roman" w:cs="Times New Roman"/>
        </w:rPr>
        <w:t>12.1</w:t>
      </w:r>
      <w:r w:rsidR="008E05C1" w:rsidRPr="007569C7">
        <w:rPr>
          <w:rFonts w:ascii="Times New Roman" w:hAnsi="Times New Roman" w:cs="Times New Roman"/>
        </w:rPr>
        <w:t>-3/8157;</w:t>
      </w:r>
    </w:p>
  </w:footnote>
  <w:footnote w:id="4">
    <w:p w14:paraId="632E2E80" w14:textId="320A75D1" w:rsidR="0046134D" w:rsidRPr="00E973B6" w:rsidRDefault="0046134D" w:rsidP="00200D14">
      <w:pPr>
        <w:pStyle w:val="FootnoteText"/>
        <w:jc w:val="both"/>
        <w:rPr>
          <w:rFonts w:ascii="Times New Roman" w:hAnsi="Times New Roman" w:cs="Times New Roman"/>
        </w:rPr>
      </w:pPr>
      <w:r w:rsidRPr="00E973B6">
        <w:rPr>
          <w:rStyle w:val="FootnoteReference"/>
        </w:rPr>
        <w:footnoteRef/>
      </w:r>
      <w:r>
        <w:t> </w:t>
      </w:r>
      <w:r w:rsidRPr="00E973B6">
        <w:rPr>
          <w:rFonts w:ascii="Times New Roman" w:hAnsi="Times New Roman" w:cs="Times New Roman"/>
        </w:rPr>
        <w:t>Izņēmums, kas neattiecas uz Latviju:</w:t>
      </w:r>
      <w:r w:rsidRPr="00E973B6">
        <w:t xml:space="preserve"> </w:t>
      </w:r>
      <w:r w:rsidRPr="00E973B6">
        <w:rPr>
          <w:rFonts w:ascii="Times New Roman" w:hAnsi="Times New Roman" w:cs="Times New Roman"/>
          <w:sz w:val="18"/>
          <w:szCs w:val="18"/>
        </w:rPr>
        <w:t>atļauts izmantot Modernizācijas fonda līdzekļus</w:t>
      </w:r>
      <w:r w:rsidRPr="00E973B6">
        <w:t xml:space="preserve"> </w:t>
      </w:r>
      <w:r w:rsidRPr="00E973B6">
        <w:rPr>
          <w:rFonts w:ascii="Times New Roman" w:hAnsi="Times New Roman" w:cs="Times New Roman"/>
          <w:sz w:val="18"/>
          <w:szCs w:val="18"/>
          <w:shd w:val="clear" w:color="auto" w:fill="FFFFFF"/>
        </w:rPr>
        <w:t xml:space="preserve">efektīvai un ilgtspējīgai centralizētajai siltumapgādei dalībvalstīs, kuru IKP uz vienu iedzīvotāju tirgus cenās 2013. gadā nesasniedza 30 % no Savienības vidējā rādītāja (Bulgārija, Rumānija), ar noteikumu, ka vismaz līdzvērtīgas </w:t>
      </w:r>
      <w:r w:rsidRPr="00E973B6">
        <w:rPr>
          <w:rFonts w:ascii="Times New Roman" w:hAnsi="Times New Roman" w:cs="Times New Roman"/>
          <w:shd w:val="clear" w:color="auto" w:fill="FFFFFF"/>
        </w:rPr>
        <w:t>vērtības kvotu apjoms tiek izmantots tādām investīcijām saskaņā ar</w:t>
      </w:r>
      <w:r w:rsidR="007D5912">
        <w:rPr>
          <w:rFonts w:ascii="Times New Roman" w:hAnsi="Times New Roman" w:cs="Times New Roman"/>
          <w:shd w:val="clear" w:color="auto" w:fill="FFFFFF"/>
        </w:rPr>
        <w:t xml:space="preserve"> </w:t>
      </w:r>
      <w:r w:rsidR="00E91794">
        <w:rPr>
          <w:rFonts w:ascii="Times New Roman" w:hAnsi="Times New Roman" w:cs="Times New Roman"/>
          <w:shd w:val="clear" w:color="auto" w:fill="FFFFFF"/>
        </w:rPr>
        <w:t>Direktīvas 2003/87/EK</w:t>
      </w:r>
      <w:r w:rsidRPr="00E973B6">
        <w:rPr>
          <w:rFonts w:ascii="Times New Roman" w:hAnsi="Times New Roman" w:cs="Times New Roman"/>
          <w:shd w:val="clear" w:color="auto" w:fill="FFFFFF"/>
        </w:rPr>
        <w:t xml:space="preserve"> 10.c pantu, kas neietver cieto fosilo kurināmo.</w:t>
      </w:r>
    </w:p>
  </w:footnote>
  <w:footnote w:id="5">
    <w:p w14:paraId="2F2A314D" w14:textId="4CCA8397" w:rsidR="0046134D" w:rsidRDefault="0046134D" w:rsidP="000004DF">
      <w:pPr>
        <w:pStyle w:val="FootnoteText"/>
        <w:jc w:val="both"/>
      </w:pPr>
      <w:r w:rsidRPr="00E973B6">
        <w:rPr>
          <w:rStyle w:val="FootnoteReference"/>
          <w:rFonts w:ascii="Times New Roman" w:hAnsi="Times New Roman" w:cs="Times New Roman"/>
        </w:rPr>
        <w:footnoteRef/>
      </w:r>
      <w:r>
        <w:rPr>
          <w:rFonts w:ascii="Times New Roman" w:hAnsi="Times New Roman" w:cs="Times New Roman"/>
        </w:rPr>
        <w:t> </w:t>
      </w:r>
      <w:r w:rsidRPr="00E973B6">
        <w:rPr>
          <w:rFonts w:ascii="Times New Roman" w:hAnsi="Times New Roman" w:cs="Times New Roman"/>
        </w:rPr>
        <w:t xml:space="preserve">Latvijā seminārs </w:t>
      </w:r>
      <w:r>
        <w:rPr>
          <w:rFonts w:ascii="Times New Roman" w:hAnsi="Times New Roman" w:cs="Times New Roman"/>
        </w:rPr>
        <w:t>”</w:t>
      </w:r>
      <w:r w:rsidRPr="000004DF">
        <w:rPr>
          <w:rFonts w:ascii="Times New Roman" w:hAnsi="Times New Roman" w:cs="Times New Roman"/>
        </w:rPr>
        <w:t>Energosistēmu modernizācija, izmantojot ETS bāzētus instrumentus</w:t>
      </w:r>
      <w:r>
        <w:rPr>
          <w:rFonts w:ascii="Times New Roman" w:hAnsi="Times New Roman" w:cs="Times New Roman"/>
        </w:rPr>
        <w:t> – </w:t>
      </w:r>
      <w:r w:rsidRPr="000004DF">
        <w:rPr>
          <w:rFonts w:ascii="Times New Roman" w:hAnsi="Times New Roman" w:cs="Times New Roman"/>
        </w:rPr>
        <w:t>Modernizācijas fondu un bezmaksas kvotu piešķiršana enerģētikas nozarē</w:t>
      </w:r>
      <w:r>
        <w:rPr>
          <w:rFonts w:ascii="Times New Roman" w:hAnsi="Times New Roman" w:cs="Times New Roman"/>
        </w:rPr>
        <w:t>”</w:t>
      </w:r>
      <w:r w:rsidRPr="00E973B6">
        <w:rPr>
          <w:rFonts w:ascii="Times New Roman" w:hAnsi="Times New Roman" w:cs="Times New Roman"/>
        </w:rPr>
        <w:t xml:space="preserve"> norisinājās 2018.</w:t>
      </w:r>
      <w:r>
        <w:rPr>
          <w:rFonts w:ascii="Times New Roman" w:hAnsi="Times New Roman" w:cs="Times New Roman"/>
        </w:rPr>
        <w:t> </w:t>
      </w:r>
      <w:r w:rsidRPr="00E973B6">
        <w:rPr>
          <w:rFonts w:ascii="Times New Roman" w:hAnsi="Times New Roman" w:cs="Times New Roman"/>
        </w:rPr>
        <w:t>gada 24.</w:t>
      </w:r>
      <w:r>
        <w:rPr>
          <w:rFonts w:ascii="Times New Roman" w:hAnsi="Times New Roman" w:cs="Times New Roman"/>
        </w:rPr>
        <w:t> </w:t>
      </w:r>
      <w:r w:rsidRPr="00E973B6">
        <w:rPr>
          <w:rFonts w:ascii="Times New Roman" w:hAnsi="Times New Roman" w:cs="Times New Roman"/>
        </w:rPr>
        <w:t>oktobrī.</w:t>
      </w:r>
    </w:p>
  </w:footnote>
  <w:footnote w:id="6">
    <w:p w14:paraId="2004598F" w14:textId="320CECED" w:rsidR="0046134D" w:rsidRPr="00DA15F9" w:rsidRDefault="0046134D">
      <w:pPr>
        <w:pStyle w:val="FootnoteText"/>
        <w:rPr>
          <w:rFonts w:ascii="Times New Roman" w:hAnsi="Times New Roman" w:cs="Times New Roman"/>
        </w:rPr>
      </w:pPr>
      <w:r w:rsidRPr="00DA15F9">
        <w:rPr>
          <w:rStyle w:val="FootnoteReference"/>
          <w:rFonts w:ascii="Times New Roman" w:hAnsi="Times New Roman" w:cs="Times New Roman"/>
        </w:rPr>
        <w:footnoteRef/>
      </w:r>
      <w:r w:rsidRPr="00DA15F9">
        <w:rPr>
          <w:rFonts w:ascii="Times New Roman" w:hAnsi="Times New Roman" w:cs="Times New Roman"/>
        </w:rPr>
        <w:t xml:space="preserve"> </w:t>
      </w:r>
      <w:hyperlink r:id="rId1" w:history="1">
        <w:r w:rsidRPr="00DA15F9">
          <w:rPr>
            <w:rStyle w:val="Hyperlink"/>
            <w:rFonts w:ascii="Times New Roman" w:hAnsi="Times New Roman" w:cs="Times New Roman"/>
          </w:rPr>
          <w:t>https://ec.europa.eu/info/sites/info/files/innovation_and_modernisation_fund_ema.pdf</w:t>
        </w:r>
      </w:hyperlink>
    </w:p>
  </w:footnote>
  <w:footnote w:id="7">
    <w:p w14:paraId="1F1108DF" w14:textId="77777777" w:rsidR="00C81EB7" w:rsidRDefault="00C81EB7" w:rsidP="00C81EB7">
      <w:pPr>
        <w:pStyle w:val="FootnoteText"/>
        <w:jc w:val="both"/>
        <w:rPr>
          <w:rFonts w:ascii="Times New Roman" w:hAnsi="Times New Roman"/>
        </w:rPr>
      </w:pPr>
      <w:r w:rsidRPr="00561B76">
        <w:rPr>
          <w:rStyle w:val="FootnoteReference"/>
          <w:rFonts w:ascii="Times New Roman" w:hAnsi="Times New Roman" w:cs="Times New Roman"/>
        </w:rPr>
        <w:footnoteRef/>
      </w:r>
      <w:r>
        <w:rPr>
          <w:rFonts w:ascii="Times New Roman" w:hAnsi="Times New Roman" w:cs="Times New Roman"/>
        </w:rPr>
        <w:t> </w:t>
      </w:r>
      <w:r>
        <w:rPr>
          <w:rFonts w:ascii="Times New Roman" w:hAnsi="Times New Roman"/>
        </w:rPr>
        <w:t>2020. gada 29. a</w:t>
      </w:r>
      <w:r w:rsidRPr="007B0244">
        <w:rPr>
          <w:rFonts w:ascii="Times New Roman" w:hAnsi="Times New Roman"/>
        </w:rPr>
        <w:t>prīlī EK iesniegtās prognozes atbilstoši ziņojumam par politiku, pasākumiem</w:t>
      </w:r>
      <w:r>
        <w:rPr>
          <w:rFonts w:ascii="Times New Roman" w:hAnsi="Times New Roman"/>
        </w:rPr>
        <w:t xml:space="preserve"> un</w:t>
      </w:r>
      <w:r w:rsidRPr="007B0244">
        <w:rPr>
          <w:rFonts w:ascii="Times New Roman" w:hAnsi="Times New Roman"/>
        </w:rPr>
        <w:t xml:space="preserve"> prognozēm, kas sagatavots atbilstoši Eiropas Parlamenta un Padomes 2013.</w:t>
      </w:r>
      <w:r>
        <w:rPr>
          <w:rFonts w:ascii="Times New Roman" w:hAnsi="Times New Roman"/>
        </w:rPr>
        <w:t> </w:t>
      </w:r>
      <w:r w:rsidRPr="007B0244">
        <w:rPr>
          <w:rFonts w:ascii="Times New Roman" w:hAnsi="Times New Roman"/>
        </w:rPr>
        <w:t>gada 21.</w:t>
      </w:r>
      <w:r>
        <w:rPr>
          <w:rFonts w:ascii="Times New Roman" w:hAnsi="Times New Roman"/>
        </w:rPr>
        <w:t> </w:t>
      </w:r>
      <w:r w:rsidRPr="007B0244">
        <w:rPr>
          <w:rFonts w:ascii="Times New Roman" w:hAnsi="Times New Roman"/>
        </w:rPr>
        <w:t>maija Regulai (ES) Nr.</w:t>
      </w:r>
      <w:r>
        <w:rPr>
          <w:rFonts w:ascii="Times New Roman" w:hAnsi="Times New Roman"/>
        </w:rPr>
        <w:t> </w:t>
      </w:r>
      <w:r w:rsidRPr="007B0244">
        <w:rPr>
          <w:rFonts w:ascii="Times New Roman" w:hAnsi="Times New Roman"/>
        </w:rPr>
        <w:t xml:space="preserve">525/2013 </w:t>
      </w:r>
      <w:r w:rsidRPr="00474C94">
        <w:rPr>
          <w:rFonts w:ascii="Times New Roman" w:hAnsi="Times New Roman"/>
          <w:i/>
        </w:rPr>
        <w:t>par mehānismu siltumnīcefekta gāzu emisiju pārraudzībai un ziņošanai un citas informācijas ziņošanai valstu un Savienības līmenī saistībā ar klimata pārmaiņām un par Lēmuma Nr. 280/2004/EK atcelšanu</w:t>
      </w:r>
      <w:r w:rsidRPr="007B0244">
        <w:rPr>
          <w:rFonts w:ascii="Times New Roman" w:hAnsi="Times New Roman"/>
        </w:rPr>
        <w:t xml:space="preserve">. </w:t>
      </w:r>
    </w:p>
    <w:p w14:paraId="6B8E1F96" w14:textId="77777777" w:rsidR="00C81EB7" w:rsidRPr="00561B76" w:rsidRDefault="00F10311" w:rsidP="00C81EB7">
      <w:pPr>
        <w:pStyle w:val="FootnoteText"/>
        <w:jc w:val="both"/>
        <w:rPr>
          <w:rFonts w:ascii="Times New Roman" w:hAnsi="Times New Roman" w:cs="Times New Roman"/>
        </w:rPr>
      </w:pPr>
      <w:hyperlink r:id="rId2" w:history="1">
        <w:r w:rsidR="00C81EB7" w:rsidRPr="0070562E">
          <w:rPr>
            <w:rStyle w:val="Hyperlink"/>
            <w:rFonts w:ascii="Times New Roman" w:hAnsi="Times New Roman"/>
          </w:rPr>
          <w:t>https://cdr.eionet.europa.eu/lv/eu/mmr/art04-13-14_lcds_pams_projections/projections/envxqm02w/</w:t>
        </w:r>
      </w:hyperlink>
    </w:p>
  </w:footnote>
  <w:footnote w:id="8">
    <w:p w14:paraId="465EAFC2" w14:textId="77777777" w:rsidR="00C81EB7" w:rsidRDefault="00C81EB7" w:rsidP="00C81EB7">
      <w:pPr>
        <w:pStyle w:val="FootnoteText"/>
        <w:jc w:val="both"/>
      </w:pPr>
      <w:r w:rsidRPr="00561B76">
        <w:rPr>
          <w:rStyle w:val="FootnoteReference"/>
          <w:rFonts w:ascii="Times New Roman" w:hAnsi="Times New Roman" w:cs="Times New Roman"/>
        </w:rPr>
        <w:footnoteRef/>
      </w:r>
      <w:r>
        <w:rPr>
          <w:rFonts w:ascii="Times New Roman" w:hAnsi="Times New Roman" w:cs="Times New Roman"/>
        </w:rPr>
        <w:t> </w:t>
      </w:r>
      <w:r w:rsidRPr="00561B76">
        <w:rPr>
          <w:rFonts w:ascii="Times New Roman" w:hAnsi="Times New Roman" w:cs="Times New Roman"/>
        </w:rPr>
        <w:t>Eiropas Parlamenta un Padomes 2009. gada 23. aprīļa lēmum</w:t>
      </w:r>
      <w:r>
        <w:rPr>
          <w:rFonts w:ascii="Times New Roman" w:hAnsi="Times New Roman" w:cs="Times New Roman"/>
        </w:rPr>
        <w:t>s</w:t>
      </w:r>
      <w:r w:rsidRPr="00561B76">
        <w:rPr>
          <w:rFonts w:ascii="Times New Roman" w:hAnsi="Times New Roman" w:cs="Times New Roman"/>
        </w:rPr>
        <w:t xml:space="preserve"> Nr. 406/2009/EK par dalībvalstu pasākumiem siltumnīcas efektu izraisošu gāzu emisiju samazināšanai, lai izpildītu Kopienas saistības siltumnīcas efektu izraisošu gāzu emisiju samazināšanas jomā līdz 2020. gadam</w:t>
      </w:r>
      <w:r>
        <w:rPr>
          <w:rFonts w:ascii="Times New Roman" w:hAnsi="Times New Roman" w:cs="Times New Roman"/>
        </w:rPr>
        <w:t>;</w:t>
      </w:r>
    </w:p>
  </w:footnote>
  <w:footnote w:id="9">
    <w:p w14:paraId="39897F77" w14:textId="77777777" w:rsidR="00C81EB7" w:rsidRPr="002366B5" w:rsidRDefault="00C81EB7" w:rsidP="00C81EB7">
      <w:pPr>
        <w:pStyle w:val="FootnoteText"/>
        <w:jc w:val="both"/>
        <w:rPr>
          <w:rFonts w:ascii="Times New Roman" w:hAnsi="Times New Roman" w:cs="Times New Roman"/>
        </w:rPr>
      </w:pPr>
      <w:r w:rsidRPr="002366B5">
        <w:rPr>
          <w:rStyle w:val="FootnoteReference"/>
          <w:rFonts w:ascii="Times New Roman" w:hAnsi="Times New Roman" w:cs="Times New Roman"/>
        </w:rPr>
        <w:footnoteRef/>
      </w:r>
      <w:r w:rsidRPr="002366B5">
        <w:rPr>
          <w:rFonts w:ascii="Times New Roman" w:hAnsi="Times New Roman" w:cs="Times New Roman"/>
        </w:rPr>
        <w:t xml:space="preserve"> </w:t>
      </w:r>
      <w:r w:rsidRPr="00FD1EBE">
        <w:rPr>
          <w:rFonts w:ascii="Times New Roman" w:hAnsi="Times New Roman" w:cs="Times New Roman"/>
        </w:rPr>
        <w:t xml:space="preserve">Atbilstoši Nacionālajā enerģētikas un klimata plānā </w:t>
      </w:r>
      <w:r w:rsidRPr="002366B5">
        <w:rPr>
          <w:rFonts w:ascii="Times New Roman" w:hAnsi="Times New Roman" w:cs="Times New Roman"/>
        </w:rPr>
        <w:t>2021. – 2030.g. (</w:t>
      </w:r>
      <w:hyperlink r:id="rId3" w:history="1">
        <w:r w:rsidRPr="002366B5">
          <w:rPr>
            <w:rStyle w:val="Hyperlink"/>
            <w:rFonts w:ascii="Times New Roman" w:hAnsi="Times New Roman" w:cs="Times New Roman"/>
          </w:rPr>
          <w:t>https://likumi.lv/ta/id/312423-par-latvijas-nacionalo-energetikas-un-klimata-planu-20212030-gadam</w:t>
        </w:r>
      </w:hyperlink>
      <w:r w:rsidRPr="00FD1EBE">
        <w:rPr>
          <w:rFonts w:ascii="Times New Roman" w:hAnsi="Times New Roman" w:cs="Times New Roman"/>
        </w:rPr>
        <w:t xml:space="preserve">) </w:t>
      </w:r>
      <w:r w:rsidRPr="002366B5">
        <w:rPr>
          <w:rFonts w:ascii="Times New Roman" w:hAnsi="Times New Roman" w:cs="Times New Roman"/>
        </w:rPr>
        <w:t>noteiktajam Latvijas aprēķinātajam indikatīvam saistošam ne-ETS mērķim 2030.gadam. Ikgadējie 2021.-2030.gada perioda ne-ETS mērķi Latvijai tiks noteikti 2020.-2021.gadā, izmantojot jaunākās pieejamās pārbaudītās SEG inventarizācijas datus 2005.gadam un 2016., 2017. un 2018.gadam, pieņemot Regulas 2018/842 4.pantā minēto EK Īstenošanas aktu.</w:t>
      </w:r>
    </w:p>
  </w:footnote>
  <w:footnote w:id="10">
    <w:p w14:paraId="6AEBD7D6" w14:textId="77777777" w:rsidR="00C81EB7" w:rsidRPr="007569C7" w:rsidRDefault="00C81EB7" w:rsidP="00C81EB7">
      <w:pPr>
        <w:pStyle w:val="FootnoteText"/>
        <w:rPr>
          <w:rFonts w:ascii="Times New Roman" w:hAnsi="Times New Roman" w:cs="Times New Roman"/>
        </w:rPr>
      </w:pPr>
      <w:r w:rsidRPr="007569C7">
        <w:rPr>
          <w:rStyle w:val="FootnoteReference"/>
          <w:rFonts w:ascii="Times New Roman" w:hAnsi="Times New Roman" w:cs="Times New Roman"/>
        </w:rPr>
        <w:footnoteRef/>
      </w:r>
      <w:r w:rsidRPr="007569C7">
        <w:rPr>
          <w:rFonts w:ascii="Times New Roman" w:hAnsi="Times New Roman" w:cs="Times New Roman"/>
        </w:rPr>
        <w:t xml:space="preserve"> </w:t>
      </w:r>
      <w:r w:rsidRPr="0005781F">
        <w:rPr>
          <w:rFonts w:ascii="Times New Roman" w:hAnsi="Times New Roman" w:cs="Times New Roman"/>
        </w:rPr>
        <w:t>U</w:t>
      </w:r>
      <w:r w:rsidRPr="007569C7">
        <w:rPr>
          <w:rFonts w:ascii="Times New Roman" w:hAnsi="Times New Roman" w:cs="Times New Roman"/>
          <w:color w:val="000000" w:themeColor="text1"/>
        </w:rPr>
        <w:t>z informatīvā ziņojuma sagatavošanas brīdi spēkā esošais mērķis</w:t>
      </w:r>
      <w:r w:rsidRPr="0005781F">
        <w:rPr>
          <w:rFonts w:ascii="Times New Roman" w:hAnsi="Times New Roman" w:cs="Times New Roman"/>
          <w:color w:val="000000" w:themeColor="text1"/>
        </w:rPr>
        <w:t>. Mērķis tiks pārrēķināts, kad tiks ap</w:t>
      </w:r>
      <w:r>
        <w:rPr>
          <w:rFonts w:ascii="Times New Roman" w:hAnsi="Times New Roman" w:cs="Times New Roman"/>
          <w:color w:val="000000" w:themeColor="text1"/>
        </w:rPr>
        <w:t>s</w:t>
      </w:r>
      <w:r w:rsidRPr="0005781F">
        <w:rPr>
          <w:rFonts w:ascii="Times New Roman" w:hAnsi="Times New Roman" w:cs="Times New Roman"/>
          <w:color w:val="000000" w:themeColor="text1"/>
        </w:rPr>
        <w:t xml:space="preserve">tiprināts ES kopējais mērķis - </w:t>
      </w:r>
      <w:r w:rsidRPr="007569C7">
        <w:rPr>
          <w:rFonts w:ascii="Times New Roman" w:eastAsia="Times New Roman" w:hAnsi="Times New Roman" w:cs="Times New Roman"/>
          <w:color w:val="000000" w:themeColor="text1"/>
        </w:rPr>
        <w:t>SEG emisijas līdz 2030. gadam samazināt par vismaz 55 %;</w:t>
      </w:r>
    </w:p>
  </w:footnote>
  <w:footnote w:id="11">
    <w:p w14:paraId="4F96AB52" w14:textId="77777777" w:rsidR="00BF4134" w:rsidRDefault="00BF4134" w:rsidP="00BF4134">
      <w:pPr>
        <w:pStyle w:val="FootnoteText"/>
      </w:pPr>
      <w:r>
        <w:rPr>
          <w:rStyle w:val="FootnoteReference"/>
        </w:rPr>
        <w:footnoteRef/>
      </w:r>
      <w:r>
        <w:t xml:space="preserve"> </w:t>
      </w:r>
      <w:hyperlink r:id="rId4" w:history="1">
        <w:r w:rsidRPr="003930A3">
          <w:rPr>
            <w:rStyle w:val="Hyperlink"/>
            <w:rFonts w:ascii="Times New Roman" w:hAnsi="Times New Roman" w:cs="Times New Roman"/>
            <w:sz w:val="18"/>
            <w:szCs w:val="18"/>
          </w:rPr>
          <w:t>https://eur-lex.europa.eu/legal-content/EN/TXT/?qid=1547536916236&amp;uri=CELEX:52020PC0080</w:t>
        </w:r>
      </w:hyperlink>
      <w:r w:rsidRPr="003930A3">
        <w:rPr>
          <w:rFonts w:ascii="Times New Roman" w:hAnsi="Times New Roman" w:cs="Times New Roman"/>
          <w:sz w:val="16"/>
          <w:szCs w:val="16"/>
        </w:rPr>
        <w:t xml:space="preserve"> </w:t>
      </w:r>
    </w:p>
  </w:footnote>
  <w:footnote w:id="12">
    <w:p w14:paraId="65D1BE0D" w14:textId="77777777" w:rsidR="00BF4134" w:rsidRDefault="00BF4134" w:rsidP="00BF4134">
      <w:pPr>
        <w:pStyle w:val="FootnoteText"/>
      </w:pPr>
      <w:r>
        <w:rPr>
          <w:rStyle w:val="FootnoteReference"/>
        </w:rPr>
        <w:footnoteRef/>
      </w:r>
      <w:r>
        <w:t xml:space="preserve"> </w:t>
      </w:r>
      <w:r w:rsidRPr="5B304337">
        <w:rPr>
          <w:rFonts w:ascii="Times New Roman" w:eastAsia="Times New Roman" w:hAnsi="Times New Roman" w:cs="Times New Roman"/>
          <w:sz w:val="18"/>
          <w:szCs w:val="18"/>
        </w:rPr>
        <w:t>Pieejams:</w:t>
      </w:r>
      <w:r w:rsidRPr="003930A3">
        <w:rPr>
          <w:rFonts w:ascii="Times New Roman" w:eastAsia="Times New Roman" w:hAnsi="Times New Roman" w:cs="Times New Roman"/>
          <w:sz w:val="18"/>
          <w:szCs w:val="18"/>
        </w:rPr>
        <w:t xml:space="preserve"> </w:t>
      </w:r>
      <w:hyperlink r:id="rId5">
        <w:r w:rsidRPr="003930A3">
          <w:rPr>
            <w:rStyle w:val="Hyperlink"/>
            <w:rFonts w:ascii="Times New Roman" w:eastAsia="Times New Roman" w:hAnsi="Times New Roman" w:cs="Times New Roman"/>
            <w:sz w:val="18"/>
            <w:szCs w:val="18"/>
          </w:rPr>
          <w:t>https://ec.europa.eu/clima/sites/clima/files/eu-climate-action/docs/impact_en.pdf</w:t>
        </w:r>
      </w:hyperlink>
    </w:p>
  </w:footnote>
  <w:footnote w:id="13">
    <w:p w14:paraId="586B9FC5" w14:textId="55A1D336" w:rsidR="006E76E0" w:rsidRPr="002366B5" w:rsidRDefault="006E76E0" w:rsidP="006E76E0">
      <w:pPr>
        <w:pStyle w:val="FootnoteText"/>
        <w:jc w:val="both"/>
        <w:rPr>
          <w:rFonts w:ascii="Times New Roman" w:hAnsi="Times New Roman" w:cs="Times New Roman"/>
        </w:rPr>
      </w:pPr>
      <w:r w:rsidRPr="002366B5">
        <w:rPr>
          <w:rStyle w:val="FootnoteReference"/>
          <w:rFonts w:ascii="Times New Roman" w:hAnsi="Times New Roman" w:cs="Times New Roman"/>
        </w:rPr>
        <w:footnoteRef/>
      </w:r>
      <w:r w:rsidRPr="002366B5">
        <w:rPr>
          <w:rFonts w:ascii="Times New Roman" w:hAnsi="Times New Roman" w:cs="Times New Roman"/>
        </w:rPr>
        <w:t xml:space="preserve"> </w:t>
      </w:r>
      <w:r w:rsidR="00DC7571" w:rsidRPr="00DC7571">
        <w:rPr>
          <w:rFonts w:ascii="Times New Roman" w:hAnsi="Times New Roman" w:cs="Times New Roman"/>
        </w:rPr>
        <w:t xml:space="preserve">Latvija 2019.gada oktobrī (pirms ANO Klimata pārmaiņu konferences 25.sesijas 2019.gada decembrī) kopā ar citām klimata politikā ambiciozajām ES valstīm (Dāniju, Franciju, Luksemburgu, Nīderlandi, Portugāli, Spāniju, Zviedriju) nosūtīja Komisijas Viceprezidentam </w:t>
      </w:r>
      <w:proofErr w:type="spellStart"/>
      <w:r w:rsidR="00DC7571" w:rsidRPr="00DC7571">
        <w:rPr>
          <w:rFonts w:ascii="Times New Roman" w:hAnsi="Times New Roman" w:cs="Times New Roman"/>
        </w:rPr>
        <w:t>F.Timermanam</w:t>
      </w:r>
      <w:proofErr w:type="spellEnd"/>
      <w:r w:rsidR="00DC7571" w:rsidRPr="00DC7571">
        <w:rPr>
          <w:rFonts w:ascii="Times New Roman" w:hAnsi="Times New Roman" w:cs="Times New Roman"/>
        </w:rPr>
        <w:t xml:space="preserve"> vēstuli , aicinot pēc iespējas ātrāk sagatavot ES ilgtermiņa stratēģiju atbilstoši Parīzes nolīgumam, kā arī apņemties palielināt ES SEG emisiju samazināšanas mērķi 2030.gadam līdz -55% (salīdzinot ar 1990. gadu), kā arī uzsverot, ka no ES budžeta nevajadzētu finansēt politikas, kas neatbilst mērķim panākt ES </w:t>
      </w:r>
      <w:proofErr w:type="spellStart"/>
      <w:r w:rsidR="00DC7571" w:rsidRPr="00DC7571">
        <w:rPr>
          <w:rFonts w:ascii="Times New Roman" w:hAnsi="Times New Roman" w:cs="Times New Roman"/>
        </w:rPr>
        <w:t>klimatneitralitāti</w:t>
      </w:r>
      <w:proofErr w:type="spellEnd"/>
      <w:r w:rsidR="00DC7571" w:rsidRPr="00DC7571">
        <w:rPr>
          <w:rFonts w:ascii="Times New Roman" w:hAnsi="Times New Roman" w:cs="Times New Roman"/>
        </w:rPr>
        <w:t xml:space="preserve"> vēlākais līdz 2050. gadam.</w:t>
      </w:r>
      <w:r w:rsidR="00DC7571">
        <w:rPr>
          <w:rFonts w:ascii="Times New Roman" w:hAnsi="Times New Roman" w:cs="Times New Roman"/>
        </w:rPr>
        <w:t xml:space="preserve"> </w:t>
      </w:r>
      <w:r w:rsidRPr="002366B5">
        <w:rPr>
          <w:rFonts w:ascii="Times New Roman" w:hAnsi="Times New Roman" w:cs="Times New Roman"/>
        </w:rPr>
        <w:t>2020. gada 11. februārī M</w:t>
      </w:r>
      <w:r w:rsidR="00F55175">
        <w:rPr>
          <w:rFonts w:ascii="Times New Roman" w:hAnsi="Times New Roman" w:cs="Times New Roman"/>
        </w:rPr>
        <w:t xml:space="preserve">inistru kabineta </w:t>
      </w:r>
      <w:r w:rsidRPr="002366B5">
        <w:rPr>
          <w:rFonts w:ascii="Times New Roman" w:hAnsi="Times New Roman" w:cs="Times New Roman"/>
        </w:rPr>
        <w:t xml:space="preserve">sēdē izskatītais Informatīvais ziņojums par </w:t>
      </w:r>
      <w:r w:rsidR="00C16A25" w:rsidRPr="00FD1EBE">
        <w:rPr>
          <w:rFonts w:ascii="Times New Roman" w:hAnsi="Times New Roman" w:cs="Times New Roman"/>
        </w:rPr>
        <w:t>EK</w:t>
      </w:r>
      <w:r w:rsidRPr="002366B5">
        <w:rPr>
          <w:rFonts w:ascii="Times New Roman" w:hAnsi="Times New Roman" w:cs="Times New Roman"/>
        </w:rPr>
        <w:t xml:space="preserve"> paziņojumu “Eiropas Zaļais Kurss” (IEROBEŽOTAS PIEEJAMĪBAS INFORMĀCIJA) (protokols Nr. 6 42§); 2020. gada 21. maija M</w:t>
      </w:r>
      <w:r w:rsidR="00F55175">
        <w:rPr>
          <w:rFonts w:ascii="Times New Roman" w:hAnsi="Times New Roman" w:cs="Times New Roman"/>
        </w:rPr>
        <w:t xml:space="preserve">inistru kabineta </w:t>
      </w:r>
      <w:r w:rsidRPr="002366B5">
        <w:rPr>
          <w:rFonts w:ascii="Times New Roman" w:hAnsi="Times New Roman" w:cs="Times New Roman"/>
        </w:rPr>
        <w:t xml:space="preserve">sēdē apstiprinātā Latvijas Republikas nacionālā pozīcija Nr.1 "Par priekšlikumu Eiropas Parlamenta un Padomes Regulai ar ko izveido sistēmu </w:t>
      </w:r>
      <w:proofErr w:type="spellStart"/>
      <w:r w:rsidRPr="002366B5">
        <w:rPr>
          <w:rFonts w:ascii="Times New Roman" w:hAnsi="Times New Roman" w:cs="Times New Roman"/>
        </w:rPr>
        <w:t>klimatneitralitātes</w:t>
      </w:r>
      <w:proofErr w:type="spellEnd"/>
      <w:r w:rsidRPr="002366B5">
        <w:rPr>
          <w:rFonts w:ascii="Times New Roman" w:hAnsi="Times New Roman" w:cs="Times New Roman"/>
        </w:rPr>
        <w:t xml:space="preserve"> sasniegšanai un groza Regulu (ES) Nr.2018/1999 (Eiropas Klimata likums)" (IEROBEŽOTA PIEEJAMĪBAS INFORMĀCIJA) (protokols Nr. 35 1§)</w:t>
      </w:r>
      <w:r w:rsidR="00DC7571">
        <w:rPr>
          <w:rFonts w:ascii="Times New Roman" w:hAnsi="Times New Roman" w:cs="Times New Roman"/>
        </w:rPr>
        <w:t xml:space="preserve">. </w:t>
      </w:r>
    </w:p>
  </w:footnote>
  <w:footnote w:id="14">
    <w:p w14:paraId="36092ADB" w14:textId="77777777" w:rsidR="00F716FA" w:rsidRPr="00F87FDC" w:rsidRDefault="00F716FA" w:rsidP="00F87FDC">
      <w:pPr>
        <w:spacing w:after="0" w:line="240" w:lineRule="auto"/>
        <w:jc w:val="both"/>
        <w:rPr>
          <w:rFonts w:ascii="Times New Roman" w:hAnsi="Times New Roman" w:cs="Times New Roman"/>
          <w:sz w:val="20"/>
          <w:szCs w:val="20"/>
        </w:rPr>
      </w:pPr>
      <w:r w:rsidRPr="00F87FDC">
        <w:rPr>
          <w:rFonts w:ascii="Times New Roman" w:hAnsi="Times New Roman" w:cs="Times New Roman"/>
          <w:sz w:val="20"/>
          <w:szCs w:val="20"/>
          <w:vertAlign w:val="superscript"/>
        </w:rPr>
        <w:footnoteRef/>
      </w:r>
      <w:r w:rsidRPr="00F87FDC">
        <w:rPr>
          <w:rFonts w:ascii="Times New Roman" w:hAnsi="Times New Roman" w:cs="Times New Roman"/>
          <w:sz w:val="20"/>
          <w:szCs w:val="20"/>
          <w:vertAlign w:val="superscript"/>
        </w:rPr>
        <w:t xml:space="preserve"> </w:t>
      </w:r>
      <w:r w:rsidRPr="00F87FDC">
        <w:rPr>
          <w:rFonts w:ascii="Times New Roman" w:hAnsi="Times New Roman" w:cs="Times New Roman"/>
          <w:sz w:val="20"/>
          <w:szCs w:val="20"/>
        </w:rPr>
        <w:t xml:space="preserve">Eiropas Savienības un Padomes regula Nr.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w:t>
      </w:r>
    </w:p>
    <w:p w14:paraId="18BDDE1D" w14:textId="77777777" w:rsidR="00F716FA" w:rsidRPr="00F87FDC" w:rsidRDefault="00F10311" w:rsidP="00F87FDC">
      <w:pPr>
        <w:spacing w:after="0" w:line="240" w:lineRule="auto"/>
        <w:jc w:val="both"/>
        <w:rPr>
          <w:rFonts w:ascii="Times New Roman" w:hAnsi="Times New Roman" w:cs="Times New Roman"/>
          <w:sz w:val="20"/>
          <w:szCs w:val="20"/>
        </w:rPr>
      </w:pPr>
      <w:hyperlink r:id="rId6" w:history="1">
        <w:r w:rsidR="00F716FA" w:rsidRPr="00F87FDC">
          <w:rPr>
            <w:rFonts w:ascii="Times New Roman" w:hAnsi="Times New Roman" w:cs="Times New Roman"/>
            <w:sz w:val="20"/>
            <w:szCs w:val="20"/>
          </w:rPr>
          <w:t>https://eur-lex.europa.eu/legal-content/LV/TXT/?uri=CELEX:32018R1999</w:t>
        </w:r>
      </w:hyperlink>
    </w:p>
  </w:footnote>
  <w:footnote w:id="15">
    <w:p w14:paraId="46FECE1C" w14:textId="77777777" w:rsidR="00F716FA" w:rsidRPr="002E4547" w:rsidRDefault="00F716FA" w:rsidP="00126F41">
      <w:pPr>
        <w:pStyle w:val="FootnoteText"/>
        <w:rPr>
          <w:sz w:val="18"/>
          <w:szCs w:val="18"/>
        </w:rPr>
      </w:pPr>
      <w:r w:rsidRPr="00F87FDC">
        <w:rPr>
          <w:rStyle w:val="FootnoteReference"/>
          <w:rFonts w:ascii="Times New Roman" w:hAnsi="Times New Roman" w:cs="Times New Roman"/>
        </w:rPr>
        <w:footnoteRef/>
      </w:r>
      <w:r w:rsidRPr="00F87FDC">
        <w:rPr>
          <w:rFonts w:ascii="Times New Roman" w:hAnsi="Times New Roman" w:cs="Times New Roman"/>
        </w:rPr>
        <w:t xml:space="preserve"> </w:t>
      </w:r>
      <w:r w:rsidRPr="00F87FDC">
        <w:rPr>
          <w:rFonts w:ascii="Times New Roman" w:hAnsi="Times New Roman" w:cs="Times New Roman"/>
        </w:rPr>
        <w:t xml:space="preserve">Pētījums pieejams tiešsaistē: </w:t>
      </w:r>
      <w:hyperlink r:id="rId7" w:history="1">
        <w:r w:rsidRPr="00F87FDC">
          <w:rPr>
            <w:rFonts w:ascii="Times New Roman" w:hAnsi="Times New Roman" w:cs="Times New Roman"/>
          </w:rPr>
          <w:t>http://climatecake.pl/wp-content/uploads/2020/03/Impact-on-the-reduction-target-for-2030-and-on-the-EUA-prices.-Summary.pdf</w:t>
        </w:r>
      </w:hyperlink>
      <w:r w:rsidRPr="00F87FDC">
        <w:rPr>
          <w:rFonts w:ascii="Times New Roman" w:hAnsi="Times New Roman" w:cs="Times New Roman"/>
        </w:rPr>
        <w:t xml:space="preserve"> (samazinājums noteikts izmantojot esošo mērķu noteikšanas metodi IKP/iedz.)</w:t>
      </w:r>
    </w:p>
  </w:footnote>
  <w:footnote w:id="16">
    <w:p w14:paraId="02AC7270" w14:textId="77777777" w:rsidR="005C3C88" w:rsidRPr="009F010B" w:rsidRDefault="005C3C88" w:rsidP="005C3C88">
      <w:pPr>
        <w:pStyle w:val="FootnoteText"/>
        <w:rPr>
          <w:rFonts w:ascii="Times New Roman" w:hAnsi="Times New Roman" w:cs="Times New Roman"/>
        </w:rPr>
      </w:pPr>
      <w:r w:rsidRPr="009F010B">
        <w:rPr>
          <w:rStyle w:val="FootnoteReference"/>
          <w:rFonts w:ascii="Times New Roman" w:hAnsi="Times New Roman" w:cs="Times New Roman"/>
        </w:rPr>
        <w:footnoteRef/>
      </w:r>
      <w:r w:rsidRPr="009F010B">
        <w:rPr>
          <w:rFonts w:ascii="Times New Roman" w:hAnsi="Times New Roman" w:cs="Times New Roman"/>
        </w:rPr>
        <w:t xml:space="preserve"> </w:t>
      </w:r>
      <w:r w:rsidRPr="009F010B">
        <w:rPr>
          <w:rFonts w:ascii="Times New Roman" w:hAnsi="Times New Roman" w:cs="Times New Roman"/>
        </w:rPr>
        <w:t xml:space="preserve">Eiropas Parlamenta 2020. gada 8. oktobrī pieņemtie grozījumi priekšlikumā Eiropas Parlamenta un Padomes regulai, ar ko izveido </w:t>
      </w:r>
      <w:proofErr w:type="spellStart"/>
      <w:r w:rsidRPr="009F010B">
        <w:rPr>
          <w:rFonts w:ascii="Times New Roman" w:hAnsi="Times New Roman" w:cs="Times New Roman"/>
        </w:rPr>
        <w:t>klimatneitralitātes</w:t>
      </w:r>
      <w:proofErr w:type="spellEnd"/>
      <w:r w:rsidRPr="009F010B">
        <w:rPr>
          <w:rFonts w:ascii="Times New Roman" w:hAnsi="Times New Roman" w:cs="Times New Roman"/>
        </w:rPr>
        <w:t xml:space="preserve"> panākšanas satvaru un groza Regulu (ES) 2018/1999 (Eiropas Klimata akts), https://www.europarl.europa.eu/doceo/document/TA-9-2020-0253_LV.html.</w:t>
      </w:r>
    </w:p>
  </w:footnote>
  <w:footnote w:id="17">
    <w:p w14:paraId="1591DE9B" w14:textId="70AEC897" w:rsidR="0046134D" w:rsidRPr="00872B44" w:rsidRDefault="0046134D" w:rsidP="000004DF">
      <w:pPr>
        <w:pStyle w:val="FootnoteText"/>
        <w:jc w:val="both"/>
      </w:pPr>
      <w:r>
        <w:rPr>
          <w:rStyle w:val="FootnoteReference"/>
        </w:rPr>
        <w:footnoteRef/>
      </w:r>
      <w:r>
        <w:t> </w:t>
      </w:r>
      <w:r w:rsidRPr="00872B44">
        <w:rPr>
          <w:rFonts w:ascii="Times New Roman" w:hAnsi="Times New Roman" w:cs="Times New Roman"/>
        </w:rPr>
        <w:t xml:space="preserve">Platforma, kas izvēlēta </w:t>
      </w:r>
      <w:r w:rsidRPr="00872B44">
        <w:rPr>
          <w:rFonts w:ascii="Times New Roman" w:hAnsi="Times New Roman" w:cs="Times New Roman"/>
          <w:color w:val="000000"/>
          <w:spacing w:val="-2"/>
        </w:rPr>
        <w:t xml:space="preserve">Kopīgā iepirkuma nolīguma par kopēju izsoles platformu iepirkumu ietvaros. </w:t>
      </w:r>
      <w:proofErr w:type="spellStart"/>
      <w:r w:rsidRPr="000004DF">
        <w:rPr>
          <w:rFonts w:ascii="Times New Roman" w:hAnsi="Times New Roman" w:cs="Times New Roman"/>
          <w:i/>
          <w:color w:val="000000"/>
          <w:spacing w:val="-2"/>
        </w:rPr>
        <w:t>European</w:t>
      </w:r>
      <w:proofErr w:type="spellEnd"/>
      <w:r w:rsidRPr="000004DF">
        <w:rPr>
          <w:rFonts w:ascii="Times New Roman" w:hAnsi="Times New Roman" w:cs="Times New Roman"/>
          <w:i/>
          <w:color w:val="000000"/>
          <w:spacing w:val="-2"/>
        </w:rPr>
        <w:t xml:space="preserve"> </w:t>
      </w:r>
      <w:proofErr w:type="spellStart"/>
      <w:r w:rsidRPr="000004DF">
        <w:rPr>
          <w:rFonts w:ascii="Times New Roman" w:hAnsi="Times New Roman" w:cs="Times New Roman"/>
          <w:i/>
          <w:color w:val="000000"/>
          <w:spacing w:val="-2"/>
        </w:rPr>
        <w:t>Energy</w:t>
      </w:r>
      <w:proofErr w:type="spellEnd"/>
      <w:r w:rsidRPr="000004DF">
        <w:rPr>
          <w:rFonts w:ascii="Times New Roman" w:hAnsi="Times New Roman" w:cs="Times New Roman"/>
          <w:i/>
          <w:color w:val="000000"/>
          <w:spacing w:val="-2"/>
        </w:rPr>
        <w:t xml:space="preserve"> Exchange</w:t>
      </w:r>
      <w:r w:rsidRPr="00996B05">
        <w:rPr>
          <w:rFonts w:ascii="Times New Roman" w:hAnsi="Times New Roman" w:cs="Times New Roman"/>
        </w:rPr>
        <w:t xml:space="preserve"> (turpmāk</w:t>
      </w:r>
      <w:r>
        <w:rPr>
          <w:rFonts w:ascii="Times New Roman" w:hAnsi="Times New Roman" w:cs="Times New Roman"/>
        </w:rPr>
        <w:t> </w:t>
      </w:r>
      <w:r w:rsidRPr="00996B05">
        <w:rPr>
          <w:rFonts w:ascii="Times New Roman" w:hAnsi="Times New Roman" w:cs="Times New Roman"/>
        </w:rPr>
        <w:t>-</w:t>
      </w:r>
      <w:r>
        <w:rPr>
          <w:rFonts w:ascii="Times New Roman" w:hAnsi="Times New Roman" w:cs="Times New Roman"/>
        </w:rPr>
        <w:t> </w:t>
      </w:r>
      <w:r w:rsidRPr="00996B05">
        <w:rPr>
          <w:rFonts w:ascii="Times New Roman" w:hAnsi="Times New Roman" w:cs="Times New Roman"/>
        </w:rPr>
        <w:t>EEX) uzvarēja kopīgajā iepirkumā par pastāvīgo kopējo izsoles platformu 2016.</w:t>
      </w:r>
      <w:r>
        <w:rPr>
          <w:rFonts w:ascii="Times New Roman" w:hAnsi="Times New Roman" w:cs="Times New Roman"/>
        </w:rPr>
        <w:t> </w:t>
      </w:r>
      <w:r w:rsidRPr="00996B05">
        <w:rPr>
          <w:rFonts w:ascii="Times New Roman" w:hAnsi="Times New Roman" w:cs="Times New Roman"/>
        </w:rPr>
        <w:t>gadā 15.</w:t>
      </w:r>
      <w:r>
        <w:rPr>
          <w:rFonts w:ascii="Times New Roman" w:hAnsi="Times New Roman" w:cs="Times New Roman"/>
        </w:rPr>
        <w:t> </w:t>
      </w:r>
      <w:r w:rsidRPr="00996B05">
        <w:rPr>
          <w:rFonts w:ascii="Times New Roman" w:hAnsi="Times New Roman" w:cs="Times New Roman"/>
        </w:rPr>
        <w:t>jūlijā un tā rezultātā ir noslēgts šobrīd spēkā esošs pakalpojuma līgums par Kopējo izsoļu platformu. EEX nodrošina emisij</w:t>
      </w:r>
      <w:r>
        <w:rPr>
          <w:rFonts w:ascii="Times New Roman" w:hAnsi="Times New Roman" w:cs="Times New Roman"/>
        </w:rPr>
        <w:t>as</w:t>
      </w:r>
      <w:r w:rsidRPr="00996B05">
        <w:rPr>
          <w:rFonts w:ascii="Times New Roman" w:hAnsi="Times New Roman" w:cs="Times New Roman"/>
        </w:rPr>
        <w:t xml:space="preserve"> kvotu izsoles 25 ES dalībvalstīm, t.sk. Latvijai. </w:t>
      </w:r>
      <w:r>
        <w:rPr>
          <w:rFonts w:ascii="Times New Roman" w:hAnsi="Times New Roman" w:cs="Times New Roman"/>
        </w:rPr>
        <w:t>K</w:t>
      </w:r>
      <w:r w:rsidRPr="00872B44">
        <w:rPr>
          <w:rFonts w:ascii="Times New Roman" w:hAnsi="Times New Roman" w:cs="Times New Roman"/>
        </w:rPr>
        <w:t>opš 2019.</w:t>
      </w:r>
      <w:r>
        <w:rPr>
          <w:rFonts w:ascii="Times New Roman" w:hAnsi="Times New Roman" w:cs="Times New Roman"/>
        </w:rPr>
        <w:t> </w:t>
      </w:r>
      <w:r w:rsidRPr="00872B44">
        <w:rPr>
          <w:rFonts w:ascii="Times New Roman" w:hAnsi="Times New Roman" w:cs="Times New Roman"/>
        </w:rPr>
        <w:t>gada arī Norvēģija</w:t>
      </w:r>
      <w:r>
        <w:rPr>
          <w:rFonts w:ascii="Times New Roman" w:hAnsi="Times New Roman" w:cs="Times New Roman"/>
        </w:rPr>
        <w:t>i</w:t>
      </w:r>
      <w:r w:rsidRPr="00872B44">
        <w:rPr>
          <w:rFonts w:ascii="Times New Roman" w:hAnsi="Times New Roman" w:cs="Times New Roman"/>
        </w:rPr>
        <w:t>, Islande</w:t>
      </w:r>
      <w:r>
        <w:rPr>
          <w:rFonts w:ascii="Times New Roman" w:hAnsi="Times New Roman" w:cs="Times New Roman"/>
        </w:rPr>
        <w:t>i</w:t>
      </w:r>
      <w:r w:rsidRPr="00872B44">
        <w:rPr>
          <w:rFonts w:ascii="Times New Roman" w:hAnsi="Times New Roman" w:cs="Times New Roman"/>
        </w:rPr>
        <w:t xml:space="preserve"> un Lihtenšteina</w:t>
      </w:r>
      <w:r>
        <w:rPr>
          <w:rFonts w:ascii="Times New Roman" w:hAnsi="Times New Roman" w:cs="Times New Roman"/>
        </w:rPr>
        <w:t>i</w:t>
      </w:r>
      <w:r w:rsidRPr="00872B44">
        <w:rPr>
          <w:rFonts w:ascii="Times New Roman" w:hAnsi="Times New Roman" w:cs="Times New Roman"/>
        </w:rPr>
        <w:t>.</w:t>
      </w:r>
    </w:p>
  </w:footnote>
  <w:footnote w:id="18">
    <w:p w14:paraId="1C96D7EA" w14:textId="77777777" w:rsidR="007D0AFE" w:rsidRDefault="007D0AFE" w:rsidP="007D0AFE">
      <w:pPr>
        <w:pStyle w:val="Default"/>
      </w:pPr>
      <w:r w:rsidRPr="002366B5">
        <w:rPr>
          <w:rStyle w:val="FootnoteReference"/>
          <w:rFonts w:ascii="Times New Roman" w:hAnsi="Times New Roman" w:cs="Times New Roman"/>
          <w:sz w:val="20"/>
          <w:szCs w:val="20"/>
        </w:rPr>
        <w:footnoteRef/>
      </w:r>
      <w:r w:rsidRPr="002366B5">
        <w:rPr>
          <w:rFonts w:ascii="Times New Roman" w:hAnsi="Times New Roman" w:cs="Times New Roman"/>
          <w:sz w:val="20"/>
          <w:szCs w:val="20"/>
        </w:rPr>
        <w:t xml:space="preserve"> </w:t>
      </w:r>
      <w:r>
        <w:rPr>
          <w:rFonts w:ascii="Times New Roman" w:hAnsi="Times New Roman" w:cs="Times New Roman"/>
          <w:sz w:val="20"/>
          <w:szCs w:val="20"/>
        </w:rPr>
        <w:t xml:space="preserve">2020. gada 4. jūnija vēstule </w:t>
      </w:r>
      <w:proofErr w:type="spellStart"/>
      <w:r w:rsidRPr="002366B5">
        <w:rPr>
          <w:rFonts w:ascii="Times New Roman" w:hAnsi="Times New Roman" w:cs="Times New Roman"/>
          <w:sz w:val="20"/>
          <w:szCs w:val="20"/>
        </w:rPr>
        <w:t>Ref</w:t>
      </w:r>
      <w:proofErr w:type="spellEnd"/>
      <w:r w:rsidRPr="002366B5">
        <w:rPr>
          <w:rFonts w:ascii="Times New Roman" w:hAnsi="Times New Roman" w:cs="Times New Roman"/>
          <w:sz w:val="20"/>
          <w:szCs w:val="20"/>
        </w:rPr>
        <w:t xml:space="preserve">. </w:t>
      </w:r>
      <w:proofErr w:type="spellStart"/>
      <w:r w:rsidRPr="002366B5">
        <w:rPr>
          <w:rFonts w:ascii="Times New Roman" w:hAnsi="Times New Roman" w:cs="Times New Roman"/>
          <w:sz w:val="20"/>
          <w:szCs w:val="20"/>
        </w:rPr>
        <w:t>Ares</w:t>
      </w:r>
      <w:proofErr w:type="spellEnd"/>
      <w:r w:rsidRPr="002366B5">
        <w:rPr>
          <w:rFonts w:ascii="Times New Roman" w:hAnsi="Times New Roman" w:cs="Times New Roman"/>
          <w:sz w:val="20"/>
          <w:szCs w:val="20"/>
        </w:rPr>
        <w:t xml:space="preserve">(2020)2879328 </w:t>
      </w:r>
    </w:p>
  </w:footnote>
  <w:footnote w:id="19">
    <w:p w14:paraId="45A30782" w14:textId="54240A55" w:rsidR="0046134D" w:rsidRPr="00AA327B" w:rsidRDefault="0046134D" w:rsidP="00947669">
      <w:pPr>
        <w:pStyle w:val="FootnoteText"/>
        <w:jc w:val="both"/>
        <w:rPr>
          <w:rFonts w:ascii="Times New Roman" w:hAnsi="Times New Roman" w:cs="Times New Roman"/>
        </w:rPr>
      </w:pPr>
      <w:r w:rsidRPr="00AA327B">
        <w:rPr>
          <w:rStyle w:val="FootnoteReference"/>
          <w:rFonts w:ascii="Times New Roman" w:hAnsi="Times New Roman" w:cs="Times New Roman"/>
        </w:rPr>
        <w:footnoteRef/>
      </w:r>
      <w:r w:rsidR="003D48CA">
        <w:rPr>
          <w:rFonts w:ascii="Times New Roman" w:hAnsi="Times New Roman" w:cs="Times New Roman"/>
        </w:rPr>
        <w:t> </w:t>
      </w:r>
      <w:r>
        <w:rPr>
          <w:rFonts w:ascii="Times New Roman" w:hAnsi="Times New Roman" w:cs="Times New Roman"/>
        </w:rPr>
        <w:t xml:space="preserve">Šis skaitlis ir </w:t>
      </w:r>
      <w:r w:rsidR="00B06C87">
        <w:rPr>
          <w:rFonts w:ascii="Times New Roman" w:hAnsi="Times New Roman" w:cs="Times New Roman"/>
        </w:rPr>
        <w:t xml:space="preserve">noteikts </w:t>
      </w:r>
      <w:r>
        <w:rPr>
          <w:rFonts w:ascii="Times New Roman" w:hAnsi="Times New Roman" w:cs="Times New Roman"/>
        </w:rPr>
        <w:t>saskaņā ar pašlaik apr</w:t>
      </w:r>
      <w:r w:rsidR="00C16A25">
        <w:rPr>
          <w:rFonts w:ascii="Times New Roman" w:hAnsi="Times New Roman" w:cs="Times New Roman"/>
        </w:rPr>
        <w:t>ē</w:t>
      </w:r>
      <w:r>
        <w:rPr>
          <w:rFonts w:ascii="Times New Roman" w:hAnsi="Times New Roman" w:cs="Times New Roman"/>
        </w:rPr>
        <w:t xml:space="preserve">ķināto (28 ES dalībvalstu </w:t>
      </w:r>
      <w:r w:rsidR="003D48CA">
        <w:rPr>
          <w:rFonts w:ascii="Times New Roman" w:hAnsi="Times New Roman" w:cs="Times New Roman"/>
        </w:rPr>
        <w:t>un</w:t>
      </w:r>
      <w:r>
        <w:rPr>
          <w:rFonts w:ascii="Times New Roman" w:hAnsi="Times New Roman" w:cs="Times New Roman"/>
        </w:rPr>
        <w:t xml:space="preserve"> E</w:t>
      </w:r>
      <w:r w:rsidR="003D48CA">
        <w:rPr>
          <w:rFonts w:ascii="Times New Roman" w:hAnsi="Times New Roman" w:cs="Times New Roman"/>
        </w:rPr>
        <w:t>iropas Ekonomikas zonas</w:t>
      </w:r>
      <w:r>
        <w:rPr>
          <w:rFonts w:ascii="Times New Roman" w:hAnsi="Times New Roman" w:cs="Times New Roman"/>
        </w:rPr>
        <w:t xml:space="preserve"> valstu) ES ETS emisiju  kopapjomu</w:t>
      </w:r>
      <w:r w:rsidR="003D48CA">
        <w:rPr>
          <w:rFonts w:ascii="Times New Roman" w:hAnsi="Times New Roman" w:cs="Times New Roman"/>
        </w:rPr>
        <w:t> </w:t>
      </w:r>
      <w:r>
        <w:rPr>
          <w:rFonts w:ascii="Times New Roman" w:hAnsi="Times New Roman" w:cs="Times New Roman"/>
        </w:rPr>
        <w:t>–</w:t>
      </w:r>
      <w:r w:rsidR="003D48CA">
        <w:rPr>
          <w:rFonts w:ascii="Times New Roman" w:hAnsi="Times New Roman" w:cs="Times New Roman"/>
        </w:rPr>
        <w:t> </w:t>
      </w:r>
      <w:r>
        <w:rPr>
          <w:rFonts w:ascii="Times New Roman" w:hAnsi="Times New Roman" w:cs="Times New Roman"/>
        </w:rPr>
        <w:t>“</w:t>
      </w:r>
      <w:proofErr w:type="spellStart"/>
      <w:r w:rsidRPr="00AA327B">
        <w:rPr>
          <w:rFonts w:ascii="Times New Roman" w:hAnsi="Times New Roman" w:cs="Times New Roman"/>
          <w:i/>
        </w:rPr>
        <w:t>cap</w:t>
      </w:r>
      <w:proofErr w:type="spellEnd"/>
      <w:r>
        <w:rPr>
          <w:rFonts w:ascii="Times New Roman" w:hAnsi="Times New Roman" w:cs="Times New Roman"/>
        </w:rPr>
        <w:t xml:space="preserve">”. </w:t>
      </w:r>
      <w:r w:rsidRPr="00AA327B">
        <w:rPr>
          <w:rFonts w:ascii="Times New Roman" w:hAnsi="Times New Roman" w:cs="Times New Roman"/>
        </w:rPr>
        <w:t xml:space="preserve">Saskaņā ar </w:t>
      </w:r>
      <w:r>
        <w:rPr>
          <w:rFonts w:ascii="Times New Roman" w:hAnsi="Times New Roman" w:cs="Times New Roman"/>
        </w:rPr>
        <w:t xml:space="preserve">EK prezentāciju Klimata pārmaiņu komitejas </w:t>
      </w:r>
      <w:r w:rsidR="00FA2BA6">
        <w:rPr>
          <w:rFonts w:ascii="Times New Roman" w:hAnsi="Times New Roman" w:cs="Times New Roman"/>
        </w:rPr>
        <w:t xml:space="preserve">WG3 </w:t>
      </w:r>
      <w:r>
        <w:rPr>
          <w:rFonts w:ascii="Times New Roman" w:hAnsi="Times New Roman" w:cs="Times New Roman"/>
        </w:rPr>
        <w:t>2020.</w:t>
      </w:r>
      <w:r w:rsidR="003D48CA">
        <w:rPr>
          <w:rFonts w:ascii="Times New Roman" w:hAnsi="Times New Roman" w:cs="Times New Roman"/>
        </w:rPr>
        <w:t> </w:t>
      </w:r>
      <w:r>
        <w:rPr>
          <w:rFonts w:ascii="Times New Roman" w:hAnsi="Times New Roman" w:cs="Times New Roman"/>
        </w:rPr>
        <w:t>gada 15.</w:t>
      </w:r>
      <w:r w:rsidR="003D48CA">
        <w:rPr>
          <w:rFonts w:ascii="Times New Roman" w:hAnsi="Times New Roman" w:cs="Times New Roman"/>
        </w:rPr>
        <w:t> </w:t>
      </w:r>
      <w:r>
        <w:rPr>
          <w:rFonts w:ascii="Times New Roman" w:hAnsi="Times New Roman" w:cs="Times New Roman"/>
        </w:rPr>
        <w:t>jūnija sanāksmē</w:t>
      </w:r>
      <w:r w:rsidRPr="008C0FD8">
        <w:rPr>
          <w:rFonts w:ascii="Times New Roman" w:hAnsi="Times New Roman" w:cs="Times New Roman"/>
        </w:rPr>
        <w:t xml:space="preserve">, </w:t>
      </w:r>
      <w:r>
        <w:rPr>
          <w:rFonts w:ascii="Times New Roman" w:hAnsi="Times New Roman" w:cs="Times New Roman"/>
        </w:rPr>
        <w:t xml:space="preserve">šobrīd </w:t>
      </w:r>
      <w:r w:rsidR="00C16A25">
        <w:rPr>
          <w:rFonts w:ascii="Times New Roman" w:hAnsi="Times New Roman" w:cs="Times New Roman"/>
        </w:rPr>
        <w:t xml:space="preserve">saistībā </w:t>
      </w:r>
      <w:r>
        <w:rPr>
          <w:rFonts w:ascii="Times New Roman" w:hAnsi="Times New Roman" w:cs="Times New Roman"/>
        </w:rPr>
        <w:t xml:space="preserve">ar </w:t>
      </w:r>
      <w:proofErr w:type="spellStart"/>
      <w:r>
        <w:rPr>
          <w:rFonts w:ascii="Times New Roman" w:hAnsi="Times New Roman" w:cs="Times New Roman"/>
        </w:rPr>
        <w:t>Brexit</w:t>
      </w:r>
      <w:proofErr w:type="spellEnd"/>
      <w:r>
        <w:rPr>
          <w:rFonts w:ascii="Times New Roman" w:hAnsi="Times New Roman" w:cs="Times New Roman"/>
        </w:rPr>
        <w:t xml:space="preserve"> tiek veikts “</w:t>
      </w:r>
      <w:proofErr w:type="spellStart"/>
      <w:r w:rsidRPr="00AA327B">
        <w:rPr>
          <w:rFonts w:ascii="Times New Roman" w:hAnsi="Times New Roman" w:cs="Times New Roman"/>
          <w:i/>
        </w:rPr>
        <w:t>cap</w:t>
      </w:r>
      <w:proofErr w:type="spellEnd"/>
      <w:r>
        <w:rPr>
          <w:rFonts w:ascii="Times New Roman" w:hAnsi="Times New Roman" w:cs="Times New Roman"/>
        </w:rPr>
        <w:t>” pārrēķins. Pārrēķinātais “</w:t>
      </w:r>
      <w:proofErr w:type="spellStart"/>
      <w:r w:rsidRPr="00AA327B">
        <w:rPr>
          <w:rFonts w:ascii="Times New Roman" w:hAnsi="Times New Roman" w:cs="Times New Roman"/>
          <w:i/>
        </w:rPr>
        <w:t>cap</w:t>
      </w:r>
      <w:proofErr w:type="spellEnd"/>
      <w:r>
        <w:rPr>
          <w:rFonts w:ascii="Times New Roman" w:hAnsi="Times New Roman" w:cs="Times New Roman"/>
        </w:rPr>
        <w:t>” potenciāli varētu tikt</w:t>
      </w:r>
      <w:r w:rsidR="00C16A25">
        <w:rPr>
          <w:rFonts w:ascii="Times New Roman" w:hAnsi="Times New Roman" w:cs="Times New Roman"/>
        </w:rPr>
        <w:t xml:space="preserve"> </w:t>
      </w:r>
      <w:r>
        <w:rPr>
          <w:rFonts w:ascii="Times New Roman" w:hAnsi="Times New Roman" w:cs="Times New Roman"/>
        </w:rPr>
        <w:t>apstiprināts 2020.</w:t>
      </w:r>
      <w:r w:rsidR="003D48CA">
        <w:rPr>
          <w:rFonts w:ascii="Times New Roman" w:hAnsi="Times New Roman" w:cs="Times New Roman"/>
        </w:rPr>
        <w:t> </w:t>
      </w:r>
      <w:r>
        <w:rPr>
          <w:rFonts w:ascii="Times New Roman" w:hAnsi="Times New Roman" w:cs="Times New Roman"/>
        </w:rPr>
        <w:t>gada oktobrī. Saskaņā ar EK sniegto informāciju, jaunais “</w:t>
      </w:r>
      <w:proofErr w:type="spellStart"/>
      <w:r>
        <w:rPr>
          <w:rFonts w:ascii="Times New Roman" w:hAnsi="Times New Roman" w:cs="Times New Roman"/>
        </w:rPr>
        <w:t>cap</w:t>
      </w:r>
      <w:proofErr w:type="spellEnd"/>
      <w:r>
        <w:rPr>
          <w:rFonts w:ascii="Times New Roman" w:hAnsi="Times New Roman" w:cs="Times New Roman"/>
        </w:rPr>
        <w:t>” varētu būt par 11% mazāks nekā šobrīd noteiktais</w:t>
      </w:r>
      <w:r w:rsidR="00C16A25">
        <w:rPr>
          <w:rFonts w:ascii="Times New Roman" w:hAnsi="Times New Roman" w:cs="Times New Roman"/>
        </w:rPr>
        <w:t>,</w:t>
      </w:r>
      <w:r>
        <w:rPr>
          <w:rFonts w:ascii="Times New Roman" w:hAnsi="Times New Roman" w:cs="Times New Roman"/>
        </w:rPr>
        <w:t xml:space="preserve"> </w:t>
      </w:r>
      <w:r w:rsidR="00C16A25">
        <w:rPr>
          <w:rFonts w:ascii="Times New Roman" w:hAnsi="Times New Roman" w:cs="Times New Roman"/>
        </w:rPr>
        <w:t>l</w:t>
      </w:r>
      <w:r>
        <w:rPr>
          <w:rFonts w:ascii="Times New Roman" w:hAnsi="Times New Roman" w:cs="Times New Roman"/>
        </w:rPr>
        <w:t>īdz ar to arī kopējais izsolāmais emisijas kvotu apjoms 2021-2030.</w:t>
      </w:r>
      <w:r w:rsidR="003D48CA">
        <w:rPr>
          <w:rFonts w:ascii="Times New Roman" w:hAnsi="Times New Roman" w:cs="Times New Roman"/>
        </w:rPr>
        <w:t> </w:t>
      </w:r>
      <w:r>
        <w:rPr>
          <w:rFonts w:ascii="Times New Roman" w:hAnsi="Times New Roman" w:cs="Times New Roman"/>
        </w:rPr>
        <w:t xml:space="preserve">gadā samazināsies un attiecīgi </w:t>
      </w:r>
      <w:r w:rsidR="00C16A25">
        <w:rPr>
          <w:rFonts w:ascii="Times New Roman" w:hAnsi="Times New Roman" w:cs="Times New Roman"/>
        </w:rPr>
        <w:t xml:space="preserve">samazināsies </w:t>
      </w:r>
      <w:r>
        <w:rPr>
          <w:rFonts w:ascii="Times New Roman" w:hAnsi="Times New Roman" w:cs="Times New Roman"/>
        </w:rPr>
        <w:t>arī Modernizācijas fonda vajadzībām paredzētais emisijas kvotu izsolāmais apjoms, kas, savukārt, nozīmēs pieejamā finansējuma samazinājumu naudas izteiksmē.</w:t>
      </w:r>
    </w:p>
  </w:footnote>
  <w:footnote w:id="20">
    <w:p w14:paraId="41033343" w14:textId="45C0EC29" w:rsidR="0046134D" w:rsidRPr="003B425E" w:rsidRDefault="0046134D" w:rsidP="00B21E14">
      <w:pPr>
        <w:pStyle w:val="FootnoteText"/>
        <w:jc w:val="both"/>
        <w:rPr>
          <w:rFonts w:ascii="Times New Roman" w:hAnsi="Times New Roman" w:cs="Times New Roman"/>
        </w:rPr>
      </w:pPr>
      <w:r w:rsidRPr="003B425E">
        <w:rPr>
          <w:rStyle w:val="FootnoteReference"/>
          <w:rFonts w:ascii="Times New Roman" w:hAnsi="Times New Roman" w:cs="Times New Roman"/>
        </w:rPr>
        <w:footnoteRef/>
      </w:r>
      <w:r>
        <w:rPr>
          <w:rFonts w:ascii="Times New Roman" w:hAnsi="Times New Roman" w:cs="Times New Roman"/>
        </w:rPr>
        <w:t> </w:t>
      </w:r>
      <w:r w:rsidRPr="003B425E">
        <w:rPr>
          <w:rFonts w:ascii="Times New Roman" w:hAnsi="Times New Roman" w:cs="Times New Roman"/>
        </w:rPr>
        <w:t xml:space="preserve">2015. gada </w:t>
      </w:r>
      <w:r w:rsidR="00C16A25">
        <w:rPr>
          <w:rFonts w:ascii="Times New Roman" w:hAnsi="Times New Roman" w:cs="Times New Roman"/>
        </w:rPr>
        <w:t>EK</w:t>
      </w:r>
      <w:r w:rsidRPr="003B425E">
        <w:rPr>
          <w:rFonts w:ascii="Times New Roman" w:hAnsi="Times New Roman" w:cs="Times New Roman"/>
        </w:rPr>
        <w:t xml:space="preserve"> izstrādātajā Ietekmes novērtējumā saistībā ar grozījumiem Direktīvā 2003/87EK, </w:t>
      </w:r>
      <w:r w:rsidR="00C16A25">
        <w:rPr>
          <w:rFonts w:ascii="Times New Roman" w:hAnsi="Times New Roman" w:cs="Times New Roman"/>
        </w:rPr>
        <w:t>EK</w:t>
      </w:r>
      <w:r w:rsidRPr="003B425E">
        <w:rPr>
          <w:rFonts w:ascii="Times New Roman" w:hAnsi="Times New Roman" w:cs="Times New Roman"/>
        </w:rPr>
        <w:t xml:space="preserve"> prognozēja, ka emisijas kvotu cena vidēji ES ETS 4. periodā varētu būt 25 </w:t>
      </w:r>
      <w:proofErr w:type="spellStart"/>
      <w:r w:rsidRPr="003B425E">
        <w:rPr>
          <w:rFonts w:ascii="Times New Roman" w:hAnsi="Times New Roman" w:cs="Times New Roman"/>
          <w:i/>
        </w:rPr>
        <w:t>euro</w:t>
      </w:r>
      <w:proofErr w:type="spellEnd"/>
      <w:r w:rsidRPr="003B425E">
        <w:rPr>
          <w:rFonts w:ascii="Times New Roman" w:hAnsi="Times New Roman" w:cs="Times New Roman"/>
        </w:rPr>
        <w:t>. https://ec.europa.eu/clima/sites/clima/files/ets/revision/docs/impact_assessment_en.pdf</w:t>
      </w:r>
    </w:p>
  </w:footnote>
  <w:footnote w:id="21">
    <w:p w14:paraId="32D277D8" w14:textId="165CBC41" w:rsidR="0046134D" w:rsidRPr="00872B44" w:rsidRDefault="0046134D" w:rsidP="00C16A25">
      <w:pPr>
        <w:pStyle w:val="FootnoteText"/>
        <w:jc w:val="both"/>
      </w:pPr>
      <w:r w:rsidRPr="003B425E">
        <w:rPr>
          <w:rStyle w:val="FootnoteReference"/>
          <w:rFonts w:ascii="Times New Roman" w:hAnsi="Times New Roman" w:cs="Times New Roman"/>
        </w:rPr>
        <w:footnoteRef/>
      </w:r>
      <w:r>
        <w:rPr>
          <w:rFonts w:ascii="Times New Roman" w:hAnsi="Times New Roman" w:cs="Times New Roman"/>
        </w:rPr>
        <w:t> </w:t>
      </w:r>
      <w:r w:rsidRPr="003B425E">
        <w:rPr>
          <w:rFonts w:ascii="Times New Roman" w:hAnsi="Times New Roman" w:cs="Times New Roman"/>
        </w:rPr>
        <w:t xml:space="preserve">Saskaņā ar ekspertu </w:t>
      </w:r>
      <w:r>
        <w:rPr>
          <w:rFonts w:ascii="Times New Roman" w:hAnsi="Times New Roman" w:cs="Times New Roman"/>
        </w:rPr>
        <w:t>v</w:t>
      </w:r>
      <w:r w:rsidRPr="003B425E">
        <w:rPr>
          <w:rFonts w:ascii="Times New Roman" w:hAnsi="Times New Roman" w:cs="Times New Roman"/>
        </w:rPr>
        <w:t xml:space="preserve">idējām </w:t>
      </w:r>
      <w:r>
        <w:rPr>
          <w:rFonts w:ascii="Times New Roman" w:hAnsi="Times New Roman" w:cs="Times New Roman"/>
        </w:rPr>
        <w:t>prognozēm ES ETS 4. </w:t>
      </w:r>
      <w:r w:rsidRPr="003B425E">
        <w:rPr>
          <w:rFonts w:ascii="Times New Roman" w:hAnsi="Times New Roman" w:cs="Times New Roman"/>
        </w:rPr>
        <w:t>periodā (</w:t>
      </w:r>
      <w:proofErr w:type="spellStart"/>
      <w:r w:rsidR="00C16A25" w:rsidRPr="00474C94">
        <w:rPr>
          <w:rFonts w:ascii="Times New Roman" w:hAnsi="Times New Roman"/>
          <w:i/>
        </w:rPr>
        <w:t>Berenberg</w:t>
      </w:r>
      <w:proofErr w:type="spellEnd"/>
      <w:r w:rsidR="00C16A25" w:rsidRPr="00474C94">
        <w:rPr>
          <w:rFonts w:ascii="Times New Roman" w:hAnsi="Times New Roman"/>
          <w:i/>
        </w:rPr>
        <w:t xml:space="preserve">, </w:t>
      </w:r>
      <w:r w:rsidR="00C16A25">
        <w:rPr>
          <w:rFonts w:ascii="Times New Roman" w:hAnsi="Times New Roman"/>
          <w:i/>
        </w:rPr>
        <w:t xml:space="preserve">BNEF, </w:t>
      </w:r>
      <w:proofErr w:type="spellStart"/>
      <w:r w:rsidR="00C16A25" w:rsidRPr="00474C94">
        <w:rPr>
          <w:rFonts w:ascii="Times New Roman" w:hAnsi="Times New Roman"/>
          <w:i/>
        </w:rPr>
        <w:t>Clearblue</w:t>
      </w:r>
      <w:proofErr w:type="spellEnd"/>
      <w:r w:rsidR="00C16A25" w:rsidRPr="00474C94">
        <w:rPr>
          <w:rFonts w:ascii="Times New Roman" w:hAnsi="Times New Roman"/>
          <w:i/>
        </w:rPr>
        <w:t xml:space="preserve">, </w:t>
      </w:r>
      <w:r w:rsidR="00780675">
        <w:rPr>
          <w:rFonts w:ascii="Times New Roman" w:hAnsi="Times New Roman"/>
          <w:i/>
        </w:rPr>
        <w:t>Commerzbank</w:t>
      </w:r>
      <w:r w:rsidR="003C6E56">
        <w:rPr>
          <w:rFonts w:ascii="Times New Roman" w:hAnsi="Times New Roman"/>
          <w:i/>
        </w:rPr>
        <w:t>,</w:t>
      </w:r>
      <w:r w:rsidR="00780675">
        <w:rPr>
          <w:rFonts w:ascii="Times New Roman" w:hAnsi="Times New Roman"/>
          <w:i/>
        </w:rPr>
        <w:t xml:space="preserve"> </w:t>
      </w:r>
      <w:r w:rsidR="00C16A25">
        <w:rPr>
          <w:rFonts w:ascii="Times New Roman" w:hAnsi="Times New Roman"/>
          <w:i/>
        </w:rPr>
        <w:t>Danske</w:t>
      </w:r>
      <w:r w:rsidR="003C6E56">
        <w:rPr>
          <w:rFonts w:ascii="Times New Roman" w:hAnsi="Times New Roman"/>
          <w:i/>
        </w:rPr>
        <w:t xml:space="preserve"> </w:t>
      </w:r>
      <w:proofErr w:type="spellStart"/>
      <w:r w:rsidR="003C6E56">
        <w:rPr>
          <w:rFonts w:ascii="Times New Roman" w:hAnsi="Times New Roman"/>
          <w:i/>
        </w:rPr>
        <w:t>Cpmmods</w:t>
      </w:r>
      <w:proofErr w:type="spellEnd"/>
      <w:r w:rsidR="00C16A25" w:rsidRPr="00474C94">
        <w:rPr>
          <w:rFonts w:ascii="Times New Roman" w:hAnsi="Times New Roman"/>
          <w:i/>
        </w:rPr>
        <w:t xml:space="preserve">, </w:t>
      </w:r>
      <w:proofErr w:type="spellStart"/>
      <w:r w:rsidR="00C16A25" w:rsidRPr="00474C94">
        <w:rPr>
          <w:rFonts w:ascii="Times New Roman" w:hAnsi="Times New Roman"/>
          <w:i/>
        </w:rPr>
        <w:t>Energy</w:t>
      </w:r>
      <w:proofErr w:type="spellEnd"/>
      <w:r w:rsidR="00C16A25" w:rsidRPr="00474C94">
        <w:rPr>
          <w:rFonts w:ascii="Times New Roman" w:hAnsi="Times New Roman"/>
          <w:i/>
        </w:rPr>
        <w:t xml:space="preserve"> </w:t>
      </w:r>
      <w:proofErr w:type="spellStart"/>
      <w:r w:rsidR="00C16A25" w:rsidRPr="00474C94">
        <w:rPr>
          <w:rFonts w:ascii="Times New Roman" w:hAnsi="Times New Roman"/>
          <w:i/>
        </w:rPr>
        <w:t>Aspects</w:t>
      </w:r>
      <w:proofErr w:type="spellEnd"/>
      <w:r w:rsidR="00C16A25" w:rsidRPr="00474C94">
        <w:rPr>
          <w:rFonts w:ascii="Times New Roman" w:hAnsi="Times New Roman"/>
          <w:i/>
        </w:rPr>
        <w:t xml:space="preserve">, </w:t>
      </w:r>
      <w:r w:rsidR="00C16A25">
        <w:rPr>
          <w:rFonts w:ascii="Times New Roman" w:hAnsi="Times New Roman"/>
          <w:i/>
        </w:rPr>
        <w:t xml:space="preserve">IHS </w:t>
      </w:r>
      <w:proofErr w:type="spellStart"/>
      <w:r w:rsidR="00C16A25">
        <w:rPr>
          <w:rFonts w:ascii="Times New Roman" w:hAnsi="Times New Roman"/>
          <w:i/>
        </w:rPr>
        <w:t>Markit</w:t>
      </w:r>
      <w:proofErr w:type="spellEnd"/>
      <w:r w:rsidR="003C6E56">
        <w:rPr>
          <w:rFonts w:ascii="Times New Roman" w:hAnsi="Times New Roman"/>
          <w:i/>
        </w:rPr>
        <w:t>,</w:t>
      </w:r>
      <w:r w:rsidR="00C16A25">
        <w:rPr>
          <w:rFonts w:ascii="Times New Roman" w:hAnsi="Times New Roman"/>
          <w:i/>
        </w:rPr>
        <w:t xml:space="preserve"> Morgan</w:t>
      </w:r>
      <w:r w:rsidR="003C6E56">
        <w:rPr>
          <w:rFonts w:ascii="Times New Roman" w:hAnsi="Times New Roman"/>
          <w:i/>
        </w:rPr>
        <w:t xml:space="preserve"> </w:t>
      </w:r>
      <w:proofErr w:type="spellStart"/>
      <w:r w:rsidR="003C6E56">
        <w:rPr>
          <w:rFonts w:ascii="Times New Roman" w:hAnsi="Times New Roman"/>
          <w:i/>
        </w:rPr>
        <w:t>Stanley</w:t>
      </w:r>
      <w:proofErr w:type="spellEnd"/>
      <w:r w:rsidR="00C16A25">
        <w:rPr>
          <w:rFonts w:ascii="Times New Roman" w:hAnsi="Times New Roman"/>
          <w:i/>
        </w:rPr>
        <w:t xml:space="preserve">, </w:t>
      </w:r>
      <w:proofErr w:type="spellStart"/>
      <w:r w:rsidR="00C16A25">
        <w:rPr>
          <w:rFonts w:ascii="Times New Roman" w:hAnsi="Times New Roman"/>
          <w:i/>
        </w:rPr>
        <w:t>Macquarie</w:t>
      </w:r>
      <w:proofErr w:type="spellEnd"/>
      <w:r w:rsidR="00C16A25" w:rsidRPr="00474C94">
        <w:rPr>
          <w:rFonts w:ascii="Times New Roman" w:hAnsi="Times New Roman"/>
          <w:i/>
        </w:rPr>
        <w:t xml:space="preserve">, </w:t>
      </w:r>
      <w:proofErr w:type="spellStart"/>
      <w:r w:rsidR="00C16A25" w:rsidRPr="00474C94">
        <w:rPr>
          <w:rFonts w:ascii="Times New Roman" w:hAnsi="Times New Roman"/>
          <w:i/>
        </w:rPr>
        <w:t>Refinitiv</w:t>
      </w:r>
      <w:proofErr w:type="spellEnd"/>
      <w:r w:rsidR="00C16A25" w:rsidRPr="00474C94">
        <w:rPr>
          <w:rFonts w:ascii="Times New Roman" w:hAnsi="Times New Roman"/>
          <w:i/>
        </w:rPr>
        <w:t xml:space="preserve">, </w:t>
      </w:r>
      <w:proofErr w:type="spellStart"/>
      <w:r w:rsidR="00C16A25">
        <w:rPr>
          <w:rFonts w:ascii="Times New Roman" w:hAnsi="Times New Roman"/>
          <w:i/>
        </w:rPr>
        <w:t>SocGen</w:t>
      </w:r>
      <w:proofErr w:type="spellEnd"/>
      <w:r w:rsidR="00C16A25">
        <w:rPr>
          <w:rFonts w:ascii="Times New Roman" w:hAnsi="Times New Roman"/>
          <w:i/>
        </w:rPr>
        <w:t xml:space="preserve">, </w:t>
      </w:r>
      <w:proofErr w:type="spellStart"/>
      <w:r w:rsidR="00C16A25" w:rsidRPr="00474C94">
        <w:rPr>
          <w:rFonts w:ascii="Times New Roman" w:hAnsi="Times New Roman"/>
          <w:i/>
        </w:rPr>
        <w:t>Vertis</w:t>
      </w:r>
      <w:proofErr w:type="spellEnd"/>
      <w:r w:rsidR="00C16A25">
        <w:rPr>
          <w:rFonts w:ascii="Times New Roman" w:hAnsi="Times New Roman"/>
          <w:i/>
        </w:rPr>
        <w:t xml:space="preserve">, </w:t>
      </w:r>
      <w:proofErr w:type="spellStart"/>
      <w:r w:rsidR="00C16A25">
        <w:rPr>
          <w:rFonts w:ascii="Times New Roman" w:hAnsi="Times New Roman"/>
          <w:i/>
        </w:rPr>
        <w:t>Wattsight</w:t>
      </w:r>
      <w:proofErr w:type="spellEnd"/>
      <w:r w:rsidR="00C16A25" w:rsidRPr="00830EA4">
        <w:rPr>
          <w:rFonts w:ascii="Times New Roman" w:hAnsi="Times New Roman"/>
        </w:rPr>
        <w:t xml:space="preserve"> (publicēts </w:t>
      </w:r>
      <w:r w:rsidR="00CD6EFF">
        <w:rPr>
          <w:rFonts w:ascii="Times New Roman" w:hAnsi="Times New Roman"/>
        </w:rPr>
        <w:t>06</w:t>
      </w:r>
      <w:r w:rsidR="00C16A25" w:rsidRPr="00830EA4">
        <w:rPr>
          <w:rFonts w:ascii="Times New Roman" w:hAnsi="Times New Roman"/>
        </w:rPr>
        <w:t>.</w:t>
      </w:r>
      <w:r w:rsidR="00CD6EFF">
        <w:rPr>
          <w:rFonts w:ascii="Times New Roman" w:hAnsi="Times New Roman"/>
        </w:rPr>
        <w:t>1</w:t>
      </w:r>
      <w:r w:rsidR="00C16A25" w:rsidRPr="00830EA4">
        <w:rPr>
          <w:rFonts w:ascii="Times New Roman" w:hAnsi="Times New Roman"/>
        </w:rPr>
        <w:t>0.20</w:t>
      </w:r>
      <w:r w:rsidR="00CD6EFF">
        <w:rPr>
          <w:rFonts w:ascii="Times New Roman" w:hAnsi="Times New Roman"/>
        </w:rPr>
        <w:t>20</w:t>
      </w:r>
      <w:r w:rsidR="00C16A25" w:rsidRPr="00830EA4">
        <w:rPr>
          <w:rFonts w:ascii="Times New Roman" w:hAnsi="Times New Roman"/>
        </w:rPr>
        <w:t xml:space="preserve"> </w:t>
      </w:r>
      <w:hyperlink w:history="1"/>
      <w:r w:rsidR="00CD6EFF">
        <w:rPr>
          <w:rStyle w:val="Hyperlink"/>
          <w:rFonts w:ascii="Times New Roman" w:hAnsi="Times New Roman"/>
        </w:rPr>
        <w:t xml:space="preserve"> </w:t>
      </w:r>
      <w:r w:rsidR="00CD6EFF" w:rsidRPr="00CD6EFF">
        <w:rPr>
          <w:rStyle w:val="Hyperlink"/>
          <w:rFonts w:ascii="Times New Roman" w:hAnsi="Times New Roman"/>
        </w:rPr>
        <w:t>https://carbon-pulse.com/111076/</w:t>
      </w:r>
      <w:r w:rsidR="00C16A25">
        <w:rPr>
          <w:rFonts w:ascii="Times New Roman" w:hAnsi="Times New Roman"/>
        </w:rPr>
        <w:t>)</w:t>
      </w:r>
      <w:r w:rsidRPr="003B425E">
        <w:rPr>
          <w:rFonts w:ascii="Times New Roman" w:hAnsi="Times New Roman" w:cs="Times New Roman"/>
        </w:rPr>
        <w:t>)</w:t>
      </w:r>
    </w:p>
  </w:footnote>
  <w:footnote w:id="22">
    <w:p w14:paraId="017B4799" w14:textId="7EAECF98" w:rsidR="0046134D" w:rsidRPr="002366B5" w:rsidRDefault="0046134D" w:rsidP="00C16A25">
      <w:pPr>
        <w:pStyle w:val="FootnoteText"/>
        <w:rPr>
          <w:rFonts w:ascii="Times New Roman" w:hAnsi="Times New Roman" w:cs="Times New Roman"/>
        </w:rPr>
      </w:pPr>
      <w:r w:rsidRPr="002366B5">
        <w:rPr>
          <w:rStyle w:val="FootnoteReference"/>
          <w:rFonts w:ascii="Times New Roman" w:hAnsi="Times New Roman" w:cs="Times New Roman"/>
        </w:rPr>
        <w:footnoteRef/>
      </w:r>
      <w:r w:rsidRPr="002366B5">
        <w:rPr>
          <w:rFonts w:ascii="Times New Roman" w:hAnsi="Times New Roman" w:cs="Times New Roman"/>
        </w:rPr>
        <w:t xml:space="preserve"> </w:t>
      </w:r>
      <w:r>
        <w:rPr>
          <w:rFonts w:ascii="Times New Roman" w:hAnsi="Times New Roman" w:cs="Times New Roman"/>
        </w:rPr>
        <w:t xml:space="preserve">Saskaņā ar šī ziņojuma </w:t>
      </w:r>
      <w:r w:rsidR="00BB0CAC">
        <w:rPr>
          <w:rFonts w:ascii="Times New Roman" w:hAnsi="Times New Roman" w:cs="Times New Roman"/>
        </w:rPr>
        <w:t>19</w:t>
      </w:r>
      <w:r>
        <w:rPr>
          <w:rFonts w:ascii="Times New Roman" w:hAnsi="Times New Roman" w:cs="Times New Roman"/>
        </w:rPr>
        <w:t>. zemsvītras piezīmē minēto p</w:t>
      </w:r>
      <w:r w:rsidRPr="002366B5">
        <w:rPr>
          <w:rFonts w:ascii="Times New Roman" w:hAnsi="Times New Roman" w:cs="Times New Roman"/>
        </w:rPr>
        <w:t xml:space="preserve">otenciāli finansējums </w:t>
      </w:r>
      <w:r>
        <w:rPr>
          <w:rFonts w:ascii="Times New Roman" w:hAnsi="Times New Roman" w:cs="Times New Roman"/>
        </w:rPr>
        <w:t>atbilstoši samazināsies</w:t>
      </w:r>
      <w:r w:rsidR="00AE05C7">
        <w:rPr>
          <w:rFonts w:ascii="Times New Roman" w:hAnsi="Times New Roman" w:cs="Times New Roman"/>
        </w:rPr>
        <w:t>;</w:t>
      </w:r>
    </w:p>
  </w:footnote>
  <w:footnote w:id="23">
    <w:p w14:paraId="76DE46FD" w14:textId="3FA9C4AD" w:rsidR="0046134D" w:rsidRPr="0098642F" w:rsidRDefault="0046134D" w:rsidP="00C16A25">
      <w:pPr>
        <w:pStyle w:val="FootnoteText"/>
        <w:rPr>
          <w:rFonts w:ascii="Times New Roman" w:hAnsi="Times New Roman" w:cs="Times New Roman"/>
        </w:rPr>
      </w:pPr>
      <w:r w:rsidRPr="0098642F">
        <w:rPr>
          <w:rStyle w:val="FootnoteReference"/>
          <w:rFonts w:ascii="Times New Roman" w:hAnsi="Times New Roman" w:cs="Times New Roman"/>
        </w:rPr>
        <w:footnoteRef/>
      </w:r>
      <w:r>
        <w:rPr>
          <w:rFonts w:ascii="Times New Roman" w:hAnsi="Times New Roman" w:cs="Times New Roman"/>
        </w:rPr>
        <w:t> </w:t>
      </w:r>
      <w:r w:rsidRPr="0098642F">
        <w:rPr>
          <w:rFonts w:ascii="Times New Roman" w:hAnsi="Times New Roman" w:cs="Times New Roman"/>
        </w:rPr>
        <w:t>Ar šo Direktīvas punktu tiek noteikts kopējais dalībvalstīm izsolāmais emisiju kvotu pamatapjoms</w:t>
      </w:r>
      <w:r>
        <w:rPr>
          <w:rFonts w:ascii="Times New Roman" w:hAnsi="Times New Roman" w:cs="Times New Roman"/>
        </w:rPr>
        <w:t>;</w:t>
      </w:r>
    </w:p>
  </w:footnote>
  <w:footnote w:id="24">
    <w:p w14:paraId="4DB19F5D" w14:textId="135EED16" w:rsidR="0046134D" w:rsidRDefault="0046134D" w:rsidP="00DD4D69">
      <w:pPr>
        <w:pStyle w:val="FootnoteText"/>
      </w:pPr>
      <w:r>
        <w:rPr>
          <w:rStyle w:val="FootnoteReference"/>
        </w:rPr>
        <w:footnoteRef/>
      </w:r>
      <w:r>
        <w:t xml:space="preserve"> </w:t>
      </w:r>
      <w:r>
        <w:rPr>
          <w:rFonts w:ascii="Times New Roman" w:hAnsi="Times New Roman" w:cs="Times New Roman"/>
        </w:rPr>
        <w:t xml:space="preserve">Saskaņā ar šī ziņojuma </w:t>
      </w:r>
      <w:r w:rsidR="00BB0CAC" w:rsidRPr="00C24B11">
        <w:rPr>
          <w:rFonts w:ascii="Times New Roman" w:hAnsi="Times New Roman" w:cs="Times New Roman"/>
        </w:rPr>
        <w:t>19</w:t>
      </w:r>
      <w:r w:rsidRPr="00C24B11">
        <w:rPr>
          <w:rFonts w:ascii="Times New Roman" w:hAnsi="Times New Roman" w:cs="Times New Roman"/>
        </w:rPr>
        <w:t>.</w:t>
      </w:r>
      <w:r>
        <w:rPr>
          <w:rFonts w:ascii="Times New Roman" w:hAnsi="Times New Roman" w:cs="Times New Roman"/>
        </w:rPr>
        <w:t xml:space="preserve"> zemsvītras piezīmē minēto, p</w:t>
      </w:r>
      <w:r w:rsidRPr="00AA327B">
        <w:rPr>
          <w:rFonts w:ascii="Times New Roman" w:hAnsi="Times New Roman" w:cs="Times New Roman"/>
        </w:rPr>
        <w:t xml:space="preserve">otenciāli </w:t>
      </w:r>
      <w:r>
        <w:rPr>
          <w:rFonts w:ascii="Times New Roman" w:hAnsi="Times New Roman" w:cs="Times New Roman"/>
        </w:rPr>
        <w:t>šis apjoms samazināsies;</w:t>
      </w:r>
    </w:p>
  </w:footnote>
  <w:footnote w:id="25">
    <w:p w14:paraId="3C395F2D" w14:textId="6EEAF91C" w:rsidR="0046134D" w:rsidRPr="00E25EF5" w:rsidRDefault="0046134D">
      <w:pPr>
        <w:pStyle w:val="FootnoteText"/>
        <w:rPr>
          <w:rFonts w:ascii="Times New Roman" w:hAnsi="Times New Roman" w:cs="Times New Roman"/>
        </w:rPr>
      </w:pPr>
      <w:r w:rsidRPr="00E25EF5">
        <w:rPr>
          <w:rStyle w:val="FootnoteReference"/>
          <w:rFonts w:ascii="Times New Roman" w:hAnsi="Times New Roman" w:cs="Times New Roman"/>
        </w:rPr>
        <w:footnoteRef/>
      </w:r>
      <w:r>
        <w:rPr>
          <w:rFonts w:ascii="Times New Roman" w:hAnsi="Times New Roman" w:cs="Times New Roman"/>
        </w:rPr>
        <w:t> </w:t>
      </w:r>
      <w:r w:rsidRPr="0098642F">
        <w:rPr>
          <w:rFonts w:ascii="Times New Roman" w:hAnsi="Times New Roman" w:cs="Times New Roman"/>
        </w:rPr>
        <w:t>Emisijas kvotas, kas piešķirtas saskaņā ar Direktīvas 2003/87/EK 10. panta 2.punkta a) apakšpunktu visām ETS dalībvalstīm</w:t>
      </w:r>
      <w:r>
        <w:rPr>
          <w:rFonts w:ascii="Times New Roman" w:hAnsi="Times New Roman" w:cs="Times New Roman"/>
        </w:rPr>
        <w:t>;</w:t>
      </w:r>
    </w:p>
  </w:footnote>
  <w:footnote w:id="26">
    <w:p w14:paraId="0005211C" w14:textId="5D2F6811" w:rsidR="0046134D" w:rsidRPr="0098642F" w:rsidRDefault="0046134D" w:rsidP="0083403E">
      <w:pPr>
        <w:pStyle w:val="FootnoteText"/>
        <w:rPr>
          <w:rFonts w:ascii="Times New Roman" w:hAnsi="Times New Roman" w:cs="Times New Roman"/>
        </w:rPr>
      </w:pPr>
      <w:r w:rsidRPr="0098642F">
        <w:rPr>
          <w:rStyle w:val="FootnoteReference"/>
          <w:rFonts w:ascii="Times New Roman" w:hAnsi="Times New Roman" w:cs="Times New Roman"/>
        </w:rPr>
        <w:footnoteRef/>
      </w:r>
      <w:r>
        <w:rPr>
          <w:rFonts w:ascii="Times New Roman" w:hAnsi="Times New Roman" w:cs="Times New Roman"/>
        </w:rPr>
        <w:t> </w:t>
      </w:r>
      <w:r w:rsidRPr="0098642F">
        <w:rPr>
          <w:rFonts w:ascii="Times New Roman" w:hAnsi="Times New Roman" w:cs="Times New Roman"/>
        </w:rPr>
        <w:t>Emisijas kvotas, kas piešķirtas saskaņā ar Direktīvas 2003/87/EK 10. panta 2.punkta b) apakšpunktu. Tās tiks piešķirtas tikai 16 ES dalībvalstīm, t.sk. Latvijai</w:t>
      </w:r>
      <w:r>
        <w:rPr>
          <w:rFonts w:ascii="Times New Roman" w:hAnsi="Times New Roman" w:cs="Times New Roman"/>
        </w:rPr>
        <w:t>;</w:t>
      </w:r>
    </w:p>
  </w:footnote>
  <w:footnote w:id="27">
    <w:p w14:paraId="04AEA87B" w14:textId="3BBA2A00" w:rsidR="0046134D" w:rsidRDefault="0046134D">
      <w:pPr>
        <w:pStyle w:val="FootnoteText"/>
      </w:pPr>
      <w:r>
        <w:rPr>
          <w:rStyle w:val="FootnoteReference"/>
        </w:rPr>
        <w:footnoteRef/>
      </w:r>
      <w:r>
        <w:t xml:space="preserve"> </w:t>
      </w:r>
      <w:r>
        <w:rPr>
          <w:rFonts w:ascii="Times New Roman" w:hAnsi="Times New Roman" w:cs="Times New Roman"/>
        </w:rPr>
        <w:t xml:space="preserve">Saskaņā ar šī ziņojuma </w:t>
      </w:r>
      <w:r w:rsidR="004E30CD" w:rsidRPr="00C24B11">
        <w:rPr>
          <w:rFonts w:ascii="Times New Roman" w:hAnsi="Times New Roman" w:cs="Times New Roman"/>
        </w:rPr>
        <w:t>19</w:t>
      </w:r>
      <w:r w:rsidRPr="00F70410">
        <w:rPr>
          <w:rFonts w:ascii="Times New Roman" w:hAnsi="Times New Roman" w:cs="Times New Roman"/>
        </w:rPr>
        <w:t>.</w:t>
      </w:r>
      <w:r>
        <w:rPr>
          <w:rFonts w:ascii="Times New Roman" w:hAnsi="Times New Roman" w:cs="Times New Roman"/>
        </w:rPr>
        <w:t xml:space="preserve"> zemsvītras piezīmē minēto, p</w:t>
      </w:r>
      <w:r w:rsidRPr="00AA327B">
        <w:rPr>
          <w:rFonts w:ascii="Times New Roman" w:hAnsi="Times New Roman" w:cs="Times New Roman"/>
        </w:rPr>
        <w:t xml:space="preserve">otenciāli </w:t>
      </w:r>
      <w:r>
        <w:rPr>
          <w:rFonts w:ascii="Times New Roman" w:hAnsi="Times New Roman" w:cs="Times New Roman"/>
        </w:rPr>
        <w:t>šis apjoms samazināsies;</w:t>
      </w:r>
    </w:p>
  </w:footnote>
  <w:footnote w:id="28">
    <w:p w14:paraId="250EDC53" w14:textId="63DB8338" w:rsidR="00023462" w:rsidRPr="00AB79D0" w:rsidRDefault="00023462">
      <w:pPr>
        <w:pStyle w:val="FootnoteText"/>
        <w:rPr>
          <w:rFonts w:ascii="Times New Roman" w:hAnsi="Times New Roman" w:cs="Times New Roman"/>
        </w:rPr>
      </w:pPr>
      <w:r w:rsidRPr="00AB79D0">
        <w:rPr>
          <w:rStyle w:val="FootnoteReference"/>
          <w:rFonts w:ascii="Times New Roman" w:hAnsi="Times New Roman" w:cs="Times New Roman"/>
        </w:rPr>
        <w:footnoteRef/>
      </w:r>
      <w:r w:rsidRPr="00AB79D0">
        <w:rPr>
          <w:rFonts w:ascii="Times New Roman" w:hAnsi="Times New Roman" w:cs="Times New Roman"/>
        </w:rPr>
        <w:t xml:space="preserve"> </w:t>
      </w:r>
      <w:r w:rsidR="00E2125E" w:rsidRPr="00AB79D0">
        <w:rPr>
          <w:rFonts w:ascii="Times New Roman" w:hAnsi="Times New Roman" w:cs="Times New Roman"/>
        </w:rPr>
        <w:t xml:space="preserve">Emisijas kvotu apjomi </w:t>
      </w:r>
      <w:r w:rsidR="003B482B">
        <w:rPr>
          <w:rFonts w:ascii="Times New Roman" w:hAnsi="Times New Roman" w:cs="Times New Roman"/>
        </w:rPr>
        <w:t xml:space="preserve">aprēķināti izmantojot </w:t>
      </w:r>
      <w:r w:rsidR="004066E8">
        <w:rPr>
          <w:rFonts w:ascii="Times New Roman" w:hAnsi="Times New Roman" w:cs="Times New Roman"/>
        </w:rPr>
        <w:t>uz info</w:t>
      </w:r>
      <w:r w:rsidR="0091605C">
        <w:rPr>
          <w:rFonts w:ascii="Times New Roman" w:hAnsi="Times New Roman" w:cs="Times New Roman"/>
        </w:rPr>
        <w:t xml:space="preserve">rmatīvā </w:t>
      </w:r>
      <w:r w:rsidR="004066E8">
        <w:rPr>
          <w:rFonts w:ascii="Times New Roman" w:hAnsi="Times New Roman" w:cs="Times New Roman"/>
        </w:rPr>
        <w:t xml:space="preserve">ziņojuma </w:t>
      </w:r>
      <w:r w:rsidR="00E2125E" w:rsidRPr="00AB79D0">
        <w:rPr>
          <w:rFonts w:ascii="Times New Roman" w:hAnsi="Times New Roman" w:cs="Times New Roman"/>
        </w:rPr>
        <w:t>spēkā esoš</w:t>
      </w:r>
      <w:r w:rsidR="003B482B">
        <w:rPr>
          <w:rFonts w:ascii="Times New Roman" w:hAnsi="Times New Roman" w:cs="Times New Roman"/>
        </w:rPr>
        <w:t>o</w:t>
      </w:r>
      <w:r w:rsidR="00E2125E" w:rsidRPr="00AB79D0">
        <w:rPr>
          <w:rFonts w:ascii="Times New Roman" w:hAnsi="Times New Roman" w:cs="Times New Roman"/>
        </w:rPr>
        <w:t xml:space="preserve"> emisijas kvotu kopapjom</w:t>
      </w:r>
      <w:r w:rsidR="00874F8A">
        <w:rPr>
          <w:rFonts w:ascii="Times New Roman" w:hAnsi="Times New Roman" w:cs="Times New Roman"/>
        </w:rPr>
        <w:t>u</w:t>
      </w:r>
      <w:r w:rsidR="00E2125E" w:rsidRPr="00AB79D0">
        <w:rPr>
          <w:rFonts w:ascii="Times New Roman" w:hAnsi="Times New Roman" w:cs="Times New Roman"/>
        </w:rPr>
        <w:t xml:space="preserve"> “</w:t>
      </w:r>
      <w:proofErr w:type="spellStart"/>
      <w:r w:rsidR="00E2125E" w:rsidRPr="00AB79D0">
        <w:rPr>
          <w:rFonts w:ascii="Times New Roman" w:hAnsi="Times New Roman" w:cs="Times New Roman"/>
        </w:rPr>
        <w:t>cap</w:t>
      </w:r>
      <w:proofErr w:type="spellEnd"/>
      <w:r w:rsidR="00E2125E" w:rsidRPr="00AB79D0">
        <w:rPr>
          <w:rFonts w:ascii="Times New Roman" w:hAnsi="Times New Roman" w:cs="Times New Roman"/>
        </w:rPr>
        <w:t>”</w:t>
      </w:r>
      <w:r w:rsidR="0022260D" w:rsidRPr="00AB79D0">
        <w:rPr>
          <w:rFonts w:ascii="Times New Roman" w:hAnsi="Times New Roman" w:cs="Times New Roman"/>
        </w:rPr>
        <w:t>.</w:t>
      </w:r>
    </w:p>
  </w:footnote>
  <w:footnote w:id="29">
    <w:p w14:paraId="7E5CFFFB" w14:textId="3296C578" w:rsidR="0046134D" w:rsidRPr="0098642F" w:rsidRDefault="0046134D" w:rsidP="00395AE3">
      <w:pPr>
        <w:pStyle w:val="FootnoteText"/>
        <w:rPr>
          <w:rFonts w:ascii="Times New Roman" w:hAnsi="Times New Roman" w:cs="Times New Roman"/>
        </w:rPr>
      </w:pPr>
      <w:r w:rsidRPr="00DC6DE7">
        <w:rPr>
          <w:rStyle w:val="FootnoteReference"/>
          <w:rFonts w:ascii="Times New Roman" w:hAnsi="Times New Roman" w:cs="Times New Roman"/>
        </w:rPr>
        <w:footnoteRef/>
      </w:r>
      <w:r>
        <w:rPr>
          <w:rFonts w:ascii="Times New Roman" w:hAnsi="Times New Roman" w:cs="Times New Roman"/>
        </w:rPr>
        <w:t> </w:t>
      </w:r>
      <w:r w:rsidRPr="0098642F">
        <w:rPr>
          <w:rFonts w:ascii="Times New Roman" w:eastAsia="Arial Unicode MS" w:hAnsi="Times New Roman" w:cs="Times New Roman"/>
          <w:shd w:val="clear" w:color="auto" w:fill="FFFFFF"/>
        </w:rPr>
        <w:t>Neņemot vērā potenciālo tirgus stabilitātes rezerves ietekmi</w:t>
      </w:r>
      <w:r>
        <w:rPr>
          <w:rFonts w:ascii="Times New Roman" w:eastAsia="Arial Unicode MS" w:hAnsi="Times New Roman" w:cs="Times New Roman"/>
          <w:shd w:val="clear" w:color="auto" w:fill="FFFFFF"/>
        </w:rPr>
        <w:t xml:space="preserve"> un arī s</w:t>
      </w:r>
      <w:r>
        <w:rPr>
          <w:rFonts w:ascii="Times New Roman" w:hAnsi="Times New Roman" w:cs="Times New Roman"/>
        </w:rPr>
        <w:t xml:space="preserve">askaņā ar šī ziņojuma </w:t>
      </w:r>
      <w:r w:rsidR="00AA50C2">
        <w:rPr>
          <w:rFonts w:ascii="Times New Roman" w:hAnsi="Times New Roman" w:cs="Times New Roman"/>
        </w:rPr>
        <w:t>19</w:t>
      </w:r>
      <w:r>
        <w:rPr>
          <w:rFonts w:ascii="Times New Roman" w:hAnsi="Times New Roman" w:cs="Times New Roman"/>
        </w:rPr>
        <w:t>. zemsvītras piezīmē minēto, p</w:t>
      </w:r>
      <w:r w:rsidRPr="00AA327B">
        <w:rPr>
          <w:rFonts w:ascii="Times New Roman" w:hAnsi="Times New Roman" w:cs="Times New Roman"/>
        </w:rPr>
        <w:t xml:space="preserve">otenciāli </w:t>
      </w:r>
      <w:r>
        <w:rPr>
          <w:rFonts w:ascii="Times New Roman" w:hAnsi="Times New Roman" w:cs="Times New Roman"/>
        </w:rPr>
        <w:t xml:space="preserve">šis apjoms </w:t>
      </w:r>
      <w:r w:rsidR="004754B3">
        <w:rPr>
          <w:rFonts w:ascii="Times New Roman" w:hAnsi="Times New Roman" w:cs="Times New Roman"/>
        </w:rPr>
        <w:t>samazinā</w:t>
      </w:r>
      <w:r w:rsidR="00AA50C2">
        <w:rPr>
          <w:rFonts w:ascii="Times New Roman" w:hAnsi="Times New Roman" w:cs="Times New Roman"/>
        </w:rPr>
        <w:t>sies</w:t>
      </w:r>
      <w:r w:rsidR="004754B3">
        <w:rPr>
          <w:rFonts w:ascii="Times New Roman" w:hAnsi="Times New Roman" w:cs="Times New Roman"/>
        </w:rPr>
        <w:t xml:space="preserve"> attiecībā uz korekciju solidaritātes emisijas kvotu apjomā</w:t>
      </w:r>
      <w:r w:rsidR="00587A53">
        <w:rPr>
          <w:rFonts w:ascii="Times New Roman" w:hAnsi="Times New Roman" w:cs="Times New Roman"/>
        </w:rPr>
        <w:t>, bet kopējā līknes tendence saglabāsies</w:t>
      </w:r>
      <w:r>
        <w:rPr>
          <w:rFonts w:ascii="Times New Roman" w:eastAsia="Arial Unicode MS" w:hAnsi="Times New Roman" w:cs="Times New Roman"/>
          <w:shd w:val="clear" w:color="auto" w:fill="FFFFFF"/>
        </w:rPr>
        <w:t>;</w:t>
      </w:r>
    </w:p>
  </w:footnote>
  <w:footnote w:id="30">
    <w:p w14:paraId="50D533DF" w14:textId="4A1C8787" w:rsidR="0046134D" w:rsidRPr="0098642F" w:rsidRDefault="0046134D" w:rsidP="00395AE3">
      <w:pPr>
        <w:pStyle w:val="FootnoteText"/>
        <w:rPr>
          <w:rFonts w:ascii="Times New Roman" w:hAnsi="Times New Roman" w:cs="Times New Roman"/>
        </w:rPr>
      </w:pPr>
      <w:r w:rsidRPr="0098642F">
        <w:rPr>
          <w:rStyle w:val="FootnoteReference"/>
          <w:rFonts w:ascii="Times New Roman" w:hAnsi="Times New Roman" w:cs="Times New Roman"/>
        </w:rPr>
        <w:footnoteRef/>
      </w:r>
      <w:r>
        <w:rPr>
          <w:rFonts w:ascii="Times New Roman" w:hAnsi="Times New Roman" w:cs="Times New Roman"/>
        </w:rPr>
        <w:t> </w:t>
      </w:r>
      <w:r w:rsidRPr="0098642F">
        <w:rPr>
          <w:rFonts w:ascii="Times New Roman" w:hAnsi="Times New Roman" w:cs="Times New Roman"/>
        </w:rPr>
        <w:t xml:space="preserve">Izveidota ar </w:t>
      </w:r>
      <w:r w:rsidR="00011BD1">
        <w:rPr>
          <w:rFonts w:ascii="Times New Roman" w:hAnsi="Times New Roman" w:cs="Times New Roman"/>
        </w:rPr>
        <w:t>2015.</w:t>
      </w:r>
      <w:r w:rsidR="0075563E">
        <w:rPr>
          <w:rFonts w:ascii="Times New Roman" w:hAnsi="Times New Roman" w:cs="Times New Roman"/>
        </w:rPr>
        <w:t> </w:t>
      </w:r>
      <w:r w:rsidR="00011BD1">
        <w:rPr>
          <w:rFonts w:ascii="Times New Roman" w:hAnsi="Times New Roman" w:cs="Times New Roman"/>
        </w:rPr>
        <w:t>gada 6.</w:t>
      </w:r>
      <w:r w:rsidR="0075563E">
        <w:rPr>
          <w:rFonts w:ascii="Times New Roman" w:hAnsi="Times New Roman" w:cs="Times New Roman"/>
        </w:rPr>
        <w:t> </w:t>
      </w:r>
      <w:r w:rsidR="00011BD1">
        <w:rPr>
          <w:rFonts w:ascii="Times New Roman" w:hAnsi="Times New Roman" w:cs="Times New Roman"/>
        </w:rPr>
        <w:t xml:space="preserve">oktobra </w:t>
      </w:r>
      <w:r w:rsidRPr="0098642F">
        <w:rPr>
          <w:rFonts w:ascii="Times New Roman" w:hAnsi="Times New Roman" w:cs="Times New Roman"/>
        </w:rPr>
        <w:t xml:space="preserve">Eiropas Parlamenta un Padomes Lēmumu (ES) </w:t>
      </w:r>
      <w:r w:rsidR="0075563E">
        <w:rPr>
          <w:rFonts w:ascii="Times New Roman" w:hAnsi="Times New Roman" w:cs="Times New Roman"/>
        </w:rPr>
        <w:t>Nr. </w:t>
      </w:r>
      <w:r w:rsidRPr="0098642F">
        <w:rPr>
          <w:rFonts w:ascii="Times New Roman" w:hAnsi="Times New Roman" w:cs="Times New Roman"/>
        </w:rPr>
        <w:t>2015/1814 par Savienības siltumnīcefekta gāzu emisijas kvotu tirdzniecības sistēmas tirgus stabilitātes rezerves izveidi un darbību un ar ko groza Direktīvu 2003/87/EK</w:t>
      </w:r>
      <w:r>
        <w:rPr>
          <w:rFonts w:ascii="Times New Roman" w:hAnsi="Times New Roman" w:cs="Times New Roman"/>
        </w:rPr>
        <w:t>;</w:t>
      </w:r>
    </w:p>
  </w:footnote>
  <w:footnote w:id="31">
    <w:p w14:paraId="56FFA637" w14:textId="6E2F7818" w:rsidR="00491A43" w:rsidRDefault="00491A43" w:rsidP="00491A43">
      <w:pPr>
        <w:pStyle w:val="FootnoteText"/>
      </w:pPr>
      <w:r>
        <w:rPr>
          <w:rStyle w:val="FootnoteReference"/>
        </w:rPr>
        <w:footnoteRef/>
      </w:r>
      <w:r>
        <w:t xml:space="preserve"> </w:t>
      </w:r>
      <w:r w:rsidR="00076994">
        <w:rPr>
          <w:rFonts w:ascii="Times New Roman" w:hAnsi="Times New Roman"/>
          <w:i/>
        </w:rPr>
        <w:t xml:space="preserve">BNEF, </w:t>
      </w:r>
      <w:proofErr w:type="spellStart"/>
      <w:r w:rsidR="00076994" w:rsidRPr="00474C94">
        <w:rPr>
          <w:rFonts w:ascii="Times New Roman" w:hAnsi="Times New Roman"/>
          <w:i/>
        </w:rPr>
        <w:t>Clearblue</w:t>
      </w:r>
      <w:proofErr w:type="spellEnd"/>
      <w:r w:rsidR="00076994" w:rsidRPr="00474C94">
        <w:rPr>
          <w:rFonts w:ascii="Times New Roman" w:hAnsi="Times New Roman"/>
          <w:i/>
        </w:rPr>
        <w:t xml:space="preserve">, </w:t>
      </w:r>
      <w:r w:rsidR="00076994">
        <w:rPr>
          <w:rFonts w:ascii="Times New Roman" w:hAnsi="Times New Roman"/>
          <w:i/>
        </w:rPr>
        <w:t xml:space="preserve">Commerzbank, Danske </w:t>
      </w:r>
      <w:proofErr w:type="spellStart"/>
      <w:r w:rsidR="00076994">
        <w:rPr>
          <w:rFonts w:ascii="Times New Roman" w:hAnsi="Times New Roman"/>
          <w:i/>
        </w:rPr>
        <w:t>C</w:t>
      </w:r>
      <w:r w:rsidR="00445649">
        <w:rPr>
          <w:rFonts w:ascii="Times New Roman" w:hAnsi="Times New Roman"/>
          <w:i/>
        </w:rPr>
        <w:t>o</w:t>
      </w:r>
      <w:r w:rsidR="00076994">
        <w:rPr>
          <w:rFonts w:ascii="Times New Roman" w:hAnsi="Times New Roman"/>
          <w:i/>
        </w:rPr>
        <w:t>mmods</w:t>
      </w:r>
      <w:proofErr w:type="spellEnd"/>
      <w:r w:rsidR="00076994" w:rsidRPr="00474C94">
        <w:rPr>
          <w:rFonts w:ascii="Times New Roman" w:hAnsi="Times New Roman"/>
          <w:i/>
        </w:rPr>
        <w:t xml:space="preserve">, </w:t>
      </w:r>
      <w:proofErr w:type="spellStart"/>
      <w:r w:rsidR="00076994" w:rsidRPr="00474C94">
        <w:rPr>
          <w:rFonts w:ascii="Times New Roman" w:hAnsi="Times New Roman"/>
          <w:i/>
        </w:rPr>
        <w:t>Energy</w:t>
      </w:r>
      <w:proofErr w:type="spellEnd"/>
      <w:r w:rsidR="00076994" w:rsidRPr="00474C94">
        <w:rPr>
          <w:rFonts w:ascii="Times New Roman" w:hAnsi="Times New Roman"/>
          <w:i/>
        </w:rPr>
        <w:t xml:space="preserve"> </w:t>
      </w:r>
      <w:proofErr w:type="spellStart"/>
      <w:r w:rsidR="00076994" w:rsidRPr="00474C94">
        <w:rPr>
          <w:rFonts w:ascii="Times New Roman" w:hAnsi="Times New Roman"/>
          <w:i/>
        </w:rPr>
        <w:t>Aspects</w:t>
      </w:r>
      <w:proofErr w:type="spellEnd"/>
      <w:r w:rsidR="00076994" w:rsidRPr="00474C94">
        <w:rPr>
          <w:rFonts w:ascii="Times New Roman" w:hAnsi="Times New Roman"/>
          <w:i/>
        </w:rPr>
        <w:t xml:space="preserve">, </w:t>
      </w:r>
      <w:r w:rsidR="00076994">
        <w:rPr>
          <w:rFonts w:ascii="Times New Roman" w:hAnsi="Times New Roman"/>
          <w:i/>
        </w:rPr>
        <w:t xml:space="preserve">IHS </w:t>
      </w:r>
      <w:proofErr w:type="spellStart"/>
      <w:r w:rsidR="00076994">
        <w:rPr>
          <w:rFonts w:ascii="Times New Roman" w:hAnsi="Times New Roman"/>
          <w:i/>
        </w:rPr>
        <w:t>Markit</w:t>
      </w:r>
      <w:proofErr w:type="spellEnd"/>
      <w:r w:rsidR="00076994">
        <w:rPr>
          <w:rFonts w:ascii="Times New Roman" w:hAnsi="Times New Roman"/>
          <w:i/>
        </w:rPr>
        <w:t xml:space="preserve">, </w:t>
      </w:r>
      <w:proofErr w:type="spellStart"/>
      <w:r w:rsidR="00076994">
        <w:rPr>
          <w:rFonts w:ascii="Times New Roman" w:hAnsi="Times New Roman"/>
          <w:i/>
        </w:rPr>
        <w:t>Macquarie</w:t>
      </w:r>
      <w:proofErr w:type="spellEnd"/>
      <w:r w:rsidR="00076994" w:rsidRPr="00474C94">
        <w:rPr>
          <w:rFonts w:ascii="Times New Roman" w:hAnsi="Times New Roman"/>
          <w:i/>
        </w:rPr>
        <w:t xml:space="preserve">, </w:t>
      </w:r>
      <w:proofErr w:type="spellStart"/>
      <w:r w:rsidR="00076994" w:rsidRPr="00474C94">
        <w:rPr>
          <w:rFonts w:ascii="Times New Roman" w:hAnsi="Times New Roman"/>
          <w:i/>
        </w:rPr>
        <w:t>Refinitiv</w:t>
      </w:r>
      <w:proofErr w:type="spellEnd"/>
      <w:r w:rsidR="00076994" w:rsidRPr="00474C94">
        <w:rPr>
          <w:rFonts w:ascii="Times New Roman" w:hAnsi="Times New Roman"/>
          <w:i/>
        </w:rPr>
        <w:t xml:space="preserve">, </w:t>
      </w:r>
      <w:proofErr w:type="spellStart"/>
      <w:r w:rsidR="00076994">
        <w:rPr>
          <w:rFonts w:ascii="Times New Roman" w:hAnsi="Times New Roman"/>
          <w:i/>
        </w:rPr>
        <w:t>SocGen</w:t>
      </w:r>
      <w:proofErr w:type="spellEnd"/>
      <w:r w:rsidR="00076994">
        <w:rPr>
          <w:rFonts w:ascii="Times New Roman" w:hAnsi="Times New Roman"/>
          <w:i/>
        </w:rPr>
        <w:t xml:space="preserve">, </w:t>
      </w:r>
      <w:proofErr w:type="spellStart"/>
      <w:r w:rsidR="00076994" w:rsidRPr="00474C94">
        <w:rPr>
          <w:rFonts w:ascii="Times New Roman" w:hAnsi="Times New Roman"/>
          <w:i/>
        </w:rPr>
        <w:t>Vertis</w:t>
      </w:r>
      <w:proofErr w:type="spellEnd"/>
      <w:r w:rsidR="00076994">
        <w:rPr>
          <w:rFonts w:ascii="Times New Roman" w:hAnsi="Times New Roman"/>
          <w:i/>
        </w:rPr>
        <w:t xml:space="preserve">, </w:t>
      </w:r>
      <w:proofErr w:type="spellStart"/>
      <w:r w:rsidR="00076994">
        <w:rPr>
          <w:rFonts w:ascii="Times New Roman" w:hAnsi="Times New Roman"/>
          <w:i/>
        </w:rPr>
        <w:t>Wattsight</w:t>
      </w:r>
      <w:proofErr w:type="spellEnd"/>
      <w:r w:rsidR="00076994" w:rsidRPr="00830EA4">
        <w:rPr>
          <w:rFonts w:ascii="Times New Roman" w:hAnsi="Times New Roman"/>
        </w:rPr>
        <w:t xml:space="preserve"> (publicēts </w:t>
      </w:r>
      <w:r w:rsidR="00076994">
        <w:rPr>
          <w:rFonts w:ascii="Times New Roman" w:hAnsi="Times New Roman"/>
        </w:rPr>
        <w:t>06</w:t>
      </w:r>
      <w:r w:rsidR="00076994" w:rsidRPr="00830EA4">
        <w:rPr>
          <w:rFonts w:ascii="Times New Roman" w:hAnsi="Times New Roman"/>
        </w:rPr>
        <w:t>.</w:t>
      </w:r>
      <w:r w:rsidR="00076994">
        <w:rPr>
          <w:rFonts w:ascii="Times New Roman" w:hAnsi="Times New Roman"/>
        </w:rPr>
        <w:t>1</w:t>
      </w:r>
      <w:r w:rsidR="00076994" w:rsidRPr="00830EA4">
        <w:rPr>
          <w:rFonts w:ascii="Times New Roman" w:hAnsi="Times New Roman"/>
        </w:rPr>
        <w:t>0.20</w:t>
      </w:r>
      <w:r w:rsidR="00076994">
        <w:rPr>
          <w:rFonts w:ascii="Times New Roman" w:hAnsi="Times New Roman"/>
        </w:rPr>
        <w:t>20</w:t>
      </w:r>
      <w:r w:rsidR="00076994" w:rsidRPr="00830EA4">
        <w:rPr>
          <w:rFonts w:ascii="Times New Roman" w:hAnsi="Times New Roman"/>
        </w:rPr>
        <w:t xml:space="preserve"> </w:t>
      </w:r>
      <w:hyperlink w:history="1"/>
      <w:r w:rsidR="00076994">
        <w:rPr>
          <w:rStyle w:val="Hyperlink"/>
          <w:rFonts w:ascii="Times New Roman" w:hAnsi="Times New Roman"/>
        </w:rPr>
        <w:t xml:space="preserve"> </w:t>
      </w:r>
      <w:hyperlink r:id="rId8" w:history="1">
        <w:r w:rsidR="00665FDC" w:rsidRPr="008D4B6A">
          <w:rPr>
            <w:rStyle w:val="Hyperlink"/>
            <w:rFonts w:ascii="Times New Roman" w:hAnsi="Times New Roman"/>
          </w:rPr>
          <w:t>https://carbon-pulse.com/111076/</w:t>
        </w:r>
      </w:hyperlink>
      <w:r w:rsidR="00DF5531">
        <w:rPr>
          <w:rStyle w:val="Hyperlink"/>
          <w:rFonts w:ascii="Times New Roman" w:hAnsi="Times New Roman"/>
        </w:rPr>
        <w:t xml:space="preserve"> </w:t>
      </w:r>
      <w:r w:rsidR="00DF5531" w:rsidRPr="004A387D">
        <w:rPr>
          <w:rFonts w:ascii="Times New Roman" w:hAnsi="Times New Roman"/>
          <w:iCs/>
        </w:rPr>
        <w:t>Reālāk</w:t>
      </w:r>
      <w:r w:rsidR="00DF5531">
        <w:rPr>
          <w:rFonts w:ascii="Times New Roman" w:hAnsi="Times New Roman"/>
          <w:iCs/>
        </w:rPr>
        <w:t>am prognožu iznākumam prognožu modelēšan</w:t>
      </w:r>
      <w:r w:rsidR="00ED348F">
        <w:rPr>
          <w:rFonts w:ascii="Times New Roman" w:hAnsi="Times New Roman"/>
          <w:iCs/>
        </w:rPr>
        <w:t>as procesā</w:t>
      </w:r>
      <w:r w:rsidR="00DF5531">
        <w:rPr>
          <w:rFonts w:ascii="Times New Roman" w:hAnsi="Times New Roman"/>
          <w:iCs/>
        </w:rPr>
        <w:t xml:space="preserve"> netika </w:t>
      </w:r>
      <w:r w:rsidR="00445649">
        <w:rPr>
          <w:rFonts w:ascii="Times New Roman" w:hAnsi="Times New Roman"/>
          <w:iCs/>
        </w:rPr>
        <w:t>iekļautas</w:t>
      </w:r>
      <w:r w:rsidR="00DF5531">
        <w:rPr>
          <w:rFonts w:ascii="Times New Roman" w:hAnsi="Times New Roman"/>
          <w:iCs/>
        </w:rPr>
        <w:t xml:space="preserve"> divas augstākās prognozes no </w:t>
      </w:r>
      <w:proofErr w:type="spellStart"/>
      <w:r w:rsidR="00DF5531">
        <w:rPr>
          <w:rFonts w:ascii="Times New Roman" w:hAnsi="Times New Roman"/>
          <w:i/>
        </w:rPr>
        <w:t>B</w:t>
      </w:r>
      <w:r w:rsidR="00DF5531" w:rsidRPr="00474C94">
        <w:rPr>
          <w:rFonts w:ascii="Times New Roman" w:hAnsi="Times New Roman"/>
          <w:i/>
        </w:rPr>
        <w:t>erenberg</w:t>
      </w:r>
      <w:proofErr w:type="spellEnd"/>
      <w:r w:rsidR="00DF5531">
        <w:rPr>
          <w:rFonts w:ascii="Times New Roman" w:hAnsi="Times New Roman"/>
          <w:i/>
        </w:rPr>
        <w:t xml:space="preserve"> </w:t>
      </w:r>
      <w:r w:rsidR="00DF5531" w:rsidRPr="00A96F0C">
        <w:rPr>
          <w:rFonts w:ascii="Times New Roman" w:hAnsi="Times New Roman"/>
          <w:iCs/>
        </w:rPr>
        <w:t>un</w:t>
      </w:r>
      <w:r w:rsidR="00DF5531">
        <w:rPr>
          <w:rFonts w:ascii="Times New Roman" w:hAnsi="Times New Roman"/>
          <w:i/>
        </w:rPr>
        <w:t xml:space="preserve"> </w:t>
      </w:r>
      <w:proofErr w:type="spellStart"/>
      <w:r w:rsidR="00DF5531">
        <w:rPr>
          <w:rFonts w:ascii="Times New Roman" w:hAnsi="Times New Roman"/>
          <w:i/>
        </w:rPr>
        <w:t>Stanley</w:t>
      </w:r>
      <w:proofErr w:type="spellEnd"/>
      <w:r>
        <w:rPr>
          <w:rFonts w:ascii="Times New Roman" w:hAnsi="Times New Roman"/>
        </w:rPr>
        <w:t>)</w:t>
      </w:r>
    </w:p>
  </w:footnote>
  <w:footnote w:id="32">
    <w:p w14:paraId="31E1434E" w14:textId="65FCD383" w:rsidR="0046134D" w:rsidRPr="004B20CE" w:rsidRDefault="0046134D" w:rsidP="00DA15F9">
      <w:pPr>
        <w:pStyle w:val="xmsonormal"/>
        <w:shd w:val="clear" w:color="auto" w:fill="FFFFFF"/>
        <w:spacing w:before="0" w:beforeAutospacing="0" w:after="0" w:afterAutospacing="0"/>
        <w:jc w:val="both"/>
        <w:rPr>
          <w:lang w:val="lv-LV"/>
        </w:rPr>
      </w:pPr>
      <w:r w:rsidRPr="00DA15F9">
        <w:rPr>
          <w:rStyle w:val="FootnoteReference"/>
          <w:sz w:val="20"/>
          <w:szCs w:val="20"/>
        </w:rPr>
        <w:footnoteRef/>
      </w:r>
      <w:r>
        <w:rPr>
          <w:sz w:val="20"/>
          <w:szCs w:val="20"/>
          <w:lang w:val="lv-LV"/>
        </w:rPr>
        <w:t> </w:t>
      </w:r>
      <w:r w:rsidRPr="00DA15F9">
        <w:rPr>
          <w:sz w:val="20"/>
          <w:szCs w:val="20"/>
          <w:lang w:val="lv-LV"/>
        </w:rPr>
        <w:t>Inovācijas fonds,</w:t>
      </w:r>
      <w:r>
        <w:rPr>
          <w:sz w:val="20"/>
          <w:szCs w:val="20"/>
          <w:lang w:val="lv-LV"/>
        </w:rPr>
        <w:t xml:space="preserve"> </w:t>
      </w:r>
      <w:r w:rsidRPr="00DA15F9">
        <w:rPr>
          <w:sz w:val="20"/>
          <w:szCs w:val="20"/>
          <w:lang w:val="lv-LV"/>
        </w:rPr>
        <w:t>kas minēt</w:t>
      </w:r>
      <w:r>
        <w:rPr>
          <w:sz w:val="20"/>
          <w:szCs w:val="20"/>
          <w:lang w:val="lv-LV"/>
        </w:rPr>
        <w:t>s</w:t>
      </w:r>
      <w:r w:rsidRPr="00DA15F9">
        <w:rPr>
          <w:sz w:val="20"/>
          <w:szCs w:val="20"/>
          <w:lang w:val="lv-LV"/>
        </w:rPr>
        <w:t xml:space="preserve"> </w:t>
      </w:r>
      <w:r w:rsidRPr="00DA15F9">
        <w:rPr>
          <w:iCs/>
          <w:color w:val="000000"/>
          <w:sz w:val="20"/>
          <w:szCs w:val="20"/>
          <w:bdr w:val="none" w:sz="0" w:space="0" w:color="auto" w:frame="1"/>
          <w:shd w:val="clear" w:color="auto" w:fill="FFFFFF"/>
          <w:lang w:val="lv-LV"/>
        </w:rPr>
        <w:t>Eiropas Parlamenta un Padomes 2003.</w:t>
      </w:r>
      <w:r>
        <w:rPr>
          <w:iCs/>
          <w:color w:val="000000"/>
          <w:sz w:val="20"/>
          <w:szCs w:val="20"/>
          <w:bdr w:val="none" w:sz="0" w:space="0" w:color="auto" w:frame="1"/>
          <w:shd w:val="clear" w:color="auto" w:fill="FFFFFF"/>
          <w:lang w:val="lv-LV"/>
        </w:rPr>
        <w:t> </w:t>
      </w:r>
      <w:r w:rsidRPr="00DA15F9">
        <w:rPr>
          <w:iCs/>
          <w:color w:val="000000"/>
          <w:sz w:val="20"/>
          <w:szCs w:val="20"/>
          <w:bdr w:val="none" w:sz="0" w:space="0" w:color="auto" w:frame="1"/>
          <w:shd w:val="clear" w:color="auto" w:fill="FFFFFF"/>
          <w:lang w:val="lv-LV"/>
        </w:rPr>
        <w:t>gada 13.</w:t>
      </w:r>
      <w:r>
        <w:rPr>
          <w:iCs/>
          <w:color w:val="000000"/>
          <w:sz w:val="20"/>
          <w:szCs w:val="20"/>
          <w:bdr w:val="none" w:sz="0" w:space="0" w:color="auto" w:frame="1"/>
          <w:shd w:val="clear" w:color="auto" w:fill="FFFFFF"/>
          <w:lang w:val="lv-LV"/>
        </w:rPr>
        <w:t> </w:t>
      </w:r>
      <w:r w:rsidRPr="00DA15F9">
        <w:rPr>
          <w:iCs/>
          <w:color w:val="000000"/>
          <w:sz w:val="20"/>
          <w:szCs w:val="20"/>
          <w:bdr w:val="none" w:sz="0" w:space="0" w:color="auto" w:frame="1"/>
          <w:shd w:val="clear" w:color="auto" w:fill="FFFFFF"/>
          <w:lang w:val="lv-LV"/>
        </w:rPr>
        <w:t>oktobra direktīvas 2003/87/EK, ar kuru nosaka sistēmu siltumnīcas efektu izraisošo gāzu emisijas kvotu tirdzniecībai Savienībā un groza Padomes Direktīvu 96/61/EK</w:t>
      </w:r>
      <w:r w:rsidRPr="00DA15F9">
        <w:rPr>
          <w:iCs/>
          <w:color w:val="1F497D"/>
          <w:sz w:val="20"/>
          <w:szCs w:val="20"/>
          <w:bdr w:val="none" w:sz="0" w:space="0" w:color="auto" w:frame="1"/>
          <w:shd w:val="clear" w:color="auto" w:fill="FFFFFF"/>
          <w:lang w:val="lv-LV"/>
        </w:rPr>
        <w:t>,</w:t>
      </w:r>
      <w:r w:rsidRPr="00DA15F9">
        <w:rPr>
          <w:iCs/>
          <w:color w:val="000000"/>
          <w:sz w:val="20"/>
          <w:szCs w:val="20"/>
          <w:bdr w:val="none" w:sz="0" w:space="0" w:color="auto" w:frame="1"/>
          <w:shd w:val="clear" w:color="auto" w:fill="FFFFFF"/>
          <w:lang w:val="lv-LV"/>
        </w:rPr>
        <w:t xml:space="preserve"> 10.a panta 8.punktā. </w:t>
      </w:r>
      <w:r w:rsidRPr="00DA15F9">
        <w:rPr>
          <w:color w:val="201F1E"/>
          <w:sz w:val="20"/>
          <w:szCs w:val="20"/>
          <w:shd w:val="clear" w:color="auto" w:fill="FFFFFF"/>
          <w:lang w:val="lv-LV"/>
        </w:rPr>
        <w:t xml:space="preserve">Saskaņā ar </w:t>
      </w:r>
      <w:r>
        <w:rPr>
          <w:color w:val="201F1E"/>
          <w:sz w:val="20"/>
          <w:szCs w:val="20"/>
          <w:shd w:val="clear" w:color="auto" w:fill="FFFFFF"/>
          <w:lang w:val="lv-LV"/>
        </w:rPr>
        <w:t>2</w:t>
      </w:r>
      <w:r w:rsidRPr="00DA15F9">
        <w:rPr>
          <w:color w:val="201F1E"/>
          <w:sz w:val="20"/>
          <w:szCs w:val="20"/>
          <w:bdr w:val="none" w:sz="0" w:space="0" w:color="auto" w:frame="1"/>
          <w:lang w:val="lv-LV"/>
        </w:rPr>
        <w:t>018.</w:t>
      </w:r>
      <w:r>
        <w:rPr>
          <w:color w:val="201F1E"/>
          <w:sz w:val="20"/>
          <w:szCs w:val="20"/>
          <w:bdr w:val="none" w:sz="0" w:space="0" w:color="auto" w:frame="1"/>
          <w:lang w:val="lv-LV"/>
        </w:rPr>
        <w:t> </w:t>
      </w:r>
      <w:r w:rsidRPr="00DA15F9">
        <w:rPr>
          <w:color w:val="201F1E"/>
          <w:sz w:val="20"/>
          <w:szCs w:val="20"/>
          <w:bdr w:val="none" w:sz="0" w:space="0" w:color="auto" w:frame="1"/>
          <w:lang w:val="lv-LV"/>
        </w:rPr>
        <w:t>gada 30.</w:t>
      </w:r>
      <w:r>
        <w:rPr>
          <w:color w:val="201F1E"/>
          <w:sz w:val="20"/>
          <w:szCs w:val="20"/>
          <w:bdr w:val="none" w:sz="0" w:space="0" w:color="auto" w:frame="1"/>
          <w:lang w:val="lv-LV"/>
        </w:rPr>
        <w:t> </w:t>
      </w:r>
      <w:r w:rsidRPr="00DA15F9">
        <w:rPr>
          <w:color w:val="201F1E"/>
          <w:sz w:val="20"/>
          <w:szCs w:val="20"/>
          <w:bdr w:val="none" w:sz="0" w:space="0" w:color="auto" w:frame="1"/>
          <w:lang w:val="lv-LV"/>
        </w:rPr>
        <w:t>oktobra Komisijas deleģēto regulu (ES) 2019/7ar ko Regulu (ES) Nr.</w:t>
      </w:r>
      <w:r>
        <w:rPr>
          <w:color w:val="201F1E"/>
          <w:sz w:val="20"/>
          <w:szCs w:val="20"/>
          <w:bdr w:val="none" w:sz="0" w:space="0" w:color="auto" w:frame="1"/>
          <w:lang w:val="lv-LV"/>
        </w:rPr>
        <w:t> </w:t>
      </w:r>
      <w:r w:rsidRPr="00DA15F9">
        <w:rPr>
          <w:color w:val="201F1E"/>
          <w:sz w:val="20"/>
          <w:szCs w:val="20"/>
          <w:bdr w:val="none" w:sz="0" w:space="0" w:color="auto" w:frame="1"/>
          <w:lang w:val="lv-LV"/>
        </w:rPr>
        <w:t>1031/2010 groza attiecībā uz 50 miljonu neiedalīto tirgus stabilitātes rezerves kvotu izsolīšanu </w:t>
      </w:r>
      <w:r w:rsidRPr="00DA15F9">
        <w:rPr>
          <w:rStyle w:val="marko7g66wxkp"/>
          <w:color w:val="201F1E"/>
          <w:sz w:val="20"/>
          <w:szCs w:val="20"/>
          <w:bdr w:val="none" w:sz="0" w:space="0" w:color="auto" w:frame="1"/>
          <w:lang w:val="lv-LV"/>
        </w:rPr>
        <w:t>inovācijas</w:t>
      </w:r>
      <w:r w:rsidRPr="00DA15F9">
        <w:rPr>
          <w:color w:val="201F1E"/>
          <w:sz w:val="20"/>
          <w:szCs w:val="20"/>
          <w:bdr w:val="none" w:sz="0" w:space="0" w:color="auto" w:frame="1"/>
          <w:lang w:val="lv-LV"/>
        </w:rPr>
        <w:t xml:space="preserve"> fonda vajadzībām un iekļauj sarakstā izsoles platformu, kas jāieceļ Vācijai </w:t>
      </w:r>
      <w:r w:rsidRPr="00DA15F9">
        <w:rPr>
          <w:color w:val="201F1E"/>
          <w:sz w:val="20"/>
          <w:szCs w:val="20"/>
          <w:shd w:val="clear" w:color="auto" w:fill="FFFFFF"/>
          <w:lang w:val="lv-LV"/>
        </w:rPr>
        <w:t>visām 25 ES dalībvalstīm, kas piedalās Kopējā iepirkuma nolīgumā par kopēju izsoles platformu un izsola savas emisijas kvotas kopējā izsoļu platformā, 2020.</w:t>
      </w:r>
      <w:r>
        <w:rPr>
          <w:color w:val="201F1E"/>
          <w:sz w:val="20"/>
          <w:szCs w:val="20"/>
          <w:shd w:val="clear" w:color="auto" w:fill="FFFFFF"/>
          <w:lang w:val="lv-LV"/>
        </w:rPr>
        <w:t> </w:t>
      </w:r>
      <w:r w:rsidRPr="00DA15F9">
        <w:rPr>
          <w:color w:val="201F1E"/>
          <w:sz w:val="20"/>
          <w:szCs w:val="20"/>
          <w:shd w:val="clear" w:color="auto" w:fill="FFFFFF"/>
          <w:lang w:val="lv-LV"/>
        </w:rPr>
        <w:t xml:space="preserve">gadā pie plānotajiem regulāro izsoļu apjomiem tiks pieskaitītas 2 milj. emisijas kvotas un visi līdzekļi no šīm papildus kvotām </w:t>
      </w:r>
      <w:r w:rsidR="006946DF">
        <w:rPr>
          <w:color w:val="201F1E"/>
          <w:sz w:val="20"/>
          <w:szCs w:val="20"/>
          <w:shd w:val="clear" w:color="auto" w:fill="FFFFFF"/>
          <w:lang w:val="lv-LV"/>
        </w:rPr>
        <w:t>tiks</w:t>
      </w:r>
      <w:r w:rsidRPr="00DA15F9">
        <w:rPr>
          <w:color w:val="201F1E"/>
          <w:sz w:val="20"/>
          <w:szCs w:val="20"/>
          <w:shd w:val="clear" w:color="auto" w:fill="FFFFFF"/>
          <w:lang w:val="lv-LV"/>
        </w:rPr>
        <w:t xml:space="preserve"> pārskait</w:t>
      </w:r>
      <w:r w:rsidR="006946DF">
        <w:rPr>
          <w:color w:val="201F1E"/>
          <w:sz w:val="20"/>
          <w:szCs w:val="20"/>
          <w:shd w:val="clear" w:color="auto" w:fill="FFFFFF"/>
          <w:lang w:val="lv-LV"/>
        </w:rPr>
        <w:t>īti</w:t>
      </w:r>
      <w:r w:rsidRPr="00DA15F9">
        <w:rPr>
          <w:color w:val="201F1E"/>
          <w:sz w:val="20"/>
          <w:szCs w:val="20"/>
          <w:shd w:val="clear" w:color="auto" w:fill="FFFFFF"/>
          <w:lang w:val="lv-LV"/>
        </w:rPr>
        <w:t xml:space="preserve"> </w:t>
      </w:r>
      <w:r w:rsidR="00C16A25">
        <w:rPr>
          <w:color w:val="201F1E"/>
          <w:sz w:val="20"/>
          <w:szCs w:val="20"/>
          <w:shd w:val="clear" w:color="auto" w:fill="FFFFFF"/>
          <w:lang w:val="lv-LV"/>
        </w:rPr>
        <w:t>EK</w:t>
      </w:r>
      <w:r w:rsidRPr="00DA15F9">
        <w:rPr>
          <w:color w:val="201F1E"/>
          <w:sz w:val="20"/>
          <w:szCs w:val="20"/>
          <w:shd w:val="clear" w:color="auto" w:fill="FFFFFF"/>
          <w:lang w:val="lv-LV"/>
        </w:rPr>
        <w:t> </w:t>
      </w:r>
      <w:r w:rsidRPr="00DA15F9">
        <w:rPr>
          <w:rStyle w:val="marko7g66wxkp"/>
          <w:color w:val="201F1E"/>
          <w:sz w:val="20"/>
          <w:szCs w:val="20"/>
          <w:bdr w:val="none" w:sz="0" w:space="0" w:color="auto" w:frame="1"/>
          <w:shd w:val="clear" w:color="auto" w:fill="FFFFFF"/>
          <w:lang w:val="lv-LV"/>
        </w:rPr>
        <w:t>Inovācijas</w:t>
      </w:r>
      <w:r w:rsidRPr="00DA15F9">
        <w:rPr>
          <w:color w:val="201F1E"/>
          <w:sz w:val="20"/>
          <w:szCs w:val="20"/>
          <w:shd w:val="clear" w:color="auto" w:fill="FFFFFF"/>
          <w:lang w:val="lv-LV"/>
        </w:rPr>
        <w:t> fonda darbības uzsākšanai;</w:t>
      </w:r>
    </w:p>
  </w:footnote>
  <w:footnote w:id="33">
    <w:p w14:paraId="56CE1377" w14:textId="441983A5" w:rsidR="0046134D" w:rsidRPr="00DA15F9" w:rsidRDefault="0046134D" w:rsidP="003C2AA8">
      <w:pPr>
        <w:pStyle w:val="Default"/>
        <w:jc w:val="both"/>
        <w:rPr>
          <w:rFonts w:ascii="Times New Roman" w:hAnsi="Times New Roman" w:cs="Times New Roman"/>
          <w:sz w:val="20"/>
          <w:szCs w:val="20"/>
        </w:rPr>
      </w:pPr>
      <w:r w:rsidRPr="00DA15F9">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DA15F9">
        <w:rPr>
          <w:rFonts w:ascii="Times New Roman" w:hAnsi="Times New Roman" w:cs="Times New Roman"/>
          <w:sz w:val="20"/>
          <w:szCs w:val="20"/>
        </w:rPr>
        <w:t>Siltumnīcefekta gāzu emisiju samazināšana valsts nozīmes aizsargājamos arhitektūras pieminekļos; Siltumnīcefekta gāzu emisiju samazināšana – zema enerģijas patēriņa ēkas; Siltumnīcefekta gāzu emisiju samazināšana ar viedajām pilsētvides tehnoloģijām; Siltumnīcefekta gāzu emisiju samazināšana, attīstot enerģētiski pašpietiekamu ēku būvniecību</w:t>
      </w:r>
      <w:r>
        <w:rPr>
          <w:rFonts w:ascii="Times New Roman" w:hAnsi="Times New Roman" w:cs="Times New Roman"/>
          <w:sz w:val="20"/>
          <w:szCs w:val="20"/>
        </w:rPr>
        <w:t>;</w:t>
      </w:r>
    </w:p>
  </w:footnote>
  <w:footnote w:id="34">
    <w:p w14:paraId="69944BA9" w14:textId="3C6FFF9A" w:rsidR="0046134D" w:rsidRPr="00DA15F9" w:rsidRDefault="0046134D" w:rsidP="00DA15F9">
      <w:pPr>
        <w:spacing w:after="0" w:line="240" w:lineRule="auto"/>
        <w:ind w:right="-1"/>
        <w:jc w:val="both"/>
        <w:rPr>
          <w:rFonts w:ascii="Times New Roman" w:hAnsi="Times New Roman" w:cs="Times New Roman"/>
        </w:rPr>
      </w:pPr>
      <w:r w:rsidRPr="00DA15F9">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DA15F9">
        <w:rPr>
          <w:rFonts w:ascii="Times New Roman" w:hAnsi="Times New Roman" w:cs="Times New Roman"/>
          <w:sz w:val="20"/>
          <w:szCs w:val="20"/>
        </w:rPr>
        <w:t xml:space="preserve">Informējam, ka paralēli informatīvajam ziņojumam par Modernizācijas fonda ieviešanu </w:t>
      </w:r>
      <w:r w:rsidR="008671C1">
        <w:rPr>
          <w:rFonts w:ascii="Times New Roman" w:hAnsi="Times New Roman" w:cs="Times New Roman"/>
          <w:sz w:val="20"/>
          <w:szCs w:val="20"/>
        </w:rPr>
        <w:t>tiek virzīts arī</w:t>
      </w:r>
      <w:r w:rsidRPr="00DA15F9">
        <w:rPr>
          <w:rFonts w:ascii="Times New Roman" w:hAnsi="Times New Roman" w:cs="Times New Roman"/>
          <w:sz w:val="20"/>
          <w:szCs w:val="20"/>
        </w:rPr>
        <w:t xml:space="preserve"> informatīvais ziņojums par Emisijas kvotu izsolīšanas instrumenta darbības stratēģiju, kurā identificēti pasākumi EKII finansējuma izmantošanai pēc 2020. gada</w:t>
      </w:r>
      <w:r>
        <w:rPr>
          <w:rFonts w:ascii="Times New Roman" w:hAnsi="Times New Roman" w:cs="Times New Roman"/>
          <w:sz w:val="20"/>
          <w:szCs w:val="20"/>
        </w:rPr>
        <w:t>;</w:t>
      </w:r>
      <w:r w:rsidRPr="00DA15F9">
        <w:rPr>
          <w:rFonts w:ascii="Times New Roman" w:hAnsi="Times New Roman" w:cs="Times New Roman"/>
          <w:sz w:val="20"/>
          <w:szCs w:val="20"/>
        </w:rPr>
        <w:t xml:space="preserve"> </w:t>
      </w:r>
    </w:p>
  </w:footnote>
  <w:footnote w:id="35">
    <w:p w14:paraId="2E832F43" w14:textId="1A20BE2E" w:rsidR="0046134D" w:rsidRDefault="0046134D">
      <w:pPr>
        <w:pStyle w:val="FootnoteText"/>
      </w:pPr>
      <w:r w:rsidRPr="00DA15F9">
        <w:rPr>
          <w:rStyle w:val="FootnoteReference"/>
          <w:rFonts w:ascii="Times New Roman" w:hAnsi="Times New Roman" w:cs="Times New Roman"/>
        </w:rPr>
        <w:footnoteRef/>
      </w:r>
      <w:r>
        <w:rPr>
          <w:rFonts w:ascii="Times New Roman" w:hAnsi="Times New Roman" w:cs="Times New Roman"/>
        </w:rPr>
        <w:t> </w:t>
      </w:r>
      <w:hyperlink r:id="rId9" w:history="1">
        <w:r w:rsidR="00445649" w:rsidRPr="00010628">
          <w:rPr>
            <w:rStyle w:val="Hyperlink"/>
            <w:rFonts w:ascii="Times New Roman" w:hAnsi="Times New Roman" w:cs="Times New Roman"/>
          </w:rPr>
          <w:t>https://www.lrvk.gov.lv/lv/getrevisionfile//uploads/reviziju-zinojumi/2016/2.4.1-16_2016/revizijas-zinojums-varam.pdf</w:t>
        </w:r>
      </w:hyperlink>
      <w:r w:rsidR="00D95E6D">
        <w:t xml:space="preserve"> </w:t>
      </w:r>
      <w:r w:rsidRPr="000229D6">
        <w:rPr>
          <w:rFonts w:ascii="Times New Roman" w:hAnsi="Times New Roman" w:cs="Times New Roman"/>
        </w:rPr>
        <w:t xml:space="preserve"> </w:t>
      </w:r>
      <w:proofErr w:type="spellStart"/>
      <w:r w:rsidRPr="000229D6">
        <w:rPr>
          <w:rFonts w:ascii="Times New Roman" w:hAnsi="Times New Roman" w:cs="Times New Roman"/>
        </w:rPr>
        <w:t>Izvērt</w:t>
      </w:r>
      <w:r w:rsidRPr="002707D2">
        <w:rPr>
          <w:rFonts w:ascii="Times New Roman" w:hAnsi="Times New Roman" w:cs="Times New Roman"/>
        </w:rPr>
        <w:t>ējums</w:t>
      </w:r>
      <w:proofErr w:type="spellEnd"/>
      <w:r w:rsidRPr="002707D2">
        <w:rPr>
          <w:rFonts w:ascii="Times New Roman" w:hAnsi="Times New Roman" w:cs="Times New Roman"/>
        </w:rPr>
        <w:t xml:space="preserve"> attiecībā uz EKII efektivitāti veikts tikai balstoties uz </w:t>
      </w:r>
      <w:r w:rsidRPr="00DA15F9">
        <w:rPr>
          <w:rFonts w:ascii="Times New Roman" w:hAnsi="Times New Roman" w:cs="Times New Roman"/>
        </w:rPr>
        <w:t>pirmajiem diviem EKII projektu konkursiem;</w:t>
      </w:r>
    </w:p>
  </w:footnote>
  <w:footnote w:id="36">
    <w:p w14:paraId="19868B42" w14:textId="1AC08AEF" w:rsidR="0046134D" w:rsidRPr="00A61794" w:rsidRDefault="0046134D" w:rsidP="001153CF">
      <w:pPr>
        <w:pStyle w:val="FootnoteText"/>
        <w:rPr>
          <w:rFonts w:ascii="Times New Roman" w:hAnsi="Times New Roman" w:cs="Times New Roman"/>
        </w:rPr>
      </w:pPr>
      <w:r w:rsidRPr="00A61794">
        <w:rPr>
          <w:rStyle w:val="FootnoteReference"/>
          <w:rFonts w:ascii="Times New Roman" w:hAnsi="Times New Roman" w:cs="Times New Roman"/>
        </w:rPr>
        <w:footnoteRef/>
      </w:r>
      <w:r>
        <w:rPr>
          <w:rFonts w:ascii="Times New Roman" w:hAnsi="Times New Roman" w:cs="Times New Roman"/>
        </w:rPr>
        <w:t> </w:t>
      </w:r>
      <w:r w:rsidRPr="00A61794">
        <w:rPr>
          <w:rFonts w:ascii="Times New Roman" w:hAnsi="Times New Roman" w:cs="Times New Roman"/>
        </w:rPr>
        <w:t>Ņemot vērā naudas starpbanku operācijas, praksē nauda ienāk valsts kontā nākošajā dienā pēc emisijas kvotu izsoles.</w:t>
      </w:r>
    </w:p>
  </w:footnote>
  <w:footnote w:id="37">
    <w:p w14:paraId="4E684180" w14:textId="0D81B9B6" w:rsidR="0046134D" w:rsidRDefault="0046134D" w:rsidP="00BE2E03">
      <w:pPr>
        <w:pStyle w:val="FootnoteText"/>
        <w:jc w:val="both"/>
      </w:pPr>
      <w:r>
        <w:rPr>
          <w:rStyle w:val="FootnoteReference"/>
        </w:rPr>
        <w:footnoteRef/>
      </w:r>
      <w:r>
        <w:t xml:space="preserve"> </w:t>
      </w:r>
      <w:r>
        <w:t>I</w:t>
      </w:r>
      <w:r w:rsidRPr="00BE2E03">
        <w:rPr>
          <w:rFonts w:ascii="Times New Roman" w:hAnsi="Times New Roman"/>
        </w:rPr>
        <w:t xml:space="preserve">nformatīvais ziņojums “Par Modernizācijas fonda ieviešanu” un </w:t>
      </w:r>
      <w:r>
        <w:rPr>
          <w:rFonts w:ascii="Times New Roman" w:hAnsi="Times New Roman"/>
        </w:rPr>
        <w:t xml:space="preserve">tam pievienotais </w:t>
      </w:r>
      <w:proofErr w:type="spellStart"/>
      <w:r>
        <w:rPr>
          <w:rFonts w:ascii="Times New Roman" w:hAnsi="Times New Roman"/>
        </w:rPr>
        <w:t>protokollēmuma</w:t>
      </w:r>
      <w:proofErr w:type="spellEnd"/>
      <w:r w:rsidRPr="00CB334D">
        <w:rPr>
          <w:rFonts w:ascii="Times New Roman" w:hAnsi="Times New Roman"/>
        </w:rPr>
        <w:t xml:space="preserve"> projekts pirmo reizi </w:t>
      </w:r>
      <w:r w:rsidRPr="00203BE9">
        <w:rPr>
          <w:rFonts w:ascii="Times New Roman" w:hAnsi="Times New Roman" w:cs="Times New Roman"/>
        </w:rPr>
        <w:t xml:space="preserve">tika iesniegts Valsts kancelejā 2019. gada 20. septembrī </w:t>
      </w:r>
      <w:r>
        <w:rPr>
          <w:rFonts w:ascii="Times New Roman" w:hAnsi="Times New Roman" w:cs="Times New Roman"/>
        </w:rPr>
        <w:t xml:space="preserve">un </w:t>
      </w:r>
      <w:r w:rsidRPr="00BE2E03">
        <w:rPr>
          <w:rFonts w:ascii="Times New Roman" w:hAnsi="Times New Roman"/>
        </w:rPr>
        <w:t xml:space="preserve"> sākotnēji </w:t>
      </w:r>
      <w:r>
        <w:rPr>
          <w:rFonts w:ascii="Times New Roman" w:hAnsi="Times New Roman"/>
        </w:rPr>
        <w:t>bija</w:t>
      </w:r>
      <w:r w:rsidRPr="00BE2E03">
        <w:rPr>
          <w:rFonts w:ascii="Times New Roman" w:hAnsi="Times New Roman"/>
        </w:rPr>
        <w:t xml:space="preserve"> iekļauti 2019. gada 8.oktobra Ministru kabineta sēdes darba kārtībā, tomēr šo dokumentu izskatīšana tika atlikta.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85450"/>
      <w:docPartObj>
        <w:docPartGallery w:val="Page Numbers (Top of Page)"/>
        <w:docPartUnique/>
      </w:docPartObj>
    </w:sdtPr>
    <w:sdtEndPr>
      <w:rPr>
        <w:noProof/>
      </w:rPr>
    </w:sdtEndPr>
    <w:sdtContent>
      <w:p w14:paraId="247A7FCE" w14:textId="3E0268B7" w:rsidR="0046134D" w:rsidRDefault="0046134D">
        <w:pPr>
          <w:pStyle w:val="Header"/>
          <w:jc w:val="center"/>
        </w:pPr>
        <w:r>
          <w:fldChar w:fldCharType="begin"/>
        </w:r>
        <w:r>
          <w:instrText xml:space="preserve"> PAGE   \* MERGEFORMAT </w:instrText>
        </w:r>
        <w:r>
          <w:fldChar w:fldCharType="separate"/>
        </w:r>
        <w:r w:rsidR="005F3CE7">
          <w:rPr>
            <w:noProof/>
          </w:rPr>
          <w:t>1</w:t>
        </w:r>
        <w:r w:rsidR="005F3CE7">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FE5029"/>
    <w:multiLevelType w:val="hybridMultilevel"/>
    <w:tmpl w:val="883E5D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14270"/>
    <w:multiLevelType w:val="hybridMultilevel"/>
    <w:tmpl w:val="A4889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37C9C"/>
    <w:multiLevelType w:val="hybridMultilevel"/>
    <w:tmpl w:val="8D847488"/>
    <w:lvl w:ilvl="0" w:tplc="C456B2A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CB41771"/>
    <w:multiLevelType w:val="hybridMultilevel"/>
    <w:tmpl w:val="C958B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C4556B"/>
    <w:multiLevelType w:val="hybridMultilevel"/>
    <w:tmpl w:val="24F8A4E4"/>
    <w:lvl w:ilvl="0" w:tplc="F2E24748">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5" w15:restartNumberingAfterBreak="0">
    <w:nsid w:val="0DCD1304"/>
    <w:multiLevelType w:val="hybridMultilevel"/>
    <w:tmpl w:val="ECECE05C"/>
    <w:lvl w:ilvl="0" w:tplc="273C901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FBE17F8"/>
    <w:multiLevelType w:val="hybridMultilevel"/>
    <w:tmpl w:val="8B965EB6"/>
    <w:lvl w:ilvl="0" w:tplc="FB34A3B2">
      <w:start w:val="1"/>
      <w:numFmt w:val="bullet"/>
      <w:lvlText w:val="•"/>
      <w:lvlJc w:val="left"/>
      <w:pPr>
        <w:tabs>
          <w:tab w:val="num" w:pos="720"/>
        </w:tabs>
        <w:ind w:left="720" w:hanging="360"/>
      </w:pPr>
      <w:rPr>
        <w:rFonts w:ascii="Arial" w:hAnsi="Arial" w:hint="default"/>
      </w:rPr>
    </w:lvl>
    <w:lvl w:ilvl="1" w:tplc="86F4D7C6" w:tentative="1">
      <w:start w:val="1"/>
      <w:numFmt w:val="bullet"/>
      <w:lvlText w:val="•"/>
      <w:lvlJc w:val="left"/>
      <w:pPr>
        <w:tabs>
          <w:tab w:val="num" w:pos="1440"/>
        </w:tabs>
        <w:ind w:left="1440" w:hanging="360"/>
      </w:pPr>
      <w:rPr>
        <w:rFonts w:ascii="Arial" w:hAnsi="Arial" w:hint="default"/>
      </w:rPr>
    </w:lvl>
    <w:lvl w:ilvl="2" w:tplc="534C006E" w:tentative="1">
      <w:start w:val="1"/>
      <w:numFmt w:val="bullet"/>
      <w:lvlText w:val="•"/>
      <w:lvlJc w:val="left"/>
      <w:pPr>
        <w:tabs>
          <w:tab w:val="num" w:pos="2160"/>
        </w:tabs>
        <w:ind w:left="2160" w:hanging="360"/>
      </w:pPr>
      <w:rPr>
        <w:rFonts w:ascii="Arial" w:hAnsi="Arial" w:hint="default"/>
      </w:rPr>
    </w:lvl>
    <w:lvl w:ilvl="3" w:tplc="EAC8ACF6" w:tentative="1">
      <w:start w:val="1"/>
      <w:numFmt w:val="bullet"/>
      <w:lvlText w:val="•"/>
      <w:lvlJc w:val="left"/>
      <w:pPr>
        <w:tabs>
          <w:tab w:val="num" w:pos="2880"/>
        </w:tabs>
        <w:ind w:left="2880" w:hanging="360"/>
      </w:pPr>
      <w:rPr>
        <w:rFonts w:ascii="Arial" w:hAnsi="Arial" w:hint="default"/>
      </w:rPr>
    </w:lvl>
    <w:lvl w:ilvl="4" w:tplc="ECE46552" w:tentative="1">
      <w:start w:val="1"/>
      <w:numFmt w:val="bullet"/>
      <w:lvlText w:val="•"/>
      <w:lvlJc w:val="left"/>
      <w:pPr>
        <w:tabs>
          <w:tab w:val="num" w:pos="3600"/>
        </w:tabs>
        <w:ind w:left="3600" w:hanging="360"/>
      </w:pPr>
      <w:rPr>
        <w:rFonts w:ascii="Arial" w:hAnsi="Arial" w:hint="default"/>
      </w:rPr>
    </w:lvl>
    <w:lvl w:ilvl="5" w:tplc="59BACA4C" w:tentative="1">
      <w:start w:val="1"/>
      <w:numFmt w:val="bullet"/>
      <w:lvlText w:val="•"/>
      <w:lvlJc w:val="left"/>
      <w:pPr>
        <w:tabs>
          <w:tab w:val="num" w:pos="4320"/>
        </w:tabs>
        <w:ind w:left="4320" w:hanging="360"/>
      </w:pPr>
      <w:rPr>
        <w:rFonts w:ascii="Arial" w:hAnsi="Arial" w:hint="default"/>
      </w:rPr>
    </w:lvl>
    <w:lvl w:ilvl="6" w:tplc="69BAA0B8" w:tentative="1">
      <w:start w:val="1"/>
      <w:numFmt w:val="bullet"/>
      <w:lvlText w:val="•"/>
      <w:lvlJc w:val="left"/>
      <w:pPr>
        <w:tabs>
          <w:tab w:val="num" w:pos="5040"/>
        </w:tabs>
        <w:ind w:left="5040" w:hanging="360"/>
      </w:pPr>
      <w:rPr>
        <w:rFonts w:ascii="Arial" w:hAnsi="Arial" w:hint="default"/>
      </w:rPr>
    </w:lvl>
    <w:lvl w:ilvl="7" w:tplc="509A7CF8" w:tentative="1">
      <w:start w:val="1"/>
      <w:numFmt w:val="bullet"/>
      <w:lvlText w:val="•"/>
      <w:lvlJc w:val="left"/>
      <w:pPr>
        <w:tabs>
          <w:tab w:val="num" w:pos="5760"/>
        </w:tabs>
        <w:ind w:left="5760" w:hanging="360"/>
      </w:pPr>
      <w:rPr>
        <w:rFonts w:ascii="Arial" w:hAnsi="Arial" w:hint="default"/>
      </w:rPr>
    </w:lvl>
    <w:lvl w:ilvl="8" w:tplc="9806B8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3F6533"/>
    <w:multiLevelType w:val="multilevel"/>
    <w:tmpl w:val="3C8E8AA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13305AFD"/>
    <w:multiLevelType w:val="hybridMultilevel"/>
    <w:tmpl w:val="A81E3310"/>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9" w15:restartNumberingAfterBreak="0">
    <w:nsid w:val="138C0F06"/>
    <w:multiLevelType w:val="hybridMultilevel"/>
    <w:tmpl w:val="2A58C0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1D361B"/>
    <w:multiLevelType w:val="hybridMultilevel"/>
    <w:tmpl w:val="B8B455B6"/>
    <w:lvl w:ilvl="0" w:tplc="C6F8D2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1F5D7466"/>
    <w:multiLevelType w:val="hybridMultilevel"/>
    <w:tmpl w:val="781C69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7616511"/>
    <w:multiLevelType w:val="hybridMultilevel"/>
    <w:tmpl w:val="53403F2E"/>
    <w:lvl w:ilvl="0" w:tplc="5AF84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7F931E8"/>
    <w:multiLevelType w:val="multilevel"/>
    <w:tmpl w:val="14A42E56"/>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15:restartNumberingAfterBreak="0">
    <w:nsid w:val="2DC63534"/>
    <w:multiLevelType w:val="hybridMultilevel"/>
    <w:tmpl w:val="513CC3FA"/>
    <w:lvl w:ilvl="0" w:tplc="79D8F86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86458A"/>
    <w:multiLevelType w:val="hybridMultilevel"/>
    <w:tmpl w:val="4B489682"/>
    <w:lvl w:ilvl="0" w:tplc="3BAA75F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0F026F6"/>
    <w:multiLevelType w:val="hybridMultilevel"/>
    <w:tmpl w:val="56046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0302D6"/>
    <w:multiLevelType w:val="hybridMultilevel"/>
    <w:tmpl w:val="F51E04C0"/>
    <w:lvl w:ilvl="0" w:tplc="0EFE7DDE">
      <w:start w:val="1"/>
      <w:numFmt w:val="bullet"/>
      <w:lvlText w:val=""/>
      <w:lvlJc w:val="left"/>
      <w:pPr>
        <w:ind w:left="234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E0EBA"/>
    <w:multiLevelType w:val="hybridMultilevel"/>
    <w:tmpl w:val="3C3C17E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37A57B10"/>
    <w:multiLevelType w:val="hybridMultilevel"/>
    <w:tmpl w:val="B0A8BA26"/>
    <w:lvl w:ilvl="0" w:tplc="D6BEE40A">
      <w:start w:val="1"/>
      <w:numFmt w:val="bullet"/>
      <w:lvlText w:val=""/>
      <w:lvlJc w:val="left"/>
      <w:pPr>
        <w:tabs>
          <w:tab w:val="num" w:pos="720"/>
        </w:tabs>
        <w:ind w:left="720" w:hanging="360"/>
      </w:pPr>
      <w:rPr>
        <w:rFonts w:ascii="Wingdings" w:hAnsi="Wingdings" w:hint="default"/>
      </w:rPr>
    </w:lvl>
    <w:lvl w:ilvl="1" w:tplc="0172BF2E" w:tentative="1">
      <w:start w:val="1"/>
      <w:numFmt w:val="bullet"/>
      <w:lvlText w:val=""/>
      <w:lvlJc w:val="left"/>
      <w:pPr>
        <w:tabs>
          <w:tab w:val="num" w:pos="1440"/>
        </w:tabs>
        <w:ind w:left="1440" w:hanging="360"/>
      </w:pPr>
      <w:rPr>
        <w:rFonts w:ascii="Wingdings" w:hAnsi="Wingdings" w:hint="default"/>
      </w:rPr>
    </w:lvl>
    <w:lvl w:ilvl="2" w:tplc="C4EC4678" w:tentative="1">
      <w:start w:val="1"/>
      <w:numFmt w:val="bullet"/>
      <w:lvlText w:val=""/>
      <w:lvlJc w:val="left"/>
      <w:pPr>
        <w:tabs>
          <w:tab w:val="num" w:pos="2160"/>
        </w:tabs>
        <w:ind w:left="2160" w:hanging="360"/>
      </w:pPr>
      <w:rPr>
        <w:rFonts w:ascii="Wingdings" w:hAnsi="Wingdings" w:hint="default"/>
      </w:rPr>
    </w:lvl>
    <w:lvl w:ilvl="3" w:tplc="F9CCA128" w:tentative="1">
      <w:start w:val="1"/>
      <w:numFmt w:val="bullet"/>
      <w:lvlText w:val=""/>
      <w:lvlJc w:val="left"/>
      <w:pPr>
        <w:tabs>
          <w:tab w:val="num" w:pos="2880"/>
        </w:tabs>
        <w:ind w:left="2880" w:hanging="360"/>
      </w:pPr>
      <w:rPr>
        <w:rFonts w:ascii="Wingdings" w:hAnsi="Wingdings" w:hint="default"/>
      </w:rPr>
    </w:lvl>
    <w:lvl w:ilvl="4" w:tplc="FB50CF44" w:tentative="1">
      <w:start w:val="1"/>
      <w:numFmt w:val="bullet"/>
      <w:lvlText w:val=""/>
      <w:lvlJc w:val="left"/>
      <w:pPr>
        <w:tabs>
          <w:tab w:val="num" w:pos="3600"/>
        </w:tabs>
        <w:ind w:left="3600" w:hanging="360"/>
      </w:pPr>
      <w:rPr>
        <w:rFonts w:ascii="Wingdings" w:hAnsi="Wingdings" w:hint="default"/>
      </w:rPr>
    </w:lvl>
    <w:lvl w:ilvl="5" w:tplc="1076CB84" w:tentative="1">
      <w:start w:val="1"/>
      <w:numFmt w:val="bullet"/>
      <w:lvlText w:val=""/>
      <w:lvlJc w:val="left"/>
      <w:pPr>
        <w:tabs>
          <w:tab w:val="num" w:pos="4320"/>
        </w:tabs>
        <w:ind w:left="4320" w:hanging="360"/>
      </w:pPr>
      <w:rPr>
        <w:rFonts w:ascii="Wingdings" w:hAnsi="Wingdings" w:hint="default"/>
      </w:rPr>
    </w:lvl>
    <w:lvl w:ilvl="6" w:tplc="3E9A2484" w:tentative="1">
      <w:start w:val="1"/>
      <w:numFmt w:val="bullet"/>
      <w:lvlText w:val=""/>
      <w:lvlJc w:val="left"/>
      <w:pPr>
        <w:tabs>
          <w:tab w:val="num" w:pos="5040"/>
        </w:tabs>
        <w:ind w:left="5040" w:hanging="360"/>
      </w:pPr>
      <w:rPr>
        <w:rFonts w:ascii="Wingdings" w:hAnsi="Wingdings" w:hint="default"/>
      </w:rPr>
    </w:lvl>
    <w:lvl w:ilvl="7" w:tplc="5F688B36" w:tentative="1">
      <w:start w:val="1"/>
      <w:numFmt w:val="bullet"/>
      <w:lvlText w:val=""/>
      <w:lvlJc w:val="left"/>
      <w:pPr>
        <w:tabs>
          <w:tab w:val="num" w:pos="5760"/>
        </w:tabs>
        <w:ind w:left="5760" w:hanging="360"/>
      </w:pPr>
      <w:rPr>
        <w:rFonts w:ascii="Wingdings" w:hAnsi="Wingdings" w:hint="default"/>
      </w:rPr>
    </w:lvl>
    <w:lvl w:ilvl="8" w:tplc="0096D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F3CB6"/>
    <w:multiLevelType w:val="hybridMultilevel"/>
    <w:tmpl w:val="B038C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59490C"/>
    <w:multiLevelType w:val="hybridMultilevel"/>
    <w:tmpl w:val="53403F2E"/>
    <w:lvl w:ilvl="0" w:tplc="5AF84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D5651F9"/>
    <w:multiLevelType w:val="hybridMultilevel"/>
    <w:tmpl w:val="E836F73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3CC1C40"/>
    <w:multiLevelType w:val="hybridMultilevel"/>
    <w:tmpl w:val="2C54223A"/>
    <w:lvl w:ilvl="0" w:tplc="3D206940">
      <w:start w:val="4"/>
      <w:numFmt w:val="decimal"/>
      <w:lvlText w:val="%1."/>
      <w:lvlJc w:val="left"/>
      <w:pPr>
        <w:ind w:left="2367" w:hanging="360"/>
      </w:pPr>
      <w:rPr>
        <w:rFonts w:cstheme="minorBidi"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24" w15:restartNumberingAfterBreak="0">
    <w:nsid w:val="4ABD7608"/>
    <w:multiLevelType w:val="hybridMultilevel"/>
    <w:tmpl w:val="3D96044E"/>
    <w:lvl w:ilvl="0" w:tplc="C456B2AE">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AD0589E"/>
    <w:multiLevelType w:val="hybridMultilevel"/>
    <w:tmpl w:val="31063FB4"/>
    <w:lvl w:ilvl="0" w:tplc="ABBCC1E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214FB1"/>
    <w:multiLevelType w:val="hybridMultilevel"/>
    <w:tmpl w:val="F9C48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FA55B9"/>
    <w:multiLevelType w:val="hybridMultilevel"/>
    <w:tmpl w:val="D592F9DE"/>
    <w:lvl w:ilvl="0" w:tplc="C310CB74">
      <w:start w:val="3"/>
      <w:numFmt w:val="decimal"/>
      <w:lvlText w:val="%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8" w15:restartNumberingAfterBreak="0">
    <w:nsid w:val="4D5E6018"/>
    <w:multiLevelType w:val="hybridMultilevel"/>
    <w:tmpl w:val="956E1300"/>
    <w:lvl w:ilvl="0" w:tplc="BDB69BEA">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9204E7"/>
    <w:multiLevelType w:val="hybridMultilevel"/>
    <w:tmpl w:val="A432A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FA48A3"/>
    <w:multiLevelType w:val="hybridMultilevel"/>
    <w:tmpl w:val="FF504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4711C6"/>
    <w:multiLevelType w:val="hybridMultilevel"/>
    <w:tmpl w:val="7FF09946"/>
    <w:lvl w:ilvl="0" w:tplc="3104AE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94F7FF3"/>
    <w:multiLevelType w:val="multilevel"/>
    <w:tmpl w:val="0E82EFB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AA6683F"/>
    <w:multiLevelType w:val="hybridMultilevel"/>
    <w:tmpl w:val="096CC25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15:restartNumberingAfterBreak="0">
    <w:nsid w:val="5B936E69"/>
    <w:multiLevelType w:val="hybridMultilevel"/>
    <w:tmpl w:val="ADF2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95ED2"/>
    <w:multiLevelType w:val="hybridMultilevel"/>
    <w:tmpl w:val="E024678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5C627040"/>
    <w:multiLevelType w:val="hybridMultilevel"/>
    <w:tmpl w:val="4A0C2298"/>
    <w:lvl w:ilvl="0" w:tplc="C456B2AE">
      <w:start w:val="1"/>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7" w15:restartNumberingAfterBreak="0">
    <w:nsid w:val="5D5C5A28"/>
    <w:multiLevelType w:val="hybridMultilevel"/>
    <w:tmpl w:val="0DA60232"/>
    <w:lvl w:ilvl="0" w:tplc="C456B2AE">
      <w:start w:val="1"/>
      <w:numFmt w:val="bullet"/>
      <w:lvlText w:val="-"/>
      <w:lvlJc w:val="left"/>
      <w:pPr>
        <w:tabs>
          <w:tab w:val="num" w:pos="720"/>
        </w:tabs>
        <w:ind w:left="720" w:hanging="360"/>
      </w:pPr>
      <w:rPr>
        <w:rFonts w:ascii="Times New Roman" w:eastAsiaTheme="minorHAnsi" w:hAnsi="Times New Roman" w:cs="Times New Roman" w:hint="default"/>
      </w:rPr>
    </w:lvl>
    <w:lvl w:ilvl="1" w:tplc="0172BF2E" w:tentative="1">
      <w:start w:val="1"/>
      <w:numFmt w:val="bullet"/>
      <w:lvlText w:val=""/>
      <w:lvlJc w:val="left"/>
      <w:pPr>
        <w:tabs>
          <w:tab w:val="num" w:pos="1440"/>
        </w:tabs>
        <w:ind w:left="1440" w:hanging="360"/>
      </w:pPr>
      <w:rPr>
        <w:rFonts w:ascii="Wingdings" w:hAnsi="Wingdings" w:hint="default"/>
      </w:rPr>
    </w:lvl>
    <w:lvl w:ilvl="2" w:tplc="C4EC4678" w:tentative="1">
      <w:start w:val="1"/>
      <w:numFmt w:val="bullet"/>
      <w:lvlText w:val=""/>
      <w:lvlJc w:val="left"/>
      <w:pPr>
        <w:tabs>
          <w:tab w:val="num" w:pos="2160"/>
        </w:tabs>
        <w:ind w:left="2160" w:hanging="360"/>
      </w:pPr>
      <w:rPr>
        <w:rFonts w:ascii="Wingdings" w:hAnsi="Wingdings" w:hint="default"/>
      </w:rPr>
    </w:lvl>
    <w:lvl w:ilvl="3" w:tplc="F9CCA128" w:tentative="1">
      <w:start w:val="1"/>
      <w:numFmt w:val="bullet"/>
      <w:lvlText w:val=""/>
      <w:lvlJc w:val="left"/>
      <w:pPr>
        <w:tabs>
          <w:tab w:val="num" w:pos="2880"/>
        </w:tabs>
        <w:ind w:left="2880" w:hanging="360"/>
      </w:pPr>
      <w:rPr>
        <w:rFonts w:ascii="Wingdings" w:hAnsi="Wingdings" w:hint="default"/>
      </w:rPr>
    </w:lvl>
    <w:lvl w:ilvl="4" w:tplc="FB50CF44" w:tentative="1">
      <w:start w:val="1"/>
      <w:numFmt w:val="bullet"/>
      <w:lvlText w:val=""/>
      <w:lvlJc w:val="left"/>
      <w:pPr>
        <w:tabs>
          <w:tab w:val="num" w:pos="3600"/>
        </w:tabs>
        <w:ind w:left="3600" w:hanging="360"/>
      </w:pPr>
      <w:rPr>
        <w:rFonts w:ascii="Wingdings" w:hAnsi="Wingdings" w:hint="default"/>
      </w:rPr>
    </w:lvl>
    <w:lvl w:ilvl="5" w:tplc="1076CB84" w:tentative="1">
      <w:start w:val="1"/>
      <w:numFmt w:val="bullet"/>
      <w:lvlText w:val=""/>
      <w:lvlJc w:val="left"/>
      <w:pPr>
        <w:tabs>
          <w:tab w:val="num" w:pos="4320"/>
        </w:tabs>
        <w:ind w:left="4320" w:hanging="360"/>
      </w:pPr>
      <w:rPr>
        <w:rFonts w:ascii="Wingdings" w:hAnsi="Wingdings" w:hint="default"/>
      </w:rPr>
    </w:lvl>
    <w:lvl w:ilvl="6" w:tplc="3E9A2484" w:tentative="1">
      <w:start w:val="1"/>
      <w:numFmt w:val="bullet"/>
      <w:lvlText w:val=""/>
      <w:lvlJc w:val="left"/>
      <w:pPr>
        <w:tabs>
          <w:tab w:val="num" w:pos="5040"/>
        </w:tabs>
        <w:ind w:left="5040" w:hanging="360"/>
      </w:pPr>
      <w:rPr>
        <w:rFonts w:ascii="Wingdings" w:hAnsi="Wingdings" w:hint="default"/>
      </w:rPr>
    </w:lvl>
    <w:lvl w:ilvl="7" w:tplc="5F688B36" w:tentative="1">
      <w:start w:val="1"/>
      <w:numFmt w:val="bullet"/>
      <w:lvlText w:val=""/>
      <w:lvlJc w:val="left"/>
      <w:pPr>
        <w:tabs>
          <w:tab w:val="num" w:pos="5760"/>
        </w:tabs>
        <w:ind w:left="5760" w:hanging="360"/>
      </w:pPr>
      <w:rPr>
        <w:rFonts w:ascii="Wingdings" w:hAnsi="Wingdings" w:hint="default"/>
      </w:rPr>
    </w:lvl>
    <w:lvl w:ilvl="8" w:tplc="0096D1F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EE55C2"/>
    <w:multiLevelType w:val="hybridMultilevel"/>
    <w:tmpl w:val="AF224DBA"/>
    <w:lvl w:ilvl="0" w:tplc="7E3650E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12D5420"/>
    <w:multiLevelType w:val="hybridMultilevel"/>
    <w:tmpl w:val="013E09B6"/>
    <w:lvl w:ilvl="0" w:tplc="83EA15B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621F19F8"/>
    <w:multiLevelType w:val="hybridMultilevel"/>
    <w:tmpl w:val="F19223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30C7C41"/>
    <w:multiLevelType w:val="hybridMultilevel"/>
    <w:tmpl w:val="43BCFCE6"/>
    <w:lvl w:ilvl="0" w:tplc="6310F25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63933E35"/>
    <w:multiLevelType w:val="hybridMultilevel"/>
    <w:tmpl w:val="84A665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63E515C8"/>
    <w:multiLevelType w:val="hybridMultilevel"/>
    <w:tmpl w:val="848A477C"/>
    <w:lvl w:ilvl="0" w:tplc="C456B2A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64974E55"/>
    <w:multiLevelType w:val="hybridMultilevel"/>
    <w:tmpl w:val="F822F534"/>
    <w:lvl w:ilvl="0" w:tplc="BDB69B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65F07FD9"/>
    <w:multiLevelType w:val="hybridMultilevel"/>
    <w:tmpl w:val="766C7EF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6440E12"/>
    <w:multiLevelType w:val="hybridMultilevel"/>
    <w:tmpl w:val="B8182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76276EA"/>
    <w:multiLevelType w:val="hybridMultilevel"/>
    <w:tmpl w:val="E9E46B4C"/>
    <w:lvl w:ilvl="0" w:tplc="74D6CCF8">
      <w:start w:val="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694B247E"/>
    <w:multiLevelType w:val="hybridMultilevel"/>
    <w:tmpl w:val="7AD0F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AAD479B"/>
    <w:multiLevelType w:val="hybridMultilevel"/>
    <w:tmpl w:val="FB98B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F4629DE"/>
    <w:multiLevelType w:val="hybridMultilevel"/>
    <w:tmpl w:val="B07AC3C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635229D"/>
    <w:multiLevelType w:val="hybridMultilevel"/>
    <w:tmpl w:val="9E5CCEAC"/>
    <w:lvl w:ilvl="0" w:tplc="DAA2FD30">
      <w:start w:val="1"/>
      <w:numFmt w:val="low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2" w15:restartNumberingAfterBreak="0">
    <w:nsid w:val="7883168C"/>
    <w:multiLevelType w:val="hybridMultilevel"/>
    <w:tmpl w:val="81BEE9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BF83EC3"/>
    <w:multiLevelType w:val="hybridMultilevel"/>
    <w:tmpl w:val="DAF2E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CD125C3"/>
    <w:multiLevelType w:val="hybridMultilevel"/>
    <w:tmpl w:val="A46094C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5" w15:restartNumberingAfterBreak="0">
    <w:nsid w:val="7CEC3F18"/>
    <w:multiLevelType w:val="hybridMultilevel"/>
    <w:tmpl w:val="FB20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47"/>
  </w:num>
  <w:num w:numId="4">
    <w:abstractNumId w:val="24"/>
  </w:num>
  <w:num w:numId="5">
    <w:abstractNumId w:val="8"/>
  </w:num>
  <w:num w:numId="6">
    <w:abstractNumId w:val="48"/>
  </w:num>
  <w:num w:numId="7">
    <w:abstractNumId w:val="38"/>
  </w:num>
  <w:num w:numId="8">
    <w:abstractNumId w:val="44"/>
  </w:num>
  <w:num w:numId="9">
    <w:abstractNumId w:val="28"/>
  </w:num>
  <w:num w:numId="10">
    <w:abstractNumId w:val="32"/>
  </w:num>
  <w:num w:numId="11">
    <w:abstractNumId w:val="53"/>
  </w:num>
  <w:num w:numId="12">
    <w:abstractNumId w:val="14"/>
  </w:num>
  <w:num w:numId="13">
    <w:abstractNumId w:val="10"/>
  </w:num>
  <w:num w:numId="14">
    <w:abstractNumId w:val="39"/>
  </w:num>
  <w:num w:numId="15">
    <w:abstractNumId w:val="51"/>
  </w:num>
  <w:num w:numId="16">
    <w:abstractNumId w:val="17"/>
  </w:num>
  <w:num w:numId="17">
    <w:abstractNumId w:val="34"/>
  </w:num>
  <w:num w:numId="18">
    <w:abstractNumId w:val="55"/>
  </w:num>
  <w:num w:numId="19">
    <w:abstractNumId w:val="11"/>
  </w:num>
  <w:num w:numId="20">
    <w:abstractNumId w:val="41"/>
  </w:num>
  <w:num w:numId="21">
    <w:abstractNumId w:val="2"/>
  </w:num>
  <w:num w:numId="22">
    <w:abstractNumId w:val="43"/>
  </w:num>
  <w:num w:numId="23">
    <w:abstractNumId w:val="25"/>
  </w:num>
  <w:num w:numId="24">
    <w:abstractNumId w:val="6"/>
  </w:num>
  <w:num w:numId="25">
    <w:abstractNumId w:val="19"/>
  </w:num>
  <w:num w:numId="26">
    <w:abstractNumId w:val="37"/>
  </w:num>
  <w:num w:numId="27">
    <w:abstractNumId w:val="36"/>
  </w:num>
  <w:num w:numId="28">
    <w:abstractNumId w:val="15"/>
  </w:num>
  <w:num w:numId="29">
    <w:abstractNumId w:val="21"/>
  </w:num>
  <w:num w:numId="30">
    <w:abstractNumId w:val="12"/>
  </w:num>
  <w:num w:numId="31">
    <w:abstractNumId w:val="22"/>
  </w:num>
  <w:num w:numId="32">
    <w:abstractNumId w:val="49"/>
  </w:num>
  <w:num w:numId="33">
    <w:abstractNumId w:val="1"/>
  </w:num>
  <w:num w:numId="34">
    <w:abstractNumId w:val="50"/>
  </w:num>
  <w:num w:numId="35">
    <w:abstractNumId w:val="3"/>
  </w:num>
  <w:num w:numId="36">
    <w:abstractNumId w:val="30"/>
  </w:num>
  <w:num w:numId="37">
    <w:abstractNumId w:val="20"/>
  </w:num>
  <w:num w:numId="38">
    <w:abstractNumId w:val="26"/>
  </w:num>
  <w:num w:numId="39">
    <w:abstractNumId w:val="16"/>
  </w:num>
  <w:num w:numId="40">
    <w:abstractNumId w:val="46"/>
  </w:num>
  <w:num w:numId="41">
    <w:abstractNumId w:val="40"/>
  </w:num>
  <w:num w:numId="42">
    <w:abstractNumId w:val="52"/>
  </w:num>
  <w:num w:numId="43">
    <w:abstractNumId w:val="29"/>
  </w:num>
  <w:num w:numId="44">
    <w:abstractNumId w:val="42"/>
  </w:num>
  <w:num w:numId="45">
    <w:abstractNumId w:val="13"/>
  </w:num>
  <w:num w:numId="46">
    <w:abstractNumId w:val="7"/>
  </w:num>
  <w:num w:numId="47">
    <w:abstractNumId w:val="31"/>
  </w:num>
  <w:num w:numId="48">
    <w:abstractNumId w:val="54"/>
  </w:num>
  <w:num w:numId="49">
    <w:abstractNumId w:val="0"/>
  </w:num>
  <w:num w:numId="50">
    <w:abstractNumId w:val="4"/>
  </w:num>
  <w:num w:numId="51">
    <w:abstractNumId w:val="27"/>
  </w:num>
  <w:num w:numId="52">
    <w:abstractNumId w:val="23"/>
  </w:num>
  <w:num w:numId="53">
    <w:abstractNumId w:val="33"/>
  </w:num>
  <w:num w:numId="54">
    <w:abstractNumId w:val="35"/>
  </w:num>
  <w:num w:numId="55">
    <w:abstractNumId w:val="18"/>
  </w:num>
  <w:num w:numId="56">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BA"/>
    <w:rsid w:val="0000003E"/>
    <w:rsid w:val="000004DF"/>
    <w:rsid w:val="00000CFE"/>
    <w:rsid w:val="00001A55"/>
    <w:rsid w:val="00003E66"/>
    <w:rsid w:val="0000645C"/>
    <w:rsid w:val="000070A1"/>
    <w:rsid w:val="00010E21"/>
    <w:rsid w:val="00011BD1"/>
    <w:rsid w:val="00013011"/>
    <w:rsid w:val="00013BBA"/>
    <w:rsid w:val="0001502A"/>
    <w:rsid w:val="000153DD"/>
    <w:rsid w:val="00015DF7"/>
    <w:rsid w:val="00016069"/>
    <w:rsid w:val="0001702E"/>
    <w:rsid w:val="0001748C"/>
    <w:rsid w:val="00017BD4"/>
    <w:rsid w:val="000214ED"/>
    <w:rsid w:val="00021933"/>
    <w:rsid w:val="00021B9E"/>
    <w:rsid w:val="000229D6"/>
    <w:rsid w:val="00023462"/>
    <w:rsid w:val="0002518E"/>
    <w:rsid w:val="0002799A"/>
    <w:rsid w:val="00031021"/>
    <w:rsid w:val="00031A2A"/>
    <w:rsid w:val="000332B6"/>
    <w:rsid w:val="00035501"/>
    <w:rsid w:val="00036854"/>
    <w:rsid w:val="000373C4"/>
    <w:rsid w:val="000373C7"/>
    <w:rsid w:val="00042C08"/>
    <w:rsid w:val="000435D1"/>
    <w:rsid w:val="000435FE"/>
    <w:rsid w:val="00045853"/>
    <w:rsid w:val="00045B6D"/>
    <w:rsid w:val="00045FC2"/>
    <w:rsid w:val="00046515"/>
    <w:rsid w:val="00046A62"/>
    <w:rsid w:val="000476DA"/>
    <w:rsid w:val="00047C72"/>
    <w:rsid w:val="000509CD"/>
    <w:rsid w:val="00050CDE"/>
    <w:rsid w:val="00051275"/>
    <w:rsid w:val="00051A46"/>
    <w:rsid w:val="00054A2A"/>
    <w:rsid w:val="000551FD"/>
    <w:rsid w:val="0005531B"/>
    <w:rsid w:val="0005781F"/>
    <w:rsid w:val="000603E7"/>
    <w:rsid w:val="00060FDA"/>
    <w:rsid w:val="00063FAF"/>
    <w:rsid w:val="0006657B"/>
    <w:rsid w:val="00067DAD"/>
    <w:rsid w:val="000707F1"/>
    <w:rsid w:val="00071AFA"/>
    <w:rsid w:val="0007227A"/>
    <w:rsid w:val="000735D6"/>
    <w:rsid w:val="000768F6"/>
    <w:rsid w:val="00076994"/>
    <w:rsid w:val="00081018"/>
    <w:rsid w:val="000817C9"/>
    <w:rsid w:val="00083033"/>
    <w:rsid w:val="00083991"/>
    <w:rsid w:val="00083B94"/>
    <w:rsid w:val="0008436A"/>
    <w:rsid w:val="00084EB7"/>
    <w:rsid w:val="0008597A"/>
    <w:rsid w:val="00085DF2"/>
    <w:rsid w:val="00086A18"/>
    <w:rsid w:val="00087C05"/>
    <w:rsid w:val="00093451"/>
    <w:rsid w:val="00094949"/>
    <w:rsid w:val="0009547D"/>
    <w:rsid w:val="000968E5"/>
    <w:rsid w:val="000A0644"/>
    <w:rsid w:val="000A3AD3"/>
    <w:rsid w:val="000A3C0C"/>
    <w:rsid w:val="000A4634"/>
    <w:rsid w:val="000A4F1D"/>
    <w:rsid w:val="000A54E6"/>
    <w:rsid w:val="000A567F"/>
    <w:rsid w:val="000A6F83"/>
    <w:rsid w:val="000A7CEB"/>
    <w:rsid w:val="000B08F4"/>
    <w:rsid w:val="000B60F1"/>
    <w:rsid w:val="000B71D4"/>
    <w:rsid w:val="000B79F4"/>
    <w:rsid w:val="000C2DE1"/>
    <w:rsid w:val="000C6344"/>
    <w:rsid w:val="000C6564"/>
    <w:rsid w:val="000C7653"/>
    <w:rsid w:val="000D037E"/>
    <w:rsid w:val="000D1749"/>
    <w:rsid w:val="000D24A4"/>
    <w:rsid w:val="000D3062"/>
    <w:rsid w:val="000D3408"/>
    <w:rsid w:val="000D4AB1"/>
    <w:rsid w:val="000D4C58"/>
    <w:rsid w:val="000D4D30"/>
    <w:rsid w:val="000D5272"/>
    <w:rsid w:val="000D527D"/>
    <w:rsid w:val="000D6088"/>
    <w:rsid w:val="000D626C"/>
    <w:rsid w:val="000D63FA"/>
    <w:rsid w:val="000D73E9"/>
    <w:rsid w:val="000D753B"/>
    <w:rsid w:val="000E0DB0"/>
    <w:rsid w:val="000E185B"/>
    <w:rsid w:val="000E1A3B"/>
    <w:rsid w:val="000E33BD"/>
    <w:rsid w:val="000E434C"/>
    <w:rsid w:val="000E461E"/>
    <w:rsid w:val="000E4E50"/>
    <w:rsid w:val="000F1D34"/>
    <w:rsid w:val="000F1E60"/>
    <w:rsid w:val="000F26DD"/>
    <w:rsid w:val="000F3627"/>
    <w:rsid w:val="000F3AE8"/>
    <w:rsid w:val="000F5A4D"/>
    <w:rsid w:val="000F5FB2"/>
    <w:rsid w:val="000F712C"/>
    <w:rsid w:val="000F753A"/>
    <w:rsid w:val="000F7D1B"/>
    <w:rsid w:val="00100A4B"/>
    <w:rsid w:val="00101025"/>
    <w:rsid w:val="001021A0"/>
    <w:rsid w:val="001031F1"/>
    <w:rsid w:val="00103864"/>
    <w:rsid w:val="00103AC8"/>
    <w:rsid w:val="00103BFA"/>
    <w:rsid w:val="00104E43"/>
    <w:rsid w:val="0010794F"/>
    <w:rsid w:val="00114263"/>
    <w:rsid w:val="00114384"/>
    <w:rsid w:val="0011474B"/>
    <w:rsid w:val="00114D82"/>
    <w:rsid w:val="001153CF"/>
    <w:rsid w:val="0011612D"/>
    <w:rsid w:val="001175E9"/>
    <w:rsid w:val="001222A1"/>
    <w:rsid w:val="00122AD2"/>
    <w:rsid w:val="00122C12"/>
    <w:rsid w:val="00124D95"/>
    <w:rsid w:val="00124E92"/>
    <w:rsid w:val="00126CAC"/>
    <w:rsid w:val="00126F41"/>
    <w:rsid w:val="00127F04"/>
    <w:rsid w:val="00130E0F"/>
    <w:rsid w:val="001355EE"/>
    <w:rsid w:val="00136B5E"/>
    <w:rsid w:val="00136C16"/>
    <w:rsid w:val="00136CC8"/>
    <w:rsid w:val="00136D41"/>
    <w:rsid w:val="00137CCC"/>
    <w:rsid w:val="00140E1B"/>
    <w:rsid w:val="00144255"/>
    <w:rsid w:val="001450D2"/>
    <w:rsid w:val="00147DC7"/>
    <w:rsid w:val="001507F8"/>
    <w:rsid w:val="00151FDD"/>
    <w:rsid w:val="00152BC6"/>
    <w:rsid w:val="00153856"/>
    <w:rsid w:val="001564D3"/>
    <w:rsid w:val="00156BEC"/>
    <w:rsid w:val="00156ED0"/>
    <w:rsid w:val="00157F5E"/>
    <w:rsid w:val="0016012A"/>
    <w:rsid w:val="001618DE"/>
    <w:rsid w:val="00163513"/>
    <w:rsid w:val="001640F9"/>
    <w:rsid w:val="001646C3"/>
    <w:rsid w:val="00164EAD"/>
    <w:rsid w:val="00166156"/>
    <w:rsid w:val="00166FC1"/>
    <w:rsid w:val="001677DC"/>
    <w:rsid w:val="00167E9C"/>
    <w:rsid w:val="00170895"/>
    <w:rsid w:val="0017295B"/>
    <w:rsid w:val="001737F5"/>
    <w:rsid w:val="00174A54"/>
    <w:rsid w:val="0017513A"/>
    <w:rsid w:val="00175613"/>
    <w:rsid w:val="001765CE"/>
    <w:rsid w:val="00177ED6"/>
    <w:rsid w:val="0018069E"/>
    <w:rsid w:val="00180889"/>
    <w:rsid w:val="00180A1F"/>
    <w:rsid w:val="00180C10"/>
    <w:rsid w:val="001810A8"/>
    <w:rsid w:val="00182D84"/>
    <w:rsid w:val="00183111"/>
    <w:rsid w:val="001832CF"/>
    <w:rsid w:val="001834D1"/>
    <w:rsid w:val="0018550D"/>
    <w:rsid w:val="00186F09"/>
    <w:rsid w:val="00187AF7"/>
    <w:rsid w:val="00190D5E"/>
    <w:rsid w:val="00191F49"/>
    <w:rsid w:val="00193851"/>
    <w:rsid w:val="00194A0E"/>
    <w:rsid w:val="00194C22"/>
    <w:rsid w:val="00195946"/>
    <w:rsid w:val="00196CBD"/>
    <w:rsid w:val="001A0231"/>
    <w:rsid w:val="001A0A9D"/>
    <w:rsid w:val="001A105C"/>
    <w:rsid w:val="001A131E"/>
    <w:rsid w:val="001A196E"/>
    <w:rsid w:val="001A30AD"/>
    <w:rsid w:val="001A5858"/>
    <w:rsid w:val="001B0E1C"/>
    <w:rsid w:val="001B1105"/>
    <w:rsid w:val="001B1BD6"/>
    <w:rsid w:val="001B24E1"/>
    <w:rsid w:val="001B413E"/>
    <w:rsid w:val="001B42CA"/>
    <w:rsid w:val="001B4F9A"/>
    <w:rsid w:val="001B513C"/>
    <w:rsid w:val="001B637C"/>
    <w:rsid w:val="001B7F81"/>
    <w:rsid w:val="001C1A62"/>
    <w:rsid w:val="001C2D88"/>
    <w:rsid w:val="001D0144"/>
    <w:rsid w:val="001D0BE0"/>
    <w:rsid w:val="001D1719"/>
    <w:rsid w:val="001D4316"/>
    <w:rsid w:val="001D44C4"/>
    <w:rsid w:val="001D5AA9"/>
    <w:rsid w:val="001D7EE2"/>
    <w:rsid w:val="001E03A2"/>
    <w:rsid w:val="001E0992"/>
    <w:rsid w:val="001E1C01"/>
    <w:rsid w:val="001E2E5A"/>
    <w:rsid w:val="001E4863"/>
    <w:rsid w:val="001E60E6"/>
    <w:rsid w:val="001E6986"/>
    <w:rsid w:val="001E6CDF"/>
    <w:rsid w:val="001E72EC"/>
    <w:rsid w:val="001E7CBE"/>
    <w:rsid w:val="001F03AF"/>
    <w:rsid w:val="001F1CF3"/>
    <w:rsid w:val="001F1E2A"/>
    <w:rsid w:val="001F2590"/>
    <w:rsid w:val="001F29D9"/>
    <w:rsid w:val="001F3165"/>
    <w:rsid w:val="001F331A"/>
    <w:rsid w:val="001F4AE5"/>
    <w:rsid w:val="001F50DB"/>
    <w:rsid w:val="001F6D99"/>
    <w:rsid w:val="002008B9"/>
    <w:rsid w:val="00200A08"/>
    <w:rsid w:val="00200D14"/>
    <w:rsid w:val="002015DA"/>
    <w:rsid w:val="002035D4"/>
    <w:rsid w:val="002055FA"/>
    <w:rsid w:val="00205CB0"/>
    <w:rsid w:val="00207429"/>
    <w:rsid w:val="002078E3"/>
    <w:rsid w:val="0021135A"/>
    <w:rsid w:val="00213962"/>
    <w:rsid w:val="0021453A"/>
    <w:rsid w:val="002145B0"/>
    <w:rsid w:val="002149F7"/>
    <w:rsid w:val="00216C89"/>
    <w:rsid w:val="002179CA"/>
    <w:rsid w:val="002208BE"/>
    <w:rsid w:val="00220C33"/>
    <w:rsid w:val="00220D96"/>
    <w:rsid w:val="002211DB"/>
    <w:rsid w:val="0022260D"/>
    <w:rsid w:val="00223189"/>
    <w:rsid w:val="00223E69"/>
    <w:rsid w:val="00224299"/>
    <w:rsid w:val="002243B8"/>
    <w:rsid w:val="00225E87"/>
    <w:rsid w:val="00226630"/>
    <w:rsid w:val="00226AB2"/>
    <w:rsid w:val="002270CB"/>
    <w:rsid w:val="0022728D"/>
    <w:rsid w:val="00230C88"/>
    <w:rsid w:val="00231918"/>
    <w:rsid w:val="0023496D"/>
    <w:rsid w:val="00235186"/>
    <w:rsid w:val="00235C48"/>
    <w:rsid w:val="002363F0"/>
    <w:rsid w:val="002366B5"/>
    <w:rsid w:val="00236D2A"/>
    <w:rsid w:val="00237CA5"/>
    <w:rsid w:val="00241432"/>
    <w:rsid w:val="002421BD"/>
    <w:rsid w:val="00243434"/>
    <w:rsid w:val="00243D39"/>
    <w:rsid w:val="002440C0"/>
    <w:rsid w:val="002455B8"/>
    <w:rsid w:val="00246304"/>
    <w:rsid w:val="00246EC0"/>
    <w:rsid w:val="00247B25"/>
    <w:rsid w:val="00247DD1"/>
    <w:rsid w:val="00250471"/>
    <w:rsid w:val="00251740"/>
    <w:rsid w:val="00252436"/>
    <w:rsid w:val="00252812"/>
    <w:rsid w:val="00252E6E"/>
    <w:rsid w:val="0025319C"/>
    <w:rsid w:val="00253B6A"/>
    <w:rsid w:val="00254311"/>
    <w:rsid w:val="00255E06"/>
    <w:rsid w:val="00255EB0"/>
    <w:rsid w:val="0026441D"/>
    <w:rsid w:val="00264ED6"/>
    <w:rsid w:val="00265251"/>
    <w:rsid w:val="00265702"/>
    <w:rsid w:val="002670B1"/>
    <w:rsid w:val="00267188"/>
    <w:rsid w:val="002700C6"/>
    <w:rsid w:val="002707D2"/>
    <w:rsid w:val="00270E70"/>
    <w:rsid w:val="00272665"/>
    <w:rsid w:val="00273C3F"/>
    <w:rsid w:val="002740C4"/>
    <w:rsid w:val="00274CAE"/>
    <w:rsid w:val="00275023"/>
    <w:rsid w:val="00277AE6"/>
    <w:rsid w:val="00282BB3"/>
    <w:rsid w:val="002831E5"/>
    <w:rsid w:val="00283347"/>
    <w:rsid w:val="00284180"/>
    <w:rsid w:val="00287EFC"/>
    <w:rsid w:val="00292EB5"/>
    <w:rsid w:val="00294203"/>
    <w:rsid w:val="002954C3"/>
    <w:rsid w:val="00297865"/>
    <w:rsid w:val="002A1207"/>
    <w:rsid w:val="002A3A4A"/>
    <w:rsid w:val="002A4828"/>
    <w:rsid w:val="002B0E1D"/>
    <w:rsid w:val="002B1D6D"/>
    <w:rsid w:val="002B47AC"/>
    <w:rsid w:val="002B51BB"/>
    <w:rsid w:val="002B56AB"/>
    <w:rsid w:val="002C0E4D"/>
    <w:rsid w:val="002C12CE"/>
    <w:rsid w:val="002C1F87"/>
    <w:rsid w:val="002C36F7"/>
    <w:rsid w:val="002C5288"/>
    <w:rsid w:val="002C6122"/>
    <w:rsid w:val="002C79B2"/>
    <w:rsid w:val="002D0E97"/>
    <w:rsid w:val="002D39E2"/>
    <w:rsid w:val="002D7AA0"/>
    <w:rsid w:val="002D7ABC"/>
    <w:rsid w:val="002D7D8B"/>
    <w:rsid w:val="002E16D2"/>
    <w:rsid w:val="002E1F30"/>
    <w:rsid w:val="002E3201"/>
    <w:rsid w:val="002E5042"/>
    <w:rsid w:val="002E5645"/>
    <w:rsid w:val="002E5C8E"/>
    <w:rsid w:val="002F02AA"/>
    <w:rsid w:val="002F0836"/>
    <w:rsid w:val="002F20C7"/>
    <w:rsid w:val="002F38D6"/>
    <w:rsid w:val="002F4553"/>
    <w:rsid w:val="002F562C"/>
    <w:rsid w:val="002F5A64"/>
    <w:rsid w:val="002F6F80"/>
    <w:rsid w:val="002F73B4"/>
    <w:rsid w:val="002F790C"/>
    <w:rsid w:val="003000FA"/>
    <w:rsid w:val="0030224C"/>
    <w:rsid w:val="003044FD"/>
    <w:rsid w:val="00304BE1"/>
    <w:rsid w:val="00305836"/>
    <w:rsid w:val="00306D8F"/>
    <w:rsid w:val="00307C4D"/>
    <w:rsid w:val="00311A47"/>
    <w:rsid w:val="00311AAF"/>
    <w:rsid w:val="003136D1"/>
    <w:rsid w:val="00314797"/>
    <w:rsid w:val="0031509C"/>
    <w:rsid w:val="00315C82"/>
    <w:rsid w:val="00315CB5"/>
    <w:rsid w:val="0031609A"/>
    <w:rsid w:val="003170D6"/>
    <w:rsid w:val="00321227"/>
    <w:rsid w:val="003213CB"/>
    <w:rsid w:val="00322D11"/>
    <w:rsid w:val="00322F12"/>
    <w:rsid w:val="0032302F"/>
    <w:rsid w:val="00323857"/>
    <w:rsid w:val="00326E75"/>
    <w:rsid w:val="00327670"/>
    <w:rsid w:val="00331489"/>
    <w:rsid w:val="00331F49"/>
    <w:rsid w:val="0033298F"/>
    <w:rsid w:val="00332B80"/>
    <w:rsid w:val="00332D13"/>
    <w:rsid w:val="00334E43"/>
    <w:rsid w:val="003359C3"/>
    <w:rsid w:val="00337D03"/>
    <w:rsid w:val="0034135C"/>
    <w:rsid w:val="0034141D"/>
    <w:rsid w:val="00343036"/>
    <w:rsid w:val="00344B96"/>
    <w:rsid w:val="00344EB8"/>
    <w:rsid w:val="0034599A"/>
    <w:rsid w:val="00346844"/>
    <w:rsid w:val="00347911"/>
    <w:rsid w:val="00347915"/>
    <w:rsid w:val="00350A33"/>
    <w:rsid w:val="00350A99"/>
    <w:rsid w:val="003512DF"/>
    <w:rsid w:val="00351569"/>
    <w:rsid w:val="0035163B"/>
    <w:rsid w:val="00352526"/>
    <w:rsid w:val="00352FC6"/>
    <w:rsid w:val="003534CC"/>
    <w:rsid w:val="00353D84"/>
    <w:rsid w:val="00356056"/>
    <w:rsid w:val="00356405"/>
    <w:rsid w:val="00357950"/>
    <w:rsid w:val="00357A5B"/>
    <w:rsid w:val="003609F6"/>
    <w:rsid w:val="003613CB"/>
    <w:rsid w:val="003622FA"/>
    <w:rsid w:val="00363955"/>
    <w:rsid w:val="00364128"/>
    <w:rsid w:val="00364193"/>
    <w:rsid w:val="00364E1D"/>
    <w:rsid w:val="00365733"/>
    <w:rsid w:val="003660B6"/>
    <w:rsid w:val="0036722D"/>
    <w:rsid w:val="00370A8B"/>
    <w:rsid w:val="003710FA"/>
    <w:rsid w:val="0037160F"/>
    <w:rsid w:val="00372B91"/>
    <w:rsid w:val="00373106"/>
    <w:rsid w:val="00375F7D"/>
    <w:rsid w:val="00376B69"/>
    <w:rsid w:val="003800CF"/>
    <w:rsid w:val="00380565"/>
    <w:rsid w:val="00380BD7"/>
    <w:rsid w:val="003812C3"/>
    <w:rsid w:val="00381B37"/>
    <w:rsid w:val="00382204"/>
    <w:rsid w:val="00382375"/>
    <w:rsid w:val="00383BD0"/>
    <w:rsid w:val="00384147"/>
    <w:rsid w:val="003848DD"/>
    <w:rsid w:val="003862AD"/>
    <w:rsid w:val="00386AAC"/>
    <w:rsid w:val="00387CDC"/>
    <w:rsid w:val="0039275B"/>
    <w:rsid w:val="00392D5D"/>
    <w:rsid w:val="00393638"/>
    <w:rsid w:val="00393782"/>
    <w:rsid w:val="003939B8"/>
    <w:rsid w:val="00394764"/>
    <w:rsid w:val="00395609"/>
    <w:rsid w:val="0039561F"/>
    <w:rsid w:val="00395AE3"/>
    <w:rsid w:val="003A08CC"/>
    <w:rsid w:val="003A1629"/>
    <w:rsid w:val="003A21E4"/>
    <w:rsid w:val="003A2C75"/>
    <w:rsid w:val="003A39AE"/>
    <w:rsid w:val="003A3AAC"/>
    <w:rsid w:val="003A3BDF"/>
    <w:rsid w:val="003A58DD"/>
    <w:rsid w:val="003A6971"/>
    <w:rsid w:val="003A7151"/>
    <w:rsid w:val="003A732D"/>
    <w:rsid w:val="003B050C"/>
    <w:rsid w:val="003B0530"/>
    <w:rsid w:val="003B0E29"/>
    <w:rsid w:val="003B39F4"/>
    <w:rsid w:val="003B482B"/>
    <w:rsid w:val="003C03F1"/>
    <w:rsid w:val="003C08F1"/>
    <w:rsid w:val="003C2AA8"/>
    <w:rsid w:val="003C2DF7"/>
    <w:rsid w:val="003C4E3A"/>
    <w:rsid w:val="003C6E56"/>
    <w:rsid w:val="003C788C"/>
    <w:rsid w:val="003D056D"/>
    <w:rsid w:val="003D12D0"/>
    <w:rsid w:val="003D436B"/>
    <w:rsid w:val="003D48CA"/>
    <w:rsid w:val="003D4E5E"/>
    <w:rsid w:val="003D5586"/>
    <w:rsid w:val="003D71CB"/>
    <w:rsid w:val="003D7F79"/>
    <w:rsid w:val="003E0F87"/>
    <w:rsid w:val="003E148F"/>
    <w:rsid w:val="003E35CF"/>
    <w:rsid w:val="003E3B2D"/>
    <w:rsid w:val="003E4C3B"/>
    <w:rsid w:val="003E5B3B"/>
    <w:rsid w:val="003F0066"/>
    <w:rsid w:val="003F18F0"/>
    <w:rsid w:val="003F377C"/>
    <w:rsid w:val="003F3D27"/>
    <w:rsid w:val="003F530D"/>
    <w:rsid w:val="003F6A1F"/>
    <w:rsid w:val="003F75F6"/>
    <w:rsid w:val="00400092"/>
    <w:rsid w:val="004013DE"/>
    <w:rsid w:val="00403C72"/>
    <w:rsid w:val="0040585C"/>
    <w:rsid w:val="004058FC"/>
    <w:rsid w:val="004066E8"/>
    <w:rsid w:val="00406797"/>
    <w:rsid w:val="00407CFA"/>
    <w:rsid w:val="00412A42"/>
    <w:rsid w:val="00414EA9"/>
    <w:rsid w:val="0041507F"/>
    <w:rsid w:val="004177B5"/>
    <w:rsid w:val="004207A2"/>
    <w:rsid w:val="0042131B"/>
    <w:rsid w:val="004223F9"/>
    <w:rsid w:val="0042429D"/>
    <w:rsid w:val="004269B3"/>
    <w:rsid w:val="00427C6A"/>
    <w:rsid w:val="004308F8"/>
    <w:rsid w:val="00432604"/>
    <w:rsid w:val="0043330E"/>
    <w:rsid w:val="0043475F"/>
    <w:rsid w:val="00434CAB"/>
    <w:rsid w:val="00443675"/>
    <w:rsid w:val="004453C8"/>
    <w:rsid w:val="00445649"/>
    <w:rsid w:val="00447B9F"/>
    <w:rsid w:val="00450453"/>
    <w:rsid w:val="00452187"/>
    <w:rsid w:val="004528A7"/>
    <w:rsid w:val="0045299D"/>
    <w:rsid w:val="00452E1E"/>
    <w:rsid w:val="00452F21"/>
    <w:rsid w:val="00454321"/>
    <w:rsid w:val="0045472D"/>
    <w:rsid w:val="00455430"/>
    <w:rsid w:val="00455F4B"/>
    <w:rsid w:val="00456069"/>
    <w:rsid w:val="00456129"/>
    <w:rsid w:val="00460127"/>
    <w:rsid w:val="0046134D"/>
    <w:rsid w:val="0046356F"/>
    <w:rsid w:val="0046528E"/>
    <w:rsid w:val="0046750A"/>
    <w:rsid w:val="00470D2A"/>
    <w:rsid w:val="004754B3"/>
    <w:rsid w:val="00477AB2"/>
    <w:rsid w:val="00480ACA"/>
    <w:rsid w:val="0048298D"/>
    <w:rsid w:val="004836F7"/>
    <w:rsid w:val="004851C6"/>
    <w:rsid w:val="0048581F"/>
    <w:rsid w:val="00486D8A"/>
    <w:rsid w:val="00487B3E"/>
    <w:rsid w:val="00491185"/>
    <w:rsid w:val="00491274"/>
    <w:rsid w:val="00491A43"/>
    <w:rsid w:val="0049221C"/>
    <w:rsid w:val="00492CB1"/>
    <w:rsid w:val="00494323"/>
    <w:rsid w:val="0049503E"/>
    <w:rsid w:val="00495F0D"/>
    <w:rsid w:val="00495F18"/>
    <w:rsid w:val="00496724"/>
    <w:rsid w:val="004A1169"/>
    <w:rsid w:val="004A19E2"/>
    <w:rsid w:val="004A2121"/>
    <w:rsid w:val="004A2694"/>
    <w:rsid w:val="004A285B"/>
    <w:rsid w:val="004A307A"/>
    <w:rsid w:val="004A7A1F"/>
    <w:rsid w:val="004B02FA"/>
    <w:rsid w:val="004B0436"/>
    <w:rsid w:val="004B20CE"/>
    <w:rsid w:val="004B25E1"/>
    <w:rsid w:val="004B4D3F"/>
    <w:rsid w:val="004C1182"/>
    <w:rsid w:val="004C1E4C"/>
    <w:rsid w:val="004C2648"/>
    <w:rsid w:val="004C53D4"/>
    <w:rsid w:val="004C6519"/>
    <w:rsid w:val="004D0BE9"/>
    <w:rsid w:val="004D1915"/>
    <w:rsid w:val="004D2249"/>
    <w:rsid w:val="004D48DB"/>
    <w:rsid w:val="004D71F8"/>
    <w:rsid w:val="004D796A"/>
    <w:rsid w:val="004E1BD7"/>
    <w:rsid w:val="004E2983"/>
    <w:rsid w:val="004E30CD"/>
    <w:rsid w:val="004E4383"/>
    <w:rsid w:val="004E4526"/>
    <w:rsid w:val="004E4F85"/>
    <w:rsid w:val="004E5C8A"/>
    <w:rsid w:val="004F010E"/>
    <w:rsid w:val="004F07AE"/>
    <w:rsid w:val="004F0BC6"/>
    <w:rsid w:val="004F12D3"/>
    <w:rsid w:val="004F19E4"/>
    <w:rsid w:val="004F207B"/>
    <w:rsid w:val="004F3A9D"/>
    <w:rsid w:val="004F428C"/>
    <w:rsid w:val="004F6BCD"/>
    <w:rsid w:val="0050350C"/>
    <w:rsid w:val="00503A65"/>
    <w:rsid w:val="00507FB4"/>
    <w:rsid w:val="00510429"/>
    <w:rsid w:val="00510E05"/>
    <w:rsid w:val="0051218F"/>
    <w:rsid w:val="0051276A"/>
    <w:rsid w:val="00514778"/>
    <w:rsid w:val="00515102"/>
    <w:rsid w:val="00517359"/>
    <w:rsid w:val="005204F4"/>
    <w:rsid w:val="005243E9"/>
    <w:rsid w:val="0052558D"/>
    <w:rsid w:val="0053058D"/>
    <w:rsid w:val="005306AA"/>
    <w:rsid w:val="00533447"/>
    <w:rsid w:val="005339AD"/>
    <w:rsid w:val="00535D59"/>
    <w:rsid w:val="0053607F"/>
    <w:rsid w:val="00540F14"/>
    <w:rsid w:val="00540FA2"/>
    <w:rsid w:val="00541805"/>
    <w:rsid w:val="00543E29"/>
    <w:rsid w:val="005441DD"/>
    <w:rsid w:val="00544794"/>
    <w:rsid w:val="00546179"/>
    <w:rsid w:val="00546CA4"/>
    <w:rsid w:val="00550BDB"/>
    <w:rsid w:val="00550C55"/>
    <w:rsid w:val="00550C68"/>
    <w:rsid w:val="00552A04"/>
    <w:rsid w:val="00555229"/>
    <w:rsid w:val="005569F9"/>
    <w:rsid w:val="00557287"/>
    <w:rsid w:val="005605D7"/>
    <w:rsid w:val="00560940"/>
    <w:rsid w:val="00560FA9"/>
    <w:rsid w:val="00561B76"/>
    <w:rsid w:val="00562800"/>
    <w:rsid w:val="005629B2"/>
    <w:rsid w:val="0056335C"/>
    <w:rsid w:val="0056442E"/>
    <w:rsid w:val="005664D5"/>
    <w:rsid w:val="00567466"/>
    <w:rsid w:val="0057203A"/>
    <w:rsid w:val="0057265F"/>
    <w:rsid w:val="005737B2"/>
    <w:rsid w:val="0057430D"/>
    <w:rsid w:val="0057466C"/>
    <w:rsid w:val="005747FF"/>
    <w:rsid w:val="0057569D"/>
    <w:rsid w:val="00582391"/>
    <w:rsid w:val="0058334E"/>
    <w:rsid w:val="00584E06"/>
    <w:rsid w:val="00585789"/>
    <w:rsid w:val="005872BA"/>
    <w:rsid w:val="00587A53"/>
    <w:rsid w:val="0059093E"/>
    <w:rsid w:val="005912B8"/>
    <w:rsid w:val="00591D9E"/>
    <w:rsid w:val="005926D9"/>
    <w:rsid w:val="00595913"/>
    <w:rsid w:val="005968D0"/>
    <w:rsid w:val="00597312"/>
    <w:rsid w:val="0059759C"/>
    <w:rsid w:val="0059784F"/>
    <w:rsid w:val="00597AEC"/>
    <w:rsid w:val="005A096C"/>
    <w:rsid w:val="005A116D"/>
    <w:rsid w:val="005A2962"/>
    <w:rsid w:val="005A34DD"/>
    <w:rsid w:val="005A38CD"/>
    <w:rsid w:val="005A454F"/>
    <w:rsid w:val="005A58F2"/>
    <w:rsid w:val="005A6B39"/>
    <w:rsid w:val="005A70EA"/>
    <w:rsid w:val="005A78B7"/>
    <w:rsid w:val="005B057C"/>
    <w:rsid w:val="005B1BDB"/>
    <w:rsid w:val="005B218D"/>
    <w:rsid w:val="005B307B"/>
    <w:rsid w:val="005B3443"/>
    <w:rsid w:val="005B390C"/>
    <w:rsid w:val="005B3A6B"/>
    <w:rsid w:val="005B58DC"/>
    <w:rsid w:val="005B5E41"/>
    <w:rsid w:val="005B698F"/>
    <w:rsid w:val="005C0215"/>
    <w:rsid w:val="005C0598"/>
    <w:rsid w:val="005C105A"/>
    <w:rsid w:val="005C28BE"/>
    <w:rsid w:val="005C2EDD"/>
    <w:rsid w:val="005C334C"/>
    <w:rsid w:val="005C3C88"/>
    <w:rsid w:val="005C46E7"/>
    <w:rsid w:val="005C53DC"/>
    <w:rsid w:val="005C63BA"/>
    <w:rsid w:val="005D30C7"/>
    <w:rsid w:val="005D4481"/>
    <w:rsid w:val="005D494D"/>
    <w:rsid w:val="005D62D0"/>
    <w:rsid w:val="005E0B2B"/>
    <w:rsid w:val="005E0EEC"/>
    <w:rsid w:val="005E132C"/>
    <w:rsid w:val="005E189A"/>
    <w:rsid w:val="005E2993"/>
    <w:rsid w:val="005E2DF7"/>
    <w:rsid w:val="005E40F2"/>
    <w:rsid w:val="005E4710"/>
    <w:rsid w:val="005E6C03"/>
    <w:rsid w:val="005E780F"/>
    <w:rsid w:val="005E78EF"/>
    <w:rsid w:val="005E7A16"/>
    <w:rsid w:val="005F09F9"/>
    <w:rsid w:val="005F3CE7"/>
    <w:rsid w:val="005F4DCC"/>
    <w:rsid w:val="005F585A"/>
    <w:rsid w:val="005F5DF3"/>
    <w:rsid w:val="005F7638"/>
    <w:rsid w:val="005F7DE1"/>
    <w:rsid w:val="00601A09"/>
    <w:rsid w:val="00603213"/>
    <w:rsid w:val="00603286"/>
    <w:rsid w:val="00603719"/>
    <w:rsid w:val="006042AB"/>
    <w:rsid w:val="00604C03"/>
    <w:rsid w:val="006061D5"/>
    <w:rsid w:val="00607641"/>
    <w:rsid w:val="006077B2"/>
    <w:rsid w:val="0061016A"/>
    <w:rsid w:val="00610226"/>
    <w:rsid w:val="00610FCE"/>
    <w:rsid w:val="00612155"/>
    <w:rsid w:val="00612358"/>
    <w:rsid w:val="00613518"/>
    <w:rsid w:val="00613E71"/>
    <w:rsid w:val="00614399"/>
    <w:rsid w:val="00616983"/>
    <w:rsid w:val="00616B31"/>
    <w:rsid w:val="0062198F"/>
    <w:rsid w:val="00622E76"/>
    <w:rsid w:val="006236C3"/>
    <w:rsid w:val="006242E1"/>
    <w:rsid w:val="00625B7D"/>
    <w:rsid w:val="00632230"/>
    <w:rsid w:val="006333FD"/>
    <w:rsid w:val="0063350F"/>
    <w:rsid w:val="00636F1E"/>
    <w:rsid w:val="00640247"/>
    <w:rsid w:val="006405ED"/>
    <w:rsid w:val="0064080B"/>
    <w:rsid w:val="00640B83"/>
    <w:rsid w:val="0064208C"/>
    <w:rsid w:val="00642B31"/>
    <w:rsid w:val="00644104"/>
    <w:rsid w:val="00645951"/>
    <w:rsid w:val="00647044"/>
    <w:rsid w:val="00647894"/>
    <w:rsid w:val="00650BF3"/>
    <w:rsid w:val="00650C6B"/>
    <w:rsid w:val="00651402"/>
    <w:rsid w:val="00652AE0"/>
    <w:rsid w:val="00653AC6"/>
    <w:rsid w:val="006541E2"/>
    <w:rsid w:val="006553E2"/>
    <w:rsid w:val="00655559"/>
    <w:rsid w:val="006564BC"/>
    <w:rsid w:val="0066152A"/>
    <w:rsid w:val="00662FDB"/>
    <w:rsid w:val="00665543"/>
    <w:rsid w:val="00665EAA"/>
    <w:rsid w:val="00665FDC"/>
    <w:rsid w:val="006735C3"/>
    <w:rsid w:val="006749B5"/>
    <w:rsid w:val="00675DF7"/>
    <w:rsid w:val="00676CB8"/>
    <w:rsid w:val="00681313"/>
    <w:rsid w:val="00682742"/>
    <w:rsid w:val="00682FCA"/>
    <w:rsid w:val="006837C3"/>
    <w:rsid w:val="006838B8"/>
    <w:rsid w:val="00683B04"/>
    <w:rsid w:val="00683E8E"/>
    <w:rsid w:val="006857AA"/>
    <w:rsid w:val="00685A57"/>
    <w:rsid w:val="00687807"/>
    <w:rsid w:val="00687E3F"/>
    <w:rsid w:val="0069007C"/>
    <w:rsid w:val="0069204A"/>
    <w:rsid w:val="00692DD2"/>
    <w:rsid w:val="006946DF"/>
    <w:rsid w:val="0069481F"/>
    <w:rsid w:val="0069483D"/>
    <w:rsid w:val="00695172"/>
    <w:rsid w:val="00695734"/>
    <w:rsid w:val="00696EAE"/>
    <w:rsid w:val="00697CEF"/>
    <w:rsid w:val="006A0E53"/>
    <w:rsid w:val="006A128B"/>
    <w:rsid w:val="006A3BF7"/>
    <w:rsid w:val="006A5EB0"/>
    <w:rsid w:val="006B0C18"/>
    <w:rsid w:val="006B0F57"/>
    <w:rsid w:val="006B3439"/>
    <w:rsid w:val="006B4F25"/>
    <w:rsid w:val="006B4F37"/>
    <w:rsid w:val="006B5E48"/>
    <w:rsid w:val="006C0B0B"/>
    <w:rsid w:val="006C1817"/>
    <w:rsid w:val="006C2526"/>
    <w:rsid w:val="006C29FC"/>
    <w:rsid w:val="006C502C"/>
    <w:rsid w:val="006D07B7"/>
    <w:rsid w:val="006D0B13"/>
    <w:rsid w:val="006D24A1"/>
    <w:rsid w:val="006D2DA6"/>
    <w:rsid w:val="006D2DF3"/>
    <w:rsid w:val="006D3B58"/>
    <w:rsid w:val="006D6F18"/>
    <w:rsid w:val="006D7825"/>
    <w:rsid w:val="006E1360"/>
    <w:rsid w:val="006E17BE"/>
    <w:rsid w:val="006E2330"/>
    <w:rsid w:val="006E38F0"/>
    <w:rsid w:val="006E643D"/>
    <w:rsid w:val="006E6846"/>
    <w:rsid w:val="006E76E0"/>
    <w:rsid w:val="006F35F2"/>
    <w:rsid w:val="006F3EAB"/>
    <w:rsid w:val="006F46C8"/>
    <w:rsid w:val="006F47BB"/>
    <w:rsid w:val="006F62F0"/>
    <w:rsid w:val="006F6E2D"/>
    <w:rsid w:val="0070148C"/>
    <w:rsid w:val="007015C6"/>
    <w:rsid w:val="00702E54"/>
    <w:rsid w:val="00702E95"/>
    <w:rsid w:val="007041DA"/>
    <w:rsid w:val="00712457"/>
    <w:rsid w:val="00715C37"/>
    <w:rsid w:val="00716C0F"/>
    <w:rsid w:val="00717D2C"/>
    <w:rsid w:val="007220C6"/>
    <w:rsid w:val="007228C1"/>
    <w:rsid w:val="00723471"/>
    <w:rsid w:val="00723B73"/>
    <w:rsid w:val="00724BBF"/>
    <w:rsid w:val="00727A7B"/>
    <w:rsid w:val="0073171B"/>
    <w:rsid w:val="007343E4"/>
    <w:rsid w:val="007344BA"/>
    <w:rsid w:val="00735C70"/>
    <w:rsid w:val="00735F49"/>
    <w:rsid w:val="0073675F"/>
    <w:rsid w:val="00736CFF"/>
    <w:rsid w:val="00737455"/>
    <w:rsid w:val="00741DD8"/>
    <w:rsid w:val="00742467"/>
    <w:rsid w:val="00744CBF"/>
    <w:rsid w:val="00745FF9"/>
    <w:rsid w:val="00746513"/>
    <w:rsid w:val="00747093"/>
    <w:rsid w:val="00750838"/>
    <w:rsid w:val="0075396F"/>
    <w:rsid w:val="0075563E"/>
    <w:rsid w:val="007557BB"/>
    <w:rsid w:val="00755D99"/>
    <w:rsid w:val="00755E15"/>
    <w:rsid w:val="007569C7"/>
    <w:rsid w:val="00756B2B"/>
    <w:rsid w:val="0075705B"/>
    <w:rsid w:val="00757FDF"/>
    <w:rsid w:val="007601F3"/>
    <w:rsid w:val="007609AC"/>
    <w:rsid w:val="0076107A"/>
    <w:rsid w:val="007620EF"/>
    <w:rsid w:val="0076359C"/>
    <w:rsid w:val="00766903"/>
    <w:rsid w:val="00775267"/>
    <w:rsid w:val="007760DB"/>
    <w:rsid w:val="00777436"/>
    <w:rsid w:val="00777A16"/>
    <w:rsid w:val="00780405"/>
    <w:rsid w:val="00780675"/>
    <w:rsid w:val="007808ED"/>
    <w:rsid w:val="007814C4"/>
    <w:rsid w:val="0078195F"/>
    <w:rsid w:val="00781A79"/>
    <w:rsid w:val="00782237"/>
    <w:rsid w:val="00782250"/>
    <w:rsid w:val="00782792"/>
    <w:rsid w:val="00782879"/>
    <w:rsid w:val="00782BBC"/>
    <w:rsid w:val="00784CE4"/>
    <w:rsid w:val="00787BBB"/>
    <w:rsid w:val="0079029E"/>
    <w:rsid w:val="007910AB"/>
    <w:rsid w:val="00791A9A"/>
    <w:rsid w:val="00791C27"/>
    <w:rsid w:val="00794040"/>
    <w:rsid w:val="00794529"/>
    <w:rsid w:val="00794CC9"/>
    <w:rsid w:val="00794F87"/>
    <w:rsid w:val="00796714"/>
    <w:rsid w:val="00797B18"/>
    <w:rsid w:val="007A033B"/>
    <w:rsid w:val="007A099F"/>
    <w:rsid w:val="007A0DF9"/>
    <w:rsid w:val="007A4FC1"/>
    <w:rsid w:val="007B06DF"/>
    <w:rsid w:val="007B0C64"/>
    <w:rsid w:val="007B1C6A"/>
    <w:rsid w:val="007B22F1"/>
    <w:rsid w:val="007B75C2"/>
    <w:rsid w:val="007C3354"/>
    <w:rsid w:val="007C34B6"/>
    <w:rsid w:val="007C366F"/>
    <w:rsid w:val="007C383A"/>
    <w:rsid w:val="007C3E91"/>
    <w:rsid w:val="007C574B"/>
    <w:rsid w:val="007C7EEF"/>
    <w:rsid w:val="007D0AFE"/>
    <w:rsid w:val="007D114A"/>
    <w:rsid w:val="007D188F"/>
    <w:rsid w:val="007D25EF"/>
    <w:rsid w:val="007D3ACF"/>
    <w:rsid w:val="007D3D05"/>
    <w:rsid w:val="007D44DE"/>
    <w:rsid w:val="007D539B"/>
    <w:rsid w:val="007D5912"/>
    <w:rsid w:val="007D5ECE"/>
    <w:rsid w:val="007D60BE"/>
    <w:rsid w:val="007D71B9"/>
    <w:rsid w:val="007D7741"/>
    <w:rsid w:val="007D79D8"/>
    <w:rsid w:val="007D7A52"/>
    <w:rsid w:val="007E2070"/>
    <w:rsid w:val="007E287D"/>
    <w:rsid w:val="007E2FF9"/>
    <w:rsid w:val="007E32E3"/>
    <w:rsid w:val="007E3915"/>
    <w:rsid w:val="007E4AD8"/>
    <w:rsid w:val="007F0023"/>
    <w:rsid w:val="007F1DC7"/>
    <w:rsid w:val="007F1FFC"/>
    <w:rsid w:val="007F4FF0"/>
    <w:rsid w:val="007F5DDD"/>
    <w:rsid w:val="007F7B70"/>
    <w:rsid w:val="008009EC"/>
    <w:rsid w:val="00801092"/>
    <w:rsid w:val="008021B4"/>
    <w:rsid w:val="0080358D"/>
    <w:rsid w:val="00803E01"/>
    <w:rsid w:val="00804145"/>
    <w:rsid w:val="00806416"/>
    <w:rsid w:val="0080693D"/>
    <w:rsid w:val="00806AAB"/>
    <w:rsid w:val="00807037"/>
    <w:rsid w:val="00810920"/>
    <w:rsid w:val="00811703"/>
    <w:rsid w:val="0081273C"/>
    <w:rsid w:val="00812FD7"/>
    <w:rsid w:val="008130F4"/>
    <w:rsid w:val="00813A22"/>
    <w:rsid w:val="00813C85"/>
    <w:rsid w:val="0082158F"/>
    <w:rsid w:val="008227BA"/>
    <w:rsid w:val="00822832"/>
    <w:rsid w:val="00825485"/>
    <w:rsid w:val="00825E29"/>
    <w:rsid w:val="00826751"/>
    <w:rsid w:val="00826AED"/>
    <w:rsid w:val="00826D0A"/>
    <w:rsid w:val="00826E33"/>
    <w:rsid w:val="00826E9B"/>
    <w:rsid w:val="008327D9"/>
    <w:rsid w:val="00832CD8"/>
    <w:rsid w:val="00833B82"/>
    <w:rsid w:val="0083403E"/>
    <w:rsid w:val="008344C9"/>
    <w:rsid w:val="008352F9"/>
    <w:rsid w:val="00835512"/>
    <w:rsid w:val="00835A32"/>
    <w:rsid w:val="008362E7"/>
    <w:rsid w:val="00836E3E"/>
    <w:rsid w:val="00840C5D"/>
    <w:rsid w:val="008443BA"/>
    <w:rsid w:val="00846D0D"/>
    <w:rsid w:val="00847803"/>
    <w:rsid w:val="008503F2"/>
    <w:rsid w:val="00852205"/>
    <w:rsid w:val="008525AF"/>
    <w:rsid w:val="00852C2B"/>
    <w:rsid w:val="0085511E"/>
    <w:rsid w:val="008570D8"/>
    <w:rsid w:val="00860D7D"/>
    <w:rsid w:val="00860E7D"/>
    <w:rsid w:val="008624F4"/>
    <w:rsid w:val="0086526A"/>
    <w:rsid w:val="008655CF"/>
    <w:rsid w:val="008664F9"/>
    <w:rsid w:val="00867076"/>
    <w:rsid w:val="008671C1"/>
    <w:rsid w:val="00872ABC"/>
    <w:rsid w:val="00872B44"/>
    <w:rsid w:val="0087312F"/>
    <w:rsid w:val="00873948"/>
    <w:rsid w:val="00873EEB"/>
    <w:rsid w:val="0087466B"/>
    <w:rsid w:val="00874F8A"/>
    <w:rsid w:val="00877308"/>
    <w:rsid w:val="008774B2"/>
    <w:rsid w:val="0087754E"/>
    <w:rsid w:val="0088136A"/>
    <w:rsid w:val="00881A24"/>
    <w:rsid w:val="008826F1"/>
    <w:rsid w:val="008845D6"/>
    <w:rsid w:val="00885CF8"/>
    <w:rsid w:val="00886F46"/>
    <w:rsid w:val="00893FB7"/>
    <w:rsid w:val="008961A0"/>
    <w:rsid w:val="008975A9"/>
    <w:rsid w:val="008A2855"/>
    <w:rsid w:val="008A338E"/>
    <w:rsid w:val="008A5D77"/>
    <w:rsid w:val="008A65FC"/>
    <w:rsid w:val="008A6DE1"/>
    <w:rsid w:val="008B0B3E"/>
    <w:rsid w:val="008B0D9E"/>
    <w:rsid w:val="008B2113"/>
    <w:rsid w:val="008B230F"/>
    <w:rsid w:val="008B2609"/>
    <w:rsid w:val="008B2F34"/>
    <w:rsid w:val="008B3C77"/>
    <w:rsid w:val="008B45E8"/>
    <w:rsid w:val="008B6B4B"/>
    <w:rsid w:val="008B776A"/>
    <w:rsid w:val="008C0FD8"/>
    <w:rsid w:val="008C60FA"/>
    <w:rsid w:val="008D2DD7"/>
    <w:rsid w:val="008D3394"/>
    <w:rsid w:val="008D388E"/>
    <w:rsid w:val="008D3B76"/>
    <w:rsid w:val="008D436B"/>
    <w:rsid w:val="008D7D4A"/>
    <w:rsid w:val="008E05C1"/>
    <w:rsid w:val="008E17CE"/>
    <w:rsid w:val="008E3C86"/>
    <w:rsid w:val="008E40FD"/>
    <w:rsid w:val="008E5442"/>
    <w:rsid w:val="008E6833"/>
    <w:rsid w:val="008E7981"/>
    <w:rsid w:val="008F0C04"/>
    <w:rsid w:val="008F1729"/>
    <w:rsid w:val="008F25A9"/>
    <w:rsid w:val="008F2689"/>
    <w:rsid w:val="008F30C4"/>
    <w:rsid w:val="008F4297"/>
    <w:rsid w:val="008F480A"/>
    <w:rsid w:val="008F53BA"/>
    <w:rsid w:val="008F6709"/>
    <w:rsid w:val="008F7F33"/>
    <w:rsid w:val="00900CE9"/>
    <w:rsid w:val="00901375"/>
    <w:rsid w:val="00902DDC"/>
    <w:rsid w:val="009044CE"/>
    <w:rsid w:val="009149A7"/>
    <w:rsid w:val="00914EC4"/>
    <w:rsid w:val="00914F19"/>
    <w:rsid w:val="00915EBE"/>
    <w:rsid w:val="0091605C"/>
    <w:rsid w:val="00916D63"/>
    <w:rsid w:val="009201B7"/>
    <w:rsid w:val="00927EB7"/>
    <w:rsid w:val="00930CAA"/>
    <w:rsid w:val="00932524"/>
    <w:rsid w:val="00932D1C"/>
    <w:rsid w:val="00936D11"/>
    <w:rsid w:val="009423AD"/>
    <w:rsid w:val="00942CA4"/>
    <w:rsid w:val="009431CF"/>
    <w:rsid w:val="00944A1A"/>
    <w:rsid w:val="00945489"/>
    <w:rsid w:val="009463FD"/>
    <w:rsid w:val="00947669"/>
    <w:rsid w:val="0095001D"/>
    <w:rsid w:val="00950E3E"/>
    <w:rsid w:val="00953833"/>
    <w:rsid w:val="00953A9C"/>
    <w:rsid w:val="00953F18"/>
    <w:rsid w:val="00955370"/>
    <w:rsid w:val="0095602E"/>
    <w:rsid w:val="009568A1"/>
    <w:rsid w:val="00956D96"/>
    <w:rsid w:val="009571B9"/>
    <w:rsid w:val="00961909"/>
    <w:rsid w:val="00963C0C"/>
    <w:rsid w:val="009647DC"/>
    <w:rsid w:val="00970E4E"/>
    <w:rsid w:val="0097193D"/>
    <w:rsid w:val="00971A3A"/>
    <w:rsid w:val="0097353F"/>
    <w:rsid w:val="00974DDB"/>
    <w:rsid w:val="00975128"/>
    <w:rsid w:val="009755A4"/>
    <w:rsid w:val="009817E3"/>
    <w:rsid w:val="00982444"/>
    <w:rsid w:val="0098642F"/>
    <w:rsid w:val="009872AC"/>
    <w:rsid w:val="00987C6B"/>
    <w:rsid w:val="009900AC"/>
    <w:rsid w:val="00991C20"/>
    <w:rsid w:val="00991F02"/>
    <w:rsid w:val="00991F40"/>
    <w:rsid w:val="00992287"/>
    <w:rsid w:val="00992CD1"/>
    <w:rsid w:val="009945C2"/>
    <w:rsid w:val="009951B3"/>
    <w:rsid w:val="0099584B"/>
    <w:rsid w:val="00995869"/>
    <w:rsid w:val="00996B05"/>
    <w:rsid w:val="009970BC"/>
    <w:rsid w:val="00997287"/>
    <w:rsid w:val="009978FE"/>
    <w:rsid w:val="009A1947"/>
    <w:rsid w:val="009A1C9B"/>
    <w:rsid w:val="009A35D7"/>
    <w:rsid w:val="009A4D97"/>
    <w:rsid w:val="009A5BF7"/>
    <w:rsid w:val="009A671C"/>
    <w:rsid w:val="009A67B2"/>
    <w:rsid w:val="009A703D"/>
    <w:rsid w:val="009B07E4"/>
    <w:rsid w:val="009B0C11"/>
    <w:rsid w:val="009B2C1F"/>
    <w:rsid w:val="009B3A69"/>
    <w:rsid w:val="009B411F"/>
    <w:rsid w:val="009B412A"/>
    <w:rsid w:val="009B571A"/>
    <w:rsid w:val="009B64DC"/>
    <w:rsid w:val="009B67E9"/>
    <w:rsid w:val="009B70B2"/>
    <w:rsid w:val="009C16C4"/>
    <w:rsid w:val="009C1CBB"/>
    <w:rsid w:val="009C21A3"/>
    <w:rsid w:val="009C4773"/>
    <w:rsid w:val="009C5AF1"/>
    <w:rsid w:val="009C5B46"/>
    <w:rsid w:val="009C6D91"/>
    <w:rsid w:val="009D0C46"/>
    <w:rsid w:val="009D66B2"/>
    <w:rsid w:val="009D73FA"/>
    <w:rsid w:val="009E18A3"/>
    <w:rsid w:val="009E4592"/>
    <w:rsid w:val="009E4EFA"/>
    <w:rsid w:val="009E61AB"/>
    <w:rsid w:val="009E71FB"/>
    <w:rsid w:val="009E79DE"/>
    <w:rsid w:val="009F0635"/>
    <w:rsid w:val="009F0845"/>
    <w:rsid w:val="009F1BB5"/>
    <w:rsid w:val="009F21F7"/>
    <w:rsid w:val="009F31E0"/>
    <w:rsid w:val="009F4863"/>
    <w:rsid w:val="009F48CD"/>
    <w:rsid w:val="009F5872"/>
    <w:rsid w:val="009F688C"/>
    <w:rsid w:val="009F7D9D"/>
    <w:rsid w:val="00A04F69"/>
    <w:rsid w:val="00A1038D"/>
    <w:rsid w:val="00A11885"/>
    <w:rsid w:val="00A11B9B"/>
    <w:rsid w:val="00A1266E"/>
    <w:rsid w:val="00A1325F"/>
    <w:rsid w:val="00A15831"/>
    <w:rsid w:val="00A15D6A"/>
    <w:rsid w:val="00A16467"/>
    <w:rsid w:val="00A179B6"/>
    <w:rsid w:val="00A209D6"/>
    <w:rsid w:val="00A2123C"/>
    <w:rsid w:val="00A21E34"/>
    <w:rsid w:val="00A22A7A"/>
    <w:rsid w:val="00A22F18"/>
    <w:rsid w:val="00A23B3D"/>
    <w:rsid w:val="00A24707"/>
    <w:rsid w:val="00A27581"/>
    <w:rsid w:val="00A31845"/>
    <w:rsid w:val="00A32D27"/>
    <w:rsid w:val="00A32FE0"/>
    <w:rsid w:val="00A34435"/>
    <w:rsid w:val="00A40E3B"/>
    <w:rsid w:val="00A413A1"/>
    <w:rsid w:val="00A42968"/>
    <w:rsid w:val="00A435AC"/>
    <w:rsid w:val="00A4434A"/>
    <w:rsid w:val="00A44902"/>
    <w:rsid w:val="00A449E9"/>
    <w:rsid w:val="00A44A4A"/>
    <w:rsid w:val="00A44AD9"/>
    <w:rsid w:val="00A45464"/>
    <w:rsid w:val="00A50F24"/>
    <w:rsid w:val="00A5104A"/>
    <w:rsid w:val="00A5264F"/>
    <w:rsid w:val="00A52EE3"/>
    <w:rsid w:val="00A53604"/>
    <w:rsid w:val="00A54554"/>
    <w:rsid w:val="00A57773"/>
    <w:rsid w:val="00A579B6"/>
    <w:rsid w:val="00A57B37"/>
    <w:rsid w:val="00A60253"/>
    <w:rsid w:val="00A60D0F"/>
    <w:rsid w:val="00A60D63"/>
    <w:rsid w:val="00A62683"/>
    <w:rsid w:val="00A62A36"/>
    <w:rsid w:val="00A648A9"/>
    <w:rsid w:val="00A6568A"/>
    <w:rsid w:val="00A65D02"/>
    <w:rsid w:val="00A66558"/>
    <w:rsid w:val="00A670F7"/>
    <w:rsid w:val="00A7106A"/>
    <w:rsid w:val="00A71FBC"/>
    <w:rsid w:val="00A72FFA"/>
    <w:rsid w:val="00A754EB"/>
    <w:rsid w:val="00A8142E"/>
    <w:rsid w:val="00A82F47"/>
    <w:rsid w:val="00A8318E"/>
    <w:rsid w:val="00A86768"/>
    <w:rsid w:val="00A86ACC"/>
    <w:rsid w:val="00A86D35"/>
    <w:rsid w:val="00A87EA5"/>
    <w:rsid w:val="00A914E4"/>
    <w:rsid w:val="00A91FE2"/>
    <w:rsid w:val="00A93BF2"/>
    <w:rsid w:val="00A94A44"/>
    <w:rsid w:val="00AA05A8"/>
    <w:rsid w:val="00AA1536"/>
    <w:rsid w:val="00AA1AEE"/>
    <w:rsid w:val="00AA393E"/>
    <w:rsid w:val="00AA3944"/>
    <w:rsid w:val="00AA3B59"/>
    <w:rsid w:val="00AA3D53"/>
    <w:rsid w:val="00AA50C2"/>
    <w:rsid w:val="00AA5865"/>
    <w:rsid w:val="00AA5876"/>
    <w:rsid w:val="00AA6149"/>
    <w:rsid w:val="00AA63B6"/>
    <w:rsid w:val="00AA7266"/>
    <w:rsid w:val="00AA7668"/>
    <w:rsid w:val="00AA794A"/>
    <w:rsid w:val="00AB1BD6"/>
    <w:rsid w:val="00AB2E86"/>
    <w:rsid w:val="00AB5EB4"/>
    <w:rsid w:val="00AB66D8"/>
    <w:rsid w:val="00AB79D0"/>
    <w:rsid w:val="00AC17E8"/>
    <w:rsid w:val="00AC2D07"/>
    <w:rsid w:val="00AC338C"/>
    <w:rsid w:val="00AC3482"/>
    <w:rsid w:val="00AC3D72"/>
    <w:rsid w:val="00AC48DC"/>
    <w:rsid w:val="00AC4F0D"/>
    <w:rsid w:val="00AC5D16"/>
    <w:rsid w:val="00AC7684"/>
    <w:rsid w:val="00AD1058"/>
    <w:rsid w:val="00AD2434"/>
    <w:rsid w:val="00AD2D0D"/>
    <w:rsid w:val="00AD2DE6"/>
    <w:rsid w:val="00AD3116"/>
    <w:rsid w:val="00AD4627"/>
    <w:rsid w:val="00AD470E"/>
    <w:rsid w:val="00AD50BD"/>
    <w:rsid w:val="00AD7752"/>
    <w:rsid w:val="00AD7BC7"/>
    <w:rsid w:val="00AD7F4B"/>
    <w:rsid w:val="00AE05C7"/>
    <w:rsid w:val="00AE09F3"/>
    <w:rsid w:val="00AE1CFD"/>
    <w:rsid w:val="00AE1ED5"/>
    <w:rsid w:val="00AE5BFC"/>
    <w:rsid w:val="00AE619A"/>
    <w:rsid w:val="00AE6A84"/>
    <w:rsid w:val="00AE6C94"/>
    <w:rsid w:val="00AE7FD4"/>
    <w:rsid w:val="00AF002F"/>
    <w:rsid w:val="00AF187F"/>
    <w:rsid w:val="00AF332E"/>
    <w:rsid w:val="00AF4261"/>
    <w:rsid w:val="00AF69A3"/>
    <w:rsid w:val="00B049C2"/>
    <w:rsid w:val="00B058DB"/>
    <w:rsid w:val="00B06C87"/>
    <w:rsid w:val="00B12F24"/>
    <w:rsid w:val="00B15A90"/>
    <w:rsid w:val="00B16C00"/>
    <w:rsid w:val="00B172B2"/>
    <w:rsid w:val="00B204CF"/>
    <w:rsid w:val="00B21E14"/>
    <w:rsid w:val="00B22D09"/>
    <w:rsid w:val="00B242DC"/>
    <w:rsid w:val="00B26C8B"/>
    <w:rsid w:val="00B26E18"/>
    <w:rsid w:val="00B27B01"/>
    <w:rsid w:val="00B3189D"/>
    <w:rsid w:val="00B31E1E"/>
    <w:rsid w:val="00B323DC"/>
    <w:rsid w:val="00B33A02"/>
    <w:rsid w:val="00B342D4"/>
    <w:rsid w:val="00B3765B"/>
    <w:rsid w:val="00B40C09"/>
    <w:rsid w:val="00B43C8B"/>
    <w:rsid w:val="00B454DB"/>
    <w:rsid w:val="00B45BC0"/>
    <w:rsid w:val="00B46F07"/>
    <w:rsid w:val="00B505B7"/>
    <w:rsid w:val="00B5186F"/>
    <w:rsid w:val="00B604EC"/>
    <w:rsid w:val="00B616A5"/>
    <w:rsid w:val="00B61A74"/>
    <w:rsid w:val="00B62537"/>
    <w:rsid w:val="00B669ED"/>
    <w:rsid w:val="00B66F39"/>
    <w:rsid w:val="00B72DA8"/>
    <w:rsid w:val="00B73237"/>
    <w:rsid w:val="00B74D66"/>
    <w:rsid w:val="00B74D75"/>
    <w:rsid w:val="00B83341"/>
    <w:rsid w:val="00B83473"/>
    <w:rsid w:val="00B835DD"/>
    <w:rsid w:val="00B864D3"/>
    <w:rsid w:val="00B864EE"/>
    <w:rsid w:val="00B9066C"/>
    <w:rsid w:val="00B92408"/>
    <w:rsid w:val="00B93FCF"/>
    <w:rsid w:val="00B9516A"/>
    <w:rsid w:val="00B961C0"/>
    <w:rsid w:val="00BA1427"/>
    <w:rsid w:val="00BA3C23"/>
    <w:rsid w:val="00BA41D4"/>
    <w:rsid w:val="00BA473B"/>
    <w:rsid w:val="00BA5A6F"/>
    <w:rsid w:val="00BA75C3"/>
    <w:rsid w:val="00BB0CAC"/>
    <w:rsid w:val="00BB19AE"/>
    <w:rsid w:val="00BB24A4"/>
    <w:rsid w:val="00BB4AE5"/>
    <w:rsid w:val="00BC0030"/>
    <w:rsid w:val="00BC02A3"/>
    <w:rsid w:val="00BC04CF"/>
    <w:rsid w:val="00BC0A38"/>
    <w:rsid w:val="00BC185B"/>
    <w:rsid w:val="00BC1EDF"/>
    <w:rsid w:val="00BC2574"/>
    <w:rsid w:val="00BC47D3"/>
    <w:rsid w:val="00BC5FD9"/>
    <w:rsid w:val="00BC6414"/>
    <w:rsid w:val="00BC6610"/>
    <w:rsid w:val="00BC69A2"/>
    <w:rsid w:val="00BD1856"/>
    <w:rsid w:val="00BD36CF"/>
    <w:rsid w:val="00BD6010"/>
    <w:rsid w:val="00BD7542"/>
    <w:rsid w:val="00BD798A"/>
    <w:rsid w:val="00BD79DF"/>
    <w:rsid w:val="00BE1C5C"/>
    <w:rsid w:val="00BE1E61"/>
    <w:rsid w:val="00BE215C"/>
    <w:rsid w:val="00BE226B"/>
    <w:rsid w:val="00BE2E03"/>
    <w:rsid w:val="00BE352E"/>
    <w:rsid w:val="00BE3FD7"/>
    <w:rsid w:val="00BE40EA"/>
    <w:rsid w:val="00BE4925"/>
    <w:rsid w:val="00BE6865"/>
    <w:rsid w:val="00BE69EF"/>
    <w:rsid w:val="00BE6F6B"/>
    <w:rsid w:val="00BF0AB5"/>
    <w:rsid w:val="00BF0DCE"/>
    <w:rsid w:val="00BF24DB"/>
    <w:rsid w:val="00BF3627"/>
    <w:rsid w:val="00BF4134"/>
    <w:rsid w:val="00BF41C9"/>
    <w:rsid w:val="00BF4E1F"/>
    <w:rsid w:val="00BF5711"/>
    <w:rsid w:val="00BF624B"/>
    <w:rsid w:val="00BF66BB"/>
    <w:rsid w:val="00BF7114"/>
    <w:rsid w:val="00BF7BE6"/>
    <w:rsid w:val="00C00CD2"/>
    <w:rsid w:val="00C01412"/>
    <w:rsid w:val="00C01EDA"/>
    <w:rsid w:val="00C024C8"/>
    <w:rsid w:val="00C0338F"/>
    <w:rsid w:val="00C03BFD"/>
    <w:rsid w:val="00C04A8C"/>
    <w:rsid w:val="00C04D0E"/>
    <w:rsid w:val="00C04F80"/>
    <w:rsid w:val="00C0685D"/>
    <w:rsid w:val="00C06882"/>
    <w:rsid w:val="00C06A30"/>
    <w:rsid w:val="00C07679"/>
    <w:rsid w:val="00C079FA"/>
    <w:rsid w:val="00C1003A"/>
    <w:rsid w:val="00C10A3C"/>
    <w:rsid w:val="00C13D95"/>
    <w:rsid w:val="00C1479B"/>
    <w:rsid w:val="00C148D1"/>
    <w:rsid w:val="00C16A25"/>
    <w:rsid w:val="00C17A7F"/>
    <w:rsid w:val="00C20C4A"/>
    <w:rsid w:val="00C20F65"/>
    <w:rsid w:val="00C21933"/>
    <w:rsid w:val="00C21E07"/>
    <w:rsid w:val="00C2371A"/>
    <w:rsid w:val="00C24B11"/>
    <w:rsid w:val="00C25454"/>
    <w:rsid w:val="00C268FE"/>
    <w:rsid w:val="00C302DC"/>
    <w:rsid w:val="00C30E3E"/>
    <w:rsid w:val="00C31AC5"/>
    <w:rsid w:val="00C31D9C"/>
    <w:rsid w:val="00C339D2"/>
    <w:rsid w:val="00C343A5"/>
    <w:rsid w:val="00C351A7"/>
    <w:rsid w:val="00C36AA7"/>
    <w:rsid w:val="00C37A00"/>
    <w:rsid w:val="00C42C0B"/>
    <w:rsid w:val="00C43861"/>
    <w:rsid w:val="00C43ED9"/>
    <w:rsid w:val="00C4465E"/>
    <w:rsid w:val="00C45437"/>
    <w:rsid w:val="00C47B53"/>
    <w:rsid w:val="00C5029B"/>
    <w:rsid w:val="00C51113"/>
    <w:rsid w:val="00C51657"/>
    <w:rsid w:val="00C534F7"/>
    <w:rsid w:val="00C54C7E"/>
    <w:rsid w:val="00C54C97"/>
    <w:rsid w:val="00C55CEE"/>
    <w:rsid w:val="00C60D8C"/>
    <w:rsid w:val="00C62C7D"/>
    <w:rsid w:val="00C630C5"/>
    <w:rsid w:val="00C66536"/>
    <w:rsid w:val="00C6724B"/>
    <w:rsid w:val="00C679AB"/>
    <w:rsid w:val="00C7122C"/>
    <w:rsid w:val="00C71EDB"/>
    <w:rsid w:val="00C728BD"/>
    <w:rsid w:val="00C72CB1"/>
    <w:rsid w:val="00C743BD"/>
    <w:rsid w:val="00C752B5"/>
    <w:rsid w:val="00C76152"/>
    <w:rsid w:val="00C7615E"/>
    <w:rsid w:val="00C76C97"/>
    <w:rsid w:val="00C8193D"/>
    <w:rsid w:val="00C81EB7"/>
    <w:rsid w:val="00C82916"/>
    <w:rsid w:val="00C82C5F"/>
    <w:rsid w:val="00C8456E"/>
    <w:rsid w:val="00C87049"/>
    <w:rsid w:val="00C90B96"/>
    <w:rsid w:val="00C91D8B"/>
    <w:rsid w:val="00C92B23"/>
    <w:rsid w:val="00C95289"/>
    <w:rsid w:val="00C96317"/>
    <w:rsid w:val="00CA4A1A"/>
    <w:rsid w:val="00CA66AC"/>
    <w:rsid w:val="00CA6AB1"/>
    <w:rsid w:val="00CA7B76"/>
    <w:rsid w:val="00CB1218"/>
    <w:rsid w:val="00CB232A"/>
    <w:rsid w:val="00CB2337"/>
    <w:rsid w:val="00CB334D"/>
    <w:rsid w:val="00CB500E"/>
    <w:rsid w:val="00CB5916"/>
    <w:rsid w:val="00CB63C1"/>
    <w:rsid w:val="00CB65BA"/>
    <w:rsid w:val="00CB6BC4"/>
    <w:rsid w:val="00CB79A8"/>
    <w:rsid w:val="00CC025D"/>
    <w:rsid w:val="00CC0670"/>
    <w:rsid w:val="00CC3CD4"/>
    <w:rsid w:val="00CC5F5F"/>
    <w:rsid w:val="00CC6040"/>
    <w:rsid w:val="00CD09F4"/>
    <w:rsid w:val="00CD11A5"/>
    <w:rsid w:val="00CD2DE7"/>
    <w:rsid w:val="00CD3FE9"/>
    <w:rsid w:val="00CD57FF"/>
    <w:rsid w:val="00CD60FA"/>
    <w:rsid w:val="00CD64BE"/>
    <w:rsid w:val="00CD6D70"/>
    <w:rsid w:val="00CD6EFF"/>
    <w:rsid w:val="00CD7167"/>
    <w:rsid w:val="00CE1952"/>
    <w:rsid w:val="00CE2F7A"/>
    <w:rsid w:val="00CE3955"/>
    <w:rsid w:val="00CE594D"/>
    <w:rsid w:val="00CE59FB"/>
    <w:rsid w:val="00CF2AF6"/>
    <w:rsid w:val="00CF43E1"/>
    <w:rsid w:val="00CF6000"/>
    <w:rsid w:val="00CF67E2"/>
    <w:rsid w:val="00CF6828"/>
    <w:rsid w:val="00CF6988"/>
    <w:rsid w:val="00CF69D2"/>
    <w:rsid w:val="00CF750B"/>
    <w:rsid w:val="00D0019A"/>
    <w:rsid w:val="00D036E7"/>
    <w:rsid w:val="00D04FE4"/>
    <w:rsid w:val="00D0506F"/>
    <w:rsid w:val="00D053A1"/>
    <w:rsid w:val="00D05BD9"/>
    <w:rsid w:val="00D06ED8"/>
    <w:rsid w:val="00D07058"/>
    <w:rsid w:val="00D10C7E"/>
    <w:rsid w:val="00D1156D"/>
    <w:rsid w:val="00D11B4D"/>
    <w:rsid w:val="00D1270F"/>
    <w:rsid w:val="00D12866"/>
    <w:rsid w:val="00D132A9"/>
    <w:rsid w:val="00D13446"/>
    <w:rsid w:val="00D13DA5"/>
    <w:rsid w:val="00D1629D"/>
    <w:rsid w:val="00D16719"/>
    <w:rsid w:val="00D20ADB"/>
    <w:rsid w:val="00D20F2D"/>
    <w:rsid w:val="00D21EF9"/>
    <w:rsid w:val="00D22DDA"/>
    <w:rsid w:val="00D23F1A"/>
    <w:rsid w:val="00D242F9"/>
    <w:rsid w:val="00D259DE"/>
    <w:rsid w:val="00D26DA1"/>
    <w:rsid w:val="00D275D0"/>
    <w:rsid w:val="00D27B4E"/>
    <w:rsid w:val="00D3030D"/>
    <w:rsid w:val="00D30859"/>
    <w:rsid w:val="00D31E27"/>
    <w:rsid w:val="00D32A68"/>
    <w:rsid w:val="00D331CD"/>
    <w:rsid w:val="00D33726"/>
    <w:rsid w:val="00D3461B"/>
    <w:rsid w:val="00D37939"/>
    <w:rsid w:val="00D4036C"/>
    <w:rsid w:val="00D4076C"/>
    <w:rsid w:val="00D432DA"/>
    <w:rsid w:val="00D444D6"/>
    <w:rsid w:val="00D525FA"/>
    <w:rsid w:val="00D53C94"/>
    <w:rsid w:val="00D5465E"/>
    <w:rsid w:val="00D60355"/>
    <w:rsid w:val="00D60686"/>
    <w:rsid w:val="00D63649"/>
    <w:rsid w:val="00D64BCF"/>
    <w:rsid w:val="00D64FCB"/>
    <w:rsid w:val="00D65A54"/>
    <w:rsid w:val="00D6784C"/>
    <w:rsid w:val="00D70EFA"/>
    <w:rsid w:val="00D743E1"/>
    <w:rsid w:val="00D74F97"/>
    <w:rsid w:val="00D76CC3"/>
    <w:rsid w:val="00D77688"/>
    <w:rsid w:val="00D808CA"/>
    <w:rsid w:val="00D80B22"/>
    <w:rsid w:val="00D80DFC"/>
    <w:rsid w:val="00D80F34"/>
    <w:rsid w:val="00D81275"/>
    <w:rsid w:val="00D81EDE"/>
    <w:rsid w:val="00D82464"/>
    <w:rsid w:val="00D826E5"/>
    <w:rsid w:val="00D8335F"/>
    <w:rsid w:val="00D83EEA"/>
    <w:rsid w:val="00D844A4"/>
    <w:rsid w:val="00D84FCD"/>
    <w:rsid w:val="00D87B94"/>
    <w:rsid w:val="00D91574"/>
    <w:rsid w:val="00D91633"/>
    <w:rsid w:val="00D93810"/>
    <w:rsid w:val="00D94BE4"/>
    <w:rsid w:val="00D950F8"/>
    <w:rsid w:val="00D95E6D"/>
    <w:rsid w:val="00D97153"/>
    <w:rsid w:val="00D97FD5"/>
    <w:rsid w:val="00DA0124"/>
    <w:rsid w:val="00DA07D2"/>
    <w:rsid w:val="00DA15F9"/>
    <w:rsid w:val="00DA3C99"/>
    <w:rsid w:val="00DA7341"/>
    <w:rsid w:val="00DA7D8E"/>
    <w:rsid w:val="00DB15BA"/>
    <w:rsid w:val="00DB22DA"/>
    <w:rsid w:val="00DB2D85"/>
    <w:rsid w:val="00DB2DE4"/>
    <w:rsid w:val="00DB3124"/>
    <w:rsid w:val="00DB538E"/>
    <w:rsid w:val="00DB54C4"/>
    <w:rsid w:val="00DC0357"/>
    <w:rsid w:val="00DC43E6"/>
    <w:rsid w:val="00DC4676"/>
    <w:rsid w:val="00DC49AD"/>
    <w:rsid w:val="00DC6DE7"/>
    <w:rsid w:val="00DC7571"/>
    <w:rsid w:val="00DD2D02"/>
    <w:rsid w:val="00DD3493"/>
    <w:rsid w:val="00DD3E5E"/>
    <w:rsid w:val="00DD4388"/>
    <w:rsid w:val="00DD4709"/>
    <w:rsid w:val="00DD4D69"/>
    <w:rsid w:val="00DD6B54"/>
    <w:rsid w:val="00DD700D"/>
    <w:rsid w:val="00DE2D4A"/>
    <w:rsid w:val="00DE2EF3"/>
    <w:rsid w:val="00DE2F51"/>
    <w:rsid w:val="00DE3714"/>
    <w:rsid w:val="00DE5DE9"/>
    <w:rsid w:val="00DE6678"/>
    <w:rsid w:val="00DE7752"/>
    <w:rsid w:val="00DE78F5"/>
    <w:rsid w:val="00DF1530"/>
    <w:rsid w:val="00DF3696"/>
    <w:rsid w:val="00DF3E0C"/>
    <w:rsid w:val="00DF4E5C"/>
    <w:rsid w:val="00DF5531"/>
    <w:rsid w:val="00DF59F6"/>
    <w:rsid w:val="00DF5C91"/>
    <w:rsid w:val="00E00616"/>
    <w:rsid w:val="00E0078F"/>
    <w:rsid w:val="00E01506"/>
    <w:rsid w:val="00E01E85"/>
    <w:rsid w:val="00E0774A"/>
    <w:rsid w:val="00E10CBC"/>
    <w:rsid w:val="00E10FB4"/>
    <w:rsid w:val="00E11653"/>
    <w:rsid w:val="00E12C8A"/>
    <w:rsid w:val="00E14802"/>
    <w:rsid w:val="00E149FE"/>
    <w:rsid w:val="00E15568"/>
    <w:rsid w:val="00E16DAA"/>
    <w:rsid w:val="00E16F06"/>
    <w:rsid w:val="00E200A8"/>
    <w:rsid w:val="00E20FE4"/>
    <w:rsid w:val="00E2114A"/>
    <w:rsid w:val="00E2125E"/>
    <w:rsid w:val="00E21EE6"/>
    <w:rsid w:val="00E22A63"/>
    <w:rsid w:val="00E24E95"/>
    <w:rsid w:val="00E257C2"/>
    <w:rsid w:val="00E25C2E"/>
    <w:rsid w:val="00E25F56"/>
    <w:rsid w:val="00E26900"/>
    <w:rsid w:val="00E270C0"/>
    <w:rsid w:val="00E274CF"/>
    <w:rsid w:val="00E27762"/>
    <w:rsid w:val="00E30242"/>
    <w:rsid w:val="00E317B1"/>
    <w:rsid w:val="00E31C3D"/>
    <w:rsid w:val="00E32DD4"/>
    <w:rsid w:val="00E3791C"/>
    <w:rsid w:val="00E40B8B"/>
    <w:rsid w:val="00E41569"/>
    <w:rsid w:val="00E41647"/>
    <w:rsid w:val="00E41BEC"/>
    <w:rsid w:val="00E422F1"/>
    <w:rsid w:val="00E42818"/>
    <w:rsid w:val="00E42E72"/>
    <w:rsid w:val="00E44516"/>
    <w:rsid w:val="00E44530"/>
    <w:rsid w:val="00E449F5"/>
    <w:rsid w:val="00E45C7C"/>
    <w:rsid w:val="00E45DB8"/>
    <w:rsid w:val="00E46774"/>
    <w:rsid w:val="00E476AD"/>
    <w:rsid w:val="00E478D6"/>
    <w:rsid w:val="00E506F4"/>
    <w:rsid w:val="00E52EFE"/>
    <w:rsid w:val="00E55406"/>
    <w:rsid w:val="00E5581B"/>
    <w:rsid w:val="00E578F1"/>
    <w:rsid w:val="00E57DDD"/>
    <w:rsid w:val="00E60DD5"/>
    <w:rsid w:val="00E614D9"/>
    <w:rsid w:val="00E622F9"/>
    <w:rsid w:val="00E66C9E"/>
    <w:rsid w:val="00E66CA7"/>
    <w:rsid w:val="00E67F09"/>
    <w:rsid w:val="00E71C55"/>
    <w:rsid w:val="00E71D83"/>
    <w:rsid w:val="00E72311"/>
    <w:rsid w:val="00E72EE4"/>
    <w:rsid w:val="00E73AE3"/>
    <w:rsid w:val="00E77BF1"/>
    <w:rsid w:val="00E801D5"/>
    <w:rsid w:val="00E80EB7"/>
    <w:rsid w:val="00E815C6"/>
    <w:rsid w:val="00E825C0"/>
    <w:rsid w:val="00E87164"/>
    <w:rsid w:val="00E87EC9"/>
    <w:rsid w:val="00E91794"/>
    <w:rsid w:val="00E91C0B"/>
    <w:rsid w:val="00E9207D"/>
    <w:rsid w:val="00E92476"/>
    <w:rsid w:val="00E924A1"/>
    <w:rsid w:val="00E927BA"/>
    <w:rsid w:val="00E938C9"/>
    <w:rsid w:val="00E94A06"/>
    <w:rsid w:val="00E96244"/>
    <w:rsid w:val="00E97292"/>
    <w:rsid w:val="00E973B6"/>
    <w:rsid w:val="00EA0996"/>
    <w:rsid w:val="00EA26E0"/>
    <w:rsid w:val="00EA2A03"/>
    <w:rsid w:val="00EA36FE"/>
    <w:rsid w:val="00EA3B0F"/>
    <w:rsid w:val="00EA4F7F"/>
    <w:rsid w:val="00EA4FF6"/>
    <w:rsid w:val="00EA59DE"/>
    <w:rsid w:val="00EA5A26"/>
    <w:rsid w:val="00EB0195"/>
    <w:rsid w:val="00EB27B9"/>
    <w:rsid w:val="00EB3822"/>
    <w:rsid w:val="00EB7681"/>
    <w:rsid w:val="00EC07B0"/>
    <w:rsid w:val="00EC0A2A"/>
    <w:rsid w:val="00EC39AE"/>
    <w:rsid w:val="00EC5BAC"/>
    <w:rsid w:val="00EC772E"/>
    <w:rsid w:val="00EC7B45"/>
    <w:rsid w:val="00ED144A"/>
    <w:rsid w:val="00ED252E"/>
    <w:rsid w:val="00ED348F"/>
    <w:rsid w:val="00ED4B1C"/>
    <w:rsid w:val="00ED4C31"/>
    <w:rsid w:val="00ED4FC9"/>
    <w:rsid w:val="00ED5FDA"/>
    <w:rsid w:val="00ED6C37"/>
    <w:rsid w:val="00ED6F6F"/>
    <w:rsid w:val="00ED71C3"/>
    <w:rsid w:val="00EE09A3"/>
    <w:rsid w:val="00EE346A"/>
    <w:rsid w:val="00EE3AA0"/>
    <w:rsid w:val="00EE4F2E"/>
    <w:rsid w:val="00EE557D"/>
    <w:rsid w:val="00EE5F60"/>
    <w:rsid w:val="00EF11A8"/>
    <w:rsid w:val="00EF2CA8"/>
    <w:rsid w:val="00EF4499"/>
    <w:rsid w:val="00EF4F00"/>
    <w:rsid w:val="00EF54F4"/>
    <w:rsid w:val="00EF7CB5"/>
    <w:rsid w:val="00F00E78"/>
    <w:rsid w:val="00F01F7E"/>
    <w:rsid w:val="00F052A8"/>
    <w:rsid w:val="00F05DD1"/>
    <w:rsid w:val="00F05FC8"/>
    <w:rsid w:val="00F0682F"/>
    <w:rsid w:val="00F07433"/>
    <w:rsid w:val="00F10311"/>
    <w:rsid w:val="00F10F63"/>
    <w:rsid w:val="00F11E08"/>
    <w:rsid w:val="00F12CEF"/>
    <w:rsid w:val="00F1319F"/>
    <w:rsid w:val="00F15A8B"/>
    <w:rsid w:val="00F16D09"/>
    <w:rsid w:val="00F17054"/>
    <w:rsid w:val="00F2402A"/>
    <w:rsid w:val="00F2417D"/>
    <w:rsid w:val="00F25833"/>
    <w:rsid w:val="00F2680E"/>
    <w:rsid w:val="00F2701B"/>
    <w:rsid w:val="00F27991"/>
    <w:rsid w:val="00F31FBB"/>
    <w:rsid w:val="00F322DD"/>
    <w:rsid w:val="00F32DF6"/>
    <w:rsid w:val="00F34434"/>
    <w:rsid w:val="00F347D8"/>
    <w:rsid w:val="00F35D91"/>
    <w:rsid w:val="00F35F93"/>
    <w:rsid w:val="00F364A8"/>
    <w:rsid w:val="00F3686B"/>
    <w:rsid w:val="00F37082"/>
    <w:rsid w:val="00F427F2"/>
    <w:rsid w:val="00F45C50"/>
    <w:rsid w:val="00F4682F"/>
    <w:rsid w:val="00F46BBA"/>
    <w:rsid w:val="00F47956"/>
    <w:rsid w:val="00F47ED6"/>
    <w:rsid w:val="00F50FF9"/>
    <w:rsid w:val="00F5169D"/>
    <w:rsid w:val="00F546AF"/>
    <w:rsid w:val="00F54704"/>
    <w:rsid w:val="00F55175"/>
    <w:rsid w:val="00F565DF"/>
    <w:rsid w:val="00F56D58"/>
    <w:rsid w:val="00F577BA"/>
    <w:rsid w:val="00F57ABF"/>
    <w:rsid w:val="00F60C53"/>
    <w:rsid w:val="00F60E31"/>
    <w:rsid w:val="00F61280"/>
    <w:rsid w:val="00F61903"/>
    <w:rsid w:val="00F633AE"/>
    <w:rsid w:val="00F64028"/>
    <w:rsid w:val="00F640E1"/>
    <w:rsid w:val="00F64744"/>
    <w:rsid w:val="00F70410"/>
    <w:rsid w:val="00F71086"/>
    <w:rsid w:val="00F713BB"/>
    <w:rsid w:val="00F716FA"/>
    <w:rsid w:val="00F71707"/>
    <w:rsid w:val="00F7296E"/>
    <w:rsid w:val="00F72B85"/>
    <w:rsid w:val="00F72C5F"/>
    <w:rsid w:val="00F74F0C"/>
    <w:rsid w:val="00F751D8"/>
    <w:rsid w:val="00F75E38"/>
    <w:rsid w:val="00F76B36"/>
    <w:rsid w:val="00F76D3F"/>
    <w:rsid w:val="00F7703F"/>
    <w:rsid w:val="00F770B8"/>
    <w:rsid w:val="00F77462"/>
    <w:rsid w:val="00F77722"/>
    <w:rsid w:val="00F77EDC"/>
    <w:rsid w:val="00F80D75"/>
    <w:rsid w:val="00F8115D"/>
    <w:rsid w:val="00F81833"/>
    <w:rsid w:val="00F824EA"/>
    <w:rsid w:val="00F842CF"/>
    <w:rsid w:val="00F84BAF"/>
    <w:rsid w:val="00F86C89"/>
    <w:rsid w:val="00F872DD"/>
    <w:rsid w:val="00F87AA5"/>
    <w:rsid w:val="00F87FDC"/>
    <w:rsid w:val="00F9123E"/>
    <w:rsid w:val="00F91448"/>
    <w:rsid w:val="00F927B0"/>
    <w:rsid w:val="00F97C2F"/>
    <w:rsid w:val="00FA00B9"/>
    <w:rsid w:val="00FA0F81"/>
    <w:rsid w:val="00FA16A3"/>
    <w:rsid w:val="00FA1B49"/>
    <w:rsid w:val="00FA1CE6"/>
    <w:rsid w:val="00FA2BA6"/>
    <w:rsid w:val="00FA4E12"/>
    <w:rsid w:val="00FA6041"/>
    <w:rsid w:val="00FA61F7"/>
    <w:rsid w:val="00FA6EE9"/>
    <w:rsid w:val="00FA77A7"/>
    <w:rsid w:val="00FB218F"/>
    <w:rsid w:val="00FB2766"/>
    <w:rsid w:val="00FB2C98"/>
    <w:rsid w:val="00FB31BF"/>
    <w:rsid w:val="00FB480C"/>
    <w:rsid w:val="00FB4B6E"/>
    <w:rsid w:val="00FB5F13"/>
    <w:rsid w:val="00FC0498"/>
    <w:rsid w:val="00FC1D08"/>
    <w:rsid w:val="00FC1D8B"/>
    <w:rsid w:val="00FC54BB"/>
    <w:rsid w:val="00FC55F4"/>
    <w:rsid w:val="00FC6F74"/>
    <w:rsid w:val="00FD07EE"/>
    <w:rsid w:val="00FD0C23"/>
    <w:rsid w:val="00FD19E3"/>
    <w:rsid w:val="00FD1EBE"/>
    <w:rsid w:val="00FD25B5"/>
    <w:rsid w:val="00FD294A"/>
    <w:rsid w:val="00FD3F53"/>
    <w:rsid w:val="00FD41AB"/>
    <w:rsid w:val="00FD4B08"/>
    <w:rsid w:val="00FD5CD9"/>
    <w:rsid w:val="00FD5FFB"/>
    <w:rsid w:val="00FD7C9F"/>
    <w:rsid w:val="00FE0C62"/>
    <w:rsid w:val="00FE17A0"/>
    <w:rsid w:val="00FE201B"/>
    <w:rsid w:val="00FE2153"/>
    <w:rsid w:val="00FE456F"/>
    <w:rsid w:val="00FE4BC6"/>
    <w:rsid w:val="00FE6499"/>
    <w:rsid w:val="00FE711B"/>
    <w:rsid w:val="00FE7EAB"/>
    <w:rsid w:val="00FF0472"/>
    <w:rsid w:val="00FF2D15"/>
    <w:rsid w:val="00FF3333"/>
    <w:rsid w:val="00FF5803"/>
    <w:rsid w:val="00FF7A3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950E8A"/>
  <w15:docId w15:val="{211D21BC-A6B2-4DEB-8573-544C959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30"/>
  </w:style>
  <w:style w:type="paragraph" w:styleId="Heading1">
    <w:name w:val="heading 1"/>
    <w:basedOn w:val="Normal"/>
    <w:next w:val="Normal"/>
    <w:link w:val="Heading1Char"/>
    <w:uiPriority w:val="9"/>
    <w:qFormat/>
    <w:rsid w:val="003E5B3B"/>
    <w:pPr>
      <w:keepNext/>
      <w:keepLines/>
      <w:spacing w:before="360" w:after="120" w:line="24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3E5B3B"/>
    <w:pPr>
      <w:keepNext/>
      <w:keepLines/>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044FD"/>
    <w:pPr>
      <w:keepNext/>
      <w:keepLines/>
      <w:spacing w:before="200" w:after="0"/>
      <w:jc w:val="center"/>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FB"/>
    <w:rPr>
      <w:rFonts w:ascii="Segoe UI" w:hAnsi="Segoe UI" w:cs="Segoe UI"/>
      <w:sz w:val="18"/>
      <w:szCs w:val="18"/>
    </w:rPr>
  </w:style>
  <w:style w:type="paragraph" w:styleId="Header">
    <w:name w:val="header"/>
    <w:basedOn w:val="Normal"/>
    <w:link w:val="HeaderChar"/>
    <w:uiPriority w:val="99"/>
    <w:unhideWhenUsed/>
    <w:rsid w:val="00D6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4BCF"/>
  </w:style>
  <w:style w:type="paragraph" w:styleId="Footer">
    <w:name w:val="footer"/>
    <w:basedOn w:val="Normal"/>
    <w:link w:val="FooterChar"/>
    <w:unhideWhenUsed/>
    <w:rsid w:val="00D64BCF"/>
    <w:pPr>
      <w:tabs>
        <w:tab w:val="center" w:pos="4153"/>
        <w:tab w:val="right" w:pos="8306"/>
      </w:tabs>
      <w:spacing w:after="0" w:line="240" w:lineRule="auto"/>
    </w:pPr>
  </w:style>
  <w:style w:type="character" w:customStyle="1" w:styleId="FooterChar">
    <w:name w:val="Footer Char"/>
    <w:basedOn w:val="DefaultParagraphFont"/>
    <w:link w:val="Footer"/>
    <w:rsid w:val="00D64BCF"/>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7C34B6"/>
    <w:pPr>
      <w:spacing w:after="200" w:line="276" w:lineRule="auto"/>
      <w:ind w:left="720"/>
      <w:contextualSpacing/>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3A6971"/>
    <w:pPr>
      <w:spacing w:after="0" w:line="240" w:lineRule="auto"/>
    </w:pPr>
    <w:rPr>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qFormat/>
    <w:rsid w:val="003A6971"/>
    <w:rPr>
      <w:sz w:val="20"/>
      <w:szCs w:val="20"/>
    </w:rPr>
  </w:style>
  <w:style w:type="character" w:styleId="FootnoteReference">
    <w:name w:val="footnote reference"/>
    <w:aliases w:val="number,SUPERS,BVI fnr,Footnote symbol,Footnote symboFußnotenzeichen,Footnote sign,Footnote Reference Superscript,Footnote number,EN Footnote Reference,-E Fuﬂnotenzeichen,-E Fuûnotenzeichen,stylish,(Footnote Referen,(Diplomarbeit FZ),R"/>
    <w:basedOn w:val="DefaultParagraphFont"/>
    <w:link w:val="FootnoteRefernece"/>
    <w:uiPriority w:val="99"/>
    <w:unhideWhenUsed/>
    <w:qFormat/>
    <w:rsid w:val="003A6971"/>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qFormat/>
    <w:rsid w:val="003A6971"/>
    <w:pPr>
      <w:spacing w:line="240" w:lineRule="exact"/>
      <w:jc w:val="both"/>
      <w:textAlignment w:val="baseline"/>
    </w:pPr>
    <w:rPr>
      <w:vertAlign w:val="superscript"/>
    </w:rPr>
  </w:style>
  <w:style w:type="character" w:styleId="Hyperlink">
    <w:name w:val="Hyperlink"/>
    <w:basedOn w:val="DefaultParagraphFont"/>
    <w:uiPriority w:val="99"/>
    <w:unhideWhenUsed/>
    <w:rsid w:val="003A6971"/>
    <w:rPr>
      <w:color w:val="0000FF"/>
      <w:u w:val="single"/>
    </w:rPr>
  </w:style>
  <w:style w:type="table" w:styleId="TableGrid">
    <w:name w:val="Table Grid"/>
    <w:basedOn w:val="TableNormal"/>
    <w:uiPriority w:val="59"/>
    <w:rsid w:val="003A6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5B3B"/>
    <w:rPr>
      <w:rFonts w:ascii="Times New Roman" w:eastAsiaTheme="majorEastAsia" w:hAnsi="Times New Roman" w:cstheme="majorBidi"/>
      <w:b/>
      <w:sz w:val="28"/>
      <w:szCs w:val="32"/>
    </w:rPr>
  </w:style>
  <w:style w:type="paragraph" w:customStyle="1" w:styleId="Default">
    <w:name w:val="Default"/>
    <w:rsid w:val="00C31D9C"/>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491274"/>
    <w:rPr>
      <w:sz w:val="16"/>
      <w:szCs w:val="16"/>
    </w:rPr>
  </w:style>
  <w:style w:type="paragraph" w:styleId="CommentText">
    <w:name w:val="annotation text"/>
    <w:basedOn w:val="Normal"/>
    <w:link w:val="CommentTextChar"/>
    <w:uiPriority w:val="99"/>
    <w:unhideWhenUsed/>
    <w:rsid w:val="00491274"/>
    <w:pPr>
      <w:spacing w:line="240" w:lineRule="auto"/>
    </w:pPr>
    <w:rPr>
      <w:sz w:val="20"/>
      <w:szCs w:val="20"/>
    </w:rPr>
  </w:style>
  <w:style w:type="character" w:customStyle="1" w:styleId="CommentTextChar">
    <w:name w:val="Comment Text Char"/>
    <w:basedOn w:val="DefaultParagraphFont"/>
    <w:link w:val="CommentText"/>
    <w:uiPriority w:val="99"/>
    <w:rsid w:val="00491274"/>
    <w:rPr>
      <w:sz w:val="20"/>
      <w:szCs w:val="20"/>
    </w:rPr>
  </w:style>
  <w:style w:type="paragraph" w:styleId="CommentSubject">
    <w:name w:val="annotation subject"/>
    <w:basedOn w:val="CommentText"/>
    <w:next w:val="CommentText"/>
    <w:link w:val="CommentSubjectChar"/>
    <w:uiPriority w:val="99"/>
    <w:semiHidden/>
    <w:unhideWhenUsed/>
    <w:rsid w:val="00491274"/>
    <w:rPr>
      <w:b/>
      <w:bCs/>
    </w:rPr>
  </w:style>
  <w:style w:type="character" w:customStyle="1" w:styleId="CommentSubjectChar">
    <w:name w:val="Comment Subject Char"/>
    <w:basedOn w:val="CommentTextChar"/>
    <w:link w:val="CommentSubject"/>
    <w:uiPriority w:val="99"/>
    <w:semiHidden/>
    <w:rsid w:val="00491274"/>
    <w:rPr>
      <w:b/>
      <w:bCs/>
      <w:sz w:val="20"/>
      <w:szCs w:val="20"/>
    </w:rPr>
  </w:style>
  <w:style w:type="paragraph" w:styleId="Revision">
    <w:name w:val="Revision"/>
    <w:hidden/>
    <w:uiPriority w:val="99"/>
    <w:semiHidden/>
    <w:rsid w:val="006B0F57"/>
    <w:pPr>
      <w:spacing w:after="0" w:line="240" w:lineRule="auto"/>
    </w:pPr>
  </w:style>
  <w:style w:type="paragraph" w:styleId="NormalWeb">
    <w:name w:val="Normal (Web)"/>
    <w:basedOn w:val="Normal"/>
    <w:uiPriority w:val="99"/>
    <w:unhideWhenUsed/>
    <w:rsid w:val="00C04D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E5B3B"/>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114263"/>
    <w:pPr>
      <w:spacing w:before="480" w:after="0" w:line="276" w:lineRule="auto"/>
      <w:jc w:val="left"/>
      <w:outlineLvl w:val="9"/>
    </w:pPr>
    <w:rPr>
      <w:rFonts w:asciiTheme="majorHAnsi" w:hAnsiTheme="majorHAnsi"/>
      <w:bCs/>
      <w:color w:val="2E74B5" w:themeColor="accent1" w:themeShade="BF"/>
      <w:szCs w:val="28"/>
      <w:lang w:val="en-US" w:eastAsia="ja-JP"/>
    </w:rPr>
  </w:style>
  <w:style w:type="paragraph" w:styleId="TOC1">
    <w:name w:val="toc 1"/>
    <w:basedOn w:val="Normal"/>
    <w:next w:val="Normal"/>
    <w:autoRedefine/>
    <w:uiPriority w:val="39"/>
    <w:unhideWhenUsed/>
    <w:rsid w:val="00114263"/>
    <w:pPr>
      <w:spacing w:after="100"/>
    </w:pPr>
  </w:style>
  <w:style w:type="paragraph" w:styleId="TOC2">
    <w:name w:val="toc 2"/>
    <w:basedOn w:val="Normal"/>
    <w:next w:val="Normal"/>
    <w:autoRedefine/>
    <w:uiPriority w:val="39"/>
    <w:unhideWhenUsed/>
    <w:rsid w:val="00114263"/>
    <w:pPr>
      <w:spacing w:after="100"/>
      <w:ind w:left="220"/>
    </w:pPr>
  </w:style>
  <w:style w:type="character" w:styleId="FollowedHyperlink">
    <w:name w:val="FollowedHyperlink"/>
    <w:basedOn w:val="DefaultParagraphFont"/>
    <w:uiPriority w:val="99"/>
    <w:semiHidden/>
    <w:unhideWhenUsed/>
    <w:rsid w:val="00F54704"/>
    <w:rPr>
      <w:color w:val="954F72" w:themeColor="followedHyperlink"/>
      <w:u w:val="single"/>
    </w:rPr>
  </w:style>
  <w:style w:type="character" w:customStyle="1" w:styleId="Heading3Char">
    <w:name w:val="Heading 3 Char"/>
    <w:basedOn w:val="DefaultParagraphFont"/>
    <w:link w:val="Heading3"/>
    <w:uiPriority w:val="9"/>
    <w:rsid w:val="003044FD"/>
    <w:rPr>
      <w:rFonts w:ascii="Times New Roman" w:eastAsiaTheme="majorEastAsia" w:hAnsi="Times New Roman" w:cstheme="majorBidi"/>
      <w:b/>
      <w:bCs/>
      <w:sz w:val="24"/>
    </w:rPr>
  </w:style>
  <w:style w:type="paragraph" w:styleId="TOC3">
    <w:name w:val="toc 3"/>
    <w:basedOn w:val="Normal"/>
    <w:next w:val="Normal"/>
    <w:autoRedefine/>
    <w:uiPriority w:val="39"/>
    <w:unhideWhenUsed/>
    <w:rsid w:val="00264ED6"/>
    <w:pPr>
      <w:spacing w:after="100"/>
      <w:ind w:left="440"/>
    </w:p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4A7A1F"/>
  </w:style>
  <w:style w:type="paragraph" w:styleId="Caption">
    <w:name w:val="caption"/>
    <w:aliases w:val="Beschriftung Char"/>
    <w:basedOn w:val="Normal"/>
    <w:next w:val="Normal"/>
    <w:link w:val="CaptionChar"/>
    <w:uiPriority w:val="35"/>
    <w:unhideWhenUsed/>
    <w:qFormat/>
    <w:rsid w:val="00B45BC0"/>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CaptionChar">
    <w:name w:val="Caption Char"/>
    <w:aliases w:val="Beschriftung Char Char"/>
    <w:link w:val="Caption"/>
    <w:uiPriority w:val="35"/>
    <w:rsid w:val="00B45BC0"/>
    <w:rPr>
      <w:rFonts w:ascii="Times New Roman" w:eastAsiaTheme="majorEastAsia" w:hAnsi="Times New Roman" w:cs="Times New Roman"/>
      <w:b/>
      <w:iCs/>
      <w:sz w:val="20"/>
      <w:szCs w:val="20"/>
    </w:rPr>
  </w:style>
  <w:style w:type="table" w:customStyle="1" w:styleId="TableGridLight1">
    <w:name w:val="Table Grid Light1"/>
    <w:basedOn w:val="TableNormal"/>
    <w:uiPriority w:val="40"/>
    <w:rsid w:val="003F75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3F75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136D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801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8010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416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3">
    <w:name w:val="Table Grid Light3"/>
    <w:basedOn w:val="TableNormal"/>
    <w:uiPriority w:val="40"/>
    <w:rsid w:val="009A19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uiPriority w:val="46"/>
    <w:rsid w:val="00100A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41DD8"/>
    <w:rPr>
      <w:color w:val="808080"/>
    </w:rPr>
  </w:style>
  <w:style w:type="paragraph" w:styleId="EndnoteText">
    <w:name w:val="endnote text"/>
    <w:basedOn w:val="Normal"/>
    <w:link w:val="EndnoteTextChar"/>
    <w:uiPriority w:val="99"/>
    <w:semiHidden/>
    <w:unhideWhenUsed/>
    <w:rsid w:val="00166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FC1"/>
    <w:rPr>
      <w:sz w:val="20"/>
      <w:szCs w:val="20"/>
    </w:rPr>
  </w:style>
  <w:style w:type="character" w:styleId="EndnoteReference">
    <w:name w:val="endnote reference"/>
    <w:basedOn w:val="DefaultParagraphFont"/>
    <w:uiPriority w:val="99"/>
    <w:semiHidden/>
    <w:unhideWhenUsed/>
    <w:rsid w:val="00166FC1"/>
    <w:rPr>
      <w:vertAlign w:val="superscript"/>
    </w:rPr>
  </w:style>
  <w:style w:type="character" w:customStyle="1" w:styleId="markez59nbx80">
    <w:name w:val="markez59nbx80"/>
    <w:basedOn w:val="DefaultParagraphFont"/>
    <w:rsid w:val="000D4AB1"/>
  </w:style>
  <w:style w:type="character" w:customStyle="1" w:styleId="marko7g66wxkp">
    <w:name w:val="marko7g66wxkp"/>
    <w:basedOn w:val="DefaultParagraphFont"/>
    <w:rsid w:val="000D4AB1"/>
  </w:style>
  <w:style w:type="paragraph" w:customStyle="1" w:styleId="xmsonormal">
    <w:name w:val="x_msonormal"/>
    <w:basedOn w:val="Normal"/>
    <w:rsid w:val="000D4A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PERSChar">
    <w:name w:val="SUPERS Char"/>
    <w:aliases w:val="EN Footnote Reference Char"/>
    <w:basedOn w:val="Normal"/>
    <w:uiPriority w:val="99"/>
    <w:rsid w:val="00BF4134"/>
    <w:pPr>
      <w:widowControl w:val="0"/>
      <w:adjustRightInd w:val="0"/>
      <w:spacing w:line="240" w:lineRule="exact"/>
      <w:jc w:val="both"/>
    </w:pPr>
    <w:rPr>
      <w:rFonts w:ascii="Times New Roman" w:eastAsia="Times New Roman" w:hAnsi="Times New Roman" w:cs="Times New Roman"/>
      <w:sz w:val="20"/>
      <w:szCs w:val="20"/>
      <w:vertAlign w:val="superscript"/>
      <w:lang w:eastAsia="ja-JP"/>
    </w:rPr>
  </w:style>
  <w:style w:type="character" w:styleId="UnresolvedMention">
    <w:name w:val="Unresolved Mention"/>
    <w:basedOn w:val="DefaultParagraphFont"/>
    <w:uiPriority w:val="99"/>
    <w:semiHidden/>
    <w:unhideWhenUsed/>
    <w:rsid w:val="00CD6EFF"/>
    <w:rPr>
      <w:color w:val="605E5C"/>
      <w:shd w:val="clear" w:color="auto" w:fill="E1DFDD"/>
    </w:rPr>
  </w:style>
  <w:style w:type="paragraph" w:customStyle="1" w:styleId="Style3">
    <w:name w:val="Style3"/>
    <w:basedOn w:val="Normal"/>
    <w:rsid w:val="00F1031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475">
      <w:bodyDiv w:val="1"/>
      <w:marLeft w:val="0"/>
      <w:marRight w:val="0"/>
      <w:marTop w:val="0"/>
      <w:marBottom w:val="0"/>
      <w:divBdr>
        <w:top w:val="none" w:sz="0" w:space="0" w:color="auto"/>
        <w:left w:val="none" w:sz="0" w:space="0" w:color="auto"/>
        <w:bottom w:val="none" w:sz="0" w:space="0" w:color="auto"/>
        <w:right w:val="none" w:sz="0" w:space="0" w:color="auto"/>
      </w:divBdr>
      <w:divsChild>
        <w:div w:id="618681100">
          <w:marLeft w:val="706"/>
          <w:marRight w:val="0"/>
          <w:marTop w:val="0"/>
          <w:marBottom w:val="0"/>
          <w:divBdr>
            <w:top w:val="none" w:sz="0" w:space="0" w:color="auto"/>
            <w:left w:val="none" w:sz="0" w:space="0" w:color="auto"/>
            <w:bottom w:val="none" w:sz="0" w:space="0" w:color="auto"/>
            <w:right w:val="none" w:sz="0" w:space="0" w:color="auto"/>
          </w:divBdr>
        </w:div>
        <w:div w:id="885678269">
          <w:marLeft w:val="706"/>
          <w:marRight w:val="0"/>
          <w:marTop w:val="0"/>
          <w:marBottom w:val="0"/>
          <w:divBdr>
            <w:top w:val="none" w:sz="0" w:space="0" w:color="auto"/>
            <w:left w:val="none" w:sz="0" w:space="0" w:color="auto"/>
            <w:bottom w:val="none" w:sz="0" w:space="0" w:color="auto"/>
            <w:right w:val="none" w:sz="0" w:space="0" w:color="auto"/>
          </w:divBdr>
        </w:div>
        <w:div w:id="1032654408">
          <w:marLeft w:val="706"/>
          <w:marRight w:val="0"/>
          <w:marTop w:val="0"/>
          <w:marBottom w:val="0"/>
          <w:divBdr>
            <w:top w:val="none" w:sz="0" w:space="0" w:color="auto"/>
            <w:left w:val="none" w:sz="0" w:space="0" w:color="auto"/>
            <w:bottom w:val="none" w:sz="0" w:space="0" w:color="auto"/>
            <w:right w:val="none" w:sz="0" w:space="0" w:color="auto"/>
          </w:divBdr>
        </w:div>
        <w:div w:id="1536387303">
          <w:marLeft w:val="706"/>
          <w:marRight w:val="0"/>
          <w:marTop w:val="0"/>
          <w:marBottom w:val="0"/>
          <w:divBdr>
            <w:top w:val="none" w:sz="0" w:space="0" w:color="auto"/>
            <w:left w:val="none" w:sz="0" w:space="0" w:color="auto"/>
            <w:bottom w:val="none" w:sz="0" w:space="0" w:color="auto"/>
            <w:right w:val="none" w:sz="0" w:space="0" w:color="auto"/>
          </w:divBdr>
        </w:div>
        <w:div w:id="1711567273">
          <w:marLeft w:val="706"/>
          <w:marRight w:val="0"/>
          <w:marTop w:val="0"/>
          <w:marBottom w:val="0"/>
          <w:divBdr>
            <w:top w:val="none" w:sz="0" w:space="0" w:color="auto"/>
            <w:left w:val="none" w:sz="0" w:space="0" w:color="auto"/>
            <w:bottom w:val="none" w:sz="0" w:space="0" w:color="auto"/>
            <w:right w:val="none" w:sz="0" w:space="0" w:color="auto"/>
          </w:divBdr>
        </w:div>
        <w:div w:id="1833451195">
          <w:marLeft w:val="547"/>
          <w:marRight w:val="0"/>
          <w:marTop w:val="0"/>
          <w:marBottom w:val="0"/>
          <w:divBdr>
            <w:top w:val="none" w:sz="0" w:space="0" w:color="auto"/>
            <w:left w:val="none" w:sz="0" w:space="0" w:color="auto"/>
            <w:bottom w:val="none" w:sz="0" w:space="0" w:color="auto"/>
            <w:right w:val="none" w:sz="0" w:space="0" w:color="auto"/>
          </w:divBdr>
        </w:div>
      </w:divsChild>
    </w:div>
    <w:div w:id="27267283">
      <w:bodyDiv w:val="1"/>
      <w:marLeft w:val="0"/>
      <w:marRight w:val="0"/>
      <w:marTop w:val="0"/>
      <w:marBottom w:val="0"/>
      <w:divBdr>
        <w:top w:val="none" w:sz="0" w:space="0" w:color="auto"/>
        <w:left w:val="none" w:sz="0" w:space="0" w:color="auto"/>
        <w:bottom w:val="none" w:sz="0" w:space="0" w:color="auto"/>
        <w:right w:val="none" w:sz="0" w:space="0" w:color="auto"/>
      </w:divBdr>
    </w:div>
    <w:div w:id="81294328">
      <w:bodyDiv w:val="1"/>
      <w:marLeft w:val="0"/>
      <w:marRight w:val="0"/>
      <w:marTop w:val="0"/>
      <w:marBottom w:val="0"/>
      <w:divBdr>
        <w:top w:val="none" w:sz="0" w:space="0" w:color="auto"/>
        <w:left w:val="none" w:sz="0" w:space="0" w:color="auto"/>
        <w:bottom w:val="none" w:sz="0" w:space="0" w:color="auto"/>
        <w:right w:val="none" w:sz="0" w:space="0" w:color="auto"/>
      </w:divBdr>
    </w:div>
    <w:div w:id="269629736">
      <w:bodyDiv w:val="1"/>
      <w:marLeft w:val="0"/>
      <w:marRight w:val="0"/>
      <w:marTop w:val="0"/>
      <w:marBottom w:val="0"/>
      <w:divBdr>
        <w:top w:val="none" w:sz="0" w:space="0" w:color="auto"/>
        <w:left w:val="none" w:sz="0" w:space="0" w:color="auto"/>
        <w:bottom w:val="none" w:sz="0" w:space="0" w:color="auto"/>
        <w:right w:val="none" w:sz="0" w:space="0" w:color="auto"/>
      </w:divBdr>
    </w:div>
    <w:div w:id="976908949">
      <w:bodyDiv w:val="1"/>
      <w:marLeft w:val="0"/>
      <w:marRight w:val="0"/>
      <w:marTop w:val="0"/>
      <w:marBottom w:val="0"/>
      <w:divBdr>
        <w:top w:val="none" w:sz="0" w:space="0" w:color="auto"/>
        <w:left w:val="none" w:sz="0" w:space="0" w:color="auto"/>
        <w:bottom w:val="none" w:sz="0" w:space="0" w:color="auto"/>
        <w:right w:val="none" w:sz="0" w:space="0" w:color="auto"/>
      </w:divBdr>
    </w:div>
    <w:div w:id="1464274864">
      <w:bodyDiv w:val="1"/>
      <w:marLeft w:val="0"/>
      <w:marRight w:val="0"/>
      <w:marTop w:val="0"/>
      <w:marBottom w:val="0"/>
      <w:divBdr>
        <w:top w:val="none" w:sz="0" w:space="0" w:color="auto"/>
        <w:left w:val="none" w:sz="0" w:space="0" w:color="auto"/>
        <w:bottom w:val="none" w:sz="0" w:space="0" w:color="auto"/>
        <w:right w:val="none" w:sz="0" w:space="0" w:color="auto"/>
      </w:divBdr>
    </w:div>
    <w:div w:id="1465923341">
      <w:bodyDiv w:val="1"/>
      <w:marLeft w:val="0"/>
      <w:marRight w:val="0"/>
      <w:marTop w:val="0"/>
      <w:marBottom w:val="0"/>
      <w:divBdr>
        <w:top w:val="none" w:sz="0" w:space="0" w:color="auto"/>
        <w:left w:val="none" w:sz="0" w:space="0" w:color="auto"/>
        <w:bottom w:val="none" w:sz="0" w:space="0" w:color="auto"/>
        <w:right w:val="none" w:sz="0" w:space="0" w:color="auto"/>
      </w:divBdr>
      <w:divsChild>
        <w:div w:id="168639723">
          <w:marLeft w:val="0"/>
          <w:marRight w:val="0"/>
          <w:marTop w:val="0"/>
          <w:marBottom w:val="0"/>
          <w:divBdr>
            <w:top w:val="none" w:sz="0" w:space="0" w:color="auto"/>
            <w:left w:val="none" w:sz="0" w:space="0" w:color="auto"/>
            <w:bottom w:val="none" w:sz="0" w:space="0" w:color="auto"/>
            <w:right w:val="none" w:sz="0" w:space="0" w:color="auto"/>
          </w:divBdr>
          <w:divsChild>
            <w:div w:id="449904723">
              <w:marLeft w:val="0"/>
              <w:marRight w:val="0"/>
              <w:marTop w:val="0"/>
              <w:marBottom w:val="0"/>
              <w:divBdr>
                <w:top w:val="none" w:sz="0" w:space="0" w:color="auto"/>
                <w:left w:val="none" w:sz="0" w:space="0" w:color="auto"/>
                <w:bottom w:val="none" w:sz="0" w:space="0" w:color="auto"/>
                <w:right w:val="none" w:sz="0" w:space="0" w:color="auto"/>
              </w:divBdr>
              <w:divsChild>
                <w:div w:id="572466813">
                  <w:marLeft w:val="0"/>
                  <w:marRight w:val="0"/>
                  <w:marTop w:val="0"/>
                  <w:marBottom w:val="0"/>
                  <w:divBdr>
                    <w:top w:val="none" w:sz="0" w:space="0" w:color="auto"/>
                    <w:left w:val="none" w:sz="0" w:space="0" w:color="auto"/>
                    <w:bottom w:val="none" w:sz="0" w:space="0" w:color="auto"/>
                    <w:right w:val="none" w:sz="0" w:space="0" w:color="auto"/>
                  </w:divBdr>
                  <w:divsChild>
                    <w:div w:id="612591714">
                      <w:marLeft w:val="0"/>
                      <w:marRight w:val="0"/>
                      <w:marTop w:val="0"/>
                      <w:marBottom w:val="0"/>
                      <w:divBdr>
                        <w:top w:val="none" w:sz="0" w:space="0" w:color="auto"/>
                        <w:left w:val="none" w:sz="0" w:space="0" w:color="auto"/>
                        <w:bottom w:val="none" w:sz="0" w:space="0" w:color="auto"/>
                        <w:right w:val="none" w:sz="0" w:space="0" w:color="auto"/>
                      </w:divBdr>
                      <w:divsChild>
                        <w:div w:id="1694265506">
                          <w:marLeft w:val="0"/>
                          <w:marRight w:val="0"/>
                          <w:marTop w:val="0"/>
                          <w:marBottom w:val="0"/>
                          <w:divBdr>
                            <w:top w:val="none" w:sz="0" w:space="0" w:color="auto"/>
                            <w:left w:val="none" w:sz="0" w:space="0" w:color="auto"/>
                            <w:bottom w:val="none" w:sz="0" w:space="0" w:color="auto"/>
                            <w:right w:val="none" w:sz="0" w:space="0" w:color="auto"/>
                          </w:divBdr>
                          <w:divsChild>
                            <w:div w:id="677192676">
                              <w:marLeft w:val="0"/>
                              <w:marRight w:val="300"/>
                              <w:marTop w:val="180"/>
                              <w:marBottom w:val="0"/>
                              <w:divBdr>
                                <w:top w:val="none" w:sz="0" w:space="0" w:color="auto"/>
                                <w:left w:val="none" w:sz="0" w:space="0" w:color="auto"/>
                                <w:bottom w:val="none" w:sz="0" w:space="0" w:color="auto"/>
                                <w:right w:val="none" w:sz="0" w:space="0" w:color="auto"/>
                              </w:divBdr>
                              <w:divsChild>
                                <w:div w:id="9327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20">
          <w:marLeft w:val="0"/>
          <w:marRight w:val="0"/>
          <w:marTop w:val="0"/>
          <w:marBottom w:val="0"/>
          <w:divBdr>
            <w:top w:val="none" w:sz="0" w:space="0" w:color="auto"/>
            <w:left w:val="none" w:sz="0" w:space="0" w:color="auto"/>
            <w:bottom w:val="none" w:sz="0" w:space="0" w:color="auto"/>
            <w:right w:val="none" w:sz="0" w:space="0" w:color="auto"/>
          </w:divBdr>
          <w:divsChild>
            <w:div w:id="1505853143">
              <w:marLeft w:val="0"/>
              <w:marRight w:val="0"/>
              <w:marTop w:val="0"/>
              <w:marBottom w:val="0"/>
              <w:divBdr>
                <w:top w:val="none" w:sz="0" w:space="0" w:color="auto"/>
                <w:left w:val="none" w:sz="0" w:space="0" w:color="auto"/>
                <w:bottom w:val="none" w:sz="0" w:space="0" w:color="auto"/>
                <w:right w:val="none" w:sz="0" w:space="0" w:color="auto"/>
              </w:divBdr>
              <w:divsChild>
                <w:div w:id="539709708">
                  <w:marLeft w:val="0"/>
                  <w:marRight w:val="0"/>
                  <w:marTop w:val="0"/>
                  <w:marBottom w:val="0"/>
                  <w:divBdr>
                    <w:top w:val="none" w:sz="0" w:space="0" w:color="auto"/>
                    <w:left w:val="none" w:sz="0" w:space="0" w:color="auto"/>
                    <w:bottom w:val="none" w:sz="0" w:space="0" w:color="auto"/>
                    <w:right w:val="none" w:sz="0" w:space="0" w:color="auto"/>
                  </w:divBdr>
                  <w:divsChild>
                    <w:div w:id="1633704216">
                      <w:marLeft w:val="0"/>
                      <w:marRight w:val="0"/>
                      <w:marTop w:val="0"/>
                      <w:marBottom w:val="0"/>
                      <w:divBdr>
                        <w:top w:val="none" w:sz="0" w:space="0" w:color="auto"/>
                        <w:left w:val="none" w:sz="0" w:space="0" w:color="auto"/>
                        <w:bottom w:val="none" w:sz="0" w:space="0" w:color="auto"/>
                        <w:right w:val="none" w:sz="0" w:space="0" w:color="auto"/>
                      </w:divBdr>
                      <w:divsChild>
                        <w:div w:id="713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59805">
      <w:bodyDiv w:val="1"/>
      <w:marLeft w:val="0"/>
      <w:marRight w:val="0"/>
      <w:marTop w:val="0"/>
      <w:marBottom w:val="0"/>
      <w:divBdr>
        <w:top w:val="none" w:sz="0" w:space="0" w:color="auto"/>
        <w:left w:val="none" w:sz="0" w:space="0" w:color="auto"/>
        <w:bottom w:val="none" w:sz="0" w:space="0" w:color="auto"/>
        <w:right w:val="none" w:sz="0" w:space="0" w:color="auto"/>
      </w:divBdr>
    </w:div>
    <w:div w:id="1780251464">
      <w:bodyDiv w:val="1"/>
      <w:marLeft w:val="0"/>
      <w:marRight w:val="0"/>
      <w:marTop w:val="0"/>
      <w:marBottom w:val="0"/>
      <w:divBdr>
        <w:top w:val="none" w:sz="0" w:space="0" w:color="auto"/>
        <w:left w:val="none" w:sz="0" w:space="0" w:color="auto"/>
        <w:bottom w:val="none" w:sz="0" w:space="0" w:color="auto"/>
        <w:right w:val="none" w:sz="0" w:space="0" w:color="auto"/>
      </w:divBdr>
    </w:div>
    <w:div w:id="1939557141">
      <w:bodyDiv w:val="1"/>
      <w:marLeft w:val="0"/>
      <w:marRight w:val="0"/>
      <w:marTop w:val="0"/>
      <w:marBottom w:val="0"/>
      <w:divBdr>
        <w:top w:val="none" w:sz="0" w:space="0" w:color="auto"/>
        <w:left w:val="none" w:sz="0" w:space="0" w:color="auto"/>
        <w:bottom w:val="none" w:sz="0" w:space="0" w:color="auto"/>
        <w:right w:val="none" w:sz="0" w:space="0" w:color="auto"/>
      </w:divBdr>
    </w:div>
    <w:div w:id="21211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mailto:Gusts.Zustenieks@varam.gov.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arbon-pulse.com/111076/" TargetMode="External"/><Relationship Id="rId3" Type="http://schemas.openxmlformats.org/officeDocument/2006/relationships/hyperlink" Target="https://likumi.lv/ta/id/312423-par-latvijas-nacionalo-energetikas-un-klimata-planu-20212030-gadam" TargetMode="External"/><Relationship Id="rId7" Type="http://schemas.openxmlformats.org/officeDocument/2006/relationships/hyperlink" Target="http://climatecake.pl/wp-content/uploads/2020/03/Impact-on-the-reduction-target-for-2030-and-on-the-EUA-prices.-Summary.pdf" TargetMode="External"/><Relationship Id="rId2" Type="http://schemas.openxmlformats.org/officeDocument/2006/relationships/hyperlink" Target="https://cdr.eionet.europa.eu/lv/eu/mmr/art04-13-14_lcds_pams_projections/projections/envxqm02w/" TargetMode="External"/><Relationship Id="rId1" Type="http://schemas.openxmlformats.org/officeDocument/2006/relationships/hyperlink" Target="https://ec.europa.eu/info/sites/info/files/innovation_and_modernisation_fund_ema.pdf" TargetMode="External"/><Relationship Id="rId6" Type="http://schemas.openxmlformats.org/officeDocument/2006/relationships/hyperlink" Target="https://eur-lex.europa.eu/legal-content/LV/TXT/?uri=CELEX:32018R1999" TargetMode="External"/><Relationship Id="rId5" Type="http://schemas.openxmlformats.org/officeDocument/2006/relationships/hyperlink" Target="https://ec.europa.eu/clima/sites/clima/files/eu-climate-action/docs/impact_en.pdf" TargetMode="External"/><Relationship Id="rId4" Type="http://schemas.openxmlformats.org/officeDocument/2006/relationships/hyperlink" Target="https://eur-lex.europa.eu/legal-content/EN/TXT/?qid=1547536916236&amp;uri=CELEX:52020PC0080" TargetMode="External"/><Relationship Id="rId9" Type="http://schemas.openxmlformats.org/officeDocument/2006/relationships/hyperlink" Target="https://www.lrvk.gov.lv/lv/getrevisionfile//uploads/reviziju-zinojumi/2016/2.4.1-16_2016/revizijas-zinojums-varam.pdf"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87FB77-A759-4F9B-80FF-4B9B4489D8EC}" type="doc">
      <dgm:prSet loTypeId="urn:microsoft.com/office/officeart/2005/8/layout/hProcess9" loCatId="process" qsTypeId="urn:microsoft.com/office/officeart/2005/8/quickstyle/3d6" qsCatId="3D" csTypeId="urn:microsoft.com/office/officeart/2005/8/colors/accent6_1" csCatId="accent6" phldr="1"/>
      <dgm:spPr/>
    </dgm:pt>
    <dgm:pt modelId="{7CD57D1F-0706-4B06-ABBA-635D8EC2DFB8}">
      <dgm:prSet phldrT="[Text]"/>
      <dgm:spPr/>
      <dgm:t>
        <a:bodyPr/>
        <a:lstStyle/>
        <a:p>
          <a:pPr algn="l"/>
          <a:r>
            <a:rPr lang="lv-LV"/>
            <a:t>Gala termiņš ES dalībvalstu paziņojumiem par Modernizācijas fonda finansējuma palielināšanu</a:t>
          </a:r>
        </a:p>
        <a:p>
          <a:pPr algn="l"/>
          <a:r>
            <a:rPr lang="lv-LV" b="1"/>
            <a:t>30.09.2019</a:t>
          </a:r>
        </a:p>
      </dgm:t>
    </dgm:pt>
    <dgm:pt modelId="{05495879-1694-4DBB-AD7A-F16B9E2BE249}" type="parTrans" cxnId="{583EAE5F-D576-4435-8E7D-E372902DABE4}">
      <dgm:prSet/>
      <dgm:spPr/>
      <dgm:t>
        <a:bodyPr/>
        <a:lstStyle/>
        <a:p>
          <a:pPr algn="l"/>
          <a:endParaRPr lang="lv-LV"/>
        </a:p>
      </dgm:t>
    </dgm:pt>
    <dgm:pt modelId="{70104F96-C05C-4582-85F7-41AF6B667550}" type="sibTrans" cxnId="{583EAE5F-D576-4435-8E7D-E372902DABE4}">
      <dgm:prSet/>
      <dgm:spPr/>
      <dgm:t>
        <a:bodyPr/>
        <a:lstStyle/>
        <a:p>
          <a:pPr algn="l"/>
          <a:endParaRPr lang="lv-LV"/>
        </a:p>
      </dgm:t>
    </dgm:pt>
    <dgm:pt modelId="{221B1B61-AA0B-4CA8-9E5D-6FC0FB1D8232}">
      <dgm:prSet phldrT="[Text]"/>
      <dgm:spPr/>
      <dgm:t>
        <a:bodyPr/>
        <a:lstStyle/>
        <a:p>
          <a:pPr algn="l"/>
          <a:r>
            <a:rPr lang="lv-LV"/>
            <a:t>Modernizācijas fonda darbības regulas  apstiprināšana </a:t>
          </a:r>
        </a:p>
        <a:p>
          <a:pPr algn="l"/>
          <a:r>
            <a:rPr lang="lv-LV" b="1"/>
            <a:t>2020. gada 9. jūlijs </a:t>
          </a:r>
        </a:p>
      </dgm:t>
    </dgm:pt>
    <dgm:pt modelId="{A8147A61-7546-469B-962C-55E879434396}" type="parTrans" cxnId="{68E14F4D-BA84-46CC-92F2-B87F025882BA}">
      <dgm:prSet/>
      <dgm:spPr/>
      <dgm:t>
        <a:bodyPr/>
        <a:lstStyle/>
        <a:p>
          <a:pPr algn="l"/>
          <a:endParaRPr lang="lv-LV"/>
        </a:p>
      </dgm:t>
    </dgm:pt>
    <dgm:pt modelId="{BD3759A2-C465-4D56-AA5D-36423D3A2B24}" type="sibTrans" cxnId="{68E14F4D-BA84-46CC-92F2-B87F025882BA}">
      <dgm:prSet/>
      <dgm:spPr/>
      <dgm:t>
        <a:bodyPr/>
        <a:lstStyle/>
        <a:p>
          <a:pPr algn="l"/>
          <a:endParaRPr lang="lv-LV"/>
        </a:p>
      </dgm:t>
    </dgm:pt>
    <dgm:pt modelId="{256718D4-8B43-49F5-BB68-B9F4EB39768D}">
      <dgm:prSet/>
      <dgm:spPr/>
      <dgm:t>
        <a:bodyPr/>
        <a:lstStyle/>
        <a:p>
          <a:pPr algn="l"/>
          <a:r>
            <a:rPr lang="lv-LV"/>
            <a:t>Investīciju komitejas izveide</a:t>
          </a:r>
        </a:p>
        <a:p>
          <a:pPr algn="l"/>
          <a:r>
            <a:rPr lang="lv-LV" b="1"/>
            <a:t>2020. gada 3. cet</a:t>
          </a:r>
          <a:endParaRPr lang="lv-LV"/>
        </a:p>
      </dgm:t>
    </dgm:pt>
    <dgm:pt modelId="{C3C494A0-6EEC-4237-A074-655E27C91B8E}" type="parTrans" cxnId="{75511828-793B-4479-B8C8-FDC465A892EB}">
      <dgm:prSet/>
      <dgm:spPr/>
      <dgm:t>
        <a:bodyPr/>
        <a:lstStyle/>
        <a:p>
          <a:pPr algn="l"/>
          <a:endParaRPr lang="lv-LV"/>
        </a:p>
      </dgm:t>
    </dgm:pt>
    <dgm:pt modelId="{F2A8A544-5073-472E-AB54-DA6F4D55D825}" type="sibTrans" cxnId="{75511828-793B-4479-B8C8-FDC465A892EB}">
      <dgm:prSet/>
      <dgm:spPr/>
      <dgm:t>
        <a:bodyPr/>
        <a:lstStyle/>
        <a:p>
          <a:pPr algn="l"/>
          <a:endParaRPr lang="lv-LV"/>
        </a:p>
      </dgm:t>
    </dgm:pt>
    <dgm:pt modelId="{CF24A0A9-35C8-4832-91AD-5E3915638488}">
      <dgm:prSet/>
      <dgm:spPr/>
      <dgm:t>
        <a:bodyPr/>
        <a:lstStyle/>
        <a:p>
          <a:pPr algn="l"/>
          <a:r>
            <a:rPr lang="lv-LV"/>
            <a:t>Modernizācijas fonda darbības uzsākšana</a:t>
          </a:r>
        </a:p>
        <a:p>
          <a:pPr algn="l"/>
          <a:r>
            <a:rPr lang="lv-LV" b="1"/>
            <a:t>2021. gada 1.cet.</a:t>
          </a:r>
        </a:p>
      </dgm:t>
    </dgm:pt>
    <dgm:pt modelId="{076DF4BD-9DA2-40D7-B432-53A7BD5A9AF9}" type="parTrans" cxnId="{4DF9B7FC-4CFC-4E0F-A6BC-32B81D5D4771}">
      <dgm:prSet/>
      <dgm:spPr/>
      <dgm:t>
        <a:bodyPr/>
        <a:lstStyle/>
        <a:p>
          <a:pPr algn="l"/>
          <a:endParaRPr lang="lv-LV"/>
        </a:p>
      </dgm:t>
    </dgm:pt>
    <dgm:pt modelId="{12FB8623-8A01-4421-ADCD-101D5672B50D}" type="sibTrans" cxnId="{4DF9B7FC-4CFC-4E0F-A6BC-32B81D5D4771}">
      <dgm:prSet/>
      <dgm:spPr/>
      <dgm:t>
        <a:bodyPr/>
        <a:lstStyle/>
        <a:p>
          <a:pPr algn="l"/>
          <a:endParaRPr lang="lv-LV"/>
        </a:p>
      </dgm:t>
    </dgm:pt>
    <dgm:pt modelId="{E7F2BF65-1B90-464E-9CCD-BF41977A6F12}" type="pres">
      <dgm:prSet presAssocID="{F487FB77-A759-4F9B-80FF-4B9B4489D8EC}" presName="CompostProcess" presStyleCnt="0">
        <dgm:presLayoutVars>
          <dgm:dir/>
          <dgm:resizeHandles val="exact"/>
        </dgm:presLayoutVars>
      </dgm:prSet>
      <dgm:spPr/>
    </dgm:pt>
    <dgm:pt modelId="{382EC972-4BE8-4A4A-A6C1-A79A025F80F9}" type="pres">
      <dgm:prSet presAssocID="{F487FB77-A759-4F9B-80FF-4B9B4489D8EC}" presName="arrow" presStyleLbl="bgShp" presStyleIdx="0" presStyleCnt="1"/>
      <dgm:spPr>
        <a:solidFill>
          <a:schemeClr val="bg1">
            <a:lumMod val="85000"/>
          </a:schemeClr>
        </a:solidFill>
      </dgm:spPr>
    </dgm:pt>
    <dgm:pt modelId="{7FF6DCC0-0ADE-430B-9242-0C7385A9982C}" type="pres">
      <dgm:prSet presAssocID="{F487FB77-A759-4F9B-80FF-4B9B4489D8EC}" presName="linearProcess" presStyleCnt="0"/>
      <dgm:spPr/>
    </dgm:pt>
    <dgm:pt modelId="{63FC0EDA-6165-4626-8A08-80707F16427E}" type="pres">
      <dgm:prSet presAssocID="{7CD57D1F-0706-4B06-ABBA-635D8EC2DFB8}" presName="textNode" presStyleLbl="node1" presStyleIdx="0" presStyleCnt="4" custScaleX="117970" custScaleY="95717" custLinFactNeighborX="3437">
        <dgm:presLayoutVars>
          <dgm:bulletEnabled val="1"/>
        </dgm:presLayoutVars>
      </dgm:prSet>
      <dgm:spPr/>
    </dgm:pt>
    <dgm:pt modelId="{D217D06B-67C4-4B1C-8B72-530274991BC8}" type="pres">
      <dgm:prSet presAssocID="{70104F96-C05C-4582-85F7-41AF6B667550}" presName="sibTrans" presStyleCnt="0"/>
      <dgm:spPr/>
    </dgm:pt>
    <dgm:pt modelId="{8A8A91D0-6BFA-4682-AA15-1A52A3D49BF6}" type="pres">
      <dgm:prSet presAssocID="{221B1B61-AA0B-4CA8-9E5D-6FC0FB1D8232}" presName="textNode" presStyleLbl="node1" presStyleIdx="1" presStyleCnt="4" custScaleX="117970" custScaleY="95717" custLinFactNeighborX="3437">
        <dgm:presLayoutVars>
          <dgm:bulletEnabled val="1"/>
        </dgm:presLayoutVars>
      </dgm:prSet>
      <dgm:spPr/>
    </dgm:pt>
    <dgm:pt modelId="{C51535B2-5525-498F-89B4-603528D2EE79}" type="pres">
      <dgm:prSet presAssocID="{BD3759A2-C465-4D56-AA5D-36423D3A2B24}" presName="sibTrans" presStyleCnt="0"/>
      <dgm:spPr/>
    </dgm:pt>
    <dgm:pt modelId="{2D755937-A0A3-41AB-9D58-9555AA940F3D}" type="pres">
      <dgm:prSet presAssocID="{256718D4-8B43-49F5-BB68-B9F4EB39768D}" presName="textNode" presStyleLbl="node1" presStyleIdx="2" presStyleCnt="4" custScaleX="117970" custScaleY="95717" custLinFactNeighborX="3437">
        <dgm:presLayoutVars>
          <dgm:bulletEnabled val="1"/>
        </dgm:presLayoutVars>
      </dgm:prSet>
      <dgm:spPr/>
    </dgm:pt>
    <dgm:pt modelId="{83ABFE72-127E-44A9-8BCD-AB8C8878F1D3}" type="pres">
      <dgm:prSet presAssocID="{F2A8A544-5073-472E-AB54-DA6F4D55D825}" presName="sibTrans" presStyleCnt="0"/>
      <dgm:spPr/>
    </dgm:pt>
    <dgm:pt modelId="{BBCDAE00-E719-4EE1-BDC3-09EBF9543161}" type="pres">
      <dgm:prSet presAssocID="{CF24A0A9-35C8-4832-91AD-5E3915638488}" presName="textNode" presStyleLbl="node1" presStyleIdx="3" presStyleCnt="4" custScaleX="117970" custScaleY="95717" custLinFactNeighborX="3437">
        <dgm:presLayoutVars>
          <dgm:bulletEnabled val="1"/>
        </dgm:presLayoutVars>
      </dgm:prSet>
      <dgm:spPr/>
    </dgm:pt>
  </dgm:ptLst>
  <dgm:cxnLst>
    <dgm:cxn modelId="{75511828-793B-4479-B8C8-FDC465A892EB}" srcId="{F487FB77-A759-4F9B-80FF-4B9B4489D8EC}" destId="{256718D4-8B43-49F5-BB68-B9F4EB39768D}" srcOrd="2" destOrd="0" parTransId="{C3C494A0-6EEC-4237-A074-655E27C91B8E}" sibTransId="{F2A8A544-5073-472E-AB54-DA6F4D55D825}"/>
    <dgm:cxn modelId="{18C69035-8372-4723-AF72-3F8626188ABC}" type="presOf" srcId="{221B1B61-AA0B-4CA8-9E5D-6FC0FB1D8232}" destId="{8A8A91D0-6BFA-4682-AA15-1A52A3D49BF6}" srcOrd="0" destOrd="0" presId="urn:microsoft.com/office/officeart/2005/8/layout/hProcess9"/>
    <dgm:cxn modelId="{583EAE5F-D576-4435-8E7D-E372902DABE4}" srcId="{F487FB77-A759-4F9B-80FF-4B9B4489D8EC}" destId="{7CD57D1F-0706-4B06-ABBA-635D8EC2DFB8}" srcOrd="0" destOrd="0" parTransId="{05495879-1694-4DBB-AD7A-F16B9E2BE249}" sibTransId="{70104F96-C05C-4582-85F7-41AF6B667550}"/>
    <dgm:cxn modelId="{87787C44-7B2E-4EEA-95AF-1D003C56D1E8}" type="presOf" srcId="{7CD57D1F-0706-4B06-ABBA-635D8EC2DFB8}" destId="{63FC0EDA-6165-4626-8A08-80707F16427E}" srcOrd="0" destOrd="0" presId="urn:microsoft.com/office/officeart/2005/8/layout/hProcess9"/>
    <dgm:cxn modelId="{68E14F4D-BA84-46CC-92F2-B87F025882BA}" srcId="{F487FB77-A759-4F9B-80FF-4B9B4489D8EC}" destId="{221B1B61-AA0B-4CA8-9E5D-6FC0FB1D8232}" srcOrd="1" destOrd="0" parTransId="{A8147A61-7546-469B-962C-55E879434396}" sibTransId="{BD3759A2-C465-4D56-AA5D-36423D3A2B24}"/>
    <dgm:cxn modelId="{14FD7CA2-F3E7-4108-82F4-2E40FDFFC613}" type="presOf" srcId="{F487FB77-A759-4F9B-80FF-4B9B4489D8EC}" destId="{E7F2BF65-1B90-464E-9CCD-BF41977A6F12}" srcOrd="0" destOrd="0" presId="urn:microsoft.com/office/officeart/2005/8/layout/hProcess9"/>
    <dgm:cxn modelId="{8523A6D8-4520-455A-92AC-FC009AD3A017}" type="presOf" srcId="{256718D4-8B43-49F5-BB68-B9F4EB39768D}" destId="{2D755937-A0A3-41AB-9D58-9555AA940F3D}" srcOrd="0" destOrd="0" presId="urn:microsoft.com/office/officeart/2005/8/layout/hProcess9"/>
    <dgm:cxn modelId="{B6B300E8-75B4-4C36-93AA-78B0C5AD5F32}" type="presOf" srcId="{CF24A0A9-35C8-4832-91AD-5E3915638488}" destId="{BBCDAE00-E719-4EE1-BDC3-09EBF9543161}" srcOrd="0" destOrd="0" presId="urn:microsoft.com/office/officeart/2005/8/layout/hProcess9"/>
    <dgm:cxn modelId="{4DF9B7FC-4CFC-4E0F-A6BC-32B81D5D4771}" srcId="{F487FB77-A759-4F9B-80FF-4B9B4489D8EC}" destId="{CF24A0A9-35C8-4832-91AD-5E3915638488}" srcOrd="3" destOrd="0" parTransId="{076DF4BD-9DA2-40D7-B432-53A7BD5A9AF9}" sibTransId="{12FB8623-8A01-4421-ADCD-101D5672B50D}"/>
    <dgm:cxn modelId="{7E4A499E-A83B-445D-9241-0B9589D6DE99}" type="presParOf" srcId="{E7F2BF65-1B90-464E-9CCD-BF41977A6F12}" destId="{382EC972-4BE8-4A4A-A6C1-A79A025F80F9}" srcOrd="0" destOrd="0" presId="urn:microsoft.com/office/officeart/2005/8/layout/hProcess9"/>
    <dgm:cxn modelId="{368AC53E-5D64-43F8-B940-0FD1B6D7A119}" type="presParOf" srcId="{E7F2BF65-1B90-464E-9CCD-BF41977A6F12}" destId="{7FF6DCC0-0ADE-430B-9242-0C7385A9982C}" srcOrd="1" destOrd="0" presId="urn:microsoft.com/office/officeart/2005/8/layout/hProcess9"/>
    <dgm:cxn modelId="{AE097066-03E7-463D-A15A-426AD4D18BB1}" type="presParOf" srcId="{7FF6DCC0-0ADE-430B-9242-0C7385A9982C}" destId="{63FC0EDA-6165-4626-8A08-80707F16427E}" srcOrd="0" destOrd="0" presId="urn:microsoft.com/office/officeart/2005/8/layout/hProcess9"/>
    <dgm:cxn modelId="{60532D9E-1978-4AE5-B74F-0CF038E782D3}" type="presParOf" srcId="{7FF6DCC0-0ADE-430B-9242-0C7385A9982C}" destId="{D217D06B-67C4-4B1C-8B72-530274991BC8}" srcOrd="1" destOrd="0" presId="urn:microsoft.com/office/officeart/2005/8/layout/hProcess9"/>
    <dgm:cxn modelId="{0B128DC4-C353-4F5B-BC8B-9A63ECD260D7}" type="presParOf" srcId="{7FF6DCC0-0ADE-430B-9242-0C7385A9982C}" destId="{8A8A91D0-6BFA-4682-AA15-1A52A3D49BF6}" srcOrd="2" destOrd="0" presId="urn:microsoft.com/office/officeart/2005/8/layout/hProcess9"/>
    <dgm:cxn modelId="{7900A162-C858-4AF6-962F-984AAF73831D}" type="presParOf" srcId="{7FF6DCC0-0ADE-430B-9242-0C7385A9982C}" destId="{C51535B2-5525-498F-89B4-603528D2EE79}" srcOrd="3" destOrd="0" presId="urn:microsoft.com/office/officeart/2005/8/layout/hProcess9"/>
    <dgm:cxn modelId="{78645247-3336-419B-95EB-2AE4C152D35C}" type="presParOf" srcId="{7FF6DCC0-0ADE-430B-9242-0C7385A9982C}" destId="{2D755937-A0A3-41AB-9D58-9555AA940F3D}" srcOrd="4" destOrd="0" presId="urn:microsoft.com/office/officeart/2005/8/layout/hProcess9"/>
    <dgm:cxn modelId="{892B1EC9-A50E-4117-9B28-8CCB4B4D4F4F}" type="presParOf" srcId="{7FF6DCC0-0ADE-430B-9242-0C7385A9982C}" destId="{83ABFE72-127E-44A9-8BCD-AB8C8878F1D3}" srcOrd="5" destOrd="0" presId="urn:microsoft.com/office/officeart/2005/8/layout/hProcess9"/>
    <dgm:cxn modelId="{A92959C5-A43E-43E5-82F2-5138D6806735}" type="presParOf" srcId="{7FF6DCC0-0ADE-430B-9242-0C7385A9982C}" destId="{BBCDAE00-E719-4EE1-BDC3-09EBF9543161}" srcOrd="6"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611456-BAEF-46B2-A269-73DF4A4EE5E6}" type="doc">
      <dgm:prSet loTypeId="urn:microsoft.com/office/officeart/2005/8/layout/hierarchy6" loCatId="hierarchy" qsTypeId="urn:microsoft.com/office/officeart/2005/8/quickstyle/simple1" qsCatId="simple" csTypeId="urn:microsoft.com/office/officeart/2005/8/colors/colorful3" csCatId="colorful" phldr="1"/>
      <dgm:spPr/>
      <dgm:t>
        <a:bodyPr/>
        <a:lstStyle/>
        <a:p>
          <a:endParaRPr lang="lv-LV"/>
        </a:p>
      </dgm:t>
    </dgm:pt>
    <dgm:pt modelId="{2EFE78ED-E862-4DE7-A1DA-535766C85163}">
      <dgm:prSet phldrT="[Text]"/>
      <dgm:spPr>
        <a:solidFill>
          <a:srgbClr val="7030A0"/>
        </a:solidFill>
      </dgm:spPr>
      <dgm:t>
        <a:bodyPr/>
        <a:lstStyle/>
        <a:p>
          <a:r>
            <a:rPr lang="lv-LV"/>
            <a:t>ES dalībvalstis ierosina projektus</a:t>
          </a:r>
        </a:p>
      </dgm:t>
    </dgm:pt>
    <dgm:pt modelId="{A87FE6DC-2B67-43C5-9606-A209DC795710}" type="parTrans" cxnId="{14AC47AF-6C56-48ED-B4FB-1302BE33466F}">
      <dgm:prSet/>
      <dgm:spPr/>
      <dgm:t>
        <a:bodyPr/>
        <a:lstStyle/>
        <a:p>
          <a:endParaRPr lang="lv-LV"/>
        </a:p>
      </dgm:t>
    </dgm:pt>
    <dgm:pt modelId="{334BBCF6-4514-4A6E-B88A-2F5CD86E2F87}" type="sibTrans" cxnId="{14AC47AF-6C56-48ED-B4FB-1302BE33466F}">
      <dgm:prSet/>
      <dgm:spPr/>
      <dgm:t>
        <a:bodyPr/>
        <a:lstStyle/>
        <a:p>
          <a:endParaRPr lang="lv-LV"/>
        </a:p>
      </dgm:t>
    </dgm:pt>
    <dgm:pt modelId="{E841CABC-5191-45E6-9A6A-B035C2FA9355}">
      <dgm:prSet phldrT="[Text]"/>
      <dgm:spPr/>
      <dgm:t>
        <a:bodyPr/>
        <a:lstStyle/>
        <a:p>
          <a:r>
            <a:rPr lang="lv-LV"/>
            <a:t>EIB novērtē projektus</a:t>
          </a:r>
        </a:p>
      </dgm:t>
    </dgm:pt>
    <dgm:pt modelId="{59399AA0-325C-4457-AED7-A2EB2D8FE01D}" type="parTrans" cxnId="{0DD10E74-4EE5-4139-99F4-6947B5281742}">
      <dgm:prSet/>
      <dgm:spPr>
        <a:ln>
          <a:tailEnd type="stealth"/>
        </a:ln>
      </dgm:spPr>
      <dgm:t>
        <a:bodyPr/>
        <a:lstStyle/>
        <a:p>
          <a:endParaRPr lang="lv-LV"/>
        </a:p>
      </dgm:t>
    </dgm:pt>
    <dgm:pt modelId="{EA6BC242-BE70-4EB6-AE0C-EC5DD99A5CE9}" type="sibTrans" cxnId="{0DD10E74-4EE5-4139-99F4-6947B5281742}">
      <dgm:prSet/>
      <dgm:spPr/>
      <dgm:t>
        <a:bodyPr/>
        <a:lstStyle/>
        <a:p>
          <a:endParaRPr lang="lv-LV"/>
        </a:p>
      </dgm:t>
    </dgm:pt>
    <dgm:pt modelId="{94EE850F-14EB-4C64-80EA-D505CA89BCD7}">
      <dgm:prSet phldrT="[Text]"/>
      <dgm:spPr>
        <a:solidFill>
          <a:schemeClr val="accent6"/>
        </a:solidFill>
      </dgm:spPr>
      <dgm:t>
        <a:bodyPr/>
        <a:lstStyle/>
        <a:p>
          <a:r>
            <a:rPr lang="lv-LV"/>
            <a:t>Prioritāro ieguldījumu projekti</a:t>
          </a:r>
        </a:p>
      </dgm:t>
    </dgm:pt>
    <dgm:pt modelId="{C33F9F86-E2C6-4ACB-8651-7320EF785919}" type="parTrans" cxnId="{492AD760-FA64-4C39-BC05-9CCD73D6F664}">
      <dgm:prSet/>
      <dgm:spPr>
        <a:ln>
          <a:tailEnd type="stealth"/>
        </a:ln>
      </dgm:spPr>
      <dgm:t>
        <a:bodyPr/>
        <a:lstStyle/>
        <a:p>
          <a:endParaRPr lang="lv-LV"/>
        </a:p>
      </dgm:t>
    </dgm:pt>
    <dgm:pt modelId="{AC6B465F-16EC-4347-B58D-1F557CF78A0E}" type="sibTrans" cxnId="{492AD760-FA64-4C39-BC05-9CCD73D6F664}">
      <dgm:prSet/>
      <dgm:spPr/>
      <dgm:t>
        <a:bodyPr/>
        <a:lstStyle/>
        <a:p>
          <a:endParaRPr lang="lv-LV"/>
        </a:p>
      </dgm:t>
    </dgm:pt>
    <dgm:pt modelId="{071FBDC3-55B9-488E-82B2-68F72C62E6A4}">
      <dgm:prSet phldrT="[Text]"/>
      <dgm:spPr>
        <a:solidFill>
          <a:schemeClr val="accent5"/>
        </a:solidFill>
      </dgm:spPr>
      <dgm:t>
        <a:bodyPr/>
        <a:lstStyle/>
        <a:p>
          <a:r>
            <a:rPr lang="lv-LV"/>
            <a:t>Neprioritāro ieguldījumu projekti</a:t>
          </a:r>
        </a:p>
      </dgm:t>
    </dgm:pt>
    <dgm:pt modelId="{A71BDCB6-FC76-45CA-B9B6-9F54616AAF46}" type="parTrans" cxnId="{22304398-7FF0-471F-90C9-FA66DC05FF45}">
      <dgm:prSet/>
      <dgm:spPr>
        <a:ln>
          <a:tailEnd type="stealth"/>
        </a:ln>
      </dgm:spPr>
      <dgm:t>
        <a:bodyPr/>
        <a:lstStyle/>
        <a:p>
          <a:endParaRPr lang="lv-LV"/>
        </a:p>
      </dgm:t>
    </dgm:pt>
    <dgm:pt modelId="{A2FBBA45-37BE-4DD8-9F23-F31F98F01C02}" type="sibTrans" cxnId="{22304398-7FF0-471F-90C9-FA66DC05FF45}">
      <dgm:prSet/>
      <dgm:spPr/>
      <dgm:t>
        <a:bodyPr/>
        <a:lstStyle/>
        <a:p>
          <a:endParaRPr lang="lv-LV"/>
        </a:p>
      </dgm:t>
    </dgm:pt>
    <dgm:pt modelId="{770E1DCE-7C96-481E-8B2B-0443571D533F}">
      <dgm:prSet phldrT="[Text]" custT="1"/>
      <dgm:spPr>
        <a:effectLst>
          <a:outerShdw blurRad="152400" dist="114300" dir="5400000" sx="1000" sy="1000" algn="ctr" rotWithShape="0">
            <a:srgbClr val="000000">
              <a:alpha val="43137"/>
            </a:srgbClr>
          </a:outerShdw>
        </a:effectLst>
      </dgm:spPr>
      <dgm:t>
        <a:bodyPr/>
        <a:lstStyle/>
        <a:p>
          <a:r>
            <a:rPr lang="lv-LV" sz="1200" i="1"/>
            <a:t>1. </a:t>
          </a:r>
          <a:r>
            <a:rPr lang="lv-LV" sz="1100" i="1"/>
            <a:t>Izvērtēšana</a:t>
          </a:r>
        </a:p>
      </dgm:t>
    </dgm:pt>
    <dgm:pt modelId="{91AA8809-721C-4FCD-A26A-BB1F197783B8}" type="parTrans" cxnId="{39AD716A-7447-41E0-8283-CE7F88E6B538}">
      <dgm:prSet/>
      <dgm:spPr/>
      <dgm:t>
        <a:bodyPr/>
        <a:lstStyle/>
        <a:p>
          <a:endParaRPr lang="lv-LV"/>
        </a:p>
      </dgm:t>
    </dgm:pt>
    <dgm:pt modelId="{0BCCB35E-0DA4-463A-BA09-6A338EC394B1}" type="sibTrans" cxnId="{39AD716A-7447-41E0-8283-CE7F88E6B538}">
      <dgm:prSet/>
      <dgm:spPr/>
      <dgm:t>
        <a:bodyPr/>
        <a:lstStyle/>
        <a:p>
          <a:endParaRPr lang="lv-LV"/>
        </a:p>
      </dgm:t>
    </dgm:pt>
    <dgm:pt modelId="{499B360B-148C-4D0E-A930-5E6C277AF6CD}">
      <dgm:prSet/>
      <dgm:spPr>
        <a:solidFill>
          <a:srgbClr val="FFC000"/>
        </a:solidFill>
      </dgm:spPr>
      <dgm:t>
        <a:bodyPr/>
        <a:lstStyle/>
        <a:p>
          <a:r>
            <a:rPr lang="lv-LV"/>
            <a:t>EIB izvērtējums un apstiprinājums</a:t>
          </a:r>
        </a:p>
      </dgm:t>
    </dgm:pt>
    <dgm:pt modelId="{08E21C2E-E6CE-482F-8B6A-8CC6C706D1B1}" type="parTrans" cxnId="{00ABC04A-7D1F-4B9D-A4F3-10A306B492DA}">
      <dgm:prSet/>
      <dgm:spPr>
        <a:ln>
          <a:tailEnd type="stealth"/>
        </a:ln>
      </dgm:spPr>
      <dgm:t>
        <a:bodyPr/>
        <a:lstStyle/>
        <a:p>
          <a:endParaRPr lang="lv-LV"/>
        </a:p>
      </dgm:t>
    </dgm:pt>
    <dgm:pt modelId="{33A09EE0-67AC-4CDE-AD7A-6F76F30C39CA}" type="sibTrans" cxnId="{00ABC04A-7D1F-4B9D-A4F3-10A306B492DA}">
      <dgm:prSet/>
      <dgm:spPr/>
      <dgm:t>
        <a:bodyPr/>
        <a:lstStyle/>
        <a:p>
          <a:endParaRPr lang="lv-LV"/>
        </a:p>
      </dgm:t>
    </dgm:pt>
    <dgm:pt modelId="{E957AD3C-2EE6-4BF0-9C83-B66B907D1528}">
      <dgm:prSet/>
      <dgm:spPr>
        <a:solidFill>
          <a:schemeClr val="accent5"/>
        </a:solidFill>
      </dgm:spPr>
      <dgm:t>
        <a:bodyPr/>
        <a:lstStyle/>
        <a:p>
          <a:r>
            <a:rPr lang="lv-LV"/>
            <a:t>Investīciju komitejas balsojums</a:t>
          </a:r>
        </a:p>
      </dgm:t>
    </dgm:pt>
    <dgm:pt modelId="{EBFEB3EB-F4F9-4DC2-ADB1-E52B14FB2EE8}" type="parTrans" cxnId="{8BEAF7E4-8F1A-4CCA-8136-700ACC9B64E5}">
      <dgm:prSet/>
      <dgm:spPr>
        <a:ln>
          <a:tailEnd type="stealth"/>
        </a:ln>
      </dgm:spPr>
      <dgm:t>
        <a:bodyPr/>
        <a:lstStyle/>
        <a:p>
          <a:endParaRPr lang="lv-LV"/>
        </a:p>
      </dgm:t>
    </dgm:pt>
    <dgm:pt modelId="{5D732FB2-A54D-4DBC-ADC9-A0A4EC798B16}" type="sibTrans" cxnId="{8BEAF7E4-8F1A-4CCA-8136-700ACC9B64E5}">
      <dgm:prSet/>
      <dgm:spPr/>
      <dgm:t>
        <a:bodyPr/>
        <a:lstStyle/>
        <a:p>
          <a:endParaRPr lang="lv-LV"/>
        </a:p>
      </dgm:t>
    </dgm:pt>
    <dgm:pt modelId="{B72E2616-515D-46D1-81BB-2D8095DF7BFF}">
      <dgm:prSet/>
      <dgm:spPr>
        <a:solidFill>
          <a:schemeClr val="accent2">
            <a:lumMod val="75000"/>
          </a:schemeClr>
        </a:solidFill>
      </dgm:spPr>
      <dgm:t>
        <a:bodyPr/>
        <a:lstStyle/>
        <a:p>
          <a:r>
            <a:rPr lang="lv-LV"/>
            <a:t>Eiropas Komisijas lēmums par līdzekļu izmaksu</a:t>
          </a:r>
        </a:p>
      </dgm:t>
    </dgm:pt>
    <dgm:pt modelId="{2C9DA75A-4381-4720-82E1-79EBE9811689}" type="parTrans" cxnId="{9F05A65C-840E-40BF-A90B-6D04B6FA3128}">
      <dgm:prSet/>
      <dgm:spPr>
        <a:ln>
          <a:tailEnd type="stealth"/>
        </a:ln>
      </dgm:spPr>
      <dgm:t>
        <a:bodyPr/>
        <a:lstStyle/>
        <a:p>
          <a:endParaRPr lang="lv-LV"/>
        </a:p>
      </dgm:t>
    </dgm:pt>
    <dgm:pt modelId="{39F73988-C10F-462D-9847-0712B084EE4D}" type="sibTrans" cxnId="{9F05A65C-840E-40BF-A90B-6D04B6FA3128}">
      <dgm:prSet/>
      <dgm:spPr/>
      <dgm:t>
        <a:bodyPr/>
        <a:lstStyle/>
        <a:p>
          <a:endParaRPr lang="lv-LV"/>
        </a:p>
      </dgm:t>
    </dgm:pt>
    <dgm:pt modelId="{D396066A-14E7-488D-854C-D5E1DE81D901}">
      <dgm:prSet phldrT="[Text]" custT="1"/>
      <dgm:spPr/>
      <dgm:t>
        <a:bodyPr/>
        <a:lstStyle/>
        <a:p>
          <a:r>
            <a:rPr lang="lv-LV" sz="1100" i="1"/>
            <a:t>2. Naudas izmaksa</a:t>
          </a:r>
        </a:p>
      </dgm:t>
    </dgm:pt>
    <dgm:pt modelId="{98311DC4-705C-4562-9ECB-940B23FA96BD}" type="parTrans" cxnId="{5F3916D9-C604-4AB3-9F1A-8FA4C7F0F1F7}">
      <dgm:prSet/>
      <dgm:spPr/>
      <dgm:t>
        <a:bodyPr/>
        <a:lstStyle/>
        <a:p>
          <a:endParaRPr lang="lv-LV"/>
        </a:p>
      </dgm:t>
    </dgm:pt>
    <dgm:pt modelId="{A74C8B57-3511-4D14-BC20-FCF18B6EFF3B}" type="sibTrans" cxnId="{5F3916D9-C604-4AB3-9F1A-8FA4C7F0F1F7}">
      <dgm:prSet/>
      <dgm:spPr/>
      <dgm:t>
        <a:bodyPr/>
        <a:lstStyle/>
        <a:p>
          <a:endParaRPr lang="lv-LV"/>
        </a:p>
      </dgm:t>
    </dgm:pt>
    <dgm:pt modelId="{DB7F4590-729B-4330-AC74-393071D0D9B1}">
      <dgm:prSet phldrT="[Text]" custT="1"/>
      <dgm:spPr/>
      <dgm:t>
        <a:bodyPr/>
        <a:lstStyle/>
        <a:p>
          <a:r>
            <a:rPr lang="lv-LV" sz="1100" i="1"/>
            <a:t>3.Ieviešana un ziņošana</a:t>
          </a:r>
        </a:p>
      </dgm:t>
    </dgm:pt>
    <dgm:pt modelId="{CE1FCDFF-231F-4975-9C8C-C57ABD45948B}" type="parTrans" cxnId="{23BCDD53-1ACD-4270-BD7D-9629BBC556FE}">
      <dgm:prSet/>
      <dgm:spPr/>
      <dgm:t>
        <a:bodyPr/>
        <a:lstStyle/>
        <a:p>
          <a:endParaRPr lang="lv-LV"/>
        </a:p>
      </dgm:t>
    </dgm:pt>
    <dgm:pt modelId="{0BE8BD0B-5580-48DE-BE5A-08BA3C563AC5}" type="sibTrans" cxnId="{23BCDD53-1ACD-4270-BD7D-9629BBC556FE}">
      <dgm:prSet/>
      <dgm:spPr/>
      <dgm:t>
        <a:bodyPr/>
        <a:lstStyle/>
        <a:p>
          <a:endParaRPr lang="lv-LV"/>
        </a:p>
      </dgm:t>
    </dgm:pt>
    <dgm:pt modelId="{36E5BBC0-553F-4A47-82B2-94DCFCBC2404}">
      <dgm:prSet/>
      <dgm:spPr>
        <a:solidFill>
          <a:srgbClr val="7030A0"/>
        </a:solidFill>
      </dgm:spPr>
      <dgm:t>
        <a:bodyPr/>
        <a:lstStyle/>
        <a:p>
          <a:r>
            <a:rPr lang="lv-LV"/>
            <a:t>ES dalībvalstis ievieš projektus un pēc tam ziņo Eiropas Komisijai</a:t>
          </a:r>
        </a:p>
      </dgm:t>
    </dgm:pt>
    <dgm:pt modelId="{BF4BEA50-4BDD-4BD2-9C0F-28E7FDC75841}" type="parTrans" cxnId="{EABE13DD-15E8-40A4-A925-61F55FC0412A}">
      <dgm:prSet/>
      <dgm:spPr>
        <a:ln>
          <a:tailEnd type="stealth"/>
        </a:ln>
      </dgm:spPr>
      <dgm:t>
        <a:bodyPr/>
        <a:lstStyle/>
        <a:p>
          <a:endParaRPr lang="lv-LV"/>
        </a:p>
      </dgm:t>
    </dgm:pt>
    <dgm:pt modelId="{C84CFA9A-3125-4787-A761-DA9C9BDDD55C}" type="sibTrans" cxnId="{EABE13DD-15E8-40A4-A925-61F55FC0412A}">
      <dgm:prSet/>
      <dgm:spPr/>
      <dgm:t>
        <a:bodyPr/>
        <a:lstStyle/>
        <a:p>
          <a:endParaRPr lang="lv-LV"/>
        </a:p>
      </dgm:t>
    </dgm:pt>
    <dgm:pt modelId="{F9C415FA-6486-4285-AD1E-FAB79DA191DE}" type="pres">
      <dgm:prSet presAssocID="{5E611456-BAEF-46B2-A269-73DF4A4EE5E6}" presName="mainComposite" presStyleCnt="0">
        <dgm:presLayoutVars>
          <dgm:chPref val="1"/>
          <dgm:dir/>
          <dgm:animOne val="branch"/>
          <dgm:animLvl val="lvl"/>
          <dgm:resizeHandles val="exact"/>
        </dgm:presLayoutVars>
      </dgm:prSet>
      <dgm:spPr/>
    </dgm:pt>
    <dgm:pt modelId="{7E4EC3EF-3EA1-4DE7-BE78-C4D9B000082E}" type="pres">
      <dgm:prSet presAssocID="{5E611456-BAEF-46B2-A269-73DF4A4EE5E6}" presName="hierFlow" presStyleCnt="0"/>
      <dgm:spPr/>
    </dgm:pt>
    <dgm:pt modelId="{6C23407A-F5CE-46FF-8052-A4559E255A4A}" type="pres">
      <dgm:prSet presAssocID="{5E611456-BAEF-46B2-A269-73DF4A4EE5E6}" presName="firstBuf" presStyleCnt="0"/>
      <dgm:spPr/>
    </dgm:pt>
    <dgm:pt modelId="{9C9B4231-9F16-4292-91D1-63655325816F}" type="pres">
      <dgm:prSet presAssocID="{5E611456-BAEF-46B2-A269-73DF4A4EE5E6}" presName="hierChild1" presStyleCnt="0">
        <dgm:presLayoutVars>
          <dgm:chPref val="1"/>
          <dgm:animOne val="branch"/>
          <dgm:animLvl val="lvl"/>
        </dgm:presLayoutVars>
      </dgm:prSet>
      <dgm:spPr/>
    </dgm:pt>
    <dgm:pt modelId="{C7BD11CF-6560-46FA-B5AC-211D6A1BDBA9}" type="pres">
      <dgm:prSet presAssocID="{2EFE78ED-E862-4DE7-A1DA-535766C85163}" presName="Name14" presStyleCnt="0"/>
      <dgm:spPr/>
    </dgm:pt>
    <dgm:pt modelId="{CDFC668E-7B59-4C08-942A-F56EBAA8CAC8}" type="pres">
      <dgm:prSet presAssocID="{2EFE78ED-E862-4DE7-A1DA-535766C85163}" presName="level1Shape" presStyleLbl="node0" presStyleIdx="0" presStyleCnt="1" custScaleX="343768" custScaleY="126086">
        <dgm:presLayoutVars>
          <dgm:chPref val="3"/>
        </dgm:presLayoutVars>
      </dgm:prSet>
      <dgm:spPr/>
    </dgm:pt>
    <dgm:pt modelId="{3D1AAC7E-E03D-48AE-B1C9-CB3BF8D51DD9}" type="pres">
      <dgm:prSet presAssocID="{2EFE78ED-E862-4DE7-A1DA-535766C85163}" presName="hierChild2" presStyleCnt="0"/>
      <dgm:spPr/>
    </dgm:pt>
    <dgm:pt modelId="{27FE96FF-88E3-4CCC-87DD-C5FD535EAE3D}" type="pres">
      <dgm:prSet presAssocID="{59399AA0-325C-4457-AED7-A2EB2D8FE01D}" presName="Name19" presStyleLbl="parChTrans1D2" presStyleIdx="0" presStyleCnt="1"/>
      <dgm:spPr/>
    </dgm:pt>
    <dgm:pt modelId="{FBCF6014-EC74-45EC-9106-B8C84D506EE9}" type="pres">
      <dgm:prSet presAssocID="{E841CABC-5191-45E6-9A6A-B035C2FA9355}" presName="Name21" presStyleCnt="0"/>
      <dgm:spPr/>
    </dgm:pt>
    <dgm:pt modelId="{2DF664A7-1EF0-4507-A67B-9C3B2B026B42}" type="pres">
      <dgm:prSet presAssocID="{E841CABC-5191-45E6-9A6A-B035C2FA9355}" presName="level2Shape" presStyleLbl="node2" presStyleIdx="0" presStyleCnt="1" custScaleX="343768" custScaleY="126086"/>
      <dgm:spPr/>
    </dgm:pt>
    <dgm:pt modelId="{30880070-0911-4BD0-BFB4-8C9D420C1350}" type="pres">
      <dgm:prSet presAssocID="{E841CABC-5191-45E6-9A6A-B035C2FA9355}" presName="hierChild3" presStyleCnt="0"/>
      <dgm:spPr/>
    </dgm:pt>
    <dgm:pt modelId="{B6EC32C5-A7DB-439E-9D8C-C353A8C73974}" type="pres">
      <dgm:prSet presAssocID="{C33F9F86-E2C6-4ACB-8651-7320EF785919}" presName="Name19" presStyleLbl="parChTrans1D3" presStyleIdx="0" presStyleCnt="2"/>
      <dgm:spPr/>
    </dgm:pt>
    <dgm:pt modelId="{43F77CA5-7CC7-43B1-ACD8-0EF3D97B0DF3}" type="pres">
      <dgm:prSet presAssocID="{94EE850F-14EB-4C64-80EA-D505CA89BCD7}" presName="Name21" presStyleCnt="0"/>
      <dgm:spPr/>
    </dgm:pt>
    <dgm:pt modelId="{41A511AA-0CF2-4766-8A73-ED59078AAF69}" type="pres">
      <dgm:prSet presAssocID="{94EE850F-14EB-4C64-80EA-D505CA89BCD7}" presName="level2Shape" presStyleLbl="node3" presStyleIdx="0" presStyleCnt="2" custScaleX="274537" custScaleY="126086"/>
      <dgm:spPr/>
    </dgm:pt>
    <dgm:pt modelId="{E1865FB9-2C06-4D34-B2BD-97DDA60AE735}" type="pres">
      <dgm:prSet presAssocID="{94EE850F-14EB-4C64-80EA-D505CA89BCD7}" presName="hierChild3" presStyleCnt="0"/>
      <dgm:spPr/>
    </dgm:pt>
    <dgm:pt modelId="{C2DFFCC9-6B8D-418E-898F-A93F712D1A12}" type="pres">
      <dgm:prSet presAssocID="{A71BDCB6-FC76-45CA-B9B6-9F54616AAF46}" presName="Name19" presStyleLbl="parChTrans1D3" presStyleIdx="1" presStyleCnt="2"/>
      <dgm:spPr/>
    </dgm:pt>
    <dgm:pt modelId="{229DFE2B-6E26-4E19-AA76-2ADEA413AC0C}" type="pres">
      <dgm:prSet presAssocID="{071FBDC3-55B9-488E-82B2-68F72C62E6A4}" presName="Name21" presStyleCnt="0"/>
      <dgm:spPr/>
    </dgm:pt>
    <dgm:pt modelId="{CAD15D01-4694-4336-8F23-9104C078A0ED}" type="pres">
      <dgm:prSet presAssocID="{071FBDC3-55B9-488E-82B2-68F72C62E6A4}" presName="level2Shape" presStyleLbl="node3" presStyleIdx="1" presStyleCnt="2" custScaleX="254553" custScaleY="126086"/>
      <dgm:spPr/>
    </dgm:pt>
    <dgm:pt modelId="{0C1CA7CE-3B26-490E-AB8F-888782A1419D}" type="pres">
      <dgm:prSet presAssocID="{071FBDC3-55B9-488E-82B2-68F72C62E6A4}" presName="hierChild3" presStyleCnt="0"/>
      <dgm:spPr/>
    </dgm:pt>
    <dgm:pt modelId="{9C6E652C-7AC4-4534-9333-88DFFC1C41E1}" type="pres">
      <dgm:prSet presAssocID="{08E21C2E-E6CE-482F-8B6A-8CC6C706D1B1}" presName="Name19" presStyleLbl="parChTrans1D4" presStyleIdx="0" presStyleCnt="4"/>
      <dgm:spPr/>
    </dgm:pt>
    <dgm:pt modelId="{ED5948FD-CF87-4AF6-8BD7-6307B8A15F30}" type="pres">
      <dgm:prSet presAssocID="{499B360B-148C-4D0E-A930-5E6C277AF6CD}" presName="Name21" presStyleCnt="0"/>
      <dgm:spPr/>
    </dgm:pt>
    <dgm:pt modelId="{E0816965-8F4B-4609-A490-3F584E2CC887}" type="pres">
      <dgm:prSet presAssocID="{499B360B-148C-4D0E-A930-5E6C277AF6CD}" presName="level2Shape" presStyleLbl="node4" presStyleIdx="0" presStyleCnt="4" custScaleX="251404" custScaleY="126086"/>
      <dgm:spPr/>
    </dgm:pt>
    <dgm:pt modelId="{C3380B5D-7154-4D04-A7CC-5DB3EC901EBF}" type="pres">
      <dgm:prSet presAssocID="{499B360B-148C-4D0E-A930-5E6C277AF6CD}" presName="hierChild3" presStyleCnt="0"/>
      <dgm:spPr/>
    </dgm:pt>
    <dgm:pt modelId="{9A650E1A-F3DC-4768-B0A6-AA8615CFCE95}" type="pres">
      <dgm:prSet presAssocID="{EBFEB3EB-F4F9-4DC2-ADB1-E52B14FB2EE8}" presName="Name19" presStyleLbl="parChTrans1D4" presStyleIdx="1" presStyleCnt="4"/>
      <dgm:spPr/>
    </dgm:pt>
    <dgm:pt modelId="{6BA48AD9-CD50-48FB-8B74-D18A68B7868F}" type="pres">
      <dgm:prSet presAssocID="{E957AD3C-2EE6-4BF0-9C83-B66B907D1528}" presName="Name21" presStyleCnt="0"/>
      <dgm:spPr/>
    </dgm:pt>
    <dgm:pt modelId="{36EDA79F-7DB1-463A-8C34-59280C7DCBB9}" type="pres">
      <dgm:prSet presAssocID="{E957AD3C-2EE6-4BF0-9C83-B66B907D1528}" presName="level2Shape" presStyleLbl="node4" presStyleIdx="1" presStyleCnt="4" custScaleX="251404" custScaleY="126086"/>
      <dgm:spPr/>
    </dgm:pt>
    <dgm:pt modelId="{B6C67BE5-A980-4A9B-BC6B-D854D39638BB}" type="pres">
      <dgm:prSet presAssocID="{E957AD3C-2EE6-4BF0-9C83-B66B907D1528}" presName="hierChild3" presStyleCnt="0"/>
      <dgm:spPr/>
    </dgm:pt>
    <dgm:pt modelId="{E3B5C9E9-1EFB-4BA0-9A26-16403B8D220E}" type="pres">
      <dgm:prSet presAssocID="{2C9DA75A-4381-4720-82E1-79EBE9811689}" presName="Name19" presStyleLbl="parChTrans1D4" presStyleIdx="2" presStyleCnt="4"/>
      <dgm:spPr/>
    </dgm:pt>
    <dgm:pt modelId="{D690CE7A-734E-4F17-994A-48BE722023C8}" type="pres">
      <dgm:prSet presAssocID="{B72E2616-515D-46D1-81BB-2D8095DF7BFF}" presName="Name21" presStyleCnt="0"/>
      <dgm:spPr/>
    </dgm:pt>
    <dgm:pt modelId="{6698246C-9CE3-449B-BD37-92B212B85CF3}" type="pres">
      <dgm:prSet presAssocID="{B72E2616-515D-46D1-81BB-2D8095DF7BFF}" presName="level2Shape" presStyleLbl="node4" presStyleIdx="2" presStyleCnt="4" custScaleX="653831" custScaleY="157003" custLinFactNeighborX="-81328" custLinFactNeighborY="15864"/>
      <dgm:spPr/>
    </dgm:pt>
    <dgm:pt modelId="{BD9F83A7-0518-42C0-9FA6-EF9F7EB9466C}" type="pres">
      <dgm:prSet presAssocID="{B72E2616-515D-46D1-81BB-2D8095DF7BFF}" presName="hierChild3" presStyleCnt="0"/>
      <dgm:spPr/>
    </dgm:pt>
    <dgm:pt modelId="{9A7AA92C-C194-4166-81F4-E88056C043ED}" type="pres">
      <dgm:prSet presAssocID="{BF4BEA50-4BDD-4BD2-9C0F-28E7FDC75841}" presName="Name19" presStyleLbl="parChTrans1D4" presStyleIdx="3" presStyleCnt="4"/>
      <dgm:spPr/>
    </dgm:pt>
    <dgm:pt modelId="{F17464AF-FD95-4FA7-A76F-3182008F699E}" type="pres">
      <dgm:prSet presAssocID="{36E5BBC0-553F-4A47-82B2-94DCFCBC2404}" presName="Name21" presStyleCnt="0"/>
      <dgm:spPr/>
    </dgm:pt>
    <dgm:pt modelId="{38FCCCBF-D58D-4AE4-BA83-CFC28D413100}" type="pres">
      <dgm:prSet presAssocID="{36E5BBC0-553F-4A47-82B2-94DCFCBC2404}" presName="level2Shape" presStyleLbl="node4" presStyleIdx="3" presStyleCnt="4" custScaleX="657371" custScaleY="127557" custLinFactNeighborX="-74752" custLinFactNeighborY="26874"/>
      <dgm:spPr/>
    </dgm:pt>
    <dgm:pt modelId="{16CEB0DD-E498-49A3-A1A5-ED721429A4A5}" type="pres">
      <dgm:prSet presAssocID="{36E5BBC0-553F-4A47-82B2-94DCFCBC2404}" presName="hierChild3" presStyleCnt="0"/>
      <dgm:spPr/>
    </dgm:pt>
    <dgm:pt modelId="{87B3BDD6-92C2-487B-8167-4C5BDE2C0F88}" type="pres">
      <dgm:prSet presAssocID="{5E611456-BAEF-46B2-A269-73DF4A4EE5E6}" presName="bgShapesFlow" presStyleCnt="0"/>
      <dgm:spPr/>
    </dgm:pt>
    <dgm:pt modelId="{44C48A33-D406-4763-8E34-30260C029A13}" type="pres">
      <dgm:prSet presAssocID="{770E1DCE-7C96-481E-8B2B-0443571D533F}" presName="rectComp" presStyleCnt="0"/>
      <dgm:spPr/>
    </dgm:pt>
    <dgm:pt modelId="{FD64CBDD-D7F7-457A-9947-AA9A91953F37}" type="pres">
      <dgm:prSet presAssocID="{770E1DCE-7C96-481E-8B2B-0443571D533F}" presName="bgRect" presStyleLbl="bgShp" presStyleIdx="0" presStyleCnt="3" custScaleX="81559" custScaleY="671480" custLinFactNeighborX="1528" custLinFactNeighborY="16897"/>
      <dgm:spPr/>
    </dgm:pt>
    <dgm:pt modelId="{26EF8AB6-E65F-405C-B3AD-725EE78AE82E}" type="pres">
      <dgm:prSet presAssocID="{770E1DCE-7C96-481E-8B2B-0443571D533F}" presName="bgRectTx" presStyleLbl="bgShp" presStyleIdx="0" presStyleCnt="3">
        <dgm:presLayoutVars>
          <dgm:bulletEnabled val="1"/>
        </dgm:presLayoutVars>
      </dgm:prSet>
      <dgm:spPr/>
    </dgm:pt>
    <dgm:pt modelId="{B049854C-50C6-42CB-893D-A7C901B064EA}" type="pres">
      <dgm:prSet presAssocID="{770E1DCE-7C96-481E-8B2B-0443571D533F}" presName="spComp" presStyleCnt="0"/>
      <dgm:spPr/>
    </dgm:pt>
    <dgm:pt modelId="{D0AD37FE-E71F-436D-992E-BA3875FD90B5}" type="pres">
      <dgm:prSet presAssocID="{770E1DCE-7C96-481E-8B2B-0443571D533F}" presName="vSp" presStyleCnt="0"/>
      <dgm:spPr/>
    </dgm:pt>
    <dgm:pt modelId="{688B0342-DCE4-47E8-A7B9-DC745636C10E}" type="pres">
      <dgm:prSet presAssocID="{D396066A-14E7-488D-854C-D5E1DE81D901}" presName="rectComp" presStyleCnt="0"/>
      <dgm:spPr/>
    </dgm:pt>
    <dgm:pt modelId="{76535517-228E-4407-A3D7-7D0E449734B2}" type="pres">
      <dgm:prSet presAssocID="{D396066A-14E7-488D-854C-D5E1DE81D901}" presName="bgRect" presStyleLbl="bgShp" presStyleIdx="1" presStyleCnt="3" custScaleX="81453" custScaleY="140135" custLinFactNeighborX="1095" custLinFactNeighborY="27555"/>
      <dgm:spPr/>
    </dgm:pt>
    <dgm:pt modelId="{D5254191-09AC-478F-B3E1-B70CC4FF8E8F}" type="pres">
      <dgm:prSet presAssocID="{D396066A-14E7-488D-854C-D5E1DE81D901}" presName="bgRectTx" presStyleLbl="bgShp" presStyleIdx="1" presStyleCnt="3">
        <dgm:presLayoutVars>
          <dgm:bulletEnabled val="1"/>
        </dgm:presLayoutVars>
      </dgm:prSet>
      <dgm:spPr/>
    </dgm:pt>
    <dgm:pt modelId="{24BCBF32-9D5E-4F4D-B268-1424BA392AB0}" type="pres">
      <dgm:prSet presAssocID="{D396066A-14E7-488D-854C-D5E1DE81D901}" presName="spComp" presStyleCnt="0"/>
      <dgm:spPr/>
    </dgm:pt>
    <dgm:pt modelId="{D09EC332-11A6-4E7C-BEA1-2A0A4DA088B8}" type="pres">
      <dgm:prSet presAssocID="{D396066A-14E7-488D-854C-D5E1DE81D901}" presName="vSp" presStyleCnt="0"/>
      <dgm:spPr/>
    </dgm:pt>
    <dgm:pt modelId="{39E3446F-2496-4440-8DF5-78311764A1EB}" type="pres">
      <dgm:prSet presAssocID="{DB7F4590-729B-4330-AC74-393071D0D9B1}" presName="rectComp" presStyleCnt="0"/>
      <dgm:spPr/>
    </dgm:pt>
    <dgm:pt modelId="{BBCEA1D9-8905-43BC-B220-63BFF304E942}" type="pres">
      <dgm:prSet presAssocID="{DB7F4590-729B-4330-AC74-393071D0D9B1}" presName="bgRect" presStyleLbl="bgShp" presStyleIdx="2" presStyleCnt="3" custScaleX="81421" custScaleY="107875" custLinFactNeighborX="1040" custLinFactNeighborY="47074"/>
      <dgm:spPr/>
    </dgm:pt>
    <dgm:pt modelId="{6C6420C8-8490-404F-8BA3-6731B460B3DB}" type="pres">
      <dgm:prSet presAssocID="{DB7F4590-729B-4330-AC74-393071D0D9B1}" presName="bgRectTx" presStyleLbl="bgShp" presStyleIdx="2" presStyleCnt="3">
        <dgm:presLayoutVars>
          <dgm:bulletEnabled val="1"/>
        </dgm:presLayoutVars>
      </dgm:prSet>
      <dgm:spPr/>
    </dgm:pt>
  </dgm:ptLst>
  <dgm:cxnLst>
    <dgm:cxn modelId="{0E028C07-E0A6-4B21-9A24-7E74DB77B8A6}" type="presOf" srcId="{E957AD3C-2EE6-4BF0-9C83-B66B907D1528}" destId="{36EDA79F-7DB1-463A-8C34-59280C7DCBB9}" srcOrd="0" destOrd="0" presId="urn:microsoft.com/office/officeart/2005/8/layout/hierarchy6"/>
    <dgm:cxn modelId="{A324DB0C-BA16-4700-95B6-62943B4EB013}" type="presOf" srcId="{08E21C2E-E6CE-482F-8B6A-8CC6C706D1B1}" destId="{9C6E652C-7AC4-4534-9333-88DFFC1C41E1}" srcOrd="0" destOrd="0" presId="urn:microsoft.com/office/officeart/2005/8/layout/hierarchy6"/>
    <dgm:cxn modelId="{B3B13D17-1C06-465A-B8F1-18A2DAE74483}" type="presOf" srcId="{D396066A-14E7-488D-854C-D5E1DE81D901}" destId="{D5254191-09AC-478F-B3E1-B70CC4FF8E8F}" srcOrd="1" destOrd="0" presId="urn:microsoft.com/office/officeart/2005/8/layout/hierarchy6"/>
    <dgm:cxn modelId="{AA8A7B2A-A16E-41E4-A419-4408453F19E6}" type="presOf" srcId="{071FBDC3-55B9-488E-82B2-68F72C62E6A4}" destId="{CAD15D01-4694-4336-8F23-9104C078A0ED}" srcOrd="0" destOrd="0" presId="urn:microsoft.com/office/officeart/2005/8/layout/hierarchy6"/>
    <dgm:cxn modelId="{674A7B2E-3599-4BEB-B715-C49061C38A71}" type="presOf" srcId="{C33F9F86-E2C6-4ACB-8651-7320EF785919}" destId="{B6EC32C5-A7DB-439E-9D8C-C353A8C73974}" srcOrd="0" destOrd="0" presId="urn:microsoft.com/office/officeart/2005/8/layout/hierarchy6"/>
    <dgm:cxn modelId="{9F05A65C-840E-40BF-A90B-6D04B6FA3128}" srcId="{E957AD3C-2EE6-4BF0-9C83-B66B907D1528}" destId="{B72E2616-515D-46D1-81BB-2D8095DF7BFF}" srcOrd="0" destOrd="0" parTransId="{2C9DA75A-4381-4720-82E1-79EBE9811689}" sibTransId="{39F73988-C10F-462D-9847-0712B084EE4D}"/>
    <dgm:cxn modelId="{E672FA5D-1C3C-4653-B341-9A26F3A9AC31}" type="presOf" srcId="{770E1DCE-7C96-481E-8B2B-0443571D533F}" destId="{26EF8AB6-E65F-405C-B3AD-725EE78AE82E}" srcOrd="1" destOrd="0" presId="urn:microsoft.com/office/officeart/2005/8/layout/hierarchy6"/>
    <dgm:cxn modelId="{492AD760-FA64-4C39-BC05-9CCD73D6F664}" srcId="{E841CABC-5191-45E6-9A6A-B035C2FA9355}" destId="{94EE850F-14EB-4C64-80EA-D505CA89BCD7}" srcOrd="0" destOrd="0" parTransId="{C33F9F86-E2C6-4ACB-8651-7320EF785919}" sibTransId="{AC6B465F-16EC-4347-B58D-1F557CF78A0E}"/>
    <dgm:cxn modelId="{606AF445-5CB0-4E3C-95CF-1F8A29CE832D}" type="presOf" srcId="{D396066A-14E7-488D-854C-D5E1DE81D901}" destId="{76535517-228E-4407-A3D7-7D0E449734B2}" srcOrd="0" destOrd="0" presId="urn:microsoft.com/office/officeart/2005/8/layout/hierarchy6"/>
    <dgm:cxn modelId="{39AD716A-7447-41E0-8283-CE7F88E6B538}" srcId="{5E611456-BAEF-46B2-A269-73DF4A4EE5E6}" destId="{770E1DCE-7C96-481E-8B2B-0443571D533F}" srcOrd="1" destOrd="0" parTransId="{91AA8809-721C-4FCD-A26A-BB1F197783B8}" sibTransId="{0BCCB35E-0DA4-463A-BA09-6A338EC394B1}"/>
    <dgm:cxn modelId="{00ABC04A-7D1F-4B9D-A4F3-10A306B492DA}" srcId="{071FBDC3-55B9-488E-82B2-68F72C62E6A4}" destId="{499B360B-148C-4D0E-A930-5E6C277AF6CD}" srcOrd="0" destOrd="0" parTransId="{08E21C2E-E6CE-482F-8B6A-8CC6C706D1B1}" sibTransId="{33A09EE0-67AC-4CDE-AD7A-6F76F30C39CA}"/>
    <dgm:cxn modelId="{A3392250-D91A-41A4-8495-6D4079E83513}" type="presOf" srcId="{B72E2616-515D-46D1-81BB-2D8095DF7BFF}" destId="{6698246C-9CE3-449B-BD37-92B212B85CF3}" srcOrd="0" destOrd="0" presId="urn:microsoft.com/office/officeart/2005/8/layout/hierarchy6"/>
    <dgm:cxn modelId="{23BCDD53-1ACD-4270-BD7D-9629BBC556FE}" srcId="{5E611456-BAEF-46B2-A269-73DF4A4EE5E6}" destId="{DB7F4590-729B-4330-AC74-393071D0D9B1}" srcOrd="3" destOrd="0" parTransId="{CE1FCDFF-231F-4975-9C8C-C57ABD45948B}" sibTransId="{0BE8BD0B-5580-48DE-BE5A-08BA3C563AC5}"/>
    <dgm:cxn modelId="{0DD10E74-4EE5-4139-99F4-6947B5281742}" srcId="{2EFE78ED-E862-4DE7-A1DA-535766C85163}" destId="{E841CABC-5191-45E6-9A6A-B035C2FA9355}" srcOrd="0" destOrd="0" parTransId="{59399AA0-325C-4457-AED7-A2EB2D8FE01D}" sibTransId="{EA6BC242-BE70-4EB6-AE0C-EC5DD99A5CE9}"/>
    <dgm:cxn modelId="{08EA3D54-0683-4752-8C0D-99064B2F405C}" type="presOf" srcId="{BF4BEA50-4BDD-4BD2-9C0F-28E7FDC75841}" destId="{9A7AA92C-C194-4166-81F4-E88056C043ED}" srcOrd="0" destOrd="0" presId="urn:microsoft.com/office/officeart/2005/8/layout/hierarchy6"/>
    <dgm:cxn modelId="{37959759-BBBF-40E3-8ED7-99D314548901}" type="presOf" srcId="{2EFE78ED-E862-4DE7-A1DA-535766C85163}" destId="{CDFC668E-7B59-4C08-942A-F56EBAA8CAC8}" srcOrd="0" destOrd="0" presId="urn:microsoft.com/office/officeart/2005/8/layout/hierarchy6"/>
    <dgm:cxn modelId="{27D17F8B-ECE6-45AE-9ED9-4B486134107E}" type="presOf" srcId="{770E1DCE-7C96-481E-8B2B-0443571D533F}" destId="{FD64CBDD-D7F7-457A-9947-AA9A91953F37}" srcOrd="0" destOrd="0" presId="urn:microsoft.com/office/officeart/2005/8/layout/hierarchy6"/>
    <dgm:cxn modelId="{22304398-7FF0-471F-90C9-FA66DC05FF45}" srcId="{E841CABC-5191-45E6-9A6A-B035C2FA9355}" destId="{071FBDC3-55B9-488E-82B2-68F72C62E6A4}" srcOrd="1" destOrd="0" parTransId="{A71BDCB6-FC76-45CA-B9B6-9F54616AAF46}" sibTransId="{A2FBBA45-37BE-4DD8-9F23-F31F98F01C02}"/>
    <dgm:cxn modelId="{7231339B-1E1E-49FC-93F9-A0A8979AAAEF}" type="presOf" srcId="{499B360B-148C-4D0E-A930-5E6C277AF6CD}" destId="{E0816965-8F4B-4609-A490-3F584E2CC887}" srcOrd="0" destOrd="0" presId="urn:microsoft.com/office/officeart/2005/8/layout/hierarchy6"/>
    <dgm:cxn modelId="{0215DFA8-ECC3-42D4-AB16-CBA8ED44AF35}" type="presOf" srcId="{2C9DA75A-4381-4720-82E1-79EBE9811689}" destId="{E3B5C9E9-1EFB-4BA0-9A26-16403B8D220E}" srcOrd="0" destOrd="0" presId="urn:microsoft.com/office/officeart/2005/8/layout/hierarchy6"/>
    <dgm:cxn modelId="{14AC47AF-6C56-48ED-B4FB-1302BE33466F}" srcId="{5E611456-BAEF-46B2-A269-73DF4A4EE5E6}" destId="{2EFE78ED-E862-4DE7-A1DA-535766C85163}" srcOrd="0" destOrd="0" parTransId="{A87FE6DC-2B67-43C5-9606-A209DC795710}" sibTransId="{334BBCF6-4514-4A6E-B88A-2F5CD86E2F87}"/>
    <dgm:cxn modelId="{81AD44B3-CE8F-449C-9521-639EE705DF7B}" type="presOf" srcId="{EBFEB3EB-F4F9-4DC2-ADB1-E52B14FB2EE8}" destId="{9A650E1A-F3DC-4768-B0A6-AA8615CFCE95}" srcOrd="0" destOrd="0" presId="urn:microsoft.com/office/officeart/2005/8/layout/hierarchy6"/>
    <dgm:cxn modelId="{AABF31B8-2CF2-48F9-8611-E9F83BA09C3F}" type="presOf" srcId="{E841CABC-5191-45E6-9A6A-B035C2FA9355}" destId="{2DF664A7-1EF0-4507-A67B-9C3B2B026B42}" srcOrd="0" destOrd="0" presId="urn:microsoft.com/office/officeart/2005/8/layout/hierarchy6"/>
    <dgm:cxn modelId="{E0C788C7-6026-4B04-B2BF-F1CC29FC79B8}" type="presOf" srcId="{94EE850F-14EB-4C64-80EA-D505CA89BCD7}" destId="{41A511AA-0CF2-4766-8A73-ED59078AAF69}" srcOrd="0" destOrd="0" presId="urn:microsoft.com/office/officeart/2005/8/layout/hierarchy6"/>
    <dgm:cxn modelId="{F1B75CCD-F2F9-4A9E-ABDB-83E060D7A859}" type="presOf" srcId="{A71BDCB6-FC76-45CA-B9B6-9F54616AAF46}" destId="{C2DFFCC9-6B8D-418E-898F-A93F712D1A12}" srcOrd="0" destOrd="0" presId="urn:microsoft.com/office/officeart/2005/8/layout/hierarchy6"/>
    <dgm:cxn modelId="{5F3916D9-C604-4AB3-9F1A-8FA4C7F0F1F7}" srcId="{5E611456-BAEF-46B2-A269-73DF4A4EE5E6}" destId="{D396066A-14E7-488D-854C-D5E1DE81D901}" srcOrd="2" destOrd="0" parTransId="{98311DC4-705C-4562-9ECB-940B23FA96BD}" sibTransId="{A74C8B57-3511-4D14-BC20-FCF18B6EFF3B}"/>
    <dgm:cxn modelId="{0AB262D9-B358-43BC-BB5A-6569A65B5718}" type="presOf" srcId="{5E611456-BAEF-46B2-A269-73DF4A4EE5E6}" destId="{F9C415FA-6486-4285-AD1E-FAB79DA191DE}" srcOrd="0" destOrd="0" presId="urn:microsoft.com/office/officeart/2005/8/layout/hierarchy6"/>
    <dgm:cxn modelId="{EABE13DD-15E8-40A4-A925-61F55FC0412A}" srcId="{B72E2616-515D-46D1-81BB-2D8095DF7BFF}" destId="{36E5BBC0-553F-4A47-82B2-94DCFCBC2404}" srcOrd="0" destOrd="0" parTransId="{BF4BEA50-4BDD-4BD2-9C0F-28E7FDC75841}" sibTransId="{C84CFA9A-3125-4787-A761-DA9C9BDDD55C}"/>
    <dgm:cxn modelId="{A2EC87DF-1824-42FC-BCBB-113AFEBDB261}" type="presOf" srcId="{DB7F4590-729B-4330-AC74-393071D0D9B1}" destId="{BBCEA1D9-8905-43BC-B220-63BFF304E942}" srcOrd="0" destOrd="0" presId="urn:microsoft.com/office/officeart/2005/8/layout/hierarchy6"/>
    <dgm:cxn modelId="{8BEAF7E4-8F1A-4CCA-8136-700ACC9B64E5}" srcId="{499B360B-148C-4D0E-A930-5E6C277AF6CD}" destId="{E957AD3C-2EE6-4BF0-9C83-B66B907D1528}" srcOrd="0" destOrd="0" parTransId="{EBFEB3EB-F4F9-4DC2-ADB1-E52B14FB2EE8}" sibTransId="{5D732FB2-A54D-4DBC-ADC9-A0A4EC798B16}"/>
    <dgm:cxn modelId="{D81164E9-56E3-4A25-A700-080FDAC89F29}" type="presOf" srcId="{59399AA0-325C-4457-AED7-A2EB2D8FE01D}" destId="{27FE96FF-88E3-4CCC-87DD-C5FD535EAE3D}" srcOrd="0" destOrd="0" presId="urn:microsoft.com/office/officeart/2005/8/layout/hierarchy6"/>
    <dgm:cxn modelId="{1C4C76EF-1ECB-48B9-9B04-C90F75C0FCC2}" type="presOf" srcId="{36E5BBC0-553F-4A47-82B2-94DCFCBC2404}" destId="{38FCCCBF-D58D-4AE4-BA83-CFC28D413100}" srcOrd="0" destOrd="0" presId="urn:microsoft.com/office/officeart/2005/8/layout/hierarchy6"/>
    <dgm:cxn modelId="{B532D2F3-92E3-4FC5-B94E-5617F1F65984}" type="presOf" srcId="{DB7F4590-729B-4330-AC74-393071D0D9B1}" destId="{6C6420C8-8490-404F-8BA3-6731B460B3DB}" srcOrd="1" destOrd="0" presId="urn:microsoft.com/office/officeart/2005/8/layout/hierarchy6"/>
    <dgm:cxn modelId="{8C57A64C-F98A-4C99-AFDB-36777A6A1603}" type="presParOf" srcId="{F9C415FA-6486-4285-AD1E-FAB79DA191DE}" destId="{7E4EC3EF-3EA1-4DE7-BE78-C4D9B000082E}" srcOrd="0" destOrd="0" presId="urn:microsoft.com/office/officeart/2005/8/layout/hierarchy6"/>
    <dgm:cxn modelId="{6595C262-EBF6-416D-8E25-EB93DDF13893}" type="presParOf" srcId="{7E4EC3EF-3EA1-4DE7-BE78-C4D9B000082E}" destId="{6C23407A-F5CE-46FF-8052-A4559E255A4A}" srcOrd="0" destOrd="0" presId="urn:microsoft.com/office/officeart/2005/8/layout/hierarchy6"/>
    <dgm:cxn modelId="{1314B85A-8A34-45E7-AD8C-10BF641D68BA}" type="presParOf" srcId="{7E4EC3EF-3EA1-4DE7-BE78-C4D9B000082E}" destId="{9C9B4231-9F16-4292-91D1-63655325816F}" srcOrd="1" destOrd="0" presId="urn:microsoft.com/office/officeart/2005/8/layout/hierarchy6"/>
    <dgm:cxn modelId="{6B64FA2E-23E7-4219-8AE2-CD3D14DBD87F}" type="presParOf" srcId="{9C9B4231-9F16-4292-91D1-63655325816F}" destId="{C7BD11CF-6560-46FA-B5AC-211D6A1BDBA9}" srcOrd="0" destOrd="0" presId="urn:microsoft.com/office/officeart/2005/8/layout/hierarchy6"/>
    <dgm:cxn modelId="{1626C36E-3DF8-4BCE-805F-4CCFB9B968E6}" type="presParOf" srcId="{C7BD11CF-6560-46FA-B5AC-211D6A1BDBA9}" destId="{CDFC668E-7B59-4C08-942A-F56EBAA8CAC8}" srcOrd="0" destOrd="0" presId="urn:microsoft.com/office/officeart/2005/8/layout/hierarchy6"/>
    <dgm:cxn modelId="{1F61D059-E9D5-47F4-BC3D-4C3B3D4299D5}" type="presParOf" srcId="{C7BD11CF-6560-46FA-B5AC-211D6A1BDBA9}" destId="{3D1AAC7E-E03D-48AE-B1C9-CB3BF8D51DD9}" srcOrd="1" destOrd="0" presId="urn:microsoft.com/office/officeart/2005/8/layout/hierarchy6"/>
    <dgm:cxn modelId="{941022E1-9CCA-44D1-A48B-A5D9BA2BFB54}" type="presParOf" srcId="{3D1AAC7E-E03D-48AE-B1C9-CB3BF8D51DD9}" destId="{27FE96FF-88E3-4CCC-87DD-C5FD535EAE3D}" srcOrd="0" destOrd="0" presId="urn:microsoft.com/office/officeart/2005/8/layout/hierarchy6"/>
    <dgm:cxn modelId="{4EC33C3D-D1C5-481C-B081-15DCF825847E}" type="presParOf" srcId="{3D1AAC7E-E03D-48AE-B1C9-CB3BF8D51DD9}" destId="{FBCF6014-EC74-45EC-9106-B8C84D506EE9}" srcOrd="1" destOrd="0" presId="urn:microsoft.com/office/officeart/2005/8/layout/hierarchy6"/>
    <dgm:cxn modelId="{219276F8-51E7-4D32-B0D9-E4F752B54017}" type="presParOf" srcId="{FBCF6014-EC74-45EC-9106-B8C84D506EE9}" destId="{2DF664A7-1EF0-4507-A67B-9C3B2B026B42}" srcOrd="0" destOrd="0" presId="urn:microsoft.com/office/officeart/2005/8/layout/hierarchy6"/>
    <dgm:cxn modelId="{123D9384-2507-43A4-A078-3C9980720556}" type="presParOf" srcId="{FBCF6014-EC74-45EC-9106-B8C84D506EE9}" destId="{30880070-0911-4BD0-BFB4-8C9D420C1350}" srcOrd="1" destOrd="0" presId="urn:microsoft.com/office/officeart/2005/8/layout/hierarchy6"/>
    <dgm:cxn modelId="{100E10DA-9C7C-4C4E-9D74-2AC377A1A58F}" type="presParOf" srcId="{30880070-0911-4BD0-BFB4-8C9D420C1350}" destId="{B6EC32C5-A7DB-439E-9D8C-C353A8C73974}" srcOrd="0" destOrd="0" presId="urn:microsoft.com/office/officeart/2005/8/layout/hierarchy6"/>
    <dgm:cxn modelId="{FBB97F58-A188-40ED-8C77-72771A9624E3}" type="presParOf" srcId="{30880070-0911-4BD0-BFB4-8C9D420C1350}" destId="{43F77CA5-7CC7-43B1-ACD8-0EF3D97B0DF3}" srcOrd="1" destOrd="0" presId="urn:microsoft.com/office/officeart/2005/8/layout/hierarchy6"/>
    <dgm:cxn modelId="{59363179-0AC7-4008-B0DF-AA5C88E93CB8}" type="presParOf" srcId="{43F77CA5-7CC7-43B1-ACD8-0EF3D97B0DF3}" destId="{41A511AA-0CF2-4766-8A73-ED59078AAF69}" srcOrd="0" destOrd="0" presId="urn:microsoft.com/office/officeart/2005/8/layout/hierarchy6"/>
    <dgm:cxn modelId="{579EDC81-00FE-412D-913E-D56FAF64AD12}" type="presParOf" srcId="{43F77CA5-7CC7-43B1-ACD8-0EF3D97B0DF3}" destId="{E1865FB9-2C06-4D34-B2BD-97DDA60AE735}" srcOrd="1" destOrd="0" presId="urn:microsoft.com/office/officeart/2005/8/layout/hierarchy6"/>
    <dgm:cxn modelId="{C5855E5F-A5A3-4B19-AD13-9F6C5F8AC4D6}" type="presParOf" srcId="{30880070-0911-4BD0-BFB4-8C9D420C1350}" destId="{C2DFFCC9-6B8D-418E-898F-A93F712D1A12}" srcOrd="2" destOrd="0" presId="urn:microsoft.com/office/officeart/2005/8/layout/hierarchy6"/>
    <dgm:cxn modelId="{AC15E73B-06D3-414B-8EA4-750012495118}" type="presParOf" srcId="{30880070-0911-4BD0-BFB4-8C9D420C1350}" destId="{229DFE2B-6E26-4E19-AA76-2ADEA413AC0C}" srcOrd="3" destOrd="0" presId="urn:microsoft.com/office/officeart/2005/8/layout/hierarchy6"/>
    <dgm:cxn modelId="{FA0417D7-524C-4F56-B8B2-A10B7B7A9287}" type="presParOf" srcId="{229DFE2B-6E26-4E19-AA76-2ADEA413AC0C}" destId="{CAD15D01-4694-4336-8F23-9104C078A0ED}" srcOrd="0" destOrd="0" presId="urn:microsoft.com/office/officeart/2005/8/layout/hierarchy6"/>
    <dgm:cxn modelId="{CA2B4F81-13ED-4355-B5BA-73610016B975}" type="presParOf" srcId="{229DFE2B-6E26-4E19-AA76-2ADEA413AC0C}" destId="{0C1CA7CE-3B26-490E-AB8F-888782A1419D}" srcOrd="1" destOrd="0" presId="urn:microsoft.com/office/officeart/2005/8/layout/hierarchy6"/>
    <dgm:cxn modelId="{8DFE32A1-B42A-413B-8AE0-341F0E9CEC1D}" type="presParOf" srcId="{0C1CA7CE-3B26-490E-AB8F-888782A1419D}" destId="{9C6E652C-7AC4-4534-9333-88DFFC1C41E1}" srcOrd="0" destOrd="0" presId="urn:microsoft.com/office/officeart/2005/8/layout/hierarchy6"/>
    <dgm:cxn modelId="{63A74736-7515-4673-BBEC-E71FB90F3BCF}" type="presParOf" srcId="{0C1CA7CE-3B26-490E-AB8F-888782A1419D}" destId="{ED5948FD-CF87-4AF6-8BD7-6307B8A15F30}" srcOrd="1" destOrd="0" presId="urn:microsoft.com/office/officeart/2005/8/layout/hierarchy6"/>
    <dgm:cxn modelId="{5F84025F-5180-408D-9B6A-6ABA8DB951D0}" type="presParOf" srcId="{ED5948FD-CF87-4AF6-8BD7-6307B8A15F30}" destId="{E0816965-8F4B-4609-A490-3F584E2CC887}" srcOrd="0" destOrd="0" presId="urn:microsoft.com/office/officeart/2005/8/layout/hierarchy6"/>
    <dgm:cxn modelId="{033F9255-A3A9-4F6D-BF7E-10448EF72543}" type="presParOf" srcId="{ED5948FD-CF87-4AF6-8BD7-6307B8A15F30}" destId="{C3380B5D-7154-4D04-A7CC-5DB3EC901EBF}" srcOrd="1" destOrd="0" presId="urn:microsoft.com/office/officeart/2005/8/layout/hierarchy6"/>
    <dgm:cxn modelId="{AF6CC311-87B2-42C9-A8BD-D89F376750AE}" type="presParOf" srcId="{C3380B5D-7154-4D04-A7CC-5DB3EC901EBF}" destId="{9A650E1A-F3DC-4768-B0A6-AA8615CFCE95}" srcOrd="0" destOrd="0" presId="urn:microsoft.com/office/officeart/2005/8/layout/hierarchy6"/>
    <dgm:cxn modelId="{6F3D30FB-FCA3-44F8-B0C9-000467467500}" type="presParOf" srcId="{C3380B5D-7154-4D04-A7CC-5DB3EC901EBF}" destId="{6BA48AD9-CD50-48FB-8B74-D18A68B7868F}" srcOrd="1" destOrd="0" presId="urn:microsoft.com/office/officeart/2005/8/layout/hierarchy6"/>
    <dgm:cxn modelId="{0FBE3B8A-9BD1-425D-9E7D-AD1F84DE4022}" type="presParOf" srcId="{6BA48AD9-CD50-48FB-8B74-D18A68B7868F}" destId="{36EDA79F-7DB1-463A-8C34-59280C7DCBB9}" srcOrd="0" destOrd="0" presId="urn:microsoft.com/office/officeart/2005/8/layout/hierarchy6"/>
    <dgm:cxn modelId="{510D223E-E91E-46B9-ADF5-C6C0B05951FE}" type="presParOf" srcId="{6BA48AD9-CD50-48FB-8B74-D18A68B7868F}" destId="{B6C67BE5-A980-4A9B-BC6B-D854D39638BB}" srcOrd="1" destOrd="0" presId="urn:microsoft.com/office/officeart/2005/8/layout/hierarchy6"/>
    <dgm:cxn modelId="{BACE9FCE-F2DA-4218-BBEC-0D41040767F6}" type="presParOf" srcId="{B6C67BE5-A980-4A9B-BC6B-D854D39638BB}" destId="{E3B5C9E9-1EFB-4BA0-9A26-16403B8D220E}" srcOrd="0" destOrd="0" presId="urn:microsoft.com/office/officeart/2005/8/layout/hierarchy6"/>
    <dgm:cxn modelId="{1D0761F6-CB4E-4720-B139-C28903B387F7}" type="presParOf" srcId="{B6C67BE5-A980-4A9B-BC6B-D854D39638BB}" destId="{D690CE7A-734E-4F17-994A-48BE722023C8}" srcOrd="1" destOrd="0" presId="urn:microsoft.com/office/officeart/2005/8/layout/hierarchy6"/>
    <dgm:cxn modelId="{F98F5FAF-65CE-4FD1-94AA-00CBB6573755}" type="presParOf" srcId="{D690CE7A-734E-4F17-994A-48BE722023C8}" destId="{6698246C-9CE3-449B-BD37-92B212B85CF3}" srcOrd="0" destOrd="0" presId="urn:microsoft.com/office/officeart/2005/8/layout/hierarchy6"/>
    <dgm:cxn modelId="{A6C64867-0518-49E8-90D5-CA4963904E25}" type="presParOf" srcId="{D690CE7A-734E-4F17-994A-48BE722023C8}" destId="{BD9F83A7-0518-42C0-9FA6-EF9F7EB9466C}" srcOrd="1" destOrd="0" presId="urn:microsoft.com/office/officeart/2005/8/layout/hierarchy6"/>
    <dgm:cxn modelId="{24BB27D4-DDC0-4269-AA31-E4DB4EA1ACB4}" type="presParOf" srcId="{BD9F83A7-0518-42C0-9FA6-EF9F7EB9466C}" destId="{9A7AA92C-C194-4166-81F4-E88056C043ED}" srcOrd="0" destOrd="0" presId="urn:microsoft.com/office/officeart/2005/8/layout/hierarchy6"/>
    <dgm:cxn modelId="{0195D8CA-CBC8-4536-BF6E-FB5717BFE8AF}" type="presParOf" srcId="{BD9F83A7-0518-42C0-9FA6-EF9F7EB9466C}" destId="{F17464AF-FD95-4FA7-A76F-3182008F699E}" srcOrd="1" destOrd="0" presId="urn:microsoft.com/office/officeart/2005/8/layout/hierarchy6"/>
    <dgm:cxn modelId="{6962F770-C21A-474C-8468-783DC6197DDA}" type="presParOf" srcId="{F17464AF-FD95-4FA7-A76F-3182008F699E}" destId="{38FCCCBF-D58D-4AE4-BA83-CFC28D413100}" srcOrd="0" destOrd="0" presId="urn:microsoft.com/office/officeart/2005/8/layout/hierarchy6"/>
    <dgm:cxn modelId="{047A91ED-5200-4F46-B716-B34B6D0B7723}" type="presParOf" srcId="{F17464AF-FD95-4FA7-A76F-3182008F699E}" destId="{16CEB0DD-E498-49A3-A1A5-ED721429A4A5}" srcOrd="1" destOrd="0" presId="urn:microsoft.com/office/officeart/2005/8/layout/hierarchy6"/>
    <dgm:cxn modelId="{D404855A-26D6-494A-9BF3-8BFB6B06D909}" type="presParOf" srcId="{F9C415FA-6486-4285-AD1E-FAB79DA191DE}" destId="{87B3BDD6-92C2-487B-8167-4C5BDE2C0F88}" srcOrd="1" destOrd="0" presId="urn:microsoft.com/office/officeart/2005/8/layout/hierarchy6"/>
    <dgm:cxn modelId="{AA8ADF00-9BDE-4640-815C-3EE61DF97A33}" type="presParOf" srcId="{87B3BDD6-92C2-487B-8167-4C5BDE2C0F88}" destId="{44C48A33-D406-4763-8E34-30260C029A13}" srcOrd="0" destOrd="0" presId="urn:microsoft.com/office/officeart/2005/8/layout/hierarchy6"/>
    <dgm:cxn modelId="{E84EA857-883C-470C-A29F-456AF6815A14}" type="presParOf" srcId="{44C48A33-D406-4763-8E34-30260C029A13}" destId="{FD64CBDD-D7F7-457A-9947-AA9A91953F37}" srcOrd="0" destOrd="0" presId="urn:microsoft.com/office/officeart/2005/8/layout/hierarchy6"/>
    <dgm:cxn modelId="{4278906A-AE1F-40F9-B2F8-17444F9BC541}" type="presParOf" srcId="{44C48A33-D406-4763-8E34-30260C029A13}" destId="{26EF8AB6-E65F-405C-B3AD-725EE78AE82E}" srcOrd="1" destOrd="0" presId="urn:microsoft.com/office/officeart/2005/8/layout/hierarchy6"/>
    <dgm:cxn modelId="{2775EF9A-69AF-41D2-85AA-229FA4596A75}" type="presParOf" srcId="{87B3BDD6-92C2-487B-8167-4C5BDE2C0F88}" destId="{B049854C-50C6-42CB-893D-A7C901B064EA}" srcOrd="1" destOrd="0" presId="urn:microsoft.com/office/officeart/2005/8/layout/hierarchy6"/>
    <dgm:cxn modelId="{C267BEED-270D-40A3-8354-057A744DEC8E}" type="presParOf" srcId="{B049854C-50C6-42CB-893D-A7C901B064EA}" destId="{D0AD37FE-E71F-436D-992E-BA3875FD90B5}" srcOrd="0" destOrd="0" presId="urn:microsoft.com/office/officeart/2005/8/layout/hierarchy6"/>
    <dgm:cxn modelId="{6E0268D9-0BA7-4C25-A349-E4E0ED75AE76}" type="presParOf" srcId="{87B3BDD6-92C2-487B-8167-4C5BDE2C0F88}" destId="{688B0342-DCE4-47E8-A7B9-DC745636C10E}" srcOrd="2" destOrd="0" presId="urn:microsoft.com/office/officeart/2005/8/layout/hierarchy6"/>
    <dgm:cxn modelId="{4FB02928-328B-4762-89F9-2E120493BF7C}" type="presParOf" srcId="{688B0342-DCE4-47E8-A7B9-DC745636C10E}" destId="{76535517-228E-4407-A3D7-7D0E449734B2}" srcOrd="0" destOrd="0" presId="urn:microsoft.com/office/officeart/2005/8/layout/hierarchy6"/>
    <dgm:cxn modelId="{10804F56-5279-464C-88E5-34C0573E9DAA}" type="presParOf" srcId="{688B0342-DCE4-47E8-A7B9-DC745636C10E}" destId="{D5254191-09AC-478F-B3E1-B70CC4FF8E8F}" srcOrd="1" destOrd="0" presId="urn:microsoft.com/office/officeart/2005/8/layout/hierarchy6"/>
    <dgm:cxn modelId="{1DAC7BAE-EF16-4173-B2C2-411226112D40}" type="presParOf" srcId="{87B3BDD6-92C2-487B-8167-4C5BDE2C0F88}" destId="{24BCBF32-9D5E-4F4D-B268-1424BA392AB0}" srcOrd="3" destOrd="0" presId="urn:microsoft.com/office/officeart/2005/8/layout/hierarchy6"/>
    <dgm:cxn modelId="{08B8A5F6-C923-42B9-8ACF-550CB9B27269}" type="presParOf" srcId="{24BCBF32-9D5E-4F4D-B268-1424BA392AB0}" destId="{D09EC332-11A6-4E7C-BEA1-2A0A4DA088B8}" srcOrd="0" destOrd="0" presId="urn:microsoft.com/office/officeart/2005/8/layout/hierarchy6"/>
    <dgm:cxn modelId="{AB82BDCF-9B39-4396-B2C6-C37F31BE8E92}" type="presParOf" srcId="{87B3BDD6-92C2-487B-8167-4C5BDE2C0F88}" destId="{39E3446F-2496-4440-8DF5-78311764A1EB}" srcOrd="4" destOrd="0" presId="urn:microsoft.com/office/officeart/2005/8/layout/hierarchy6"/>
    <dgm:cxn modelId="{A88C221E-6BD4-4626-8F60-B952462AB30D}" type="presParOf" srcId="{39E3446F-2496-4440-8DF5-78311764A1EB}" destId="{BBCEA1D9-8905-43BC-B220-63BFF304E942}" srcOrd="0" destOrd="0" presId="urn:microsoft.com/office/officeart/2005/8/layout/hierarchy6"/>
    <dgm:cxn modelId="{D3261CA0-EFD5-4B3C-A1AF-EC59B30E5A6C}" type="presParOf" srcId="{39E3446F-2496-4440-8DF5-78311764A1EB}" destId="{6C6420C8-8490-404F-8BA3-6731B460B3DB}"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2EC972-4BE8-4A4A-A6C1-A79A025F80F9}">
      <dsp:nvSpPr>
        <dsp:cNvPr id="0" name=""/>
        <dsp:cNvSpPr/>
      </dsp:nvSpPr>
      <dsp:spPr>
        <a:xfrm>
          <a:off x="396754" y="0"/>
          <a:ext cx="4496547" cy="2305050"/>
        </a:xfrm>
        <a:prstGeom prst="rightArrow">
          <a:avLst/>
        </a:prstGeom>
        <a:solidFill>
          <a:schemeClr val="bg1">
            <a:lumMod val="8500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sp>
    <dsp:sp modelId="{63FC0EDA-6165-4626-8A08-80707F16427E}">
      <dsp:nvSpPr>
        <dsp:cNvPr id="0" name=""/>
        <dsp:cNvSpPr/>
      </dsp:nvSpPr>
      <dsp:spPr>
        <a:xfrm>
          <a:off x="2731" y="711260"/>
          <a:ext cx="1281350" cy="882529"/>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t>Gala termiņš ES dalībvalstu paziņojumiem par Modernizācijas fonda finansējuma palielināšanu</a:t>
          </a:r>
        </a:p>
        <a:p>
          <a:pPr marL="0" lvl="0" indent="0" algn="l" defTabSz="355600">
            <a:lnSpc>
              <a:spcPct val="90000"/>
            </a:lnSpc>
            <a:spcBef>
              <a:spcPct val="0"/>
            </a:spcBef>
            <a:spcAft>
              <a:spcPct val="35000"/>
            </a:spcAft>
            <a:buNone/>
          </a:pPr>
          <a:r>
            <a:rPr lang="lv-LV" sz="800" b="1" kern="1200"/>
            <a:t>30.09.2019</a:t>
          </a:r>
        </a:p>
      </dsp:txBody>
      <dsp:txXfrm>
        <a:off x="45813" y="754342"/>
        <a:ext cx="1195186" cy="796365"/>
      </dsp:txXfrm>
    </dsp:sp>
    <dsp:sp modelId="{8A8A91D0-6BFA-4682-AA15-1A52A3D49BF6}">
      <dsp:nvSpPr>
        <dsp:cNvPr id="0" name=""/>
        <dsp:cNvSpPr/>
      </dsp:nvSpPr>
      <dsp:spPr>
        <a:xfrm>
          <a:off x="1338390" y="711260"/>
          <a:ext cx="1281350" cy="882529"/>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t>Modernizācijas fonda darbības regulas  apstiprināšana </a:t>
          </a:r>
        </a:p>
        <a:p>
          <a:pPr marL="0" lvl="0" indent="0" algn="l" defTabSz="355600">
            <a:lnSpc>
              <a:spcPct val="90000"/>
            </a:lnSpc>
            <a:spcBef>
              <a:spcPct val="0"/>
            </a:spcBef>
            <a:spcAft>
              <a:spcPct val="35000"/>
            </a:spcAft>
            <a:buNone/>
          </a:pPr>
          <a:r>
            <a:rPr lang="lv-LV" sz="800" b="1" kern="1200"/>
            <a:t>2020. gada 9. jūlijs </a:t>
          </a:r>
        </a:p>
      </dsp:txBody>
      <dsp:txXfrm>
        <a:off x="1381472" y="754342"/>
        <a:ext cx="1195186" cy="796365"/>
      </dsp:txXfrm>
    </dsp:sp>
    <dsp:sp modelId="{2D755937-A0A3-41AB-9D58-9555AA940F3D}">
      <dsp:nvSpPr>
        <dsp:cNvPr id="0" name=""/>
        <dsp:cNvSpPr/>
      </dsp:nvSpPr>
      <dsp:spPr>
        <a:xfrm>
          <a:off x="2674048" y="711260"/>
          <a:ext cx="1281350" cy="882529"/>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t>Investīciju komitejas izveide</a:t>
          </a:r>
        </a:p>
        <a:p>
          <a:pPr marL="0" lvl="0" indent="0" algn="l" defTabSz="355600">
            <a:lnSpc>
              <a:spcPct val="90000"/>
            </a:lnSpc>
            <a:spcBef>
              <a:spcPct val="0"/>
            </a:spcBef>
            <a:spcAft>
              <a:spcPct val="35000"/>
            </a:spcAft>
            <a:buNone/>
          </a:pPr>
          <a:r>
            <a:rPr lang="lv-LV" sz="800" b="1" kern="1200"/>
            <a:t>2020. gada 3. cet</a:t>
          </a:r>
          <a:endParaRPr lang="lv-LV" sz="800" kern="1200"/>
        </a:p>
      </dsp:txBody>
      <dsp:txXfrm>
        <a:off x="2717130" y="754342"/>
        <a:ext cx="1195186" cy="796365"/>
      </dsp:txXfrm>
    </dsp:sp>
    <dsp:sp modelId="{BBCDAE00-E719-4EE1-BDC3-09EBF9543161}">
      <dsp:nvSpPr>
        <dsp:cNvPr id="0" name=""/>
        <dsp:cNvSpPr/>
      </dsp:nvSpPr>
      <dsp:spPr>
        <a:xfrm>
          <a:off x="4008705" y="711260"/>
          <a:ext cx="1281350" cy="882529"/>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t>Modernizācijas fonda darbības uzsākšana</a:t>
          </a:r>
        </a:p>
        <a:p>
          <a:pPr marL="0" lvl="0" indent="0" algn="l" defTabSz="355600">
            <a:lnSpc>
              <a:spcPct val="90000"/>
            </a:lnSpc>
            <a:spcBef>
              <a:spcPct val="0"/>
            </a:spcBef>
            <a:spcAft>
              <a:spcPct val="35000"/>
            </a:spcAft>
            <a:buNone/>
          </a:pPr>
          <a:r>
            <a:rPr lang="lv-LV" sz="800" b="1" kern="1200"/>
            <a:t>2021. gada 1.cet.</a:t>
          </a:r>
        </a:p>
      </dsp:txBody>
      <dsp:txXfrm>
        <a:off x="4051787" y="754342"/>
        <a:ext cx="1195186" cy="7963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CEA1D9-8905-43BC-B220-63BFF304E942}">
      <dsp:nvSpPr>
        <dsp:cNvPr id="0" name=""/>
        <dsp:cNvSpPr/>
      </dsp:nvSpPr>
      <dsp:spPr>
        <a:xfrm>
          <a:off x="541052" y="2641225"/>
          <a:ext cx="4294395" cy="322266"/>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lv-LV" sz="1100" i="1" kern="1200"/>
            <a:t>3.Ieviešana un ziņošana</a:t>
          </a:r>
        </a:p>
      </dsp:txBody>
      <dsp:txXfrm>
        <a:off x="541052" y="2641225"/>
        <a:ext cx="1288318" cy="322266"/>
      </dsp:txXfrm>
    </dsp:sp>
    <dsp:sp modelId="{76535517-228E-4407-A3D7-7D0E449734B2}">
      <dsp:nvSpPr>
        <dsp:cNvPr id="0" name=""/>
        <dsp:cNvSpPr/>
      </dsp:nvSpPr>
      <dsp:spPr>
        <a:xfrm>
          <a:off x="543109" y="2169712"/>
          <a:ext cx="4296083" cy="41863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lv-LV" sz="1100" i="1" kern="1200"/>
            <a:t>2. Naudas izmaksa</a:t>
          </a:r>
        </a:p>
      </dsp:txBody>
      <dsp:txXfrm>
        <a:off x="543109" y="2169712"/>
        <a:ext cx="1288825" cy="418639"/>
      </dsp:txXfrm>
    </dsp:sp>
    <dsp:sp modelId="{FD64CBDD-D7F7-457A-9947-AA9A91953F37}">
      <dsp:nvSpPr>
        <dsp:cNvPr id="0" name=""/>
        <dsp:cNvSpPr/>
      </dsp:nvSpPr>
      <dsp:spPr>
        <a:xfrm>
          <a:off x="563152" y="82101"/>
          <a:ext cx="4301674" cy="2005980"/>
        </a:xfrm>
        <a:prstGeom prst="roundRect">
          <a:avLst>
            <a:gd name="adj" fmla="val 10000"/>
          </a:avLst>
        </a:prstGeom>
        <a:solidFill>
          <a:schemeClr val="accent3">
            <a:tint val="40000"/>
            <a:hueOff val="0"/>
            <a:satOff val="0"/>
            <a:lumOff val="0"/>
            <a:alphaOff val="0"/>
          </a:schemeClr>
        </a:solidFill>
        <a:ln>
          <a:noFill/>
        </a:ln>
        <a:effectLst>
          <a:outerShdw blurRad="152400" dist="114300" dir="5400000" sx="1000" sy="1000" algn="ctr" rotWithShape="0">
            <a:srgbClr val="000000">
              <a:alpha val="43137"/>
            </a:srgbClr>
          </a:outerShdw>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v-LV" sz="1200" i="1" kern="1200"/>
            <a:t>1. </a:t>
          </a:r>
          <a:r>
            <a:rPr lang="lv-LV" sz="1100" i="1" kern="1200"/>
            <a:t>Izvērtēšana</a:t>
          </a:r>
        </a:p>
      </dsp:txBody>
      <dsp:txXfrm>
        <a:off x="563152" y="82101"/>
        <a:ext cx="1290502" cy="2005980"/>
      </dsp:txXfrm>
    </dsp:sp>
    <dsp:sp modelId="{CDFC668E-7B59-4C08-942A-F56EBAA8CAC8}">
      <dsp:nvSpPr>
        <dsp:cNvPr id="0" name=""/>
        <dsp:cNvSpPr/>
      </dsp:nvSpPr>
      <dsp:spPr>
        <a:xfrm>
          <a:off x="2353887" y="56518"/>
          <a:ext cx="1283716" cy="313891"/>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ES dalībvalstis ierosina projektus</a:t>
          </a:r>
        </a:p>
      </dsp:txBody>
      <dsp:txXfrm>
        <a:off x="2363081" y="65712"/>
        <a:ext cx="1265328" cy="295503"/>
      </dsp:txXfrm>
    </dsp:sp>
    <dsp:sp modelId="{27FE96FF-88E3-4CCC-87DD-C5FD535EAE3D}">
      <dsp:nvSpPr>
        <dsp:cNvPr id="0" name=""/>
        <dsp:cNvSpPr/>
      </dsp:nvSpPr>
      <dsp:spPr>
        <a:xfrm>
          <a:off x="2950025" y="370409"/>
          <a:ext cx="91440" cy="99580"/>
        </a:xfrm>
        <a:custGeom>
          <a:avLst/>
          <a:gdLst/>
          <a:ahLst/>
          <a:cxnLst/>
          <a:rect l="0" t="0" r="0" b="0"/>
          <a:pathLst>
            <a:path>
              <a:moveTo>
                <a:pt x="45720" y="0"/>
              </a:moveTo>
              <a:lnTo>
                <a:pt x="4572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2DF664A7-1EF0-4507-A67B-9C3B2B026B42}">
      <dsp:nvSpPr>
        <dsp:cNvPr id="0" name=""/>
        <dsp:cNvSpPr/>
      </dsp:nvSpPr>
      <dsp:spPr>
        <a:xfrm>
          <a:off x="2353887" y="469990"/>
          <a:ext cx="1283716" cy="31389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EIB novērtē projektus</a:t>
          </a:r>
        </a:p>
      </dsp:txBody>
      <dsp:txXfrm>
        <a:off x="2363081" y="479184"/>
        <a:ext cx="1265328" cy="295503"/>
      </dsp:txXfrm>
    </dsp:sp>
    <dsp:sp modelId="{B6EC32C5-A7DB-439E-9D8C-C353A8C73974}">
      <dsp:nvSpPr>
        <dsp:cNvPr id="0" name=""/>
        <dsp:cNvSpPr/>
      </dsp:nvSpPr>
      <dsp:spPr>
        <a:xfrm>
          <a:off x="2464449" y="783881"/>
          <a:ext cx="531296" cy="99580"/>
        </a:xfrm>
        <a:custGeom>
          <a:avLst/>
          <a:gdLst/>
          <a:ahLst/>
          <a:cxnLst/>
          <a:rect l="0" t="0" r="0" b="0"/>
          <a:pathLst>
            <a:path>
              <a:moveTo>
                <a:pt x="531296" y="0"/>
              </a:moveTo>
              <a:lnTo>
                <a:pt x="531296" y="49790"/>
              </a:lnTo>
              <a:lnTo>
                <a:pt x="0" y="49790"/>
              </a:lnTo>
              <a:lnTo>
                <a:pt x="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41A511AA-0CF2-4766-8A73-ED59078AAF69}">
      <dsp:nvSpPr>
        <dsp:cNvPr id="0" name=""/>
        <dsp:cNvSpPr/>
      </dsp:nvSpPr>
      <dsp:spPr>
        <a:xfrm>
          <a:off x="1951853" y="883461"/>
          <a:ext cx="1025190" cy="313891"/>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Prioritāro ieguldījumu projekti</a:t>
          </a:r>
        </a:p>
      </dsp:txBody>
      <dsp:txXfrm>
        <a:off x="1961047" y="892655"/>
        <a:ext cx="1006802" cy="295503"/>
      </dsp:txXfrm>
    </dsp:sp>
    <dsp:sp modelId="{C2DFFCC9-6B8D-418E-898F-A93F712D1A12}">
      <dsp:nvSpPr>
        <dsp:cNvPr id="0" name=""/>
        <dsp:cNvSpPr/>
      </dsp:nvSpPr>
      <dsp:spPr>
        <a:xfrm>
          <a:off x="2995745" y="783881"/>
          <a:ext cx="568609" cy="99580"/>
        </a:xfrm>
        <a:custGeom>
          <a:avLst/>
          <a:gdLst/>
          <a:ahLst/>
          <a:cxnLst/>
          <a:rect l="0" t="0" r="0" b="0"/>
          <a:pathLst>
            <a:path>
              <a:moveTo>
                <a:pt x="0" y="0"/>
              </a:moveTo>
              <a:lnTo>
                <a:pt x="0" y="49790"/>
              </a:lnTo>
              <a:lnTo>
                <a:pt x="568609" y="49790"/>
              </a:lnTo>
              <a:lnTo>
                <a:pt x="568609"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CAD15D01-4694-4336-8F23-9104C078A0ED}">
      <dsp:nvSpPr>
        <dsp:cNvPr id="0" name=""/>
        <dsp:cNvSpPr/>
      </dsp:nvSpPr>
      <dsp:spPr>
        <a:xfrm>
          <a:off x="3089071" y="883461"/>
          <a:ext cx="950565" cy="313891"/>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Neprioritāro ieguldījumu projekti</a:t>
          </a:r>
        </a:p>
      </dsp:txBody>
      <dsp:txXfrm>
        <a:off x="3098265" y="892655"/>
        <a:ext cx="932177" cy="295503"/>
      </dsp:txXfrm>
    </dsp:sp>
    <dsp:sp modelId="{9C6E652C-7AC4-4534-9333-88DFFC1C41E1}">
      <dsp:nvSpPr>
        <dsp:cNvPr id="0" name=""/>
        <dsp:cNvSpPr/>
      </dsp:nvSpPr>
      <dsp:spPr>
        <a:xfrm>
          <a:off x="3518634" y="1197352"/>
          <a:ext cx="91440" cy="99580"/>
        </a:xfrm>
        <a:custGeom>
          <a:avLst/>
          <a:gdLst/>
          <a:ahLst/>
          <a:cxnLst/>
          <a:rect l="0" t="0" r="0" b="0"/>
          <a:pathLst>
            <a:path>
              <a:moveTo>
                <a:pt x="45720" y="0"/>
              </a:moveTo>
              <a:lnTo>
                <a:pt x="4572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E0816965-8F4B-4609-A490-3F584E2CC887}">
      <dsp:nvSpPr>
        <dsp:cNvPr id="0" name=""/>
        <dsp:cNvSpPr/>
      </dsp:nvSpPr>
      <dsp:spPr>
        <a:xfrm>
          <a:off x="3094951" y="1296932"/>
          <a:ext cx="938806" cy="313891"/>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EIB izvērtējums un apstiprinājums</a:t>
          </a:r>
        </a:p>
      </dsp:txBody>
      <dsp:txXfrm>
        <a:off x="3104145" y="1306126"/>
        <a:ext cx="920418" cy="295503"/>
      </dsp:txXfrm>
    </dsp:sp>
    <dsp:sp modelId="{9A650E1A-F3DC-4768-B0A6-AA8615CFCE95}">
      <dsp:nvSpPr>
        <dsp:cNvPr id="0" name=""/>
        <dsp:cNvSpPr/>
      </dsp:nvSpPr>
      <dsp:spPr>
        <a:xfrm>
          <a:off x="3518634" y="1610824"/>
          <a:ext cx="91440" cy="99580"/>
        </a:xfrm>
        <a:custGeom>
          <a:avLst/>
          <a:gdLst/>
          <a:ahLst/>
          <a:cxnLst/>
          <a:rect l="0" t="0" r="0" b="0"/>
          <a:pathLst>
            <a:path>
              <a:moveTo>
                <a:pt x="45720" y="0"/>
              </a:moveTo>
              <a:lnTo>
                <a:pt x="4572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36EDA79F-7DB1-463A-8C34-59280C7DCBB9}">
      <dsp:nvSpPr>
        <dsp:cNvPr id="0" name=""/>
        <dsp:cNvSpPr/>
      </dsp:nvSpPr>
      <dsp:spPr>
        <a:xfrm>
          <a:off x="3094951" y="1710404"/>
          <a:ext cx="938806" cy="313891"/>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Investīciju komitejas balsojums</a:t>
          </a:r>
        </a:p>
      </dsp:txBody>
      <dsp:txXfrm>
        <a:off x="3104145" y="1719598"/>
        <a:ext cx="920418" cy="295503"/>
      </dsp:txXfrm>
    </dsp:sp>
    <dsp:sp modelId="{E3B5C9E9-1EFB-4BA0-9A26-16403B8D220E}">
      <dsp:nvSpPr>
        <dsp:cNvPr id="0" name=""/>
        <dsp:cNvSpPr/>
      </dsp:nvSpPr>
      <dsp:spPr>
        <a:xfrm>
          <a:off x="3260655" y="2024295"/>
          <a:ext cx="303699" cy="139073"/>
        </a:xfrm>
        <a:custGeom>
          <a:avLst/>
          <a:gdLst/>
          <a:ahLst/>
          <a:cxnLst/>
          <a:rect l="0" t="0" r="0" b="0"/>
          <a:pathLst>
            <a:path>
              <a:moveTo>
                <a:pt x="303699" y="0"/>
              </a:moveTo>
              <a:lnTo>
                <a:pt x="303699" y="69536"/>
              </a:lnTo>
              <a:lnTo>
                <a:pt x="0" y="69536"/>
              </a:lnTo>
              <a:lnTo>
                <a:pt x="0" y="139073"/>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6698246C-9CE3-449B-BD37-92B212B85CF3}">
      <dsp:nvSpPr>
        <dsp:cNvPr id="0" name=""/>
        <dsp:cNvSpPr/>
      </dsp:nvSpPr>
      <dsp:spPr>
        <a:xfrm>
          <a:off x="2039870" y="2163369"/>
          <a:ext cx="2441570" cy="390859"/>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Eiropas Komisijas lēmums par līdzekļu izmaksu</a:t>
          </a:r>
        </a:p>
      </dsp:txBody>
      <dsp:txXfrm>
        <a:off x="2051318" y="2174817"/>
        <a:ext cx="2418674" cy="367963"/>
      </dsp:txXfrm>
    </dsp:sp>
    <dsp:sp modelId="{9A7AA92C-C194-4166-81F4-E88056C043ED}">
      <dsp:nvSpPr>
        <dsp:cNvPr id="0" name=""/>
        <dsp:cNvSpPr/>
      </dsp:nvSpPr>
      <dsp:spPr>
        <a:xfrm>
          <a:off x="3214935" y="2554228"/>
          <a:ext cx="91440" cy="91710"/>
        </a:xfrm>
        <a:custGeom>
          <a:avLst/>
          <a:gdLst/>
          <a:ahLst/>
          <a:cxnLst/>
          <a:rect l="0" t="0" r="0" b="0"/>
          <a:pathLst>
            <a:path>
              <a:moveTo>
                <a:pt x="45720" y="0"/>
              </a:moveTo>
              <a:lnTo>
                <a:pt x="45720" y="45855"/>
              </a:lnTo>
              <a:lnTo>
                <a:pt x="70276" y="45855"/>
              </a:lnTo>
              <a:lnTo>
                <a:pt x="70276" y="9171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38FCCCBF-D58D-4AE4-BA83-CFC28D413100}">
      <dsp:nvSpPr>
        <dsp:cNvPr id="0" name=""/>
        <dsp:cNvSpPr/>
      </dsp:nvSpPr>
      <dsp:spPr>
        <a:xfrm>
          <a:off x="2057816" y="2645938"/>
          <a:ext cx="2454789" cy="317553"/>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ES dalībvalstis ievieš projektus un pēc tam ziņo Eiropas Komisijai</a:t>
          </a:r>
        </a:p>
      </dsp:txBody>
      <dsp:txXfrm>
        <a:off x="2067117" y="2655239"/>
        <a:ext cx="2436187" cy="29895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9245-E8AA-4839-8E16-8200F4AB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19</Pages>
  <Words>5367</Words>
  <Characters>30596</Characters>
  <Application>Microsoft Office Word</Application>
  <DocSecurity>0</DocSecurity>
  <Lines>254</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Modernizācijas fonda ieviešanu</vt:lpstr>
      <vt:lpstr/>
    </vt:vector>
  </TitlesOfParts>
  <Manager>gusts.zustenieks@varam.gov.lv</Manager>
  <Company>Vides aizsardzības un reģionālās attīstības ministrija</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Modernizācijas fonda ieviešanu</dc:title>
  <dc:subject>Informatīvais ziņojums</dc:subject>
  <dc:creator>Gusts Zustenieks</dc:creator>
  <cp:keywords/>
  <dc:description/>
  <cp:lastModifiedBy>Gusts Zustenieks</cp:lastModifiedBy>
  <cp:revision>253</cp:revision>
  <cp:lastPrinted>2019-07-18T12:12:00Z</cp:lastPrinted>
  <dcterms:created xsi:type="dcterms:W3CDTF">2020-10-13T10:39:00Z</dcterms:created>
  <dcterms:modified xsi:type="dcterms:W3CDTF">2020-11-13T12:37:00Z</dcterms:modified>
  <cp:category>Vides politika</cp:category>
</cp:coreProperties>
</file>