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27CB" w14:textId="7568C5B0" w:rsidR="000330A2" w:rsidRPr="004E66B1" w:rsidRDefault="00422589" w:rsidP="00760B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4E66B1">
        <w:rPr>
          <w:rFonts w:ascii="Times New Roman" w:hAnsi="Times New Roman"/>
          <w:b/>
          <w:sz w:val="28"/>
          <w:szCs w:val="28"/>
        </w:rPr>
        <w:t xml:space="preserve">Ministru kabineta noteikumu projekts </w:t>
      </w:r>
      <w:r w:rsidR="00467AB9" w:rsidRPr="004E66B1">
        <w:rPr>
          <w:rFonts w:ascii="Times New Roman" w:hAnsi="Times New Roman"/>
          <w:b/>
          <w:bCs/>
          <w:sz w:val="28"/>
          <w:szCs w:val="28"/>
        </w:rPr>
        <w:t>“</w:t>
      </w:r>
      <w:r w:rsidR="00D61415" w:rsidRPr="004E66B1">
        <w:rPr>
          <w:rFonts w:ascii="Times New Roman" w:hAnsi="Times New Roman"/>
          <w:b/>
          <w:bCs/>
          <w:sz w:val="28"/>
          <w:szCs w:val="28"/>
        </w:rPr>
        <w:t xml:space="preserve">Grozījumi Ministru kabineta 2018.gada 22.maija noteikumos Nr.295 </w:t>
      </w:r>
      <w:r w:rsidR="00467AB9" w:rsidRPr="004E66B1">
        <w:rPr>
          <w:rFonts w:ascii="Times New Roman" w:hAnsi="Times New Roman"/>
          <w:b/>
          <w:bCs/>
          <w:sz w:val="28"/>
          <w:szCs w:val="28"/>
        </w:rPr>
        <w:t>“</w:t>
      </w:r>
      <w:r w:rsidR="00D61415" w:rsidRPr="004E66B1">
        <w:rPr>
          <w:rFonts w:ascii="Times New Roman" w:hAnsi="Times New Roman"/>
          <w:b/>
          <w:bCs/>
          <w:sz w:val="28"/>
          <w:szCs w:val="28"/>
        </w:rPr>
        <w:t>Valsts atbalsta piešķiršanas kārtība lauksaimniecībā izmantojamās zemes iegādei lauksaimniecības produkcijas ražošanai</w:t>
      </w:r>
      <w:r w:rsidRPr="004E66B1">
        <w:rPr>
          <w:rFonts w:ascii="Times New Roman" w:hAnsi="Times New Roman"/>
          <w:b/>
          <w:sz w:val="28"/>
          <w:szCs w:val="28"/>
        </w:rPr>
        <w:t>”</w:t>
      </w:r>
      <w:r w:rsidR="00CC0F36" w:rsidRPr="004E66B1">
        <w:rPr>
          <w:rFonts w:ascii="Times New Roman" w:hAnsi="Times New Roman"/>
          <w:b/>
          <w:sz w:val="28"/>
          <w:szCs w:val="28"/>
        </w:rPr>
        <w:t>”</w:t>
      </w:r>
      <w:r w:rsidRPr="004E66B1">
        <w:rPr>
          <w:rFonts w:ascii="Times New Roman" w:hAnsi="Times New Roman"/>
          <w:b/>
          <w:sz w:val="28"/>
          <w:szCs w:val="28"/>
        </w:rPr>
        <w:t xml:space="preserve"> </w:t>
      </w:r>
      <w:r w:rsidRPr="004E66B1">
        <w:rPr>
          <w:rFonts w:ascii="Times New Roman" w:hAnsi="Times New Roman"/>
          <w:b/>
          <w:bCs/>
          <w:sz w:val="28"/>
          <w:szCs w:val="28"/>
        </w:rPr>
        <w:t>sākotnējās ietekmes novērtējuma ziņojums</w:t>
      </w:r>
      <w:r w:rsidRPr="004E66B1">
        <w:rPr>
          <w:rFonts w:ascii="Times New Roman" w:hAnsi="Times New Roman"/>
          <w:b/>
          <w:sz w:val="28"/>
          <w:szCs w:val="28"/>
        </w:rPr>
        <w:t xml:space="preserve"> (anotācija)</w:t>
      </w:r>
      <w:bookmarkEnd w:id="0"/>
      <w:bookmarkEnd w:id="1"/>
    </w:p>
    <w:p w14:paraId="75658FC1" w14:textId="77777777" w:rsidR="00552011" w:rsidRPr="004E66B1" w:rsidRDefault="00552011" w:rsidP="00760B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83"/>
        <w:gridCol w:w="6072"/>
      </w:tblGrid>
      <w:tr w:rsidR="00B91A42" w:rsidRPr="004E66B1" w14:paraId="06EEC351" w14:textId="77777777" w:rsidTr="003C3744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48C65D" w14:textId="77777777" w:rsidR="00B91A42" w:rsidRPr="004E66B1" w:rsidRDefault="00B91A42" w:rsidP="00B91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B91A42" w:rsidRPr="004E66B1" w14:paraId="53ACB15B" w14:textId="77777777" w:rsidTr="003C3744">
        <w:tc>
          <w:tcPr>
            <w:tcW w:w="16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C7B2A0" w14:textId="77777777" w:rsidR="00B91A42" w:rsidRPr="004E66B1" w:rsidRDefault="00B91A42" w:rsidP="0073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3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14138" w14:textId="54CC7E64" w:rsidR="00DB346E" w:rsidRPr="004E66B1" w:rsidRDefault="0073509D" w:rsidP="00BA2BE8">
            <w:pPr>
              <w:spacing w:after="0" w:line="240" w:lineRule="auto"/>
              <w:ind w:left="10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projekta </w:t>
            </w:r>
            <w:r w:rsidR="00467AB9" w:rsidRPr="004E66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Grozījumi Ministru kabineta 201</w:t>
            </w:r>
            <w:r w:rsidR="00D50C5E" w:rsidRPr="004E66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3E7" w:rsidRPr="004E6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D50C5E" w:rsidRPr="004E66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3E7" w:rsidRPr="004E6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0C5E" w:rsidRPr="004E66B1">
              <w:rPr>
                <w:rFonts w:ascii="Times New Roman" w:hAnsi="Times New Roman" w:cs="Times New Roman"/>
                <w:sz w:val="24"/>
                <w:szCs w:val="24"/>
              </w:rPr>
              <w:t>maij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a noteikumos Nr.</w:t>
            </w:r>
            <w:r w:rsidR="00A533E7" w:rsidRPr="004E6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0C5E" w:rsidRPr="004E66B1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AB9" w:rsidRPr="004E66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50C5E" w:rsidRPr="004E66B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alsts atbalst</w:t>
            </w:r>
            <w:r w:rsidR="00D50C5E" w:rsidRPr="004E66B1">
              <w:rPr>
                <w:rFonts w:ascii="Times New Roman" w:hAnsi="Times New Roman" w:cs="Times New Roman"/>
                <w:sz w:val="24"/>
                <w:szCs w:val="24"/>
              </w:rPr>
              <w:t>a piešķiršanas kārtība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lauksaimniecīb</w:t>
            </w:r>
            <w:r w:rsidR="00D50C5E" w:rsidRPr="004E66B1">
              <w:rPr>
                <w:rFonts w:ascii="Times New Roman" w:hAnsi="Times New Roman" w:cs="Times New Roman"/>
                <w:sz w:val="24"/>
                <w:szCs w:val="24"/>
              </w:rPr>
              <w:t>ā izmantojamās zemes iegādei lauksaimniecības produkcijas ražošanai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”” </w:t>
            </w:r>
            <w:r w:rsidR="003364E9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(turpmāk – noteikumu projekts) 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mērķis ir </w:t>
            </w:r>
            <w:r w:rsidR="00BA2BE8" w:rsidRPr="004E66B1">
              <w:rPr>
                <w:rFonts w:ascii="Times New Roman" w:hAnsi="Times New Roman" w:cs="Times New Roman"/>
                <w:sz w:val="24"/>
                <w:szCs w:val="24"/>
              </w:rPr>
              <w:t>paaugstināt kopējā aizdevuma summu vienam aizņēmējam</w:t>
            </w:r>
            <w:r w:rsidR="00DB346E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BA2BE8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precizēt atbalsta programmas noteikumus attiecībā uz</w:t>
            </w:r>
            <w:r w:rsidR="008300C9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zemes iegādi,</w:t>
            </w:r>
            <w:r w:rsidR="00BA2BE8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iegādātās zemes iznomāšanu</w:t>
            </w:r>
            <w:r w:rsidR="000D234F" w:rsidRPr="004E66B1">
              <w:rPr>
                <w:rFonts w:ascii="Times New Roman" w:hAnsi="Times New Roman" w:cs="Times New Roman"/>
                <w:sz w:val="24"/>
                <w:szCs w:val="24"/>
              </w:rPr>
              <w:t>, saistību nodošanu</w:t>
            </w:r>
            <w:r w:rsidR="00EA5E9B" w:rsidRPr="004E66B1">
              <w:rPr>
                <w:rFonts w:ascii="Times New Roman" w:hAnsi="Times New Roman" w:cs="Times New Roman"/>
                <w:sz w:val="24"/>
                <w:szCs w:val="24"/>
              </w:rPr>
              <w:t>, atbalsta atgūšanu</w:t>
            </w:r>
            <w:r w:rsidR="00BA2BE8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BA2BE8" w:rsidRPr="004E6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="00BA2BE8" w:rsidRPr="004E6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A2BE8" w:rsidRPr="004E6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="00BA2BE8" w:rsidRPr="004E66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A2BE8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atbalstu. </w:t>
            </w:r>
          </w:p>
          <w:p w14:paraId="581C6071" w14:textId="4F126A21" w:rsidR="003364E9" w:rsidRPr="004E66B1" w:rsidRDefault="003364E9" w:rsidP="00BA2BE8">
            <w:pPr>
              <w:spacing w:after="0" w:line="240" w:lineRule="auto"/>
              <w:ind w:left="106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Plānotais noteikumu projekta spēkā stāšanās laiks ir </w:t>
            </w:r>
            <w:r w:rsidR="005D2DE3" w:rsidRPr="004E66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0FC5" w:rsidRPr="004E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E3" w:rsidRPr="004E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D2DE3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200FC5" w:rsidRPr="004E66B1"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  <w:r w:rsidR="005D2DE3" w:rsidRPr="004E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1CD5E3" w14:textId="77777777" w:rsidR="00472586" w:rsidRPr="004E66B1" w:rsidRDefault="00472586" w:rsidP="00760B61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857"/>
        <w:gridCol w:w="7503"/>
      </w:tblGrid>
      <w:tr w:rsidR="000330A2" w:rsidRPr="004E66B1" w14:paraId="351A0EF8" w14:textId="77777777" w:rsidTr="004D78E5">
        <w:trPr>
          <w:trHeight w:val="419"/>
        </w:trPr>
        <w:tc>
          <w:tcPr>
            <w:tcW w:w="5000" w:type="pct"/>
            <w:gridSpan w:val="3"/>
            <w:vAlign w:val="center"/>
          </w:tcPr>
          <w:p w14:paraId="24463989" w14:textId="77777777" w:rsidR="000330A2" w:rsidRPr="004E66B1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4E66B1">
              <w:rPr>
                <w:b/>
              </w:rPr>
              <w:t>I. Tiesību akta projekta izstrādes nepieciešamība</w:t>
            </w:r>
          </w:p>
        </w:tc>
      </w:tr>
      <w:tr w:rsidR="000330A2" w:rsidRPr="004E66B1" w14:paraId="1723B86C" w14:textId="77777777" w:rsidTr="004D78E5">
        <w:trPr>
          <w:trHeight w:val="415"/>
        </w:trPr>
        <w:tc>
          <w:tcPr>
            <w:tcW w:w="226" w:type="pct"/>
          </w:tcPr>
          <w:p w14:paraId="43BCFD89" w14:textId="77777777" w:rsidR="000330A2" w:rsidRPr="004E66B1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4E66B1">
              <w:t>1.</w:t>
            </w:r>
          </w:p>
        </w:tc>
        <w:tc>
          <w:tcPr>
            <w:tcW w:w="1335" w:type="pct"/>
          </w:tcPr>
          <w:p w14:paraId="44574883" w14:textId="77777777" w:rsidR="000330A2" w:rsidRPr="004E66B1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4E66B1">
              <w:t>Pamatojums</w:t>
            </w:r>
          </w:p>
        </w:tc>
        <w:tc>
          <w:tcPr>
            <w:tcW w:w="3440" w:type="pct"/>
          </w:tcPr>
          <w:p w14:paraId="638597F7" w14:textId="70B3BD95" w:rsidR="000330A2" w:rsidRPr="004E66B1" w:rsidRDefault="008B0D2C" w:rsidP="00900DA1">
            <w:pPr>
              <w:spacing w:after="0" w:line="240" w:lineRule="auto"/>
              <w:ind w:left="142" w:right="1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Zemkopības ministrijas iniciatīva</w:t>
            </w:r>
          </w:p>
        </w:tc>
      </w:tr>
      <w:tr w:rsidR="000330A2" w:rsidRPr="004E66B1" w14:paraId="0BF8B81B" w14:textId="77777777" w:rsidTr="004D78E5">
        <w:trPr>
          <w:trHeight w:val="472"/>
        </w:trPr>
        <w:tc>
          <w:tcPr>
            <w:tcW w:w="226" w:type="pct"/>
          </w:tcPr>
          <w:p w14:paraId="5066CAF8" w14:textId="77777777" w:rsidR="000330A2" w:rsidRPr="004E66B1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4E66B1">
              <w:t>2.</w:t>
            </w:r>
          </w:p>
        </w:tc>
        <w:tc>
          <w:tcPr>
            <w:tcW w:w="1335" w:type="pct"/>
          </w:tcPr>
          <w:p w14:paraId="12856DBA" w14:textId="77777777" w:rsidR="00377716" w:rsidRPr="004E66B1" w:rsidRDefault="00726B5C" w:rsidP="00726B5C">
            <w:pPr>
              <w:spacing w:line="240" w:lineRule="auto"/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Pašreizējā situācija un problēmas, kuru risināšanai tiesību akta projekts izstrādāts, tiesiskā regulējuma mērķis un būtība </w:t>
            </w:r>
          </w:p>
          <w:p w14:paraId="23CF460C" w14:textId="77777777" w:rsidR="00377716" w:rsidRPr="004E66B1" w:rsidRDefault="00377716" w:rsidP="00377716"/>
          <w:p w14:paraId="61BF0D27" w14:textId="77777777" w:rsidR="00377716" w:rsidRPr="004E66B1" w:rsidRDefault="00377716" w:rsidP="00377716"/>
          <w:p w14:paraId="7968865A" w14:textId="77777777" w:rsidR="00377716" w:rsidRPr="004E66B1" w:rsidRDefault="00377716" w:rsidP="00377716"/>
          <w:p w14:paraId="39F72E32" w14:textId="77777777" w:rsidR="00377716" w:rsidRPr="004E66B1" w:rsidRDefault="00377716" w:rsidP="00377716"/>
          <w:p w14:paraId="5AB4059C" w14:textId="77777777" w:rsidR="00377716" w:rsidRPr="004E66B1" w:rsidRDefault="00377716" w:rsidP="00377716"/>
          <w:p w14:paraId="47481C85" w14:textId="77777777" w:rsidR="000330A2" w:rsidRPr="004E66B1" w:rsidRDefault="000330A2" w:rsidP="00377716"/>
        </w:tc>
        <w:tc>
          <w:tcPr>
            <w:tcW w:w="3440" w:type="pct"/>
          </w:tcPr>
          <w:p w14:paraId="347AF4E8" w14:textId="77777777" w:rsidR="00726B5C" w:rsidRPr="004E66B1" w:rsidRDefault="00726B5C" w:rsidP="00900DA1">
            <w:pPr>
              <w:spacing w:after="0" w:line="240" w:lineRule="auto"/>
              <w:ind w:left="148" w:right="133" w:hanging="6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E66B1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Sagatavotais </w:t>
            </w:r>
            <w:r w:rsidR="00A12344" w:rsidRPr="004E66B1">
              <w:rPr>
                <w:rFonts w:ascii="Times New Roman" w:hAnsi="Times New Roman" w:cs="Times New Roman"/>
                <w:sz w:val="24"/>
                <w:szCs w:val="24"/>
              </w:rPr>
              <w:t>Ministru kabineta noteikumu projekt</w:t>
            </w:r>
            <w:r w:rsidR="006C485A" w:rsidRPr="004E66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12344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6B1">
              <w:rPr>
                <w:rFonts w:ascii="Times New Roman" w:eastAsia="Calibri" w:hAnsi="Times New Roman" w:cs="Times New Roman"/>
                <w:sz w:val="24"/>
                <w:lang w:eastAsia="en-US"/>
              </w:rPr>
              <w:t>attiecas uz dabas resursu, lauksaimnieciskās ražošanas un pārstrādes politikas jomu.</w:t>
            </w:r>
          </w:p>
          <w:p w14:paraId="5F56A03D" w14:textId="14FD0A1C" w:rsidR="003E0262" w:rsidRPr="004E66B1" w:rsidRDefault="00DC02EC" w:rsidP="00435D33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Spēkā esošajos Ministru kabineta </w:t>
            </w:r>
            <w:r w:rsidR="00324176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2018. gada 22. maija noteikumos Nr. 295 </w:t>
            </w:r>
            <w:r w:rsidR="00467AB9" w:rsidRPr="004E66B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24176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Valsts atbalsta piešķiršanas kārtība lauksaimniecībā izmantojamās zemes iegādei lauksaimniecības produkcijas ražošanai” </w:t>
            </w:r>
            <w:r w:rsidR="00435D33" w:rsidRPr="004E66B1">
              <w:rPr>
                <w:rFonts w:ascii="Times New Roman" w:hAnsi="Times New Roman" w:cs="Times New Roman"/>
                <w:sz w:val="24"/>
                <w:szCs w:val="24"/>
              </w:rPr>
              <w:t>(turpmāk – noteikumi Nr.295</w:t>
            </w:r>
            <w:r w:rsidR="00642E31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noteikti </w:t>
            </w:r>
            <w:r w:rsidR="00435D33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kritēriji lauksaimniecības zemes </w:t>
            </w:r>
            <w:r w:rsidR="00FA2EDE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(turpmāk – LIZ) </w:t>
            </w:r>
            <w:r w:rsidR="00435D33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iegādei.</w:t>
            </w:r>
            <w:r w:rsidR="00322D5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Atbalstu piešķir akciju sabiedrība “Attīstības finanšu institūcija </w:t>
            </w:r>
            <w:proofErr w:type="spellStart"/>
            <w:r w:rsidR="00322D5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Altum</w:t>
            </w:r>
            <w:proofErr w:type="spellEnd"/>
            <w:r w:rsidR="00322D5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615604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(t</w:t>
            </w:r>
            <w:r w:rsidR="00322D5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urpmāk – </w:t>
            </w:r>
            <w:proofErr w:type="spellStart"/>
            <w:r w:rsidR="00322D5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Altum</w:t>
            </w:r>
            <w:proofErr w:type="spellEnd"/>
            <w:r w:rsidR="00322D5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A7995F5" w14:textId="7A30A956" w:rsidR="008D20CE" w:rsidRPr="004E66B1" w:rsidRDefault="009D4CC0" w:rsidP="00435D33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r w:rsidR="00081C7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C7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Altum</w:t>
            </w:r>
            <w:proofErr w:type="spellEnd"/>
            <w:r w:rsidR="00081C7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sniegt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r w:rsidR="00081C7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81C7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4519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2012. gada 1. jūlija</w:t>
            </w:r>
            <w:r w:rsidR="00081C7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 w:rsidR="008D20CE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īdz </w:t>
            </w:r>
            <w:r w:rsidR="00081C7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2020.</w:t>
            </w:r>
            <w:r w:rsidR="0094519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81C7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gada 30. septembrim </w:t>
            </w:r>
            <w:r w:rsidR="008D20CE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LIZ iegādes programmā izsniegti 2025 aizdevumi par kopējo summu 98 744 726 </w:t>
            </w:r>
            <w:proofErr w:type="spellStart"/>
            <w:r w:rsidR="008D20CE" w:rsidRPr="004E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8D20CE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ļaujot lauksaimniekiem iegādāties vairāk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="008D20CE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kā 43 000 ha zemes:</w:t>
            </w:r>
          </w:p>
          <w:tbl>
            <w:tblPr>
              <w:tblW w:w="74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1307"/>
              <w:gridCol w:w="996"/>
              <w:gridCol w:w="847"/>
              <w:gridCol w:w="996"/>
              <w:gridCol w:w="988"/>
              <w:gridCol w:w="996"/>
            </w:tblGrid>
            <w:tr w:rsidR="008D20CE" w:rsidRPr="004E66B1" w14:paraId="0B8771E8" w14:textId="77777777" w:rsidTr="00D646CE">
              <w:trPr>
                <w:trHeight w:val="475"/>
              </w:trPr>
              <w:tc>
                <w:tcPr>
                  <w:tcW w:w="13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E0ED54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Plānošanas </w:t>
                  </w:r>
                </w:p>
                <w:p w14:paraId="3206A8A9" w14:textId="407BA05D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reģioni</w:t>
                  </w:r>
                </w:p>
              </w:tc>
              <w:tc>
                <w:tcPr>
                  <w:tcW w:w="230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4812DE4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Izsniegtā aizdevumu summa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ACA5D25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Izsniegtie aizdevumi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0641BB3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Iegādātā zemes platība</w:t>
                  </w:r>
                </w:p>
              </w:tc>
            </w:tr>
            <w:tr w:rsidR="008D20CE" w:rsidRPr="004E66B1" w14:paraId="48AD97EE" w14:textId="77777777" w:rsidTr="00D646CE">
              <w:trPr>
                <w:trHeight w:val="243"/>
              </w:trPr>
              <w:tc>
                <w:tcPr>
                  <w:tcW w:w="134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297685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B4B0B8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EUR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EC6BF8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5F6DCDD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Skaits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A83E6F8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140AC62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ha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92201D9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%</w:t>
                  </w:r>
                </w:p>
              </w:tc>
            </w:tr>
            <w:tr w:rsidR="008D20CE" w:rsidRPr="004E66B1" w14:paraId="55A127EC" w14:textId="77777777" w:rsidTr="00D646CE">
              <w:trPr>
                <w:trHeight w:val="190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6AA64D8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Kurzeme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1EB9514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25 085 592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5C2D53E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25.4%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E7B6F1B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06258DF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25.6%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7F81271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9 793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2E85210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22.7%</w:t>
                  </w:r>
                </w:p>
              </w:tc>
            </w:tr>
            <w:tr w:rsidR="008D20CE" w:rsidRPr="004E66B1" w14:paraId="00D0E938" w14:textId="77777777" w:rsidTr="00D646CE">
              <w:trPr>
                <w:trHeight w:val="300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85692B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Latgale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32067B1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14 599 581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D36DFAC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14.8%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2F9263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50FD60E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18.4%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9394C0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9 535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BE7666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22.1%</w:t>
                  </w:r>
                </w:p>
              </w:tc>
            </w:tr>
            <w:tr w:rsidR="008D20CE" w:rsidRPr="004E66B1" w14:paraId="074CE105" w14:textId="77777777" w:rsidTr="00D646CE">
              <w:trPr>
                <w:trHeight w:val="300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98FCBBA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Pierīga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C879C3A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12 352 090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9813377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12.5%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A02044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602A7D8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11.5%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EEDECD4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5 374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8A32EF2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12.5%</w:t>
                  </w:r>
                </w:p>
              </w:tc>
            </w:tr>
            <w:tr w:rsidR="008D20CE" w:rsidRPr="004E66B1" w14:paraId="2D5AAB05" w14:textId="77777777" w:rsidTr="00D646CE">
              <w:trPr>
                <w:trHeight w:val="300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B612DE5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Vidzeme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A2A830E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17 556 594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BF29A42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17.8%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514BE95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7DFFD20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20.1%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6FE616F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8 246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7ECAAA0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19.1%</w:t>
                  </w:r>
                </w:p>
              </w:tc>
            </w:tr>
            <w:tr w:rsidR="008D20CE" w:rsidRPr="004E66B1" w14:paraId="2C6879B2" w14:textId="77777777" w:rsidTr="00D646CE">
              <w:trPr>
                <w:trHeight w:val="300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A5FB211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Zemgale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43EE216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29 150 868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B742A67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29.5%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428B850A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D7B9F61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24.4%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A9E48C6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10 135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55A8335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23.5%</w:t>
                  </w:r>
                </w:p>
              </w:tc>
            </w:tr>
            <w:tr w:rsidR="008D20CE" w:rsidRPr="004E66B1" w14:paraId="013AD1C2" w14:textId="77777777" w:rsidTr="00D646CE">
              <w:trPr>
                <w:trHeight w:val="300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117BCE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Kopā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CC75505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98 744 726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61569B9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100.0%</w:t>
                  </w:r>
                </w:p>
              </w:tc>
              <w:tc>
                <w:tcPr>
                  <w:tcW w:w="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E85ADEF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96E677E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100.0%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85130E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43 084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B38E875" w14:textId="77777777" w:rsidR="008D20CE" w:rsidRPr="004E66B1" w:rsidRDefault="008D20CE" w:rsidP="0058097B">
                  <w:pPr>
                    <w:framePr w:hSpace="180" w:wrap="around" w:vAnchor="text" w:hAnchor="margin" w:xAlign="center" w:y="149"/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E66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100.0%</w:t>
                  </w:r>
                </w:p>
              </w:tc>
            </w:tr>
          </w:tbl>
          <w:p w14:paraId="318FB267" w14:textId="5B72E8D6" w:rsidR="008D20CE" w:rsidRPr="004E66B1" w:rsidRDefault="00D646CE" w:rsidP="00F25E7D">
            <w:pPr>
              <w:spacing w:after="0" w:line="240" w:lineRule="auto"/>
              <w:ind w:left="108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Pēdējos tr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ijos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gados </w:t>
            </w:r>
            <w:r w:rsidR="00216F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(2017.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16F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2019.) 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katrā 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gadā i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zsniegti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255–297 aizdevumi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kopēj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aizdevumu summa ir</w:t>
            </w:r>
            <w:r w:rsidR="00216F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aptuveni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16F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–1</w:t>
            </w:r>
            <w:r w:rsidR="00B11EB6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6F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miljoni </w:t>
            </w:r>
            <w:proofErr w:type="spellStart"/>
            <w:r w:rsidRPr="004E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9D4CC0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gadā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un par to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 gadu lauksaimnieki iegādājas aptuveni 5000 ha LIZ. </w:t>
            </w:r>
            <w:r w:rsidR="00216F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Pēc 2020. gada pirmajiem trīs </w:t>
            </w:r>
            <w:r w:rsidR="000C5CCD">
              <w:rPr>
                <w:rFonts w:ascii="Times New Roman" w:eastAsia="Times New Roman" w:hAnsi="Times New Roman" w:cs="Times New Roman"/>
                <w:sz w:val="24"/>
                <w:szCs w:val="24"/>
              </w:rPr>
              <w:t>ceturkšņiem</w:t>
            </w:r>
            <w:r w:rsidR="00216F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 spriest, ka situācija būs līdzīga arī </w:t>
            </w:r>
            <w:r w:rsidR="00216F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2020. gadā. </w:t>
            </w:r>
            <w:r w:rsidR="007147E6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 kā iegādātā LIZ ir jāizmanto lauksaimniecības produkcijas ražošanai, šī atbalsta programma ir efektīvs līdzeklis LIZ izmantošanas palielināšanai un ieņēmumu </w:t>
            </w:r>
            <w:r w:rsidR="001002A1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iegūšanai</w:t>
            </w:r>
            <w:r w:rsidR="007147E6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šīs platības, tādējādi ilgtermiņā pozitīvi ietekmējot Latvijas ekonomiku kopumā. 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Paredzams, ka </w:t>
            </w:r>
            <w:r w:rsidR="00216F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arī 2021. gadā 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LIZ iegādes programmas 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izpilde</w:t>
            </w:r>
            <w:r w:rsidR="00216F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būs līdzīga kā iepriekšējos gados</w:t>
            </w:r>
            <w:r w:rsidR="0094519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, tomēr LIZ cen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94519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kāpuma</w:t>
            </w:r>
            <w:r w:rsidR="0094519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ietekmē </w:t>
            </w:r>
            <w:r w:rsidR="002B2D9D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varētu </w:t>
            </w:r>
            <w:r w:rsidR="0094519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liel</w:t>
            </w:r>
            <w:r w:rsidR="0094519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="002B2D9D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94519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ties kopēj</w:t>
            </w:r>
            <w:r w:rsidR="002B2D9D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="0094519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aizdevuma summa gadā.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DCF645" w14:textId="546ECC91" w:rsidR="003E0262" w:rsidRPr="004E66B1" w:rsidRDefault="003E0262" w:rsidP="00435D33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projekta 1. punktā precizēta norma par pieļaujamajiem nodokļu parādiem, lai tā būtu skaidri saprotama un pareizi piemēro</w:t>
            </w:r>
            <w:r w:rsidR="006647D1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jama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E46CC1" w14:textId="639F6137" w:rsidR="00C24697" w:rsidRPr="004E66B1" w:rsidRDefault="003E0262" w:rsidP="001D4D27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2. punktā </w:t>
            </w:r>
            <w:r w:rsidR="00200FC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jaunā redakcijā izteikts not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200FC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ikumu Nr. 295 10. 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C24697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24697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punkts</w:t>
            </w:r>
            <w:r w:rsidR="000B2F72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. 10. punktā</w:t>
            </w:r>
            <w:r w:rsidR="00200FC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minē</w:t>
            </w:r>
            <w:r w:rsidR="0077530F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ti kritēriji, pēc kuriem tiek vērtēti aizņēmēji. Tāpat precizēts,</w:t>
            </w:r>
            <w:r w:rsidR="004562F1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="004562F1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Altum</w:t>
            </w:r>
            <w:proofErr w:type="spellEnd"/>
            <w:r w:rsidR="004562F1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pieņem lēmumu triju nedēļu laikā pēc</w:t>
            </w:r>
            <w:r w:rsidR="001B47BA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brīža</w:t>
            </w:r>
            <w:r w:rsidR="004562F1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, kad saņemti visi nepieciešamie dokumenti</w:t>
            </w:r>
            <w:r w:rsidR="0010648A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. Precizējums izdarīts, jo pašlaik ir situācijas, kad valsts atbalsta pretendenti</w:t>
            </w:r>
            <w:r w:rsidR="00467AB9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reizē ar aizdevuma pieteikumu </w:t>
            </w:r>
            <w:r w:rsidR="0010648A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nav iesnieguši visus dokumentus, bet lēmumu par aizdevuma piešķiršanu vēlas saņemt triju nedēļu laikā pēc pieteikuma iesniegšanas.</w:t>
            </w:r>
            <w:r w:rsidR="000B2F72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 punktā precizēta aizdevuma finansēšanas kārtība.</w:t>
            </w:r>
          </w:p>
          <w:p w14:paraId="007EFEE9" w14:textId="21EF2166" w:rsidR="001D4D27" w:rsidRPr="004E66B1" w:rsidRDefault="001D4D27" w:rsidP="001D4D27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projekta 3. punktā no 20 līdz 30% palielināts limits 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ar lauksaimniecisko darbību nesaistītu objektu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kopējai platībai</w:t>
            </w:r>
            <w:r w:rsidR="009F2889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, kurus var iegādāties kopā ar LIZ</w:t>
            </w:r>
            <w:r w:rsidR="00450DD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976811" w14:textId="74617303" w:rsidR="003C2841" w:rsidRPr="004E66B1" w:rsidRDefault="003C2841" w:rsidP="004562F1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Noteikum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 295 papildināti ar 12.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punktu (noteikumu projekta </w:t>
            </w:r>
            <w:r w:rsidR="00450DD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punkts), </w:t>
            </w:r>
            <w:r w:rsidR="00467AB9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paredz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ot, ka aizņēmējs drīkst iegādāties arī tādu </w:t>
            </w:r>
            <w:r w:rsidR="00C70631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īpašuma daļu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, kas neatbilst šo noteikumu nosacījumiem, taču šādas zemes iegād</w:t>
            </w:r>
            <w:r w:rsidR="00467AB9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jāfinansē no saviem līdzekļiem.</w:t>
            </w:r>
          </w:p>
          <w:p w14:paraId="643E02F3" w14:textId="6C2C6B8C" w:rsidR="00A242AC" w:rsidRPr="004E66B1" w:rsidRDefault="00A242AC" w:rsidP="004C306B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Noteikumu Nr. 295 13.</w:t>
            </w:r>
            <w:r w:rsidR="00D64EC7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67AB9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64EC7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apakš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punkts izteikts jaunā redakcijā</w:t>
            </w:r>
            <w:r w:rsidR="00DB7CED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, sadalot 13.3.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B7CED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apakšpunktu divos apakšpunktos (13.3.1.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B7CED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B7CED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13.3.2.)</w:t>
            </w:r>
            <w:r w:rsidR="00467AB9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B7CED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13.3.1. apakšpunktā atļauta mantojuma daļu izpirkšana no savstarpēji saistītām fiziskām personām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, bet</w:t>
            </w:r>
            <w:r w:rsidR="00DB7CED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30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13.3.2. apakšpunkts paredz, ka aizdevumu nepiešķir zemes iegādei no savstarpēji saistītām juridiskām personām. 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Spēkā esošajos</w:t>
            </w:r>
            <w:r w:rsidR="004C30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noteikumos Nr. 295 noteikts ierobežojums tikai attiecībā uz LIZ iegādi no savstarpēji saistītām fiziskām personām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, t</w:t>
            </w:r>
            <w:r w:rsidR="004C306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omēr līdzīga ir situācija ar savstarpēji saistītām juridiskām personām – ir nepieciešams novērst spekulatīvu darījumu iespējas</w:t>
            </w:r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jo</w:t>
            </w:r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Altum</w:t>
            </w:r>
            <w:proofErr w:type="spellEnd"/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tos </w:t>
            </w:r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grūti vai neiespējami konstatēt 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pastāv iespēja, ka savstarpēji saistītas juridiskas personas aizdevum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s LIZ iegādei izmanto izdevīg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finanšu līdzekļu ieg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ūšanai</w:t>
            </w:r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kaut gan 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iegādāties </w:t>
            </w:r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zem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saistītas personas nemaz nav bij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nepieciešam</w:t>
            </w:r>
            <w:r w:rsidR="00FA545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A800FB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5E81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(noteikumu projekta 5. punkts)</w:t>
            </w:r>
            <w:r w:rsidR="008646DE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4B8F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3AB774" w14:textId="724CA2FE" w:rsidR="00322D55" w:rsidRPr="004E66B1" w:rsidRDefault="00467AB9" w:rsidP="007C55C8">
            <w:pPr>
              <w:spacing w:after="0" w:line="240" w:lineRule="auto"/>
              <w:ind w:left="148" w:right="133" w:hanging="6"/>
              <w:jc w:val="both"/>
              <w:rPr>
                <w:rFonts w:ascii="Times New Roman" w:hAnsi="Times New Roman" w:cs="Times New Roman"/>
                <w:sz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Pēc</w:t>
            </w:r>
            <w:r w:rsidR="00BA6EAA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EAA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Altum</w:t>
            </w:r>
            <w:proofErr w:type="spellEnd"/>
            <w:r w:rsidR="00BA6EAA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sniegt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r w:rsidR="00BA6EAA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informācija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A6EAA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22D5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arvien biežāk</w:t>
            </w:r>
            <w:r w:rsidR="00567B9C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mēdz būt</w:t>
            </w:r>
            <w:r w:rsidR="00322D55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situācij</w:t>
            </w:r>
            <w:r w:rsidR="00567B9C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9C13D8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A54F0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4F0" w:rsidRPr="004E66B1">
              <w:rPr>
                <w:rFonts w:ascii="Times New Roman" w:hAnsi="Times New Roman" w:cs="Times New Roman"/>
                <w:sz w:val="24"/>
              </w:rPr>
              <w:t xml:space="preserve">kad līgumu par aizdevumu ar </w:t>
            </w:r>
            <w:proofErr w:type="spellStart"/>
            <w:r w:rsidR="005A54F0" w:rsidRPr="004E66B1">
              <w:rPr>
                <w:rFonts w:ascii="Times New Roman" w:hAnsi="Times New Roman" w:cs="Times New Roman"/>
                <w:sz w:val="24"/>
              </w:rPr>
              <w:t>Altum</w:t>
            </w:r>
            <w:proofErr w:type="spellEnd"/>
            <w:r w:rsidR="005A54F0" w:rsidRPr="004E66B1">
              <w:rPr>
                <w:rFonts w:ascii="Times New Roman" w:hAnsi="Times New Roman" w:cs="Times New Roman"/>
                <w:sz w:val="24"/>
              </w:rPr>
              <w:t xml:space="preserve"> ir noslēgusi pašnodarbināta persona (fiziska persona), kura, piesakoties aizdevumam, nodarbojās vai plānoja uzsākt lauksaimniecības produkcijas ražošanu. Pēc aizdevuma saņemšanas fiziska persona izveido sabiedrību ar ierobežotu atbildību (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 xml:space="preserve">turpmāk </w:t>
            </w:r>
            <w:r w:rsidRPr="004E66B1">
              <w:rPr>
                <w:rFonts w:ascii="Times New Roman" w:hAnsi="Times New Roman" w:cs="Times New Roman"/>
                <w:sz w:val="24"/>
              </w:rPr>
              <w:t>–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54F0" w:rsidRPr="004E66B1">
              <w:rPr>
                <w:rFonts w:ascii="Times New Roman" w:hAnsi="Times New Roman" w:cs="Times New Roman"/>
                <w:sz w:val="24"/>
              </w:rPr>
              <w:t>SIA) vai zemnieku saimniecību (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 xml:space="preserve">turpmāk </w:t>
            </w:r>
            <w:r w:rsidRPr="004E66B1">
              <w:rPr>
                <w:rFonts w:ascii="Times New Roman" w:hAnsi="Times New Roman" w:cs="Times New Roman"/>
                <w:sz w:val="24"/>
              </w:rPr>
              <w:t>–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54F0" w:rsidRPr="004E66B1">
              <w:rPr>
                <w:rFonts w:ascii="Times New Roman" w:hAnsi="Times New Roman" w:cs="Times New Roman"/>
                <w:sz w:val="24"/>
              </w:rPr>
              <w:t>ZS) un aizdevuma pieteikumā norādīto lauksaimniecības produktu ražošanu turpina kā SIA</w:t>
            </w:r>
            <w:r w:rsidR="009C13D8" w:rsidRPr="004E66B1">
              <w:rPr>
                <w:rFonts w:ascii="Times New Roman" w:hAnsi="Times New Roman" w:cs="Times New Roman"/>
                <w:sz w:val="24"/>
              </w:rPr>
              <w:t xml:space="preserve"> vai </w:t>
            </w:r>
            <w:r w:rsidR="005A54F0" w:rsidRPr="004E66B1">
              <w:rPr>
                <w:rFonts w:ascii="Times New Roman" w:hAnsi="Times New Roman" w:cs="Times New Roman"/>
                <w:sz w:val="24"/>
              </w:rPr>
              <w:t>ZS, nevis kā pašnodarbinātā persona, kas ir aizņēmuma saņēmējs.</w:t>
            </w:r>
            <w:r w:rsidR="004D78E5" w:rsidRPr="004E66B1">
              <w:rPr>
                <w:rFonts w:ascii="Times New Roman" w:hAnsi="Times New Roman" w:cs="Times New Roman"/>
                <w:sz w:val="24"/>
              </w:rPr>
              <w:t xml:space="preserve"> Šādā gadījumā</w:t>
            </w:r>
            <w:r w:rsidR="001A329C" w:rsidRPr="004E66B1">
              <w:rPr>
                <w:rFonts w:ascii="Times New Roman" w:hAnsi="Times New Roman" w:cs="Times New Roman"/>
                <w:sz w:val="24"/>
              </w:rPr>
              <w:t xml:space="preserve"> aizņēmējs iznomā šai SIA vai ZS</w:t>
            </w:r>
            <w:r w:rsidR="004D78E5" w:rsidRPr="004E66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329C" w:rsidRPr="004E66B1">
              <w:rPr>
                <w:rFonts w:ascii="Times New Roman" w:hAnsi="Times New Roman" w:cs="Times New Roman"/>
                <w:sz w:val="24"/>
              </w:rPr>
              <w:t xml:space="preserve">iegādāto 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>LIZ</w:t>
            </w:r>
            <w:r w:rsidR="001A329C" w:rsidRPr="004E66B1">
              <w:rPr>
                <w:rFonts w:ascii="Times New Roman" w:hAnsi="Times New Roman" w:cs="Times New Roman"/>
                <w:sz w:val="24"/>
              </w:rPr>
              <w:t xml:space="preserve">, un </w:t>
            </w:r>
            <w:r w:rsidR="004D78E5" w:rsidRPr="004E66B1">
              <w:rPr>
                <w:rFonts w:ascii="Times New Roman" w:hAnsi="Times New Roman" w:cs="Times New Roman"/>
                <w:sz w:val="24"/>
              </w:rPr>
              <w:t xml:space="preserve">ar lauksaimniecības produktu ražošanu nodarbojas SIA vai ZS, nevis aizņēmējs. </w:t>
            </w:r>
            <w:r w:rsidR="00BD290E" w:rsidRPr="004E66B1">
              <w:rPr>
                <w:rFonts w:ascii="Times New Roman" w:hAnsi="Times New Roman" w:cs="Times New Roman"/>
                <w:sz w:val="24"/>
              </w:rPr>
              <w:t>Tādējādi</w:t>
            </w:r>
            <w:r w:rsidR="004D78E5" w:rsidRPr="004E66B1">
              <w:rPr>
                <w:rFonts w:ascii="Times New Roman" w:hAnsi="Times New Roman" w:cs="Times New Roman"/>
                <w:sz w:val="24"/>
              </w:rPr>
              <w:t xml:space="preserve"> netiek i</w:t>
            </w:r>
            <w:r w:rsidRPr="004E66B1">
              <w:rPr>
                <w:rFonts w:ascii="Times New Roman" w:hAnsi="Times New Roman" w:cs="Times New Roman"/>
                <w:sz w:val="24"/>
              </w:rPr>
              <w:t>evērota</w:t>
            </w:r>
            <w:r w:rsidR="004D78E5" w:rsidRPr="004E66B1">
              <w:rPr>
                <w:rFonts w:ascii="Times New Roman" w:hAnsi="Times New Roman" w:cs="Times New Roman"/>
                <w:sz w:val="24"/>
              </w:rPr>
              <w:t xml:space="preserve"> noteikumu Nr.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4D78E5" w:rsidRPr="004E66B1">
              <w:rPr>
                <w:rFonts w:ascii="Times New Roman" w:hAnsi="Times New Roman" w:cs="Times New Roman"/>
                <w:sz w:val="24"/>
              </w:rPr>
              <w:t>295 14.1</w:t>
            </w:r>
            <w:r w:rsidRPr="004E66B1">
              <w:rPr>
                <w:rFonts w:ascii="Times New Roman" w:hAnsi="Times New Roman" w:cs="Times New Roman"/>
                <w:sz w:val="24"/>
              </w:rPr>
              <w:t>.</w:t>
            </w:r>
            <w:r w:rsidR="004D78E5" w:rsidRPr="004E66B1">
              <w:rPr>
                <w:rFonts w:ascii="Times New Roman" w:hAnsi="Times New Roman" w:cs="Times New Roman"/>
                <w:sz w:val="24"/>
              </w:rPr>
              <w:t xml:space="preserve"> apakšpunkt</w:t>
            </w:r>
            <w:r w:rsidRPr="004E66B1">
              <w:rPr>
                <w:rFonts w:ascii="Times New Roman" w:hAnsi="Times New Roman" w:cs="Times New Roman"/>
                <w:sz w:val="24"/>
              </w:rPr>
              <w:t>a norma</w:t>
            </w:r>
            <w:r w:rsidR="004D78E5" w:rsidRPr="004E66B1">
              <w:rPr>
                <w:rFonts w:ascii="Times New Roman" w:hAnsi="Times New Roman" w:cs="Times New Roman"/>
                <w:sz w:val="24"/>
              </w:rPr>
              <w:t xml:space="preserve"> (aizņēmējs</w:t>
            </w:r>
            <w:r w:rsidR="001A329C" w:rsidRPr="004E66B1">
              <w:rPr>
                <w:rFonts w:ascii="Times New Roman" w:hAnsi="Times New Roman" w:cs="Times New Roman"/>
                <w:sz w:val="24"/>
              </w:rPr>
              <w:t xml:space="preserve"> nedrīkst</w:t>
            </w:r>
            <w:r w:rsidR="004D78E5" w:rsidRPr="004E66B1">
              <w:rPr>
                <w:rFonts w:ascii="Times New Roman" w:hAnsi="Times New Roman" w:cs="Times New Roman"/>
                <w:sz w:val="24"/>
              </w:rPr>
              <w:t xml:space="preserve"> iznomāt viņa īpašumā esošo 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>LIZ</w:t>
            </w:r>
            <w:r w:rsidR="004D78E5" w:rsidRPr="004E66B1">
              <w:rPr>
                <w:rFonts w:ascii="Times New Roman" w:hAnsi="Times New Roman" w:cs="Times New Roman"/>
                <w:sz w:val="24"/>
              </w:rPr>
              <w:t>).</w:t>
            </w:r>
            <w:r w:rsidR="00022E94" w:rsidRPr="004E66B1">
              <w:rPr>
                <w:rFonts w:ascii="Times New Roman" w:hAnsi="Times New Roman" w:cs="Times New Roman"/>
                <w:sz w:val="24"/>
              </w:rPr>
              <w:t xml:space="preserve"> Tomēr gadījumos, kad aizņēmēj</w:t>
            </w:r>
            <w:r w:rsidR="007A175C" w:rsidRPr="004E66B1">
              <w:rPr>
                <w:rFonts w:ascii="Times New Roman" w:hAnsi="Times New Roman" w:cs="Times New Roman"/>
                <w:sz w:val="24"/>
              </w:rPr>
              <w:t xml:space="preserve">s ir nodibinātā uzņēmuma īpašnieks vai tam </w:t>
            </w:r>
            <w:r w:rsidR="00022E94" w:rsidRPr="004E66B1">
              <w:rPr>
                <w:rFonts w:ascii="Times New Roman" w:hAnsi="Times New Roman" w:cs="Times New Roman"/>
                <w:sz w:val="24"/>
              </w:rPr>
              <w:t xml:space="preserve">nodibinātajā </w:t>
            </w:r>
            <w:r w:rsidR="007A175C" w:rsidRPr="004E66B1">
              <w:rPr>
                <w:rFonts w:ascii="Times New Roman" w:hAnsi="Times New Roman" w:cs="Times New Roman"/>
                <w:sz w:val="24"/>
              </w:rPr>
              <w:t>uzņēmumā</w:t>
            </w:r>
            <w:r w:rsidR="00022E94" w:rsidRPr="004E66B1">
              <w:rPr>
                <w:rFonts w:ascii="Times New Roman" w:hAnsi="Times New Roman" w:cs="Times New Roman"/>
                <w:sz w:val="24"/>
              </w:rPr>
              <w:t xml:space="preserve"> ir vismaz 50 procentu pamatkapitāla daļu, </w:t>
            </w:r>
            <w:r w:rsidR="008C144A" w:rsidRPr="004E66B1">
              <w:rPr>
                <w:rFonts w:ascii="Times New Roman" w:hAnsi="Times New Roman" w:cs="Times New Roman"/>
                <w:sz w:val="24"/>
              </w:rPr>
              <w:t xml:space="preserve">iegādātās 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>LIZ</w:t>
            </w:r>
            <w:r w:rsidR="008C144A" w:rsidRPr="004E66B1">
              <w:rPr>
                <w:rFonts w:ascii="Times New Roman" w:hAnsi="Times New Roman" w:cs="Times New Roman"/>
                <w:sz w:val="24"/>
              </w:rPr>
              <w:t xml:space="preserve"> noma attiecīga</w:t>
            </w:r>
            <w:r w:rsidR="00635271" w:rsidRPr="004E66B1">
              <w:rPr>
                <w:rFonts w:ascii="Times New Roman" w:hAnsi="Times New Roman" w:cs="Times New Roman"/>
                <w:sz w:val="24"/>
              </w:rPr>
              <w:t>ja</w:t>
            </w:r>
            <w:r w:rsidR="008C144A" w:rsidRPr="004E66B1">
              <w:rPr>
                <w:rFonts w:ascii="Times New Roman" w:hAnsi="Times New Roman" w:cs="Times New Roman"/>
                <w:sz w:val="24"/>
              </w:rPr>
              <w:t xml:space="preserve">i SIA vai ZS </w:t>
            </w:r>
            <w:r w:rsidR="00022E94" w:rsidRPr="004E66B1">
              <w:rPr>
                <w:rFonts w:ascii="Times New Roman" w:hAnsi="Times New Roman" w:cs="Times New Roman"/>
                <w:sz w:val="24"/>
              </w:rPr>
              <w:lastRenderedPageBreak/>
              <w:t xml:space="preserve">ir </w:t>
            </w:r>
            <w:r w:rsidR="008C144A" w:rsidRPr="004E66B1">
              <w:rPr>
                <w:rFonts w:ascii="Times New Roman" w:hAnsi="Times New Roman" w:cs="Times New Roman"/>
                <w:sz w:val="24"/>
              </w:rPr>
              <w:t xml:space="preserve">pieļaujama. </w:t>
            </w:r>
            <w:r w:rsidR="007C55C8" w:rsidRPr="004E66B1">
              <w:rPr>
                <w:rFonts w:ascii="Times New Roman" w:hAnsi="Times New Roman" w:cs="Times New Roman"/>
                <w:sz w:val="24"/>
              </w:rPr>
              <w:t xml:space="preserve">Tāpēc attiecīgs grozījums iekļauts noteikumu </w:t>
            </w:r>
            <w:r w:rsidR="00635271" w:rsidRPr="004E66B1">
              <w:rPr>
                <w:rFonts w:ascii="Times New Roman" w:hAnsi="Times New Roman" w:cs="Times New Roman"/>
                <w:sz w:val="24"/>
              </w:rPr>
              <w:t xml:space="preserve">projekta </w:t>
            </w:r>
            <w:r w:rsidR="00697D93" w:rsidRPr="004E66B1">
              <w:rPr>
                <w:rFonts w:ascii="Times New Roman" w:hAnsi="Times New Roman" w:cs="Times New Roman"/>
                <w:sz w:val="24"/>
              </w:rPr>
              <w:t>6</w:t>
            </w:r>
            <w:r w:rsidR="00635271" w:rsidRPr="004E66B1">
              <w:rPr>
                <w:rFonts w:ascii="Times New Roman" w:hAnsi="Times New Roman" w:cs="Times New Roman"/>
                <w:sz w:val="24"/>
              </w:rPr>
              <w:t>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635271" w:rsidRPr="004E66B1">
              <w:rPr>
                <w:rFonts w:ascii="Times New Roman" w:hAnsi="Times New Roman" w:cs="Times New Roman"/>
                <w:sz w:val="24"/>
              </w:rPr>
              <w:t>punktā, precizējot noteikumu Nr.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635271" w:rsidRPr="004E66B1">
              <w:rPr>
                <w:rFonts w:ascii="Times New Roman" w:hAnsi="Times New Roman" w:cs="Times New Roman"/>
                <w:sz w:val="24"/>
              </w:rPr>
              <w:t>295 14.1.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635271" w:rsidRPr="004E66B1">
              <w:rPr>
                <w:rFonts w:ascii="Times New Roman" w:hAnsi="Times New Roman" w:cs="Times New Roman"/>
                <w:sz w:val="24"/>
              </w:rPr>
              <w:t>apakšpunktu.</w:t>
            </w:r>
          </w:p>
          <w:p w14:paraId="38FE9DC1" w14:textId="584ACC63" w:rsidR="00971149" w:rsidRPr="004E66B1" w:rsidRDefault="00860FF7" w:rsidP="00B27E05">
            <w:pPr>
              <w:spacing w:after="0" w:line="240" w:lineRule="auto"/>
              <w:ind w:left="148" w:right="133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 w:rsidR="00636FF0" w:rsidRPr="004E66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. punkts paredz precizējumus</w:t>
            </w:r>
            <w:r w:rsidR="00971149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E05" w:rsidRPr="004E66B1">
              <w:rPr>
                <w:rFonts w:ascii="Times New Roman" w:hAnsi="Times New Roman" w:cs="Times New Roman"/>
                <w:sz w:val="24"/>
              </w:rPr>
              <w:t>noteikumu Nr.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B27E05" w:rsidRPr="004E66B1">
              <w:rPr>
                <w:rFonts w:ascii="Times New Roman" w:hAnsi="Times New Roman" w:cs="Times New Roman"/>
                <w:sz w:val="24"/>
              </w:rPr>
              <w:t>295 14.</w:t>
            </w:r>
            <w:r w:rsidRPr="004E66B1">
              <w:rPr>
                <w:rFonts w:ascii="Times New Roman" w:hAnsi="Times New Roman" w:cs="Times New Roman"/>
                <w:sz w:val="24"/>
              </w:rPr>
              <w:t>6.</w:t>
            </w:r>
            <w:r w:rsidR="00F07D0E" w:rsidRPr="004E66B1">
              <w:rPr>
                <w:rFonts w:ascii="Times New Roman" w:hAnsi="Times New Roman" w:cs="Times New Roman"/>
                <w:sz w:val="24"/>
              </w:rPr>
              <w:t> </w:t>
            </w:r>
            <w:r w:rsidRPr="004E66B1">
              <w:rPr>
                <w:rFonts w:ascii="Times New Roman" w:hAnsi="Times New Roman" w:cs="Times New Roman"/>
                <w:sz w:val="24"/>
              </w:rPr>
              <w:t>apakš</w:t>
            </w:r>
            <w:r w:rsidR="00B27E05" w:rsidRPr="004E66B1">
              <w:rPr>
                <w:rFonts w:ascii="Times New Roman" w:hAnsi="Times New Roman" w:cs="Times New Roman"/>
                <w:sz w:val="24"/>
              </w:rPr>
              <w:t>punkt</w:t>
            </w:r>
            <w:r w:rsidRPr="004E66B1">
              <w:rPr>
                <w:rFonts w:ascii="Times New Roman" w:hAnsi="Times New Roman" w:cs="Times New Roman"/>
                <w:sz w:val="24"/>
              </w:rPr>
              <w:t>ā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, nosakot,</w:t>
            </w:r>
            <w:r w:rsidR="00971149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ka neparedzētos gadījumo</w:t>
            </w:r>
            <w:r w:rsidR="00F07D0E" w:rsidRPr="004E66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36FF0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149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aizdevuma saistības var tikt nodotas arī mantiniekiem, jo </w:t>
            </w:r>
            <w:r w:rsidR="00B27E05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var būt </w:t>
            </w:r>
            <w:r w:rsidR="009D4CC0">
              <w:rPr>
                <w:rFonts w:ascii="Times New Roman" w:hAnsi="Times New Roman" w:cs="Times New Roman"/>
                <w:sz w:val="24"/>
                <w:szCs w:val="24"/>
              </w:rPr>
              <w:t>situācijas</w:t>
            </w:r>
            <w:r w:rsidR="00B27E05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, kad aizņēmējam nav pirmās pakāpes radinieku. </w:t>
            </w:r>
          </w:p>
          <w:p w14:paraId="711CCA70" w14:textId="488FC97B" w:rsidR="009951EE" w:rsidRPr="004E66B1" w:rsidRDefault="005016A5" w:rsidP="00B27E05">
            <w:pPr>
              <w:spacing w:after="0" w:line="240" w:lineRule="auto"/>
              <w:ind w:left="148" w:right="133" w:hanging="6"/>
              <w:jc w:val="both"/>
              <w:rPr>
                <w:rFonts w:ascii="Times New Roman" w:hAnsi="Times New Roman" w:cs="Times New Roman"/>
                <w:sz w:val="24"/>
              </w:rPr>
            </w:pPr>
            <w:r w:rsidRPr="004E66B1">
              <w:rPr>
                <w:rFonts w:ascii="Times New Roman" w:hAnsi="Times New Roman" w:cs="Times New Roman"/>
                <w:sz w:val="24"/>
              </w:rPr>
              <w:t xml:space="preserve">Ar noteikumu projekta </w:t>
            </w:r>
            <w:r w:rsidR="00A20495" w:rsidRPr="004E66B1">
              <w:rPr>
                <w:rFonts w:ascii="Times New Roman" w:hAnsi="Times New Roman" w:cs="Times New Roman"/>
                <w:sz w:val="24"/>
              </w:rPr>
              <w:t>8</w:t>
            </w:r>
            <w:r w:rsidRPr="004E66B1">
              <w:rPr>
                <w:rFonts w:ascii="Times New Roman" w:hAnsi="Times New Roman" w:cs="Times New Roman"/>
                <w:sz w:val="24"/>
              </w:rPr>
              <w:t>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Pr="004E66B1">
              <w:rPr>
                <w:rFonts w:ascii="Times New Roman" w:hAnsi="Times New Roman" w:cs="Times New Roman"/>
                <w:sz w:val="24"/>
              </w:rPr>
              <w:t xml:space="preserve">punktu </w:t>
            </w:r>
            <w:r w:rsidR="00F07D0E" w:rsidRPr="004E66B1">
              <w:rPr>
                <w:rFonts w:ascii="Times New Roman" w:hAnsi="Times New Roman" w:cs="Times New Roman"/>
                <w:sz w:val="24"/>
              </w:rPr>
              <w:t>jaunā redakcijā izteikts noteikumu Nr. 295</w:t>
            </w:r>
            <w:r w:rsidRPr="004E66B1">
              <w:rPr>
                <w:rFonts w:ascii="Times New Roman" w:hAnsi="Times New Roman" w:cs="Times New Roman"/>
                <w:sz w:val="24"/>
              </w:rPr>
              <w:t xml:space="preserve"> 15.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Pr="004E66B1">
              <w:rPr>
                <w:rFonts w:ascii="Times New Roman" w:hAnsi="Times New Roman" w:cs="Times New Roman"/>
                <w:sz w:val="24"/>
              </w:rPr>
              <w:t>punkt</w:t>
            </w:r>
            <w:r w:rsidR="00F07D0E" w:rsidRPr="004E66B1">
              <w:rPr>
                <w:rFonts w:ascii="Times New Roman" w:hAnsi="Times New Roman" w:cs="Times New Roman"/>
                <w:sz w:val="24"/>
              </w:rPr>
              <w:t>s</w:t>
            </w:r>
            <w:r w:rsidR="00A20495" w:rsidRPr="004E66B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D4CC0">
              <w:rPr>
                <w:rFonts w:ascii="Times New Roman" w:hAnsi="Times New Roman" w:cs="Times New Roman"/>
                <w:sz w:val="24"/>
              </w:rPr>
              <w:t>paredz</w:t>
            </w:r>
            <w:r w:rsidR="00A20495" w:rsidRPr="004E66B1">
              <w:rPr>
                <w:rFonts w:ascii="Times New Roman" w:hAnsi="Times New Roman" w:cs="Times New Roman"/>
                <w:sz w:val="24"/>
              </w:rPr>
              <w:t xml:space="preserve">ot, ka 100 miljoni ir nevis </w:t>
            </w:r>
            <w:r w:rsidR="00907AA9" w:rsidRPr="004E66B1">
              <w:rPr>
                <w:rFonts w:ascii="Times New Roman" w:hAnsi="Times New Roman" w:cs="Times New Roman"/>
                <w:sz w:val="24"/>
              </w:rPr>
              <w:t xml:space="preserve">aizdevumu kopējais apmērs, bet </w:t>
            </w:r>
            <w:r w:rsidR="009D4CC0">
              <w:rPr>
                <w:rFonts w:ascii="Times New Roman" w:hAnsi="Times New Roman" w:cs="Times New Roman"/>
                <w:sz w:val="24"/>
              </w:rPr>
              <w:t xml:space="preserve">gan </w:t>
            </w:r>
            <w:r w:rsidR="00A20495" w:rsidRPr="004E66B1">
              <w:rPr>
                <w:rFonts w:ascii="Times New Roman" w:hAnsi="Times New Roman" w:cs="Times New Roman"/>
                <w:sz w:val="24"/>
              </w:rPr>
              <w:t>kopējā ai</w:t>
            </w:r>
            <w:r w:rsidR="00907AA9" w:rsidRPr="004E66B1">
              <w:rPr>
                <w:rFonts w:ascii="Times New Roman" w:hAnsi="Times New Roman" w:cs="Times New Roman"/>
                <w:sz w:val="24"/>
              </w:rPr>
              <w:t>z</w:t>
            </w:r>
            <w:r w:rsidR="00A20495" w:rsidRPr="004E66B1">
              <w:rPr>
                <w:rFonts w:ascii="Times New Roman" w:hAnsi="Times New Roman" w:cs="Times New Roman"/>
                <w:sz w:val="24"/>
              </w:rPr>
              <w:t>devuma summa</w:t>
            </w:r>
            <w:r w:rsidR="00907AA9" w:rsidRPr="004E66B1">
              <w:rPr>
                <w:rFonts w:ascii="Times New Roman" w:hAnsi="Times New Roman" w:cs="Times New Roman"/>
                <w:sz w:val="24"/>
              </w:rPr>
              <w:t>.</w:t>
            </w:r>
            <w:r w:rsidR="00487C9C" w:rsidRPr="004E66B1">
              <w:rPr>
                <w:rFonts w:ascii="Times New Roman" w:hAnsi="Times New Roman" w:cs="Times New Roman"/>
                <w:sz w:val="24"/>
              </w:rPr>
              <w:t xml:space="preserve"> Kopējā aizdevuma summa veidojas kā starpība starp izsniegto aizdevumu kopējo apmēru un Valsts kasē atmaksāto aizdevuma apmēru. </w:t>
            </w:r>
            <w:r w:rsidR="00406E59" w:rsidRPr="004E66B1">
              <w:rPr>
                <w:rFonts w:ascii="Times New Roman" w:hAnsi="Times New Roman" w:cs="Times New Roman"/>
                <w:sz w:val="24"/>
              </w:rPr>
              <w:t xml:space="preserve">Pašlaik </w:t>
            </w:r>
            <w:r w:rsidR="00D51688" w:rsidRPr="004E66B1">
              <w:rPr>
                <w:rFonts w:ascii="Times New Roman" w:hAnsi="Times New Roman" w:cs="Times New Roman"/>
                <w:sz w:val="24"/>
              </w:rPr>
              <w:t>kopējais visā programmas darbības laikā</w:t>
            </w:r>
            <w:r w:rsidR="00406E59" w:rsidRPr="004E66B1">
              <w:rPr>
                <w:rFonts w:ascii="Times New Roman" w:hAnsi="Times New Roman" w:cs="Times New Roman"/>
                <w:sz w:val="24"/>
              </w:rPr>
              <w:t xml:space="preserve"> izsniegto aizdevumu apmērs tuvojas noteiktajiem 100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406E59" w:rsidRPr="004E66B1">
              <w:rPr>
                <w:rFonts w:ascii="Times New Roman" w:hAnsi="Times New Roman" w:cs="Times New Roman"/>
                <w:sz w:val="24"/>
              </w:rPr>
              <w:t>miljoniem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, taču, tā kā</w:t>
            </w:r>
            <w:r w:rsidR="00406E59" w:rsidRPr="004E66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 xml:space="preserve">ne tikai </w:t>
            </w:r>
            <w:r w:rsidR="003976DC" w:rsidRPr="004E66B1">
              <w:rPr>
                <w:rFonts w:ascii="Times New Roman" w:hAnsi="Times New Roman" w:cs="Times New Roman"/>
                <w:sz w:val="24"/>
              </w:rPr>
              <w:t xml:space="preserve">tiek 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 xml:space="preserve">izsniegti aizdevumi, bet arī </w:t>
            </w:r>
            <w:r w:rsidR="00406E59" w:rsidRPr="004E66B1">
              <w:rPr>
                <w:rFonts w:ascii="Times New Roman" w:hAnsi="Times New Roman" w:cs="Times New Roman"/>
                <w:sz w:val="24"/>
              </w:rPr>
              <w:t>tiek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 xml:space="preserve"> atmaksāta </w:t>
            </w:r>
            <w:r w:rsidR="00406E59" w:rsidRPr="004E66B1">
              <w:rPr>
                <w:rFonts w:ascii="Times New Roman" w:hAnsi="Times New Roman" w:cs="Times New Roman"/>
                <w:sz w:val="24"/>
              </w:rPr>
              <w:t xml:space="preserve">aizdevumu </w:t>
            </w:r>
            <w:r w:rsidR="001E5E74" w:rsidRPr="004E66B1">
              <w:rPr>
                <w:rFonts w:ascii="Times New Roman" w:hAnsi="Times New Roman" w:cs="Times New Roman"/>
                <w:sz w:val="24"/>
              </w:rPr>
              <w:t>pamatsumma un procent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i</w:t>
            </w:r>
            <w:r w:rsidR="00D51688" w:rsidRPr="004E66B1">
              <w:rPr>
                <w:rFonts w:ascii="Times New Roman" w:hAnsi="Times New Roman" w:cs="Times New Roman"/>
                <w:sz w:val="24"/>
              </w:rPr>
              <w:t>, finansējums atgrie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žas</w:t>
            </w:r>
            <w:r w:rsidR="00D51688" w:rsidRPr="004E66B1">
              <w:rPr>
                <w:rFonts w:ascii="Times New Roman" w:hAnsi="Times New Roman" w:cs="Times New Roman"/>
                <w:sz w:val="24"/>
              </w:rPr>
              <w:t xml:space="preserve"> Valsts kasē un ir iespēja to izmantot jauniem aizdevumiem.</w:t>
            </w:r>
          </w:p>
          <w:p w14:paraId="4FDFA8F7" w14:textId="325DD502" w:rsidR="00D51688" w:rsidRPr="004E66B1" w:rsidRDefault="00283B15" w:rsidP="00B304B3">
            <w:pPr>
              <w:spacing w:after="0" w:line="240" w:lineRule="auto"/>
              <w:ind w:left="148" w:right="133" w:hanging="6"/>
              <w:jc w:val="both"/>
              <w:rPr>
                <w:rFonts w:ascii="Times New Roman" w:hAnsi="Times New Roman" w:cs="Times New Roman"/>
                <w:sz w:val="24"/>
              </w:rPr>
            </w:pPr>
            <w:r w:rsidRPr="004E66B1">
              <w:rPr>
                <w:rFonts w:ascii="Times New Roman" w:hAnsi="Times New Roman" w:cs="Times New Roman"/>
                <w:sz w:val="24"/>
              </w:rPr>
              <w:t xml:space="preserve">Noteikumu projekta </w:t>
            </w:r>
            <w:r w:rsidR="00141721" w:rsidRPr="004E66B1">
              <w:rPr>
                <w:rFonts w:ascii="Times New Roman" w:hAnsi="Times New Roman" w:cs="Times New Roman"/>
                <w:sz w:val="24"/>
              </w:rPr>
              <w:t>9</w:t>
            </w:r>
            <w:r w:rsidRPr="004E66B1">
              <w:rPr>
                <w:rFonts w:ascii="Times New Roman" w:hAnsi="Times New Roman" w:cs="Times New Roman"/>
                <w:sz w:val="24"/>
              </w:rPr>
              <w:t>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Pr="004E66B1">
              <w:rPr>
                <w:rFonts w:ascii="Times New Roman" w:hAnsi="Times New Roman" w:cs="Times New Roman"/>
                <w:sz w:val="24"/>
              </w:rPr>
              <w:t xml:space="preserve">punkts paredz grozīt pieejamo aizdevuma apmēru vienam aizņēmējam vai vienam vienotam uzņēmumam. </w:t>
            </w:r>
            <w:r w:rsidR="00AA1F0B" w:rsidRPr="004E66B1">
              <w:rPr>
                <w:rFonts w:ascii="Times New Roman" w:hAnsi="Times New Roman" w:cs="Times New Roman"/>
                <w:sz w:val="24"/>
              </w:rPr>
              <w:t>P</w:t>
            </w:r>
            <w:r w:rsidRPr="004E66B1">
              <w:rPr>
                <w:rFonts w:ascii="Times New Roman" w:hAnsi="Times New Roman" w:cs="Times New Roman"/>
                <w:sz w:val="24"/>
              </w:rPr>
              <w:t xml:space="preserve">ieejamais aizdevums 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pašlaik spēkā esošajā regulējumā </w:t>
            </w:r>
            <w:r w:rsidRPr="004E66B1">
              <w:rPr>
                <w:rFonts w:ascii="Times New Roman" w:hAnsi="Times New Roman" w:cs="Times New Roman"/>
                <w:sz w:val="24"/>
              </w:rPr>
              <w:t>noteikts 430 000 </w:t>
            </w:r>
            <w:proofErr w:type="spellStart"/>
            <w:r w:rsidRPr="004E66B1">
              <w:rPr>
                <w:rFonts w:ascii="Times New Roman" w:hAnsi="Times New Roman" w:cs="Times New Roman"/>
                <w:i/>
                <w:iCs/>
                <w:sz w:val="24"/>
              </w:rPr>
              <w:t>euro</w:t>
            </w:r>
            <w:proofErr w:type="spellEnd"/>
            <w:r w:rsidRPr="004E66B1">
              <w:rPr>
                <w:rFonts w:ascii="Times New Roman" w:hAnsi="Times New Roman" w:cs="Times New Roman"/>
                <w:sz w:val="24"/>
              </w:rPr>
              <w:t xml:space="preserve"> apmērā</w:t>
            </w:r>
            <w:r w:rsidR="00AA1F0B" w:rsidRPr="004E66B1">
              <w:rPr>
                <w:rFonts w:ascii="Times New Roman" w:hAnsi="Times New Roman" w:cs="Times New Roman"/>
                <w:sz w:val="24"/>
              </w:rPr>
              <w:t xml:space="preserve">, un tas 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būtībā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1F0B" w:rsidRPr="004E66B1">
              <w:rPr>
                <w:rFonts w:ascii="Times New Roman" w:hAnsi="Times New Roman" w:cs="Times New Roman"/>
                <w:sz w:val="24"/>
              </w:rPr>
              <w:t>nav mainījies kopš 2013.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AA1F0B" w:rsidRPr="004E66B1">
              <w:rPr>
                <w:rFonts w:ascii="Times New Roman" w:hAnsi="Times New Roman" w:cs="Times New Roman"/>
                <w:sz w:val="24"/>
              </w:rPr>
              <w:t xml:space="preserve">gada, kad 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>maksimālā izdevuma summa bija 300 </w:t>
            </w:r>
            <w:r w:rsidR="00DA51A2" w:rsidRPr="004E66B1">
              <w:rPr>
                <w:rFonts w:ascii="Times New Roman" w:hAnsi="Times New Roman" w:cs="Times New Roman"/>
                <w:sz w:val="24"/>
                <w:szCs w:val="24"/>
              </w:rPr>
              <w:t>000 Ls</w:t>
            </w:r>
            <w:r w:rsidR="00E471EC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71EC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426 862 </w:t>
            </w:r>
            <w:proofErr w:type="spellStart"/>
            <w:r w:rsidR="00E471EC" w:rsidRPr="004E66B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E471EC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DA51A2" w:rsidRPr="004E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1F0B" w:rsidRPr="004E66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66B1">
              <w:rPr>
                <w:rFonts w:ascii="Times New Roman" w:hAnsi="Times New Roman" w:cs="Times New Roman"/>
                <w:sz w:val="24"/>
              </w:rPr>
              <w:t>T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>omēr</w:t>
            </w:r>
            <w:r w:rsidRPr="004E66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>LIZ</w:t>
            </w:r>
            <w:r w:rsidRPr="004E66B1">
              <w:rPr>
                <w:rFonts w:ascii="Times New Roman" w:hAnsi="Times New Roman" w:cs="Times New Roman"/>
                <w:sz w:val="24"/>
              </w:rPr>
              <w:t xml:space="preserve"> cena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 katru gadu p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alielinās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Pēc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 Centrālās statistikas</w:t>
            </w:r>
            <w:r w:rsidR="00552378" w:rsidRPr="004E66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>pārvaldes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 xml:space="preserve"> (turpmāk – CSP)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 informācija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s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>, 2013.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gadā vidējā 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>LIZ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 pirkšanas cena bija 1998</w:t>
            </w:r>
            <w:r w:rsidR="00467AB9" w:rsidRPr="004E66B1">
              <w:rPr>
                <w:rFonts w:ascii="Times New Roman" w:hAnsi="Times New Roman" w:cs="Times New Roman"/>
                <w:i/>
                <w:iCs/>
                <w:sz w:val="24"/>
              </w:rPr>
              <w:t> </w:t>
            </w:r>
            <w:proofErr w:type="spellStart"/>
            <w:r w:rsidR="00DA51A2" w:rsidRPr="004E66B1">
              <w:rPr>
                <w:rFonts w:ascii="Times New Roman" w:hAnsi="Times New Roman" w:cs="Times New Roman"/>
                <w:i/>
                <w:iCs/>
                <w:sz w:val="24"/>
              </w:rPr>
              <w:t>euro</w:t>
            </w:r>
            <w:proofErr w:type="spellEnd"/>
            <w:r w:rsidR="00384D9E" w:rsidRPr="004E66B1">
              <w:rPr>
                <w:rFonts w:ascii="Times New Roman" w:hAnsi="Times New Roman" w:cs="Times New Roman"/>
                <w:sz w:val="24"/>
              </w:rPr>
              <w:t>/ha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>, bet 2018.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gadā – 3188 </w:t>
            </w:r>
            <w:proofErr w:type="spellStart"/>
            <w:r w:rsidR="00DA51A2" w:rsidRPr="004E66B1">
              <w:rPr>
                <w:rFonts w:ascii="Times New Roman" w:hAnsi="Times New Roman" w:cs="Times New Roman"/>
                <w:i/>
                <w:iCs/>
                <w:sz w:val="24"/>
              </w:rPr>
              <w:t>euro</w:t>
            </w:r>
            <w:proofErr w:type="spellEnd"/>
            <w:r w:rsidR="00384D9E" w:rsidRPr="004E66B1">
              <w:rPr>
                <w:rFonts w:ascii="Times New Roman" w:hAnsi="Times New Roman" w:cs="Times New Roman"/>
                <w:sz w:val="24"/>
              </w:rPr>
              <w:t>/ha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>.</w:t>
            </w:r>
            <w:r w:rsidR="0092285A" w:rsidRPr="004E66B1">
              <w:rPr>
                <w:rFonts w:ascii="Times New Roman" w:hAnsi="Times New Roman" w:cs="Times New Roman"/>
                <w:sz w:val="24"/>
              </w:rPr>
              <w:t xml:space="preserve"> Tādējādi</w:t>
            </w:r>
            <w:r w:rsidR="00FC55DF" w:rsidRPr="004E66B1">
              <w:rPr>
                <w:rFonts w:ascii="Times New Roman" w:hAnsi="Times New Roman" w:cs="Times New Roman"/>
                <w:sz w:val="24"/>
              </w:rPr>
              <w:t xml:space="preserve"> atbilstoši 2018.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FC55DF" w:rsidRPr="004E66B1">
              <w:rPr>
                <w:rFonts w:ascii="Times New Roman" w:hAnsi="Times New Roman" w:cs="Times New Roman"/>
                <w:sz w:val="24"/>
              </w:rPr>
              <w:t>gada cenām</w:t>
            </w:r>
            <w:r w:rsidR="0092285A" w:rsidRPr="004E66B1">
              <w:rPr>
                <w:rFonts w:ascii="Times New Roman" w:hAnsi="Times New Roman" w:cs="Times New Roman"/>
                <w:sz w:val="24"/>
              </w:rPr>
              <w:t xml:space="preserve"> lauksaimnieks par 430 000 </w:t>
            </w:r>
            <w:proofErr w:type="spellStart"/>
            <w:r w:rsidR="0092285A" w:rsidRPr="004E66B1">
              <w:rPr>
                <w:rFonts w:ascii="Times New Roman" w:hAnsi="Times New Roman" w:cs="Times New Roman"/>
                <w:i/>
                <w:iCs/>
                <w:sz w:val="24"/>
              </w:rPr>
              <w:t>euro</w:t>
            </w:r>
            <w:proofErr w:type="spellEnd"/>
            <w:r w:rsidR="0092285A" w:rsidRPr="004E66B1">
              <w:rPr>
                <w:rFonts w:ascii="Times New Roman" w:hAnsi="Times New Roman" w:cs="Times New Roman"/>
                <w:sz w:val="24"/>
              </w:rPr>
              <w:t xml:space="preserve"> var iegādāties vidēji 135 ha 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>LIZ</w:t>
            </w:r>
            <w:r w:rsidR="00FC55DF" w:rsidRPr="004E66B1">
              <w:rPr>
                <w:rFonts w:ascii="Times New Roman" w:hAnsi="Times New Roman" w:cs="Times New Roman"/>
                <w:sz w:val="24"/>
              </w:rPr>
              <w:t>, kas nav uzskatām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a</w:t>
            </w:r>
            <w:r w:rsidR="00FC55DF" w:rsidRPr="004E66B1">
              <w:rPr>
                <w:rFonts w:ascii="Times New Roman" w:hAnsi="Times New Roman" w:cs="Times New Roman"/>
                <w:sz w:val="24"/>
              </w:rPr>
              <w:t xml:space="preserve"> par ļoti lielu zemes 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platību</w:t>
            </w:r>
            <w:r w:rsidR="00FC55DF" w:rsidRPr="004E66B1">
              <w:rPr>
                <w:rFonts w:ascii="Times New Roman" w:hAnsi="Times New Roman" w:cs="Times New Roman"/>
                <w:sz w:val="24"/>
              </w:rPr>
              <w:t>.</w:t>
            </w:r>
            <w:r w:rsidR="0092285A" w:rsidRPr="004E66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4D9E" w:rsidRPr="004E66B1">
              <w:rPr>
                <w:rFonts w:ascii="Times New Roman" w:hAnsi="Times New Roman" w:cs="Times New Roman"/>
                <w:sz w:val="24"/>
              </w:rPr>
              <w:t xml:space="preserve">Tomēr 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>LIZ</w:t>
            </w:r>
            <w:r w:rsidR="00384D9E" w:rsidRPr="004E66B1">
              <w:rPr>
                <w:rFonts w:ascii="Times New Roman" w:hAnsi="Times New Roman" w:cs="Times New Roman"/>
                <w:sz w:val="24"/>
              </w:rPr>
              <w:t xml:space="preserve"> cena dažādos reģionos ir atšķirīga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 –</w:t>
            </w:r>
            <w:r w:rsidR="00552378" w:rsidRPr="004E66B1">
              <w:rPr>
                <w:rFonts w:ascii="Times New Roman" w:hAnsi="Times New Roman" w:cs="Times New Roman"/>
                <w:sz w:val="24"/>
              </w:rPr>
              <w:t xml:space="preserve"> visaugstākā 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tā</w:t>
            </w:r>
            <w:r w:rsidR="00552378" w:rsidRPr="004E66B1">
              <w:rPr>
                <w:rFonts w:ascii="Times New Roman" w:hAnsi="Times New Roman" w:cs="Times New Roman"/>
                <w:sz w:val="24"/>
              </w:rPr>
              <w:t xml:space="preserve"> ir Zemgales reģionā. Atbilstoši CSP datiem 2018.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552378" w:rsidRPr="004E66B1">
              <w:rPr>
                <w:rFonts w:ascii="Times New Roman" w:hAnsi="Times New Roman" w:cs="Times New Roman"/>
                <w:sz w:val="24"/>
              </w:rPr>
              <w:t xml:space="preserve">gadā vidējā 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>LIZ</w:t>
            </w:r>
            <w:r w:rsidR="00552378" w:rsidRPr="004E66B1">
              <w:rPr>
                <w:rFonts w:ascii="Times New Roman" w:hAnsi="Times New Roman" w:cs="Times New Roman"/>
                <w:sz w:val="24"/>
              </w:rPr>
              <w:t xml:space="preserve"> cena Zemgalē bija 4668</w:t>
            </w:r>
            <w:r w:rsidR="00FA5458" w:rsidRPr="004E66B1">
              <w:rPr>
                <w:rFonts w:ascii="Times New Roman" w:hAnsi="Times New Roman" w:cs="Times New Roman"/>
                <w:sz w:val="24"/>
              </w:rPr>
              <w:t> </w:t>
            </w:r>
            <w:proofErr w:type="spellStart"/>
            <w:r w:rsidR="00552378" w:rsidRPr="004E66B1">
              <w:rPr>
                <w:rFonts w:ascii="Times New Roman" w:hAnsi="Times New Roman" w:cs="Times New Roman"/>
                <w:i/>
                <w:iCs/>
                <w:sz w:val="24"/>
              </w:rPr>
              <w:t>euro</w:t>
            </w:r>
            <w:proofErr w:type="spellEnd"/>
            <w:r w:rsidR="00552378" w:rsidRPr="004E66B1">
              <w:rPr>
                <w:rFonts w:ascii="Times New Roman" w:hAnsi="Times New Roman" w:cs="Times New Roman"/>
                <w:sz w:val="24"/>
              </w:rPr>
              <w:t>/ha, bet</w:t>
            </w:r>
            <w:r w:rsidR="00384D9E" w:rsidRPr="004E66B1">
              <w:rPr>
                <w:rFonts w:ascii="Times New Roman" w:hAnsi="Times New Roman" w:cs="Times New Roman"/>
                <w:sz w:val="24"/>
              </w:rPr>
              <w:t xml:space="preserve"> saskaņā ar </w:t>
            </w:r>
            <w:proofErr w:type="spellStart"/>
            <w:r w:rsidR="00384D9E" w:rsidRPr="004E66B1">
              <w:rPr>
                <w:rFonts w:ascii="Times New Roman" w:hAnsi="Times New Roman" w:cs="Times New Roman"/>
                <w:sz w:val="24"/>
              </w:rPr>
              <w:t>Altum</w:t>
            </w:r>
            <w:proofErr w:type="spellEnd"/>
            <w:r w:rsidR="00384D9E" w:rsidRPr="004E66B1">
              <w:rPr>
                <w:rFonts w:ascii="Times New Roman" w:hAnsi="Times New Roman" w:cs="Times New Roman"/>
                <w:sz w:val="24"/>
              </w:rPr>
              <w:t xml:space="preserve"> sniegto informāciju Zemgales reģionā 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>LIZ</w:t>
            </w:r>
            <w:r w:rsidR="00384D9E" w:rsidRPr="004E66B1">
              <w:rPr>
                <w:rFonts w:ascii="Times New Roman" w:hAnsi="Times New Roman" w:cs="Times New Roman"/>
                <w:sz w:val="24"/>
              </w:rPr>
              <w:t xml:space="preserve"> iegādes cena 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 xml:space="preserve">2019. gadā </w:t>
            </w:r>
            <w:r w:rsidR="00384D9E" w:rsidRPr="004E66B1">
              <w:rPr>
                <w:rFonts w:ascii="Times New Roman" w:hAnsi="Times New Roman" w:cs="Times New Roman"/>
                <w:sz w:val="24"/>
              </w:rPr>
              <w:t>sasniedz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a</w:t>
            </w:r>
            <w:r w:rsidR="00384D9E" w:rsidRPr="004E66B1">
              <w:rPr>
                <w:rFonts w:ascii="Times New Roman" w:hAnsi="Times New Roman" w:cs="Times New Roman"/>
                <w:sz w:val="24"/>
              </w:rPr>
              <w:t xml:space="preserve"> pat 13 000 </w:t>
            </w:r>
            <w:proofErr w:type="spellStart"/>
            <w:r w:rsidR="00384D9E" w:rsidRPr="004E66B1">
              <w:rPr>
                <w:rFonts w:ascii="Times New Roman" w:hAnsi="Times New Roman" w:cs="Times New Roman"/>
                <w:i/>
                <w:iCs/>
                <w:sz w:val="24"/>
              </w:rPr>
              <w:t>euro</w:t>
            </w:r>
            <w:proofErr w:type="spellEnd"/>
            <w:r w:rsidR="00384D9E" w:rsidRPr="004E66B1">
              <w:rPr>
                <w:rFonts w:ascii="Times New Roman" w:hAnsi="Times New Roman" w:cs="Times New Roman"/>
                <w:sz w:val="24"/>
              </w:rPr>
              <w:t>/ha.</w:t>
            </w:r>
            <w:r w:rsidRPr="004E66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285A" w:rsidRPr="004E66B1">
              <w:rPr>
                <w:rFonts w:ascii="Times New Roman" w:hAnsi="Times New Roman" w:cs="Times New Roman"/>
                <w:sz w:val="24"/>
              </w:rPr>
              <w:t xml:space="preserve">Tāpēc 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ir </w:t>
            </w:r>
            <w:r w:rsidRPr="004E66B1">
              <w:rPr>
                <w:rFonts w:ascii="Times New Roman" w:hAnsi="Times New Roman" w:cs="Times New Roman"/>
                <w:sz w:val="24"/>
              </w:rPr>
              <w:t>lauksaimnieki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, kas </w:t>
            </w:r>
            <w:r w:rsidR="00FC55DF" w:rsidRPr="004E66B1">
              <w:rPr>
                <w:rFonts w:ascii="Times New Roman" w:hAnsi="Times New Roman" w:cs="Times New Roman"/>
                <w:sz w:val="24"/>
              </w:rPr>
              <w:t xml:space="preserve">jau 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>ir sasnieguši</w:t>
            </w:r>
            <w:r w:rsidR="00FC55DF" w:rsidRPr="004E66B1">
              <w:rPr>
                <w:rFonts w:ascii="Times New Roman" w:hAnsi="Times New Roman" w:cs="Times New Roman"/>
                <w:sz w:val="24"/>
              </w:rPr>
              <w:t xml:space="preserve"> noteikumos Nr.</w:t>
            </w:r>
            <w:r w:rsidR="00AD12DF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FC55DF" w:rsidRPr="004E66B1">
              <w:rPr>
                <w:rFonts w:ascii="Times New Roman" w:hAnsi="Times New Roman" w:cs="Times New Roman"/>
                <w:sz w:val="24"/>
              </w:rPr>
              <w:t>295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 xml:space="preserve"> noteikto 430 000 </w:t>
            </w:r>
            <w:proofErr w:type="spellStart"/>
            <w:r w:rsidR="00DA51A2" w:rsidRPr="004E66B1">
              <w:rPr>
                <w:rFonts w:ascii="Times New Roman" w:hAnsi="Times New Roman" w:cs="Times New Roman"/>
                <w:i/>
                <w:iCs/>
                <w:sz w:val="24"/>
              </w:rPr>
              <w:t>euro</w:t>
            </w:r>
            <w:proofErr w:type="spellEnd"/>
            <w:r w:rsidR="00DA51A2" w:rsidRPr="004E66B1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="00DA51A2" w:rsidRPr="004E66B1">
              <w:rPr>
                <w:rFonts w:ascii="Times New Roman" w:hAnsi="Times New Roman" w:cs="Times New Roman"/>
                <w:sz w:val="24"/>
              </w:rPr>
              <w:t>robežu</w:t>
            </w:r>
            <w:r w:rsidR="0092285A" w:rsidRPr="004E66B1">
              <w:rPr>
                <w:rFonts w:ascii="Times New Roman" w:hAnsi="Times New Roman" w:cs="Times New Roman"/>
                <w:sz w:val="24"/>
              </w:rPr>
              <w:t xml:space="preserve"> un vairs nevar saņemt aizdevumus par 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>LIZ</w:t>
            </w:r>
            <w:r w:rsidR="0092285A" w:rsidRPr="004E66B1">
              <w:rPr>
                <w:rFonts w:ascii="Times New Roman" w:hAnsi="Times New Roman" w:cs="Times New Roman"/>
                <w:sz w:val="24"/>
              </w:rPr>
              <w:t xml:space="preserve"> iegādi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, t</w:t>
            </w:r>
            <w:r w:rsidR="0092285A" w:rsidRPr="004E66B1">
              <w:rPr>
                <w:rFonts w:ascii="Times New Roman" w:hAnsi="Times New Roman" w:cs="Times New Roman"/>
                <w:sz w:val="24"/>
              </w:rPr>
              <w:t>omēr, lai veicinātu lauksaimniecības zem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es</w:t>
            </w:r>
            <w:r w:rsidR="0092285A" w:rsidRPr="004E66B1">
              <w:rPr>
                <w:rFonts w:ascii="Times New Roman" w:hAnsi="Times New Roman" w:cs="Times New Roman"/>
                <w:sz w:val="24"/>
              </w:rPr>
              <w:t xml:space="preserve"> apstrādi un lauksaimniecības produktu ražošanu, ir svarīgi, lai ražojošiem lauksaimniekiem būtu iespēja iegādāties papildu 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>LIZ</w:t>
            </w:r>
            <w:r w:rsidR="0092285A" w:rsidRPr="004E66B1">
              <w:rPr>
                <w:rFonts w:ascii="Times New Roman" w:hAnsi="Times New Roman" w:cs="Times New Roman"/>
                <w:sz w:val="24"/>
              </w:rPr>
              <w:t xml:space="preserve"> platības.</w:t>
            </w:r>
            <w:r w:rsidR="00EB0E1B" w:rsidRPr="004E66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76C7" w:rsidRPr="004E66B1">
              <w:rPr>
                <w:rFonts w:ascii="Times New Roman" w:hAnsi="Times New Roman" w:cs="Times New Roman"/>
                <w:sz w:val="24"/>
              </w:rPr>
              <w:t>Tā</w:t>
            </w:r>
            <w:r w:rsidR="00FA2EDE" w:rsidRPr="004E66B1">
              <w:rPr>
                <w:rFonts w:ascii="Times New Roman" w:hAnsi="Times New Roman" w:cs="Times New Roman"/>
                <w:sz w:val="24"/>
              </w:rPr>
              <w:t xml:space="preserve"> kā</w:t>
            </w:r>
            <w:r w:rsidR="0019301D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EDE" w:rsidRPr="004E66B1">
              <w:rPr>
                <w:rFonts w:ascii="Times New Roman" w:hAnsi="Times New Roman" w:cs="Times New Roman"/>
                <w:sz w:val="24"/>
                <w:szCs w:val="24"/>
              </w:rPr>
              <w:t>LIZ</w:t>
            </w:r>
            <w:r w:rsidR="0019301D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FA2EDE" w:rsidRPr="004E66B1">
              <w:rPr>
                <w:rFonts w:ascii="Times New Roman" w:hAnsi="Times New Roman" w:cs="Times New Roman"/>
                <w:sz w:val="24"/>
                <w:szCs w:val="24"/>
              </w:rPr>
              <w:t>vien</w:t>
            </w:r>
            <w:r w:rsidR="00F91C12" w:rsidRPr="004E66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2EDE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C7" w:rsidRPr="004E66B1">
              <w:rPr>
                <w:rFonts w:ascii="Times New Roman" w:hAnsi="Times New Roman" w:cs="Times New Roman"/>
                <w:sz w:val="24"/>
                <w:szCs w:val="24"/>
              </w:rPr>
              <w:t>lielāk</w:t>
            </w:r>
            <w:r w:rsidR="00FA2EDE" w:rsidRPr="004E66B1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F91C12" w:rsidRPr="004E66B1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r w:rsidR="009176C7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un vērtīgāk</w:t>
            </w:r>
            <w:r w:rsidR="00FA2EDE" w:rsidRPr="004E66B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91C12" w:rsidRPr="004E66B1">
              <w:rPr>
                <w:rFonts w:ascii="Times New Roman" w:hAnsi="Times New Roman" w:cs="Times New Roman"/>
                <w:sz w:val="24"/>
                <w:szCs w:val="24"/>
              </w:rPr>
              <w:t>jiem</w:t>
            </w:r>
            <w:r w:rsidR="009176C7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dabas un ražošanas resur</w:t>
            </w:r>
            <w:r w:rsidR="00FA2EDE" w:rsidRPr="004E66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91C12" w:rsidRPr="004E66B1">
              <w:rPr>
                <w:rFonts w:ascii="Times New Roman" w:hAnsi="Times New Roman" w:cs="Times New Roman"/>
                <w:sz w:val="24"/>
                <w:szCs w:val="24"/>
              </w:rPr>
              <w:t>iem, būtiski ir to</w:t>
            </w:r>
            <w:r w:rsidR="009176C7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01D" w:rsidRPr="004E66B1">
              <w:rPr>
                <w:rFonts w:ascii="Times New Roman" w:hAnsi="Times New Roman" w:cs="Times New Roman"/>
                <w:sz w:val="24"/>
                <w:szCs w:val="24"/>
              </w:rPr>
              <w:t>saglabā</w:t>
            </w:r>
            <w:r w:rsidR="00F91C12" w:rsidRPr="004E66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9301D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Latvijas iedzīvotāju īpašumā. Atbilstoši Eiropas Savienības tiesas spriedumam ECLI:EU:C:2020:463 lietā C-206/19 Latvijai nav tiesību diskriminēt citu Eiropas Savienības valstu pilsoņus, nosakot īpašus nosacījumus </w:t>
            </w:r>
            <w:r w:rsidR="00F91C12" w:rsidRPr="004E66B1">
              <w:rPr>
                <w:rFonts w:ascii="Times New Roman" w:hAnsi="Times New Roman" w:cs="Times New Roman"/>
                <w:sz w:val="24"/>
                <w:szCs w:val="24"/>
              </w:rPr>
              <w:t>LIZ</w:t>
            </w:r>
            <w:r w:rsidR="0019301D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iegādei. Šādā situācijā </w:t>
            </w:r>
            <w:r w:rsidR="00F91C12" w:rsidRPr="004E66B1">
              <w:rPr>
                <w:rFonts w:ascii="Times New Roman" w:hAnsi="Times New Roman" w:cs="Times New Roman"/>
                <w:sz w:val="24"/>
                <w:szCs w:val="24"/>
              </w:rPr>
              <w:t>LIZ</w:t>
            </w:r>
            <w:r w:rsidR="0019301D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saglabāšanu Latvijas iedzīvotāju īpašumā var sekmēt tikai ar atbalsta nosacījumiem, kas piemērojami LIZ iegādei</w:t>
            </w:r>
            <w:r w:rsidR="00467AB9" w:rsidRPr="004E6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4B3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t</w:t>
            </w:r>
            <w:r w:rsidR="00EB0E1B" w:rsidRPr="004E66B1">
              <w:rPr>
                <w:rFonts w:ascii="Times New Roman" w:hAnsi="Times New Roman" w:cs="Times New Roman"/>
                <w:sz w:val="24"/>
              </w:rPr>
              <w:t>ādēļ noteikumu projektā lauksaimniekiem pieejamais aizdevum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s</w:t>
            </w:r>
            <w:r w:rsidR="00EB0E1B" w:rsidRPr="004E66B1">
              <w:rPr>
                <w:rFonts w:ascii="Times New Roman" w:hAnsi="Times New Roman" w:cs="Times New Roman"/>
                <w:sz w:val="24"/>
              </w:rPr>
              <w:t xml:space="preserve"> noteikts 1 000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EB0E1B" w:rsidRPr="004E66B1">
              <w:rPr>
                <w:rFonts w:ascii="Times New Roman" w:hAnsi="Times New Roman" w:cs="Times New Roman"/>
                <w:sz w:val="24"/>
              </w:rPr>
              <w:t>000</w:t>
            </w:r>
            <w:r w:rsidR="00467AB9" w:rsidRPr="004E66B1">
              <w:rPr>
                <w:rFonts w:ascii="Times New Roman" w:hAnsi="Times New Roman" w:cs="Times New Roman"/>
                <w:sz w:val="24"/>
              </w:rPr>
              <w:t> </w:t>
            </w:r>
            <w:r w:rsidR="00EB0E1B" w:rsidRPr="004E66B1">
              <w:rPr>
                <w:rFonts w:ascii="Times New Roman" w:hAnsi="Times New Roman" w:cs="Times New Roman"/>
                <w:sz w:val="24"/>
              </w:rPr>
              <w:t>apmērā.</w:t>
            </w:r>
          </w:p>
          <w:p w14:paraId="6258B448" w14:textId="25A0E3B1" w:rsidR="001172C4" w:rsidRPr="004E66B1" w:rsidRDefault="001172C4" w:rsidP="001172C4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Jaunā redakcijā izteikts noteikumu Nr. 295 20. punkts, jo </w:t>
            </w:r>
            <w:proofErr w:type="spellStart"/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Altum</w:t>
            </w:r>
            <w:proofErr w:type="spellEnd"/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veic tikai aizdevuma, nevis arī aizņēmēja restrukturizēšanu (noteikumu projekta 10. punkts).</w:t>
            </w:r>
          </w:p>
          <w:p w14:paraId="235EB578" w14:textId="54C17056" w:rsidR="00A446A3" w:rsidRPr="004E66B1" w:rsidRDefault="00A446A3" w:rsidP="00A446A3">
            <w:pPr>
              <w:pStyle w:val="Heading3"/>
              <w:shd w:val="clear" w:color="auto" w:fill="FFFFFF"/>
              <w:spacing w:before="0" w:beforeAutospacing="0" w:after="0" w:afterAutospacing="0"/>
              <w:ind w:left="148" w:right="133" w:hanging="6"/>
              <w:jc w:val="both"/>
              <w:rPr>
                <w:b w:val="0"/>
                <w:sz w:val="24"/>
                <w:szCs w:val="24"/>
              </w:rPr>
            </w:pPr>
            <w:r w:rsidRPr="004E66B1">
              <w:rPr>
                <w:b w:val="0"/>
                <w:sz w:val="24"/>
                <w:szCs w:val="24"/>
              </w:rPr>
              <w:t xml:space="preserve">Papildus ar noteikumu projekta </w:t>
            </w:r>
            <w:r w:rsidR="00EB17E9" w:rsidRPr="004E66B1">
              <w:rPr>
                <w:b w:val="0"/>
                <w:sz w:val="24"/>
                <w:szCs w:val="24"/>
              </w:rPr>
              <w:t>1</w:t>
            </w:r>
            <w:r w:rsidR="001172C4" w:rsidRPr="004E66B1">
              <w:rPr>
                <w:b w:val="0"/>
                <w:sz w:val="24"/>
                <w:szCs w:val="24"/>
              </w:rPr>
              <w:t>1</w:t>
            </w:r>
            <w:r w:rsidRPr="004E66B1">
              <w:rPr>
                <w:b w:val="0"/>
                <w:sz w:val="24"/>
                <w:szCs w:val="24"/>
              </w:rPr>
              <w:t>. punktu jaunā redakcijā ir izteikts noteikumu Nr.</w:t>
            </w:r>
            <w:r w:rsidR="00533734" w:rsidRPr="004E66B1">
              <w:rPr>
                <w:b w:val="0"/>
                <w:sz w:val="24"/>
                <w:szCs w:val="24"/>
              </w:rPr>
              <w:t> </w:t>
            </w:r>
            <w:r w:rsidR="00751DC5" w:rsidRPr="004E66B1">
              <w:rPr>
                <w:b w:val="0"/>
                <w:sz w:val="24"/>
                <w:szCs w:val="24"/>
              </w:rPr>
              <w:t>295</w:t>
            </w:r>
            <w:r w:rsidRPr="004E66B1">
              <w:rPr>
                <w:b w:val="0"/>
                <w:sz w:val="24"/>
                <w:szCs w:val="24"/>
              </w:rPr>
              <w:t xml:space="preserve"> </w:t>
            </w:r>
            <w:r w:rsidR="00751DC5" w:rsidRPr="004E66B1">
              <w:rPr>
                <w:b w:val="0"/>
                <w:sz w:val="24"/>
                <w:szCs w:val="24"/>
              </w:rPr>
              <w:t>24</w:t>
            </w:r>
            <w:r w:rsidRPr="004E66B1">
              <w:rPr>
                <w:b w:val="0"/>
                <w:sz w:val="24"/>
                <w:szCs w:val="24"/>
              </w:rPr>
              <w:t>.</w:t>
            </w:r>
            <w:r w:rsidR="00751DC5" w:rsidRPr="004E66B1">
              <w:rPr>
                <w:b w:val="0"/>
                <w:sz w:val="24"/>
                <w:szCs w:val="24"/>
              </w:rPr>
              <w:t> </w:t>
            </w:r>
            <w:r w:rsidRPr="004E66B1">
              <w:rPr>
                <w:b w:val="0"/>
                <w:sz w:val="24"/>
                <w:szCs w:val="24"/>
              </w:rPr>
              <w:t xml:space="preserve">punkts, sadalot to apakšpunktos un papildinot ar </w:t>
            </w:r>
            <w:r w:rsidR="00751DC5" w:rsidRPr="004E66B1">
              <w:rPr>
                <w:b w:val="0"/>
                <w:sz w:val="24"/>
                <w:szCs w:val="24"/>
              </w:rPr>
              <w:t>24</w:t>
            </w:r>
            <w:r w:rsidRPr="004E66B1">
              <w:rPr>
                <w:b w:val="0"/>
                <w:sz w:val="24"/>
                <w:szCs w:val="24"/>
              </w:rPr>
              <w:t xml:space="preserve">.2. apakšpunktu. Norma </w:t>
            </w:r>
            <w:r w:rsidR="00751DC5" w:rsidRPr="004E66B1">
              <w:rPr>
                <w:b w:val="0"/>
                <w:sz w:val="24"/>
                <w:szCs w:val="24"/>
              </w:rPr>
              <w:t xml:space="preserve">paredz, ka </w:t>
            </w:r>
            <w:r w:rsidRPr="004E66B1">
              <w:rPr>
                <w:b w:val="0"/>
                <w:sz w:val="24"/>
                <w:szCs w:val="24"/>
              </w:rPr>
              <w:t>a</w:t>
            </w:r>
            <w:r w:rsidR="00751DC5" w:rsidRPr="004E66B1">
              <w:rPr>
                <w:b w:val="0"/>
                <w:sz w:val="24"/>
                <w:szCs w:val="24"/>
              </w:rPr>
              <w:t>tbalsta</w:t>
            </w:r>
            <w:r w:rsidRPr="004E66B1">
              <w:rPr>
                <w:b w:val="0"/>
                <w:sz w:val="24"/>
                <w:szCs w:val="24"/>
              </w:rPr>
              <w:t xml:space="preserve"> pretendentiem </w:t>
            </w:r>
            <w:proofErr w:type="spellStart"/>
            <w:r w:rsidRPr="004E66B1">
              <w:rPr>
                <w:b w:val="0"/>
                <w:i/>
                <w:sz w:val="24"/>
                <w:szCs w:val="24"/>
              </w:rPr>
              <w:t>de</w:t>
            </w:r>
            <w:proofErr w:type="spellEnd"/>
            <w:r w:rsidRPr="004E66B1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4E66B1">
              <w:rPr>
                <w:b w:val="0"/>
                <w:i/>
                <w:sz w:val="24"/>
                <w:szCs w:val="24"/>
              </w:rPr>
              <w:t>minimis</w:t>
            </w:r>
            <w:proofErr w:type="spellEnd"/>
            <w:r w:rsidRPr="004E66B1">
              <w:rPr>
                <w:b w:val="0"/>
                <w:sz w:val="24"/>
                <w:szCs w:val="24"/>
              </w:rPr>
              <w:t xml:space="preserve"> atbalsta kumulācijas gadījumā ir pienākums </w:t>
            </w:r>
            <w:r w:rsidRPr="004E66B1">
              <w:rPr>
                <w:b w:val="0"/>
                <w:sz w:val="24"/>
                <w:szCs w:val="24"/>
                <w:shd w:val="clear" w:color="auto" w:fill="FFFFFF"/>
              </w:rPr>
              <w:t xml:space="preserve">sniegt </w:t>
            </w:r>
            <w:proofErr w:type="spellStart"/>
            <w:r w:rsidR="00751DC5" w:rsidRPr="004E66B1">
              <w:rPr>
                <w:b w:val="0"/>
                <w:sz w:val="24"/>
                <w:szCs w:val="24"/>
                <w:shd w:val="clear" w:color="auto" w:fill="FFFFFF"/>
              </w:rPr>
              <w:t>Altum</w:t>
            </w:r>
            <w:proofErr w:type="spellEnd"/>
            <w:r w:rsidRPr="004E66B1">
              <w:rPr>
                <w:b w:val="0"/>
                <w:sz w:val="24"/>
                <w:szCs w:val="24"/>
                <w:shd w:val="clear" w:color="auto" w:fill="FFFFFF"/>
              </w:rPr>
              <w:t xml:space="preserve"> informāciju par plānoto un piešķirto </w:t>
            </w:r>
            <w:r w:rsidRPr="004E66B1">
              <w:rPr>
                <w:b w:val="0"/>
                <w:sz w:val="24"/>
                <w:szCs w:val="24"/>
              </w:rPr>
              <w:t xml:space="preserve">atbalstu par tām pašām attiecināmajām izmaksām, norādot atbalsta piešķiršanas datumu, atbalsta sniedzēju, atbalsta pasākumu un plānoto vai piešķirto atbalsta summu. Tādējādi atbalsta aprēķinos tiks </w:t>
            </w:r>
            <w:r w:rsidRPr="004E66B1">
              <w:rPr>
                <w:b w:val="0"/>
                <w:sz w:val="24"/>
                <w:szCs w:val="24"/>
              </w:rPr>
              <w:lastRenderedPageBreak/>
              <w:t>ņemti vērā visi jau piešķirtie un plānotie atbalsti un tiks nodrošināta pareiza komercdarbības atbalsta normu ievērošana.</w:t>
            </w:r>
          </w:p>
          <w:p w14:paraId="0F69B149" w14:textId="294204B5" w:rsidR="00DD6D12" w:rsidRPr="004E66B1" w:rsidRDefault="00A446A3" w:rsidP="00751DC5">
            <w:pPr>
              <w:spacing w:after="0" w:line="240" w:lineRule="auto"/>
              <w:ind w:left="148" w:right="133" w:hanging="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Tāpat ar noteikumu projekta </w:t>
            </w:r>
            <w:r w:rsidR="00860FF7" w:rsidRPr="004E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2C4" w:rsidRPr="004E6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. punktu </w:t>
            </w:r>
            <w:r w:rsidR="00751DC5" w:rsidRPr="004E66B1">
              <w:rPr>
                <w:rFonts w:ascii="Times New Roman" w:hAnsi="Times New Roman" w:cs="Times New Roman"/>
                <w:sz w:val="24"/>
                <w:szCs w:val="24"/>
              </w:rPr>
              <w:t>noteikumi Nr.</w:t>
            </w:r>
            <w:r w:rsidR="00533734" w:rsidRPr="004E66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51DC5" w:rsidRPr="004E66B1">
              <w:rPr>
                <w:rFonts w:ascii="Times New Roman" w:hAnsi="Times New Roman" w:cs="Times New Roman"/>
                <w:sz w:val="24"/>
                <w:szCs w:val="24"/>
              </w:rPr>
              <w:t>295 ir papildināti ar 28.</w:t>
            </w:r>
            <w:r w:rsidR="00751DC5" w:rsidRPr="004E66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51DC5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punktu, nosakot, ka</w:t>
            </w:r>
            <w:r w:rsidRPr="004E66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pārkāpumu gadījumā</w:t>
            </w:r>
            <w:r w:rsidR="00467AB9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no atbalsta saņēmēja ir </w:t>
            </w:r>
            <w:r w:rsidR="00467AB9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atgūstams</w:t>
            </w:r>
            <w:r w:rsidR="00467AB9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komercdarbības atbalsts</w:t>
            </w:r>
            <w:r w:rsidR="00751DC5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1B486B4" w14:textId="39F80A93" w:rsidR="00860FF7" w:rsidRPr="004E66B1" w:rsidRDefault="0037621D" w:rsidP="0037621D">
            <w:pPr>
              <w:spacing w:after="0" w:line="240" w:lineRule="auto"/>
              <w:ind w:left="148" w:right="133" w:hanging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Noteikumu projekta 1</w:t>
            </w:r>
            <w:r w:rsidR="001172C4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punkts paredz noteikt lēmuma pieņemšanas termiņu atbilstoši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Komisijas 2013. gada 18.</w:t>
            </w:r>
            <w:r w:rsidR="007718B0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decembra Regulā (EK) Nr.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tgtFrame="_blank" w:history="1">
              <w:r w:rsidRPr="004E66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1408/2013</w:t>
              </w:r>
            </w:hyperlink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Līguma par Eiropas Savienības darbību 107. un 108.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panta piemērošanu</w:t>
            </w:r>
            <w:r w:rsidRPr="004E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</w:t>
            </w:r>
            <w:proofErr w:type="spellEnd"/>
            <w:r w:rsidRPr="004E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66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minimis</w:t>
            </w:r>
            <w:proofErr w:type="spellEnd"/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atbalstam lauksaimniecības nozarē (Eiropas Savienības Oficiālais Vēstnesis, 2013. gada 24. decembris, Nr.</w:t>
            </w:r>
            <w:r w:rsidR="007718B0"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9D4C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352) (turpmāk – regula Nr. 1408/2013) noteiktajam.</w:t>
            </w:r>
          </w:p>
          <w:p w14:paraId="1266C74E" w14:textId="7BBA86AF" w:rsidR="005D43A4" w:rsidRPr="004E66B1" w:rsidRDefault="0069430E" w:rsidP="00555FC6">
            <w:pPr>
              <w:spacing w:after="0" w:line="240" w:lineRule="auto"/>
              <w:ind w:left="148" w:right="133" w:hanging="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Lai </w:t>
            </w:r>
            <w:r w:rsidR="00FC5B63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noteikumos Nr. 295 iekļautā norma par saistītajām juridiskajām personām neietekmētu tos aizņēmējus, kas aizdevumus jau ir saņēmuši, noteikumu projekt</w:t>
            </w:r>
            <w:r w:rsidR="009E38DE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 14. punktā </w:t>
            </w:r>
            <w:r w:rsidR="00FC5B63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 noteikts</w:t>
            </w:r>
            <w:r w:rsidR="009D4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FC5B63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 minētā norma piemērojama attiecībā uz aizdevumiem, kas izsniegti pēc 2021. gada 31. janvāra.</w:t>
            </w:r>
          </w:p>
        </w:tc>
      </w:tr>
      <w:tr w:rsidR="000330A2" w:rsidRPr="004E66B1" w14:paraId="6C990843" w14:textId="77777777" w:rsidTr="004D78E5">
        <w:trPr>
          <w:trHeight w:val="476"/>
        </w:trPr>
        <w:tc>
          <w:tcPr>
            <w:tcW w:w="226" w:type="pct"/>
          </w:tcPr>
          <w:p w14:paraId="5FBBA332" w14:textId="77777777" w:rsidR="000330A2" w:rsidRPr="004E66B1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4E66B1">
              <w:lastRenderedPageBreak/>
              <w:t>3.</w:t>
            </w:r>
          </w:p>
        </w:tc>
        <w:tc>
          <w:tcPr>
            <w:tcW w:w="1335" w:type="pct"/>
          </w:tcPr>
          <w:p w14:paraId="3C70A8A1" w14:textId="77777777" w:rsidR="000330A2" w:rsidRPr="004E66B1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4E66B1">
              <w:t>Projekta izstrādē iesaistītās institūcijas un publiskas personas kapitālsabiedrības</w:t>
            </w:r>
          </w:p>
        </w:tc>
        <w:tc>
          <w:tcPr>
            <w:tcW w:w="3440" w:type="pct"/>
          </w:tcPr>
          <w:p w14:paraId="4901FECE" w14:textId="77CE3E22" w:rsidR="000330A2" w:rsidRPr="004E66B1" w:rsidRDefault="003C07D1" w:rsidP="003C07D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Zemkopības ministrija</w:t>
            </w:r>
            <w:r w:rsidR="007F0225" w:rsidRPr="004E6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un</w:t>
            </w:r>
            <w:r w:rsidR="00787EDB" w:rsidRPr="004E6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EDB" w:rsidRPr="004E66B1">
              <w:rPr>
                <w:rFonts w:ascii="Times New Roman" w:hAnsi="Times New Roman"/>
                <w:sz w:val="24"/>
                <w:szCs w:val="24"/>
              </w:rPr>
              <w:t>Altum</w:t>
            </w:r>
            <w:proofErr w:type="spellEnd"/>
          </w:p>
        </w:tc>
      </w:tr>
      <w:tr w:rsidR="000330A2" w:rsidRPr="004E66B1" w14:paraId="68CC57F2" w14:textId="77777777" w:rsidTr="004D78E5">
        <w:tc>
          <w:tcPr>
            <w:tcW w:w="226" w:type="pct"/>
          </w:tcPr>
          <w:p w14:paraId="45DEF3F7" w14:textId="77777777" w:rsidR="000330A2" w:rsidRPr="004E66B1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4E66B1">
              <w:t>4.</w:t>
            </w:r>
          </w:p>
        </w:tc>
        <w:tc>
          <w:tcPr>
            <w:tcW w:w="1335" w:type="pct"/>
          </w:tcPr>
          <w:p w14:paraId="15422DDD" w14:textId="77777777" w:rsidR="000330A2" w:rsidRPr="004E66B1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4E66B1">
              <w:t>Cita informācija</w:t>
            </w:r>
          </w:p>
        </w:tc>
        <w:tc>
          <w:tcPr>
            <w:tcW w:w="3440" w:type="pct"/>
          </w:tcPr>
          <w:p w14:paraId="26E636AD" w14:textId="3E32842E" w:rsidR="000330A2" w:rsidRPr="004E66B1" w:rsidRDefault="003C07D1" w:rsidP="003C0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256DB99" w14:textId="77777777" w:rsidR="000330A2" w:rsidRPr="004E66B1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5660"/>
      </w:tblGrid>
      <w:tr w:rsidR="000330A2" w:rsidRPr="004E66B1" w14:paraId="1D377092" w14:textId="77777777" w:rsidTr="00472586">
        <w:trPr>
          <w:trHeight w:val="556"/>
        </w:trPr>
        <w:tc>
          <w:tcPr>
            <w:tcW w:w="9067" w:type="dxa"/>
            <w:gridSpan w:val="3"/>
            <w:vAlign w:val="center"/>
          </w:tcPr>
          <w:p w14:paraId="593339A6" w14:textId="77777777" w:rsidR="000330A2" w:rsidRPr="004E66B1" w:rsidRDefault="009F3688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4E66B1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0330A2" w:rsidRPr="004E66B1" w14:paraId="433CC246" w14:textId="77777777" w:rsidTr="00472586">
        <w:trPr>
          <w:trHeight w:val="467"/>
        </w:trPr>
        <w:tc>
          <w:tcPr>
            <w:tcW w:w="431" w:type="dxa"/>
          </w:tcPr>
          <w:p w14:paraId="72E664A8" w14:textId="77777777" w:rsidR="000330A2" w:rsidRPr="004E66B1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4E66B1">
              <w:t>1.</w:t>
            </w:r>
          </w:p>
        </w:tc>
        <w:tc>
          <w:tcPr>
            <w:tcW w:w="2976" w:type="dxa"/>
          </w:tcPr>
          <w:p w14:paraId="0BB07626" w14:textId="77777777" w:rsidR="000330A2" w:rsidRPr="004E66B1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4E66B1">
              <w:t>Sabiedrības mērķgrupas, kuras tiesiskais regulējums ietekmē vai varētu ietekmēt</w:t>
            </w:r>
          </w:p>
        </w:tc>
        <w:tc>
          <w:tcPr>
            <w:tcW w:w="5660" w:type="dxa"/>
          </w:tcPr>
          <w:p w14:paraId="0D8BBE76" w14:textId="77777777" w:rsidR="00D459B5" w:rsidRPr="004E66B1" w:rsidRDefault="00D640D8" w:rsidP="002A64B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bookmarkStart w:id="2" w:name="p21"/>
            <w:bookmarkEnd w:id="2"/>
            <w:r w:rsidRPr="004E66B1">
              <w:rPr>
                <w:rFonts w:ascii="Times New Roman" w:hAnsi="Times New Roman"/>
                <w:sz w:val="24"/>
              </w:rPr>
              <w:t xml:space="preserve">Lauksaimnieki, kas iegādājas </w:t>
            </w:r>
            <w:r w:rsidR="00F91C12" w:rsidRPr="004E66B1">
              <w:rPr>
                <w:rFonts w:ascii="Times New Roman" w:hAnsi="Times New Roman"/>
                <w:sz w:val="24"/>
              </w:rPr>
              <w:t>LIZ</w:t>
            </w:r>
            <w:r w:rsidR="00467AB9" w:rsidRPr="004E66B1">
              <w:rPr>
                <w:rFonts w:ascii="Times New Roman" w:hAnsi="Times New Roman"/>
                <w:sz w:val="24"/>
              </w:rPr>
              <w:t>.</w:t>
            </w:r>
            <w:r w:rsidRPr="004E66B1">
              <w:rPr>
                <w:rFonts w:ascii="Times New Roman" w:hAnsi="Times New Roman"/>
                <w:sz w:val="24"/>
              </w:rPr>
              <w:t xml:space="preserve"> 2019.</w:t>
            </w:r>
            <w:r w:rsidR="00467AB9" w:rsidRPr="004E66B1">
              <w:rPr>
                <w:rFonts w:ascii="Times New Roman" w:hAnsi="Times New Roman"/>
                <w:sz w:val="24"/>
              </w:rPr>
              <w:t> </w:t>
            </w:r>
            <w:r w:rsidRPr="004E66B1">
              <w:rPr>
                <w:rFonts w:ascii="Times New Roman" w:hAnsi="Times New Roman"/>
                <w:sz w:val="24"/>
              </w:rPr>
              <w:t xml:space="preserve">gadā, izmantojot atbalstu </w:t>
            </w:r>
            <w:r w:rsidR="00F91C12" w:rsidRPr="004E66B1">
              <w:rPr>
                <w:rFonts w:ascii="Times New Roman" w:hAnsi="Times New Roman"/>
                <w:sz w:val="24"/>
              </w:rPr>
              <w:t>LIZ</w:t>
            </w:r>
            <w:r w:rsidRPr="004E66B1">
              <w:rPr>
                <w:rFonts w:ascii="Times New Roman" w:hAnsi="Times New Roman"/>
                <w:sz w:val="24"/>
              </w:rPr>
              <w:t xml:space="preserve"> iegādei lauksaimniecības produkcijas ražošanai, </w:t>
            </w:r>
            <w:r w:rsidR="00F91C12" w:rsidRPr="004E66B1">
              <w:rPr>
                <w:rFonts w:ascii="Times New Roman" w:hAnsi="Times New Roman"/>
                <w:sz w:val="24"/>
              </w:rPr>
              <w:t>LIZ</w:t>
            </w:r>
            <w:r w:rsidRPr="004E66B1">
              <w:rPr>
                <w:rFonts w:ascii="Times New Roman" w:hAnsi="Times New Roman"/>
                <w:sz w:val="24"/>
              </w:rPr>
              <w:t xml:space="preserve"> iegādājās</w:t>
            </w:r>
            <w:r w:rsidR="00B81831" w:rsidRPr="004E66B1">
              <w:rPr>
                <w:rFonts w:ascii="Times New Roman" w:hAnsi="Times New Roman"/>
                <w:sz w:val="24"/>
              </w:rPr>
              <w:t xml:space="preserve"> 297 lauksaimnieki.</w:t>
            </w:r>
          </w:p>
          <w:p w14:paraId="5032ADA7" w14:textId="1F2E4802" w:rsidR="006E1094" w:rsidRPr="004E66B1" w:rsidRDefault="006E1094" w:rsidP="002A64B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4E66B1">
              <w:rPr>
                <w:rFonts w:ascii="Times New Roman" w:hAnsi="Times New Roman"/>
                <w:sz w:val="24"/>
              </w:rPr>
              <w:t>Altum</w:t>
            </w:r>
            <w:proofErr w:type="spellEnd"/>
          </w:p>
        </w:tc>
      </w:tr>
      <w:tr w:rsidR="000330A2" w:rsidRPr="004E66B1" w14:paraId="1C4D7E01" w14:textId="77777777" w:rsidTr="00472586">
        <w:trPr>
          <w:trHeight w:val="523"/>
        </w:trPr>
        <w:tc>
          <w:tcPr>
            <w:tcW w:w="431" w:type="dxa"/>
          </w:tcPr>
          <w:p w14:paraId="0CF5D2C5" w14:textId="77777777" w:rsidR="000330A2" w:rsidRPr="004E66B1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4E66B1">
              <w:t>2.</w:t>
            </w:r>
          </w:p>
        </w:tc>
        <w:tc>
          <w:tcPr>
            <w:tcW w:w="2976" w:type="dxa"/>
          </w:tcPr>
          <w:p w14:paraId="4DA39327" w14:textId="77777777" w:rsidR="000330A2" w:rsidRPr="004E66B1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4E66B1">
              <w:t>Tiesiskā regulējuma ietekme uz tautsaimniecību un administratīvo slogu</w:t>
            </w:r>
          </w:p>
        </w:tc>
        <w:tc>
          <w:tcPr>
            <w:tcW w:w="5660" w:type="dxa"/>
          </w:tcPr>
          <w:p w14:paraId="0790B077" w14:textId="255F8A19" w:rsidR="000330A2" w:rsidRPr="004E66B1" w:rsidRDefault="007A09B1" w:rsidP="007A09B1">
            <w:pPr>
              <w:shd w:val="clear" w:color="auto" w:fill="FFFFFF"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projektā pretendentam paredzēta prasība sniegt informāciju </w:t>
            </w:r>
            <w:proofErr w:type="spellStart"/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Altum</w:t>
            </w:r>
            <w:proofErr w:type="spellEnd"/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par plānoto un piešķirto atbalstu par tām pašām attiecināmajām izmaksām, ja pretendents darbojas vairākās nozarēs vai veic citas darbības, kas ietilpst regulas Nr. 1408/2013 noteiktajā darbības jomā.</w:t>
            </w:r>
          </w:p>
          <w:p w14:paraId="175112DE" w14:textId="3DCDED3F" w:rsidR="007A09B1" w:rsidRPr="004E66B1" w:rsidRDefault="007A09B1" w:rsidP="00F96E8D">
            <w:pPr>
              <w:shd w:val="clear" w:color="auto" w:fill="FFFFFF"/>
              <w:spacing w:after="0" w:line="240" w:lineRule="auto"/>
              <w:ind w:left="130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nerada negatīvu ietekmi uz uzņēmējdarbības vidi un dažāda lieluma uzņēmumiem, konkurenci, vidi, veselību un nevalstiskajām organizācijām. </w:t>
            </w:r>
            <w:r w:rsidR="009D4CC0" w:rsidRPr="004E66B1">
              <w:rPr>
                <w:rFonts w:ascii="Times New Roman" w:hAnsi="Times New Roman" w:cs="Times New Roman"/>
                <w:sz w:val="24"/>
                <w:szCs w:val="24"/>
              </w:rPr>
              <w:t>Noteikumu projekts</w:t>
            </w:r>
            <w:r w:rsidR="009D4CC0" w:rsidRPr="004E66B1" w:rsidDel="009D4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rada pozitīvu ietekmi uz Nacionālā attīstības plāna rādītājiem, jo veicina</w:t>
            </w:r>
            <w:r w:rsidR="00FA5458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iespējas iegādāties LIZ</w:t>
            </w:r>
            <w:r w:rsidR="00493A4B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lauksaimniekiem, kas </w:t>
            </w:r>
            <w:r w:rsidR="00FA5458"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nodarbojas ar </w:t>
            </w:r>
            <w:r w:rsidR="00493A4B" w:rsidRPr="004E66B1">
              <w:rPr>
                <w:rFonts w:ascii="Times New Roman" w:hAnsi="Times New Roman" w:cs="Times New Roman"/>
                <w:sz w:val="24"/>
                <w:szCs w:val="24"/>
              </w:rPr>
              <w:t>lauksaimniecisko ražošanu.</w:t>
            </w:r>
          </w:p>
        </w:tc>
      </w:tr>
      <w:tr w:rsidR="000330A2" w:rsidRPr="004E66B1" w14:paraId="52682587" w14:textId="77777777" w:rsidTr="00472586">
        <w:trPr>
          <w:trHeight w:val="523"/>
        </w:trPr>
        <w:tc>
          <w:tcPr>
            <w:tcW w:w="431" w:type="dxa"/>
          </w:tcPr>
          <w:p w14:paraId="63E7BE68" w14:textId="77777777" w:rsidR="000330A2" w:rsidRPr="004E66B1" w:rsidRDefault="000330A2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4E66B1">
              <w:t>3.</w:t>
            </w:r>
          </w:p>
        </w:tc>
        <w:tc>
          <w:tcPr>
            <w:tcW w:w="2976" w:type="dxa"/>
          </w:tcPr>
          <w:p w14:paraId="4C809803" w14:textId="77777777" w:rsidR="000330A2" w:rsidRPr="004E66B1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4E66B1">
              <w:t>Administratīvo izmaksu monetārs novērtējums</w:t>
            </w:r>
          </w:p>
        </w:tc>
        <w:tc>
          <w:tcPr>
            <w:tcW w:w="5660" w:type="dxa"/>
          </w:tcPr>
          <w:p w14:paraId="7C548B12" w14:textId="232AA524" w:rsidR="000330A2" w:rsidRPr="004E66B1" w:rsidRDefault="00FA5458" w:rsidP="00D463A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 kā</w:t>
            </w:r>
            <w:r w:rsidR="00714B1A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atbalsta </w:t>
            </w:r>
            <w:proofErr w:type="spellStart"/>
            <w:r w:rsidR="00714B1A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kumulēšana</w:t>
            </w:r>
            <w:proofErr w:type="spellEnd"/>
            <w:r w:rsidR="00714B1A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 attiecināma tikai uz </w:t>
            </w:r>
            <w:r w:rsidR="000075BF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nelielu </w:t>
            </w:r>
            <w:r w:rsidR="00714B1A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daļu no atbalsta saņēmējiem</w:t>
            </w:r>
            <w:r w:rsidR="000075BF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(ap </w:t>
            </w:r>
            <w:r w:rsidR="009D4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pieciem</w:t>
            </w:r>
            <w:r w:rsidR="000075BF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saņēmēji</w:t>
            </w:r>
            <w:r w:rsidR="009D4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</w:t>
            </w:r>
            <w:r w:rsidR="000075BF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gadā)</w:t>
            </w:r>
            <w:r w:rsidR="00714B1A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a</w:t>
            </w:r>
            <w:r w:rsidR="00AE3DCA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dministratīvās izmaksas (naudas izteiksmē) gada laikā mērķgrupai, ko veido fiziskas personas, </w:t>
            </w:r>
            <w:r w:rsidR="00D463AC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</w:t>
            </w:r>
            <w:r w:rsidR="00AE3DCA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pārsniedz 200 </w:t>
            </w:r>
            <w:proofErr w:type="spellStart"/>
            <w:r w:rsidR="00AE3DCA" w:rsidRPr="004E66B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AE3DCA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bet mērķgrupai, kuru veido juridiskas personas,</w:t>
            </w:r>
            <w:r w:rsidR="009D4C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E3DCA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2000 </w:t>
            </w:r>
            <w:proofErr w:type="spellStart"/>
            <w:r w:rsidR="00AE3DCA" w:rsidRPr="004E66B1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AE3DCA" w:rsidRPr="004E66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9F3688" w:rsidRPr="004E66B1" w14:paraId="01BF472D" w14:textId="77777777" w:rsidTr="00472586">
        <w:trPr>
          <w:trHeight w:val="523"/>
        </w:trPr>
        <w:tc>
          <w:tcPr>
            <w:tcW w:w="431" w:type="dxa"/>
          </w:tcPr>
          <w:p w14:paraId="00748CC8" w14:textId="77777777" w:rsidR="009F3688" w:rsidRPr="004E66B1" w:rsidRDefault="009F3688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4E66B1">
              <w:t>4.</w:t>
            </w:r>
          </w:p>
        </w:tc>
        <w:tc>
          <w:tcPr>
            <w:tcW w:w="2976" w:type="dxa"/>
          </w:tcPr>
          <w:p w14:paraId="124974E1" w14:textId="77777777" w:rsidR="009F3688" w:rsidRPr="004E66B1" w:rsidRDefault="009F3688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4E66B1">
              <w:t>Atbilstības izmaksu monetārs novērtējums</w:t>
            </w:r>
          </w:p>
        </w:tc>
        <w:tc>
          <w:tcPr>
            <w:tcW w:w="5660" w:type="dxa"/>
          </w:tcPr>
          <w:p w14:paraId="27159343" w14:textId="77777777" w:rsidR="009F3688" w:rsidRPr="004E66B1" w:rsidRDefault="009F3688" w:rsidP="00B8467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0330A2" w:rsidRPr="004E66B1" w14:paraId="7255A745" w14:textId="77777777" w:rsidTr="00472586">
        <w:trPr>
          <w:trHeight w:val="357"/>
        </w:trPr>
        <w:tc>
          <w:tcPr>
            <w:tcW w:w="431" w:type="dxa"/>
          </w:tcPr>
          <w:p w14:paraId="221A2C4E" w14:textId="77777777" w:rsidR="000330A2" w:rsidRPr="004E66B1" w:rsidRDefault="009F3688" w:rsidP="00B84678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4E66B1">
              <w:lastRenderedPageBreak/>
              <w:t>5</w:t>
            </w:r>
            <w:r w:rsidR="000330A2" w:rsidRPr="004E66B1">
              <w:t>.</w:t>
            </w:r>
          </w:p>
        </w:tc>
        <w:tc>
          <w:tcPr>
            <w:tcW w:w="2976" w:type="dxa"/>
          </w:tcPr>
          <w:p w14:paraId="612268D7" w14:textId="77777777" w:rsidR="000330A2" w:rsidRPr="004E66B1" w:rsidRDefault="000330A2" w:rsidP="00B84678">
            <w:pPr>
              <w:pStyle w:val="naiskr"/>
              <w:spacing w:before="0" w:beforeAutospacing="0" w:after="0" w:afterAutospacing="0"/>
              <w:ind w:left="57" w:right="57"/>
            </w:pPr>
            <w:r w:rsidRPr="004E66B1">
              <w:t>Cita informācija</w:t>
            </w:r>
          </w:p>
        </w:tc>
        <w:tc>
          <w:tcPr>
            <w:tcW w:w="5660" w:type="dxa"/>
          </w:tcPr>
          <w:p w14:paraId="001CF7A8" w14:textId="77777777" w:rsidR="000330A2" w:rsidRPr="004E66B1" w:rsidRDefault="000330A2" w:rsidP="005206FF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897834" w:rsidRPr="004E6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FEE798" w14:textId="77777777" w:rsidR="00472586" w:rsidRPr="004E66B1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96F50" w:rsidRPr="004E66B1" w14:paraId="3F74CC04" w14:textId="77777777" w:rsidTr="00D34787">
        <w:trPr>
          <w:trHeight w:val="361"/>
          <w:jc w:val="center"/>
        </w:trPr>
        <w:tc>
          <w:tcPr>
            <w:tcW w:w="9067" w:type="dxa"/>
            <w:vAlign w:val="center"/>
          </w:tcPr>
          <w:p w14:paraId="00079F3E" w14:textId="77777777" w:rsidR="00596F50" w:rsidRPr="004E66B1" w:rsidRDefault="00596F50" w:rsidP="00596F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E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596F50" w:rsidRPr="004E66B1" w14:paraId="2C6BF171" w14:textId="77777777" w:rsidTr="00D34787">
        <w:trPr>
          <w:trHeight w:val="361"/>
          <w:jc w:val="center"/>
        </w:trPr>
        <w:tc>
          <w:tcPr>
            <w:tcW w:w="9067" w:type="dxa"/>
            <w:vAlign w:val="center"/>
          </w:tcPr>
          <w:p w14:paraId="7EC37BA9" w14:textId="77777777" w:rsidR="00596F50" w:rsidRPr="004E66B1" w:rsidRDefault="00596F50" w:rsidP="00596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441A3705" w14:textId="77777777" w:rsidR="00472586" w:rsidRPr="004E66B1" w:rsidRDefault="00472586" w:rsidP="000330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00322" w:rsidRPr="004E66B1" w14:paraId="4FB4E5F0" w14:textId="77777777" w:rsidTr="00800322">
        <w:tc>
          <w:tcPr>
            <w:tcW w:w="9061" w:type="dxa"/>
          </w:tcPr>
          <w:p w14:paraId="3CBD92C8" w14:textId="77777777" w:rsidR="00800322" w:rsidRPr="004E66B1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800322" w:rsidRPr="004E66B1" w14:paraId="36088DD0" w14:textId="77777777" w:rsidTr="00800322">
        <w:tc>
          <w:tcPr>
            <w:tcW w:w="9061" w:type="dxa"/>
          </w:tcPr>
          <w:p w14:paraId="69E5F583" w14:textId="77777777" w:rsidR="00800322" w:rsidRPr="004E66B1" w:rsidRDefault="00800322" w:rsidP="0080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01353BA2" w14:textId="77777777" w:rsidR="00472586" w:rsidRPr="004E66B1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7"/>
        <w:gridCol w:w="971"/>
        <w:gridCol w:w="2128"/>
        <w:gridCol w:w="2129"/>
        <w:gridCol w:w="2690"/>
      </w:tblGrid>
      <w:tr w:rsidR="00721986" w:rsidRPr="004E66B1" w14:paraId="27B78E1D" w14:textId="77777777" w:rsidTr="00EE6FA1">
        <w:trPr>
          <w:trHeight w:val="279"/>
        </w:trPr>
        <w:tc>
          <w:tcPr>
            <w:tcW w:w="9072" w:type="dxa"/>
            <w:gridSpan w:val="6"/>
          </w:tcPr>
          <w:p w14:paraId="181CE630" w14:textId="77777777" w:rsidR="00721986" w:rsidRPr="004E66B1" w:rsidRDefault="00721986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E66B1">
              <w:rPr>
                <w:rFonts w:ascii="Times New Roman" w:eastAsia="Times New Roman" w:hAnsi="Times New Roman" w:cs="Times New Roman"/>
                <w:b/>
              </w:rPr>
              <w:t>V. Tiesību akta projekta atbilstība Latvijas Republikas starptautiskajām saistībām</w:t>
            </w:r>
          </w:p>
        </w:tc>
      </w:tr>
      <w:tr w:rsidR="00721986" w:rsidRPr="004E66B1" w14:paraId="4C19D92A" w14:textId="77777777" w:rsidTr="00EE6FA1">
        <w:trPr>
          <w:trHeight w:val="279"/>
        </w:trPr>
        <w:tc>
          <w:tcPr>
            <w:tcW w:w="567" w:type="dxa"/>
          </w:tcPr>
          <w:p w14:paraId="47D3BDBC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gridSpan w:val="2"/>
          </w:tcPr>
          <w:p w14:paraId="2122AEEA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6947" w:type="dxa"/>
            <w:gridSpan w:val="3"/>
          </w:tcPr>
          <w:p w14:paraId="75ED808A" w14:textId="77777777" w:rsidR="0037621D" w:rsidRPr="004E66B1" w:rsidRDefault="00721986" w:rsidP="00EE6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E66B1">
              <w:rPr>
                <w:rFonts w:ascii="Times New Roman" w:hAnsi="Times New Roman"/>
                <w:iCs/>
                <w:sz w:val="24"/>
                <w:szCs w:val="24"/>
              </w:rPr>
              <w:t>Komisijas 2004. gada 21. aprīļa Regula (EK) Nr. 794/2004, ar ko īsteno Padomes Regulu (ES) 2015/1589, ar ko nosaka sīki izstrādātus noteikumus Līguma par Eiropas Savienības darbību 108. panta piemērošanai (Eiropas Savienības Oficiālais Vēstnesis, 2004.gada 30.aprīlis, Nr. L 140)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 xml:space="preserve"> (turpmāk – regula Nr. </w:t>
            </w:r>
            <w:r w:rsidRPr="004E66B1">
              <w:rPr>
                <w:rFonts w:ascii="Times New Roman" w:hAnsi="Times New Roman"/>
                <w:iCs/>
                <w:sz w:val="24"/>
                <w:szCs w:val="24"/>
              </w:rPr>
              <w:t>794/2004);</w:t>
            </w:r>
          </w:p>
          <w:p w14:paraId="08A20EAE" w14:textId="3369126C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regula Nr. 1408/2013.</w:t>
            </w:r>
          </w:p>
        </w:tc>
      </w:tr>
      <w:tr w:rsidR="00721986" w:rsidRPr="004E66B1" w14:paraId="5FB4C00A" w14:textId="77777777" w:rsidTr="00EE6FA1">
        <w:trPr>
          <w:trHeight w:val="279"/>
        </w:trPr>
        <w:tc>
          <w:tcPr>
            <w:tcW w:w="567" w:type="dxa"/>
          </w:tcPr>
          <w:p w14:paraId="16AD03B1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  <w:gridSpan w:val="2"/>
          </w:tcPr>
          <w:p w14:paraId="06735234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6947" w:type="dxa"/>
            <w:gridSpan w:val="3"/>
          </w:tcPr>
          <w:p w14:paraId="11255183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21986" w:rsidRPr="004E66B1" w14:paraId="2CA4DEB1" w14:textId="77777777" w:rsidTr="00EE6FA1">
        <w:trPr>
          <w:trHeight w:val="279"/>
        </w:trPr>
        <w:tc>
          <w:tcPr>
            <w:tcW w:w="567" w:type="dxa"/>
          </w:tcPr>
          <w:p w14:paraId="34383B57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8" w:type="dxa"/>
            <w:gridSpan w:val="2"/>
          </w:tcPr>
          <w:p w14:paraId="6C494E2C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947" w:type="dxa"/>
            <w:gridSpan w:val="3"/>
          </w:tcPr>
          <w:p w14:paraId="5348D875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21986" w:rsidRPr="004E66B1" w14:paraId="55CC6B14" w14:textId="77777777" w:rsidTr="00EE6FA1">
        <w:trPr>
          <w:trHeight w:val="279"/>
        </w:trPr>
        <w:tc>
          <w:tcPr>
            <w:tcW w:w="9072" w:type="dxa"/>
            <w:gridSpan w:val="6"/>
          </w:tcPr>
          <w:p w14:paraId="4BFFEC24" w14:textId="77777777" w:rsidR="00721986" w:rsidRPr="004E66B1" w:rsidRDefault="00721986" w:rsidP="00EE6FA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1.tabula </w:t>
            </w:r>
          </w:p>
          <w:p w14:paraId="3412F1A1" w14:textId="77777777" w:rsidR="00721986" w:rsidRPr="004E66B1" w:rsidRDefault="00721986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721986" w:rsidRPr="004E66B1" w14:paraId="37DB44F6" w14:textId="77777777" w:rsidTr="00EE6FA1">
        <w:trPr>
          <w:trHeight w:val="279"/>
        </w:trPr>
        <w:tc>
          <w:tcPr>
            <w:tcW w:w="1154" w:type="dxa"/>
            <w:gridSpan w:val="2"/>
          </w:tcPr>
          <w:p w14:paraId="1E34C3F2" w14:textId="77777777" w:rsidR="00721986" w:rsidRPr="004E66B1" w:rsidRDefault="00721986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7918" w:type="dxa"/>
            <w:gridSpan w:val="4"/>
          </w:tcPr>
          <w:p w14:paraId="694DE10B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 Nr. </w:t>
            </w:r>
            <w:r w:rsidRPr="004E66B1">
              <w:rPr>
                <w:rFonts w:ascii="Times New Roman" w:hAnsi="Times New Roman"/>
                <w:iCs/>
                <w:sz w:val="24"/>
                <w:szCs w:val="24"/>
              </w:rPr>
              <w:t>794/2004</w:t>
            </w:r>
          </w:p>
          <w:p w14:paraId="28646C2B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Regula Nr. 1408/2013</w:t>
            </w:r>
          </w:p>
          <w:p w14:paraId="2F966631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986" w:rsidRPr="004E66B1" w14:paraId="53D8F6E0" w14:textId="77777777" w:rsidTr="00EE6FA1">
        <w:trPr>
          <w:trHeight w:val="279"/>
        </w:trPr>
        <w:tc>
          <w:tcPr>
            <w:tcW w:w="9072" w:type="dxa"/>
            <w:gridSpan w:val="6"/>
          </w:tcPr>
          <w:p w14:paraId="71F15F11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1986" w:rsidRPr="004E66B1" w14:paraId="7EEBD744" w14:textId="77777777" w:rsidTr="00EE6FA1">
        <w:trPr>
          <w:trHeight w:val="279"/>
        </w:trPr>
        <w:tc>
          <w:tcPr>
            <w:tcW w:w="2125" w:type="dxa"/>
            <w:gridSpan w:val="3"/>
          </w:tcPr>
          <w:p w14:paraId="4583D833" w14:textId="77777777" w:rsidR="00721986" w:rsidRPr="004E66B1" w:rsidRDefault="00721986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8" w:type="dxa"/>
          </w:tcPr>
          <w:p w14:paraId="6E09FAC9" w14:textId="77777777" w:rsidR="00721986" w:rsidRPr="004E66B1" w:rsidRDefault="00721986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9" w:type="dxa"/>
          </w:tcPr>
          <w:p w14:paraId="0FE6DE31" w14:textId="77777777" w:rsidR="00721986" w:rsidRPr="004E66B1" w:rsidRDefault="00721986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0" w:type="dxa"/>
          </w:tcPr>
          <w:p w14:paraId="26E6CA4E" w14:textId="77777777" w:rsidR="00721986" w:rsidRPr="004E66B1" w:rsidRDefault="00721986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21986" w:rsidRPr="004E66B1" w14:paraId="3EBE32EF" w14:textId="77777777" w:rsidTr="00EE6FA1">
        <w:trPr>
          <w:trHeight w:val="279"/>
        </w:trPr>
        <w:tc>
          <w:tcPr>
            <w:tcW w:w="2125" w:type="dxa"/>
            <w:gridSpan w:val="3"/>
          </w:tcPr>
          <w:p w14:paraId="38AE501A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Attiecīgā ES tiesību akta panta numurs (uzskaitot katru tiesību akta 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vienību – pantu, daļu, punktu, apakšpunktu)</w:t>
            </w:r>
          </w:p>
        </w:tc>
        <w:tc>
          <w:tcPr>
            <w:tcW w:w="2128" w:type="dxa"/>
          </w:tcPr>
          <w:p w14:paraId="1243CDCA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129" w:type="dxa"/>
          </w:tcPr>
          <w:p w14:paraId="4E3A77C7" w14:textId="77777777" w:rsidR="00721986" w:rsidRPr="004E66B1" w:rsidRDefault="00721986" w:rsidP="00EE6FA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 par to, vai šīs tabulas A ailē minētās ES tiesību akta vienības tiek pārņemtas vai ieviestas pilnībā vai daļēji.</w:t>
            </w:r>
          </w:p>
          <w:p w14:paraId="3411EC61" w14:textId="77777777" w:rsidR="00721986" w:rsidRPr="004E66B1" w:rsidRDefault="00721986" w:rsidP="00EE6FA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attiecīgā ES tiesību akta vienība tiek pārņemta vai ieviesta daļēji, – sniedz attiecīgu skaidrojumu, kā arī precīzi norāda, kad 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 kādā veidā ES tiesību akta vienība tiks pārņemta vai ieviesta pilnībā.</w:t>
            </w:r>
          </w:p>
          <w:p w14:paraId="2EA60BF9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2690" w:type="dxa"/>
          </w:tcPr>
          <w:p w14:paraId="332614EB" w14:textId="77777777" w:rsidR="00721986" w:rsidRPr="004E66B1" w:rsidRDefault="00721986" w:rsidP="00EE6FA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56FD3D75" w14:textId="77777777" w:rsidR="00721986" w:rsidRPr="004E66B1" w:rsidRDefault="00721986" w:rsidP="00EE6FA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 projekts satur stingrākas prasības nekā attiecīgais ES tiesību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4E66B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akts</w:t>
              </w:r>
            </w:smartTag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, – norāda pamatojumu un samērīgumu.</w:t>
            </w:r>
          </w:p>
          <w:p w14:paraId="4C2B9349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Norāda iespējamās alternatīvas (t.sk. 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721986" w:rsidRPr="004E66B1" w14:paraId="71EECB1A" w14:textId="77777777" w:rsidTr="00EE6FA1">
        <w:trPr>
          <w:trHeight w:val="772"/>
        </w:trPr>
        <w:tc>
          <w:tcPr>
            <w:tcW w:w="2125" w:type="dxa"/>
            <w:gridSpan w:val="3"/>
          </w:tcPr>
          <w:p w14:paraId="62005D79" w14:textId="133DDCD3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lastRenderedPageBreak/>
              <w:t>Regulas Nr.1408/2013 1.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panta 2.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128" w:type="dxa"/>
          </w:tcPr>
          <w:p w14:paraId="430ECD7D" w14:textId="28DAB896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850F01" w:rsidRPr="004E66B1">
              <w:rPr>
                <w:rFonts w:ascii="Times New Roman" w:hAnsi="Times New Roman"/>
                <w:sz w:val="24"/>
                <w:szCs w:val="24"/>
              </w:rPr>
              <w:t>1</w:t>
            </w:r>
            <w:r w:rsidR="001172C4" w:rsidRPr="004E66B1">
              <w:rPr>
                <w:rFonts w:ascii="Times New Roman" w:hAnsi="Times New Roman"/>
                <w:sz w:val="24"/>
                <w:szCs w:val="24"/>
              </w:rPr>
              <w:t>1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punktā izteiktais noteikumu Nr. 295 24.1. apakšpunkts</w:t>
            </w:r>
          </w:p>
        </w:tc>
        <w:tc>
          <w:tcPr>
            <w:tcW w:w="2129" w:type="dxa"/>
          </w:tcPr>
          <w:p w14:paraId="29EE08C8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Regulas Nr.1408/2013 prasības tiek ieviestas pilnībā.</w:t>
            </w:r>
          </w:p>
        </w:tc>
        <w:tc>
          <w:tcPr>
            <w:tcW w:w="2690" w:type="dxa"/>
          </w:tcPr>
          <w:p w14:paraId="2BD3A85D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721986" w:rsidRPr="004E66B1" w14:paraId="2AF7835D" w14:textId="77777777" w:rsidTr="00EE6FA1">
        <w:trPr>
          <w:trHeight w:val="772"/>
        </w:trPr>
        <w:tc>
          <w:tcPr>
            <w:tcW w:w="2125" w:type="dxa"/>
            <w:gridSpan w:val="3"/>
          </w:tcPr>
          <w:p w14:paraId="70F2A40C" w14:textId="6E257818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Regulas Nr.1408/2013 1.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panta 3.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128" w:type="dxa"/>
          </w:tcPr>
          <w:p w14:paraId="278C4716" w14:textId="0705B814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850F01" w:rsidRPr="004E66B1">
              <w:rPr>
                <w:rFonts w:ascii="Times New Roman" w:hAnsi="Times New Roman"/>
                <w:sz w:val="24"/>
                <w:szCs w:val="24"/>
              </w:rPr>
              <w:t>1</w:t>
            </w:r>
            <w:r w:rsidR="001172C4" w:rsidRPr="004E66B1">
              <w:rPr>
                <w:rFonts w:ascii="Times New Roman" w:hAnsi="Times New Roman"/>
                <w:sz w:val="24"/>
                <w:szCs w:val="24"/>
              </w:rPr>
              <w:t>1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punktā izteiktais noteikumu Nr. 295 24.</w:t>
            </w:r>
            <w:r w:rsidR="005B66F2" w:rsidRPr="004E66B1">
              <w:rPr>
                <w:rFonts w:ascii="Times New Roman" w:hAnsi="Times New Roman"/>
                <w:sz w:val="24"/>
                <w:szCs w:val="24"/>
              </w:rPr>
              <w:t>1.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="005B66F2" w:rsidRPr="004E66B1">
              <w:rPr>
                <w:rFonts w:ascii="Times New Roman" w:hAnsi="Times New Roman"/>
                <w:sz w:val="24"/>
                <w:szCs w:val="24"/>
              </w:rPr>
              <w:t>a</w:t>
            </w:r>
            <w:r w:rsidR="00926303" w:rsidRPr="004E66B1">
              <w:rPr>
                <w:rFonts w:ascii="Times New Roman" w:hAnsi="Times New Roman"/>
                <w:sz w:val="24"/>
                <w:szCs w:val="24"/>
              </w:rPr>
              <w:t>pak</w:t>
            </w:r>
            <w:r w:rsidR="005B66F2" w:rsidRPr="004E66B1">
              <w:rPr>
                <w:rFonts w:ascii="Times New Roman" w:hAnsi="Times New Roman"/>
                <w:sz w:val="24"/>
                <w:szCs w:val="24"/>
              </w:rPr>
              <w:t>š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129" w:type="dxa"/>
          </w:tcPr>
          <w:p w14:paraId="4B8FF208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Regulas Nr.1408/2013 prasības tiek ieviestas pilnībā.</w:t>
            </w:r>
          </w:p>
        </w:tc>
        <w:tc>
          <w:tcPr>
            <w:tcW w:w="2690" w:type="dxa"/>
          </w:tcPr>
          <w:p w14:paraId="6C44EAFB" w14:textId="77777777" w:rsidR="00721986" w:rsidRPr="004E66B1" w:rsidRDefault="00721986" w:rsidP="00EE6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7718B0" w:rsidRPr="004E66B1" w14:paraId="635E8849" w14:textId="77777777" w:rsidTr="00EE6FA1">
        <w:trPr>
          <w:trHeight w:val="772"/>
        </w:trPr>
        <w:tc>
          <w:tcPr>
            <w:tcW w:w="2125" w:type="dxa"/>
            <w:gridSpan w:val="3"/>
          </w:tcPr>
          <w:p w14:paraId="307A65C8" w14:textId="631A4CE5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Regulas Nr.1408/2013 7.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panta 4.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128" w:type="dxa"/>
          </w:tcPr>
          <w:p w14:paraId="629F78DB" w14:textId="477939E3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Noteikumu projekta 1</w:t>
            </w:r>
            <w:r w:rsidR="001172C4" w:rsidRPr="004E66B1">
              <w:rPr>
                <w:rFonts w:ascii="Times New Roman" w:hAnsi="Times New Roman"/>
                <w:sz w:val="24"/>
                <w:szCs w:val="24"/>
              </w:rPr>
              <w:t>3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. punktā grozītais noteikumu Nr. 295 29. punkts</w:t>
            </w:r>
          </w:p>
        </w:tc>
        <w:tc>
          <w:tcPr>
            <w:tcW w:w="2129" w:type="dxa"/>
          </w:tcPr>
          <w:p w14:paraId="1AEC432D" w14:textId="2F26A02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Regulas Nr.1408/2013 prasības tiek ieviestas pilnībā.</w:t>
            </w:r>
          </w:p>
        </w:tc>
        <w:tc>
          <w:tcPr>
            <w:tcW w:w="2690" w:type="dxa"/>
          </w:tcPr>
          <w:p w14:paraId="74D9D21D" w14:textId="77DAD34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7718B0" w:rsidRPr="004E66B1" w14:paraId="4377DABD" w14:textId="77777777" w:rsidTr="00EE6FA1">
        <w:trPr>
          <w:trHeight w:val="772"/>
        </w:trPr>
        <w:tc>
          <w:tcPr>
            <w:tcW w:w="2125" w:type="dxa"/>
            <w:gridSpan w:val="3"/>
          </w:tcPr>
          <w:p w14:paraId="2D30D6BE" w14:textId="0287A683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Regulas Nr.1408/2013 8.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pants</w:t>
            </w:r>
          </w:p>
        </w:tc>
        <w:tc>
          <w:tcPr>
            <w:tcW w:w="2128" w:type="dxa"/>
          </w:tcPr>
          <w:p w14:paraId="45AB0BFE" w14:textId="14057819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Noteikumu projekta 1</w:t>
            </w:r>
            <w:r w:rsidR="001172C4" w:rsidRPr="004E66B1">
              <w:rPr>
                <w:rFonts w:ascii="Times New Roman" w:hAnsi="Times New Roman"/>
                <w:sz w:val="24"/>
                <w:szCs w:val="24"/>
              </w:rPr>
              <w:t>3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. punktā grozītais noteikumu Nr. 295 29. punkts</w:t>
            </w:r>
          </w:p>
        </w:tc>
        <w:tc>
          <w:tcPr>
            <w:tcW w:w="2129" w:type="dxa"/>
          </w:tcPr>
          <w:p w14:paraId="4DF7E85D" w14:textId="169C9A79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Regulas Nr.1408/2013 prasības tiek ieviestas pilnībā.</w:t>
            </w:r>
          </w:p>
        </w:tc>
        <w:tc>
          <w:tcPr>
            <w:tcW w:w="2690" w:type="dxa"/>
          </w:tcPr>
          <w:p w14:paraId="3A9A1080" w14:textId="10DEC470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7718B0" w:rsidRPr="004E66B1" w14:paraId="372C5005" w14:textId="77777777" w:rsidTr="00EE6FA1">
        <w:trPr>
          <w:trHeight w:val="772"/>
        </w:trPr>
        <w:tc>
          <w:tcPr>
            <w:tcW w:w="2125" w:type="dxa"/>
            <w:gridSpan w:val="3"/>
          </w:tcPr>
          <w:p w14:paraId="74775B14" w14:textId="3FCEC59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Regulas Nr.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794/2004 10.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pants</w:t>
            </w:r>
          </w:p>
        </w:tc>
        <w:tc>
          <w:tcPr>
            <w:tcW w:w="2128" w:type="dxa"/>
          </w:tcPr>
          <w:p w14:paraId="21EDF55E" w14:textId="29B18FB8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1</w:t>
            </w:r>
            <w:r w:rsidR="001172C4" w:rsidRPr="004E66B1">
              <w:rPr>
                <w:rFonts w:ascii="Times New Roman" w:hAnsi="Times New Roman"/>
                <w:sz w:val="24"/>
                <w:szCs w:val="24"/>
              </w:rPr>
              <w:t>2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punktā izteiktais noteikumu Nr. 295 28.</w:t>
            </w:r>
            <w:r w:rsidRPr="004E66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129" w:type="dxa"/>
          </w:tcPr>
          <w:p w14:paraId="40EAEE97" w14:textId="7777777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Regulas Nr.794/2004 prasības tiek ieviestas pilnībā</w:t>
            </w:r>
          </w:p>
        </w:tc>
        <w:tc>
          <w:tcPr>
            <w:tcW w:w="2690" w:type="dxa"/>
          </w:tcPr>
          <w:p w14:paraId="0FCFEFB9" w14:textId="7777777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7718B0" w:rsidRPr="004E66B1" w14:paraId="4F1E67B2" w14:textId="77777777" w:rsidTr="00EE6FA1">
        <w:trPr>
          <w:trHeight w:val="772"/>
        </w:trPr>
        <w:tc>
          <w:tcPr>
            <w:tcW w:w="2125" w:type="dxa"/>
            <w:gridSpan w:val="3"/>
          </w:tcPr>
          <w:p w14:paraId="3A06920E" w14:textId="766F232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Regulas Nr.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794/2004 11.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pants</w:t>
            </w:r>
          </w:p>
        </w:tc>
        <w:tc>
          <w:tcPr>
            <w:tcW w:w="2128" w:type="dxa"/>
          </w:tcPr>
          <w:p w14:paraId="291DEC71" w14:textId="7B1D024A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 xml:space="preserve">Noteikumu projekta 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1</w:t>
            </w:r>
            <w:r w:rsidR="001172C4" w:rsidRPr="004E66B1">
              <w:rPr>
                <w:rFonts w:ascii="Times New Roman" w:hAnsi="Times New Roman"/>
                <w:sz w:val="24"/>
                <w:szCs w:val="24"/>
              </w:rPr>
              <w:t>2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.</w:t>
            </w:r>
            <w:r w:rsidR="00E50CB1" w:rsidRPr="004E66B1">
              <w:rPr>
                <w:rFonts w:ascii="Times New Roman" w:hAnsi="Times New Roman"/>
                <w:sz w:val="24"/>
                <w:szCs w:val="24"/>
              </w:rPr>
              <w:t> 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punktā izteiktais noteikumu Nr. 295 28.</w:t>
            </w:r>
            <w:r w:rsidRPr="004E66B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punkts</w:t>
            </w:r>
          </w:p>
        </w:tc>
        <w:tc>
          <w:tcPr>
            <w:tcW w:w="2129" w:type="dxa"/>
          </w:tcPr>
          <w:p w14:paraId="7C047E38" w14:textId="7777777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Regulas Nr.794/2004 prasības tiek ieviestas pilnībā</w:t>
            </w:r>
          </w:p>
        </w:tc>
        <w:tc>
          <w:tcPr>
            <w:tcW w:w="2690" w:type="dxa"/>
          </w:tcPr>
          <w:p w14:paraId="536B1C02" w14:textId="7777777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7718B0" w:rsidRPr="004E66B1" w14:paraId="6B1B4C22" w14:textId="77777777" w:rsidTr="00EE6FA1">
        <w:trPr>
          <w:trHeight w:val="279"/>
        </w:trPr>
        <w:tc>
          <w:tcPr>
            <w:tcW w:w="2125" w:type="dxa"/>
            <w:gridSpan w:val="3"/>
          </w:tcPr>
          <w:p w14:paraId="5C7CF1E0" w14:textId="77777777" w:rsidR="007718B0" w:rsidRPr="004E66B1" w:rsidRDefault="007718B0" w:rsidP="007718B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normas.</w:t>
            </w:r>
          </w:p>
          <w:p w14:paraId="405812E4" w14:textId="7777777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Kādēļ?</w:t>
            </w:r>
          </w:p>
        </w:tc>
        <w:tc>
          <w:tcPr>
            <w:tcW w:w="6947" w:type="dxa"/>
            <w:gridSpan w:val="3"/>
          </w:tcPr>
          <w:p w14:paraId="0DD9799E" w14:textId="7777777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7718B0" w:rsidRPr="004E66B1" w14:paraId="63AC2E9D" w14:textId="77777777" w:rsidTr="00EE6FA1">
        <w:trPr>
          <w:trHeight w:val="279"/>
        </w:trPr>
        <w:tc>
          <w:tcPr>
            <w:tcW w:w="2125" w:type="dxa"/>
            <w:gridSpan w:val="3"/>
          </w:tcPr>
          <w:p w14:paraId="114494DD" w14:textId="77777777" w:rsidR="007718B0" w:rsidRPr="004E66B1" w:rsidRDefault="007718B0" w:rsidP="0077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Saistības sniegt paziņojumu ES institūcijām un ES </w:t>
            </w: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947" w:type="dxa"/>
            <w:gridSpan w:val="3"/>
          </w:tcPr>
          <w:p w14:paraId="0F0F93F7" w14:textId="7777777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7718B0" w:rsidRPr="004E66B1" w14:paraId="741AD70A" w14:textId="77777777" w:rsidTr="00EE6FA1">
        <w:trPr>
          <w:trHeight w:val="279"/>
        </w:trPr>
        <w:tc>
          <w:tcPr>
            <w:tcW w:w="2125" w:type="dxa"/>
            <w:gridSpan w:val="3"/>
          </w:tcPr>
          <w:p w14:paraId="5F852C9A" w14:textId="7777777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6947" w:type="dxa"/>
            <w:gridSpan w:val="3"/>
          </w:tcPr>
          <w:p w14:paraId="130CFB8C" w14:textId="77777777" w:rsidR="007718B0" w:rsidRPr="004E66B1" w:rsidRDefault="007718B0" w:rsidP="00771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4B888C7" w14:textId="77777777" w:rsidR="00721986" w:rsidRPr="004E66B1" w:rsidRDefault="00721986" w:rsidP="00721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21986" w:rsidRPr="004E66B1" w14:paraId="204A71B4" w14:textId="77777777" w:rsidTr="007B090D">
        <w:trPr>
          <w:trHeight w:val="279"/>
        </w:trPr>
        <w:tc>
          <w:tcPr>
            <w:tcW w:w="9072" w:type="dxa"/>
          </w:tcPr>
          <w:p w14:paraId="766414BA" w14:textId="77777777" w:rsidR="00721986" w:rsidRPr="004E66B1" w:rsidRDefault="00721986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2.tabula</w:t>
            </w:r>
          </w:p>
          <w:p w14:paraId="787C2CFC" w14:textId="77777777" w:rsidR="00721986" w:rsidRPr="004E66B1" w:rsidRDefault="00721986" w:rsidP="00EE6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14:paraId="4ED6C4D8" w14:textId="77777777" w:rsidR="00721986" w:rsidRPr="004E66B1" w:rsidRDefault="00721986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Pasākumi šo saistību izpildei</w:t>
            </w:r>
          </w:p>
        </w:tc>
      </w:tr>
      <w:tr w:rsidR="00721986" w:rsidRPr="004E66B1" w14:paraId="7FF8B206" w14:textId="77777777" w:rsidTr="007B090D">
        <w:trPr>
          <w:trHeight w:val="279"/>
        </w:trPr>
        <w:tc>
          <w:tcPr>
            <w:tcW w:w="9072" w:type="dxa"/>
          </w:tcPr>
          <w:p w14:paraId="62F8DB0F" w14:textId="77777777" w:rsidR="00721986" w:rsidRPr="004E66B1" w:rsidRDefault="00721986" w:rsidP="00EE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14:paraId="0A098B75" w14:textId="272F0E51" w:rsidR="005040F9" w:rsidRPr="004E66B1" w:rsidRDefault="005040F9" w:rsidP="00504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5749"/>
      </w:tblGrid>
      <w:tr w:rsidR="000330A2" w:rsidRPr="004E66B1" w14:paraId="378DA587" w14:textId="77777777" w:rsidTr="000D5268">
        <w:trPr>
          <w:trHeight w:val="421"/>
          <w:jc w:val="center"/>
        </w:trPr>
        <w:tc>
          <w:tcPr>
            <w:tcW w:w="9067" w:type="dxa"/>
            <w:gridSpan w:val="3"/>
            <w:vAlign w:val="center"/>
          </w:tcPr>
          <w:p w14:paraId="3E2549D1" w14:textId="77777777" w:rsidR="000330A2" w:rsidRPr="004E66B1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4E66B1">
              <w:rPr>
                <w:b/>
              </w:rPr>
              <w:t>VI. Sabiedrības līdzdalība un komunikācijas aktivitātes</w:t>
            </w:r>
          </w:p>
        </w:tc>
      </w:tr>
      <w:tr w:rsidR="000330A2" w:rsidRPr="004E66B1" w14:paraId="7562495C" w14:textId="77777777" w:rsidTr="000D5268">
        <w:trPr>
          <w:trHeight w:val="553"/>
          <w:jc w:val="center"/>
        </w:trPr>
        <w:tc>
          <w:tcPr>
            <w:tcW w:w="476" w:type="dxa"/>
          </w:tcPr>
          <w:p w14:paraId="5013F446" w14:textId="77777777" w:rsidR="000330A2" w:rsidRPr="004E66B1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14:paraId="288EFF2B" w14:textId="77777777" w:rsidR="000330A2" w:rsidRPr="004E66B1" w:rsidRDefault="000330A2" w:rsidP="00B84678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5749" w:type="dxa"/>
          </w:tcPr>
          <w:p w14:paraId="3BAA1A89" w14:textId="556B66E4" w:rsidR="000330A2" w:rsidRPr="004E66B1" w:rsidRDefault="001016E1" w:rsidP="00312C08">
            <w:pPr>
              <w:spacing w:after="0" w:line="240" w:lineRule="auto"/>
              <w:ind w:left="77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p61"/>
            <w:bookmarkEnd w:id="3"/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Sabiedrības līdzdalība</w:t>
            </w:r>
          </w:p>
          <w:p w14:paraId="10DFD104" w14:textId="64D005B0" w:rsidR="00AD46E1" w:rsidRPr="004E66B1" w:rsidRDefault="00AD46E1" w:rsidP="00312C08">
            <w:pPr>
              <w:spacing w:after="0" w:line="240" w:lineRule="auto"/>
              <w:ind w:left="77"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30A2" w:rsidRPr="004E66B1" w14:paraId="3BE43525" w14:textId="77777777" w:rsidTr="000D5268">
        <w:trPr>
          <w:trHeight w:val="339"/>
          <w:jc w:val="center"/>
        </w:trPr>
        <w:tc>
          <w:tcPr>
            <w:tcW w:w="476" w:type="dxa"/>
          </w:tcPr>
          <w:p w14:paraId="56A5567E" w14:textId="77777777" w:rsidR="000330A2" w:rsidRPr="004E66B1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14:paraId="1FF3F438" w14:textId="77777777" w:rsidR="000330A2" w:rsidRPr="004E66B1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749" w:type="dxa"/>
            <w:shd w:val="clear" w:color="auto" w:fill="auto"/>
          </w:tcPr>
          <w:p w14:paraId="5501AA04" w14:textId="360E194A" w:rsidR="000330A2" w:rsidRPr="004E66B1" w:rsidRDefault="00A8402A" w:rsidP="00EA3696">
            <w:pPr>
              <w:shd w:val="clear" w:color="auto" w:fill="FFFFFF"/>
              <w:spacing w:after="0" w:line="240" w:lineRule="auto"/>
              <w:ind w:left="7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2"/>
            <w:bookmarkEnd w:id="4"/>
            <w:r w:rsidRPr="004E66B1">
              <w:rPr>
                <w:rFonts w:ascii="Times New Roman" w:hAnsi="Times New Roman"/>
                <w:sz w:val="24"/>
                <w:szCs w:val="24"/>
              </w:rPr>
              <w:t xml:space="preserve">Informācija par noteikumu projektu no 2020. gada </w:t>
            </w:r>
            <w:r w:rsidR="001016E1" w:rsidRPr="004E66B1">
              <w:rPr>
                <w:rFonts w:ascii="Times New Roman" w:hAnsi="Times New Roman"/>
                <w:sz w:val="24"/>
                <w:szCs w:val="24"/>
              </w:rPr>
              <w:t>3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 xml:space="preserve">. līdz </w:t>
            </w:r>
            <w:r w:rsidR="001016E1" w:rsidRPr="004E66B1">
              <w:rPr>
                <w:rFonts w:ascii="Times New Roman" w:hAnsi="Times New Roman"/>
                <w:sz w:val="24"/>
                <w:szCs w:val="24"/>
              </w:rPr>
              <w:t>17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16E1" w:rsidRPr="004E66B1">
              <w:rPr>
                <w:rFonts w:ascii="Times New Roman" w:hAnsi="Times New Roman"/>
                <w:sz w:val="24"/>
                <w:szCs w:val="24"/>
              </w:rPr>
              <w:t>septembrim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4CC0">
              <w:rPr>
                <w:rFonts w:ascii="Times New Roman" w:hAnsi="Times New Roman"/>
                <w:sz w:val="24"/>
                <w:szCs w:val="24"/>
              </w:rPr>
              <w:t>bija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 xml:space="preserve"> ievietota Zemkopības ministrijas tīmekļvietnes sadaļā </w:t>
            </w:r>
            <w:r w:rsidR="00FA5458" w:rsidRPr="004E66B1">
              <w:rPr>
                <w:rFonts w:ascii="Times New Roman" w:hAnsi="Times New Roman"/>
                <w:sz w:val="24"/>
                <w:szCs w:val="24"/>
              </w:rPr>
              <w:t>“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 xml:space="preserve">Sabiedrības līdzdalība”, kā arī Ministru kabineta tīmekļvietnes sadaļā </w:t>
            </w:r>
            <w:r w:rsidR="00FA5458" w:rsidRPr="004E66B1">
              <w:rPr>
                <w:rFonts w:ascii="Times New Roman" w:hAnsi="Times New Roman"/>
                <w:sz w:val="24"/>
                <w:szCs w:val="24"/>
              </w:rPr>
              <w:t>“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>Sabiedrības līdzdalība”.</w:t>
            </w:r>
          </w:p>
        </w:tc>
      </w:tr>
      <w:tr w:rsidR="000330A2" w:rsidRPr="004E66B1" w14:paraId="20B34F31" w14:textId="77777777" w:rsidTr="000D5268">
        <w:trPr>
          <w:trHeight w:val="476"/>
          <w:jc w:val="center"/>
        </w:trPr>
        <w:tc>
          <w:tcPr>
            <w:tcW w:w="476" w:type="dxa"/>
          </w:tcPr>
          <w:p w14:paraId="3CD7902D" w14:textId="77777777" w:rsidR="000330A2" w:rsidRPr="004E66B1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42" w:type="dxa"/>
          </w:tcPr>
          <w:p w14:paraId="34C2EFFB" w14:textId="77777777" w:rsidR="000330A2" w:rsidRPr="004E66B1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5749" w:type="dxa"/>
            <w:shd w:val="clear" w:color="auto" w:fill="auto"/>
          </w:tcPr>
          <w:p w14:paraId="357D3DA9" w14:textId="1EFBCFB9" w:rsidR="007A5BC5" w:rsidRPr="004E66B1" w:rsidRDefault="00A8402A" w:rsidP="00AD7D94">
            <w:pPr>
              <w:shd w:val="clear" w:color="auto" w:fill="FFFFFF"/>
              <w:spacing w:after="0" w:line="240" w:lineRule="auto"/>
              <w:ind w:left="77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/>
                <w:sz w:val="24"/>
                <w:szCs w:val="24"/>
              </w:rPr>
              <w:t xml:space="preserve">Par Ministru kabineta </w:t>
            </w: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tīmekļvietnē </w:t>
            </w:r>
            <w:proofErr w:type="spellStart"/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www.mk.gov.lv</w:t>
            </w:r>
            <w:proofErr w:type="spellEnd"/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un Zemkopības ministrijas tīmekļvietnē </w:t>
            </w:r>
            <w:proofErr w:type="spellStart"/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www.zm.gov.lv</w:t>
            </w:r>
            <w:proofErr w:type="spellEnd"/>
            <w:r w:rsidRPr="004E66B1">
              <w:rPr>
                <w:rFonts w:ascii="Times New Roman" w:hAnsi="Times New Roman" w:cs="Times New Roman"/>
                <w:sz w:val="24"/>
                <w:szCs w:val="24"/>
              </w:rPr>
              <w:t xml:space="preserve"> ievietoto noteikumu projektu netika saņemti iebildumi</w:t>
            </w:r>
            <w:r w:rsidRPr="004E66B1">
              <w:rPr>
                <w:rFonts w:ascii="Times New Roman" w:hAnsi="Times New Roman"/>
                <w:sz w:val="24"/>
                <w:szCs w:val="24"/>
              </w:rPr>
              <w:t xml:space="preserve"> vai priekšlikumi.</w:t>
            </w:r>
          </w:p>
        </w:tc>
      </w:tr>
      <w:tr w:rsidR="000330A2" w:rsidRPr="004E66B1" w14:paraId="10E0C526" w14:textId="77777777" w:rsidTr="000D5268">
        <w:trPr>
          <w:trHeight w:val="476"/>
          <w:jc w:val="center"/>
        </w:trPr>
        <w:tc>
          <w:tcPr>
            <w:tcW w:w="476" w:type="dxa"/>
          </w:tcPr>
          <w:p w14:paraId="19F1D9A1" w14:textId="77777777" w:rsidR="000330A2" w:rsidRPr="004E66B1" w:rsidRDefault="000330A2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14:paraId="6E36AC42" w14:textId="77777777" w:rsidR="000330A2" w:rsidRPr="004E66B1" w:rsidRDefault="000330A2" w:rsidP="00B8467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749" w:type="dxa"/>
          </w:tcPr>
          <w:p w14:paraId="427B57B6" w14:textId="77777777" w:rsidR="000330A2" w:rsidRPr="004E66B1" w:rsidRDefault="000D5268" w:rsidP="00B84678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9F80917" w14:textId="77777777" w:rsidR="000330A2" w:rsidRPr="004E66B1" w:rsidRDefault="000330A2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1795E" w14:textId="77777777" w:rsidR="00472586" w:rsidRPr="004E66B1" w:rsidRDefault="00472586" w:rsidP="00033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015"/>
      </w:tblGrid>
      <w:tr w:rsidR="000330A2" w:rsidRPr="004E66B1" w14:paraId="2997EDE7" w14:textId="77777777" w:rsidTr="00472586">
        <w:trPr>
          <w:trHeight w:val="381"/>
          <w:jc w:val="center"/>
        </w:trPr>
        <w:tc>
          <w:tcPr>
            <w:tcW w:w="9067" w:type="dxa"/>
            <w:gridSpan w:val="3"/>
            <w:vAlign w:val="center"/>
          </w:tcPr>
          <w:p w14:paraId="1119E5F7" w14:textId="77777777" w:rsidR="000330A2" w:rsidRPr="004E66B1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4E66B1">
              <w:rPr>
                <w:b/>
              </w:rPr>
              <w:t>VII. Tiesību akta projekta izpildes nodrošināšana un tās ietekme uz institūcijām</w:t>
            </w:r>
          </w:p>
        </w:tc>
      </w:tr>
      <w:tr w:rsidR="00897834" w:rsidRPr="004E66B1" w14:paraId="44A62503" w14:textId="77777777" w:rsidTr="00472586">
        <w:trPr>
          <w:trHeight w:val="427"/>
          <w:jc w:val="center"/>
        </w:trPr>
        <w:tc>
          <w:tcPr>
            <w:tcW w:w="437" w:type="dxa"/>
          </w:tcPr>
          <w:p w14:paraId="448E8119" w14:textId="77777777" w:rsidR="00897834" w:rsidRPr="004E66B1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4E66B1">
              <w:t>1.</w:t>
            </w:r>
          </w:p>
        </w:tc>
        <w:tc>
          <w:tcPr>
            <w:tcW w:w="3615" w:type="dxa"/>
          </w:tcPr>
          <w:p w14:paraId="29FB6F2E" w14:textId="77777777" w:rsidR="00897834" w:rsidRPr="004E66B1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4E66B1">
              <w:t>Projekta izpildē iesaistītās institūcijas</w:t>
            </w:r>
          </w:p>
        </w:tc>
        <w:tc>
          <w:tcPr>
            <w:tcW w:w="5015" w:type="dxa"/>
          </w:tcPr>
          <w:p w14:paraId="2DE4FC0C" w14:textId="5A4D2657" w:rsidR="00897834" w:rsidRPr="004E66B1" w:rsidRDefault="00897834" w:rsidP="00BB41D0">
            <w:pPr>
              <w:pStyle w:val="naisnod"/>
              <w:spacing w:before="0" w:after="0"/>
              <w:ind w:left="57" w:right="57" w:hanging="57"/>
              <w:jc w:val="both"/>
            </w:pPr>
            <w:bookmarkStart w:id="5" w:name="p66"/>
            <w:bookmarkStart w:id="6" w:name="p67"/>
            <w:bookmarkStart w:id="7" w:name="p68"/>
            <w:bookmarkStart w:id="8" w:name="p69"/>
            <w:bookmarkEnd w:id="5"/>
            <w:bookmarkEnd w:id="6"/>
            <w:bookmarkEnd w:id="7"/>
            <w:bookmarkEnd w:id="8"/>
            <w:r w:rsidRPr="004E66B1">
              <w:rPr>
                <w:iCs/>
              </w:rPr>
              <w:t xml:space="preserve">Noteikumu projekta izpildi nodrošinās Zemkopības ministrija un </w:t>
            </w:r>
            <w:proofErr w:type="spellStart"/>
            <w:r w:rsidR="00383A0D" w:rsidRPr="004E66B1">
              <w:rPr>
                <w:iCs/>
              </w:rPr>
              <w:t>Altum</w:t>
            </w:r>
            <w:proofErr w:type="spellEnd"/>
            <w:r w:rsidRPr="004E66B1">
              <w:rPr>
                <w:iCs/>
              </w:rPr>
              <w:t>.</w:t>
            </w:r>
          </w:p>
        </w:tc>
      </w:tr>
      <w:tr w:rsidR="00897834" w:rsidRPr="004E66B1" w14:paraId="4371E2B0" w14:textId="77777777" w:rsidTr="00472586">
        <w:trPr>
          <w:trHeight w:val="463"/>
          <w:jc w:val="center"/>
        </w:trPr>
        <w:tc>
          <w:tcPr>
            <w:tcW w:w="437" w:type="dxa"/>
          </w:tcPr>
          <w:p w14:paraId="34E6B6F6" w14:textId="77777777" w:rsidR="00897834" w:rsidRPr="004E66B1" w:rsidRDefault="00897834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4E66B1">
              <w:t>2.</w:t>
            </w:r>
          </w:p>
        </w:tc>
        <w:tc>
          <w:tcPr>
            <w:tcW w:w="3615" w:type="dxa"/>
          </w:tcPr>
          <w:p w14:paraId="1205D12A" w14:textId="77777777" w:rsidR="00897834" w:rsidRPr="004E66B1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4E66B1">
              <w:t>Projekta izpildes ietekme uz pār</w:t>
            </w:r>
            <w:r w:rsidRPr="004E66B1">
              <w:softHyphen/>
              <w:t>valdes funkcijām un institucionālo struktūru.</w:t>
            </w:r>
          </w:p>
          <w:p w14:paraId="0435EAEA" w14:textId="77777777" w:rsidR="00897834" w:rsidRPr="004E66B1" w:rsidRDefault="00897834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4E66B1">
              <w:lastRenderedPageBreak/>
              <w:t>Jaunu institūciju izveide, esošu institūciju likvidācija vai reorga</w:t>
            </w:r>
            <w:r w:rsidRPr="004E66B1">
              <w:softHyphen/>
              <w:t>nizācija, to ietekme uz institūcijas cilvēkresursiem.</w:t>
            </w:r>
          </w:p>
        </w:tc>
        <w:tc>
          <w:tcPr>
            <w:tcW w:w="5015" w:type="dxa"/>
          </w:tcPr>
          <w:p w14:paraId="2381BE65" w14:textId="72B5088F" w:rsidR="00897834" w:rsidRPr="004E66B1" w:rsidRDefault="001742CC" w:rsidP="00BB41D0">
            <w:pPr>
              <w:pStyle w:val="naisnod"/>
              <w:spacing w:before="0" w:after="0"/>
              <w:ind w:left="57" w:right="57" w:hanging="57"/>
              <w:jc w:val="both"/>
            </w:pPr>
            <w:r w:rsidRPr="004E66B1">
              <w:lastRenderedPageBreak/>
              <w:t>Noteikumu p</w:t>
            </w:r>
            <w:r w:rsidR="00897834" w:rsidRPr="004E66B1">
              <w:t xml:space="preserve">rojekts </w:t>
            </w:r>
            <w:r w:rsidR="008544EA" w:rsidRPr="004E66B1">
              <w:t xml:space="preserve">neietekmē pārvaldes funkcijas un uzdevumus, </w:t>
            </w:r>
            <w:r w:rsidR="006C485A" w:rsidRPr="004E66B1">
              <w:t>ne</w:t>
            </w:r>
            <w:r w:rsidR="008544EA" w:rsidRPr="004E66B1">
              <w:t xml:space="preserve"> arī institucionālo struktūru.</w:t>
            </w:r>
          </w:p>
        </w:tc>
      </w:tr>
      <w:tr w:rsidR="000330A2" w:rsidRPr="004E66B1" w14:paraId="6367A2E8" w14:textId="77777777" w:rsidTr="00472586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40C" w14:textId="77777777" w:rsidR="000330A2" w:rsidRPr="004E66B1" w:rsidRDefault="000330A2" w:rsidP="00B84678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4E66B1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61F" w14:textId="77777777" w:rsidR="000330A2" w:rsidRPr="004E66B1" w:rsidRDefault="000330A2" w:rsidP="00B84678">
            <w:pPr>
              <w:pStyle w:val="naisf"/>
              <w:spacing w:before="0" w:beforeAutospacing="0" w:after="0" w:afterAutospacing="0"/>
              <w:ind w:left="57" w:right="57"/>
            </w:pPr>
            <w:r w:rsidRPr="004E66B1">
              <w:t>Cita informācija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215" w14:textId="77777777" w:rsidR="000330A2" w:rsidRPr="004E66B1" w:rsidRDefault="00897834" w:rsidP="00B8467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1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9E191F9" w14:textId="77777777" w:rsidR="00C56B69" w:rsidRPr="004E66B1" w:rsidRDefault="00C56B69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14:paraId="7DA9C250" w14:textId="77777777" w:rsidR="00C744C6" w:rsidRPr="004E66B1" w:rsidRDefault="00C744C6" w:rsidP="00760B61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14:paraId="7490747D" w14:textId="77777777" w:rsidR="00D60CAE" w:rsidRPr="004E66B1" w:rsidRDefault="00D60CAE" w:rsidP="00FD2AF8">
      <w:pPr>
        <w:spacing w:after="0" w:line="24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14:paraId="64D1E24F" w14:textId="33A780FA" w:rsidR="00360EDE" w:rsidRPr="004E66B1" w:rsidRDefault="00377716" w:rsidP="00FD2A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E66B1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="005065C4" w:rsidRPr="004E66B1">
        <w:rPr>
          <w:rFonts w:ascii="Times New Roman" w:eastAsia="Times New Roman" w:hAnsi="Times New Roman" w:cs="Times New Roman"/>
          <w:sz w:val="28"/>
          <w:szCs w:val="28"/>
        </w:rPr>
        <w:tab/>
      </w:r>
      <w:r w:rsidR="005065C4" w:rsidRPr="004E66B1">
        <w:rPr>
          <w:rFonts w:ascii="Times New Roman" w:eastAsia="Times New Roman" w:hAnsi="Times New Roman" w:cs="Times New Roman"/>
          <w:sz w:val="28"/>
          <w:szCs w:val="28"/>
        </w:rPr>
        <w:tab/>
      </w:r>
      <w:r w:rsidR="005065C4" w:rsidRPr="004E66B1">
        <w:rPr>
          <w:rFonts w:ascii="Times New Roman" w:eastAsia="Times New Roman" w:hAnsi="Times New Roman" w:cs="Times New Roman"/>
          <w:sz w:val="28"/>
          <w:szCs w:val="28"/>
        </w:rPr>
        <w:tab/>
      </w:r>
      <w:r w:rsidR="007F2196" w:rsidRPr="004E66B1">
        <w:rPr>
          <w:rFonts w:ascii="Times New Roman" w:eastAsia="Times New Roman" w:hAnsi="Times New Roman" w:cs="Times New Roman"/>
          <w:sz w:val="28"/>
          <w:szCs w:val="28"/>
        </w:rPr>
        <w:tab/>
      </w:r>
      <w:r w:rsidR="007F2196" w:rsidRPr="004E66B1">
        <w:rPr>
          <w:rFonts w:ascii="Times New Roman" w:eastAsia="Times New Roman" w:hAnsi="Times New Roman" w:cs="Times New Roman"/>
          <w:sz w:val="28"/>
          <w:szCs w:val="28"/>
        </w:rPr>
        <w:tab/>
      </w:r>
      <w:r w:rsidR="002828B4" w:rsidRPr="004E66B1">
        <w:rPr>
          <w:rFonts w:ascii="Times New Roman" w:eastAsia="Times New Roman" w:hAnsi="Times New Roman" w:cs="Times New Roman"/>
          <w:sz w:val="28"/>
          <w:szCs w:val="28"/>
        </w:rPr>
        <w:tab/>
      </w:r>
      <w:r w:rsidR="00E738DE" w:rsidRPr="004E66B1">
        <w:rPr>
          <w:rFonts w:ascii="Times New Roman" w:eastAsia="Times New Roman" w:hAnsi="Times New Roman" w:cs="Times New Roman"/>
          <w:sz w:val="28"/>
          <w:szCs w:val="28"/>
        </w:rPr>
        <w:t>K</w:t>
      </w:r>
      <w:r w:rsidR="002828B4" w:rsidRPr="004E66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38DE" w:rsidRPr="004E66B1">
        <w:rPr>
          <w:rFonts w:ascii="Times New Roman" w:eastAsia="Times New Roman" w:hAnsi="Times New Roman" w:cs="Times New Roman"/>
          <w:sz w:val="28"/>
          <w:szCs w:val="28"/>
        </w:rPr>
        <w:t>Gerhards</w:t>
      </w:r>
    </w:p>
    <w:p w14:paraId="62E3D720" w14:textId="77777777" w:rsidR="007F2196" w:rsidRPr="004E66B1" w:rsidRDefault="007F219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97855A" w14:textId="77777777" w:rsidR="00D60CAE" w:rsidRPr="004E66B1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E3B70B" w14:textId="77777777" w:rsidR="00D60CAE" w:rsidRPr="004E66B1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F209AB" w14:textId="77777777" w:rsidR="00D60CAE" w:rsidRPr="004E66B1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7D457" w14:textId="77777777" w:rsidR="00D60CAE" w:rsidRPr="004E66B1" w:rsidRDefault="00D60CAE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09D983" w14:textId="38EAB172" w:rsidR="00591097" w:rsidRPr="004E66B1" w:rsidRDefault="00591097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A62E78" w14:textId="68517314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B8BD08" w14:textId="25388B90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5424D5" w14:textId="1815E6DC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46337B" w14:textId="6F31B9F1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B73E98" w14:textId="4DE94AB9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E47E91" w14:textId="1DD82E9C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80D76A" w14:textId="2ED4AE96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3A895C" w14:textId="50B4523B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C38A09" w14:textId="589344A0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BC814C" w14:textId="6EB90BE9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0AD88A" w14:textId="5721F961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68D082" w14:textId="4913F600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D1319F" w14:textId="7D696F82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7CAC2" w14:textId="29DB3164" w:rsidR="00BA0B61" w:rsidRPr="004E66B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029082" w14:textId="526EBA7F" w:rsidR="00FD2AF8" w:rsidRPr="004E66B1" w:rsidRDefault="00FD2AF8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569DB" w14:textId="6DEB00F3" w:rsidR="00FD2AF8" w:rsidRPr="004E66B1" w:rsidRDefault="00FD2AF8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9056FF" w14:textId="1B66640F" w:rsidR="00FD2AF8" w:rsidRPr="004E66B1" w:rsidRDefault="00FD2AF8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194AD2" w14:textId="5F583D0B" w:rsidR="00FD2AF8" w:rsidRPr="004E66B1" w:rsidRDefault="00FD2AF8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2AB845" w14:textId="1CEC10C6" w:rsidR="00FD2AF8" w:rsidRPr="004E66B1" w:rsidRDefault="00FD2AF8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4C5060" w14:textId="35B4418D" w:rsidR="00FD2AF8" w:rsidRPr="004E66B1" w:rsidRDefault="00FD2AF8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438D6C" w14:textId="77777777" w:rsidR="00FD2AF8" w:rsidRPr="004E66B1" w:rsidRDefault="00FD2AF8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A5258" w14:textId="2FCDCBD6" w:rsidR="00BA0B61" w:rsidRDefault="00BA0B61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118D37" w14:textId="0D631A80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FC57B9" w14:textId="44BE2907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38BCB2" w14:textId="71ABD99E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C8843F" w14:textId="6F865CD8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A4C342" w14:textId="1BE366F6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F1B6BE" w14:textId="3CFC8CE3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B5AFAA" w14:textId="3820E65F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32ADA4" w14:textId="703C5254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52F53FB" w14:textId="13B59A94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F7E3CD" w14:textId="18EB069E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699865" w14:textId="6D08089F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3FA2DC" w14:textId="6C57CFB9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C8EB6F" w14:textId="59FCEBA5" w:rsidR="0058097B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E90F8D" w14:textId="77777777" w:rsidR="0058097B" w:rsidRPr="004E66B1" w:rsidRDefault="0058097B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</w:p>
    <w:p w14:paraId="2AEA2A24" w14:textId="77777777" w:rsidR="00472586" w:rsidRPr="004E66B1" w:rsidRDefault="00472586" w:rsidP="00760B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5F7FB7" w14:textId="3C0BC040" w:rsidR="00472586" w:rsidRPr="004E66B1" w:rsidRDefault="00472586" w:rsidP="00D64EC7">
      <w:pPr>
        <w:tabs>
          <w:tab w:val="left" w:pos="40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B414B0" w14:textId="77777777" w:rsidR="00377716" w:rsidRPr="004E66B1" w:rsidRDefault="00E738DE" w:rsidP="0037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B1">
        <w:rPr>
          <w:rFonts w:ascii="Times New Roman" w:hAnsi="Times New Roman" w:cs="Times New Roman"/>
          <w:sz w:val="24"/>
          <w:szCs w:val="24"/>
        </w:rPr>
        <w:t>Ozoliņa</w:t>
      </w:r>
      <w:r w:rsidR="00377716" w:rsidRPr="004E66B1">
        <w:rPr>
          <w:rFonts w:ascii="Times New Roman" w:hAnsi="Times New Roman" w:cs="Times New Roman"/>
          <w:sz w:val="24"/>
          <w:szCs w:val="24"/>
        </w:rPr>
        <w:t xml:space="preserve"> 67027</w:t>
      </w:r>
      <w:r w:rsidRPr="004E66B1">
        <w:rPr>
          <w:rFonts w:ascii="Times New Roman" w:hAnsi="Times New Roman" w:cs="Times New Roman"/>
          <w:sz w:val="24"/>
          <w:szCs w:val="24"/>
        </w:rPr>
        <w:t>301</w:t>
      </w:r>
    </w:p>
    <w:p w14:paraId="1C8A796F" w14:textId="1816A5CB" w:rsidR="000330A2" w:rsidRPr="00FD2AF8" w:rsidRDefault="00E738DE" w:rsidP="00377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6B1">
        <w:rPr>
          <w:rFonts w:ascii="Times New Roman" w:hAnsi="Times New Roman" w:cs="Times New Roman"/>
          <w:sz w:val="24"/>
          <w:szCs w:val="24"/>
        </w:rPr>
        <w:t>Ligija.Ozolina</w:t>
      </w:r>
      <w:r w:rsidR="00760B61" w:rsidRPr="004E66B1">
        <w:rPr>
          <w:rFonts w:ascii="Times New Roman" w:hAnsi="Times New Roman" w:cs="Times New Roman"/>
          <w:sz w:val="24"/>
          <w:szCs w:val="24"/>
        </w:rPr>
        <w:t>@zm.gov.lv</w:t>
      </w:r>
    </w:p>
    <w:sectPr w:rsidR="000330A2" w:rsidRPr="00FD2AF8" w:rsidSect="002828B4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8EB0" w14:textId="77777777" w:rsidR="00FE0458" w:rsidRDefault="00FE0458" w:rsidP="00B43E45">
      <w:pPr>
        <w:spacing w:after="0" w:line="240" w:lineRule="auto"/>
      </w:pPr>
      <w:r>
        <w:separator/>
      </w:r>
    </w:p>
  </w:endnote>
  <w:endnote w:type="continuationSeparator" w:id="0">
    <w:p w14:paraId="16861E69" w14:textId="77777777" w:rsidR="00FE0458" w:rsidRDefault="00FE0458" w:rsidP="00B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6B64E" w14:textId="50A0488A" w:rsidR="00AD293B" w:rsidRPr="00FD2AF8" w:rsidRDefault="00FD2AF8" w:rsidP="00FD2AF8">
    <w:pPr>
      <w:pStyle w:val="Footer"/>
    </w:pPr>
    <w:r w:rsidRPr="00FD2AF8">
      <w:rPr>
        <w:rFonts w:ascii="Times New Roman" w:hAnsi="Times New Roman" w:cs="Times New Roman"/>
        <w:sz w:val="20"/>
        <w:szCs w:val="20"/>
      </w:rPr>
      <w:t>ZManot_</w:t>
    </w:r>
    <w:r w:rsidR="00081ABF">
      <w:rPr>
        <w:rFonts w:ascii="Times New Roman" w:hAnsi="Times New Roman" w:cs="Times New Roman"/>
        <w:sz w:val="20"/>
        <w:szCs w:val="20"/>
      </w:rPr>
      <w:t>28</w:t>
    </w:r>
    <w:r w:rsidR="00743CA6">
      <w:rPr>
        <w:rFonts w:ascii="Times New Roman" w:hAnsi="Times New Roman" w:cs="Times New Roman"/>
        <w:sz w:val="20"/>
        <w:szCs w:val="20"/>
      </w:rPr>
      <w:t>12</w:t>
    </w:r>
    <w:r w:rsidRPr="00FD2AF8">
      <w:rPr>
        <w:rFonts w:ascii="Times New Roman" w:hAnsi="Times New Roman" w:cs="Times New Roman"/>
        <w:sz w:val="20"/>
        <w:szCs w:val="20"/>
      </w:rPr>
      <w:t>20_zemeskred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43E9" w14:textId="447A2DF3" w:rsidR="00AD293B" w:rsidRPr="00FD2AF8" w:rsidRDefault="00FD2AF8" w:rsidP="00FD2AF8">
    <w:pPr>
      <w:pStyle w:val="Footer"/>
    </w:pPr>
    <w:r w:rsidRPr="00FD2AF8">
      <w:rPr>
        <w:rFonts w:ascii="Times New Roman" w:hAnsi="Times New Roman" w:cs="Times New Roman"/>
        <w:sz w:val="20"/>
        <w:szCs w:val="20"/>
      </w:rPr>
      <w:t>ZManot_</w:t>
    </w:r>
    <w:r w:rsidR="00081ABF">
      <w:rPr>
        <w:rFonts w:ascii="Times New Roman" w:hAnsi="Times New Roman" w:cs="Times New Roman"/>
        <w:sz w:val="20"/>
        <w:szCs w:val="20"/>
      </w:rPr>
      <w:t>28</w:t>
    </w:r>
    <w:r w:rsidR="00743CA6">
      <w:rPr>
        <w:rFonts w:ascii="Times New Roman" w:hAnsi="Times New Roman" w:cs="Times New Roman"/>
        <w:sz w:val="20"/>
        <w:szCs w:val="20"/>
      </w:rPr>
      <w:t>12</w:t>
    </w:r>
    <w:r w:rsidRPr="00FD2AF8">
      <w:rPr>
        <w:rFonts w:ascii="Times New Roman" w:hAnsi="Times New Roman" w:cs="Times New Roman"/>
        <w:sz w:val="20"/>
        <w:szCs w:val="20"/>
      </w:rPr>
      <w:t>20_zemeskred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86483" w14:textId="77777777" w:rsidR="00FE0458" w:rsidRDefault="00FE0458" w:rsidP="00B43E45">
      <w:pPr>
        <w:spacing w:after="0" w:line="240" w:lineRule="auto"/>
      </w:pPr>
      <w:r>
        <w:separator/>
      </w:r>
    </w:p>
  </w:footnote>
  <w:footnote w:type="continuationSeparator" w:id="0">
    <w:p w14:paraId="7956C719" w14:textId="77777777" w:rsidR="00FE0458" w:rsidRDefault="00FE0458" w:rsidP="00B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1869789508"/>
      <w:docPartObj>
        <w:docPartGallery w:val="Page Numbers (Top of Page)"/>
        <w:docPartUnique/>
      </w:docPartObj>
    </w:sdtPr>
    <w:sdtEndPr/>
    <w:sdtContent>
      <w:p w14:paraId="56DFFCBA" w14:textId="77777777" w:rsidR="00AD293B" w:rsidRPr="00760B61" w:rsidRDefault="00AD293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760B61">
          <w:rPr>
            <w:rFonts w:ascii="Times New Roman" w:hAnsi="Times New Roman" w:cs="Times New Roman"/>
            <w:sz w:val="24"/>
          </w:rPr>
          <w:fldChar w:fldCharType="begin"/>
        </w:r>
        <w:r w:rsidRPr="00760B61">
          <w:rPr>
            <w:rFonts w:ascii="Times New Roman" w:hAnsi="Times New Roman" w:cs="Times New Roman"/>
            <w:sz w:val="24"/>
          </w:rPr>
          <w:instrText>PAGE   \* MERGEFORMAT</w:instrText>
        </w:r>
        <w:r w:rsidRPr="00760B61">
          <w:rPr>
            <w:rFonts w:ascii="Times New Roman" w:hAnsi="Times New Roman" w:cs="Times New Roman"/>
            <w:sz w:val="24"/>
          </w:rPr>
          <w:fldChar w:fldCharType="separate"/>
        </w:r>
        <w:r w:rsidR="009D4CC0">
          <w:rPr>
            <w:rFonts w:ascii="Times New Roman" w:hAnsi="Times New Roman" w:cs="Times New Roman"/>
            <w:noProof/>
            <w:sz w:val="24"/>
          </w:rPr>
          <w:t>8</w:t>
        </w:r>
        <w:r w:rsidRPr="00760B6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9EF43C2" w14:textId="77777777" w:rsidR="00AD293B" w:rsidRPr="00760B61" w:rsidRDefault="00AD293B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27092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17"/>
    <w:rsid w:val="00002603"/>
    <w:rsid w:val="000075BF"/>
    <w:rsid w:val="00010023"/>
    <w:rsid w:val="00013F94"/>
    <w:rsid w:val="00014F8A"/>
    <w:rsid w:val="00016DCA"/>
    <w:rsid w:val="0002122B"/>
    <w:rsid w:val="00021716"/>
    <w:rsid w:val="0002185D"/>
    <w:rsid w:val="00022E94"/>
    <w:rsid w:val="00026E88"/>
    <w:rsid w:val="000304CB"/>
    <w:rsid w:val="000330A2"/>
    <w:rsid w:val="000368BB"/>
    <w:rsid w:val="00041BE0"/>
    <w:rsid w:val="00047B6E"/>
    <w:rsid w:val="00051F44"/>
    <w:rsid w:val="00053934"/>
    <w:rsid w:val="0005547A"/>
    <w:rsid w:val="00066361"/>
    <w:rsid w:val="0007195C"/>
    <w:rsid w:val="00077EB0"/>
    <w:rsid w:val="00081898"/>
    <w:rsid w:val="00081ABF"/>
    <w:rsid w:val="00081C7B"/>
    <w:rsid w:val="0008235C"/>
    <w:rsid w:val="00084B4C"/>
    <w:rsid w:val="000862B0"/>
    <w:rsid w:val="00086C43"/>
    <w:rsid w:val="000911ED"/>
    <w:rsid w:val="00097805"/>
    <w:rsid w:val="00097A6C"/>
    <w:rsid w:val="000B2F72"/>
    <w:rsid w:val="000C5CCD"/>
    <w:rsid w:val="000C7505"/>
    <w:rsid w:val="000D234F"/>
    <w:rsid w:val="000D4676"/>
    <w:rsid w:val="000D5268"/>
    <w:rsid w:val="000D6F4B"/>
    <w:rsid w:val="000E1DDA"/>
    <w:rsid w:val="000E2095"/>
    <w:rsid w:val="000F173E"/>
    <w:rsid w:val="001002A1"/>
    <w:rsid w:val="00100DBE"/>
    <w:rsid w:val="001016E1"/>
    <w:rsid w:val="001022EF"/>
    <w:rsid w:val="0010345A"/>
    <w:rsid w:val="0010407A"/>
    <w:rsid w:val="001043BE"/>
    <w:rsid w:val="00105F2C"/>
    <w:rsid w:val="0010648A"/>
    <w:rsid w:val="0010792A"/>
    <w:rsid w:val="0011459C"/>
    <w:rsid w:val="00114A10"/>
    <w:rsid w:val="0011538F"/>
    <w:rsid w:val="00116FC9"/>
    <w:rsid w:val="001172C4"/>
    <w:rsid w:val="001174FE"/>
    <w:rsid w:val="00123517"/>
    <w:rsid w:val="00123C56"/>
    <w:rsid w:val="001266D5"/>
    <w:rsid w:val="00130FCE"/>
    <w:rsid w:val="00131F83"/>
    <w:rsid w:val="00140A54"/>
    <w:rsid w:val="00141721"/>
    <w:rsid w:val="001469F7"/>
    <w:rsid w:val="001546D7"/>
    <w:rsid w:val="00156501"/>
    <w:rsid w:val="00156732"/>
    <w:rsid w:val="00156EE9"/>
    <w:rsid w:val="00157E47"/>
    <w:rsid w:val="0016492B"/>
    <w:rsid w:val="00166EFF"/>
    <w:rsid w:val="001671C6"/>
    <w:rsid w:val="00167710"/>
    <w:rsid w:val="001707E7"/>
    <w:rsid w:val="0017175F"/>
    <w:rsid w:val="001742CC"/>
    <w:rsid w:val="00176AB8"/>
    <w:rsid w:val="001779A2"/>
    <w:rsid w:val="001866AA"/>
    <w:rsid w:val="0019255E"/>
    <w:rsid w:val="0019301D"/>
    <w:rsid w:val="001A134F"/>
    <w:rsid w:val="001A329C"/>
    <w:rsid w:val="001B0FA0"/>
    <w:rsid w:val="001B1B67"/>
    <w:rsid w:val="001B4367"/>
    <w:rsid w:val="001B47BA"/>
    <w:rsid w:val="001B7BBB"/>
    <w:rsid w:val="001B7E30"/>
    <w:rsid w:val="001B7FD9"/>
    <w:rsid w:val="001C17CB"/>
    <w:rsid w:val="001C27D3"/>
    <w:rsid w:val="001C650D"/>
    <w:rsid w:val="001C749C"/>
    <w:rsid w:val="001D2AEF"/>
    <w:rsid w:val="001D456D"/>
    <w:rsid w:val="001D4D27"/>
    <w:rsid w:val="001D6ED6"/>
    <w:rsid w:val="001D7E88"/>
    <w:rsid w:val="001E5E74"/>
    <w:rsid w:val="001F0435"/>
    <w:rsid w:val="001F0487"/>
    <w:rsid w:val="001F0D3D"/>
    <w:rsid w:val="001F15ED"/>
    <w:rsid w:val="001F6F8A"/>
    <w:rsid w:val="00200FC5"/>
    <w:rsid w:val="00204488"/>
    <w:rsid w:val="00204853"/>
    <w:rsid w:val="0021290C"/>
    <w:rsid w:val="00216F6B"/>
    <w:rsid w:val="00225DCD"/>
    <w:rsid w:val="00231EA6"/>
    <w:rsid w:val="00233632"/>
    <w:rsid w:val="00235122"/>
    <w:rsid w:val="00242BED"/>
    <w:rsid w:val="00250B28"/>
    <w:rsid w:val="00261B1D"/>
    <w:rsid w:val="0027190F"/>
    <w:rsid w:val="00272762"/>
    <w:rsid w:val="00276757"/>
    <w:rsid w:val="002804E3"/>
    <w:rsid w:val="002828B4"/>
    <w:rsid w:val="00283B15"/>
    <w:rsid w:val="00293920"/>
    <w:rsid w:val="002A64BB"/>
    <w:rsid w:val="002B08C5"/>
    <w:rsid w:val="002B1267"/>
    <w:rsid w:val="002B2D9D"/>
    <w:rsid w:val="002C4D48"/>
    <w:rsid w:val="002D3089"/>
    <w:rsid w:val="002E109D"/>
    <w:rsid w:val="002E5F72"/>
    <w:rsid w:val="002F11AB"/>
    <w:rsid w:val="002F2347"/>
    <w:rsid w:val="002F2BF5"/>
    <w:rsid w:val="002F3A45"/>
    <w:rsid w:val="002F4530"/>
    <w:rsid w:val="002F6AAA"/>
    <w:rsid w:val="003021EA"/>
    <w:rsid w:val="0030246B"/>
    <w:rsid w:val="00307596"/>
    <w:rsid w:val="0030796C"/>
    <w:rsid w:val="00311B8D"/>
    <w:rsid w:val="00312C08"/>
    <w:rsid w:val="00312DC4"/>
    <w:rsid w:val="00316A48"/>
    <w:rsid w:val="003201E3"/>
    <w:rsid w:val="0032029F"/>
    <w:rsid w:val="00322D55"/>
    <w:rsid w:val="00323AC7"/>
    <w:rsid w:val="00324176"/>
    <w:rsid w:val="00327E35"/>
    <w:rsid w:val="00335CC6"/>
    <w:rsid w:val="003364E9"/>
    <w:rsid w:val="00342462"/>
    <w:rsid w:val="00343905"/>
    <w:rsid w:val="003476C3"/>
    <w:rsid w:val="0034798B"/>
    <w:rsid w:val="003517C3"/>
    <w:rsid w:val="00351DA0"/>
    <w:rsid w:val="003547ED"/>
    <w:rsid w:val="00360EDE"/>
    <w:rsid w:val="00362D35"/>
    <w:rsid w:val="00363957"/>
    <w:rsid w:val="003665A2"/>
    <w:rsid w:val="003672AA"/>
    <w:rsid w:val="00367875"/>
    <w:rsid w:val="00374E0B"/>
    <w:rsid w:val="00375524"/>
    <w:rsid w:val="0037621D"/>
    <w:rsid w:val="00377716"/>
    <w:rsid w:val="00377CDE"/>
    <w:rsid w:val="00382933"/>
    <w:rsid w:val="00383A0D"/>
    <w:rsid w:val="00384D9E"/>
    <w:rsid w:val="00385344"/>
    <w:rsid w:val="003855B1"/>
    <w:rsid w:val="003857DB"/>
    <w:rsid w:val="003976DC"/>
    <w:rsid w:val="003A0D10"/>
    <w:rsid w:val="003A3420"/>
    <w:rsid w:val="003B4EB6"/>
    <w:rsid w:val="003C07D1"/>
    <w:rsid w:val="003C2841"/>
    <w:rsid w:val="003C3744"/>
    <w:rsid w:val="003C44C7"/>
    <w:rsid w:val="003C7CB9"/>
    <w:rsid w:val="003D01F4"/>
    <w:rsid w:val="003D42CB"/>
    <w:rsid w:val="003E0262"/>
    <w:rsid w:val="003E064E"/>
    <w:rsid w:val="003E46BB"/>
    <w:rsid w:val="004004E8"/>
    <w:rsid w:val="00402FEA"/>
    <w:rsid w:val="00406E59"/>
    <w:rsid w:val="004122BC"/>
    <w:rsid w:val="00420F0C"/>
    <w:rsid w:val="00422589"/>
    <w:rsid w:val="004250D0"/>
    <w:rsid w:val="00431E7C"/>
    <w:rsid w:val="00435D33"/>
    <w:rsid w:val="00442244"/>
    <w:rsid w:val="00442B15"/>
    <w:rsid w:val="00445F16"/>
    <w:rsid w:val="004465D8"/>
    <w:rsid w:val="00450DD5"/>
    <w:rsid w:val="0045155A"/>
    <w:rsid w:val="00455344"/>
    <w:rsid w:val="004562F1"/>
    <w:rsid w:val="00456875"/>
    <w:rsid w:val="00457C02"/>
    <w:rsid w:val="0046075E"/>
    <w:rsid w:val="004623D8"/>
    <w:rsid w:val="00463697"/>
    <w:rsid w:val="0046442D"/>
    <w:rsid w:val="00466533"/>
    <w:rsid w:val="00467AB9"/>
    <w:rsid w:val="00472586"/>
    <w:rsid w:val="00487C9C"/>
    <w:rsid w:val="00493A4B"/>
    <w:rsid w:val="00496AB1"/>
    <w:rsid w:val="004A3780"/>
    <w:rsid w:val="004A3AEE"/>
    <w:rsid w:val="004A589A"/>
    <w:rsid w:val="004B5266"/>
    <w:rsid w:val="004C306B"/>
    <w:rsid w:val="004C3CF7"/>
    <w:rsid w:val="004C54B4"/>
    <w:rsid w:val="004C59D6"/>
    <w:rsid w:val="004C70B3"/>
    <w:rsid w:val="004D0AA9"/>
    <w:rsid w:val="004D78E5"/>
    <w:rsid w:val="004E0136"/>
    <w:rsid w:val="004E1493"/>
    <w:rsid w:val="004E382A"/>
    <w:rsid w:val="004E39AE"/>
    <w:rsid w:val="004E66B1"/>
    <w:rsid w:val="004E6C70"/>
    <w:rsid w:val="004F7A5C"/>
    <w:rsid w:val="005016A5"/>
    <w:rsid w:val="005040F9"/>
    <w:rsid w:val="00504190"/>
    <w:rsid w:val="00506514"/>
    <w:rsid w:val="005065C4"/>
    <w:rsid w:val="00507388"/>
    <w:rsid w:val="005077D8"/>
    <w:rsid w:val="0051009C"/>
    <w:rsid w:val="0051477B"/>
    <w:rsid w:val="00515C1B"/>
    <w:rsid w:val="005206FF"/>
    <w:rsid w:val="00521CC2"/>
    <w:rsid w:val="00522DA8"/>
    <w:rsid w:val="00523895"/>
    <w:rsid w:val="005273E9"/>
    <w:rsid w:val="00530BD6"/>
    <w:rsid w:val="00531E80"/>
    <w:rsid w:val="00532397"/>
    <w:rsid w:val="00533734"/>
    <w:rsid w:val="00546130"/>
    <w:rsid w:val="005467B6"/>
    <w:rsid w:val="00552011"/>
    <w:rsid w:val="00552378"/>
    <w:rsid w:val="00555FC6"/>
    <w:rsid w:val="005567B3"/>
    <w:rsid w:val="00564F5A"/>
    <w:rsid w:val="0056577B"/>
    <w:rsid w:val="00567B9C"/>
    <w:rsid w:val="00572E20"/>
    <w:rsid w:val="005739D0"/>
    <w:rsid w:val="0058097B"/>
    <w:rsid w:val="00583D4F"/>
    <w:rsid w:val="0058492E"/>
    <w:rsid w:val="00585B2C"/>
    <w:rsid w:val="00591097"/>
    <w:rsid w:val="00596D2C"/>
    <w:rsid w:val="00596F50"/>
    <w:rsid w:val="00597E97"/>
    <w:rsid w:val="005A0451"/>
    <w:rsid w:val="005A2113"/>
    <w:rsid w:val="005A54F0"/>
    <w:rsid w:val="005B3D48"/>
    <w:rsid w:val="005B66F2"/>
    <w:rsid w:val="005C1705"/>
    <w:rsid w:val="005C496A"/>
    <w:rsid w:val="005D04F9"/>
    <w:rsid w:val="005D2DE3"/>
    <w:rsid w:val="005D43A4"/>
    <w:rsid w:val="005D6DB0"/>
    <w:rsid w:val="005D7130"/>
    <w:rsid w:val="005E0045"/>
    <w:rsid w:val="005E56C9"/>
    <w:rsid w:val="00601A77"/>
    <w:rsid w:val="00603435"/>
    <w:rsid w:val="00607C5B"/>
    <w:rsid w:val="006153B6"/>
    <w:rsid w:val="00615604"/>
    <w:rsid w:val="00622C51"/>
    <w:rsid w:val="00623DC5"/>
    <w:rsid w:val="00624918"/>
    <w:rsid w:val="00624D41"/>
    <w:rsid w:val="00633B2D"/>
    <w:rsid w:val="00635271"/>
    <w:rsid w:val="00636FF0"/>
    <w:rsid w:val="00640BC7"/>
    <w:rsid w:val="0064117C"/>
    <w:rsid w:val="00642BD2"/>
    <w:rsid w:val="00642E31"/>
    <w:rsid w:val="0064407D"/>
    <w:rsid w:val="006451B2"/>
    <w:rsid w:val="00645703"/>
    <w:rsid w:val="006544FF"/>
    <w:rsid w:val="00654BD5"/>
    <w:rsid w:val="00655B18"/>
    <w:rsid w:val="0065721F"/>
    <w:rsid w:val="00661528"/>
    <w:rsid w:val="006647D1"/>
    <w:rsid w:val="00665C0B"/>
    <w:rsid w:val="0067349C"/>
    <w:rsid w:val="0068244A"/>
    <w:rsid w:val="0068294F"/>
    <w:rsid w:val="00683687"/>
    <w:rsid w:val="00684952"/>
    <w:rsid w:val="0068772C"/>
    <w:rsid w:val="0069430E"/>
    <w:rsid w:val="0069590E"/>
    <w:rsid w:val="00697D93"/>
    <w:rsid w:val="006A0E02"/>
    <w:rsid w:val="006A1247"/>
    <w:rsid w:val="006A4D02"/>
    <w:rsid w:val="006A5178"/>
    <w:rsid w:val="006A6588"/>
    <w:rsid w:val="006C2BC1"/>
    <w:rsid w:val="006C485A"/>
    <w:rsid w:val="006D1591"/>
    <w:rsid w:val="006D41F8"/>
    <w:rsid w:val="006D439E"/>
    <w:rsid w:val="006D6341"/>
    <w:rsid w:val="006D6DBC"/>
    <w:rsid w:val="006E1094"/>
    <w:rsid w:val="006F1016"/>
    <w:rsid w:val="006F134D"/>
    <w:rsid w:val="006F14EA"/>
    <w:rsid w:val="006F5397"/>
    <w:rsid w:val="006F69C8"/>
    <w:rsid w:val="00703F24"/>
    <w:rsid w:val="007059B2"/>
    <w:rsid w:val="00712682"/>
    <w:rsid w:val="007147E6"/>
    <w:rsid w:val="00714B1A"/>
    <w:rsid w:val="00714B8F"/>
    <w:rsid w:val="00721986"/>
    <w:rsid w:val="00723E24"/>
    <w:rsid w:val="00726B5C"/>
    <w:rsid w:val="00727CCF"/>
    <w:rsid w:val="00732D1B"/>
    <w:rsid w:val="0073509D"/>
    <w:rsid w:val="00743CA6"/>
    <w:rsid w:val="0074564C"/>
    <w:rsid w:val="00751CC0"/>
    <w:rsid w:val="00751DC5"/>
    <w:rsid w:val="00753F17"/>
    <w:rsid w:val="00757E94"/>
    <w:rsid w:val="00760B61"/>
    <w:rsid w:val="0076284F"/>
    <w:rsid w:val="00766305"/>
    <w:rsid w:val="007663FE"/>
    <w:rsid w:val="007718B0"/>
    <w:rsid w:val="0077301B"/>
    <w:rsid w:val="0077530F"/>
    <w:rsid w:val="007766D1"/>
    <w:rsid w:val="0077671A"/>
    <w:rsid w:val="007816A7"/>
    <w:rsid w:val="007826A8"/>
    <w:rsid w:val="007827B4"/>
    <w:rsid w:val="007845F1"/>
    <w:rsid w:val="00787EDB"/>
    <w:rsid w:val="0079616A"/>
    <w:rsid w:val="007A09B1"/>
    <w:rsid w:val="007A175C"/>
    <w:rsid w:val="007A2564"/>
    <w:rsid w:val="007A5BC5"/>
    <w:rsid w:val="007A6B0A"/>
    <w:rsid w:val="007B090D"/>
    <w:rsid w:val="007B1F91"/>
    <w:rsid w:val="007C2124"/>
    <w:rsid w:val="007C49C9"/>
    <w:rsid w:val="007C50E2"/>
    <w:rsid w:val="007C55A0"/>
    <w:rsid w:val="007C55C8"/>
    <w:rsid w:val="007C6D6F"/>
    <w:rsid w:val="007D0225"/>
    <w:rsid w:val="007E05B4"/>
    <w:rsid w:val="007E2251"/>
    <w:rsid w:val="007E282D"/>
    <w:rsid w:val="007F0225"/>
    <w:rsid w:val="007F2196"/>
    <w:rsid w:val="007F71B9"/>
    <w:rsid w:val="007F7908"/>
    <w:rsid w:val="00800322"/>
    <w:rsid w:val="00802476"/>
    <w:rsid w:val="008178D0"/>
    <w:rsid w:val="0082562F"/>
    <w:rsid w:val="008300C9"/>
    <w:rsid w:val="008344F1"/>
    <w:rsid w:val="00837595"/>
    <w:rsid w:val="00843751"/>
    <w:rsid w:val="00843CF3"/>
    <w:rsid w:val="00845C3B"/>
    <w:rsid w:val="00846A9B"/>
    <w:rsid w:val="00850F01"/>
    <w:rsid w:val="0085229A"/>
    <w:rsid w:val="00852FAD"/>
    <w:rsid w:val="008544EA"/>
    <w:rsid w:val="008553BF"/>
    <w:rsid w:val="00860FF7"/>
    <w:rsid w:val="008634F2"/>
    <w:rsid w:val="008646DE"/>
    <w:rsid w:val="00874BDB"/>
    <w:rsid w:val="0088353A"/>
    <w:rsid w:val="00883BBD"/>
    <w:rsid w:val="00883CE9"/>
    <w:rsid w:val="00886FED"/>
    <w:rsid w:val="00890B7D"/>
    <w:rsid w:val="0089183A"/>
    <w:rsid w:val="00892C45"/>
    <w:rsid w:val="0089696C"/>
    <w:rsid w:val="00897834"/>
    <w:rsid w:val="008A046E"/>
    <w:rsid w:val="008A0A22"/>
    <w:rsid w:val="008A2B99"/>
    <w:rsid w:val="008B0D2C"/>
    <w:rsid w:val="008B3589"/>
    <w:rsid w:val="008B4DF4"/>
    <w:rsid w:val="008B784F"/>
    <w:rsid w:val="008C0BF1"/>
    <w:rsid w:val="008C144A"/>
    <w:rsid w:val="008D20CE"/>
    <w:rsid w:val="008D4188"/>
    <w:rsid w:val="008D5756"/>
    <w:rsid w:val="008E5E00"/>
    <w:rsid w:val="008E730A"/>
    <w:rsid w:val="008E7993"/>
    <w:rsid w:val="008F3993"/>
    <w:rsid w:val="008F6159"/>
    <w:rsid w:val="008F6324"/>
    <w:rsid w:val="00900DA1"/>
    <w:rsid w:val="00906770"/>
    <w:rsid w:val="00907AA9"/>
    <w:rsid w:val="00907DCD"/>
    <w:rsid w:val="00910112"/>
    <w:rsid w:val="00910456"/>
    <w:rsid w:val="009114A5"/>
    <w:rsid w:val="009154FF"/>
    <w:rsid w:val="009176C7"/>
    <w:rsid w:val="00917C72"/>
    <w:rsid w:val="0092023D"/>
    <w:rsid w:val="0092285A"/>
    <w:rsid w:val="00926303"/>
    <w:rsid w:val="00926510"/>
    <w:rsid w:val="00930C19"/>
    <w:rsid w:val="009401C7"/>
    <w:rsid w:val="0094128B"/>
    <w:rsid w:val="009422A3"/>
    <w:rsid w:val="009425B9"/>
    <w:rsid w:val="00945198"/>
    <w:rsid w:val="00945E3B"/>
    <w:rsid w:val="009526F9"/>
    <w:rsid w:val="00960020"/>
    <w:rsid w:val="009704F7"/>
    <w:rsid w:val="009709FB"/>
    <w:rsid w:val="00971149"/>
    <w:rsid w:val="00980384"/>
    <w:rsid w:val="009831EE"/>
    <w:rsid w:val="0098336F"/>
    <w:rsid w:val="009877C0"/>
    <w:rsid w:val="00990901"/>
    <w:rsid w:val="0099288B"/>
    <w:rsid w:val="009951EE"/>
    <w:rsid w:val="00996783"/>
    <w:rsid w:val="009975AA"/>
    <w:rsid w:val="009A1E04"/>
    <w:rsid w:val="009B1422"/>
    <w:rsid w:val="009B46E8"/>
    <w:rsid w:val="009B7E48"/>
    <w:rsid w:val="009C13D8"/>
    <w:rsid w:val="009C4405"/>
    <w:rsid w:val="009D00D4"/>
    <w:rsid w:val="009D1628"/>
    <w:rsid w:val="009D36DC"/>
    <w:rsid w:val="009D4CC0"/>
    <w:rsid w:val="009E38DE"/>
    <w:rsid w:val="009E4773"/>
    <w:rsid w:val="009F2889"/>
    <w:rsid w:val="009F3688"/>
    <w:rsid w:val="009F3BFD"/>
    <w:rsid w:val="009F3C65"/>
    <w:rsid w:val="009F5A78"/>
    <w:rsid w:val="00A0395E"/>
    <w:rsid w:val="00A104B2"/>
    <w:rsid w:val="00A12344"/>
    <w:rsid w:val="00A12A9E"/>
    <w:rsid w:val="00A20495"/>
    <w:rsid w:val="00A20552"/>
    <w:rsid w:val="00A242AC"/>
    <w:rsid w:val="00A2629E"/>
    <w:rsid w:val="00A321FC"/>
    <w:rsid w:val="00A32C1B"/>
    <w:rsid w:val="00A3463A"/>
    <w:rsid w:val="00A406A0"/>
    <w:rsid w:val="00A44157"/>
    <w:rsid w:val="00A446A3"/>
    <w:rsid w:val="00A463F5"/>
    <w:rsid w:val="00A467D1"/>
    <w:rsid w:val="00A4787B"/>
    <w:rsid w:val="00A531F3"/>
    <w:rsid w:val="00A533E7"/>
    <w:rsid w:val="00A53F68"/>
    <w:rsid w:val="00A57484"/>
    <w:rsid w:val="00A626C6"/>
    <w:rsid w:val="00A72F0F"/>
    <w:rsid w:val="00A7472A"/>
    <w:rsid w:val="00A800FB"/>
    <w:rsid w:val="00A80F40"/>
    <w:rsid w:val="00A8402A"/>
    <w:rsid w:val="00A92E75"/>
    <w:rsid w:val="00A973E7"/>
    <w:rsid w:val="00A9765A"/>
    <w:rsid w:val="00AA1F0B"/>
    <w:rsid w:val="00AA5504"/>
    <w:rsid w:val="00AB620C"/>
    <w:rsid w:val="00AB7351"/>
    <w:rsid w:val="00AC0091"/>
    <w:rsid w:val="00AD1229"/>
    <w:rsid w:val="00AD12DF"/>
    <w:rsid w:val="00AD2186"/>
    <w:rsid w:val="00AD293B"/>
    <w:rsid w:val="00AD46E1"/>
    <w:rsid w:val="00AD5994"/>
    <w:rsid w:val="00AD7D94"/>
    <w:rsid w:val="00AE2A5D"/>
    <w:rsid w:val="00AE3DCA"/>
    <w:rsid w:val="00AE4C84"/>
    <w:rsid w:val="00AF1AC7"/>
    <w:rsid w:val="00AF501E"/>
    <w:rsid w:val="00AF509A"/>
    <w:rsid w:val="00B00DAC"/>
    <w:rsid w:val="00B01F70"/>
    <w:rsid w:val="00B11EB6"/>
    <w:rsid w:val="00B12EC7"/>
    <w:rsid w:val="00B20472"/>
    <w:rsid w:val="00B21093"/>
    <w:rsid w:val="00B21745"/>
    <w:rsid w:val="00B219AC"/>
    <w:rsid w:val="00B223E3"/>
    <w:rsid w:val="00B27E05"/>
    <w:rsid w:val="00B304B3"/>
    <w:rsid w:val="00B36BEC"/>
    <w:rsid w:val="00B43E45"/>
    <w:rsid w:val="00B469DE"/>
    <w:rsid w:val="00B4783A"/>
    <w:rsid w:val="00B50131"/>
    <w:rsid w:val="00B51075"/>
    <w:rsid w:val="00B515C9"/>
    <w:rsid w:val="00B570D0"/>
    <w:rsid w:val="00B60291"/>
    <w:rsid w:val="00B63703"/>
    <w:rsid w:val="00B675A1"/>
    <w:rsid w:val="00B81831"/>
    <w:rsid w:val="00B84678"/>
    <w:rsid w:val="00B87356"/>
    <w:rsid w:val="00B8765B"/>
    <w:rsid w:val="00B91A42"/>
    <w:rsid w:val="00B95608"/>
    <w:rsid w:val="00B95B54"/>
    <w:rsid w:val="00B97A44"/>
    <w:rsid w:val="00BA05CF"/>
    <w:rsid w:val="00BA0B61"/>
    <w:rsid w:val="00BA2802"/>
    <w:rsid w:val="00BA28FF"/>
    <w:rsid w:val="00BA2BE8"/>
    <w:rsid w:val="00BA6EAA"/>
    <w:rsid w:val="00BB0EA1"/>
    <w:rsid w:val="00BB41D0"/>
    <w:rsid w:val="00BB699C"/>
    <w:rsid w:val="00BC5440"/>
    <w:rsid w:val="00BD079F"/>
    <w:rsid w:val="00BD16C6"/>
    <w:rsid w:val="00BD242A"/>
    <w:rsid w:val="00BD290E"/>
    <w:rsid w:val="00BD3C6F"/>
    <w:rsid w:val="00BD41CA"/>
    <w:rsid w:val="00BD7262"/>
    <w:rsid w:val="00BD7A8D"/>
    <w:rsid w:val="00BE5E81"/>
    <w:rsid w:val="00BE66E7"/>
    <w:rsid w:val="00BE6829"/>
    <w:rsid w:val="00BE76E1"/>
    <w:rsid w:val="00BE7BFF"/>
    <w:rsid w:val="00BF0816"/>
    <w:rsid w:val="00BF23E4"/>
    <w:rsid w:val="00BF2BC7"/>
    <w:rsid w:val="00BF3CBF"/>
    <w:rsid w:val="00BF404A"/>
    <w:rsid w:val="00BF4CB4"/>
    <w:rsid w:val="00BF4ED6"/>
    <w:rsid w:val="00C01474"/>
    <w:rsid w:val="00C0203F"/>
    <w:rsid w:val="00C10E3A"/>
    <w:rsid w:val="00C1549C"/>
    <w:rsid w:val="00C24697"/>
    <w:rsid w:val="00C36B23"/>
    <w:rsid w:val="00C53AC3"/>
    <w:rsid w:val="00C54405"/>
    <w:rsid w:val="00C56B69"/>
    <w:rsid w:val="00C65C25"/>
    <w:rsid w:val="00C67877"/>
    <w:rsid w:val="00C70631"/>
    <w:rsid w:val="00C70E93"/>
    <w:rsid w:val="00C71ACD"/>
    <w:rsid w:val="00C729F9"/>
    <w:rsid w:val="00C744C6"/>
    <w:rsid w:val="00C75EDA"/>
    <w:rsid w:val="00C8607F"/>
    <w:rsid w:val="00C90AAA"/>
    <w:rsid w:val="00C95603"/>
    <w:rsid w:val="00C95C7E"/>
    <w:rsid w:val="00C965C9"/>
    <w:rsid w:val="00CA0A47"/>
    <w:rsid w:val="00CA1638"/>
    <w:rsid w:val="00CA437A"/>
    <w:rsid w:val="00CA441C"/>
    <w:rsid w:val="00CA4C24"/>
    <w:rsid w:val="00CA79A8"/>
    <w:rsid w:val="00CB33C7"/>
    <w:rsid w:val="00CC0F36"/>
    <w:rsid w:val="00CC1126"/>
    <w:rsid w:val="00CC232A"/>
    <w:rsid w:val="00CC3BD8"/>
    <w:rsid w:val="00CC5644"/>
    <w:rsid w:val="00CC60AB"/>
    <w:rsid w:val="00CC61C0"/>
    <w:rsid w:val="00CD1AF2"/>
    <w:rsid w:val="00CD2873"/>
    <w:rsid w:val="00CD5E8B"/>
    <w:rsid w:val="00CE27F6"/>
    <w:rsid w:val="00CE49BE"/>
    <w:rsid w:val="00CE64E7"/>
    <w:rsid w:val="00CE6EAF"/>
    <w:rsid w:val="00D1129C"/>
    <w:rsid w:val="00D14D9D"/>
    <w:rsid w:val="00D24EBD"/>
    <w:rsid w:val="00D26751"/>
    <w:rsid w:val="00D3731A"/>
    <w:rsid w:val="00D42917"/>
    <w:rsid w:val="00D432BF"/>
    <w:rsid w:val="00D459B5"/>
    <w:rsid w:val="00D463AC"/>
    <w:rsid w:val="00D50C5E"/>
    <w:rsid w:val="00D51688"/>
    <w:rsid w:val="00D5294D"/>
    <w:rsid w:val="00D52FF0"/>
    <w:rsid w:val="00D60CAE"/>
    <w:rsid w:val="00D61415"/>
    <w:rsid w:val="00D61929"/>
    <w:rsid w:val="00D640D8"/>
    <w:rsid w:val="00D646CE"/>
    <w:rsid w:val="00D64EC7"/>
    <w:rsid w:val="00D659C0"/>
    <w:rsid w:val="00D90DA2"/>
    <w:rsid w:val="00D96C7F"/>
    <w:rsid w:val="00D96F94"/>
    <w:rsid w:val="00DA04A3"/>
    <w:rsid w:val="00DA51A2"/>
    <w:rsid w:val="00DB346E"/>
    <w:rsid w:val="00DB40DF"/>
    <w:rsid w:val="00DB7CED"/>
    <w:rsid w:val="00DC02EC"/>
    <w:rsid w:val="00DC0942"/>
    <w:rsid w:val="00DC16AB"/>
    <w:rsid w:val="00DC2734"/>
    <w:rsid w:val="00DC7087"/>
    <w:rsid w:val="00DD0709"/>
    <w:rsid w:val="00DD0931"/>
    <w:rsid w:val="00DD6D12"/>
    <w:rsid w:val="00DD7622"/>
    <w:rsid w:val="00DE2CB0"/>
    <w:rsid w:val="00DE4275"/>
    <w:rsid w:val="00DE6537"/>
    <w:rsid w:val="00DE66A3"/>
    <w:rsid w:val="00DF4AC9"/>
    <w:rsid w:val="00E01F43"/>
    <w:rsid w:val="00E0319C"/>
    <w:rsid w:val="00E03BF3"/>
    <w:rsid w:val="00E21169"/>
    <w:rsid w:val="00E244BF"/>
    <w:rsid w:val="00E30E5D"/>
    <w:rsid w:val="00E323E5"/>
    <w:rsid w:val="00E34B81"/>
    <w:rsid w:val="00E35434"/>
    <w:rsid w:val="00E36846"/>
    <w:rsid w:val="00E36CF7"/>
    <w:rsid w:val="00E3730B"/>
    <w:rsid w:val="00E4544A"/>
    <w:rsid w:val="00E46780"/>
    <w:rsid w:val="00E46804"/>
    <w:rsid w:val="00E471EC"/>
    <w:rsid w:val="00E50CB1"/>
    <w:rsid w:val="00E5143B"/>
    <w:rsid w:val="00E53A44"/>
    <w:rsid w:val="00E5607A"/>
    <w:rsid w:val="00E61E70"/>
    <w:rsid w:val="00E6531E"/>
    <w:rsid w:val="00E67931"/>
    <w:rsid w:val="00E71685"/>
    <w:rsid w:val="00E729FD"/>
    <w:rsid w:val="00E738DE"/>
    <w:rsid w:val="00E73C75"/>
    <w:rsid w:val="00E744DB"/>
    <w:rsid w:val="00E814E3"/>
    <w:rsid w:val="00E85767"/>
    <w:rsid w:val="00EA167B"/>
    <w:rsid w:val="00EA2C82"/>
    <w:rsid w:val="00EA2DBD"/>
    <w:rsid w:val="00EA3696"/>
    <w:rsid w:val="00EA39DF"/>
    <w:rsid w:val="00EA5E9B"/>
    <w:rsid w:val="00EB0E1B"/>
    <w:rsid w:val="00EB17E9"/>
    <w:rsid w:val="00EC04DB"/>
    <w:rsid w:val="00EC56F7"/>
    <w:rsid w:val="00ED0D36"/>
    <w:rsid w:val="00ED42AE"/>
    <w:rsid w:val="00EE1762"/>
    <w:rsid w:val="00EE482F"/>
    <w:rsid w:val="00EE65BD"/>
    <w:rsid w:val="00EF11FA"/>
    <w:rsid w:val="00EF2106"/>
    <w:rsid w:val="00EF7050"/>
    <w:rsid w:val="00F0537F"/>
    <w:rsid w:val="00F07D0E"/>
    <w:rsid w:val="00F07FF6"/>
    <w:rsid w:val="00F103CD"/>
    <w:rsid w:val="00F1743B"/>
    <w:rsid w:val="00F21594"/>
    <w:rsid w:val="00F21E85"/>
    <w:rsid w:val="00F25E7D"/>
    <w:rsid w:val="00F276B1"/>
    <w:rsid w:val="00F3532B"/>
    <w:rsid w:val="00F36B4C"/>
    <w:rsid w:val="00F37113"/>
    <w:rsid w:val="00F45297"/>
    <w:rsid w:val="00F4672A"/>
    <w:rsid w:val="00F50513"/>
    <w:rsid w:val="00F57401"/>
    <w:rsid w:val="00F65E7E"/>
    <w:rsid w:val="00F75F4A"/>
    <w:rsid w:val="00F81B1D"/>
    <w:rsid w:val="00F8293B"/>
    <w:rsid w:val="00F91423"/>
    <w:rsid w:val="00F91C12"/>
    <w:rsid w:val="00F92F96"/>
    <w:rsid w:val="00F96E8D"/>
    <w:rsid w:val="00FA2EDE"/>
    <w:rsid w:val="00FA35E2"/>
    <w:rsid w:val="00FA5458"/>
    <w:rsid w:val="00FB3181"/>
    <w:rsid w:val="00FB389B"/>
    <w:rsid w:val="00FC1781"/>
    <w:rsid w:val="00FC1BA6"/>
    <w:rsid w:val="00FC55DF"/>
    <w:rsid w:val="00FC5B63"/>
    <w:rsid w:val="00FD2AF8"/>
    <w:rsid w:val="00FE0458"/>
    <w:rsid w:val="00FE10BB"/>
    <w:rsid w:val="00FE72ED"/>
    <w:rsid w:val="00FF0D25"/>
    <w:rsid w:val="00FF3A20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,"/>
  <w:listSeparator w:val=";"/>
  <w14:docId w14:val="6F7B8B9E"/>
  <w15:docId w15:val="{946123A0-5802-48E8-A3A5-94B1152B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0DBE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0330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30A2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nod">
    <w:name w:val="naisnod"/>
    <w:basedOn w:val="Normal"/>
    <w:uiPriority w:val="99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rsid w:val="0003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E45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4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E45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45"/>
    <w:rPr>
      <w:rFonts w:ascii="Tahoma" w:eastAsiaTheme="minorEastAsia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unhideWhenUsed/>
    <w:rsid w:val="00B846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405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05"/>
    <w:rPr>
      <w:rFonts w:eastAsiaTheme="minorEastAsia"/>
      <w:b/>
      <w:bCs/>
      <w:sz w:val="20"/>
      <w:szCs w:val="20"/>
      <w:lang w:eastAsia="lv-LV"/>
    </w:rPr>
  </w:style>
  <w:style w:type="paragraph" w:customStyle="1" w:styleId="Default">
    <w:name w:val="Default"/>
    <w:rsid w:val="00100DBE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E72E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BA6"/>
    <w:pPr>
      <w:ind w:left="720"/>
      <w:contextualSpacing/>
    </w:pPr>
  </w:style>
  <w:style w:type="table" w:styleId="TableGrid">
    <w:name w:val="Table Grid"/>
    <w:basedOn w:val="TableNormal"/>
    <w:uiPriority w:val="59"/>
    <w:rsid w:val="0080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5268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DA51A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408/oj/?locale=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AC85-7CEA-4FAD-A0BB-A32B008A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11415</Words>
  <Characters>6507</Characters>
  <Application>Microsoft Office Word</Application>
  <DocSecurity>0</DocSecurity>
  <Lines>54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2018.gada 22.maija noteikumos Nr.295 "Valsts atbalsta piešķiršanas kārtība lauksaimniecībā izmantojamās zemes iegādei lauksaimniecības produkcijas ražošanai"</vt:lpstr>
      <vt:lpstr>Grozījumi MInistru kabineta 2013.gada 17.decembra noteikumos Nr.1524 "Noteikumi par valsts atbalstu lauksaimniecībai"</vt:lpstr>
    </vt:vector>
  </TitlesOfParts>
  <Company>Zemkopības Ministrija</Company>
  <LinksUpToDate>false</LinksUpToDate>
  <CharactersWithSpaces>17887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2018.gada 22.maija noteikumos Nr.295 "Valsts atbalsta piešķiršanas kārtība lauksaimniecībā izmantojamās zemes iegādei lauksaimniecības produkcijas ražošanai"</dc:title>
  <dc:subject>Anotācija</dc:subject>
  <dc:creator>Ligija Ozoliņa</dc:creator>
  <dc:description>Ozoliņa 67027301_x000d_
Ligija.Ozolina@zm.gov.lv</dc:description>
  <cp:lastModifiedBy>Ligija Ozoliņa</cp:lastModifiedBy>
  <cp:revision>6</cp:revision>
  <cp:lastPrinted>2019-10-10T13:29:00Z</cp:lastPrinted>
  <dcterms:created xsi:type="dcterms:W3CDTF">2020-12-23T07:17:00Z</dcterms:created>
  <dcterms:modified xsi:type="dcterms:W3CDTF">2020-12-28T12:01:00Z</dcterms:modified>
</cp:coreProperties>
</file>