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649FC" w14:textId="2C6A6106" w:rsidR="00894C55" w:rsidRPr="00536584" w:rsidRDefault="00314C33" w:rsidP="005E1A76">
      <w:pPr>
        <w:shd w:val="clear" w:color="auto" w:fill="FFFFFF"/>
        <w:jc w:val="center"/>
        <w:rPr>
          <w:b/>
          <w:bCs/>
          <w:lang w:eastAsia="lv-LV"/>
        </w:rPr>
      </w:pPr>
      <w:bookmarkStart w:id="0" w:name="_Hlk21942622"/>
      <w:r w:rsidRPr="00536584">
        <w:rPr>
          <w:b/>
          <w:bCs/>
          <w:lang w:eastAsia="lv-LV"/>
        </w:rPr>
        <w:t>Likumprojekta "Grozījumi likumā "Par darbinieku aizsardzību darba devēja maksātnespējas gadījum</w:t>
      </w:r>
      <w:r w:rsidR="004B1EF8">
        <w:rPr>
          <w:b/>
          <w:bCs/>
          <w:lang w:eastAsia="lv-LV"/>
        </w:rPr>
        <w:t>ā</w:t>
      </w:r>
      <w:r w:rsidRPr="00536584">
        <w:rPr>
          <w:b/>
          <w:bCs/>
          <w:lang w:eastAsia="lv-LV"/>
        </w:rPr>
        <w:t xml:space="preserve">"" </w:t>
      </w:r>
      <w:r w:rsidR="00894C55" w:rsidRPr="00536584">
        <w:rPr>
          <w:b/>
          <w:bCs/>
          <w:lang w:eastAsia="lv-LV"/>
        </w:rPr>
        <w:t>sākotnējās ietekmes novērtējuma ziņojums (anotācija)</w:t>
      </w:r>
    </w:p>
    <w:p w14:paraId="20E1429B" w14:textId="77777777" w:rsidR="00E5323B" w:rsidRPr="00314C33" w:rsidRDefault="00E5323B" w:rsidP="005E1A76">
      <w:pPr>
        <w:shd w:val="clear" w:color="auto" w:fill="FFFFFF"/>
        <w:jc w:val="center"/>
        <w:rPr>
          <w:b/>
          <w:bCs/>
          <w:sz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314C33" w:rsidRPr="00E51BC0" w14:paraId="2E21607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C50A19" w14:textId="77777777" w:rsidR="00655F2C" w:rsidRPr="00E51BC0" w:rsidRDefault="00E5323B" w:rsidP="005E1A76">
            <w:pPr>
              <w:jc w:val="center"/>
              <w:rPr>
                <w:b/>
                <w:bCs/>
                <w:iCs/>
                <w:lang w:eastAsia="lv-LV"/>
              </w:rPr>
            </w:pPr>
            <w:r w:rsidRPr="00E51BC0">
              <w:rPr>
                <w:b/>
                <w:bCs/>
                <w:iCs/>
                <w:lang w:eastAsia="lv-LV"/>
              </w:rPr>
              <w:t>Tiesību akta projekta anotācijas kopsavilkums</w:t>
            </w:r>
          </w:p>
        </w:tc>
      </w:tr>
      <w:tr w:rsidR="00314C33" w:rsidRPr="00E51BC0" w14:paraId="21F0A17D" w14:textId="77777777" w:rsidTr="00C50DAB">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517E609D" w14:textId="77777777" w:rsidR="00E5323B" w:rsidRPr="00E51BC0" w:rsidRDefault="00E5323B" w:rsidP="005E1A76">
            <w:pPr>
              <w:rPr>
                <w:iCs/>
                <w:lang w:eastAsia="lv-LV"/>
              </w:rPr>
            </w:pPr>
            <w:r w:rsidRPr="00E51BC0">
              <w:rPr>
                <w:iCs/>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47AD2C3C" w14:textId="7375C651" w:rsidR="00B80121" w:rsidRDefault="00870FA7" w:rsidP="005E1A76">
            <w:pPr>
              <w:jc w:val="both"/>
              <w:rPr>
                <w:iCs/>
                <w:lang w:eastAsia="lv-LV"/>
              </w:rPr>
            </w:pPr>
            <w:r w:rsidRPr="00E51BC0">
              <w:rPr>
                <w:iCs/>
                <w:lang w:eastAsia="lv-LV"/>
              </w:rPr>
              <w:t>Likumprojekts izstrādāts, ievērojot likuma "Par darbinieku aizsardzību darba devēja maksātnespējas gadījumā"</w:t>
            </w:r>
            <w:r w:rsidR="008A1F02" w:rsidRPr="00E51BC0">
              <w:rPr>
                <w:iCs/>
                <w:lang w:eastAsia="lv-LV"/>
              </w:rPr>
              <w:t xml:space="preserve"> (turpmāk – Darbinieku aizsardzības likums)</w:t>
            </w:r>
            <w:r w:rsidRPr="00E51BC0">
              <w:rPr>
                <w:iCs/>
                <w:lang w:eastAsia="lv-LV"/>
              </w:rPr>
              <w:t xml:space="preserve"> piemērošanā konstatētās nepilnības</w:t>
            </w:r>
            <w:r w:rsidR="00D6468E">
              <w:rPr>
                <w:iCs/>
                <w:lang w:eastAsia="lv-LV"/>
              </w:rPr>
              <w:t xml:space="preserve">. Likumprojekts ietver regulējumu saistībā ar  </w:t>
            </w:r>
            <w:r w:rsidR="00956615" w:rsidRPr="00E51BC0">
              <w:rPr>
                <w:iCs/>
                <w:lang w:eastAsia="lv-LV"/>
              </w:rPr>
              <w:t>Elektroniskās maksātnespējas uzskaites sistēmas</w:t>
            </w:r>
            <w:r w:rsidR="009013BA" w:rsidRPr="00E51BC0">
              <w:rPr>
                <w:iCs/>
                <w:lang w:eastAsia="lv-LV"/>
              </w:rPr>
              <w:t xml:space="preserve"> (turpmāk – Sistēma)</w:t>
            </w:r>
            <w:r w:rsidR="00956615" w:rsidRPr="00E51BC0">
              <w:rPr>
                <w:iCs/>
                <w:lang w:eastAsia="lv-LV"/>
              </w:rPr>
              <w:t xml:space="preserve"> darbību</w:t>
            </w:r>
            <w:r w:rsidR="00D6468E">
              <w:rPr>
                <w:iCs/>
                <w:lang w:eastAsia="lv-LV"/>
              </w:rPr>
              <w:t>, ar likumprojektu</w:t>
            </w:r>
            <w:r w:rsidR="00956615" w:rsidRPr="00E51BC0">
              <w:rPr>
                <w:iCs/>
                <w:lang w:eastAsia="lv-LV"/>
              </w:rPr>
              <w:t xml:space="preserve"> tiks veikti tehniski grozījumi, lai </w:t>
            </w:r>
            <w:r w:rsidR="00984A70" w:rsidRPr="00E51BC0">
              <w:rPr>
                <w:iCs/>
                <w:lang w:eastAsia="lv-LV"/>
              </w:rPr>
              <w:t xml:space="preserve">salāgotu </w:t>
            </w:r>
            <w:r w:rsidR="009A14C8" w:rsidRPr="00E51BC0">
              <w:rPr>
                <w:iCs/>
                <w:lang w:eastAsia="lv-LV"/>
              </w:rPr>
              <w:t>Darbinieku aizsardzības likum</w:t>
            </w:r>
            <w:r w:rsidR="00620067" w:rsidRPr="00E51BC0">
              <w:rPr>
                <w:iCs/>
                <w:lang w:eastAsia="lv-LV"/>
              </w:rPr>
              <w:t>a</w:t>
            </w:r>
            <w:r w:rsidR="009A14C8" w:rsidRPr="00E51BC0">
              <w:rPr>
                <w:iCs/>
                <w:lang w:eastAsia="lv-LV"/>
              </w:rPr>
              <w:t xml:space="preserve"> regulējumu</w:t>
            </w:r>
            <w:r w:rsidR="00034942" w:rsidRPr="00E51BC0">
              <w:rPr>
                <w:iCs/>
                <w:lang w:eastAsia="lv-LV"/>
              </w:rPr>
              <w:t xml:space="preserve"> ar </w:t>
            </w:r>
            <w:r w:rsidR="00F03D3B" w:rsidRPr="00E51BC0">
              <w:rPr>
                <w:iCs/>
                <w:lang w:eastAsia="lv-LV"/>
              </w:rPr>
              <w:t xml:space="preserve">pēdējā laikā pieņemtajiem grozījumiem </w:t>
            </w:r>
            <w:r w:rsidR="009A14C8" w:rsidRPr="00E51BC0">
              <w:rPr>
                <w:iCs/>
                <w:lang w:eastAsia="lv-LV"/>
              </w:rPr>
              <w:t xml:space="preserve">maksātnespējas jomu </w:t>
            </w:r>
            <w:r w:rsidR="00F03D3B" w:rsidRPr="00E51BC0">
              <w:rPr>
                <w:iCs/>
                <w:lang w:eastAsia="lv-LV"/>
              </w:rPr>
              <w:t>regulējošajos tiesību aktos</w:t>
            </w:r>
            <w:r w:rsidR="00B80121">
              <w:rPr>
                <w:iCs/>
                <w:lang w:eastAsia="lv-LV"/>
              </w:rPr>
              <w:t>.</w:t>
            </w:r>
          </w:p>
          <w:p w14:paraId="13861BA3" w14:textId="77777777" w:rsidR="00E51BC0" w:rsidRPr="00E51BC0" w:rsidRDefault="00E51BC0">
            <w:pPr>
              <w:jc w:val="both"/>
              <w:rPr>
                <w:iCs/>
                <w:lang w:eastAsia="lv-LV"/>
              </w:rPr>
            </w:pPr>
          </w:p>
          <w:p w14:paraId="146FD950" w14:textId="1BC6CA44" w:rsidR="00604AEE" w:rsidRPr="00E51BC0" w:rsidRDefault="00394711">
            <w:pPr>
              <w:jc w:val="both"/>
              <w:rPr>
                <w:iCs/>
                <w:lang w:eastAsia="lv-LV"/>
              </w:rPr>
            </w:pPr>
            <w:r>
              <w:rPr>
                <w:iCs/>
                <w:lang w:eastAsia="lv-LV"/>
              </w:rPr>
              <w:t xml:space="preserve">Likumprojekts stāsies spēkā vispārējā kārtībā. </w:t>
            </w:r>
          </w:p>
        </w:tc>
      </w:tr>
    </w:tbl>
    <w:p w14:paraId="27700091" w14:textId="77777777" w:rsidR="00E5323B" w:rsidRPr="00314C33" w:rsidRDefault="00E5323B" w:rsidP="005E1A76">
      <w:pPr>
        <w:rPr>
          <w:iCs/>
          <w:lang w:val="sv-SE" w:eastAsia="lv-LV"/>
        </w:rPr>
      </w:pPr>
      <w:r w:rsidRPr="00314C33">
        <w:rPr>
          <w:iCs/>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581"/>
        <w:gridCol w:w="2246"/>
        <w:gridCol w:w="6228"/>
      </w:tblGrid>
      <w:tr w:rsidR="00314C33" w:rsidRPr="00E51BC0" w14:paraId="3F2282ED" w14:textId="77777777" w:rsidTr="00C50D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D29172" w14:textId="77777777" w:rsidR="00655F2C" w:rsidRPr="00E51BC0" w:rsidRDefault="00E5323B">
            <w:pPr>
              <w:jc w:val="center"/>
              <w:rPr>
                <w:b/>
                <w:bCs/>
                <w:iCs/>
                <w:lang w:eastAsia="lv-LV"/>
              </w:rPr>
            </w:pPr>
            <w:r w:rsidRPr="00E51BC0">
              <w:rPr>
                <w:b/>
                <w:bCs/>
                <w:iCs/>
                <w:lang w:eastAsia="lv-LV"/>
              </w:rPr>
              <w:t>I. Tiesību akta projekta izstrādes nepieciešamība</w:t>
            </w:r>
          </w:p>
        </w:tc>
      </w:tr>
      <w:tr w:rsidR="00314C33" w:rsidRPr="00E51BC0" w14:paraId="18B7AC0C" w14:textId="77777777" w:rsidTr="00852460">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A05A700" w14:textId="77777777" w:rsidR="00655F2C" w:rsidRPr="00E51BC0" w:rsidRDefault="00E5323B" w:rsidP="005E1A76">
            <w:pPr>
              <w:rPr>
                <w:iCs/>
                <w:lang w:eastAsia="lv-LV"/>
              </w:rPr>
            </w:pPr>
            <w:r w:rsidRPr="00E51BC0">
              <w:rPr>
                <w:iCs/>
                <w:lang w:eastAsia="lv-LV"/>
              </w:rPr>
              <w:t>1.</w:t>
            </w:r>
          </w:p>
        </w:tc>
        <w:tc>
          <w:tcPr>
            <w:tcW w:w="122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5E469DE" w14:textId="77777777" w:rsidR="00E5323B" w:rsidRPr="00E51BC0" w:rsidRDefault="00E5323B">
            <w:pPr>
              <w:rPr>
                <w:iCs/>
                <w:lang w:eastAsia="lv-LV"/>
              </w:rPr>
            </w:pPr>
            <w:r w:rsidRPr="00E51BC0">
              <w:rPr>
                <w:iCs/>
                <w:lang w:eastAsia="lv-LV"/>
              </w:rPr>
              <w:t>Pamatojums</w:t>
            </w:r>
          </w:p>
        </w:tc>
        <w:tc>
          <w:tcPr>
            <w:tcW w:w="341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6BE2C56" w14:textId="08BC695C" w:rsidR="00B80121" w:rsidRPr="00E51BC0" w:rsidRDefault="00B2763E">
            <w:pPr>
              <w:shd w:val="clear" w:color="auto" w:fill="FFFFFF" w:themeFill="background1"/>
              <w:jc w:val="both"/>
              <w:rPr>
                <w:iCs/>
                <w:lang w:eastAsia="lv-LV"/>
              </w:rPr>
            </w:pPr>
            <w:r>
              <w:rPr>
                <w:iCs/>
                <w:lang w:eastAsia="lv-LV"/>
              </w:rPr>
              <w:t xml:space="preserve">Tieslietu ministrijas iniciatīva attiecībā uz grozījumiem, kas saistīti ar </w:t>
            </w:r>
            <w:r w:rsidR="0069174C" w:rsidRPr="00E51BC0">
              <w:rPr>
                <w:iCs/>
                <w:lang w:eastAsia="lv-LV"/>
              </w:rPr>
              <w:t>Darbinieku aizsardzības likuma piemērošanā konstatēt</w:t>
            </w:r>
            <w:r>
              <w:rPr>
                <w:iCs/>
                <w:lang w:eastAsia="lv-LV"/>
              </w:rPr>
              <w:t>ajām</w:t>
            </w:r>
            <w:r w:rsidR="0069174C" w:rsidRPr="00E51BC0">
              <w:rPr>
                <w:iCs/>
                <w:lang w:eastAsia="lv-LV"/>
              </w:rPr>
              <w:t xml:space="preserve"> nepilnīb</w:t>
            </w:r>
            <w:r>
              <w:rPr>
                <w:iCs/>
                <w:lang w:eastAsia="lv-LV"/>
              </w:rPr>
              <w:t>ām</w:t>
            </w:r>
            <w:r w:rsidR="0069174C" w:rsidRPr="00E51BC0">
              <w:rPr>
                <w:iCs/>
                <w:lang w:eastAsia="lv-LV"/>
              </w:rPr>
              <w:t xml:space="preserve">, </w:t>
            </w:r>
            <w:r w:rsidR="00DC28BE" w:rsidRPr="00E51BC0">
              <w:rPr>
                <w:iCs/>
                <w:lang w:eastAsia="lv-LV"/>
              </w:rPr>
              <w:t>2016. gada 22. decembra likums "Grozījumi Maksātnespējas likumā"</w:t>
            </w:r>
            <w:r w:rsidR="00D80A1F" w:rsidRPr="00E51BC0">
              <w:rPr>
                <w:rStyle w:val="FootnoteReference"/>
                <w:iCs/>
                <w:lang w:eastAsia="lv-LV"/>
              </w:rPr>
              <w:footnoteReference w:id="1"/>
            </w:r>
            <w:r w:rsidR="00DC28BE" w:rsidRPr="00E51BC0">
              <w:rPr>
                <w:iCs/>
                <w:lang w:eastAsia="lv-LV"/>
              </w:rPr>
              <w:t xml:space="preserve">, </w:t>
            </w:r>
            <w:r w:rsidR="00C40C7C" w:rsidRPr="00E51BC0">
              <w:rPr>
                <w:iCs/>
                <w:lang w:eastAsia="lv-LV"/>
              </w:rPr>
              <w:t xml:space="preserve">2018. gada </w:t>
            </w:r>
            <w:r w:rsidR="00D80A1F" w:rsidRPr="00E51BC0">
              <w:rPr>
                <w:iCs/>
                <w:lang w:eastAsia="lv-LV"/>
              </w:rPr>
              <w:t>31. maija likums "Grozījumi Maksātnespējas likumā".</w:t>
            </w:r>
            <w:r w:rsidR="00C17DAA" w:rsidRPr="00E51BC0">
              <w:rPr>
                <w:rStyle w:val="FootnoteReference"/>
                <w:iCs/>
                <w:lang w:eastAsia="lv-LV"/>
              </w:rPr>
              <w:footnoteReference w:id="2"/>
            </w:r>
            <w:r w:rsidR="00B80121">
              <w:rPr>
                <w:iCs/>
                <w:lang w:eastAsia="lv-LV"/>
              </w:rPr>
              <w:t xml:space="preserve"> </w:t>
            </w:r>
          </w:p>
        </w:tc>
      </w:tr>
      <w:tr w:rsidR="00314C33" w:rsidRPr="00E51BC0" w14:paraId="5BF8C136" w14:textId="77777777" w:rsidTr="00852460">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95002CD" w14:textId="77777777" w:rsidR="00655F2C" w:rsidRPr="00E51BC0" w:rsidRDefault="00E5323B" w:rsidP="005E1A76">
            <w:pPr>
              <w:rPr>
                <w:iCs/>
                <w:lang w:eastAsia="lv-LV"/>
              </w:rPr>
            </w:pPr>
            <w:r w:rsidRPr="00E51BC0">
              <w:rPr>
                <w:iCs/>
                <w:lang w:eastAsia="lv-LV"/>
              </w:rPr>
              <w:t>2.</w:t>
            </w:r>
          </w:p>
        </w:tc>
        <w:tc>
          <w:tcPr>
            <w:tcW w:w="122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D886662" w14:textId="77777777" w:rsidR="00E5323B" w:rsidRPr="00E51BC0" w:rsidRDefault="00E5323B">
            <w:pPr>
              <w:rPr>
                <w:iCs/>
                <w:lang w:eastAsia="lv-LV"/>
              </w:rPr>
            </w:pPr>
            <w:r w:rsidRPr="00E51BC0">
              <w:rPr>
                <w:iCs/>
                <w:lang w:eastAsia="lv-LV"/>
              </w:rPr>
              <w:t>Pašreizējā situācija un problēmas, kuru risināšanai tiesību akta projekts izstrādāts, tiesiskā regulējuma mērķis un būtība</w:t>
            </w:r>
          </w:p>
        </w:tc>
        <w:tc>
          <w:tcPr>
            <w:tcW w:w="3414" w:type="pct"/>
            <w:tcBorders>
              <w:top w:val="outset" w:sz="6" w:space="0" w:color="auto"/>
              <w:left w:val="outset" w:sz="6" w:space="0" w:color="auto"/>
              <w:bottom w:val="outset" w:sz="6" w:space="0" w:color="auto"/>
              <w:right w:val="outset" w:sz="6" w:space="0" w:color="auto"/>
            </w:tcBorders>
            <w:shd w:val="clear" w:color="auto" w:fill="FFFFFF" w:themeFill="background1"/>
          </w:tcPr>
          <w:p w14:paraId="1FB014CC" w14:textId="0C34B8D2" w:rsidR="00A554B2" w:rsidRPr="00E51BC0" w:rsidRDefault="001A4BBA">
            <w:pPr>
              <w:jc w:val="both"/>
              <w:rPr>
                <w:b/>
                <w:bCs/>
                <w:iCs/>
                <w:u w:val="single"/>
                <w:lang w:eastAsia="lv-LV"/>
              </w:rPr>
            </w:pPr>
            <w:r w:rsidRPr="00E51BC0">
              <w:rPr>
                <w:b/>
                <w:bCs/>
                <w:iCs/>
                <w:u w:val="single"/>
                <w:lang w:eastAsia="lv-LV"/>
              </w:rPr>
              <w:t>[1] </w:t>
            </w:r>
            <w:r w:rsidR="00A554B2" w:rsidRPr="00E51BC0">
              <w:rPr>
                <w:b/>
                <w:bCs/>
                <w:iCs/>
                <w:u w:val="single"/>
                <w:lang w:eastAsia="lv-LV"/>
              </w:rPr>
              <w:t>Darbinieku aizsardzības likuma piemērošanā konstatētās nepilnības un problēmas.</w:t>
            </w:r>
          </w:p>
          <w:p w14:paraId="5DA302F0" w14:textId="77777777" w:rsidR="005D189D" w:rsidRPr="00E51BC0" w:rsidRDefault="005D189D">
            <w:pPr>
              <w:ind w:firstLine="533"/>
              <w:jc w:val="both"/>
              <w:rPr>
                <w:b/>
                <w:bCs/>
                <w:iCs/>
                <w:u w:val="single"/>
                <w:lang w:eastAsia="lv-LV"/>
              </w:rPr>
            </w:pPr>
          </w:p>
          <w:p w14:paraId="5A811D4C" w14:textId="4C24E974" w:rsidR="00E51BC0" w:rsidRDefault="001A4BBA">
            <w:pPr>
              <w:jc w:val="both"/>
              <w:rPr>
                <w:iCs/>
                <w:lang w:eastAsia="lv-LV"/>
              </w:rPr>
            </w:pPr>
            <w:r w:rsidRPr="00E51BC0">
              <w:rPr>
                <w:b/>
                <w:bCs/>
                <w:iCs/>
                <w:lang w:eastAsia="lv-LV"/>
              </w:rPr>
              <w:t>1.1.</w:t>
            </w:r>
            <w:r w:rsidRPr="00E51BC0">
              <w:rPr>
                <w:iCs/>
                <w:lang w:eastAsia="lv-LV"/>
              </w:rPr>
              <w:t> </w:t>
            </w:r>
            <w:r w:rsidR="00A554B2" w:rsidRPr="00E51BC0">
              <w:rPr>
                <w:iCs/>
                <w:lang w:eastAsia="lv-LV"/>
              </w:rPr>
              <w:t>Darbinieku prasījumu apmierināšanas vispārīg</w:t>
            </w:r>
            <w:r w:rsidR="00280212" w:rsidRPr="00E51BC0">
              <w:rPr>
                <w:iCs/>
                <w:lang w:eastAsia="lv-LV"/>
              </w:rPr>
              <w:t xml:space="preserve">ie noteikumi </w:t>
            </w:r>
            <w:r w:rsidR="005D5B23" w:rsidRPr="00E51BC0">
              <w:rPr>
                <w:iCs/>
                <w:lang w:eastAsia="lv-LV"/>
              </w:rPr>
              <w:t xml:space="preserve">paredzēti </w:t>
            </w:r>
            <w:r w:rsidR="00280212" w:rsidRPr="00E51BC0">
              <w:rPr>
                <w:iCs/>
                <w:lang w:eastAsia="lv-LV"/>
              </w:rPr>
              <w:t>Darbinieku aizsardzības likumā. Darbinieku aizsardzības likuma 3. panta pirmās</w:t>
            </w:r>
            <w:r w:rsidR="00480C95" w:rsidRPr="00E51BC0">
              <w:rPr>
                <w:iCs/>
                <w:lang w:eastAsia="lv-LV"/>
              </w:rPr>
              <w:t xml:space="preserve"> daļas 1. punkts noteic, ka no </w:t>
            </w:r>
            <w:r w:rsidR="00F67393" w:rsidRPr="00E51BC0">
              <w:rPr>
                <w:iCs/>
                <w:lang w:eastAsia="lv-LV"/>
              </w:rPr>
              <w:t xml:space="preserve">darbinieku prasījumu garantiju fonda (turpmāk – fonds) </w:t>
            </w:r>
            <w:r w:rsidR="00B2763E">
              <w:rPr>
                <w:iCs/>
                <w:lang w:eastAsia="lv-LV"/>
              </w:rPr>
              <w:t xml:space="preserve">līdzekļiem </w:t>
            </w:r>
            <w:r w:rsidR="00A554B2" w:rsidRPr="00E51BC0">
              <w:rPr>
                <w:iCs/>
                <w:lang w:eastAsia="lv-LV"/>
              </w:rPr>
              <w:t>apmierina to personu prasījumus, kuras pirms darba devēja maksātnespējas gadījuma iestāšanās ir bijušas vai kurām turpinās pirms maksātnespējas gadījuma iestāšanās uzsāktās darba tiesiskās attiecības ar darba devēju, kam pasludināts juridiskās personas maksātnespējas process, un par kuru prasījumiem maksātnespējīgā darba devēja maksātnespējas procesa administrators (turpmāk – administrators) pieņēmis lēmumu par kreditor</w:t>
            </w:r>
            <w:r w:rsidR="00F77268">
              <w:rPr>
                <w:iCs/>
                <w:lang w:eastAsia="lv-LV"/>
              </w:rPr>
              <w:t>a</w:t>
            </w:r>
            <w:r w:rsidR="00A554B2" w:rsidRPr="00E51BC0">
              <w:rPr>
                <w:iCs/>
                <w:lang w:eastAsia="lv-LV"/>
              </w:rPr>
              <w:t xml:space="preserve"> prasījum</w:t>
            </w:r>
            <w:r w:rsidR="00F77268">
              <w:rPr>
                <w:iCs/>
                <w:lang w:eastAsia="lv-LV"/>
              </w:rPr>
              <w:t>a</w:t>
            </w:r>
            <w:r w:rsidR="00A554B2" w:rsidRPr="00E51BC0">
              <w:rPr>
                <w:iCs/>
                <w:lang w:eastAsia="lv-LV"/>
              </w:rPr>
              <w:t xml:space="preserve"> atzīšanu un iekļāvis tos kreditoru prasījumu reģistrā.</w:t>
            </w:r>
          </w:p>
          <w:p w14:paraId="104339D0" w14:textId="77777777" w:rsidR="004138B9" w:rsidRDefault="004138B9">
            <w:pPr>
              <w:jc w:val="both"/>
              <w:rPr>
                <w:iCs/>
                <w:lang w:eastAsia="lv-LV"/>
              </w:rPr>
            </w:pPr>
          </w:p>
          <w:p w14:paraId="15463EE5" w14:textId="7627A030" w:rsidR="00A554B2" w:rsidRPr="00E51BC0" w:rsidRDefault="00A554B2">
            <w:pPr>
              <w:jc w:val="both"/>
              <w:rPr>
                <w:iCs/>
                <w:lang w:eastAsia="lv-LV"/>
              </w:rPr>
            </w:pPr>
            <w:r w:rsidRPr="00E51BC0">
              <w:rPr>
                <w:iCs/>
                <w:lang w:eastAsia="lv-LV"/>
              </w:rPr>
              <w:t>Saskaņā ar Darbinieku aizsardzības likuma 4.</w:t>
            </w:r>
            <w:r w:rsidR="00A37FB5" w:rsidRPr="00E51BC0">
              <w:rPr>
                <w:iCs/>
                <w:lang w:eastAsia="lv-LV"/>
              </w:rPr>
              <w:t> </w:t>
            </w:r>
            <w:r w:rsidRPr="00E51BC0">
              <w:rPr>
                <w:iCs/>
                <w:lang w:eastAsia="lv-LV"/>
              </w:rPr>
              <w:t>panta pirmās daļas 4.</w:t>
            </w:r>
            <w:r w:rsidR="00644CD3">
              <w:rPr>
                <w:iCs/>
                <w:lang w:eastAsia="lv-LV"/>
              </w:rPr>
              <w:t> </w:t>
            </w:r>
            <w:r w:rsidRPr="00E51BC0">
              <w:rPr>
                <w:iCs/>
                <w:lang w:eastAsia="lv-LV"/>
              </w:rPr>
              <w:t>punktu un 5.</w:t>
            </w:r>
            <w:r w:rsidR="00644CD3">
              <w:rPr>
                <w:iCs/>
                <w:lang w:eastAsia="lv-LV"/>
              </w:rPr>
              <w:t> </w:t>
            </w:r>
            <w:r w:rsidRPr="00E51BC0">
              <w:rPr>
                <w:iCs/>
                <w:lang w:eastAsia="lv-LV"/>
              </w:rPr>
              <w:t>panta pirmās daļas 4.</w:t>
            </w:r>
            <w:r w:rsidR="00644CD3">
              <w:rPr>
                <w:iCs/>
                <w:lang w:eastAsia="lv-LV"/>
              </w:rPr>
              <w:t> </w:t>
            </w:r>
            <w:r w:rsidRPr="00E51BC0">
              <w:rPr>
                <w:iCs/>
                <w:lang w:eastAsia="lv-LV"/>
              </w:rPr>
              <w:t xml:space="preserve">punktu no fonda līdzekļiem apmierina darbinieku prasījumus par atlaišanas pabalstu sakarā ar darba tiesisko attiecību izbeigšanos Darba </w:t>
            </w:r>
            <w:r w:rsidRPr="00E51BC0">
              <w:rPr>
                <w:iCs/>
                <w:lang w:eastAsia="lv-LV"/>
              </w:rPr>
              <w:lastRenderedPageBreak/>
              <w:t>likum</w:t>
            </w:r>
            <w:r w:rsidR="00E12628">
              <w:rPr>
                <w:iCs/>
                <w:lang w:eastAsia="lv-LV"/>
              </w:rPr>
              <w:t>ā</w:t>
            </w:r>
            <w:r w:rsidRPr="00E51BC0">
              <w:rPr>
                <w:iCs/>
                <w:lang w:eastAsia="lv-LV"/>
              </w:rPr>
              <w:t xml:space="preserve"> noteiktajos gadījumos, uz kuru tiesības iegūtas ne agrāk kā 12</w:t>
            </w:r>
            <w:r w:rsidR="00B83FD2" w:rsidRPr="00E51BC0">
              <w:rPr>
                <w:iCs/>
                <w:lang w:eastAsia="lv-LV"/>
              </w:rPr>
              <w:t> </w:t>
            </w:r>
            <w:r w:rsidRPr="00E51BC0">
              <w:rPr>
                <w:iCs/>
                <w:lang w:eastAsia="lv-LV"/>
              </w:rPr>
              <w:t>mēnešu periodā pirms darba devēja maksātnespējas gadījuma iestāšanās.</w:t>
            </w:r>
          </w:p>
          <w:p w14:paraId="1D9C6941" w14:textId="77777777" w:rsidR="00E51BC0" w:rsidRDefault="00E51BC0">
            <w:pPr>
              <w:jc w:val="both"/>
              <w:rPr>
                <w:iCs/>
                <w:lang w:eastAsia="lv-LV"/>
              </w:rPr>
            </w:pPr>
          </w:p>
          <w:p w14:paraId="4254E40A" w14:textId="0A3EC363" w:rsidR="004138B9" w:rsidRDefault="00372D90">
            <w:pPr>
              <w:jc w:val="both"/>
              <w:rPr>
                <w:iCs/>
                <w:lang w:eastAsia="lv-LV"/>
              </w:rPr>
            </w:pPr>
            <w:r w:rsidRPr="00E51BC0">
              <w:rPr>
                <w:iCs/>
                <w:lang w:eastAsia="lv-LV"/>
              </w:rPr>
              <w:t>P</w:t>
            </w:r>
            <w:r w:rsidR="00CC2A9B" w:rsidRPr="00E51BC0">
              <w:rPr>
                <w:iCs/>
                <w:lang w:eastAsia="lv-LV"/>
              </w:rPr>
              <w:t xml:space="preserve">raksē ir </w:t>
            </w:r>
            <w:r w:rsidR="00E80621" w:rsidRPr="00E51BC0">
              <w:rPr>
                <w:iCs/>
                <w:lang w:eastAsia="lv-LV"/>
              </w:rPr>
              <w:t>k</w:t>
            </w:r>
            <w:r w:rsidR="00CC2A9B" w:rsidRPr="00E51BC0">
              <w:rPr>
                <w:iCs/>
                <w:lang w:eastAsia="lv-LV"/>
              </w:rPr>
              <w:t xml:space="preserve">onstatēts, ka </w:t>
            </w:r>
            <w:r w:rsidR="00C15082" w:rsidRPr="00E51BC0">
              <w:rPr>
                <w:iCs/>
                <w:lang w:eastAsia="lv-LV"/>
              </w:rPr>
              <w:t>iesniegumos par darbinieku prasījumu apmierināšanu tiek izteikt</w:t>
            </w:r>
            <w:r w:rsidR="00CC2A9B" w:rsidRPr="00E51BC0">
              <w:rPr>
                <w:iCs/>
                <w:lang w:eastAsia="lv-LV"/>
              </w:rPr>
              <w:t>i</w:t>
            </w:r>
            <w:r w:rsidR="00C15082" w:rsidRPr="00E51BC0">
              <w:rPr>
                <w:iCs/>
                <w:lang w:eastAsia="lv-LV"/>
              </w:rPr>
              <w:t xml:space="preserve"> lūgum</w:t>
            </w:r>
            <w:r w:rsidR="00CC2A9B" w:rsidRPr="00E51BC0">
              <w:rPr>
                <w:iCs/>
                <w:lang w:eastAsia="lv-LV"/>
              </w:rPr>
              <w:t>i</w:t>
            </w:r>
            <w:r w:rsidR="00C15082" w:rsidRPr="00E51BC0">
              <w:rPr>
                <w:iCs/>
                <w:lang w:eastAsia="lv-LV"/>
              </w:rPr>
              <w:t xml:space="preserve"> apmierināt tādus darbinieku prasījumus par atlaišanas pabalstiem, kas neizriet no Darba likuma 112.</w:t>
            </w:r>
            <w:r w:rsidR="00D8468A">
              <w:rPr>
                <w:iCs/>
                <w:lang w:eastAsia="lv-LV"/>
              </w:rPr>
              <w:t> </w:t>
            </w:r>
            <w:r w:rsidR="00C15082" w:rsidRPr="00E51BC0">
              <w:rPr>
                <w:iCs/>
                <w:lang w:eastAsia="lv-LV"/>
              </w:rPr>
              <w:t>pant</w:t>
            </w:r>
            <w:r w:rsidR="00B80121">
              <w:rPr>
                <w:iCs/>
                <w:lang w:eastAsia="lv-LV"/>
              </w:rPr>
              <w:t>a</w:t>
            </w:r>
            <w:r w:rsidR="00C15082" w:rsidRPr="00E51BC0">
              <w:rPr>
                <w:iCs/>
                <w:lang w:eastAsia="lv-LV"/>
              </w:rPr>
              <w:t xml:space="preserve">, bet gan, piemēram, no darbinieka un darba devēja savstarpējās vienošanās. </w:t>
            </w:r>
          </w:p>
          <w:p w14:paraId="6B5B8596" w14:textId="77777777" w:rsidR="004138B9" w:rsidRDefault="004138B9">
            <w:pPr>
              <w:jc w:val="both"/>
              <w:rPr>
                <w:iCs/>
                <w:lang w:eastAsia="lv-LV"/>
              </w:rPr>
            </w:pPr>
          </w:p>
          <w:p w14:paraId="4A129262" w14:textId="09837939" w:rsidR="00372D90" w:rsidRDefault="00CC2A9B">
            <w:pPr>
              <w:jc w:val="both"/>
              <w:rPr>
                <w:iCs/>
                <w:lang w:eastAsia="lv-LV"/>
              </w:rPr>
            </w:pPr>
            <w:r w:rsidRPr="00E51BC0">
              <w:rPr>
                <w:iCs/>
                <w:lang w:eastAsia="lv-LV"/>
              </w:rPr>
              <w:t>J</w:t>
            </w:r>
            <w:r w:rsidR="00C15082" w:rsidRPr="00E51BC0">
              <w:rPr>
                <w:iCs/>
                <w:lang w:eastAsia="lv-LV"/>
              </w:rPr>
              <w:t>āņem vērā, ka darbinieku prasījumu segšana no fonda līdzekļiem ir īpaši izveidots mehānisms, kas nodrošina darbinieku aizsardzības minimumu darba devēja maksātnespējas gadījumā.</w:t>
            </w:r>
          </w:p>
          <w:p w14:paraId="13CE2360" w14:textId="77777777" w:rsidR="00D804C9" w:rsidRPr="00E51BC0" w:rsidRDefault="00D804C9">
            <w:pPr>
              <w:jc w:val="both"/>
              <w:rPr>
                <w:iCs/>
                <w:lang w:eastAsia="lv-LV"/>
              </w:rPr>
            </w:pPr>
          </w:p>
          <w:p w14:paraId="0E96A473" w14:textId="10AF1196" w:rsidR="00760FB1" w:rsidRDefault="00D24B58">
            <w:pPr>
              <w:jc w:val="both"/>
              <w:rPr>
                <w:iCs/>
                <w:lang w:eastAsia="lv-LV"/>
              </w:rPr>
            </w:pPr>
            <w:r w:rsidRPr="00E51BC0">
              <w:rPr>
                <w:iCs/>
                <w:lang w:eastAsia="lv-LV"/>
              </w:rPr>
              <w:t>Ievērojot iepriekš minēto, Darbinieku aizsardzības likum</w:t>
            </w:r>
            <w:r w:rsidR="00796718" w:rsidRPr="00E51BC0">
              <w:rPr>
                <w:iCs/>
                <w:lang w:eastAsia="lv-LV"/>
              </w:rPr>
              <w:t xml:space="preserve">s papildināms ar regulējumu par </w:t>
            </w:r>
            <w:r w:rsidR="004138B9">
              <w:rPr>
                <w:iCs/>
                <w:lang w:eastAsia="lv-LV"/>
              </w:rPr>
              <w:t xml:space="preserve">to, ka no fonda apmierināmi prasījumi par Darba likuma 112. pantā norādītajiem atlaišanas pabalstiem. </w:t>
            </w:r>
          </w:p>
          <w:p w14:paraId="2742677C" w14:textId="77777777" w:rsidR="00D804C9" w:rsidRPr="00E51BC0" w:rsidRDefault="00D804C9">
            <w:pPr>
              <w:jc w:val="both"/>
              <w:rPr>
                <w:iCs/>
                <w:lang w:eastAsia="lv-LV"/>
              </w:rPr>
            </w:pPr>
          </w:p>
          <w:p w14:paraId="601133F6" w14:textId="2D10BE28" w:rsidR="00760FB1" w:rsidRPr="00E51BC0" w:rsidRDefault="00760FB1">
            <w:pPr>
              <w:jc w:val="both"/>
            </w:pPr>
            <w:r w:rsidRPr="00E51BC0">
              <w:rPr>
                <w:b/>
                <w:bCs/>
                <w:iCs/>
                <w:lang w:eastAsia="lv-LV"/>
              </w:rPr>
              <w:t>1.</w:t>
            </w:r>
            <w:r w:rsidR="001520AA" w:rsidRPr="00E51BC0">
              <w:rPr>
                <w:b/>
                <w:bCs/>
                <w:iCs/>
                <w:lang w:eastAsia="lv-LV"/>
              </w:rPr>
              <w:t>2</w:t>
            </w:r>
            <w:r w:rsidRPr="00E51BC0">
              <w:rPr>
                <w:b/>
                <w:bCs/>
                <w:iCs/>
                <w:lang w:eastAsia="lv-LV"/>
              </w:rPr>
              <w:t>.</w:t>
            </w:r>
            <w:r w:rsidRPr="00E51BC0">
              <w:rPr>
                <w:iCs/>
                <w:lang w:eastAsia="lv-LV"/>
              </w:rPr>
              <w:t xml:space="preserve"> </w:t>
            </w:r>
            <w:r w:rsidRPr="00E51BC0">
              <w:t xml:space="preserve">Atbilstoši Darbinieku aizsardzības likuma </w:t>
            </w:r>
            <w:r w:rsidR="004138B9">
              <w:t>4</w:t>
            </w:r>
            <w:r w:rsidRPr="00E51BC0">
              <w:t>.</w:t>
            </w:r>
            <w:r w:rsidR="00146DB8" w:rsidRPr="00E51BC0">
              <w:t> </w:t>
            </w:r>
            <w:r w:rsidRPr="00E51BC0">
              <w:t>panta pirmās daļas 1. un 3.</w:t>
            </w:r>
            <w:r w:rsidR="00644CD3">
              <w:t> </w:t>
            </w:r>
            <w:r w:rsidRPr="00E51BC0">
              <w:t xml:space="preserve">punktam no fonda līdzekļiem apmierina darbinieku prasījumus saistībā ar darba samaksu un atlīdzību par cita veida apmaksātu prombūtni par pēdējiem trim darba tiesisko attiecību mēnešiem 12 mēnešu periodā pirms darba devēja maksātnespējas gadījuma iestāšanās. </w:t>
            </w:r>
          </w:p>
          <w:p w14:paraId="0F64544F" w14:textId="77777777" w:rsidR="00E51BC0" w:rsidRDefault="00E51BC0">
            <w:pPr>
              <w:jc w:val="both"/>
            </w:pPr>
          </w:p>
          <w:p w14:paraId="3A46F886" w14:textId="77777777" w:rsidR="004138B9" w:rsidRDefault="00760FB1">
            <w:pPr>
              <w:jc w:val="both"/>
            </w:pPr>
            <w:r w:rsidRPr="00E51BC0">
              <w:t xml:space="preserve">Ņemot vērā, ka prasījumi saistībā ar darba samaksu un atlīdzību </w:t>
            </w:r>
            <w:r w:rsidR="00E12628">
              <w:t xml:space="preserve">par </w:t>
            </w:r>
            <w:r w:rsidRPr="00E51BC0">
              <w:t xml:space="preserve">cita veida apmaksātu prombūtni ir viens otru izslēdzoši, proti, tos nav iespējams apmierināt par vienu un to pašu laika periodu, ir iespējams apvienot minētos prasījumus un veikt kopēju aprēķinu no fonda līdzekļiem sedzamajā periodā. </w:t>
            </w:r>
          </w:p>
          <w:p w14:paraId="093EA25A" w14:textId="77777777" w:rsidR="004138B9" w:rsidRDefault="004138B9">
            <w:pPr>
              <w:jc w:val="both"/>
            </w:pPr>
          </w:p>
          <w:p w14:paraId="0F033C69" w14:textId="474C3498" w:rsidR="00760FB1" w:rsidRDefault="00760FB1">
            <w:pPr>
              <w:jc w:val="both"/>
            </w:pPr>
            <w:r w:rsidRPr="00E51BC0">
              <w:t>Tādējādi gadījumos, kad no grāmatvedības dokumentiem nebūtu skaidri konstatējams atlīdzības par cita veida apmaksātu prombūtni sākuma un beigu periods (dienās),  būtu konstatējams, ka attiecīgais prasījums ir bijis mēnesī, kas sedzams no fonda. Lēmumā par darbinieka prasījumu apmierināšanu attiecīgajā mēnesī darba samaksas un cita veida apmaksātas prombūtnes periodi dienās atsevišķi izdalīti netiktu.</w:t>
            </w:r>
            <w:r w:rsidRPr="00E51BC0">
              <w:rPr>
                <w:b/>
              </w:rPr>
              <w:t xml:space="preserve"> </w:t>
            </w:r>
            <w:r w:rsidRPr="00E51BC0">
              <w:t>Šādu izmaiņu veikšanu pieļauj arī pašreiz spēkā esošais identiskais normatīvais regulējums attiecībā uz periodu, kādā ir iespējams segt minētos darbinieku prasījumus no fonda līdzekļiem.</w:t>
            </w:r>
          </w:p>
          <w:p w14:paraId="5069EC25" w14:textId="77777777" w:rsidR="00644CD3" w:rsidRPr="00E51BC0" w:rsidRDefault="00644CD3">
            <w:pPr>
              <w:jc w:val="both"/>
            </w:pPr>
          </w:p>
          <w:p w14:paraId="47A13ED5" w14:textId="77777777" w:rsidR="004138B9" w:rsidRDefault="00760FB1">
            <w:pPr>
              <w:jc w:val="both"/>
              <w:rPr>
                <w:bCs/>
              </w:rPr>
            </w:pPr>
            <w:r w:rsidRPr="00E51BC0">
              <w:rPr>
                <w:bCs/>
              </w:rPr>
              <w:t xml:space="preserve">Minētās izmaiņas daudzos gadījumos vienkāršotu iesniegumu par darbinieku prasījumu apmierināšanu izskatīšanu, jo Maksātnespējas kontroles dienestam nebūtu jāpieprasa maksātnespējīgā darba devēja administratoram papildu informācija un dokumenti, lai izdalītu darba samaksas un atlīdzības par cita veida apmaksātu prombūtni periodus </w:t>
            </w:r>
            <w:r w:rsidRPr="00E51BC0">
              <w:rPr>
                <w:bCs/>
              </w:rPr>
              <w:lastRenderedPageBreak/>
              <w:t>darbinieka pēdējos trijos darba tiesisko attiecību mēnešos pirms darba devēja maksātnespējas procesa pasludināšanas.</w:t>
            </w:r>
          </w:p>
          <w:p w14:paraId="2904FFE1" w14:textId="77777777" w:rsidR="004138B9" w:rsidRDefault="004138B9">
            <w:pPr>
              <w:jc w:val="both"/>
              <w:rPr>
                <w:bCs/>
              </w:rPr>
            </w:pPr>
          </w:p>
          <w:p w14:paraId="62E502A4" w14:textId="724DF63E" w:rsidR="0099207D" w:rsidRDefault="004138B9">
            <w:pPr>
              <w:jc w:val="both"/>
              <w:rPr>
                <w:bCs/>
              </w:rPr>
            </w:pPr>
            <w:r>
              <w:rPr>
                <w:bCs/>
              </w:rPr>
              <w:t xml:space="preserve">Līdz ar to Darbinieku aizsardzības likuma 4. panta pirmās daļas 1. punkts izsakāms jaunā redakcijā, papildinot </w:t>
            </w:r>
            <w:r w:rsidR="0047641F">
              <w:rPr>
                <w:bCs/>
              </w:rPr>
              <w:t>to</w:t>
            </w:r>
            <w:r>
              <w:rPr>
                <w:bCs/>
              </w:rPr>
              <w:t xml:space="preserve"> ar šā panta pirmās daļas 3. punktā noteikto, tādējādi </w:t>
            </w:r>
            <w:r w:rsidR="0047641F">
              <w:rPr>
                <w:bCs/>
              </w:rPr>
              <w:t>svītrojot</w:t>
            </w:r>
            <w:r>
              <w:rPr>
                <w:bCs/>
              </w:rPr>
              <w:t xml:space="preserve"> Darbinieku aizsardzības likuma 4. panta pirmās daļas 3. punkt</w:t>
            </w:r>
            <w:r w:rsidR="0047641F">
              <w:rPr>
                <w:bCs/>
              </w:rPr>
              <w:t>u.</w:t>
            </w:r>
          </w:p>
          <w:p w14:paraId="33ECA92D" w14:textId="77777777" w:rsidR="00D804C9" w:rsidRPr="00E51BC0" w:rsidRDefault="00D804C9">
            <w:pPr>
              <w:jc w:val="both"/>
              <w:rPr>
                <w:bCs/>
              </w:rPr>
            </w:pPr>
          </w:p>
          <w:p w14:paraId="124CB9C5" w14:textId="3DA4E59B" w:rsidR="0099207D" w:rsidRPr="00E51BC0" w:rsidRDefault="0099207D">
            <w:pPr>
              <w:jc w:val="both"/>
              <w:rPr>
                <w:iCs/>
                <w:lang w:eastAsia="lv-LV"/>
              </w:rPr>
            </w:pPr>
            <w:r w:rsidRPr="00E51BC0">
              <w:rPr>
                <w:b/>
                <w:bCs/>
                <w:iCs/>
                <w:lang w:eastAsia="lv-LV"/>
              </w:rPr>
              <w:t>1.3.</w:t>
            </w:r>
            <w:r w:rsidRPr="00D8468A">
              <w:t> </w:t>
            </w:r>
            <w:r w:rsidRPr="00E51BC0">
              <w:rPr>
                <w:iCs/>
                <w:lang w:eastAsia="lv-LV"/>
              </w:rPr>
              <w:t>Darbinieku aizsardzības likuma 5. panta pirmajā daļā noteikts, kādā apmērā un par kādu periodu apmierina konkrētus darbinieku prasījumus no fonda līdzekļiem. Praksē ir sastopami gadījumi, kad viens un tas pats darbinieks pie viena darba devēja 12 mēnešu periodā pirms tā maksātnespējas gadījuma iestāšanās ir bijis nodarbināts vairākkārt, ar vairākiem darba līgumiem, taču Darbinieku aizsardzības likumā nav skaidri regulēta Maksātnespējas kontroles dienesta rīcība šādos gadījumos.</w:t>
            </w:r>
          </w:p>
          <w:p w14:paraId="25FEDE5A" w14:textId="77777777" w:rsidR="00E51BC0" w:rsidRDefault="00E51BC0">
            <w:pPr>
              <w:jc w:val="both"/>
              <w:rPr>
                <w:iCs/>
                <w:lang w:eastAsia="lv-LV"/>
              </w:rPr>
            </w:pPr>
          </w:p>
          <w:p w14:paraId="247F7F34" w14:textId="48600078" w:rsidR="0099207D" w:rsidRPr="00E51BC0" w:rsidRDefault="0099207D">
            <w:pPr>
              <w:jc w:val="both"/>
              <w:rPr>
                <w:iCs/>
                <w:lang w:eastAsia="lv-LV"/>
              </w:rPr>
            </w:pPr>
            <w:r w:rsidRPr="00E51BC0">
              <w:rPr>
                <w:iCs/>
                <w:lang w:eastAsia="lv-LV"/>
              </w:rPr>
              <w:t>Uzsverams, ka Darbinieku aizsardzības likumā ir iekļautas tiesību normas, kas izriet no Eiropas Parlamenta un Padomes 2008.</w:t>
            </w:r>
            <w:r w:rsidR="00B35547" w:rsidRPr="00E51BC0">
              <w:rPr>
                <w:iCs/>
                <w:lang w:eastAsia="lv-LV"/>
              </w:rPr>
              <w:t> </w:t>
            </w:r>
            <w:r w:rsidRPr="00E51BC0">
              <w:rPr>
                <w:iCs/>
                <w:lang w:eastAsia="lv-LV"/>
              </w:rPr>
              <w:t>gada 22.</w:t>
            </w:r>
            <w:r w:rsidR="00B35547" w:rsidRPr="00E51BC0">
              <w:rPr>
                <w:iCs/>
                <w:lang w:eastAsia="lv-LV"/>
              </w:rPr>
              <w:t> </w:t>
            </w:r>
            <w:r w:rsidRPr="00E51BC0">
              <w:rPr>
                <w:iCs/>
                <w:lang w:eastAsia="lv-LV"/>
              </w:rPr>
              <w:t>oktobra direktīvas 2008/94/EK par darba ņēmēju aizsardzību to darba devēja maksātnespējas gadījumā (turpmāk – Direktīva 2008/94/EK). Direktīvas 2008/94/EK 2.</w:t>
            </w:r>
            <w:r w:rsidR="00B35547" w:rsidRPr="00E51BC0">
              <w:rPr>
                <w:iCs/>
                <w:lang w:eastAsia="lv-LV"/>
              </w:rPr>
              <w:t> </w:t>
            </w:r>
            <w:r w:rsidRPr="00E51BC0">
              <w:rPr>
                <w:iCs/>
                <w:lang w:eastAsia="lv-LV"/>
              </w:rPr>
              <w:t xml:space="preserve">apsvērumā noteikts, ka Kopienas Hartas par darba ņēmēju sociālajām </w:t>
            </w:r>
            <w:proofErr w:type="spellStart"/>
            <w:r w:rsidRPr="00E51BC0">
              <w:rPr>
                <w:iCs/>
                <w:lang w:eastAsia="lv-LV"/>
              </w:rPr>
              <w:t>pamattiesībām</w:t>
            </w:r>
            <w:proofErr w:type="spellEnd"/>
            <w:r w:rsidRPr="00E51BC0">
              <w:rPr>
                <w:iCs/>
                <w:lang w:eastAsia="lv-LV"/>
              </w:rPr>
              <w:t>, ko pieņēma 1989.</w:t>
            </w:r>
            <w:r w:rsidR="00E80621" w:rsidRPr="00E51BC0">
              <w:rPr>
                <w:iCs/>
                <w:lang w:eastAsia="lv-LV"/>
              </w:rPr>
              <w:t> </w:t>
            </w:r>
            <w:r w:rsidRPr="00E51BC0">
              <w:rPr>
                <w:iCs/>
                <w:lang w:eastAsia="lv-LV"/>
              </w:rPr>
              <w:t>gada 9.</w:t>
            </w:r>
            <w:r w:rsidR="00B35547" w:rsidRPr="00E51BC0">
              <w:rPr>
                <w:iCs/>
                <w:lang w:eastAsia="lv-LV"/>
              </w:rPr>
              <w:t> </w:t>
            </w:r>
            <w:r w:rsidRPr="00E51BC0">
              <w:rPr>
                <w:iCs/>
                <w:lang w:eastAsia="lv-LV"/>
              </w:rPr>
              <w:t>decembrī, 7.</w:t>
            </w:r>
            <w:r w:rsidR="00B35547" w:rsidRPr="00E51BC0">
              <w:rPr>
                <w:iCs/>
                <w:lang w:eastAsia="lv-LV"/>
              </w:rPr>
              <w:t> </w:t>
            </w:r>
            <w:r w:rsidRPr="00E51BC0">
              <w:rPr>
                <w:iCs/>
                <w:lang w:eastAsia="lv-LV"/>
              </w:rPr>
              <w:t>punktā ir noteikts, ka iekšējā tirgus izveidei jāuzlabo darba ņēmēju dzīves un darba apstākļi Kopienā un ka šai uzlabošanai vajadzības gadījumā jāattiecas uz dažiem nodarbinātības reglamentēšanas aspektiem, tādiem kā kolektīvās atlaišanas kārtība, kā arī tiem, kas attiecas uz bankrotu, vienlaikus 3.</w:t>
            </w:r>
            <w:r w:rsidR="00B35547" w:rsidRPr="00E51BC0">
              <w:rPr>
                <w:iCs/>
                <w:lang w:eastAsia="lv-LV"/>
              </w:rPr>
              <w:t> </w:t>
            </w:r>
            <w:r w:rsidRPr="00E51BC0">
              <w:rPr>
                <w:iCs/>
                <w:lang w:eastAsia="lv-LV"/>
              </w:rPr>
              <w:t xml:space="preserve">apsvērumā norādot, ka ir jāparedz  darbinieku aizsardzība to darba devēja maksātnespējas gadījumā, jo īpaši – lai garantētu, ka apmierina to prasījumus attiecībā uz darba samaksu, un lai tiem nodrošinātu aizsardzības minimumu, ņemot vērā nepieciešamību līdzsvarot ekonomisko un sociālo attīstību Kopienā. </w:t>
            </w:r>
          </w:p>
          <w:p w14:paraId="20C889ED" w14:textId="77777777" w:rsidR="00E51BC0" w:rsidRDefault="00E51BC0">
            <w:pPr>
              <w:jc w:val="both"/>
              <w:rPr>
                <w:iCs/>
                <w:lang w:eastAsia="lv-LV"/>
              </w:rPr>
            </w:pPr>
          </w:p>
          <w:p w14:paraId="4A3FB00D" w14:textId="76E3F751" w:rsidR="0099207D" w:rsidRPr="00E51BC0" w:rsidRDefault="0099207D">
            <w:pPr>
              <w:jc w:val="both"/>
              <w:rPr>
                <w:iCs/>
                <w:lang w:eastAsia="lv-LV"/>
              </w:rPr>
            </w:pPr>
            <w:r w:rsidRPr="00E51BC0">
              <w:rPr>
                <w:iCs/>
                <w:lang w:eastAsia="lv-LV"/>
              </w:rPr>
              <w:t xml:space="preserve">Ievērojot minēto, fonds, kura līdzekļu turētājs un rīkotājs ir Maksātnespējas kontroles dienests, ir veidots ar mērķi nodrošināt noteikta veida darba ņēmēju </w:t>
            </w:r>
            <w:r w:rsidR="0047641F">
              <w:rPr>
                <w:iCs/>
                <w:lang w:eastAsia="lv-LV"/>
              </w:rPr>
              <w:t xml:space="preserve">(darbinieku) </w:t>
            </w:r>
            <w:r w:rsidRPr="00E51BC0">
              <w:rPr>
                <w:iCs/>
                <w:lang w:eastAsia="lv-LV"/>
              </w:rPr>
              <w:t xml:space="preserve">sociālās </w:t>
            </w:r>
            <w:proofErr w:type="spellStart"/>
            <w:r w:rsidRPr="00E51BC0">
              <w:rPr>
                <w:iCs/>
                <w:lang w:eastAsia="lv-LV"/>
              </w:rPr>
              <w:t>pamattiesības</w:t>
            </w:r>
            <w:proofErr w:type="spellEnd"/>
            <w:r w:rsidRPr="00E51BC0">
              <w:rPr>
                <w:iCs/>
                <w:lang w:eastAsia="lv-LV"/>
              </w:rPr>
              <w:t>, nodrošinot to aizsardzības minimumu un ņemot vērā nepieciešamību līdzsvarot ekonomisko un sociālo attīstību.</w:t>
            </w:r>
          </w:p>
          <w:p w14:paraId="1A510D47" w14:textId="77777777" w:rsidR="00E51BC0" w:rsidRDefault="00E51BC0">
            <w:pPr>
              <w:jc w:val="both"/>
              <w:rPr>
                <w:iCs/>
                <w:lang w:eastAsia="lv-LV"/>
              </w:rPr>
            </w:pPr>
          </w:p>
          <w:p w14:paraId="44F7B840" w14:textId="40C83D9E" w:rsidR="0099207D" w:rsidRPr="00E51BC0" w:rsidRDefault="0099207D">
            <w:pPr>
              <w:jc w:val="both"/>
              <w:rPr>
                <w:iCs/>
                <w:lang w:eastAsia="lv-LV"/>
              </w:rPr>
            </w:pPr>
            <w:r w:rsidRPr="00E51BC0">
              <w:rPr>
                <w:iCs/>
                <w:lang w:eastAsia="lv-LV"/>
              </w:rPr>
              <w:t>Darbinieku aizsardzības likuma 4.</w:t>
            </w:r>
            <w:r w:rsidR="00D8468A">
              <w:rPr>
                <w:iCs/>
                <w:lang w:eastAsia="lv-LV"/>
              </w:rPr>
              <w:t> </w:t>
            </w:r>
            <w:r w:rsidRPr="00E51BC0">
              <w:rPr>
                <w:iCs/>
                <w:lang w:eastAsia="lv-LV"/>
              </w:rPr>
              <w:t>panta pirmajā daļā noteikts, ka no fonda līdzekļiem apmierina no darba tiesiskajām attiecībām izrietošus darbinieku prasījumus.</w:t>
            </w:r>
            <w:r w:rsidR="0047641F">
              <w:rPr>
                <w:iCs/>
                <w:lang w:eastAsia="lv-LV"/>
              </w:rPr>
              <w:t xml:space="preserve"> Savukārt </w:t>
            </w:r>
            <w:r w:rsidRPr="00E51BC0">
              <w:rPr>
                <w:iCs/>
                <w:lang w:eastAsia="lv-LV"/>
              </w:rPr>
              <w:t>Darba likuma 28.</w:t>
            </w:r>
            <w:r w:rsidR="00342806" w:rsidRPr="00E51BC0">
              <w:rPr>
                <w:iCs/>
                <w:lang w:eastAsia="lv-LV"/>
              </w:rPr>
              <w:t> </w:t>
            </w:r>
            <w:r w:rsidRPr="00E51BC0">
              <w:rPr>
                <w:iCs/>
                <w:lang w:eastAsia="lv-LV"/>
              </w:rPr>
              <w:t>panta pirmajā daļā noteikts, ka darba devējs un darbinieks savstarpējās darba tiesiskās attiecības nodibina ar darba līgumu.</w:t>
            </w:r>
          </w:p>
          <w:p w14:paraId="735455B5" w14:textId="77777777" w:rsidR="00E51BC0" w:rsidRDefault="00E51BC0">
            <w:pPr>
              <w:jc w:val="both"/>
              <w:rPr>
                <w:iCs/>
                <w:lang w:eastAsia="lv-LV"/>
              </w:rPr>
            </w:pPr>
          </w:p>
          <w:p w14:paraId="4ECCBBDF" w14:textId="77777777" w:rsidR="00B8411F" w:rsidRDefault="0099207D">
            <w:pPr>
              <w:jc w:val="both"/>
              <w:rPr>
                <w:iCs/>
                <w:lang w:eastAsia="lv-LV"/>
              </w:rPr>
            </w:pPr>
            <w:r w:rsidRPr="00E51BC0">
              <w:rPr>
                <w:iCs/>
                <w:lang w:eastAsia="lv-LV"/>
              </w:rPr>
              <w:t xml:space="preserve">Secināms, ka ar katru noslēgto darba līgumu darbiniekam tiek nodibinātas jaunas darba tiesiskās attiecības un tādējādi </w:t>
            </w:r>
            <w:r w:rsidRPr="00E51BC0">
              <w:rPr>
                <w:iCs/>
                <w:lang w:eastAsia="lv-LV"/>
              </w:rPr>
              <w:lastRenderedPageBreak/>
              <w:t>darbinieku prasījumi no fonda līdzekļiem ir aprēķināmi un izmaksājami par katrām darba tiesiskajām attiecībām.</w:t>
            </w:r>
            <w:r w:rsidR="0047641F">
              <w:rPr>
                <w:iCs/>
                <w:lang w:eastAsia="lv-LV"/>
              </w:rPr>
              <w:t xml:space="preserve"> </w:t>
            </w:r>
          </w:p>
          <w:p w14:paraId="785F0DAA" w14:textId="77777777" w:rsidR="00B8411F" w:rsidRDefault="00B8411F">
            <w:pPr>
              <w:jc w:val="both"/>
              <w:rPr>
                <w:iCs/>
                <w:lang w:eastAsia="lv-LV"/>
              </w:rPr>
            </w:pPr>
          </w:p>
          <w:p w14:paraId="3D550A33" w14:textId="3348D30B" w:rsidR="00852460" w:rsidRDefault="0099207D">
            <w:pPr>
              <w:jc w:val="both"/>
              <w:rPr>
                <w:iCs/>
                <w:lang w:eastAsia="lv-LV"/>
              </w:rPr>
            </w:pPr>
            <w:r w:rsidRPr="00E51BC0">
              <w:rPr>
                <w:iCs/>
                <w:lang w:eastAsia="lv-LV"/>
              </w:rPr>
              <w:t xml:space="preserve">Līdz ar to ir nepieciešams ierobežot naudas līdzekļu izmaksu no fonda </w:t>
            </w:r>
            <w:r w:rsidR="00F77268">
              <w:rPr>
                <w:iCs/>
                <w:lang w:eastAsia="lv-LV"/>
              </w:rPr>
              <w:t xml:space="preserve">tiem </w:t>
            </w:r>
            <w:r w:rsidRPr="00E51BC0">
              <w:rPr>
                <w:iCs/>
                <w:lang w:eastAsia="lv-LV"/>
              </w:rPr>
              <w:t>darbiniekiem, kuriem 12 mēnešu periodā pirms darba devēja maksātnespējas gadījuma iestāšanās pie viena darba devēja ir bijušas vairākas darba tiesiskās attiecības – darbinieks ir pieņēmis lēmumu noslēgt arvien jaunus secīgus darba līgumus ar konkrēto darba devēju, neskatoties uz to, ka par iepriekš padarīto darbu nav saņēmis atbilstošos maksājumus</w:t>
            </w:r>
            <w:r w:rsidR="0047641F">
              <w:rPr>
                <w:iCs/>
                <w:lang w:eastAsia="lv-LV"/>
              </w:rPr>
              <w:t xml:space="preserve"> (atlīdzību).</w:t>
            </w:r>
          </w:p>
          <w:p w14:paraId="0BD52AF6" w14:textId="77777777" w:rsidR="005A6A98" w:rsidRDefault="005A6A98">
            <w:pPr>
              <w:jc w:val="both"/>
              <w:rPr>
                <w:iCs/>
                <w:lang w:eastAsia="lv-LV"/>
              </w:rPr>
            </w:pPr>
          </w:p>
          <w:p w14:paraId="4EF49AC4" w14:textId="1510B74F" w:rsidR="0099207D" w:rsidRPr="00E51BC0" w:rsidRDefault="0099207D">
            <w:pPr>
              <w:jc w:val="both"/>
              <w:rPr>
                <w:iCs/>
                <w:lang w:eastAsia="lv-LV"/>
              </w:rPr>
            </w:pPr>
            <w:r w:rsidRPr="00E51BC0">
              <w:rPr>
                <w:iCs/>
                <w:lang w:eastAsia="lv-LV"/>
              </w:rPr>
              <w:t>No fonda izmaksājot vienam darbiniekam naudas līdzekļus par vairākām darba tiesiskajām attiecībām, kas ar darba devēju noslēgtas 12 mēnešu periodā pirms tā maksātnespējas gadījuma iestāšanās, bet par kurām nav saņemti atbilstošie no darba tiesiskajām attiecībām izrietošie maksājumi</w:t>
            </w:r>
            <w:r w:rsidR="0047641F">
              <w:rPr>
                <w:iCs/>
                <w:lang w:eastAsia="lv-LV"/>
              </w:rPr>
              <w:t xml:space="preserve"> (atlīdzība)</w:t>
            </w:r>
            <w:r w:rsidRPr="00E51BC0">
              <w:rPr>
                <w:iCs/>
                <w:lang w:eastAsia="lv-LV"/>
              </w:rPr>
              <w:t>, netiek īstenota Darbinieku aizsardzības likumā ietvertā sociālā taisnīguma ideja, jo pārējie darbinieki, kuriem ir bijušas tikai vienas darba tiesiskās attiecības ar darba devēju, tiek nostādīti mazāk izdevīgā stāvoklī.</w:t>
            </w:r>
          </w:p>
          <w:p w14:paraId="307631F6" w14:textId="77777777" w:rsidR="00E51BC0" w:rsidRDefault="00E51BC0">
            <w:pPr>
              <w:jc w:val="both"/>
              <w:rPr>
                <w:iCs/>
                <w:lang w:eastAsia="lv-LV"/>
              </w:rPr>
            </w:pPr>
          </w:p>
          <w:p w14:paraId="3FF799D5" w14:textId="47F77F38" w:rsidR="0099207D" w:rsidRPr="00E51BC0" w:rsidRDefault="0099207D">
            <w:pPr>
              <w:jc w:val="both"/>
              <w:rPr>
                <w:iCs/>
                <w:lang w:eastAsia="lv-LV"/>
              </w:rPr>
            </w:pPr>
            <w:r w:rsidRPr="00E51BC0">
              <w:rPr>
                <w:iCs/>
                <w:lang w:eastAsia="lv-LV"/>
              </w:rPr>
              <w:t>Līdz ar to nepieciešams veikt grozījumus Darbinieku aizsardzības likum</w:t>
            </w:r>
            <w:r w:rsidR="0047641F">
              <w:rPr>
                <w:iCs/>
                <w:lang w:eastAsia="lv-LV"/>
              </w:rPr>
              <w:t xml:space="preserve">a </w:t>
            </w:r>
            <w:r w:rsidR="00F77268">
              <w:rPr>
                <w:iCs/>
                <w:lang w:eastAsia="lv-LV"/>
              </w:rPr>
              <w:t>5</w:t>
            </w:r>
            <w:r w:rsidR="0047641F">
              <w:rPr>
                <w:iCs/>
                <w:lang w:eastAsia="lv-LV"/>
              </w:rPr>
              <w:t xml:space="preserve">. pantā, papildinot to ar jaunu daļu, </w:t>
            </w:r>
            <w:r w:rsidRPr="00E51BC0">
              <w:rPr>
                <w:iCs/>
                <w:lang w:eastAsia="lv-LV"/>
              </w:rPr>
              <w:t xml:space="preserve">nosakot kritēriju, ka darbinieka prasījumi </w:t>
            </w:r>
            <w:r w:rsidR="00CE03A7">
              <w:rPr>
                <w:iCs/>
                <w:lang w:eastAsia="lv-LV"/>
              </w:rPr>
              <w:t xml:space="preserve">no </w:t>
            </w:r>
            <w:r w:rsidRPr="00E51BC0">
              <w:rPr>
                <w:iCs/>
                <w:lang w:eastAsia="lv-LV"/>
              </w:rPr>
              <w:t xml:space="preserve">fonda </w:t>
            </w:r>
            <w:r w:rsidR="00CE03A7">
              <w:rPr>
                <w:iCs/>
                <w:lang w:eastAsia="lv-LV"/>
              </w:rPr>
              <w:t xml:space="preserve">līdzekļiem </w:t>
            </w:r>
            <w:r w:rsidRPr="00E51BC0">
              <w:rPr>
                <w:iCs/>
                <w:lang w:eastAsia="lv-LV"/>
              </w:rPr>
              <w:t>var tikt apmierināti tikai par pēdējām darba tiesiskajām attiecībām.</w:t>
            </w:r>
          </w:p>
          <w:p w14:paraId="247EBE3D" w14:textId="77777777" w:rsidR="00E51BC0" w:rsidRDefault="00E51BC0">
            <w:pPr>
              <w:jc w:val="both"/>
              <w:rPr>
                <w:iCs/>
                <w:lang w:eastAsia="lv-LV"/>
              </w:rPr>
            </w:pPr>
          </w:p>
          <w:p w14:paraId="46C7FC33" w14:textId="34BA811D" w:rsidR="00EE2F27" w:rsidRPr="00E51BC0" w:rsidRDefault="00EE2F27">
            <w:pPr>
              <w:jc w:val="both"/>
              <w:rPr>
                <w:iCs/>
                <w:lang w:eastAsia="lv-LV"/>
              </w:rPr>
            </w:pPr>
            <w:r w:rsidRPr="00E51BC0">
              <w:rPr>
                <w:iCs/>
                <w:lang w:eastAsia="lv-LV"/>
              </w:rPr>
              <w:t>Ņemot vērā līdzšinējo praksi un iepriekšējo gadu statistiku, kopējo izmaksu apmēru no fonda šī</w:t>
            </w:r>
            <w:r w:rsidR="00065ADA" w:rsidRPr="00E51BC0">
              <w:rPr>
                <w:iCs/>
                <w:lang w:eastAsia="lv-LV"/>
              </w:rPr>
              <w:t>s</w:t>
            </w:r>
            <w:r w:rsidRPr="00E51BC0">
              <w:rPr>
                <w:iCs/>
                <w:lang w:eastAsia="lv-LV"/>
              </w:rPr>
              <w:t xml:space="preserve"> regulējuma izmaiņas neietekmē. </w:t>
            </w:r>
          </w:p>
          <w:p w14:paraId="769047BB" w14:textId="77777777" w:rsidR="00E51BC0" w:rsidRDefault="00E51BC0">
            <w:pPr>
              <w:jc w:val="both"/>
              <w:rPr>
                <w:b/>
                <w:bCs/>
                <w:iCs/>
                <w:lang w:eastAsia="lv-LV"/>
              </w:rPr>
            </w:pPr>
          </w:p>
          <w:p w14:paraId="3714CEA5" w14:textId="7D8CF820" w:rsidR="008406B2" w:rsidRDefault="005D189D">
            <w:pPr>
              <w:jc w:val="both"/>
              <w:rPr>
                <w:iCs/>
                <w:lang w:eastAsia="lv-LV"/>
              </w:rPr>
            </w:pPr>
            <w:r w:rsidRPr="00F61AC4">
              <w:rPr>
                <w:b/>
                <w:bCs/>
                <w:iCs/>
                <w:lang w:eastAsia="lv-LV"/>
              </w:rPr>
              <w:t>1.</w:t>
            </w:r>
            <w:r w:rsidR="007C65F5" w:rsidRPr="00F61AC4">
              <w:rPr>
                <w:b/>
                <w:bCs/>
                <w:iCs/>
                <w:lang w:eastAsia="lv-LV"/>
              </w:rPr>
              <w:t>4</w:t>
            </w:r>
            <w:r w:rsidRPr="00F61AC4">
              <w:rPr>
                <w:b/>
                <w:bCs/>
                <w:iCs/>
                <w:lang w:eastAsia="lv-LV"/>
              </w:rPr>
              <w:t>.</w:t>
            </w:r>
            <w:r w:rsidRPr="00E51BC0">
              <w:rPr>
                <w:iCs/>
                <w:lang w:eastAsia="lv-LV"/>
              </w:rPr>
              <w:t> </w:t>
            </w:r>
            <w:r w:rsidR="003D3C9C" w:rsidRPr="00E51BC0">
              <w:rPr>
                <w:iCs/>
                <w:lang w:eastAsia="lv-LV"/>
              </w:rPr>
              <w:t>Darbinieku aizsardzības likuma 5. panta 2.</w:t>
            </w:r>
            <w:r w:rsidR="003D3C9C" w:rsidRPr="00E51BC0">
              <w:rPr>
                <w:iCs/>
                <w:vertAlign w:val="superscript"/>
                <w:lang w:eastAsia="lv-LV"/>
              </w:rPr>
              <w:t>1</w:t>
            </w:r>
            <w:r w:rsidR="008406B2" w:rsidRPr="00E51BC0">
              <w:rPr>
                <w:iCs/>
                <w:lang w:eastAsia="lv-LV"/>
              </w:rPr>
              <w:t> </w:t>
            </w:r>
            <w:r w:rsidR="003D3C9C" w:rsidRPr="00E51BC0">
              <w:rPr>
                <w:iCs/>
                <w:lang w:eastAsia="lv-LV"/>
              </w:rPr>
              <w:t xml:space="preserve">daļa </w:t>
            </w:r>
            <w:r w:rsidR="00015331" w:rsidRPr="00E51BC0">
              <w:rPr>
                <w:iCs/>
                <w:lang w:eastAsia="lv-LV"/>
              </w:rPr>
              <w:t>noteic, ja darbinieks ir cēlis tiesā prasību pret darba devēju par tādu maksājumu piedziņu, kuri izriet no darba tiesiskajām attiecībām, tad šā panta 1.,</w:t>
            </w:r>
            <w:r w:rsidR="00D8468A">
              <w:rPr>
                <w:iCs/>
                <w:lang w:eastAsia="lv-LV"/>
              </w:rPr>
              <w:t xml:space="preserve"> </w:t>
            </w:r>
            <w:r w:rsidR="00015331" w:rsidRPr="00E51BC0">
              <w:rPr>
                <w:iCs/>
                <w:lang w:eastAsia="lv-LV"/>
              </w:rPr>
              <w:t>2., 3.</w:t>
            </w:r>
            <w:r w:rsidR="007942BD" w:rsidRPr="00E51BC0">
              <w:rPr>
                <w:iCs/>
                <w:lang w:eastAsia="lv-LV"/>
              </w:rPr>
              <w:t> </w:t>
            </w:r>
            <w:r w:rsidR="00015331" w:rsidRPr="00E51BC0">
              <w:rPr>
                <w:iCs/>
                <w:lang w:eastAsia="lv-LV"/>
              </w:rPr>
              <w:t>un 4. punktā minētais 12 mēnešu periods aizstājams ar 12 mēnešu periodu pirms darbinieka prasības celšanas tiesā, ja vienlaikus pastāv šādi priekšnoteikumi:</w:t>
            </w:r>
            <w:r w:rsidR="00D8468A">
              <w:rPr>
                <w:iCs/>
                <w:lang w:eastAsia="lv-LV"/>
              </w:rPr>
              <w:t xml:space="preserve"> </w:t>
            </w:r>
            <w:r w:rsidR="00015331" w:rsidRPr="00E51BC0">
              <w:rPr>
                <w:iCs/>
                <w:lang w:eastAsia="lv-LV"/>
              </w:rPr>
              <w:t>1) tiesas nolēmums, ar kuru darbinieka prasība apmierināta stājies spēkā pēc maksātnespējas gadījuma iestāšanās vai ne agrāk kā 12</w:t>
            </w:r>
            <w:r w:rsidR="007942BD" w:rsidRPr="00E51BC0">
              <w:rPr>
                <w:iCs/>
                <w:lang w:eastAsia="lv-LV"/>
              </w:rPr>
              <w:t> </w:t>
            </w:r>
            <w:r w:rsidR="00015331" w:rsidRPr="00E51BC0">
              <w:rPr>
                <w:iCs/>
                <w:lang w:eastAsia="lv-LV"/>
              </w:rPr>
              <w:t>mēnešu periodā pirms darba devēja maksātnespējas gadījuma iestāšanās;</w:t>
            </w:r>
            <w:r w:rsidR="00D8468A">
              <w:rPr>
                <w:iCs/>
                <w:lang w:eastAsia="lv-LV"/>
              </w:rPr>
              <w:t xml:space="preserve"> </w:t>
            </w:r>
            <w:r w:rsidR="00015331" w:rsidRPr="00E51BC0">
              <w:rPr>
                <w:iCs/>
                <w:lang w:eastAsia="lv-LV"/>
              </w:rPr>
              <w:t>2) darba tiesiskās attiecības ar darbinieku izbeigtas agrāk nekā 12 mēnešu periodā pirms darba devēja maksātnespējas gadījuma iestāšanās.</w:t>
            </w:r>
          </w:p>
          <w:p w14:paraId="2417F07E" w14:textId="77777777" w:rsidR="00B8411F" w:rsidRPr="00E51BC0" w:rsidRDefault="00B8411F">
            <w:pPr>
              <w:jc w:val="both"/>
              <w:rPr>
                <w:iCs/>
                <w:lang w:eastAsia="lv-LV"/>
              </w:rPr>
            </w:pPr>
          </w:p>
          <w:p w14:paraId="51BC47F2" w14:textId="4C25F7C2" w:rsidR="007351E6" w:rsidRPr="00E51BC0" w:rsidRDefault="00E15198">
            <w:pPr>
              <w:jc w:val="both"/>
              <w:rPr>
                <w:iCs/>
                <w:lang w:eastAsia="lv-LV"/>
              </w:rPr>
            </w:pPr>
            <w:r w:rsidRPr="00E51BC0">
              <w:rPr>
                <w:iCs/>
                <w:lang w:eastAsia="lv-LV"/>
              </w:rPr>
              <w:t xml:space="preserve">Praksē </w:t>
            </w:r>
            <w:r w:rsidR="00463BFE" w:rsidRPr="00E51BC0">
              <w:rPr>
                <w:iCs/>
                <w:lang w:eastAsia="lv-LV"/>
              </w:rPr>
              <w:t xml:space="preserve">ir konstatēts, ka </w:t>
            </w:r>
            <w:r w:rsidR="00D305F0" w:rsidRPr="00E51BC0">
              <w:rPr>
                <w:iCs/>
                <w:lang w:eastAsia="lv-LV"/>
              </w:rPr>
              <w:t xml:space="preserve">pastāvot šiem nosacījumiem joprojām </w:t>
            </w:r>
            <w:r w:rsidR="004508B8" w:rsidRPr="00E51BC0">
              <w:rPr>
                <w:iCs/>
                <w:lang w:eastAsia="lv-LV"/>
              </w:rPr>
              <w:t xml:space="preserve">pilnībā nav sasniegts </w:t>
            </w:r>
            <w:r w:rsidR="00D76B3E" w:rsidRPr="00E51BC0">
              <w:rPr>
                <w:iCs/>
                <w:lang w:eastAsia="lv-LV"/>
              </w:rPr>
              <w:t xml:space="preserve">mērķis </w:t>
            </w:r>
            <w:r w:rsidR="00F97DC5" w:rsidRPr="00E51BC0">
              <w:rPr>
                <w:iCs/>
                <w:lang w:eastAsia="lv-LV"/>
              </w:rPr>
              <w:t>aizsargāt tos darbiniekus</w:t>
            </w:r>
            <w:r w:rsidR="00705EA4" w:rsidRPr="00E51BC0">
              <w:rPr>
                <w:iCs/>
                <w:lang w:eastAsia="lv-LV"/>
              </w:rPr>
              <w:t>, kuri savu tiesību aizsardzībai vērsušies ar prasības pieteikumu tiesā</w:t>
            </w:r>
            <w:r w:rsidR="003A465D" w:rsidRPr="00E51BC0">
              <w:rPr>
                <w:iCs/>
                <w:lang w:eastAsia="lv-LV"/>
              </w:rPr>
              <w:t xml:space="preserve"> par no darba tiesiskajām attiecībā</w:t>
            </w:r>
            <w:r w:rsidR="006A1D5A" w:rsidRPr="00E51BC0">
              <w:rPr>
                <w:iCs/>
                <w:lang w:eastAsia="lv-LV"/>
              </w:rPr>
              <w:t>m</w:t>
            </w:r>
            <w:r w:rsidR="003A465D" w:rsidRPr="00E51BC0">
              <w:rPr>
                <w:iCs/>
                <w:lang w:eastAsia="lv-LV"/>
              </w:rPr>
              <w:t xml:space="preserve"> izrietošu maksājumu piedziņu no darba devēja</w:t>
            </w:r>
            <w:r w:rsidR="00070B30" w:rsidRPr="00E51BC0">
              <w:rPr>
                <w:iCs/>
                <w:lang w:eastAsia="lv-LV"/>
              </w:rPr>
              <w:t>,</w:t>
            </w:r>
            <w:r w:rsidR="003A465D" w:rsidRPr="00E51BC0">
              <w:rPr>
                <w:iCs/>
                <w:lang w:eastAsia="lv-LV"/>
              </w:rPr>
              <w:t xml:space="preserve"> </w:t>
            </w:r>
            <w:r w:rsidR="004B4F8A" w:rsidRPr="00E51BC0">
              <w:rPr>
                <w:iCs/>
                <w:lang w:eastAsia="lv-LV"/>
              </w:rPr>
              <w:t xml:space="preserve">vai pieteikuši </w:t>
            </w:r>
            <w:r w:rsidR="00924060" w:rsidRPr="00E51BC0">
              <w:rPr>
                <w:iCs/>
                <w:lang w:eastAsia="lv-LV"/>
              </w:rPr>
              <w:t>darba devēja maksātnespēju un kuru prasījumus no fonda saskaņā ar</w:t>
            </w:r>
            <w:r w:rsidR="006A1D5A" w:rsidRPr="00E51BC0">
              <w:rPr>
                <w:iCs/>
                <w:lang w:eastAsia="lv-LV"/>
              </w:rPr>
              <w:t xml:space="preserve"> </w:t>
            </w:r>
            <w:r w:rsidR="00D1560B" w:rsidRPr="00E51BC0">
              <w:rPr>
                <w:iCs/>
                <w:lang w:eastAsia="lv-LV"/>
              </w:rPr>
              <w:t>spēkā esošo tiesisko regulējumu</w:t>
            </w:r>
            <w:r w:rsidR="00487568">
              <w:rPr>
                <w:iCs/>
                <w:lang w:eastAsia="lv-LV"/>
              </w:rPr>
              <w:t xml:space="preserve"> </w:t>
            </w:r>
            <w:r w:rsidR="00487568" w:rsidRPr="0028180F">
              <w:rPr>
                <w:iCs/>
                <w:shd w:val="clear" w:color="auto" w:fill="FFFFFF" w:themeFill="background1"/>
                <w:lang w:eastAsia="lv-LV"/>
              </w:rPr>
              <w:lastRenderedPageBreak/>
              <w:t>neapmierina</w:t>
            </w:r>
            <w:r w:rsidR="00640002" w:rsidRPr="00E51BC0">
              <w:rPr>
                <w:iCs/>
                <w:lang w:eastAsia="lv-LV"/>
              </w:rPr>
              <w:t>, jo neizpildās kāds no Darbinieku aizsardzības likum</w:t>
            </w:r>
            <w:r w:rsidR="00AF5E6B" w:rsidRPr="00E51BC0">
              <w:rPr>
                <w:iCs/>
                <w:lang w:eastAsia="lv-LV"/>
              </w:rPr>
              <w:t xml:space="preserve">a </w:t>
            </w:r>
            <w:r w:rsidR="00F622B4" w:rsidRPr="00E51BC0">
              <w:rPr>
                <w:iCs/>
                <w:lang w:eastAsia="lv-LV"/>
              </w:rPr>
              <w:t>5. panta 2.</w:t>
            </w:r>
            <w:r w:rsidR="00F622B4" w:rsidRPr="00E51BC0">
              <w:rPr>
                <w:iCs/>
                <w:vertAlign w:val="superscript"/>
                <w:lang w:eastAsia="lv-LV"/>
              </w:rPr>
              <w:t>1</w:t>
            </w:r>
            <w:r w:rsidR="0049460F" w:rsidRPr="00E51BC0">
              <w:rPr>
                <w:iCs/>
                <w:lang w:eastAsia="lv-LV"/>
              </w:rPr>
              <w:t> </w:t>
            </w:r>
            <w:r w:rsidR="00F622B4" w:rsidRPr="00E51BC0">
              <w:rPr>
                <w:iCs/>
                <w:lang w:eastAsia="lv-LV"/>
              </w:rPr>
              <w:t xml:space="preserve">daļas nosacījumiem vai </w:t>
            </w:r>
            <w:r w:rsidR="00484F07" w:rsidRPr="00E51BC0">
              <w:rPr>
                <w:iCs/>
                <w:lang w:eastAsia="lv-LV"/>
              </w:rPr>
              <w:t xml:space="preserve">arī darbinieka prasījums pilnībā vai kādā daļā </w:t>
            </w:r>
            <w:r w:rsidR="00AB471F" w:rsidRPr="00E51BC0">
              <w:rPr>
                <w:iCs/>
                <w:lang w:eastAsia="lv-LV"/>
              </w:rPr>
              <w:t xml:space="preserve">neiekļaujas 12 mēnešu periodā pirms </w:t>
            </w:r>
            <w:r w:rsidR="00070B30" w:rsidRPr="00E51BC0">
              <w:rPr>
                <w:iCs/>
                <w:lang w:eastAsia="lv-LV"/>
              </w:rPr>
              <w:t>darbinieka prasības celšanas tiesā.</w:t>
            </w:r>
          </w:p>
          <w:p w14:paraId="6E84BD47" w14:textId="77777777" w:rsidR="00E51BC0" w:rsidRDefault="00E51BC0">
            <w:pPr>
              <w:jc w:val="both"/>
              <w:rPr>
                <w:iCs/>
                <w:lang w:eastAsia="lv-LV"/>
              </w:rPr>
            </w:pPr>
          </w:p>
          <w:p w14:paraId="564620CD" w14:textId="1C691134" w:rsidR="00370FCC" w:rsidRPr="00E51BC0" w:rsidRDefault="007351E6">
            <w:pPr>
              <w:jc w:val="both"/>
              <w:rPr>
                <w:iCs/>
                <w:lang w:eastAsia="lv-LV"/>
              </w:rPr>
            </w:pPr>
            <w:r w:rsidRPr="00E51BC0">
              <w:rPr>
                <w:iCs/>
                <w:lang w:eastAsia="lv-LV"/>
              </w:rPr>
              <w:t>Tādēļ, lai nodrošinātu</w:t>
            </w:r>
            <w:r w:rsidR="00755497" w:rsidRPr="00E51BC0">
              <w:rPr>
                <w:iCs/>
                <w:lang w:eastAsia="lv-LV"/>
              </w:rPr>
              <w:t xml:space="preserve"> efektīvāku </w:t>
            </w:r>
            <w:r w:rsidR="00487568">
              <w:rPr>
                <w:iCs/>
                <w:lang w:eastAsia="lv-LV"/>
              </w:rPr>
              <w:t xml:space="preserve">tiesību aizsardzību </w:t>
            </w:r>
            <w:r w:rsidR="009A30F0" w:rsidRPr="00E51BC0">
              <w:rPr>
                <w:iCs/>
                <w:lang w:eastAsia="lv-LV"/>
              </w:rPr>
              <w:t>darbiniek</w:t>
            </w:r>
            <w:r w:rsidR="003E4D61">
              <w:rPr>
                <w:iCs/>
                <w:lang w:eastAsia="lv-LV"/>
              </w:rPr>
              <w:t>iem</w:t>
            </w:r>
            <w:r w:rsidR="00173DC1" w:rsidRPr="00E51BC0">
              <w:rPr>
                <w:iCs/>
                <w:lang w:eastAsia="lv-LV"/>
              </w:rPr>
              <w:t>, kuri veikuši aktīvas darbības savu dar</w:t>
            </w:r>
            <w:r w:rsidR="002526A4" w:rsidRPr="00E51BC0">
              <w:rPr>
                <w:iCs/>
                <w:lang w:eastAsia="lv-LV"/>
              </w:rPr>
              <w:t>binieku prasījumu aizsardzībai</w:t>
            </w:r>
            <w:r w:rsidR="0072520A" w:rsidRPr="00E51BC0">
              <w:rPr>
                <w:iCs/>
                <w:lang w:eastAsia="lv-LV"/>
              </w:rPr>
              <w:t>,</w:t>
            </w:r>
            <w:r w:rsidR="00370FCC" w:rsidRPr="00E51BC0">
              <w:rPr>
                <w:iCs/>
                <w:lang w:eastAsia="lv-LV"/>
              </w:rPr>
              <w:t xml:space="preserve"> ir</w:t>
            </w:r>
            <w:r w:rsidR="0072520A" w:rsidRPr="00E51BC0">
              <w:rPr>
                <w:iCs/>
                <w:lang w:eastAsia="lv-LV"/>
              </w:rPr>
              <w:t xml:space="preserve"> nepieciešams Darbinieku aizsardzības likum</w:t>
            </w:r>
            <w:r w:rsidR="003D06AE" w:rsidRPr="00E51BC0">
              <w:rPr>
                <w:iCs/>
                <w:lang w:eastAsia="lv-LV"/>
              </w:rPr>
              <w:t xml:space="preserve">ā </w:t>
            </w:r>
            <w:r w:rsidR="00370FCC" w:rsidRPr="00E51BC0">
              <w:rPr>
                <w:iCs/>
                <w:lang w:eastAsia="lv-LV"/>
              </w:rPr>
              <w:t xml:space="preserve">veikt </w:t>
            </w:r>
            <w:r w:rsidR="003D06AE" w:rsidRPr="00E51BC0">
              <w:rPr>
                <w:iCs/>
                <w:lang w:eastAsia="lv-LV"/>
              </w:rPr>
              <w:t>grozījumus</w:t>
            </w:r>
            <w:r w:rsidR="009957DD" w:rsidRPr="00E51BC0">
              <w:rPr>
                <w:iCs/>
                <w:lang w:eastAsia="lv-LV"/>
              </w:rPr>
              <w:t>, paredzot, ja darbinieks ir iesniedzis</w:t>
            </w:r>
            <w:r w:rsidR="00F74F7A" w:rsidRPr="00E51BC0">
              <w:rPr>
                <w:iCs/>
                <w:lang w:eastAsia="lv-LV"/>
              </w:rPr>
              <w:t xml:space="preserve"> juridiskās personas maksātnespējas procesa pieteikumu vai cēlis tiesā prasību pret darba devēju par tādu maksājumu piedziņu, kuri izriet no darba tiesiskajām attiecībām, tad šā panta</w:t>
            </w:r>
            <w:r w:rsidR="007507E6">
              <w:rPr>
                <w:iCs/>
                <w:lang w:eastAsia="lv-LV"/>
              </w:rPr>
              <w:t xml:space="preserve"> </w:t>
            </w:r>
            <w:r w:rsidR="005B243A">
              <w:rPr>
                <w:iCs/>
                <w:lang w:eastAsia="lv-LV"/>
              </w:rPr>
              <w:t>pirmās daļas</w:t>
            </w:r>
            <w:r w:rsidR="00F74F7A" w:rsidRPr="00E51BC0">
              <w:rPr>
                <w:iCs/>
                <w:lang w:eastAsia="lv-LV"/>
              </w:rPr>
              <w:t xml:space="preserve"> 1., 2., 3. un 4.</w:t>
            </w:r>
            <w:r w:rsidR="00D8468A">
              <w:rPr>
                <w:iCs/>
                <w:lang w:eastAsia="lv-LV"/>
              </w:rPr>
              <w:t> </w:t>
            </w:r>
            <w:r w:rsidR="00F74F7A" w:rsidRPr="00E51BC0">
              <w:rPr>
                <w:iCs/>
                <w:lang w:eastAsia="lv-LV"/>
              </w:rPr>
              <w:t>punktā minētais 12 mēnešu periods aizstājams ar 12 mēnešu periodu pirms darba tiesisko attiecību izbeigšanas, ja vienlaikus pastāv šādi priekšnosacījumi</w:t>
            </w:r>
            <w:r w:rsidR="00370FCC" w:rsidRPr="00E51BC0">
              <w:rPr>
                <w:iCs/>
                <w:lang w:eastAsia="lv-LV"/>
              </w:rPr>
              <w:t>:</w:t>
            </w:r>
            <w:r w:rsidR="00D8468A">
              <w:rPr>
                <w:iCs/>
                <w:lang w:eastAsia="lv-LV"/>
              </w:rPr>
              <w:t xml:space="preserve"> </w:t>
            </w:r>
            <w:r w:rsidR="00F74F7A" w:rsidRPr="00E51BC0">
              <w:rPr>
                <w:iCs/>
                <w:lang w:eastAsia="lv-LV"/>
              </w:rPr>
              <w:t>1)</w:t>
            </w:r>
            <w:r w:rsidR="00D8468A">
              <w:rPr>
                <w:iCs/>
                <w:lang w:eastAsia="lv-LV"/>
              </w:rPr>
              <w:t> </w:t>
            </w:r>
            <w:r w:rsidR="005B243A" w:rsidRPr="0028180F">
              <w:t>tiesas nolēmums, ar kuru darbinieka prasība ir apmierināta, stājies spēkā pēc maksātnespējas gadījuma iestāšanās vai ne agrāk kā 12 mēnešu periodā pirms darba devēja maksātnespējas gadījuma iestāšanās, vai tiesvedība lietā pēc maksātnespējas gadījuma iestāšanās apturēta vai izbeigta</w:t>
            </w:r>
            <w:r w:rsidR="00E20776">
              <w:t xml:space="preserve">; </w:t>
            </w:r>
            <w:r w:rsidR="00F74F7A" w:rsidRPr="00E51BC0">
              <w:rPr>
                <w:iCs/>
                <w:lang w:eastAsia="lv-LV"/>
              </w:rPr>
              <w:t>2)</w:t>
            </w:r>
            <w:r w:rsidR="00D8468A">
              <w:rPr>
                <w:iCs/>
                <w:lang w:eastAsia="lv-LV"/>
              </w:rPr>
              <w:t> </w:t>
            </w:r>
            <w:r w:rsidR="00F74F7A" w:rsidRPr="00E51BC0">
              <w:rPr>
                <w:iCs/>
                <w:lang w:eastAsia="lv-LV"/>
              </w:rPr>
              <w:t>darba tiesiskās attiecības ar darbinieku izbeigtas agrāk nekā 12 mēnešu periodā pirms darba devēja maksātnespējas gadījuma iestāšanās</w:t>
            </w:r>
            <w:r w:rsidR="00370FCC" w:rsidRPr="00E51BC0">
              <w:rPr>
                <w:iCs/>
                <w:lang w:eastAsia="lv-LV"/>
              </w:rPr>
              <w:t>.</w:t>
            </w:r>
          </w:p>
          <w:p w14:paraId="61BA5511" w14:textId="23213781" w:rsidR="00FF4604" w:rsidRPr="00E51BC0" w:rsidRDefault="00370FCC">
            <w:pPr>
              <w:jc w:val="both"/>
              <w:rPr>
                <w:iCs/>
                <w:lang w:eastAsia="lv-LV"/>
              </w:rPr>
            </w:pPr>
            <w:r w:rsidRPr="00E51BC0">
              <w:rPr>
                <w:iCs/>
                <w:lang w:eastAsia="lv-LV"/>
              </w:rPr>
              <w:t xml:space="preserve">Vienlaikus, lai visiem viena maksātnespējīgā darba devēja darbiniekiem, kuri savu tiesību aizsardzībai vērsušies tiesā ar prasības pieteikumu par no darba tiesiskajām attiecībām izrietošu maksājumu piedziņu no darba devēja, būtu vienādas iespējas pretendēt uz naudas līdzekļiem no fonda, </w:t>
            </w:r>
            <w:r w:rsidR="008D475E" w:rsidRPr="00E51BC0">
              <w:rPr>
                <w:iCs/>
                <w:lang w:eastAsia="lv-LV"/>
              </w:rPr>
              <w:t xml:space="preserve">Darbinieku aizsardzības likumā </w:t>
            </w:r>
            <w:r w:rsidR="00BC0608" w:rsidRPr="00E51BC0">
              <w:rPr>
                <w:iCs/>
                <w:lang w:eastAsia="lv-LV"/>
              </w:rPr>
              <w:t xml:space="preserve">nepieciešams ietvert pārejas noteikumu punktu. Pārejas noteikumu punktā tiks noteikts, ka </w:t>
            </w:r>
            <w:r w:rsidR="004C7B77" w:rsidRPr="00E51BC0">
              <w:rPr>
                <w:iCs/>
                <w:lang w:eastAsia="lv-LV"/>
              </w:rPr>
              <w:t>iepriekš norādītais regulējums attiecināms</w:t>
            </w:r>
            <w:r w:rsidR="00BC0608" w:rsidRPr="00E51BC0">
              <w:rPr>
                <w:iCs/>
                <w:lang w:eastAsia="lv-LV"/>
              </w:rPr>
              <w:t xml:space="preserve"> tikai uz tiem darbinieku prasījumiem, kuru darba devēja maksātnespējas process</w:t>
            </w:r>
            <w:r w:rsidR="003D0959" w:rsidRPr="00E51BC0">
              <w:rPr>
                <w:iCs/>
                <w:lang w:eastAsia="lv-LV"/>
              </w:rPr>
              <w:t xml:space="preserve"> uzsākts pēc šo grozījumu spēkā stāšanās.</w:t>
            </w:r>
          </w:p>
          <w:p w14:paraId="5095EFE6" w14:textId="77777777" w:rsidR="00E51BC0" w:rsidRDefault="00E51BC0">
            <w:pPr>
              <w:jc w:val="both"/>
              <w:rPr>
                <w:iCs/>
                <w:lang w:eastAsia="lv-LV"/>
              </w:rPr>
            </w:pPr>
          </w:p>
          <w:p w14:paraId="5CF72696" w14:textId="77B18235" w:rsidR="009F1299" w:rsidRDefault="009F1299">
            <w:pPr>
              <w:jc w:val="both"/>
              <w:rPr>
                <w:iCs/>
                <w:lang w:eastAsia="lv-LV"/>
              </w:rPr>
            </w:pPr>
            <w:r w:rsidRPr="00E51BC0">
              <w:rPr>
                <w:iCs/>
                <w:lang w:eastAsia="lv-LV"/>
              </w:rPr>
              <w:t>Tāpat Darbinieku aizsardzības likuma 5. pants papildināms ar 2.</w:t>
            </w:r>
            <w:r w:rsidRPr="00E51BC0">
              <w:rPr>
                <w:iCs/>
                <w:vertAlign w:val="superscript"/>
                <w:lang w:eastAsia="lv-LV"/>
              </w:rPr>
              <w:t>2</w:t>
            </w:r>
            <w:r w:rsidR="00D8468A">
              <w:rPr>
                <w:iCs/>
                <w:lang w:eastAsia="lv-LV"/>
              </w:rPr>
              <w:t> </w:t>
            </w:r>
            <w:r w:rsidRPr="00E51BC0">
              <w:rPr>
                <w:iCs/>
                <w:lang w:eastAsia="lv-LV"/>
              </w:rPr>
              <w:t xml:space="preserve">daļu, nosakot tiesisko regulējumu darbinieku aizsardzībai tajos gadījumos, kad notikusi juridiskās personas maksātnespējas procesa pāreja uz tiesiskās aizsardzības procesu, bet tiesiskās aizsardzības process izbeigts, no jauna pasludinot maksātnespējas procesu. </w:t>
            </w:r>
          </w:p>
          <w:p w14:paraId="6FDD2589" w14:textId="77777777" w:rsidR="00764EF9" w:rsidRPr="00E51BC0" w:rsidRDefault="00764EF9">
            <w:pPr>
              <w:jc w:val="both"/>
              <w:rPr>
                <w:iCs/>
                <w:lang w:eastAsia="lv-LV"/>
              </w:rPr>
            </w:pPr>
          </w:p>
          <w:p w14:paraId="354E95C6" w14:textId="431FF75F" w:rsidR="00095845" w:rsidRDefault="00370FCC">
            <w:pPr>
              <w:jc w:val="both"/>
              <w:rPr>
                <w:iCs/>
                <w:lang w:eastAsia="lv-LV"/>
              </w:rPr>
            </w:pPr>
            <w:r w:rsidRPr="00E51BC0">
              <w:rPr>
                <w:b/>
                <w:bCs/>
                <w:iCs/>
                <w:lang w:eastAsia="lv-LV"/>
              </w:rPr>
              <w:t>1.</w:t>
            </w:r>
            <w:r w:rsidR="007C65F5" w:rsidRPr="00E51BC0">
              <w:rPr>
                <w:b/>
                <w:bCs/>
                <w:iCs/>
                <w:lang w:eastAsia="lv-LV"/>
              </w:rPr>
              <w:t>5</w:t>
            </w:r>
            <w:r w:rsidRPr="00E51BC0">
              <w:rPr>
                <w:b/>
                <w:bCs/>
                <w:iCs/>
                <w:lang w:eastAsia="lv-LV"/>
              </w:rPr>
              <w:t>.</w:t>
            </w:r>
            <w:r w:rsidR="004C7B77" w:rsidRPr="00E51BC0">
              <w:rPr>
                <w:b/>
                <w:bCs/>
                <w:iCs/>
                <w:lang w:eastAsia="lv-LV"/>
              </w:rPr>
              <w:t> </w:t>
            </w:r>
            <w:r w:rsidR="00095845" w:rsidRPr="00E51BC0">
              <w:rPr>
                <w:iCs/>
                <w:lang w:eastAsia="lv-LV"/>
              </w:rPr>
              <w:t>Darbinieku aizsardzības likums nenoteic termiņu, kādā Maksātnespējas kontroles dienestam ir jāpieņem lēmums par darbinieka prasījuma apmierināšanu. Termiņa neesamība Darbinieku aizsardzības likumā skatāma kopsakarā ar Ministru kabineta 2011. gada 27. decembra noteikum</w:t>
            </w:r>
            <w:r w:rsidR="00196695">
              <w:rPr>
                <w:iCs/>
                <w:lang w:eastAsia="lv-LV"/>
              </w:rPr>
              <w:t>os</w:t>
            </w:r>
            <w:r w:rsidR="00095845" w:rsidRPr="00E51BC0">
              <w:rPr>
                <w:iCs/>
                <w:lang w:eastAsia="lv-LV"/>
              </w:rPr>
              <w:t xml:space="preserve"> Nr. 995 </w:t>
            </w:r>
            <w:r w:rsidR="00157578" w:rsidRPr="00E51BC0">
              <w:rPr>
                <w:iCs/>
                <w:lang w:eastAsia="lv-LV"/>
              </w:rPr>
              <w:t xml:space="preserve">"Maksātnespējīgo darba devēju darbinieku prasījumu apmierināšanas un administratora atlīdzības izmaksas kārtība" (turpmāk – Ministru kabineta noteikumi Nr. 995) </w:t>
            </w:r>
            <w:r w:rsidR="00095845" w:rsidRPr="00E51BC0">
              <w:rPr>
                <w:iCs/>
                <w:lang w:eastAsia="lv-LV"/>
              </w:rPr>
              <w:t>noteikto attiecībā uz lēmuma par darbinieka prasījuma apmierināšanu pieņemšanu. Proti, s</w:t>
            </w:r>
            <w:r w:rsidR="007B0F32" w:rsidRPr="00E51BC0">
              <w:rPr>
                <w:iCs/>
                <w:lang w:eastAsia="lv-LV"/>
              </w:rPr>
              <w:t>askaņā ar Ministru kabineta noteikum</w:t>
            </w:r>
            <w:r w:rsidR="007E055B">
              <w:rPr>
                <w:iCs/>
                <w:lang w:eastAsia="lv-LV"/>
              </w:rPr>
              <w:t>iem</w:t>
            </w:r>
            <w:r w:rsidR="007B0F32" w:rsidRPr="00E51BC0">
              <w:rPr>
                <w:iCs/>
                <w:lang w:eastAsia="lv-LV"/>
              </w:rPr>
              <w:t xml:space="preserve"> Nr. 995 Maksātnespējas kontroles dienests mēneša laikā pēc </w:t>
            </w:r>
            <w:r w:rsidR="007B0F32" w:rsidRPr="00E51BC0">
              <w:rPr>
                <w:iCs/>
                <w:lang w:eastAsia="lv-LV"/>
              </w:rPr>
              <w:lastRenderedPageBreak/>
              <w:t xml:space="preserve">visu nepieciešamo </w:t>
            </w:r>
            <w:r w:rsidR="00095845" w:rsidRPr="00E51BC0">
              <w:rPr>
                <w:iCs/>
                <w:lang w:eastAsia="lv-LV"/>
              </w:rPr>
              <w:t>dokumentu</w:t>
            </w:r>
            <w:r w:rsidR="007B0F32" w:rsidRPr="00E51BC0">
              <w:rPr>
                <w:iCs/>
                <w:lang w:eastAsia="lv-LV"/>
              </w:rPr>
              <w:t xml:space="preserve"> saņemšana</w:t>
            </w:r>
            <w:r w:rsidR="00143DD3" w:rsidRPr="00E51BC0">
              <w:rPr>
                <w:iCs/>
                <w:lang w:eastAsia="lv-LV"/>
              </w:rPr>
              <w:t>s lemj par darbinieku prasījumu apmierināšanu vai par atteikumu piešķirt naudas līdzekļus.</w:t>
            </w:r>
          </w:p>
          <w:p w14:paraId="6190E2A8" w14:textId="77777777" w:rsidR="00C50DAB" w:rsidRPr="00E51BC0" w:rsidRDefault="00C50DAB">
            <w:pPr>
              <w:jc w:val="both"/>
              <w:rPr>
                <w:b/>
                <w:bCs/>
                <w:iCs/>
                <w:lang w:eastAsia="lv-LV"/>
              </w:rPr>
            </w:pPr>
          </w:p>
          <w:p w14:paraId="1CB293F3" w14:textId="1B679C2B" w:rsidR="007B0F32" w:rsidRPr="00E51BC0" w:rsidRDefault="00143DD3">
            <w:pPr>
              <w:jc w:val="both"/>
              <w:rPr>
                <w:iCs/>
                <w:lang w:eastAsia="lv-LV"/>
              </w:rPr>
            </w:pPr>
            <w:r w:rsidRPr="00E51BC0">
              <w:rPr>
                <w:iCs/>
                <w:lang w:eastAsia="lv-LV"/>
              </w:rPr>
              <w:t xml:space="preserve">Praksē rodas sarežģījumi, jo </w:t>
            </w:r>
            <w:r w:rsidR="00095845" w:rsidRPr="00E51BC0">
              <w:rPr>
                <w:iCs/>
                <w:lang w:eastAsia="lv-LV"/>
              </w:rPr>
              <w:t>D</w:t>
            </w:r>
            <w:r w:rsidRPr="00E51BC0">
              <w:rPr>
                <w:iCs/>
                <w:lang w:eastAsia="lv-LV"/>
              </w:rPr>
              <w:t xml:space="preserve">arbinieku aizsardzības likumā šāds nosacījums nav </w:t>
            </w:r>
            <w:r w:rsidR="00095845" w:rsidRPr="00E51BC0">
              <w:rPr>
                <w:iCs/>
                <w:lang w:eastAsia="lv-LV"/>
              </w:rPr>
              <w:t>minēts</w:t>
            </w:r>
            <w:r w:rsidRPr="00E51BC0">
              <w:rPr>
                <w:iCs/>
                <w:lang w:eastAsia="lv-LV"/>
              </w:rPr>
              <w:t xml:space="preserve">, bet bez visiem nepieciešamajiem dokumentiem Maksātnespējas kontroles dienests </w:t>
            </w:r>
            <w:r w:rsidR="00095845" w:rsidRPr="00E51BC0">
              <w:rPr>
                <w:iCs/>
                <w:lang w:eastAsia="lv-LV"/>
              </w:rPr>
              <w:t xml:space="preserve">nedrīkst </w:t>
            </w:r>
            <w:r w:rsidRPr="00E51BC0">
              <w:rPr>
                <w:iCs/>
                <w:lang w:eastAsia="lv-LV"/>
              </w:rPr>
              <w:t>pieņemt lēmumu.</w:t>
            </w:r>
            <w:r w:rsidR="00095845" w:rsidRPr="00E51BC0">
              <w:rPr>
                <w:iCs/>
                <w:lang w:eastAsia="lv-LV"/>
              </w:rPr>
              <w:t xml:space="preserve"> </w:t>
            </w:r>
            <w:r w:rsidRPr="00E51BC0">
              <w:rPr>
                <w:iCs/>
                <w:lang w:eastAsia="lv-LV"/>
              </w:rPr>
              <w:t>Vienlaikus jāņem vērā Administratīvā procesa likuma 64. panta pirmajā daļā noteiktais, proti, ja administratīvā lieta ierosināta uz iesnieguma pamata, iestāde pieņem lēmumu par administratīvā akta izdošanu viena mēneša laikā no iesnieguma saņemšanas dienas, ja likumā nav noteikts cits termiņš.</w:t>
            </w:r>
          </w:p>
          <w:p w14:paraId="4971521A" w14:textId="77777777" w:rsidR="00E51BC0" w:rsidRDefault="00E51BC0">
            <w:pPr>
              <w:jc w:val="both"/>
              <w:rPr>
                <w:iCs/>
                <w:lang w:eastAsia="lv-LV"/>
              </w:rPr>
            </w:pPr>
          </w:p>
          <w:p w14:paraId="0AECB38B" w14:textId="6689D677" w:rsidR="00971EB6" w:rsidRDefault="00095845">
            <w:pPr>
              <w:jc w:val="both"/>
              <w:rPr>
                <w:iCs/>
                <w:lang w:eastAsia="lv-LV"/>
              </w:rPr>
            </w:pPr>
            <w:r w:rsidRPr="00E51BC0">
              <w:rPr>
                <w:iCs/>
                <w:lang w:eastAsia="lv-LV"/>
              </w:rPr>
              <w:t>Līdz ar to, lai nodrošinātu tiesisko noteiktību par lēmuma pieņemšanu attiecībā uz darbinieka prasījumu, kā arī, lai salāgotu Darbinieku aizsardzības likumu atbilstoši Administratīvā procesa likumā noteiktajam termiņam lēmuma pieņemšanai, Darbinieku aizsardzības likumā nepieciešams noteikt termiņu, kādā Maksātnespējas kontroles dienestam izskatāms iesniegums par darbinieka prasījumu.</w:t>
            </w:r>
          </w:p>
          <w:p w14:paraId="0F149765" w14:textId="77777777" w:rsidR="00E51BC0" w:rsidRDefault="00E51BC0">
            <w:pPr>
              <w:jc w:val="both"/>
              <w:rPr>
                <w:b/>
                <w:bCs/>
                <w:iCs/>
                <w:lang w:eastAsia="lv-LV"/>
              </w:rPr>
            </w:pPr>
          </w:p>
          <w:p w14:paraId="083EB9BF" w14:textId="50F5802D" w:rsidR="005B7797" w:rsidRPr="00E51BC0" w:rsidRDefault="00E35FB9">
            <w:pPr>
              <w:jc w:val="both"/>
              <w:rPr>
                <w:color w:val="414142"/>
                <w:shd w:val="clear" w:color="auto" w:fill="FFFFFF"/>
              </w:rPr>
            </w:pPr>
            <w:r w:rsidRPr="00E51BC0">
              <w:rPr>
                <w:b/>
                <w:bCs/>
                <w:iCs/>
                <w:lang w:eastAsia="lv-LV"/>
              </w:rPr>
              <w:t>1.</w:t>
            </w:r>
            <w:r w:rsidR="007C65F5" w:rsidRPr="00E51BC0">
              <w:rPr>
                <w:b/>
                <w:bCs/>
                <w:iCs/>
                <w:lang w:eastAsia="lv-LV"/>
              </w:rPr>
              <w:t>6</w:t>
            </w:r>
            <w:r w:rsidRPr="00E51BC0">
              <w:rPr>
                <w:b/>
                <w:bCs/>
                <w:iCs/>
                <w:lang w:eastAsia="lv-LV"/>
              </w:rPr>
              <w:t>.</w:t>
            </w:r>
            <w:r w:rsidRPr="00E51BC0">
              <w:rPr>
                <w:iCs/>
                <w:lang w:eastAsia="lv-LV"/>
              </w:rPr>
              <w:t> </w:t>
            </w:r>
            <w:r w:rsidR="000A1D77" w:rsidRPr="00E51BC0">
              <w:rPr>
                <w:iCs/>
                <w:lang w:eastAsia="lv-LV"/>
              </w:rPr>
              <w:t xml:space="preserve">Darbinieku aizsardzības likuma mērķis ir pēc iespējas ātrāk likvidēt </w:t>
            </w:r>
            <w:r w:rsidR="00775849" w:rsidRPr="00E51BC0">
              <w:rPr>
                <w:iCs/>
                <w:lang w:eastAsia="lv-LV"/>
              </w:rPr>
              <w:t xml:space="preserve">darbiniekam </w:t>
            </w:r>
            <w:r w:rsidR="00125393" w:rsidRPr="00E51BC0">
              <w:rPr>
                <w:iCs/>
                <w:lang w:eastAsia="lv-LV"/>
              </w:rPr>
              <w:t xml:space="preserve">nelabvēlīgās sociālās sekas saistībā ar darbinieka darba devēja maksātnespējas gadījuma iestāšanos. </w:t>
            </w:r>
            <w:r w:rsidR="00587F73" w:rsidRPr="00E51BC0">
              <w:rPr>
                <w:iCs/>
                <w:lang w:eastAsia="lv-LV"/>
              </w:rPr>
              <w:t>Lai sasniegtu minēto mērķi</w:t>
            </w:r>
            <w:r w:rsidR="00DA152E" w:rsidRPr="00E51BC0">
              <w:rPr>
                <w:iCs/>
                <w:lang w:eastAsia="lv-LV"/>
              </w:rPr>
              <w:t>,</w:t>
            </w:r>
            <w:r w:rsidR="00587F73" w:rsidRPr="00E51BC0">
              <w:rPr>
                <w:iCs/>
                <w:lang w:eastAsia="lv-LV"/>
              </w:rPr>
              <w:t xml:space="preserve"> administratoram Maksātnespējas likuma 65. panta 7. punktā </w:t>
            </w:r>
            <w:r w:rsidR="00DA152E" w:rsidRPr="00E51BC0">
              <w:rPr>
                <w:iCs/>
                <w:lang w:eastAsia="lv-LV"/>
              </w:rPr>
              <w:t xml:space="preserve">ir </w:t>
            </w:r>
            <w:r w:rsidR="00587F73" w:rsidRPr="00E51BC0">
              <w:rPr>
                <w:iCs/>
                <w:lang w:eastAsia="lv-LV"/>
              </w:rPr>
              <w:t xml:space="preserve">noteikts pienākums </w:t>
            </w:r>
            <w:r w:rsidR="00587F73" w:rsidRPr="00E51BC0">
              <w:rPr>
                <w:shd w:val="clear" w:color="auto" w:fill="FFFFFF"/>
              </w:rPr>
              <w:t>normatīvajos aktos noteiktajos gadījumos un noteiktajā kārtībā vērsties Maksātnespējas kontroles dienestā ar iesniegumu par darbinieku prasījum</w:t>
            </w:r>
            <w:r w:rsidR="0059123E">
              <w:rPr>
                <w:shd w:val="clear" w:color="auto" w:fill="FFFFFF"/>
              </w:rPr>
              <w:t>u</w:t>
            </w:r>
            <w:r w:rsidR="00587F73" w:rsidRPr="00E51BC0">
              <w:rPr>
                <w:shd w:val="clear" w:color="auto" w:fill="FFFFFF"/>
              </w:rPr>
              <w:t xml:space="preserve"> apmierināšanu no fonda</w:t>
            </w:r>
            <w:r w:rsidR="005B7797" w:rsidRPr="00E51BC0">
              <w:rPr>
                <w:shd w:val="clear" w:color="auto" w:fill="FFFFFF"/>
              </w:rPr>
              <w:t xml:space="preserve"> (sk.</w:t>
            </w:r>
            <w:r w:rsidR="0022441E" w:rsidRPr="00E51BC0">
              <w:rPr>
                <w:shd w:val="clear" w:color="auto" w:fill="FFFFFF"/>
              </w:rPr>
              <w:t> </w:t>
            </w:r>
            <w:r w:rsidR="005B7797" w:rsidRPr="00E51BC0">
              <w:rPr>
                <w:shd w:val="clear" w:color="auto" w:fill="FFFFFF"/>
              </w:rPr>
              <w:t xml:space="preserve">arī Darbinieku aizsardzības likuma </w:t>
            </w:r>
            <w:r w:rsidR="005B7797" w:rsidRPr="00E51BC0">
              <w:t>10. pantu).</w:t>
            </w:r>
          </w:p>
          <w:p w14:paraId="1CD0050E" w14:textId="77777777" w:rsidR="00E51BC0" w:rsidRDefault="00E51BC0">
            <w:pPr>
              <w:jc w:val="both"/>
              <w:rPr>
                <w:iCs/>
                <w:lang w:eastAsia="lv-LV"/>
              </w:rPr>
            </w:pPr>
          </w:p>
          <w:p w14:paraId="25692257" w14:textId="33C161C1" w:rsidR="00E209E1" w:rsidRPr="00E51BC0" w:rsidRDefault="000A1D77">
            <w:pPr>
              <w:jc w:val="both"/>
              <w:rPr>
                <w:iCs/>
                <w:lang w:eastAsia="lv-LV"/>
              </w:rPr>
            </w:pPr>
            <w:r w:rsidRPr="00E51BC0">
              <w:rPr>
                <w:iCs/>
                <w:lang w:eastAsia="lv-LV"/>
              </w:rPr>
              <w:t xml:space="preserve">Minētais administratora pienākums </w:t>
            </w:r>
            <w:r w:rsidR="00E366A4" w:rsidRPr="00E51BC0">
              <w:rPr>
                <w:iCs/>
                <w:lang w:eastAsia="lv-LV"/>
              </w:rPr>
              <w:t xml:space="preserve">ir aprobežots tikai ar beigu termiņu, proti, administrators </w:t>
            </w:r>
            <w:r w:rsidR="00FF7C40" w:rsidRPr="00E51BC0">
              <w:rPr>
                <w:iCs/>
                <w:lang w:eastAsia="lv-LV"/>
              </w:rPr>
              <w:t xml:space="preserve">darbinieku prasījumu </w:t>
            </w:r>
            <w:r w:rsidR="00735DB9" w:rsidRPr="00E51BC0">
              <w:rPr>
                <w:iCs/>
                <w:lang w:eastAsia="lv-LV"/>
              </w:rPr>
              <w:t>var iesniegt</w:t>
            </w:r>
            <w:r w:rsidR="003E6219" w:rsidRPr="00E51BC0">
              <w:rPr>
                <w:iCs/>
                <w:lang w:eastAsia="lv-LV"/>
              </w:rPr>
              <w:t xml:space="preserve">, </w:t>
            </w:r>
            <w:r w:rsidR="00E366A4" w:rsidRPr="00E51BC0">
              <w:rPr>
                <w:iCs/>
                <w:lang w:eastAsia="lv-LV"/>
              </w:rPr>
              <w:t xml:space="preserve">kamēr norisinās maksātnespējas process un nedrīkst izbeigt procesu, ja ir iesniegts </w:t>
            </w:r>
            <w:r w:rsidR="00735DB9" w:rsidRPr="00E51BC0">
              <w:rPr>
                <w:iCs/>
                <w:lang w:eastAsia="lv-LV"/>
              </w:rPr>
              <w:t>darbinieku prasījums</w:t>
            </w:r>
            <w:r w:rsidR="00E366A4" w:rsidRPr="00E51BC0">
              <w:rPr>
                <w:iCs/>
                <w:lang w:eastAsia="lv-LV"/>
              </w:rPr>
              <w:t>, bet Maksātnespējas kontroles dienests vēl nav pieņēmis lēmumu</w:t>
            </w:r>
            <w:r w:rsidR="00735DB9" w:rsidRPr="00E51BC0">
              <w:rPr>
                <w:iCs/>
                <w:lang w:eastAsia="lv-LV"/>
              </w:rPr>
              <w:t xml:space="preserve"> par darbinieku prasījuma apmierināšanu</w:t>
            </w:r>
            <w:r w:rsidR="00E366A4" w:rsidRPr="00E51BC0">
              <w:rPr>
                <w:iCs/>
                <w:lang w:eastAsia="lv-LV"/>
              </w:rPr>
              <w:t xml:space="preserve">. </w:t>
            </w:r>
          </w:p>
          <w:p w14:paraId="223704D7" w14:textId="77777777" w:rsidR="00E51BC0" w:rsidRDefault="00E51BC0">
            <w:pPr>
              <w:jc w:val="both"/>
              <w:rPr>
                <w:iCs/>
                <w:lang w:eastAsia="lv-LV"/>
              </w:rPr>
            </w:pPr>
          </w:p>
          <w:p w14:paraId="51AB2841" w14:textId="0DA3771C" w:rsidR="00E51BC0" w:rsidRDefault="00E366A4">
            <w:pPr>
              <w:jc w:val="both"/>
              <w:rPr>
                <w:iCs/>
                <w:lang w:eastAsia="lv-LV"/>
              </w:rPr>
            </w:pPr>
            <w:r w:rsidRPr="00E51BC0">
              <w:rPr>
                <w:iCs/>
                <w:lang w:eastAsia="lv-LV"/>
              </w:rPr>
              <w:t>Praksē jāsaskaras ar gadījumiem, kad administrators bez attaisnojoša iemesla ilgstoši neiesniedz Maksātnespējas kontroles dienestā</w:t>
            </w:r>
            <w:r w:rsidR="00F56D34" w:rsidRPr="00E51BC0">
              <w:rPr>
                <w:iCs/>
                <w:lang w:eastAsia="lv-LV"/>
              </w:rPr>
              <w:t xml:space="preserve"> darbinieku prasījumus</w:t>
            </w:r>
            <w:r w:rsidRPr="00E51BC0">
              <w:rPr>
                <w:iCs/>
                <w:lang w:eastAsia="lv-LV"/>
              </w:rPr>
              <w:t xml:space="preserve">, tādējādi kavējot darbinieka tiesības saņemt pienākošos prasījumu apmierināšanu. </w:t>
            </w:r>
          </w:p>
          <w:p w14:paraId="531D3780" w14:textId="77777777" w:rsidR="009E2473" w:rsidRDefault="009E2473">
            <w:pPr>
              <w:jc w:val="both"/>
              <w:rPr>
                <w:iCs/>
                <w:lang w:eastAsia="lv-LV"/>
              </w:rPr>
            </w:pPr>
          </w:p>
          <w:p w14:paraId="5D3BC422" w14:textId="21515C07" w:rsidR="004F305A" w:rsidRPr="00E51BC0" w:rsidRDefault="00146DB8">
            <w:pPr>
              <w:jc w:val="both"/>
              <w:rPr>
                <w:iCs/>
                <w:lang w:eastAsia="lv-LV"/>
              </w:rPr>
            </w:pPr>
            <w:r w:rsidRPr="00E51BC0">
              <w:rPr>
                <w:iCs/>
                <w:lang w:eastAsia="lv-LV"/>
              </w:rPr>
              <w:t xml:space="preserve">Ievērojot minēto, </w:t>
            </w:r>
            <w:r w:rsidR="007E055B">
              <w:rPr>
                <w:iCs/>
                <w:lang w:eastAsia="lv-LV"/>
              </w:rPr>
              <w:t xml:space="preserve">ar </w:t>
            </w:r>
            <w:r w:rsidRPr="00E51BC0">
              <w:rPr>
                <w:iCs/>
                <w:lang w:eastAsia="lv-LV"/>
              </w:rPr>
              <w:t>likumprojekt</w:t>
            </w:r>
            <w:r w:rsidR="007E055B">
              <w:rPr>
                <w:iCs/>
                <w:lang w:eastAsia="lv-LV"/>
              </w:rPr>
              <w:t>u</w:t>
            </w:r>
            <w:r w:rsidRPr="00E51BC0">
              <w:rPr>
                <w:iCs/>
                <w:lang w:eastAsia="lv-LV"/>
              </w:rPr>
              <w:t xml:space="preserve"> jāpapildina Darbinieku aizsardzības likuma 10.</w:t>
            </w:r>
            <w:r w:rsidR="00C50DAB">
              <w:rPr>
                <w:iCs/>
                <w:lang w:eastAsia="lv-LV"/>
              </w:rPr>
              <w:t> </w:t>
            </w:r>
            <w:r w:rsidRPr="00E51BC0">
              <w:rPr>
                <w:iCs/>
                <w:lang w:eastAsia="lv-LV"/>
              </w:rPr>
              <w:t>panta pirmā daļa</w:t>
            </w:r>
            <w:r w:rsidR="007E055B">
              <w:rPr>
                <w:iCs/>
                <w:lang w:eastAsia="lv-LV"/>
              </w:rPr>
              <w:t>,</w:t>
            </w:r>
            <w:r w:rsidRPr="00E51BC0">
              <w:rPr>
                <w:iCs/>
                <w:lang w:eastAsia="lv-LV"/>
              </w:rPr>
              <w:t xml:space="preserve"> norādot, ka administratoram savlaicīgi ir jāiesniedz iesniegums par darbinieku prasījumu apmierināšanu Maksātnespējas kontroles dienestā, tādējādi uzlabojot darbinieku tiesības uz prasījumu apmierināšanu</w:t>
            </w:r>
            <w:r w:rsidR="004F305A" w:rsidRPr="00E51BC0">
              <w:rPr>
                <w:iCs/>
                <w:lang w:eastAsia="lv-LV"/>
              </w:rPr>
              <w:t>.</w:t>
            </w:r>
          </w:p>
          <w:p w14:paraId="3192D008" w14:textId="42995EEC" w:rsidR="007B0F32" w:rsidRPr="00E51BC0" w:rsidRDefault="00F56D34">
            <w:pPr>
              <w:jc w:val="both"/>
              <w:rPr>
                <w:iCs/>
                <w:lang w:eastAsia="lv-LV"/>
              </w:rPr>
            </w:pPr>
            <w:r w:rsidRPr="00E51BC0">
              <w:rPr>
                <w:iCs/>
                <w:lang w:eastAsia="lv-LV"/>
              </w:rPr>
              <w:lastRenderedPageBreak/>
              <w:t>Minētai</w:t>
            </w:r>
            <w:r w:rsidR="007009E0" w:rsidRPr="00E51BC0">
              <w:rPr>
                <w:iCs/>
                <w:lang w:eastAsia="lv-LV"/>
              </w:rPr>
              <w:t>s regulējums vairos tiesisko noteiktību darbinieka darba devēja maksātnespējas gadījumā.</w:t>
            </w:r>
          </w:p>
          <w:p w14:paraId="4F4B17FF" w14:textId="0EE47080" w:rsidR="00E7376E" w:rsidRPr="00E51BC0" w:rsidRDefault="00E7376E">
            <w:pPr>
              <w:jc w:val="both"/>
              <w:rPr>
                <w:iCs/>
                <w:lang w:eastAsia="lv-LV"/>
              </w:rPr>
            </w:pPr>
          </w:p>
          <w:p w14:paraId="7966871D" w14:textId="2720ACD2" w:rsidR="005B07B6" w:rsidRPr="00E51BC0" w:rsidRDefault="005E1A76">
            <w:pPr>
              <w:jc w:val="both"/>
              <w:rPr>
                <w:b/>
                <w:bCs/>
                <w:iCs/>
                <w:lang w:eastAsia="lv-LV"/>
              </w:rPr>
            </w:pPr>
            <w:r>
              <w:rPr>
                <w:b/>
                <w:bCs/>
                <w:iCs/>
                <w:lang w:eastAsia="lv-LV"/>
              </w:rPr>
              <w:t>[</w:t>
            </w:r>
            <w:r w:rsidR="00637774" w:rsidRPr="00E51BC0">
              <w:rPr>
                <w:b/>
                <w:bCs/>
                <w:iCs/>
                <w:lang w:eastAsia="lv-LV"/>
              </w:rPr>
              <w:t>2</w:t>
            </w:r>
            <w:r>
              <w:rPr>
                <w:b/>
                <w:bCs/>
                <w:iCs/>
                <w:lang w:eastAsia="lv-LV"/>
              </w:rPr>
              <w:t>]</w:t>
            </w:r>
            <w:r w:rsidR="00637774" w:rsidRPr="00E51BC0">
              <w:rPr>
                <w:b/>
                <w:bCs/>
                <w:iCs/>
                <w:lang w:eastAsia="lv-LV"/>
              </w:rPr>
              <w:t> </w:t>
            </w:r>
            <w:r w:rsidR="003D39C8" w:rsidRPr="00E51BC0">
              <w:rPr>
                <w:b/>
                <w:bCs/>
                <w:iCs/>
                <w:lang w:eastAsia="lv-LV"/>
              </w:rPr>
              <w:t>Nepieciešamie grozījumi Darbinieku aizsardzības likumā saistībā ar</w:t>
            </w:r>
            <w:r w:rsidR="007E2A38" w:rsidRPr="00E51BC0">
              <w:rPr>
                <w:b/>
                <w:bCs/>
                <w:iCs/>
                <w:lang w:eastAsia="lv-LV"/>
              </w:rPr>
              <w:t xml:space="preserve"> Sistēmas </w:t>
            </w:r>
            <w:r w:rsidR="003D39C8" w:rsidRPr="00E51BC0">
              <w:rPr>
                <w:b/>
                <w:bCs/>
                <w:iCs/>
                <w:lang w:eastAsia="lv-LV"/>
              </w:rPr>
              <w:t xml:space="preserve">darbību. </w:t>
            </w:r>
            <w:r w:rsidR="001249B3" w:rsidRPr="00E51BC0">
              <w:rPr>
                <w:b/>
                <w:bCs/>
                <w:iCs/>
                <w:lang w:eastAsia="lv-LV"/>
              </w:rPr>
              <w:t xml:space="preserve"> </w:t>
            </w:r>
          </w:p>
          <w:p w14:paraId="368675CF" w14:textId="77777777" w:rsidR="00E51BC0" w:rsidRDefault="00E51BC0">
            <w:pPr>
              <w:jc w:val="both"/>
              <w:rPr>
                <w:iCs/>
                <w:lang w:eastAsia="lv-LV"/>
              </w:rPr>
            </w:pPr>
          </w:p>
          <w:p w14:paraId="5ED229E7" w14:textId="4FC01FA3" w:rsidR="00DE0F76" w:rsidRDefault="00DE0F76">
            <w:pPr>
              <w:jc w:val="both"/>
              <w:rPr>
                <w:iCs/>
                <w:lang w:eastAsia="lv-LV"/>
              </w:rPr>
            </w:pPr>
            <w:r>
              <w:rPr>
                <w:iCs/>
                <w:lang w:eastAsia="lv-LV"/>
              </w:rPr>
              <w:t>Ar</w:t>
            </w:r>
            <w:r w:rsidR="00D804C9">
              <w:rPr>
                <w:iCs/>
                <w:lang w:eastAsia="lv-LV"/>
              </w:rPr>
              <w:t xml:space="preserve"> </w:t>
            </w:r>
            <w:r w:rsidRPr="00E51BC0">
              <w:rPr>
                <w:iCs/>
                <w:lang w:eastAsia="lv-LV"/>
              </w:rPr>
              <w:t>2016. gada 22</w:t>
            </w:r>
            <w:r w:rsidR="00C50DAB">
              <w:rPr>
                <w:iCs/>
                <w:lang w:eastAsia="lv-LV"/>
              </w:rPr>
              <w:t>. </w:t>
            </w:r>
            <w:r w:rsidRPr="00E51BC0">
              <w:rPr>
                <w:iCs/>
                <w:lang w:eastAsia="lv-LV"/>
              </w:rPr>
              <w:t>decembra likum</w:t>
            </w:r>
            <w:r>
              <w:rPr>
                <w:iCs/>
                <w:lang w:eastAsia="lv-LV"/>
              </w:rPr>
              <w:t>u</w:t>
            </w:r>
            <w:r w:rsidRPr="00E51BC0">
              <w:rPr>
                <w:iCs/>
                <w:lang w:eastAsia="lv-LV"/>
              </w:rPr>
              <w:t xml:space="preserve"> "Grozījumi Maksātnespējas likumā"</w:t>
            </w:r>
            <w:r>
              <w:rPr>
                <w:iCs/>
                <w:lang w:eastAsia="lv-LV"/>
              </w:rPr>
              <w:t xml:space="preserve"> </w:t>
            </w:r>
            <w:r w:rsidR="00C50DAB">
              <w:rPr>
                <w:iCs/>
                <w:lang w:eastAsia="lv-LV"/>
              </w:rPr>
              <w:t>normatīvā līmenī tika nostiprināta Sistēma, nosakot, ka tajā tiek ietvertas, tostarp ziņas par darbinieku prasījumiem maksātnespējas procesā.</w:t>
            </w:r>
          </w:p>
          <w:p w14:paraId="1BE120A9" w14:textId="77777777" w:rsidR="00DE0F76" w:rsidRDefault="00DE0F76">
            <w:pPr>
              <w:jc w:val="both"/>
              <w:rPr>
                <w:iCs/>
                <w:lang w:eastAsia="lv-LV"/>
              </w:rPr>
            </w:pPr>
          </w:p>
          <w:p w14:paraId="577B70E4" w14:textId="6D6ECD01" w:rsidR="00B75BE6" w:rsidRDefault="006558F7">
            <w:pPr>
              <w:jc w:val="both"/>
              <w:rPr>
                <w:iCs/>
                <w:lang w:eastAsia="lv-LV"/>
              </w:rPr>
            </w:pPr>
            <w:r w:rsidRPr="00E51BC0">
              <w:rPr>
                <w:iCs/>
                <w:lang w:eastAsia="lv-LV"/>
              </w:rPr>
              <w:t>Darbinieku aizsardzības likuma 8.</w:t>
            </w:r>
            <w:r w:rsidR="006376E8" w:rsidRPr="00E51BC0">
              <w:rPr>
                <w:iCs/>
                <w:lang w:eastAsia="lv-LV"/>
              </w:rPr>
              <w:t> </w:t>
            </w:r>
            <w:r w:rsidRPr="00E51BC0">
              <w:rPr>
                <w:iCs/>
                <w:lang w:eastAsia="lv-LV"/>
              </w:rPr>
              <w:t xml:space="preserve">panta otrās daļas 1. punkts noteic, ka Maksātnespējas kontroles dienests saskaņā ar šo likumu pieņem un izskata maksātnespējīgo darba devēju administratoru iesniegumus par darbinieku prasījumu apmierināšanu un apstiprina no fonda līdzekļiem izmaksājamās summas. Saistībā ar </w:t>
            </w:r>
            <w:r w:rsidR="003864D1" w:rsidRPr="00E51BC0">
              <w:rPr>
                <w:iCs/>
                <w:lang w:eastAsia="lv-LV"/>
              </w:rPr>
              <w:t>Sistēmas</w:t>
            </w:r>
            <w:r w:rsidRPr="00E51BC0">
              <w:rPr>
                <w:iCs/>
                <w:lang w:eastAsia="lv-LV"/>
              </w:rPr>
              <w:t xml:space="preserve"> </w:t>
            </w:r>
            <w:r w:rsidR="003864D1" w:rsidRPr="00E51BC0">
              <w:rPr>
                <w:iCs/>
                <w:lang w:eastAsia="lv-LV"/>
              </w:rPr>
              <w:t xml:space="preserve">funkcionalitāti </w:t>
            </w:r>
            <w:r w:rsidRPr="00E51BC0">
              <w:rPr>
                <w:iCs/>
                <w:lang w:eastAsia="lv-LV"/>
              </w:rPr>
              <w:t xml:space="preserve">ir paredzēts, ka administrators varēs iesniegt iesniegumu tikai </w:t>
            </w:r>
            <w:r w:rsidR="003864D1" w:rsidRPr="00E51BC0">
              <w:rPr>
                <w:iCs/>
                <w:lang w:eastAsia="lv-LV"/>
              </w:rPr>
              <w:t>Sistēmā</w:t>
            </w:r>
            <w:r w:rsidRPr="00E51BC0">
              <w:rPr>
                <w:iCs/>
                <w:lang w:eastAsia="lv-LV"/>
              </w:rPr>
              <w:t>, bet Maksātnespējas kontroles dienests to izskatīs S</w:t>
            </w:r>
            <w:r w:rsidR="003864D1" w:rsidRPr="00E51BC0">
              <w:rPr>
                <w:iCs/>
                <w:lang w:eastAsia="lv-LV"/>
              </w:rPr>
              <w:t>istēmā.</w:t>
            </w:r>
          </w:p>
          <w:p w14:paraId="3180474C" w14:textId="77777777" w:rsidR="00A70C6A" w:rsidRDefault="00A70C6A">
            <w:pPr>
              <w:jc w:val="both"/>
              <w:rPr>
                <w:iCs/>
                <w:lang w:eastAsia="lv-LV"/>
              </w:rPr>
            </w:pPr>
          </w:p>
          <w:p w14:paraId="40DB8939" w14:textId="439657A2" w:rsidR="00DE0F76" w:rsidRDefault="009A558F">
            <w:pPr>
              <w:pStyle w:val="NormalWeb"/>
              <w:spacing w:before="0" w:beforeAutospacing="0" w:after="0" w:afterAutospacing="0"/>
              <w:jc w:val="both"/>
              <w:rPr>
                <w:color w:val="000000"/>
                <w:bdr w:val="none" w:sz="0" w:space="0" w:color="auto" w:frame="1"/>
              </w:rPr>
            </w:pPr>
            <w:r>
              <w:rPr>
                <w:color w:val="000000"/>
                <w:bdr w:val="none" w:sz="0" w:space="0" w:color="auto" w:frame="1"/>
              </w:rPr>
              <w:t>Sistēmā</w:t>
            </w:r>
            <w:r w:rsidR="00A70C6A">
              <w:rPr>
                <w:color w:val="000000"/>
                <w:bdr w:val="none" w:sz="0" w:space="0" w:color="auto" w:frame="1"/>
              </w:rPr>
              <w:t xml:space="preserve"> administratoriem būs pieejama depozīta un atlīdzības par darbinieka prasījuma iesniegšanu sadaļa, kurā, ievadot minimālu informācijas apjomu atbilstoši Ministru kabineta 2015.</w:t>
            </w:r>
            <w:r w:rsidR="00DE0F76">
              <w:rPr>
                <w:color w:val="000000"/>
                <w:bdr w:val="none" w:sz="0" w:space="0" w:color="auto" w:frame="1"/>
              </w:rPr>
              <w:t> </w:t>
            </w:r>
            <w:r w:rsidR="00A70C6A">
              <w:rPr>
                <w:color w:val="000000"/>
                <w:bdr w:val="none" w:sz="0" w:space="0" w:color="auto" w:frame="1"/>
              </w:rPr>
              <w:t>gada 24.</w:t>
            </w:r>
            <w:r w:rsidR="00DE0F76">
              <w:rPr>
                <w:color w:val="000000"/>
                <w:bdr w:val="none" w:sz="0" w:space="0" w:color="auto" w:frame="1"/>
              </w:rPr>
              <w:t> </w:t>
            </w:r>
            <w:r w:rsidR="00A70C6A">
              <w:rPr>
                <w:color w:val="000000"/>
                <w:bdr w:val="none" w:sz="0" w:space="0" w:color="auto" w:frame="1"/>
              </w:rPr>
              <w:t>februāra noteikumiem Nr.</w:t>
            </w:r>
            <w:r w:rsidR="00DE0F76">
              <w:rPr>
                <w:color w:val="000000"/>
                <w:bdr w:val="none" w:sz="0" w:space="0" w:color="auto" w:frame="1"/>
              </w:rPr>
              <w:t> </w:t>
            </w:r>
            <w:r w:rsidR="00A70C6A">
              <w:rPr>
                <w:color w:val="000000"/>
                <w:bdr w:val="none" w:sz="0" w:space="0" w:color="auto" w:frame="1"/>
              </w:rPr>
              <w:t>88 "Kārtība, kādā iemaksā un izmaksā depozītu juridiskās un fiziskās personas maksātnespējas procesā" (konts un tā rekvizīti, summa</w:t>
            </w:r>
            <w:r w:rsidR="00B8411F">
              <w:rPr>
                <w:color w:val="000000"/>
                <w:bdr w:val="none" w:sz="0" w:space="0" w:color="auto" w:frame="1"/>
              </w:rPr>
              <w:t>)</w:t>
            </w:r>
            <w:r w:rsidR="0059123E">
              <w:rPr>
                <w:color w:val="000000"/>
                <w:bdr w:val="none" w:sz="0" w:space="0" w:color="auto" w:frame="1"/>
              </w:rPr>
              <w:t>,</w:t>
            </w:r>
            <w:r w:rsidR="00B8411F">
              <w:rPr>
                <w:color w:val="000000"/>
                <w:bdr w:val="none" w:sz="0" w:space="0" w:color="auto" w:frame="1"/>
              </w:rPr>
              <w:t xml:space="preserve"> </w:t>
            </w:r>
            <w:r w:rsidR="00A70C6A">
              <w:rPr>
                <w:color w:val="000000"/>
                <w:bdr w:val="none" w:sz="0" w:space="0" w:color="auto" w:frame="1"/>
              </w:rPr>
              <w:t xml:space="preserve"> pārējo nepieciešamo informāciju </w:t>
            </w:r>
            <w:r w:rsidR="00DE0F76">
              <w:rPr>
                <w:color w:val="000000"/>
                <w:bdr w:val="none" w:sz="0" w:space="0" w:color="auto" w:frame="1"/>
              </w:rPr>
              <w:t>Sistēma</w:t>
            </w:r>
            <w:r w:rsidR="00A70C6A">
              <w:rPr>
                <w:color w:val="000000"/>
                <w:bdr w:val="none" w:sz="0" w:space="0" w:color="auto" w:frame="1"/>
              </w:rPr>
              <w:t xml:space="preserve"> ielasīs automātiski no </w:t>
            </w:r>
            <w:r w:rsidR="00DE0F76">
              <w:rPr>
                <w:color w:val="000000"/>
                <w:bdr w:val="none" w:sz="0" w:space="0" w:color="auto" w:frame="1"/>
              </w:rPr>
              <w:t>tajā</w:t>
            </w:r>
            <w:r w:rsidR="00A70C6A">
              <w:rPr>
                <w:color w:val="000000"/>
                <w:bdr w:val="none" w:sz="0" w:space="0" w:color="auto" w:frame="1"/>
              </w:rPr>
              <w:t xml:space="preserve"> esošajiem datiem, ģenerējot automātisku veidlapu, kad administrators nospiedīs attiecīgo pogu. </w:t>
            </w:r>
          </w:p>
          <w:p w14:paraId="3B644F52" w14:textId="77777777" w:rsidR="00DE0F76" w:rsidRDefault="00DE0F76">
            <w:pPr>
              <w:pStyle w:val="NormalWeb"/>
              <w:spacing w:before="0" w:beforeAutospacing="0" w:after="0" w:afterAutospacing="0"/>
              <w:jc w:val="both"/>
              <w:rPr>
                <w:color w:val="000000"/>
                <w:bdr w:val="none" w:sz="0" w:space="0" w:color="auto" w:frame="1"/>
              </w:rPr>
            </w:pPr>
          </w:p>
          <w:p w14:paraId="1AC7FC77" w14:textId="77777777" w:rsidR="00DE0F76" w:rsidRDefault="00A70C6A">
            <w:pPr>
              <w:pStyle w:val="NormalWeb"/>
              <w:spacing w:before="0" w:beforeAutospacing="0" w:after="0" w:afterAutospacing="0"/>
              <w:jc w:val="both"/>
              <w:rPr>
                <w:color w:val="000000"/>
                <w:bdr w:val="none" w:sz="0" w:space="0" w:color="auto" w:frame="1"/>
              </w:rPr>
            </w:pPr>
            <w:r>
              <w:rPr>
                <w:color w:val="000000"/>
                <w:bdr w:val="none" w:sz="0" w:space="0" w:color="auto" w:frame="1"/>
              </w:rPr>
              <w:t xml:space="preserve">Administrators varēs uzģenerēto veidlapu nepieciešamības gadījumā rediģēt, gatavo veidlapas versiju reģistrēs </w:t>
            </w:r>
            <w:r w:rsidR="00DE0F76">
              <w:rPr>
                <w:color w:val="000000"/>
                <w:bdr w:val="none" w:sz="0" w:space="0" w:color="auto" w:frame="1"/>
              </w:rPr>
              <w:t>Sistēmas</w:t>
            </w:r>
            <w:r>
              <w:rPr>
                <w:color w:val="000000"/>
                <w:bdr w:val="none" w:sz="0" w:space="0" w:color="auto" w:frame="1"/>
              </w:rPr>
              <w:t xml:space="preserve"> lietvedībā (automātiski veidojas lietvedības kartīte ar aizpildītiem laukiem), parakstīs, bet no tās būs iespēja aizsūtīt uz Maksātnespējas kontroles dienesta lietvedības sistēmu</w:t>
            </w:r>
            <w:r w:rsidR="00DE0F76">
              <w:rPr>
                <w:color w:val="000000"/>
                <w:bdr w:val="none" w:sz="0" w:space="0" w:color="auto" w:frame="1"/>
              </w:rPr>
              <w:t xml:space="preserve">. </w:t>
            </w:r>
          </w:p>
          <w:p w14:paraId="1CE5A4A2" w14:textId="77777777" w:rsidR="00DE0F76" w:rsidRDefault="00DE0F76">
            <w:pPr>
              <w:pStyle w:val="NormalWeb"/>
              <w:spacing w:before="0" w:beforeAutospacing="0" w:after="0" w:afterAutospacing="0"/>
              <w:jc w:val="both"/>
              <w:rPr>
                <w:color w:val="000000"/>
                <w:bdr w:val="none" w:sz="0" w:space="0" w:color="auto" w:frame="1"/>
              </w:rPr>
            </w:pPr>
          </w:p>
          <w:p w14:paraId="27026631" w14:textId="7E2F6E25" w:rsidR="00DE0F76" w:rsidRDefault="00A70C6A">
            <w:pPr>
              <w:jc w:val="both"/>
              <w:rPr>
                <w:iCs/>
                <w:lang w:eastAsia="lv-LV"/>
              </w:rPr>
            </w:pPr>
            <w:r w:rsidRPr="00D804C9">
              <w:rPr>
                <w:color w:val="000000"/>
                <w:bdr w:val="none" w:sz="0" w:space="0" w:color="auto" w:frame="1"/>
              </w:rPr>
              <w:t xml:space="preserve">Maksātnespējas kontroles dienests saņems administratora iesniegumu (dokumentu), kā arī datus sistēmas līmenī, kurus apstrādājot varēs ģenerēt lēmumus un nodot tos tālākām darbībām </w:t>
            </w:r>
            <w:r w:rsidR="00DE0F76" w:rsidRPr="00D804C9">
              <w:rPr>
                <w:color w:val="000000"/>
                <w:bdr w:val="none" w:sz="0" w:space="0" w:color="auto" w:frame="1"/>
              </w:rPr>
              <w:t xml:space="preserve">Maksātnespējas kontroles dienesta lietvedības sistēmā. </w:t>
            </w:r>
            <w:r w:rsidR="00C67C4A" w:rsidRPr="00E51BC0">
              <w:rPr>
                <w:iCs/>
                <w:lang w:eastAsia="lv-LV"/>
              </w:rPr>
              <w:t xml:space="preserve">Ievērojot to, ka Sistēmas attiecīgās funkcionalitātes pilnīga izstrāde un testēšana saistībā ar darbinieku prasījumu apmierināšanas moduli ir laikietilpīgs process, nepieciešams ietvert pārejas noteikumus, </w:t>
            </w:r>
            <w:r w:rsidR="00A47406" w:rsidRPr="00E51BC0">
              <w:rPr>
                <w:iCs/>
                <w:lang w:eastAsia="lv-LV"/>
              </w:rPr>
              <w:t>paredzot minētā regulējuma faktiskās piemērošanas brīdi.</w:t>
            </w:r>
          </w:p>
          <w:p w14:paraId="7CA179EC" w14:textId="77777777" w:rsidR="0028180F" w:rsidRPr="00E51BC0" w:rsidRDefault="0028180F">
            <w:pPr>
              <w:jc w:val="both"/>
              <w:rPr>
                <w:iCs/>
                <w:lang w:eastAsia="lv-LV"/>
              </w:rPr>
            </w:pPr>
          </w:p>
          <w:p w14:paraId="48E6A71F" w14:textId="4D74C75E" w:rsidR="00EE696C" w:rsidRPr="00E51BC0" w:rsidRDefault="005E1A76">
            <w:pPr>
              <w:jc w:val="both"/>
              <w:rPr>
                <w:b/>
                <w:bCs/>
                <w:iCs/>
                <w:lang w:eastAsia="lv-LV"/>
              </w:rPr>
            </w:pPr>
            <w:r>
              <w:rPr>
                <w:b/>
                <w:bCs/>
                <w:iCs/>
                <w:lang w:eastAsia="lv-LV"/>
              </w:rPr>
              <w:t>[</w:t>
            </w:r>
            <w:r w:rsidR="00AD2B79" w:rsidRPr="00E51BC0">
              <w:rPr>
                <w:b/>
                <w:bCs/>
                <w:iCs/>
                <w:lang w:eastAsia="lv-LV"/>
              </w:rPr>
              <w:t>3</w:t>
            </w:r>
            <w:r>
              <w:rPr>
                <w:b/>
                <w:bCs/>
                <w:iCs/>
                <w:lang w:eastAsia="lv-LV"/>
              </w:rPr>
              <w:t>]</w:t>
            </w:r>
            <w:r w:rsidR="000620EB" w:rsidRPr="00E51BC0">
              <w:rPr>
                <w:b/>
                <w:bCs/>
                <w:iCs/>
                <w:lang w:eastAsia="lv-LV"/>
              </w:rPr>
              <w:t> Redakcionāli un precizējoši grozījumi Darbinieku aizsardzības likumā.</w:t>
            </w:r>
          </w:p>
          <w:p w14:paraId="4CECFD58" w14:textId="77777777" w:rsidR="00031524" w:rsidRPr="00E51BC0" w:rsidRDefault="00031524">
            <w:pPr>
              <w:ind w:firstLine="537"/>
              <w:jc w:val="both"/>
              <w:rPr>
                <w:iCs/>
                <w:lang w:eastAsia="lv-LV"/>
              </w:rPr>
            </w:pPr>
          </w:p>
          <w:p w14:paraId="683E919D" w14:textId="090D1423" w:rsidR="00034942" w:rsidRPr="00E51BC0" w:rsidRDefault="005E1A76">
            <w:pPr>
              <w:jc w:val="both"/>
              <w:rPr>
                <w:iCs/>
                <w:lang w:eastAsia="lv-LV"/>
              </w:rPr>
            </w:pPr>
            <w:r w:rsidRPr="0028180F">
              <w:rPr>
                <w:b/>
                <w:bCs/>
                <w:iCs/>
                <w:lang w:eastAsia="lv-LV"/>
              </w:rPr>
              <w:t>3.1.</w:t>
            </w:r>
            <w:r>
              <w:rPr>
                <w:iCs/>
                <w:lang w:eastAsia="lv-LV"/>
              </w:rPr>
              <w:t> </w:t>
            </w:r>
            <w:r w:rsidR="00D6583A" w:rsidRPr="00E51BC0">
              <w:rPr>
                <w:iCs/>
                <w:lang w:eastAsia="lv-LV"/>
              </w:rPr>
              <w:t>Darbinieku aizsardzības likuma 12.</w:t>
            </w:r>
            <w:r w:rsidR="00E63808" w:rsidRPr="00E51BC0">
              <w:rPr>
                <w:iCs/>
                <w:lang w:eastAsia="lv-LV"/>
              </w:rPr>
              <w:t> </w:t>
            </w:r>
            <w:r w:rsidR="00D6583A" w:rsidRPr="00E51BC0">
              <w:rPr>
                <w:iCs/>
                <w:lang w:eastAsia="lv-LV"/>
              </w:rPr>
              <w:t xml:space="preserve">panta trešajā daļā kreditora prasījuma apzīmēšanai pārrobežu maksātnespējas </w:t>
            </w:r>
            <w:r w:rsidR="00D6583A" w:rsidRPr="00E51BC0">
              <w:rPr>
                <w:iCs/>
                <w:lang w:eastAsia="lv-LV"/>
              </w:rPr>
              <w:lastRenderedPageBreak/>
              <w:t>procesā lietots jēdziens "kreditora pretenzija", kas ir atšķirīgs no Darbinieku aizsardzības likumā un Maksātnespējas likumā lietotās terminoloģijas. Lai normatīvajos aktos nodrošinātu vienveidīgu terminoloģiju, nepieciešams veikt grozījumus</w:t>
            </w:r>
            <w:r w:rsidR="000620EB" w:rsidRPr="00E51BC0">
              <w:rPr>
                <w:iCs/>
                <w:lang w:eastAsia="lv-LV"/>
              </w:rPr>
              <w:t>,</w:t>
            </w:r>
            <w:r w:rsidR="00C46E5C" w:rsidRPr="00E51BC0">
              <w:rPr>
                <w:iCs/>
                <w:lang w:eastAsia="lv-LV"/>
              </w:rPr>
              <w:t xml:space="preserve"> aizstājot vārdus "kreditora pretenzija" ar vārdiem </w:t>
            </w:r>
            <w:r w:rsidR="00720A9F" w:rsidRPr="00E51BC0">
              <w:rPr>
                <w:iCs/>
                <w:lang w:eastAsia="lv-LV"/>
              </w:rPr>
              <w:t>"kreditora prasījums".</w:t>
            </w:r>
          </w:p>
          <w:p w14:paraId="1169D2AF" w14:textId="23C42F69" w:rsidR="00420B70" w:rsidRPr="00E51BC0" w:rsidRDefault="00420B70">
            <w:pPr>
              <w:ind w:firstLine="537"/>
              <w:jc w:val="both"/>
              <w:rPr>
                <w:iCs/>
                <w:lang w:eastAsia="lv-LV"/>
              </w:rPr>
            </w:pPr>
          </w:p>
          <w:p w14:paraId="52179737" w14:textId="5BD8A883" w:rsidR="00C5477D" w:rsidRDefault="00420B70">
            <w:pPr>
              <w:jc w:val="both"/>
              <w:rPr>
                <w:iCs/>
                <w:lang w:eastAsia="lv-LV"/>
              </w:rPr>
            </w:pPr>
            <w:r w:rsidRPr="00D161CA">
              <w:rPr>
                <w:iCs/>
                <w:lang w:eastAsia="lv-LV"/>
              </w:rPr>
              <w:t xml:space="preserve">Tāpat </w:t>
            </w:r>
            <w:r w:rsidR="00C5477D" w:rsidRPr="00D161CA">
              <w:rPr>
                <w:iCs/>
                <w:lang w:eastAsia="lv-LV"/>
              </w:rPr>
              <w:t xml:space="preserve">Darbinieku aizsardzības likuma </w:t>
            </w:r>
            <w:r w:rsidR="00D161CA">
              <w:rPr>
                <w:iCs/>
                <w:lang w:eastAsia="lv-LV"/>
              </w:rPr>
              <w:t>tekstā vārds</w:t>
            </w:r>
            <w:r w:rsidR="00C5477D" w:rsidRPr="00D161CA">
              <w:rPr>
                <w:iCs/>
                <w:lang w:eastAsia="lv-LV"/>
              </w:rPr>
              <w:t xml:space="preserve"> "likvidators" tiks aizstāts ar vārdu "administrators", ievērojot pārrobežu maksātnespējas procesu jomā lietoto terminoloģiju.</w:t>
            </w:r>
          </w:p>
          <w:p w14:paraId="7B1EC511" w14:textId="77777777" w:rsidR="0028180F" w:rsidRDefault="0028180F">
            <w:pPr>
              <w:jc w:val="both"/>
              <w:rPr>
                <w:iCs/>
                <w:lang w:eastAsia="lv-LV"/>
              </w:rPr>
            </w:pPr>
          </w:p>
          <w:p w14:paraId="1B9C2FD3" w14:textId="74606DCE" w:rsidR="00C5477D" w:rsidRDefault="00C5477D">
            <w:pPr>
              <w:jc w:val="both"/>
              <w:rPr>
                <w:iCs/>
                <w:lang w:eastAsia="lv-LV"/>
              </w:rPr>
            </w:pPr>
            <w:r>
              <w:rPr>
                <w:iCs/>
                <w:lang w:eastAsia="lv-LV"/>
              </w:rPr>
              <w:t>Vienlaikus ar grozījumiem tiks izslēgta Darbinieku aizsardzības likuma 11. panta 3.</w:t>
            </w:r>
            <w:r w:rsidRPr="0028180F">
              <w:rPr>
                <w:iCs/>
                <w:vertAlign w:val="superscript"/>
                <w:lang w:eastAsia="lv-LV"/>
              </w:rPr>
              <w:t>1</w:t>
            </w:r>
            <w:r w:rsidR="005E1A76">
              <w:rPr>
                <w:iCs/>
                <w:lang w:eastAsia="lv-LV"/>
              </w:rPr>
              <w:t> </w:t>
            </w:r>
            <w:r>
              <w:rPr>
                <w:iCs/>
                <w:lang w:eastAsia="lv-LV"/>
              </w:rPr>
              <w:t xml:space="preserve">daļa, ievērojot to, ka maksātnespējas jomu regulējošie tiesību akti šobrīd vairs neparedz sanāciju kā maksātnespējas stāvokļa risinājumu. </w:t>
            </w:r>
          </w:p>
          <w:p w14:paraId="1EDBCFEF" w14:textId="77777777" w:rsidR="00C5477D" w:rsidRPr="00E51BC0" w:rsidRDefault="00C5477D" w:rsidP="0028180F">
            <w:pPr>
              <w:jc w:val="both"/>
              <w:rPr>
                <w:iCs/>
                <w:lang w:eastAsia="lv-LV"/>
              </w:rPr>
            </w:pPr>
          </w:p>
          <w:p w14:paraId="48220AC7" w14:textId="7A9CE21A" w:rsidR="0002118C" w:rsidRPr="00E51BC0" w:rsidRDefault="00E63808" w:rsidP="005E1A76">
            <w:pPr>
              <w:jc w:val="both"/>
              <w:rPr>
                <w:iCs/>
                <w:lang w:eastAsia="lv-LV"/>
              </w:rPr>
            </w:pPr>
            <w:r w:rsidRPr="00E51BC0">
              <w:rPr>
                <w:b/>
                <w:bCs/>
                <w:iCs/>
                <w:lang w:eastAsia="lv-LV"/>
              </w:rPr>
              <w:t>3.2.</w:t>
            </w:r>
            <w:r w:rsidRPr="00E51BC0">
              <w:rPr>
                <w:iCs/>
                <w:lang w:eastAsia="lv-LV"/>
              </w:rPr>
              <w:t> </w:t>
            </w:r>
            <w:r w:rsidR="00AD4884" w:rsidRPr="00E51BC0">
              <w:rPr>
                <w:iCs/>
                <w:lang w:eastAsia="lv-LV"/>
              </w:rPr>
              <w:t>Darbinieku aizsardzības likuma 13.</w:t>
            </w:r>
            <w:r w:rsidRPr="00E51BC0">
              <w:rPr>
                <w:iCs/>
                <w:lang w:eastAsia="lv-LV"/>
              </w:rPr>
              <w:t> </w:t>
            </w:r>
            <w:r w:rsidR="00AD4884" w:rsidRPr="00E51BC0">
              <w:rPr>
                <w:iCs/>
                <w:lang w:eastAsia="lv-LV"/>
              </w:rPr>
              <w:t>panta pirmajā daļā ir noteikts, ka darbiniekiem izmaksājamās summas ar pasta maksājuma starpniecību vai ar pārskaitījumu uz bankas kontu izmaksā darbiniekiem.</w:t>
            </w:r>
            <w:r w:rsidR="00DE0F76">
              <w:rPr>
                <w:iCs/>
                <w:lang w:eastAsia="lv-LV"/>
              </w:rPr>
              <w:t xml:space="preserve"> </w:t>
            </w:r>
            <w:r w:rsidR="00AD4884" w:rsidRPr="00E51BC0">
              <w:rPr>
                <w:iCs/>
                <w:lang w:eastAsia="lv-LV"/>
              </w:rPr>
              <w:t>Savukārt Darbinieku aizsardzības likuma 11.</w:t>
            </w:r>
            <w:r w:rsidR="00F56500" w:rsidRPr="00E51BC0">
              <w:rPr>
                <w:iCs/>
                <w:lang w:eastAsia="lv-LV"/>
              </w:rPr>
              <w:t> </w:t>
            </w:r>
            <w:r w:rsidR="00AD4884" w:rsidRPr="00E51BC0">
              <w:rPr>
                <w:iCs/>
                <w:lang w:eastAsia="lv-LV"/>
              </w:rPr>
              <w:t xml:space="preserve">panta pirmajā daļā ir noteikts, ka darbiniekiem izmaksājamās summas ar pārskaitījumu </w:t>
            </w:r>
            <w:r w:rsidR="0002118C" w:rsidRPr="00E51BC0">
              <w:rPr>
                <w:iCs/>
                <w:lang w:eastAsia="lv-LV"/>
              </w:rPr>
              <w:t>izmaksā uz bankas kontu.</w:t>
            </w:r>
          </w:p>
          <w:p w14:paraId="1056199F" w14:textId="77777777" w:rsidR="00E51BC0" w:rsidRDefault="00E51BC0">
            <w:pPr>
              <w:jc w:val="both"/>
              <w:rPr>
                <w:iCs/>
                <w:lang w:eastAsia="lv-LV"/>
              </w:rPr>
            </w:pPr>
          </w:p>
          <w:p w14:paraId="7B06DD68" w14:textId="3A9F6799" w:rsidR="00604DDE" w:rsidRPr="00E51BC0" w:rsidRDefault="00146DB8">
            <w:pPr>
              <w:jc w:val="both"/>
              <w:rPr>
                <w:iCs/>
                <w:lang w:eastAsia="lv-LV"/>
              </w:rPr>
            </w:pPr>
            <w:r w:rsidRPr="00E51BC0">
              <w:rPr>
                <w:iCs/>
                <w:lang w:eastAsia="lv-LV"/>
              </w:rPr>
              <w:t>Šobrīd Maksātnespējas kontroles dienests naudas līdzekļus no fonda darbiniekiem izmaksā tikai ar pārskaitījumu uz bankas vai elektroniskās naudas iestādes kontu.</w:t>
            </w:r>
          </w:p>
          <w:p w14:paraId="453E2451" w14:textId="77777777" w:rsidR="00146DB8" w:rsidRPr="00E51BC0" w:rsidRDefault="00146DB8">
            <w:pPr>
              <w:ind w:firstLine="537"/>
              <w:jc w:val="both"/>
              <w:rPr>
                <w:iCs/>
                <w:lang w:eastAsia="lv-LV"/>
              </w:rPr>
            </w:pPr>
          </w:p>
          <w:p w14:paraId="3EEEBEEA" w14:textId="48FC06EB" w:rsidR="00604DDE" w:rsidRPr="00E51BC0" w:rsidRDefault="00604DDE">
            <w:pPr>
              <w:jc w:val="both"/>
              <w:rPr>
                <w:iCs/>
                <w:lang w:eastAsia="lv-LV"/>
              </w:rPr>
            </w:pPr>
            <w:r w:rsidRPr="00E51BC0">
              <w:rPr>
                <w:b/>
                <w:bCs/>
                <w:iCs/>
                <w:lang w:eastAsia="lv-LV"/>
              </w:rPr>
              <w:t>3.3. </w:t>
            </w:r>
            <w:r w:rsidR="00DE302D" w:rsidRPr="00E51BC0">
              <w:rPr>
                <w:iCs/>
                <w:lang w:eastAsia="lv-LV"/>
              </w:rPr>
              <w:t>Latvijas Republikas Saeima 2018.</w:t>
            </w:r>
            <w:r w:rsidR="00DE0F76">
              <w:rPr>
                <w:iCs/>
                <w:lang w:eastAsia="lv-LV"/>
              </w:rPr>
              <w:t> </w:t>
            </w:r>
            <w:r w:rsidR="00DE302D" w:rsidRPr="00E51BC0">
              <w:rPr>
                <w:iCs/>
                <w:lang w:eastAsia="lv-LV"/>
              </w:rPr>
              <w:t xml:space="preserve">gada 31. maijā pieņēma likumu "Grozījumi Maksātnespējas likumā", kas stājās spēkā 2018. gada 1. jūlijā. Ar minēto likumu </w:t>
            </w:r>
            <w:proofErr w:type="spellStart"/>
            <w:r w:rsidR="00DE302D" w:rsidRPr="00E51BC0">
              <w:rPr>
                <w:iCs/>
                <w:lang w:eastAsia="lv-LV"/>
              </w:rPr>
              <w:t>citastarp</w:t>
            </w:r>
            <w:proofErr w:type="spellEnd"/>
            <w:r w:rsidR="00DE302D" w:rsidRPr="00E51BC0">
              <w:rPr>
                <w:iCs/>
                <w:lang w:eastAsia="lv-LV"/>
              </w:rPr>
              <w:t xml:space="preserve"> ir mainīts Maksātnespējas administrācijas nosaukums, nosakot, ka iestādes nosaukums ir Maksātnespējas kontroles dienests, jo iestādes nosaukumam nepārprotami jāatspoguļo iestādes veicamo funkciju un uzdevumu būtība un jānodrošina iestādes atpazīstamība.</w:t>
            </w:r>
          </w:p>
          <w:p w14:paraId="3AC5356D" w14:textId="77777777" w:rsidR="00E51BC0" w:rsidRDefault="00E51BC0">
            <w:pPr>
              <w:jc w:val="both"/>
              <w:rPr>
                <w:iCs/>
                <w:lang w:eastAsia="lv-LV"/>
              </w:rPr>
            </w:pPr>
          </w:p>
          <w:p w14:paraId="247A7EC9" w14:textId="797368DA" w:rsidR="00DE302D" w:rsidRPr="00E51BC0" w:rsidRDefault="00DE302D">
            <w:pPr>
              <w:jc w:val="both"/>
              <w:rPr>
                <w:iCs/>
                <w:lang w:eastAsia="lv-LV"/>
              </w:rPr>
            </w:pPr>
            <w:r w:rsidRPr="00E51BC0">
              <w:rPr>
                <w:iCs/>
                <w:lang w:eastAsia="lv-LV"/>
              </w:rPr>
              <w:t>Līdz ar to Darbinieku aizsardzības liku</w:t>
            </w:r>
            <w:r w:rsidR="00FB0869" w:rsidRPr="00E51BC0">
              <w:rPr>
                <w:iCs/>
                <w:lang w:eastAsia="lv-LV"/>
              </w:rPr>
              <w:t xml:space="preserve">ma tekstā vārdi "Maksātnespējas administrācija" </w:t>
            </w:r>
            <w:r w:rsidR="00F02723" w:rsidRPr="00E51BC0">
              <w:rPr>
                <w:iCs/>
                <w:lang w:eastAsia="lv-LV"/>
              </w:rPr>
              <w:t xml:space="preserve">(attiecīgā locījumā) </w:t>
            </w:r>
            <w:r w:rsidR="00F83574" w:rsidRPr="00E51BC0">
              <w:rPr>
                <w:iCs/>
                <w:lang w:eastAsia="lv-LV"/>
              </w:rPr>
              <w:t>aizstājami ar vārdiem "Maksātnespējas kontroles dienests" (attiecīgā locījumā).</w:t>
            </w:r>
            <w:r w:rsidR="00F350A0">
              <w:rPr>
                <w:iCs/>
                <w:lang w:eastAsia="lv-LV"/>
              </w:rPr>
              <w:t xml:space="preserve"> Tāpat likumprojektā ietverti tehniski grozījumi, </w:t>
            </w:r>
            <w:r w:rsidR="00175381">
              <w:rPr>
                <w:iCs/>
                <w:lang w:eastAsia="lv-LV"/>
              </w:rPr>
              <w:t xml:space="preserve">lai </w:t>
            </w:r>
            <w:r w:rsidR="00F350A0">
              <w:rPr>
                <w:iCs/>
                <w:lang w:eastAsia="lv-LV"/>
              </w:rPr>
              <w:t>nodrošināt</w:t>
            </w:r>
            <w:r w:rsidR="00175381">
              <w:rPr>
                <w:iCs/>
                <w:lang w:eastAsia="lv-LV"/>
              </w:rPr>
              <w:t>u</w:t>
            </w:r>
            <w:r w:rsidR="00F350A0">
              <w:rPr>
                <w:iCs/>
                <w:lang w:eastAsia="lv-LV"/>
              </w:rPr>
              <w:t xml:space="preserve"> korekt</w:t>
            </w:r>
            <w:r w:rsidR="00175381">
              <w:rPr>
                <w:iCs/>
                <w:lang w:eastAsia="lv-LV"/>
              </w:rPr>
              <w:t>u</w:t>
            </w:r>
            <w:r w:rsidR="00F350A0">
              <w:rPr>
                <w:iCs/>
                <w:lang w:eastAsia="lv-LV"/>
              </w:rPr>
              <w:t xml:space="preserve"> vārda locījum</w:t>
            </w:r>
            <w:r w:rsidR="00175381">
              <w:rPr>
                <w:iCs/>
                <w:lang w:eastAsia="lv-LV"/>
              </w:rPr>
              <w:t>u</w:t>
            </w:r>
            <w:r w:rsidR="00F350A0">
              <w:rPr>
                <w:iCs/>
                <w:lang w:eastAsia="lv-LV"/>
              </w:rPr>
              <w:t xml:space="preserve"> un vārda dzimt</w:t>
            </w:r>
            <w:r w:rsidR="00175381">
              <w:rPr>
                <w:iCs/>
                <w:lang w:eastAsia="lv-LV"/>
              </w:rPr>
              <w:t xml:space="preserve">i </w:t>
            </w:r>
            <w:r w:rsidR="00F350A0">
              <w:rPr>
                <w:iCs/>
                <w:lang w:eastAsia="lv-LV"/>
              </w:rPr>
              <w:t>Darbinieku aizsardzības likuma tekstā.</w:t>
            </w:r>
          </w:p>
          <w:p w14:paraId="4BE6531D" w14:textId="5E0F4F42" w:rsidR="00F83574" w:rsidRPr="00E51BC0" w:rsidRDefault="00F83574">
            <w:pPr>
              <w:ind w:firstLine="537"/>
              <w:jc w:val="both"/>
              <w:rPr>
                <w:iCs/>
                <w:lang w:eastAsia="lv-LV"/>
              </w:rPr>
            </w:pPr>
          </w:p>
          <w:p w14:paraId="15B07047" w14:textId="5E44DA53" w:rsidR="00E9684E" w:rsidRDefault="00F83574">
            <w:pPr>
              <w:jc w:val="both"/>
              <w:rPr>
                <w:iCs/>
                <w:lang w:eastAsia="lv-LV"/>
              </w:rPr>
            </w:pPr>
            <w:r w:rsidRPr="00E51BC0">
              <w:rPr>
                <w:b/>
                <w:bCs/>
                <w:iCs/>
                <w:lang w:eastAsia="lv-LV"/>
              </w:rPr>
              <w:t>3.4.</w:t>
            </w:r>
            <w:r w:rsidR="00E9684E" w:rsidRPr="00E51BC0">
              <w:rPr>
                <w:b/>
                <w:bCs/>
                <w:iCs/>
                <w:lang w:eastAsia="lv-LV"/>
              </w:rPr>
              <w:t> </w:t>
            </w:r>
            <w:r w:rsidR="00E9684E" w:rsidRPr="00E51BC0">
              <w:rPr>
                <w:iCs/>
                <w:lang w:eastAsia="lv-LV"/>
              </w:rPr>
              <w:t xml:space="preserve">Maksātnespējas kontroles dienests veic Darbinieku aizsardzības likumā noteiktās funkcijas, tostarp, pieņem un izskata maksātnespējīgo darba devēju administratoru iesniegumus par darbinieku prasījumu apmierināšanu pārrobežu maksātnespējas procesa gadījumos. </w:t>
            </w:r>
          </w:p>
          <w:p w14:paraId="127892D9" w14:textId="77777777" w:rsidR="00F350A0" w:rsidRDefault="00F350A0">
            <w:pPr>
              <w:jc w:val="both"/>
              <w:rPr>
                <w:iCs/>
                <w:lang w:eastAsia="lv-LV"/>
              </w:rPr>
            </w:pPr>
          </w:p>
          <w:p w14:paraId="4F0D6923" w14:textId="08CC14B7" w:rsidR="00D472AB" w:rsidRPr="00E51BC0" w:rsidRDefault="00E9684E">
            <w:pPr>
              <w:jc w:val="both"/>
              <w:rPr>
                <w:iCs/>
                <w:lang w:eastAsia="lv-LV"/>
              </w:rPr>
            </w:pPr>
            <w:r w:rsidRPr="00E51BC0">
              <w:rPr>
                <w:iCs/>
                <w:lang w:eastAsia="lv-LV"/>
              </w:rPr>
              <w:lastRenderedPageBreak/>
              <w:t>Ievērojot, ka Darbinieku aizsardzības likumā ir atsauce uz Padomes 2000. gada 29. maija regulu (EK) Nr. 1346/2000 par maksātnespējas procedūrām, kas bija spēkā līdz 2015. gada 24. jūnijam, nepieciešams izstrādāt tehniskus grozījumus, lai nodrošinātu, ka likumprojektā ir atsauce uz šobrīd spēkā esošo Eiropas Parlamenta un Padomes 2015. gada 20. maija regulu (ES) 2015/848 par maksātnespējas procedūrām.</w:t>
            </w:r>
          </w:p>
          <w:p w14:paraId="6E966AA9" w14:textId="77777777" w:rsidR="00B17580" w:rsidRPr="00E51BC0" w:rsidRDefault="00B17580">
            <w:pPr>
              <w:ind w:firstLine="537"/>
              <w:jc w:val="both"/>
              <w:rPr>
                <w:iCs/>
                <w:color w:val="000000" w:themeColor="text1"/>
                <w:lang w:eastAsia="lv-LV"/>
              </w:rPr>
            </w:pPr>
          </w:p>
          <w:p w14:paraId="08729B44" w14:textId="66EA7F49" w:rsidR="001D3B29" w:rsidRPr="0028180F" w:rsidRDefault="00B17580" w:rsidP="00B8411F">
            <w:pPr>
              <w:jc w:val="both"/>
              <w:rPr>
                <w:color w:val="000000" w:themeColor="text1"/>
                <w:shd w:val="clear" w:color="auto" w:fill="FFFFFF"/>
              </w:rPr>
            </w:pPr>
            <w:r w:rsidRPr="00F350A0">
              <w:rPr>
                <w:b/>
                <w:bCs/>
                <w:iCs/>
                <w:color w:val="000000" w:themeColor="text1"/>
                <w:lang w:eastAsia="lv-LV"/>
              </w:rPr>
              <w:t>3.5.</w:t>
            </w:r>
            <w:r w:rsidRPr="00F350A0">
              <w:rPr>
                <w:iCs/>
                <w:color w:val="000000" w:themeColor="text1"/>
                <w:lang w:eastAsia="lv-LV"/>
              </w:rPr>
              <w:t> </w:t>
            </w:r>
            <w:r w:rsidR="006B4892" w:rsidRPr="00F350A0">
              <w:rPr>
                <w:iCs/>
                <w:color w:val="000000" w:themeColor="text1"/>
                <w:lang w:eastAsia="lv-LV"/>
              </w:rPr>
              <w:t>Atbilstoši Maksātnespējas likuma 62. panta 7.</w:t>
            </w:r>
            <w:r w:rsidR="006B4892" w:rsidRPr="0028180F">
              <w:rPr>
                <w:iCs/>
                <w:color w:val="000000" w:themeColor="text1"/>
                <w:vertAlign w:val="superscript"/>
                <w:lang w:eastAsia="lv-LV"/>
              </w:rPr>
              <w:t>1</w:t>
            </w:r>
            <w:r w:rsidR="005E1A76">
              <w:rPr>
                <w:iCs/>
                <w:color w:val="000000" w:themeColor="text1"/>
                <w:lang w:eastAsia="lv-LV"/>
              </w:rPr>
              <w:t> </w:t>
            </w:r>
            <w:r w:rsidR="006B4892" w:rsidRPr="00F350A0">
              <w:rPr>
                <w:iCs/>
                <w:color w:val="000000" w:themeColor="text1"/>
                <w:lang w:eastAsia="lv-LV"/>
              </w:rPr>
              <w:t xml:space="preserve">daļai </w:t>
            </w:r>
            <w:r w:rsidR="001D3B29" w:rsidRPr="0028180F">
              <w:rPr>
                <w:color w:val="000000" w:themeColor="text1"/>
                <w:shd w:val="clear" w:color="auto" w:fill="FFFFFF"/>
              </w:rPr>
              <w:t xml:space="preserve">tiesa var pilnīgi vai daļēji atbrīvot darbinieku no maksātnespējas procesa depozīta samaksas, ja viņš maksātnespējas procesa pieteikumu iesniedz pēc tam, kad, piemērojot piespiedu izpildes līdzekļus, nav bijis iespējams izpildīt tiesas nolēmumu par parāda piedziņu no parādnieka un darbinieks, ievērojot viņa mantisko stāvokli, nevar iemaksāt maksātnespējas procesa depozītu. </w:t>
            </w:r>
          </w:p>
          <w:p w14:paraId="02208DC4" w14:textId="2D4AE458" w:rsidR="0028180F" w:rsidRDefault="006B4892" w:rsidP="005E1A76">
            <w:pPr>
              <w:jc w:val="both"/>
              <w:rPr>
                <w:color w:val="000000" w:themeColor="text1"/>
                <w:shd w:val="clear" w:color="auto" w:fill="FFFFFF"/>
              </w:rPr>
            </w:pPr>
            <w:r>
              <w:rPr>
                <w:iCs/>
                <w:color w:val="000000" w:themeColor="text1"/>
                <w:lang w:eastAsia="lv-LV"/>
              </w:rPr>
              <w:t>Līdz ar to n</w:t>
            </w:r>
            <w:r w:rsidR="00B17580" w:rsidRPr="00E51BC0">
              <w:rPr>
                <w:iCs/>
                <w:color w:val="000000" w:themeColor="text1"/>
                <w:lang w:eastAsia="lv-LV"/>
              </w:rPr>
              <w:t>epieciešams precizēt, kādiem mērķiem paredzēti fonda līdzekļi. Proti, nepieciešams veikt precizējumus Darbinieku aizsardzības likuma 7. panta pirmās daļas 3. punktā, aizstājot vārdus "j</w:t>
            </w:r>
            <w:r w:rsidR="00B17580" w:rsidRPr="00E51BC0">
              <w:rPr>
                <w:color w:val="000000" w:themeColor="text1"/>
                <w:shd w:val="clear" w:color="auto" w:fill="FFFFFF"/>
              </w:rPr>
              <w:t>uridiskās personas maksātnespējas procesa depozīta segšanai, ja tiesa pilnīgi vai daļēji atbrīvo darbinieku no maksātnespējas procesa depozīta samaksas Maksātnespējas likumā noteiktajos gadījumos" ar vārdiem "Maksātnespējas likum</w:t>
            </w:r>
            <w:r w:rsidR="00BE0202">
              <w:rPr>
                <w:color w:val="000000" w:themeColor="text1"/>
                <w:shd w:val="clear" w:color="auto" w:fill="FFFFFF"/>
              </w:rPr>
              <w:t>a</w:t>
            </w:r>
            <w:r w:rsidR="00B17580" w:rsidRPr="00E51BC0">
              <w:rPr>
                <w:color w:val="000000" w:themeColor="text1"/>
                <w:shd w:val="clear" w:color="auto" w:fill="FFFFFF"/>
              </w:rPr>
              <w:t xml:space="preserve"> 62. panta 7.</w:t>
            </w:r>
            <w:r w:rsidR="00B17580" w:rsidRPr="00E51BC0">
              <w:rPr>
                <w:color w:val="000000" w:themeColor="text1"/>
                <w:shd w:val="clear" w:color="auto" w:fill="FFFFFF"/>
                <w:vertAlign w:val="superscript"/>
              </w:rPr>
              <w:t>1</w:t>
            </w:r>
            <w:r w:rsidR="00D8468A">
              <w:rPr>
                <w:color w:val="000000" w:themeColor="text1"/>
                <w:shd w:val="clear" w:color="auto" w:fill="FFFFFF"/>
              </w:rPr>
              <w:t> </w:t>
            </w:r>
            <w:r w:rsidR="00B17580" w:rsidRPr="00E51BC0">
              <w:rPr>
                <w:color w:val="000000" w:themeColor="text1"/>
                <w:shd w:val="clear" w:color="auto" w:fill="FFFFFF"/>
              </w:rPr>
              <w:t xml:space="preserve">daļā noteiktā depozīta </w:t>
            </w:r>
            <w:r w:rsidR="00B951CB" w:rsidRPr="00E51BC0">
              <w:rPr>
                <w:color w:val="000000" w:themeColor="text1"/>
                <w:shd w:val="clear" w:color="auto" w:fill="FFFFFF"/>
              </w:rPr>
              <w:t>segšana</w:t>
            </w:r>
            <w:r w:rsidR="00175381">
              <w:rPr>
                <w:color w:val="000000" w:themeColor="text1"/>
                <w:shd w:val="clear" w:color="auto" w:fill="FFFFFF"/>
              </w:rPr>
              <w:t>i</w:t>
            </w:r>
            <w:r w:rsidR="00B17580" w:rsidRPr="00E51BC0">
              <w:rPr>
                <w:color w:val="000000" w:themeColor="text1"/>
                <w:shd w:val="clear" w:color="auto" w:fill="FFFFFF"/>
              </w:rPr>
              <w:t>".</w:t>
            </w:r>
          </w:p>
          <w:p w14:paraId="2F2B20F7" w14:textId="77777777" w:rsidR="0028180F" w:rsidRDefault="0028180F" w:rsidP="005E1A76">
            <w:pPr>
              <w:jc w:val="both"/>
              <w:rPr>
                <w:color w:val="000000" w:themeColor="text1"/>
                <w:shd w:val="clear" w:color="auto" w:fill="FFFFFF"/>
              </w:rPr>
            </w:pPr>
          </w:p>
          <w:p w14:paraId="6B7AAAD6" w14:textId="6E5D9FDC" w:rsidR="0036596B" w:rsidRPr="0036596B" w:rsidRDefault="005F09E0" w:rsidP="00971EB6">
            <w:pPr>
              <w:shd w:val="clear" w:color="auto" w:fill="FFFFFF" w:themeFill="background1"/>
              <w:jc w:val="both"/>
              <w:rPr>
                <w:color w:val="000000" w:themeColor="text1"/>
                <w:shd w:val="clear" w:color="auto" w:fill="FFFFFF"/>
              </w:rPr>
            </w:pPr>
            <w:r>
              <w:rPr>
                <w:color w:val="000000" w:themeColor="text1"/>
                <w:shd w:val="clear" w:color="auto" w:fill="FFFFFF"/>
              </w:rPr>
              <w:t>Ar minētajiem grozījumiem tiek precizēts Darbinieku aizsardzības likuma pirmās daļas 3. punkts, paredzot atsauci uz konkrēto Maksātnespējas likuma normu, pēc būtības nemainot jau spēkā esošo Darbinieku aizsardzības likuma normu.</w:t>
            </w:r>
          </w:p>
        </w:tc>
      </w:tr>
      <w:tr w:rsidR="00314C33" w:rsidRPr="00E51BC0" w14:paraId="0539B34D" w14:textId="77777777" w:rsidTr="00852460">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1191CFD" w14:textId="1F62995E" w:rsidR="00655F2C" w:rsidRPr="00852460" w:rsidRDefault="00852460" w:rsidP="005E1A76">
            <w:pPr>
              <w:rPr>
                <w:iCs/>
                <w:lang w:eastAsia="lv-LV"/>
              </w:rPr>
            </w:pPr>
            <w:r>
              <w:rPr>
                <w:iCs/>
                <w:lang w:eastAsia="lv-LV"/>
              </w:rPr>
              <w:lastRenderedPageBreak/>
              <w:t>A</w:t>
            </w:r>
          </w:p>
        </w:tc>
        <w:tc>
          <w:tcPr>
            <w:tcW w:w="122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B7A1716" w14:textId="77777777" w:rsidR="00E5323B" w:rsidRPr="00E51BC0" w:rsidRDefault="00E5323B">
            <w:pPr>
              <w:jc w:val="both"/>
              <w:rPr>
                <w:iCs/>
                <w:lang w:eastAsia="lv-LV"/>
              </w:rPr>
            </w:pPr>
            <w:r w:rsidRPr="00E51BC0">
              <w:rPr>
                <w:iCs/>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5D48687" w14:textId="441A9A4C" w:rsidR="00E5323B" w:rsidRPr="00E51BC0" w:rsidRDefault="009D5D5A">
            <w:pPr>
              <w:jc w:val="both"/>
              <w:rPr>
                <w:iCs/>
                <w:lang w:eastAsia="lv-LV"/>
              </w:rPr>
            </w:pPr>
            <w:r w:rsidRPr="00E51BC0">
              <w:rPr>
                <w:iCs/>
                <w:lang w:eastAsia="lv-LV"/>
              </w:rPr>
              <w:t>Tieslietu ministrija, Maksātnespējas kontroles dienests</w:t>
            </w:r>
            <w:r w:rsidR="002A48B4" w:rsidRPr="00E51BC0">
              <w:rPr>
                <w:iCs/>
                <w:lang w:eastAsia="lv-LV"/>
              </w:rPr>
              <w:t>, Tiesu administrācija</w:t>
            </w:r>
            <w:r w:rsidR="001520AA" w:rsidRPr="00E51BC0">
              <w:rPr>
                <w:iCs/>
                <w:lang w:eastAsia="lv-LV"/>
              </w:rPr>
              <w:t>.</w:t>
            </w:r>
          </w:p>
        </w:tc>
      </w:tr>
      <w:tr w:rsidR="00314C33" w:rsidRPr="00E51BC0" w14:paraId="3C765A74" w14:textId="77777777" w:rsidTr="00852460">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1A044AD" w14:textId="77777777" w:rsidR="00655F2C" w:rsidRPr="00E51BC0" w:rsidRDefault="00E5323B" w:rsidP="005E1A76">
            <w:pPr>
              <w:rPr>
                <w:iCs/>
                <w:lang w:eastAsia="lv-LV"/>
              </w:rPr>
            </w:pPr>
            <w:r w:rsidRPr="00E51BC0">
              <w:rPr>
                <w:iCs/>
                <w:lang w:eastAsia="lv-LV"/>
              </w:rPr>
              <w:t>4.</w:t>
            </w:r>
          </w:p>
        </w:tc>
        <w:tc>
          <w:tcPr>
            <w:tcW w:w="122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C776110" w14:textId="77777777" w:rsidR="00E5323B" w:rsidRPr="00E51BC0" w:rsidRDefault="00E5323B">
            <w:pPr>
              <w:rPr>
                <w:iCs/>
                <w:lang w:eastAsia="lv-LV"/>
              </w:rPr>
            </w:pPr>
            <w:r w:rsidRPr="00E51BC0">
              <w:rPr>
                <w:iCs/>
                <w:lang w:eastAsia="lv-LV"/>
              </w:rPr>
              <w:t>Cita informācija</w:t>
            </w:r>
          </w:p>
        </w:tc>
        <w:tc>
          <w:tcPr>
            <w:tcW w:w="341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AD36FD7" w14:textId="5A7D025A" w:rsidR="00E5323B" w:rsidRPr="00E51BC0" w:rsidRDefault="00C81D37">
            <w:pPr>
              <w:rPr>
                <w:iCs/>
                <w:lang w:eastAsia="lv-LV"/>
              </w:rPr>
            </w:pPr>
            <w:r w:rsidRPr="00E51BC0">
              <w:rPr>
                <w:iCs/>
                <w:lang w:eastAsia="lv-LV"/>
              </w:rPr>
              <w:t>Nav.</w:t>
            </w:r>
          </w:p>
        </w:tc>
      </w:tr>
    </w:tbl>
    <w:p w14:paraId="2378FBB2" w14:textId="77777777" w:rsidR="00E5323B" w:rsidRPr="00314C33" w:rsidRDefault="00E5323B" w:rsidP="005E1A76">
      <w:pPr>
        <w:rPr>
          <w:iCs/>
          <w:lang w:val="en-US" w:eastAsia="lv-LV"/>
        </w:rPr>
      </w:pPr>
      <w:r w:rsidRPr="00314C33">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14C33" w:rsidRPr="00E51BC0" w14:paraId="411467F1" w14:textId="77777777" w:rsidTr="00E51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35C9030" w14:textId="77777777" w:rsidR="00655F2C" w:rsidRPr="00E51BC0" w:rsidRDefault="00E5323B">
            <w:pPr>
              <w:jc w:val="center"/>
              <w:rPr>
                <w:b/>
                <w:bCs/>
                <w:iCs/>
                <w:lang w:eastAsia="lv-LV"/>
              </w:rPr>
            </w:pPr>
            <w:r w:rsidRPr="00E51BC0">
              <w:rPr>
                <w:b/>
                <w:bCs/>
                <w:iCs/>
                <w:lang w:eastAsia="lv-LV"/>
              </w:rPr>
              <w:t>II. Tiesību akta projekta ietekme uz sabiedrību, tautsaimniecības attīstību un administratīvo slogu</w:t>
            </w:r>
          </w:p>
        </w:tc>
      </w:tr>
      <w:tr w:rsidR="00314C33" w:rsidRPr="00E51BC0" w14:paraId="073A9207" w14:textId="77777777" w:rsidTr="0028180F">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46E44E9C" w14:textId="77777777" w:rsidR="00655F2C" w:rsidRPr="00E51BC0" w:rsidRDefault="00E5323B" w:rsidP="005E1A76">
            <w:pPr>
              <w:rPr>
                <w:iCs/>
                <w:lang w:eastAsia="lv-LV"/>
              </w:rPr>
            </w:pPr>
            <w:r w:rsidRPr="00E51BC0">
              <w:rPr>
                <w:iCs/>
                <w:lang w:eastAsia="lv-LV"/>
              </w:rPr>
              <w:t>1.</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3FA88A24" w14:textId="77777777" w:rsidR="00E5323B" w:rsidRPr="00E51BC0" w:rsidRDefault="00E5323B">
            <w:pPr>
              <w:jc w:val="both"/>
              <w:rPr>
                <w:iCs/>
                <w:lang w:eastAsia="lv-LV"/>
              </w:rPr>
            </w:pPr>
            <w:r w:rsidRPr="00E51BC0">
              <w:rPr>
                <w:iCs/>
                <w:lang w:eastAsia="lv-LV"/>
              </w:rPr>
              <w:t xml:space="preserve">Sabiedrības </w:t>
            </w:r>
            <w:proofErr w:type="spellStart"/>
            <w:r w:rsidRPr="00E51BC0">
              <w:rPr>
                <w:iCs/>
                <w:lang w:eastAsia="lv-LV"/>
              </w:rPr>
              <w:t>mērķgrupas</w:t>
            </w:r>
            <w:proofErr w:type="spellEnd"/>
            <w:r w:rsidRPr="00E51BC0">
              <w:rPr>
                <w:iCs/>
                <w:lang w:eastAsia="lv-LV"/>
              </w:rPr>
              <w:t>, kuras tiesiskais regulējums ietekmē vai varētu ietekmē</w:t>
            </w:r>
            <w:r w:rsidR="00314C33" w:rsidRPr="00E51BC0">
              <w:rPr>
                <w:iCs/>
                <w:lang w:eastAsia="lv-LV"/>
              </w:rPr>
              <w:t>t</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3FC86E41" w14:textId="5C970F0B" w:rsidR="00026E56" w:rsidRPr="00E51BC0" w:rsidRDefault="004D72BF">
            <w:pPr>
              <w:tabs>
                <w:tab w:val="right" w:pos="5271"/>
              </w:tabs>
              <w:jc w:val="both"/>
              <w:rPr>
                <w:lang w:eastAsia="lv-LV"/>
              </w:rPr>
            </w:pPr>
            <w:r w:rsidRPr="00E51BC0">
              <w:rPr>
                <w:iCs/>
                <w:lang w:eastAsia="lv-LV"/>
              </w:rPr>
              <w:t>Maksātnespējīgo da</w:t>
            </w:r>
            <w:r w:rsidR="005D5E65" w:rsidRPr="00E51BC0">
              <w:rPr>
                <w:iCs/>
                <w:lang w:eastAsia="lv-LV"/>
              </w:rPr>
              <w:t>r</w:t>
            </w:r>
            <w:r w:rsidRPr="00E51BC0">
              <w:rPr>
                <w:iCs/>
                <w:lang w:eastAsia="lv-LV"/>
              </w:rPr>
              <w:t>ba devēju darbinieki</w:t>
            </w:r>
            <w:r w:rsidR="005A7450" w:rsidRPr="00E51BC0">
              <w:rPr>
                <w:iCs/>
                <w:lang w:eastAsia="lv-LV"/>
              </w:rPr>
              <w:t>, administratori</w:t>
            </w:r>
            <w:r w:rsidR="006E7AE0">
              <w:rPr>
                <w:iCs/>
                <w:lang w:eastAsia="lv-LV"/>
              </w:rPr>
              <w:t xml:space="preserve"> un Maksātnespējas kontroles dienesta nodarbinātie</w:t>
            </w:r>
            <w:r w:rsidR="00F84D56">
              <w:rPr>
                <w:iCs/>
                <w:lang w:eastAsia="lv-LV"/>
              </w:rPr>
              <w:t>.</w:t>
            </w:r>
          </w:p>
        </w:tc>
      </w:tr>
      <w:tr w:rsidR="00314C33" w:rsidRPr="00E51BC0" w14:paraId="72E487A6" w14:textId="77777777" w:rsidTr="0028180F">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6D00C4EC" w14:textId="77777777" w:rsidR="00655F2C" w:rsidRPr="00E51BC0" w:rsidRDefault="00E5323B" w:rsidP="005E1A76">
            <w:pPr>
              <w:rPr>
                <w:iCs/>
                <w:lang w:eastAsia="lv-LV"/>
              </w:rPr>
            </w:pPr>
            <w:r w:rsidRPr="00E51BC0">
              <w:rPr>
                <w:iCs/>
                <w:lang w:eastAsia="lv-LV"/>
              </w:rPr>
              <w:t>2.</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518F7C48" w14:textId="77777777" w:rsidR="00E5323B" w:rsidRPr="00E51BC0" w:rsidRDefault="00E5323B">
            <w:pPr>
              <w:jc w:val="both"/>
              <w:rPr>
                <w:iCs/>
                <w:lang w:eastAsia="lv-LV"/>
              </w:rPr>
            </w:pPr>
            <w:r w:rsidRPr="00E51BC0">
              <w:rPr>
                <w:iCs/>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19176B42" w14:textId="5F0F3612" w:rsidR="001640AD" w:rsidRDefault="00D267C8">
            <w:pPr>
              <w:jc w:val="both"/>
            </w:pPr>
            <w:r w:rsidRPr="00E51BC0">
              <w:t>Likumprojektam ir pozitīva ietekme uz tautsaimniecīb</w:t>
            </w:r>
            <w:r w:rsidR="000801E8">
              <w:t>u</w:t>
            </w:r>
            <w:r w:rsidR="00B17580" w:rsidRPr="00E51BC0">
              <w:t xml:space="preserve">, nodrošinot efektīvāku </w:t>
            </w:r>
            <w:r w:rsidR="00AD683D">
              <w:t>d</w:t>
            </w:r>
            <w:r w:rsidR="00B17580" w:rsidRPr="00E51BC0">
              <w:t>arbinieku aizsardzības īstenošanu, ja darba devējam pasludināts maksātnespējas process.</w:t>
            </w:r>
            <w:r w:rsidR="006E7AE0">
              <w:t xml:space="preserve"> Vienlaiku</w:t>
            </w:r>
            <w:r w:rsidR="009C7F27">
              <w:t xml:space="preserve">s </w:t>
            </w:r>
            <w:r w:rsidR="006E7AE0">
              <w:t xml:space="preserve"> ar likumprojektā paredzētā regulējuma ieviešanu samazināsies administratīvais slogs gan administratoriem, gan Maksātnespējas kontroles dienesta nodarbinātajiem, ievērojot </w:t>
            </w:r>
            <w:r w:rsidR="006E7AE0">
              <w:lastRenderedPageBreak/>
              <w:t>to, ka dokumentu aprite starp procesā iesaistītajām personām tiks nodrošināt</w:t>
            </w:r>
            <w:r w:rsidR="00BE0202">
              <w:t>a</w:t>
            </w:r>
            <w:r w:rsidR="006E7AE0">
              <w:t xml:space="preserve"> elektroniski</w:t>
            </w:r>
            <w:r w:rsidR="00971EB6">
              <w:t>. Tādējādi dokumentu aprites paātrināšana samazinās daļu no administratīvajām izmaksām, kas rodas</w:t>
            </w:r>
            <w:r w:rsidR="00EC5386">
              <w:t>,</w:t>
            </w:r>
            <w:r w:rsidR="00971EB6">
              <w:t xml:space="preserve"> nodrošinot informācijas sniegšanas pienākumu</w:t>
            </w:r>
            <w:r w:rsidR="00BB1EE5">
              <w:t xml:space="preserve"> par maksātnespējīga darba devēja darbinieku prasījumiem</w:t>
            </w:r>
            <w:r w:rsidR="00971EB6">
              <w:t xml:space="preserve">. </w:t>
            </w:r>
          </w:p>
          <w:p w14:paraId="659A4AF8" w14:textId="77777777" w:rsidR="001640AD" w:rsidRDefault="001640AD">
            <w:pPr>
              <w:jc w:val="both"/>
            </w:pPr>
          </w:p>
          <w:p w14:paraId="089FBB63" w14:textId="120FFD01" w:rsidR="00971EB6" w:rsidRPr="0028180F" w:rsidRDefault="00BB1EE5" w:rsidP="001640AD">
            <w:pPr>
              <w:jc w:val="both"/>
              <w:rPr>
                <w:rFonts w:eastAsiaTheme="minorHAnsi"/>
                <w:lang w:eastAsia="en-US"/>
              </w:rPr>
            </w:pPr>
            <w:r>
              <w:t>Vienlaikus ar likumprojektu netiek radīts jauns informācijas sniegšanas pienākums, bet gan tiek noteikts informācijas sniegšanas kanāls, turpmāk paredzot, dokumentu iesniegšanu elektroniski, izmantojot Sistēmas funkcionalitāti.</w:t>
            </w:r>
          </w:p>
        </w:tc>
      </w:tr>
      <w:tr w:rsidR="00314C33" w:rsidRPr="00E51BC0" w14:paraId="67C14BBF" w14:textId="77777777" w:rsidTr="0028180F">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4434DE78" w14:textId="77777777" w:rsidR="00655F2C" w:rsidRPr="00E51BC0" w:rsidRDefault="00E5323B" w:rsidP="005E1A76">
            <w:pPr>
              <w:rPr>
                <w:iCs/>
                <w:lang w:eastAsia="lv-LV"/>
              </w:rPr>
            </w:pPr>
            <w:r w:rsidRPr="00E51BC0">
              <w:rPr>
                <w:iCs/>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3B47827A" w14:textId="77777777" w:rsidR="00E5323B" w:rsidRPr="00E51BC0" w:rsidRDefault="00E5323B">
            <w:pPr>
              <w:jc w:val="both"/>
              <w:rPr>
                <w:iCs/>
                <w:lang w:eastAsia="lv-LV"/>
              </w:rPr>
            </w:pPr>
            <w:r w:rsidRPr="00E51BC0">
              <w:rPr>
                <w:iCs/>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F126372" w14:textId="77777777" w:rsidR="0002301D" w:rsidRDefault="0002301D" w:rsidP="0028180F">
            <w:pPr>
              <w:jc w:val="both"/>
              <w:rPr>
                <w:iCs/>
                <w:lang w:eastAsia="lv-LV"/>
              </w:rPr>
            </w:pPr>
            <w:r>
              <w:rPr>
                <w:iCs/>
                <w:lang w:eastAsia="lv-LV"/>
              </w:rPr>
              <w:t>L</w:t>
            </w:r>
            <w:r w:rsidR="006E7AE0">
              <w:rPr>
                <w:iCs/>
                <w:lang w:eastAsia="lv-LV"/>
              </w:rPr>
              <w:t xml:space="preserve">ikumprojektā ietvertais regulējums </w:t>
            </w:r>
            <w:r>
              <w:rPr>
                <w:iCs/>
                <w:lang w:eastAsia="lv-LV"/>
              </w:rPr>
              <w:t xml:space="preserve">var samazināt </w:t>
            </w:r>
            <w:r w:rsidR="006E7AE0">
              <w:rPr>
                <w:iCs/>
                <w:lang w:eastAsia="lv-LV"/>
              </w:rPr>
              <w:t xml:space="preserve">darbinieku prasījumu iesniegšanas izmaksas, piemēram, izmaksas par pasta pakalpojumiem. </w:t>
            </w:r>
          </w:p>
          <w:p w14:paraId="2225D0B4" w14:textId="77777777" w:rsidR="001640AD" w:rsidRDefault="001640AD" w:rsidP="0028180F">
            <w:pPr>
              <w:jc w:val="both"/>
              <w:rPr>
                <w:iCs/>
                <w:lang w:eastAsia="lv-LV"/>
              </w:rPr>
            </w:pPr>
          </w:p>
          <w:p w14:paraId="0CD9135D" w14:textId="7942610B" w:rsidR="001640AD" w:rsidRDefault="001640AD" w:rsidP="001640AD">
            <w:pPr>
              <w:shd w:val="clear" w:color="auto" w:fill="FFFFFF" w:themeFill="background1"/>
              <w:jc w:val="both"/>
              <w:rPr>
                <w:lang w:eastAsia="lv-LV"/>
              </w:rPr>
            </w:pPr>
            <w:r>
              <w:rPr>
                <w:lang w:eastAsia="lv-LV"/>
              </w:rPr>
              <w:t>Atbilstoši Maksātnespējas likumam darbinieks savu prasījumu iesniedz administratoram, kurš to pārbauda un iesniedz Maksātnespējas kontroles dienestā. Nav iespējams apzināt, cik daudzi darbinieki sākotnēji savus darbinieku prasījumus administratoram iesnieguši, izmantojot pasta pakalpojumus. Turklāt normatīvais regulējums nenoteic veidu (piemēram, elektroniski vai izmantojot pasta pakalpojumu starpniecību), kādā darbiniekam jāiesniedz administratoram darbinieka prasījums.</w:t>
            </w:r>
          </w:p>
          <w:p w14:paraId="0291D4AB" w14:textId="3F652479" w:rsidR="001640AD" w:rsidRDefault="001640AD" w:rsidP="001640AD">
            <w:pPr>
              <w:shd w:val="clear" w:color="auto" w:fill="FFFFFF" w:themeFill="background1"/>
              <w:jc w:val="both"/>
              <w:rPr>
                <w:lang w:eastAsia="lv-LV"/>
              </w:rPr>
            </w:pPr>
          </w:p>
          <w:p w14:paraId="26351E2F" w14:textId="23EFC500" w:rsidR="001640AD" w:rsidRDefault="001640AD" w:rsidP="00CF2B6E">
            <w:pPr>
              <w:jc w:val="both"/>
            </w:pPr>
            <w:r>
              <w:rPr>
                <w:lang w:eastAsia="lv-LV"/>
              </w:rPr>
              <w:t>Darbinieku prasījumus apkopo, pārbauda un Maksātnespējas kontroles dienestā iesniedz administrators. No visiem Maksātnespējas kontroles dienestā iesniegtajiem darbinieku prasījumiem 2019. gadā 25,05 % iesniegti personīgi, izmantojot pasta pakalpojumus vai ar kurjera starpniecību. Savukārt 2020. gadā – 17,63 %. Secināms, ka salīdzinājumā ar 2019. gadu, 2020. gadā ir samazinājusies dokumentu iesniegšana papīra veidā.</w:t>
            </w:r>
          </w:p>
          <w:p w14:paraId="7EC88CA8" w14:textId="77777777" w:rsidR="001640AD" w:rsidRDefault="001640AD" w:rsidP="001640AD">
            <w:pPr>
              <w:shd w:val="clear" w:color="auto" w:fill="FFFFFF" w:themeFill="background1"/>
              <w:jc w:val="both"/>
              <w:rPr>
                <w:lang w:eastAsia="lv-LV"/>
              </w:rPr>
            </w:pPr>
          </w:p>
          <w:p w14:paraId="416556D7" w14:textId="1D179846" w:rsidR="001640AD" w:rsidRPr="00334732" w:rsidRDefault="001640AD" w:rsidP="00CF2B6E">
            <w:pPr>
              <w:shd w:val="clear" w:color="auto" w:fill="FFFFFF" w:themeFill="background1"/>
              <w:jc w:val="both"/>
              <w:rPr>
                <w:lang w:eastAsia="lv-LV"/>
              </w:rPr>
            </w:pPr>
            <w:r>
              <w:rPr>
                <w:lang w:eastAsia="lv-LV"/>
              </w:rPr>
              <w:t>Papildu norādāms, ka nav iespējams aprēķināt kopējo likumprojekta mērķauditorijas lielumu, ievērojot to, ka nav iespējams prognozēt maksātnespējīgo darba devēju darbinieku un iesniedzamo darbinieku prasījumu skaitu.</w:t>
            </w:r>
            <w:r w:rsidR="00334732">
              <w:rPr>
                <w:lang w:eastAsia="lv-LV"/>
              </w:rPr>
              <w:t xml:space="preserve"> </w:t>
            </w:r>
            <w:r>
              <w:rPr>
                <w:lang w:eastAsia="lv-LV"/>
              </w:rPr>
              <w:t>Ievērojot iepriekš minēto</w:t>
            </w:r>
            <w:r w:rsidR="00334732">
              <w:rPr>
                <w:lang w:eastAsia="lv-LV"/>
              </w:rPr>
              <w:t>,</w:t>
            </w:r>
            <w:r>
              <w:rPr>
                <w:lang w:eastAsia="lv-LV"/>
              </w:rPr>
              <w:t xml:space="preserve"> nav iespējams aprēķināt arī konkrētu administratīvo</w:t>
            </w:r>
            <w:r w:rsidRPr="00BC2633">
              <w:rPr>
                <w:lang w:eastAsia="lv-LV"/>
              </w:rPr>
              <w:t xml:space="preserve"> izmaksu monetār</w:t>
            </w:r>
            <w:r>
              <w:rPr>
                <w:lang w:eastAsia="lv-LV"/>
              </w:rPr>
              <w:t>o</w:t>
            </w:r>
            <w:r w:rsidRPr="00BC2633">
              <w:rPr>
                <w:lang w:eastAsia="lv-LV"/>
              </w:rPr>
              <w:t xml:space="preserve"> novērtējum</w:t>
            </w:r>
            <w:r>
              <w:rPr>
                <w:lang w:eastAsia="lv-LV"/>
              </w:rPr>
              <w:t>u. Vienlaikus atbilstoši Latvijas Pasta pakalpojumu tarifiem viens vēstules korespondences sūtījums atkarībā no veida (vienkāršs, izsekojams, ierakstīts, apdrošināts) izmaksā no 1,00 -1,64 EUR.</w:t>
            </w:r>
            <w:r>
              <w:rPr>
                <w:rStyle w:val="FootnoteReference"/>
                <w:lang w:eastAsia="lv-LV"/>
              </w:rPr>
              <w:footnoteReference w:id="3"/>
            </w:r>
          </w:p>
        </w:tc>
      </w:tr>
      <w:tr w:rsidR="00314C33" w:rsidRPr="00E51BC0" w14:paraId="5064B479" w14:textId="77777777" w:rsidTr="00815FB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D83CFD3" w14:textId="77777777" w:rsidR="00655F2C" w:rsidRPr="00E51BC0" w:rsidRDefault="00E5323B" w:rsidP="005E1A76">
            <w:pPr>
              <w:rPr>
                <w:iCs/>
                <w:lang w:eastAsia="lv-LV"/>
              </w:rPr>
            </w:pPr>
            <w:r w:rsidRPr="00E51BC0">
              <w:rPr>
                <w:iCs/>
                <w:lang w:eastAsia="lv-LV"/>
              </w:rPr>
              <w:t>4.</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44C8D201" w14:textId="77777777" w:rsidR="00E5323B" w:rsidRPr="00E51BC0" w:rsidRDefault="00E5323B">
            <w:pPr>
              <w:jc w:val="both"/>
              <w:rPr>
                <w:iCs/>
                <w:lang w:eastAsia="lv-LV"/>
              </w:rPr>
            </w:pPr>
            <w:r w:rsidRPr="00E51BC0">
              <w:rPr>
                <w:iCs/>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3091245" w14:textId="64992E32" w:rsidR="00334732" w:rsidRPr="00AE42F1" w:rsidRDefault="009E2473" w:rsidP="00CF2B6E">
            <w:pPr>
              <w:jc w:val="both"/>
              <w:rPr>
                <w:color w:val="000000" w:themeColor="text1"/>
              </w:rPr>
            </w:pPr>
            <w:r w:rsidRPr="00AE42F1">
              <w:rPr>
                <w:color w:val="000000" w:themeColor="text1"/>
                <w:shd w:val="clear" w:color="auto" w:fill="FFFFFF"/>
              </w:rPr>
              <w:t>Likump</w:t>
            </w:r>
            <w:r w:rsidR="00334732" w:rsidRPr="00AE42F1">
              <w:rPr>
                <w:color w:val="000000" w:themeColor="text1"/>
                <w:shd w:val="clear" w:color="auto" w:fill="FFFFFF"/>
              </w:rPr>
              <w:t>rojekts šo jomu neskar</w:t>
            </w:r>
            <w:r w:rsidR="00700D45" w:rsidRPr="00AE42F1">
              <w:rPr>
                <w:color w:val="000000" w:themeColor="text1"/>
                <w:shd w:val="clear" w:color="auto" w:fill="FFFFFF"/>
              </w:rPr>
              <w:t>.</w:t>
            </w:r>
            <w:r w:rsidRPr="00AE42F1">
              <w:rPr>
                <w:rFonts w:ascii="Arial" w:hAnsi="Arial" w:cs="Arial"/>
                <w:color w:val="000000" w:themeColor="text1"/>
                <w:sz w:val="20"/>
                <w:szCs w:val="20"/>
                <w:shd w:val="clear" w:color="auto" w:fill="FFFFFF"/>
              </w:rPr>
              <w:t xml:space="preserve"> </w:t>
            </w:r>
          </w:p>
          <w:p w14:paraId="672D500B" w14:textId="530708C5" w:rsidR="00BB1EE5" w:rsidRPr="00392E3D" w:rsidRDefault="00BB1EE5" w:rsidP="0028180F">
            <w:pPr>
              <w:shd w:val="clear" w:color="auto" w:fill="FFFFFF" w:themeFill="background1"/>
              <w:jc w:val="both"/>
              <w:rPr>
                <w:lang w:eastAsia="lv-LV"/>
              </w:rPr>
            </w:pPr>
          </w:p>
        </w:tc>
      </w:tr>
      <w:tr w:rsidR="00314C33" w:rsidRPr="00E51BC0" w14:paraId="574839D9" w14:textId="77777777" w:rsidTr="0028180F">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426C772D" w14:textId="77777777" w:rsidR="00655F2C" w:rsidRPr="00E51BC0" w:rsidRDefault="00E5323B" w:rsidP="005E1A76">
            <w:pPr>
              <w:rPr>
                <w:iCs/>
                <w:lang w:eastAsia="lv-LV"/>
              </w:rPr>
            </w:pPr>
            <w:r w:rsidRPr="00E51BC0">
              <w:rPr>
                <w:iCs/>
                <w:lang w:eastAsia="lv-LV"/>
              </w:rPr>
              <w:t>5.</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5624BE6E" w14:textId="77777777" w:rsidR="00E5323B" w:rsidRPr="00E51BC0" w:rsidRDefault="00E5323B">
            <w:pPr>
              <w:rPr>
                <w:iCs/>
                <w:lang w:eastAsia="lv-LV"/>
              </w:rPr>
            </w:pPr>
            <w:r w:rsidRPr="00E51BC0">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5AAA6DEE" w14:textId="0EABDD81" w:rsidR="00E5323B" w:rsidRPr="00E51BC0" w:rsidRDefault="00D267C8">
            <w:pPr>
              <w:rPr>
                <w:iCs/>
                <w:lang w:eastAsia="lv-LV"/>
              </w:rPr>
            </w:pPr>
            <w:r w:rsidRPr="00E51BC0">
              <w:rPr>
                <w:iCs/>
                <w:lang w:eastAsia="lv-LV"/>
              </w:rPr>
              <w:t>Nav.</w:t>
            </w:r>
          </w:p>
        </w:tc>
      </w:tr>
    </w:tbl>
    <w:p w14:paraId="4318D811" w14:textId="2A28F323" w:rsidR="001520AA" w:rsidRPr="00314C33" w:rsidRDefault="00E5323B" w:rsidP="005E1A76">
      <w:pPr>
        <w:rPr>
          <w:iCs/>
          <w:lang w:val="en-US" w:eastAsia="lv-LV"/>
        </w:rPr>
      </w:pPr>
      <w:r w:rsidRPr="00314C33">
        <w:rPr>
          <w:iCs/>
          <w:lang w:val="en-US" w:eastAsia="lv-LV"/>
        </w:rPr>
        <w:lastRenderedPageBreak/>
        <w:t> </w:t>
      </w:r>
    </w:p>
    <w:tbl>
      <w:tblPr>
        <w:tblW w:w="5000" w:type="pct"/>
        <w:tblCellSpacing w:w="15" w:type="dxa"/>
        <w:tblBorders>
          <w:top w:val="outset" w:sz="6" w:space="0" w:color="auto"/>
          <w:left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55"/>
      </w:tblGrid>
      <w:tr w:rsidR="00314C33" w:rsidRPr="00E51BC0" w14:paraId="0C84535D" w14:textId="77777777" w:rsidTr="00F95F34">
        <w:trPr>
          <w:trHeight w:val="385"/>
          <w:tblCellSpacing w:w="15" w:type="dxa"/>
        </w:trPr>
        <w:tc>
          <w:tcPr>
            <w:tcW w:w="0" w:type="auto"/>
            <w:shd w:val="clear" w:color="auto" w:fill="auto"/>
            <w:vAlign w:val="center"/>
            <w:hideMark/>
          </w:tcPr>
          <w:p w14:paraId="5AD957F1" w14:textId="77777777" w:rsidR="00655F2C" w:rsidRPr="00E51BC0" w:rsidRDefault="00E5323B">
            <w:pPr>
              <w:jc w:val="center"/>
              <w:rPr>
                <w:b/>
                <w:bCs/>
                <w:iCs/>
                <w:lang w:eastAsia="lv-LV"/>
              </w:rPr>
            </w:pPr>
            <w:r w:rsidRPr="00E51BC0">
              <w:rPr>
                <w:b/>
                <w:bCs/>
                <w:iCs/>
                <w:lang w:eastAsia="lv-LV"/>
              </w:rPr>
              <w:t>III. Tiesību akta projekta ietekme uz valsts budžetu un pašvaldību budžetiem</w:t>
            </w:r>
          </w:p>
          <w:p w14:paraId="1753FFAD" w14:textId="311A591C" w:rsidR="00F95F34" w:rsidRPr="00E51BC0" w:rsidRDefault="00F95F34">
            <w:pPr>
              <w:rPr>
                <w:b/>
                <w:bCs/>
                <w:iCs/>
                <w:lang w:eastAsia="lv-LV"/>
              </w:rPr>
            </w:pPr>
          </w:p>
        </w:tc>
      </w:tr>
      <w:tr w:rsidR="00F95F34" w:rsidRPr="00E51BC0" w14:paraId="7A9D901F" w14:textId="77777777" w:rsidTr="00F95F34">
        <w:trPr>
          <w:trHeight w:val="171"/>
          <w:tblCellSpacing w:w="15" w:type="dxa"/>
        </w:trPr>
        <w:tc>
          <w:tcPr>
            <w:tcW w:w="0" w:type="auto"/>
            <w:shd w:val="clear" w:color="auto" w:fill="auto"/>
            <w:vAlign w:val="center"/>
          </w:tcPr>
          <w:p w14:paraId="7815E275" w14:textId="6DFCBB0E" w:rsidR="00F95F34" w:rsidRPr="00E51BC0" w:rsidRDefault="00F95F34" w:rsidP="005E1A76">
            <w:pPr>
              <w:jc w:val="center"/>
              <w:rPr>
                <w:iCs/>
                <w:lang w:eastAsia="lv-LV"/>
              </w:rPr>
            </w:pPr>
            <w:r w:rsidRPr="00E51BC0">
              <w:rPr>
                <w:iCs/>
                <w:lang w:eastAsia="lv-LV"/>
              </w:rPr>
              <w:t>Likumprojekts šo jomu neskar.</w:t>
            </w:r>
          </w:p>
        </w:tc>
      </w:tr>
    </w:tbl>
    <w:p w14:paraId="1481D21A" w14:textId="567712D5" w:rsidR="00E5323B" w:rsidRPr="00314C33" w:rsidRDefault="00E5323B" w:rsidP="005E1A76">
      <w:pPr>
        <w:rPr>
          <w:iCs/>
          <w:lang w:val="en-US" w:eastAsia="lv-LV"/>
        </w:rPr>
      </w:pPr>
      <w:r w:rsidRPr="00314C33">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14C33" w:rsidRPr="00E51BC0" w14:paraId="057D57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5DA87" w14:textId="77777777" w:rsidR="00655F2C" w:rsidRPr="00E51BC0" w:rsidRDefault="00E5323B">
            <w:pPr>
              <w:jc w:val="center"/>
              <w:rPr>
                <w:b/>
                <w:bCs/>
                <w:iCs/>
                <w:lang w:eastAsia="lv-LV"/>
              </w:rPr>
            </w:pPr>
            <w:r w:rsidRPr="00E51BC0">
              <w:rPr>
                <w:b/>
                <w:bCs/>
                <w:iCs/>
                <w:lang w:eastAsia="lv-LV"/>
              </w:rPr>
              <w:t>IV. Tiesību akta projekta ietekme uz spēkā esošo tiesību normu sistēmu</w:t>
            </w:r>
          </w:p>
        </w:tc>
      </w:tr>
      <w:tr w:rsidR="00314C33" w:rsidRPr="00E51BC0" w14:paraId="60FF13F7"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1A06B" w14:textId="77777777" w:rsidR="00655F2C" w:rsidRPr="00E51BC0" w:rsidRDefault="00E5323B" w:rsidP="005E1A76">
            <w:pPr>
              <w:rPr>
                <w:iCs/>
                <w:lang w:eastAsia="lv-LV"/>
              </w:rPr>
            </w:pPr>
            <w:r w:rsidRPr="00E51BC0">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793F380" w14:textId="77777777" w:rsidR="00E5323B" w:rsidRPr="00E51BC0" w:rsidRDefault="00E5323B">
            <w:pPr>
              <w:rPr>
                <w:iCs/>
                <w:lang w:eastAsia="lv-LV"/>
              </w:rPr>
            </w:pPr>
            <w:r w:rsidRPr="00E51BC0">
              <w:rPr>
                <w:iCs/>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41F14C0B" w14:textId="04F6A694" w:rsidR="00E5323B" w:rsidRPr="00E51BC0" w:rsidRDefault="00D267C8">
            <w:pPr>
              <w:jc w:val="both"/>
              <w:rPr>
                <w:iCs/>
                <w:lang w:eastAsia="lv-LV"/>
              </w:rPr>
            </w:pPr>
            <w:r w:rsidRPr="00E51BC0">
              <w:rPr>
                <w:iCs/>
                <w:lang w:eastAsia="lv-LV"/>
              </w:rPr>
              <w:t xml:space="preserve">Nepieciešami grozījumi </w:t>
            </w:r>
            <w:r w:rsidR="002C68BC" w:rsidRPr="00E51BC0">
              <w:rPr>
                <w:iCs/>
                <w:lang w:eastAsia="lv-LV"/>
              </w:rPr>
              <w:t xml:space="preserve">Ministru kabineta </w:t>
            </w:r>
            <w:r w:rsidR="00772C08" w:rsidRPr="00E51BC0">
              <w:rPr>
                <w:iCs/>
                <w:lang w:eastAsia="lv-LV"/>
              </w:rPr>
              <w:t>noteikumos Nr. 995</w:t>
            </w:r>
            <w:r w:rsidR="00AD683D">
              <w:rPr>
                <w:iCs/>
                <w:lang w:eastAsia="lv-LV"/>
              </w:rPr>
              <w:t xml:space="preserve">, papildinot </w:t>
            </w:r>
            <w:r w:rsidR="00FC5A19">
              <w:rPr>
                <w:iCs/>
                <w:lang w:eastAsia="lv-LV"/>
              </w:rPr>
              <w:t xml:space="preserve">tos </w:t>
            </w:r>
            <w:r w:rsidR="00AD683D">
              <w:rPr>
                <w:iCs/>
                <w:lang w:eastAsia="lv-LV"/>
              </w:rPr>
              <w:t xml:space="preserve">ar regulējumu par Sistēmu un veicot </w:t>
            </w:r>
            <w:r w:rsidR="00AD683D" w:rsidRPr="00E51BC0">
              <w:rPr>
                <w:iCs/>
                <w:lang w:eastAsia="lv-LV"/>
              </w:rPr>
              <w:t>tehnisk</w:t>
            </w:r>
            <w:r w:rsidR="00AD683D">
              <w:rPr>
                <w:iCs/>
                <w:lang w:eastAsia="lv-LV"/>
              </w:rPr>
              <w:t>us</w:t>
            </w:r>
            <w:r w:rsidR="00AD683D" w:rsidRPr="00E51BC0">
              <w:rPr>
                <w:iCs/>
                <w:lang w:eastAsia="lv-LV"/>
              </w:rPr>
              <w:t xml:space="preserve"> grozījum</w:t>
            </w:r>
            <w:r w:rsidR="00AD683D">
              <w:rPr>
                <w:iCs/>
                <w:lang w:eastAsia="lv-LV"/>
              </w:rPr>
              <w:t>us,</w:t>
            </w:r>
            <w:r w:rsidR="00AD683D" w:rsidRPr="00E51BC0">
              <w:rPr>
                <w:iCs/>
                <w:lang w:eastAsia="lv-LV"/>
              </w:rPr>
              <w:t xml:space="preserve"> lai salāgotu </w:t>
            </w:r>
            <w:r w:rsidR="00AD683D">
              <w:rPr>
                <w:iCs/>
                <w:lang w:eastAsia="lv-LV"/>
              </w:rPr>
              <w:t>minēto noteikumu</w:t>
            </w:r>
            <w:r w:rsidR="00AD683D" w:rsidRPr="00E51BC0">
              <w:rPr>
                <w:iCs/>
                <w:lang w:eastAsia="lv-LV"/>
              </w:rPr>
              <w:t xml:space="preserve"> regulējumu ar pēdējā laikā pieņemtajiem grozījumiem maksātnespējas jomu regulējošajos tiesību aktos</w:t>
            </w:r>
            <w:r w:rsidR="00F84D56">
              <w:rPr>
                <w:iCs/>
                <w:lang w:eastAsia="lv-LV"/>
              </w:rPr>
              <w:t>.</w:t>
            </w:r>
          </w:p>
        </w:tc>
      </w:tr>
      <w:tr w:rsidR="00314C33" w:rsidRPr="00E51BC0" w14:paraId="3294CCAA"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DDFFF" w14:textId="77777777" w:rsidR="00655F2C" w:rsidRPr="00E51BC0" w:rsidRDefault="00E5323B" w:rsidP="005E1A76">
            <w:pPr>
              <w:rPr>
                <w:iCs/>
                <w:lang w:eastAsia="lv-LV"/>
              </w:rPr>
            </w:pPr>
            <w:r w:rsidRPr="00E51BC0">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D76F762" w14:textId="77777777" w:rsidR="00E5323B" w:rsidRPr="00E51BC0" w:rsidRDefault="00E5323B">
            <w:pPr>
              <w:rPr>
                <w:iCs/>
                <w:lang w:eastAsia="lv-LV"/>
              </w:rPr>
            </w:pPr>
            <w:r w:rsidRPr="00E51BC0">
              <w:rPr>
                <w:iCs/>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27FD117E" w14:textId="23FAFBE2" w:rsidR="00E5323B" w:rsidRPr="00E51BC0" w:rsidRDefault="00D267C8">
            <w:pPr>
              <w:rPr>
                <w:iCs/>
                <w:lang w:eastAsia="lv-LV"/>
              </w:rPr>
            </w:pPr>
            <w:r w:rsidRPr="00E51BC0">
              <w:rPr>
                <w:iCs/>
                <w:lang w:eastAsia="lv-LV"/>
              </w:rPr>
              <w:t>Tieslietu ministrija.</w:t>
            </w:r>
          </w:p>
        </w:tc>
      </w:tr>
      <w:tr w:rsidR="00314C33" w:rsidRPr="00E51BC0" w14:paraId="47439550"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7C70F3" w14:textId="77777777" w:rsidR="00655F2C" w:rsidRPr="00E51BC0" w:rsidRDefault="00E5323B" w:rsidP="005E1A76">
            <w:pPr>
              <w:rPr>
                <w:iCs/>
                <w:lang w:eastAsia="lv-LV"/>
              </w:rPr>
            </w:pPr>
            <w:r w:rsidRPr="00E51BC0">
              <w:rPr>
                <w:iCs/>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E05CFEC" w14:textId="77777777" w:rsidR="00E5323B" w:rsidRPr="00E51BC0" w:rsidRDefault="00E5323B">
            <w:pPr>
              <w:rPr>
                <w:iCs/>
                <w:lang w:eastAsia="lv-LV"/>
              </w:rPr>
            </w:pPr>
            <w:r w:rsidRPr="00E51BC0">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70069308" w14:textId="4DDDBC3B" w:rsidR="00E5323B" w:rsidRPr="00E51BC0" w:rsidRDefault="00D267C8">
            <w:pPr>
              <w:rPr>
                <w:iCs/>
                <w:lang w:eastAsia="lv-LV"/>
              </w:rPr>
            </w:pPr>
            <w:r w:rsidRPr="00E51BC0">
              <w:rPr>
                <w:iCs/>
                <w:lang w:eastAsia="lv-LV"/>
              </w:rPr>
              <w:t>Nav.</w:t>
            </w:r>
          </w:p>
        </w:tc>
      </w:tr>
    </w:tbl>
    <w:p w14:paraId="06C3FE33" w14:textId="77777777" w:rsidR="00E5323B" w:rsidRPr="00314C33" w:rsidRDefault="00E5323B" w:rsidP="005E1A76">
      <w:pPr>
        <w:rPr>
          <w:iCs/>
          <w:lang w:val="en-US" w:eastAsia="lv-LV"/>
        </w:rPr>
      </w:pPr>
      <w:r w:rsidRPr="00314C33">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14C33" w:rsidRPr="00E51BC0" w14:paraId="7B2B7B0F" w14:textId="77777777" w:rsidTr="006009C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FB9FBA" w14:textId="77777777" w:rsidR="00655F2C" w:rsidRPr="00E51BC0" w:rsidRDefault="00E5323B">
            <w:pPr>
              <w:jc w:val="center"/>
              <w:rPr>
                <w:b/>
                <w:bCs/>
                <w:iCs/>
                <w:lang w:eastAsia="lv-LV"/>
              </w:rPr>
            </w:pPr>
            <w:r w:rsidRPr="00E51BC0">
              <w:rPr>
                <w:b/>
                <w:bCs/>
                <w:iCs/>
                <w:lang w:eastAsia="lv-LV"/>
              </w:rPr>
              <w:t>V. Tiesību akta projekta atbilstība Latvijas Republikas starptautiskajām saistībām</w:t>
            </w:r>
          </w:p>
        </w:tc>
      </w:tr>
      <w:tr w:rsidR="00D267C8" w:rsidRPr="00E51BC0" w14:paraId="5033FAC7" w14:textId="77777777" w:rsidTr="006009C7">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72660E00" w14:textId="4EAB2F1F" w:rsidR="00D267C8" w:rsidRPr="00E51BC0" w:rsidRDefault="00D267C8" w:rsidP="005E1A76">
            <w:pPr>
              <w:jc w:val="center"/>
              <w:rPr>
                <w:iCs/>
                <w:lang w:eastAsia="lv-LV"/>
              </w:rPr>
            </w:pPr>
            <w:r w:rsidRPr="00E51BC0">
              <w:rPr>
                <w:iCs/>
                <w:lang w:eastAsia="lv-LV"/>
              </w:rPr>
              <w:t>Likumprojekts šo jomu neskar.</w:t>
            </w:r>
          </w:p>
        </w:tc>
      </w:tr>
    </w:tbl>
    <w:p w14:paraId="19191DD3" w14:textId="694E9E33" w:rsidR="00E5323B" w:rsidRPr="00D267C8" w:rsidRDefault="00E5323B" w:rsidP="005E1A76">
      <w:pPr>
        <w:rPr>
          <w:iCs/>
          <w:lang w:eastAsia="lv-LV"/>
        </w:rPr>
      </w:pPr>
      <w:r w:rsidRPr="00D267C8">
        <w:rPr>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14C33" w:rsidRPr="00E51BC0" w14:paraId="73CE0C3F" w14:textId="77777777" w:rsidTr="00E51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99F161" w14:textId="77777777" w:rsidR="00655F2C" w:rsidRPr="00E51BC0" w:rsidRDefault="00E5323B">
            <w:pPr>
              <w:jc w:val="center"/>
              <w:rPr>
                <w:b/>
                <w:bCs/>
                <w:iCs/>
                <w:lang w:eastAsia="lv-LV"/>
              </w:rPr>
            </w:pPr>
            <w:r w:rsidRPr="00E51BC0">
              <w:rPr>
                <w:b/>
                <w:bCs/>
                <w:iCs/>
                <w:lang w:eastAsia="lv-LV"/>
              </w:rPr>
              <w:t>VI. Sabiedrības līdzdalība un komunikācijas aktivitātes</w:t>
            </w:r>
          </w:p>
        </w:tc>
      </w:tr>
      <w:tr w:rsidR="00314C33" w:rsidRPr="00E51BC0" w14:paraId="215C67DD"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8D063" w14:textId="77777777" w:rsidR="00655F2C" w:rsidRPr="00E51BC0" w:rsidRDefault="00E5323B" w:rsidP="005E1A76">
            <w:pPr>
              <w:rPr>
                <w:iCs/>
                <w:lang w:eastAsia="lv-LV"/>
              </w:rPr>
            </w:pPr>
            <w:r w:rsidRPr="00E51BC0">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471F3769" w14:textId="77777777" w:rsidR="00E5323B" w:rsidRPr="00E51BC0" w:rsidRDefault="00E5323B">
            <w:pPr>
              <w:jc w:val="both"/>
              <w:rPr>
                <w:iCs/>
                <w:lang w:eastAsia="lv-LV"/>
              </w:rPr>
            </w:pPr>
            <w:r w:rsidRPr="00E51BC0">
              <w:rPr>
                <w:iCs/>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139DA1FF" w14:textId="4D52DA7B" w:rsidR="00E5323B" w:rsidRPr="00E51BC0" w:rsidRDefault="00644CD3" w:rsidP="00392E3D">
            <w:pPr>
              <w:jc w:val="both"/>
              <w:rPr>
                <w:iCs/>
                <w:lang w:eastAsia="lv-LV"/>
              </w:rPr>
            </w:pPr>
            <w:r w:rsidRPr="00E51BC0">
              <w:rPr>
                <w:iCs/>
                <w:lang w:eastAsia="lv-LV"/>
              </w:rPr>
              <w:t xml:space="preserve">Informācija par </w:t>
            </w:r>
            <w:r w:rsidR="0003095D">
              <w:rPr>
                <w:iCs/>
                <w:lang w:eastAsia="lv-LV"/>
              </w:rPr>
              <w:t xml:space="preserve">sabiedrības </w:t>
            </w:r>
            <w:r w:rsidRPr="00E51BC0">
              <w:rPr>
                <w:iCs/>
                <w:lang w:eastAsia="lv-LV"/>
              </w:rPr>
              <w:t>līdzdalības iespējām</w:t>
            </w:r>
            <w:r w:rsidR="004F2844">
              <w:rPr>
                <w:iCs/>
                <w:lang w:eastAsia="lv-LV"/>
              </w:rPr>
              <w:t xml:space="preserve"> </w:t>
            </w:r>
            <w:r w:rsidRPr="00E51BC0">
              <w:rPr>
                <w:iCs/>
                <w:lang w:eastAsia="lv-LV"/>
              </w:rPr>
              <w:t>publicēta Valsts kancelejas</w:t>
            </w:r>
            <w:r>
              <w:rPr>
                <w:iCs/>
                <w:lang w:eastAsia="lv-LV"/>
              </w:rPr>
              <w:t xml:space="preserve"> un</w:t>
            </w:r>
            <w:r w:rsidRPr="00E51BC0">
              <w:rPr>
                <w:iCs/>
                <w:lang w:eastAsia="lv-LV"/>
              </w:rPr>
              <w:t xml:space="preserve"> Tieslietu ministrijas</w:t>
            </w:r>
            <w:r w:rsidR="003E4831">
              <w:rPr>
                <w:iCs/>
                <w:lang w:eastAsia="lv-LV"/>
              </w:rPr>
              <w:t xml:space="preserve"> </w:t>
            </w:r>
            <w:r w:rsidRPr="00E51BC0">
              <w:rPr>
                <w:iCs/>
                <w:lang w:eastAsia="lv-LV"/>
              </w:rPr>
              <w:t>tīmekļvietnē</w:t>
            </w:r>
            <w:r>
              <w:rPr>
                <w:iCs/>
                <w:lang w:eastAsia="lv-LV"/>
              </w:rPr>
              <w:t>.</w:t>
            </w:r>
          </w:p>
        </w:tc>
      </w:tr>
      <w:tr w:rsidR="00314C33" w:rsidRPr="00E51BC0" w14:paraId="76AC71EE"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953E9" w14:textId="77777777" w:rsidR="00655F2C" w:rsidRPr="00E51BC0" w:rsidRDefault="00E5323B" w:rsidP="005E1A76">
            <w:pPr>
              <w:rPr>
                <w:iCs/>
                <w:lang w:eastAsia="lv-LV"/>
              </w:rPr>
            </w:pPr>
            <w:r w:rsidRPr="00E51BC0">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DE50E8E" w14:textId="77777777" w:rsidR="00E5323B" w:rsidRPr="00E51BC0" w:rsidRDefault="00E5323B">
            <w:pPr>
              <w:jc w:val="both"/>
              <w:rPr>
                <w:iCs/>
                <w:lang w:eastAsia="lv-LV"/>
              </w:rPr>
            </w:pPr>
            <w:r w:rsidRPr="00E51BC0">
              <w:rPr>
                <w:iCs/>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276C0945" w14:textId="75BA14BE" w:rsidR="007A4691" w:rsidRPr="00E51BC0" w:rsidRDefault="004F2844">
            <w:pPr>
              <w:jc w:val="both"/>
              <w:rPr>
                <w:iCs/>
                <w:lang w:eastAsia="lv-LV"/>
              </w:rPr>
            </w:pPr>
            <w:r>
              <w:rPr>
                <w:iCs/>
                <w:lang w:eastAsia="lv-LV"/>
              </w:rPr>
              <w:t xml:space="preserve">2020. gada 16. novembrī </w:t>
            </w:r>
            <w:r w:rsidR="00883C12">
              <w:rPr>
                <w:iCs/>
                <w:lang w:eastAsia="lv-LV"/>
              </w:rPr>
              <w:t xml:space="preserve">likumprojekts līdz ar paziņojumu par sabiedrības līdzdalību </w:t>
            </w:r>
            <w:r>
              <w:rPr>
                <w:iCs/>
                <w:lang w:eastAsia="lv-LV"/>
              </w:rPr>
              <w:t>tika publicēt</w:t>
            </w:r>
            <w:r w:rsidR="00883C12">
              <w:rPr>
                <w:iCs/>
                <w:lang w:eastAsia="lv-LV"/>
              </w:rPr>
              <w:t>s</w:t>
            </w:r>
            <w:r>
              <w:rPr>
                <w:iCs/>
                <w:lang w:eastAsia="lv-LV"/>
              </w:rPr>
              <w:t xml:space="preserve"> </w:t>
            </w:r>
            <w:r w:rsidR="00883C12">
              <w:rPr>
                <w:iCs/>
                <w:lang w:eastAsia="lv-LV"/>
              </w:rPr>
              <w:t>Tieslietu ministrijas tīmekļvietnē (</w:t>
            </w:r>
            <w:hyperlink r:id="rId11" w:history="1">
              <w:r w:rsidR="00883C12" w:rsidRPr="005A35E1">
                <w:rPr>
                  <w:rStyle w:val="Hyperlink"/>
                  <w:iCs/>
                  <w:lang w:eastAsia="lv-LV"/>
                </w:rPr>
                <w:t>https://www.tm.gov.lv/lv/pazinojums-par-lidzdalibas-iespejam-likumprojekta-grozijumi-likuma-par-darbinieku-aizsardzibu-darba-deveja-maksatnespejas-gadijuma-lidz-2020-gada-30-novembrim</w:t>
              </w:r>
            </w:hyperlink>
            <w:r w:rsidR="00883C12">
              <w:rPr>
                <w:iCs/>
                <w:lang w:eastAsia="lv-LV"/>
              </w:rPr>
              <w:t>), kā arī  atbilstoši Ministru kabineta 2009. gada 25. augusta noteikumiem Nr. 970 "</w:t>
            </w:r>
            <w:r w:rsidR="00883C12" w:rsidRPr="00883C12">
              <w:rPr>
                <w:iCs/>
                <w:lang w:eastAsia="lv-LV"/>
              </w:rPr>
              <w:t>Sabiedrības līdzdalības kārtība attīstības plānošanas procesā</w:t>
            </w:r>
            <w:r w:rsidR="00883C12">
              <w:rPr>
                <w:iCs/>
                <w:lang w:eastAsia="lv-LV"/>
              </w:rPr>
              <w:t xml:space="preserve">" </w:t>
            </w:r>
            <w:r w:rsidR="00883C12" w:rsidRPr="00883C12">
              <w:rPr>
                <w:iCs/>
                <w:lang w:eastAsia="lv-LV"/>
              </w:rPr>
              <w:t>paziņojum</w:t>
            </w:r>
            <w:r w:rsidR="00883C12">
              <w:rPr>
                <w:iCs/>
                <w:lang w:eastAsia="lv-LV"/>
              </w:rPr>
              <w:t>s</w:t>
            </w:r>
            <w:r w:rsidR="00883C12" w:rsidRPr="00883C12">
              <w:rPr>
                <w:iCs/>
                <w:lang w:eastAsia="lv-LV"/>
              </w:rPr>
              <w:t xml:space="preserve"> par </w:t>
            </w:r>
            <w:r w:rsidR="00883C12">
              <w:rPr>
                <w:iCs/>
                <w:lang w:eastAsia="lv-LV"/>
              </w:rPr>
              <w:t xml:space="preserve">sabiedrības </w:t>
            </w:r>
            <w:r w:rsidR="00883C12" w:rsidRPr="00883C12">
              <w:rPr>
                <w:iCs/>
                <w:lang w:eastAsia="lv-LV"/>
              </w:rPr>
              <w:t>līdzdalības procesu iesnie</w:t>
            </w:r>
            <w:r w:rsidR="00883C12">
              <w:rPr>
                <w:iCs/>
                <w:lang w:eastAsia="lv-LV"/>
              </w:rPr>
              <w:t>gts</w:t>
            </w:r>
            <w:r w:rsidR="00883C12" w:rsidRPr="00883C12">
              <w:rPr>
                <w:iCs/>
                <w:lang w:eastAsia="lv-LV"/>
              </w:rPr>
              <w:t xml:space="preserve"> Valsts kancelejā publicēšanai tās </w:t>
            </w:r>
            <w:r w:rsidR="00883C12">
              <w:rPr>
                <w:iCs/>
                <w:lang w:eastAsia="lv-LV"/>
              </w:rPr>
              <w:t xml:space="preserve">tīmekļvietnē </w:t>
            </w:r>
            <w:r>
              <w:rPr>
                <w:iCs/>
                <w:lang w:eastAsia="lv-LV"/>
              </w:rPr>
              <w:t>(</w:t>
            </w:r>
            <w:hyperlink r:id="rId12" w:history="1">
              <w:r w:rsidRPr="005A35E1">
                <w:rPr>
                  <w:rStyle w:val="Hyperlink"/>
                  <w:iCs/>
                  <w:lang w:eastAsia="lv-LV"/>
                </w:rPr>
                <w:t>https://mk.gov.lv/lv/content/ministru-kabineta-diskusiju-dokument</w:t>
              </w:r>
            </w:hyperlink>
            <w:r>
              <w:rPr>
                <w:iCs/>
                <w:lang w:eastAsia="lv-LV"/>
              </w:rPr>
              <w:t>).</w:t>
            </w:r>
          </w:p>
        </w:tc>
      </w:tr>
      <w:tr w:rsidR="00314C33" w:rsidRPr="00E51BC0" w14:paraId="668ABC70"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9BBDCF" w14:textId="77777777" w:rsidR="00655F2C" w:rsidRPr="00E51BC0" w:rsidRDefault="00E5323B" w:rsidP="005E1A76">
            <w:pPr>
              <w:rPr>
                <w:iCs/>
                <w:lang w:eastAsia="lv-LV"/>
              </w:rPr>
            </w:pPr>
            <w:r w:rsidRPr="00E51BC0">
              <w:rPr>
                <w:iCs/>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01CD7BE7" w14:textId="77777777" w:rsidR="00E5323B" w:rsidRPr="00E51BC0" w:rsidRDefault="00E5323B">
            <w:pPr>
              <w:jc w:val="both"/>
              <w:rPr>
                <w:iCs/>
                <w:lang w:eastAsia="lv-LV"/>
              </w:rPr>
            </w:pPr>
            <w:r w:rsidRPr="00E51BC0">
              <w:rPr>
                <w:iCs/>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43170E41" w14:textId="4EEAABFB" w:rsidR="00E5323B" w:rsidRPr="00E51BC0" w:rsidRDefault="004F2844">
            <w:pPr>
              <w:jc w:val="both"/>
              <w:rPr>
                <w:iCs/>
                <w:lang w:eastAsia="lv-LV"/>
              </w:rPr>
            </w:pPr>
            <w:r>
              <w:rPr>
                <w:iCs/>
                <w:lang w:eastAsia="lv-LV"/>
              </w:rPr>
              <w:t xml:space="preserve">Sabiedrības pārstāvju viedokļi likumprojekta </w:t>
            </w:r>
            <w:r w:rsidR="00883C12">
              <w:rPr>
                <w:iCs/>
                <w:lang w:eastAsia="lv-LV"/>
              </w:rPr>
              <w:t xml:space="preserve">izstrādes procesā </w:t>
            </w:r>
            <w:r>
              <w:rPr>
                <w:iCs/>
                <w:lang w:eastAsia="lv-LV"/>
              </w:rPr>
              <w:t>sabiedr</w:t>
            </w:r>
            <w:r w:rsidR="00883C12">
              <w:rPr>
                <w:iCs/>
                <w:lang w:eastAsia="lv-LV"/>
              </w:rPr>
              <w:t>ības</w:t>
            </w:r>
            <w:r>
              <w:rPr>
                <w:iCs/>
                <w:lang w:eastAsia="lv-LV"/>
              </w:rPr>
              <w:t xml:space="preserve"> līdzdalības </w:t>
            </w:r>
            <w:r w:rsidR="00883C12">
              <w:rPr>
                <w:iCs/>
                <w:lang w:eastAsia="lv-LV"/>
              </w:rPr>
              <w:t xml:space="preserve">ietvaros </w:t>
            </w:r>
            <w:r>
              <w:rPr>
                <w:iCs/>
                <w:lang w:eastAsia="lv-LV"/>
              </w:rPr>
              <w:t xml:space="preserve">netika saņemti. </w:t>
            </w:r>
          </w:p>
        </w:tc>
      </w:tr>
      <w:tr w:rsidR="00314C33" w:rsidRPr="00E51BC0" w14:paraId="0E020674"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6C09F3" w14:textId="77777777" w:rsidR="00655F2C" w:rsidRPr="00E51BC0" w:rsidRDefault="00E5323B" w:rsidP="005E1A76">
            <w:pPr>
              <w:rPr>
                <w:iCs/>
                <w:lang w:eastAsia="lv-LV"/>
              </w:rPr>
            </w:pPr>
            <w:r w:rsidRPr="00E51BC0">
              <w:rPr>
                <w:iCs/>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2C69362" w14:textId="77777777" w:rsidR="00E5323B" w:rsidRPr="00E51BC0" w:rsidRDefault="00E5323B">
            <w:pPr>
              <w:rPr>
                <w:iCs/>
                <w:lang w:eastAsia="lv-LV"/>
              </w:rPr>
            </w:pPr>
            <w:r w:rsidRPr="00E51BC0">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710E3DA" w14:textId="1F367511" w:rsidR="00E5323B" w:rsidRPr="00E51BC0" w:rsidRDefault="00963754">
            <w:pPr>
              <w:rPr>
                <w:iCs/>
                <w:lang w:eastAsia="lv-LV"/>
              </w:rPr>
            </w:pPr>
            <w:r w:rsidRPr="00E51BC0">
              <w:rPr>
                <w:iCs/>
                <w:lang w:eastAsia="lv-LV"/>
              </w:rPr>
              <w:t>Nav.</w:t>
            </w:r>
          </w:p>
        </w:tc>
      </w:tr>
    </w:tbl>
    <w:p w14:paraId="7EBE44F6" w14:textId="77777777" w:rsidR="00E5323B" w:rsidRPr="00314C33" w:rsidRDefault="00E5323B" w:rsidP="005E1A76">
      <w:pPr>
        <w:rPr>
          <w:iCs/>
          <w:lang w:val="en-US" w:eastAsia="lv-LV"/>
        </w:rPr>
      </w:pPr>
      <w:r w:rsidRPr="00314C33">
        <w:rPr>
          <w:iCs/>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14C33" w:rsidRPr="00E51BC0" w14:paraId="1AF8B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6893BE" w14:textId="77777777" w:rsidR="00655F2C" w:rsidRPr="00E51BC0" w:rsidRDefault="00E5323B">
            <w:pPr>
              <w:jc w:val="center"/>
              <w:rPr>
                <w:b/>
                <w:bCs/>
                <w:iCs/>
                <w:lang w:eastAsia="lv-LV"/>
              </w:rPr>
            </w:pPr>
            <w:r w:rsidRPr="00E51BC0">
              <w:rPr>
                <w:b/>
                <w:bCs/>
                <w:iCs/>
                <w:lang w:eastAsia="lv-LV"/>
              </w:rPr>
              <w:t>VII. Tiesību akta projekta izpildes nodrošināšana un tās ietekme uz institūcijām</w:t>
            </w:r>
          </w:p>
        </w:tc>
      </w:tr>
      <w:tr w:rsidR="00314C33" w:rsidRPr="00E51BC0" w14:paraId="53E38574"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4FA156" w14:textId="77777777" w:rsidR="00655F2C" w:rsidRPr="00E51BC0" w:rsidRDefault="00E5323B" w:rsidP="005E1A76">
            <w:pPr>
              <w:rPr>
                <w:iCs/>
                <w:lang w:eastAsia="lv-LV"/>
              </w:rPr>
            </w:pPr>
            <w:r w:rsidRPr="00E51BC0">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0ED3955" w14:textId="77777777" w:rsidR="00E5323B" w:rsidRPr="00E51BC0" w:rsidRDefault="00E5323B">
            <w:pPr>
              <w:jc w:val="both"/>
              <w:rPr>
                <w:iCs/>
                <w:lang w:eastAsia="lv-LV"/>
              </w:rPr>
            </w:pPr>
            <w:r w:rsidRPr="00E51BC0">
              <w:rPr>
                <w:iCs/>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17BD4A99" w14:textId="4A3CFF9B" w:rsidR="00E5323B" w:rsidRPr="00E51BC0" w:rsidRDefault="00963754">
            <w:pPr>
              <w:jc w:val="both"/>
              <w:rPr>
                <w:iCs/>
                <w:lang w:eastAsia="lv-LV"/>
              </w:rPr>
            </w:pPr>
            <w:r w:rsidRPr="00E51BC0">
              <w:rPr>
                <w:iCs/>
                <w:lang w:eastAsia="lv-LV"/>
              </w:rPr>
              <w:t>Maksātnespējas kontroles dienests</w:t>
            </w:r>
            <w:r w:rsidR="001520AA" w:rsidRPr="00E51BC0">
              <w:rPr>
                <w:iCs/>
                <w:lang w:eastAsia="lv-LV"/>
              </w:rPr>
              <w:t>, Tiesu administrācija.</w:t>
            </w:r>
          </w:p>
        </w:tc>
      </w:tr>
      <w:tr w:rsidR="00314C33" w:rsidRPr="00E51BC0" w14:paraId="4C4842C0"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83A3FB" w14:textId="77777777" w:rsidR="00655F2C" w:rsidRPr="00E51BC0" w:rsidRDefault="00E5323B" w:rsidP="005E1A76">
            <w:pPr>
              <w:rPr>
                <w:iCs/>
                <w:lang w:eastAsia="lv-LV"/>
              </w:rPr>
            </w:pPr>
            <w:r w:rsidRPr="00E51BC0">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736C328" w14:textId="77777777" w:rsidR="00E5323B" w:rsidRPr="00E51BC0" w:rsidRDefault="00E5323B">
            <w:pPr>
              <w:jc w:val="both"/>
              <w:rPr>
                <w:iCs/>
                <w:lang w:eastAsia="lv-LV"/>
              </w:rPr>
            </w:pPr>
            <w:r w:rsidRPr="00E51BC0">
              <w:rPr>
                <w:iCs/>
                <w:lang w:eastAsia="lv-LV"/>
              </w:rPr>
              <w:t xml:space="preserve">Projekta izpildes ietekme uz pārvaldes </w:t>
            </w:r>
            <w:r w:rsidRPr="00E51BC0">
              <w:rPr>
                <w:iCs/>
                <w:lang w:eastAsia="lv-LV"/>
              </w:rPr>
              <w:lastRenderedPageBreak/>
              <w:t>funkcijām un institucionālo struktūru.</w:t>
            </w:r>
            <w:r w:rsidRPr="00E51BC0">
              <w:rPr>
                <w:iCs/>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5AE98961" w14:textId="5D182AD7" w:rsidR="00E5323B" w:rsidRPr="00E51BC0" w:rsidRDefault="00963754">
            <w:pPr>
              <w:jc w:val="both"/>
              <w:rPr>
                <w:iCs/>
                <w:lang w:eastAsia="lv-LV"/>
              </w:rPr>
            </w:pPr>
            <w:r w:rsidRPr="00E51BC0">
              <w:rPr>
                <w:iCs/>
                <w:lang w:eastAsia="lv-LV"/>
              </w:rPr>
              <w:lastRenderedPageBreak/>
              <w:t>Jaunas valsts institūcijas netiek veidotas, esošās institūcijas netiek likvidētas vai reorganizētas.</w:t>
            </w:r>
          </w:p>
        </w:tc>
      </w:tr>
      <w:tr w:rsidR="00314C33" w:rsidRPr="00E51BC0" w14:paraId="13889264" w14:textId="77777777" w:rsidTr="00392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35AAE7" w14:textId="77777777" w:rsidR="00655F2C" w:rsidRPr="00E51BC0" w:rsidRDefault="00E5323B" w:rsidP="005E1A76">
            <w:pPr>
              <w:rPr>
                <w:iCs/>
                <w:lang w:eastAsia="lv-LV"/>
              </w:rPr>
            </w:pPr>
            <w:r w:rsidRPr="00E51BC0">
              <w:rPr>
                <w:iCs/>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24EA09A8" w14:textId="77777777" w:rsidR="00E5323B" w:rsidRPr="00E51BC0" w:rsidRDefault="00E5323B">
            <w:pPr>
              <w:rPr>
                <w:iCs/>
                <w:lang w:eastAsia="lv-LV"/>
              </w:rPr>
            </w:pPr>
            <w:r w:rsidRPr="00E51BC0">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1812C2D" w14:textId="2E722930" w:rsidR="00E5323B" w:rsidRPr="00E51BC0" w:rsidRDefault="00963754">
            <w:pPr>
              <w:rPr>
                <w:iCs/>
                <w:lang w:eastAsia="lv-LV"/>
              </w:rPr>
            </w:pPr>
            <w:r w:rsidRPr="00E51BC0">
              <w:rPr>
                <w:iCs/>
                <w:lang w:eastAsia="lv-LV"/>
              </w:rPr>
              <w:t>Nav.</w:t>
            </w:r>
          </w:p>
        </w:tc>
      </w:tr>
    </w:tbl>
    <w:p w14:paraId="7964CA36" w14:textId="77777777" w:rsidR="00C25B49" w:rsidRPr="00314C33" w:rsidRDefault="00C25B49" w:rsidP="005E1A76">
      <w:pPr>
        <w:rPr>
          <w:sz w:val="28"/>
          <w:szCs w:val="28"/>
        </w:rPr>
      </w:pPr>
    </w:p>
    <w:p w14:paraId="6024269E" w14:textId="77777777" w:rsidR="000801E8" w:rsidRDefault="000801E8">
      <w:pPr>
        <w:tabs>
          <w:tab w:val="left" w:pos="6237"/>
        </w:tabs>
      </w:pPr>
    </w:p>
    <w:p w14:paraId="5DBBD71C" w14:textId="41F94C80" w:rsidR="009C7F27" w:rsidRDefault="00195C69" w:rsidP="009C7F27">
      <w:pPr>
        <w:tabs>
          <w:tab w:val="left" w:pos="6237"/>
        </w:tabs>
      </w:pPr>
      <w:r w:rsidRPr="00195C69">
        <w:t>Iesniedzēj</w:t>
      </w:r>
      <w:r w:rsidR="00FC4D1B">
        <w:t>s</w:t>
      </w:r>
      <w:r w:rsidRPr="00195C69">
        <w:t>:</w:t>
      </w:r>
    </w:p>
    <w:p w14:paraId="0F9F1CD0" w14:textId="441A9CF1" w:rsidR="009C7F27" w:rsidRPr="009C7F27" w:rsidRDefault="00195C69" w:rsidP="009C7F27">
      <w:pPr>
        <w:tabs>
          <w:tab w:val="left" w:pos="6237"/>
        </w:tabs>
      </w:pPr>
      <w:r w:rsidRPr="009C7F27">
        <w:t>Tieslietu ministrijas valsts sekretār</w:t>
      </w:r>
      <w:r w:rsidR="00FC4D1B">
        <w:t>s</w:t>
      </w:r>
      <w:r w:rsidRPr="009C7F27">
        <w:tab/>
        <w:t xml:space="preserve">                  </w:t>
      </w:r>
      <w:r w:rsidR="00FC4D1B">
        <w:rPr>
          <w:color w:val="000000"/>
        </w:rPr>
        <w:t>Raivis</w:t>
      </w:r>
      <w:r w:rsidR="009C7F27" w:rsidRPr="009C7F27">
        <w:rPr>
          <w:color w:val="000000"/>
        </w:rPr>
        <w:t xml:space="preserve"> </w:t>
      </w:r>
      <w:r w:rsidR="00FC4D1B">
        <w:rPr>
          <w:color w:val="000000"/>
        </w:rPr>
        <w:t>Kronbergs</w:t>
      </w:r>
    </w:p>
    <w:p w14:paraId="62236D08" w14:textId="7AFAA400" w:rsidR="00194E56" w:rsidRDefault="00194E56">
      <w:pPr>
        <w:tabs>
          <w:tab w:val="left" w:pos="6237"/>
        </w:tabs>
      </w:pPr>
    </w:p>
    <w:p w14:paraId="7C7295B3" w14:textId="77777777" w:rsidR="00CC6920" w:rsidRPr="00C81D37" w:rsidRDefault="00CC6920">
      <w:pPr>
        <w:tabs>
          <w:tab w:val="left" w:pos="6237"/>
        </w:tabs>
      </w:pPr>
    </w:p>
    <w:p w14:paraId="4CF08994" w14:textId="77777777" w:rsidR="00894C55" w:rsidRPr="00C81D37" w:rsidRDefault="00314C33">
      <w:pPr>
        <w:tabs>
          <w:tab w:val="left" w:pos="6237"/>
        </w:tabs>
        <w:rPr>
          <w:sz w:val="20"/>
          <w:szCs w:val="20"/>
        </w:rPr>
      </w:pPr>
      <w:proofErr w:type="spellStart"/>
      <w:r w:rsidRPr="00C81D37">
        <w:rPr>
          <w:sz w:val="20"/>
          <w:szCs w:val="20"/>
        </w:rPr>
        <w:t>Anfimova</w:t>
      </w:r>
      <w:proofErr w:type="spellEnd"/>
      <w:r w:rsidRPr="00C81D37">
        <w:rPr>
          <w:sz w:val="20"/>
          <w:szCs w:val="20"/>
        </w:rPr>
        <w:t xml:space="preserve"> 67046139</w:t>
      </w:r>
    </w:p>
    <w:p w14:paraId="42DADB16" w14:textId="1BFF0A82" w:rsidR="00894C55" w:rsidRPr="00C81D37" w:rsidRDefault="00E357D2">
      <w:pPr>
        <w:tabs>
          <w:tab w:val="left" w:pos="6237"/>
        </w:tabs>
        <w:rPr>
          <w:sz w:val="20"/>
          <w:szCs w:val="20"/>
        </w:rPr>
      </w:pPr>
      <w:r w:rsidRPr="005E29E8">
        <w:t>Naira.Anfimova@tm.gov.lv</w:t>
      </w:r>
      <w:bookmarkEnd w:id="0"/>
    </w:p>
    <w:sectPr w:rsidR="00894C55" w:rsidRPr="00C81D37" w:rsidSect="0053658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9B68" w14:textId="77777777" w:rsidR="00996872" w:rsidRDefault="00996872" w:rsidP="00894C55">
      <w:r>
        <w:separator/>
      </w:r>
    </w:p>
    <w:p w14:paraId="7E7FBB8B" w14:textId="77777777" w:rsidR="00996872" w:rsidRDefault="00996872"/>
  </w:endnote>
  <w:endnote w:type="continuationSeparator" w:id="0">
    <w:p w14:paraId="2236A546" w14:textId="77777777" w:rsidR="00996872" w:rsidRDefault="00996872" w:rsidP="00894C55">
      <w:r>
        <w:continuationSeparator/>
      </w:r>
    </w:p>
    <w:p w14:paraId="256F3444" w14:textId="77777777" w:rsidR="00996872" w:rsidRDefault="00996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AE78" w14:textId="7497786D" w:rsidR="00F61F1C" w:rsidRPr="00894C55" w:rsidRDefault="00F61F1C">
    <w:pPr>
      <w:pStyle w:val="Footer"/>
      <w:rPr>
        <w:rFonts w:ascii="Times New Roman" w:hAnsi="Times New Roman" w:cs="Times New Roman"/>
        <w:sz w:val="20"/>
        <w:szCs w:val="20"/>
      </w:rPr>
    </w:pPr>
    <w:r>
      <w:rPr>
        <w:rFonts w:ascii="Times New Roman" w:hAnsi="Times New Roman" w:cs="Times New Roman"/>
        <w:sz w:val="20"/>
        <w:szCs w:val="20"/>
      </w:rPr>
      <w:t>TMAnot_</w:t>
    </w:r>
    <w:r w:rsidR="00615413">
      <w:rPr>
        <w:rFonts w:ascii="Times New Roman" w:hAnsi="Times New Roman" w:cs="Times New Roman"/>
        <w:sz w:val="20"/>
        <w:szCs w:val="20"/>
      </w:rPr>
      <w:t>110121</w:t>
    </w:r>
    <w:r>
      <w:rPr>
        <w:rFonts w:ascii="Times New Roman" w:hAnsi="Times New Roman" w:cs="Times New Roman"/>
        <w:sz w:val="20"/>
        <w:szCs w:val="20"/>
      </w:rPr>
      <w:t>_DAL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7B46" w14:textId="496ACAF3" w:rsidR="00F61F1C" w:rsidRPr="00A170AD" w:rsidRDefault="00F61F1C" w:rsidP="00314C33">
    <w:pPr>
      <w:pStyle w:val="Footer"/>
      <w:rPr>
        <w:rFonts w:ascii="Times New Roman" w:hAnsi="Times New Roman" w:cs="Times New Roman"/>
        <w:sz w:val="20"/>
        <w:szCs w:val="20"/>
      </w:rPr>
    </w:pPr>
    <w:r w:rsidRPr="00314C33">
      <w:rPr>
        <w:rFonts w:ascii="Times New Roman" w:hAnsi="Times New Roman" w:cs="Times New Roman"/>
        <w:sz w:val="20"/>
        <w:szCs w:val="20"/>
      </w:rPr>
      <w:t>TMAnot_</w:t>
    </w:r>
    <w:r w:rsidR="00615413">
      <w:rPr>
        <w:rFonts w:ascii="Times New Roman" w:hAnsi="Times New Roman" w:cs="Times New Roman"/>
        <w:sz w:val="20"/>
        <w:szCs w:val="20"/>
      </w:rPr>
      <w:t>110121</w:t>
    </w:r>
    <w:r w:rsidRPr="00314C33">
      <w:rPr>
        <w:rFonts w:ascii="Times New Roman" w:hAnsi="Times New Roman" w:cs="Times New Roman"/>
        <w:sz w:val="20"/>
        <w:szCs w:val="20"/>
      </w:rPr>
      <w:t>_DAL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C0E5" w14:textId="77777777" w:rsidR="00996872" w:rsidRDefault="00996872" w:rsidP="00894C55">
      <w:r>
        <w:separator/>
      </w:r>
    </w:p>
    <w:p w14:paraId="5ECCE2F0" w14:textId="77777777" w:rsidR="00996872" w:rsidRDefault="00996872"/>
  </w:footnote>
  <w:footnote w:type="continuationSeparator" w:id="0">
    <w:p w14:paraId="0B8151F8" w14:textId="77777777" w:rsidR="00996872" w:rsidRDefault="00996872" w:rsidP="00894C55">
      <w:r>
        <w:continuationSeparator/>
      </w:r>
    </w:p>
    <w:p w14:paraId="7B323CEE" w14:textId="77777777" w:rsidR="00996872" w:rsidRDefault="00996872"/>
  </w:footnote>
  <w:footnote w:id="1">
    <w:p w14:paraId="4BD41492" w14:textId="3AC3905E" w:rsidR="00D80A1F" w:rsidRPr="007D2804" w:rsidRDefault="00D80A1F" w:rsidP="007D2804">
      <w:pPr>
        <w:pStyle w:val="FootnoteText"/>
        <w:jc w:val="both"/>
        <w:rPr>
          <w:rFonts w:ascii="Times New Roman" w:hAnsi="Times New Roman" w:cs="Times New Roman"/>
        </w:rPr>
      </w:pPr>
      <w:r w:rsidRPr="007D2804">
        <w:rPr>
          <w:rStyle w:val="FootnoteReference"/>
          <w:rFonts w:ascii="Times New Roman" w:hAnsi="Times New Roman" w:cs="Times New Roman"/>
        </w:rPr>
        <w:footnoteRef/>
      </w:r>
      <w:r w:rsidR="00C17DAA" w:rsidRPr="007D2804">
        <w:rPr>
          <w:rFonts w:ascii="Times New Roman" w:hAnsi="Times New Roman" w:cs="Times New Roman"/>
        </w:rPr>
        <w:t> </w:t>
      </w:r>
      <w:r w:rsidR="00E56D40" w:rsidRPr="007D2804">
        <w:rPr>
          <w:rFonts w:ascii="Times New Roman" w:hAnsi="Times New Roman" w:cs="Times New Roman"/>
        </w:rPr>
        <w:t xml:space="preserve">2016. gada 22. decembra likums "Grozījumi Maksātnespējas likumā" (stājās </w:t>
      </w:r>
      <w:r w:rsidR="00B2763E" w:rsidRPr="007D2804">
        <w:rPr>
          <w:rFonts w:ascii="Times New Roman" w:hAnsi="Times New Roman" w:cs="Times New Roman"/>
        </w:rPr>
        <w:t xml:space="preserve">spēkā </w:t>
      </w:r>
      <w:r w:rsidR="00E56D40" w:rsidRPr="007D2804">
        <w:rPr>
          <w:rFonts w:ascii="Times New Roman" w:hAnsi="Times New Roman" w:cs="Times New Roman"/>
        </w:rPr>
        <w:t xml:space="preserve">2017. gada 6. janvārī). Pieejams: </w:t>
      </w:r>
      <w:hyperlink r:id="rId1" w:history="1">
        <w:r w:rsidR="00C17DAA" w:rsidRPr="007D2804">
          <w:rPr>
            <w:rStyle w:val="Hyperlink"/>
            <w:rFonts w:ascii="Times New Roman" w:hAnsi="Times New Roman" w:cs="Times New Roman"/>
          </w:rPr>
          <w:t>https://likumi.lv/ta/id/287876-grozijumi-maksatnespejas-likuma</w:t>
        </w:r>
      </w:hyperlink>
      <w:r w:rsidR="00C50DAB">
        <w:rPr>
          <w:rStyle w:val="Hyperlink"/>
          <w:rFonts w:ascii="Times New Roman" w:hAnsi="Times New Roman" w:cs="Times New Roman"/>
        </w:rPr>
        <w:t>.</w:t>
      </w:r>
    </w:p>
  </w:footnote>
  <w:footnote w:id="2">
    <w:p w14:paraId="5D96B7CB" w14:textId="2D33CF14" w:rsidR="00C17DAA" w:rsidRDefault="00C17DAA" w:rsidP="007D2804">
      <w:pPr>
        <w:pStyle w:val="FootnoteText"/>
        <w:jc w:val="both"/>
      </w:pPr>
      <w:r w:rsidRPr="007D2804">
        <w:rPr>
          <w:rStyle w:val="FootnoteReference"/>
          <w:rFonts w:ascii="Times New Roman" w:hAnsi="Times New Roman" w:cs="Times New Roman"/>
        </w:rPr>
        <w:footnoteRef/>
      </w:r>
      <w:r w:rsidR="007D2804" w:rsidRPr="007D2804">
        <w:rPr>
          <w:rFonts w:ascii="Times New Roman" w:hAnsi="Times New Roman" w:cs="Times New Roman"/>
        </w:rPr>
        <w:t> </w:t>
      </w:r>
      <w:r w:rsidR="00520877" w:rsidRPr="007D2804">
        <w:rPr>
          <w:rFonts w:ascii="Times New Roman" w:hAnsi="Times New Roman" w:cs="Times New Roman"/>
        </w:rPr>
        <w:t xml:space="preserve">2018. gada 31. maija likums "Grozījumi Maksātnespējas likuma" (stājās </w:t>
      </w:r>
      <w:r w:rsidR="00B2763E" w:rsidRPr="007D2804">
        <w:rPr>
          <w:rFonts w:ascii="Times New Roman" w:hAnsi="Times New Roman" w:cs="Times New Roman"/>
        </w:rPr>
        <w:t xml:space="preserve">spēkā </w:t>
      </w:r>
      <w:r w:rsidR="00520877" w:rsidRPr="007D2804">
        <w:rPr>
          <w:rFonts w:ascii="Times New Roman" w:hAnsi="Times New Roman" w:cs="Times New Roman"/>
        </w:rPr>
        <w:t>2018. gada 1. jūlijā). Pieejams:</w:t>
      </w:r>
      <w:r w:rsidR="00B80121">
        <w:rPr>
          <w:rFonts w:ascii="Times New Roman" w:hAnsi="Times New Roman" w:cs="Times New Roman"/>
        </w:rPr>
        <w:t> </w:t>
      </w:r>
      <w:hyperlink r:id="rId2" w:history="1">
        <w:r w:rsidR="00B80121" w:rsidRPr="00B80121">
          <w:rPr>
            <w:rStyle w:val="Hyperlink"/>
            <w:rFonts w:ascii="Times New Roman" w:hAnsi="Times New Roman" w:cs="Times New Roman"/>
          </w:rPr>
          <w:t>https://likumi.lv/ta/id/299699-grozijumi-maksatnespejas-likuma</w:t>
        </w:r>
      </w:hyperlink>
      <w:r w:rsidR="00C50DAB">
        <w:rPr>
          <w:rFonts w:ascii="Times New Roman" w:hAnsi="Times New Roman" w:cs="Times New Roman"/>
        </w:rPr>
        <w:t>.</w:t>
      </w:r>
    </w:p>
  </w:footnote>
  <w:footnote w:id="3">
    <w:p w14:paraId="3438C3DC" w14:textId="77777777" w:rsidR="001640AD" w:rsidRPr="003A0A59" w:rsidRDefault="001640AD" w:rsidP="001640AD">
      <w:pPr>
        <w:pStyle w:val="FootnoteText"/>
        <w:rPr>
          <w:rFonts w:ascii="Times New Roman" w:hAnsi="Times New Roman" w:cs="Times New Roman"/>
        </w:rPr>
      </w:pPr>
      <w:r w:rsidRPr="003A0A59">
        <w:rPr>
          <w:rStyle w:val="FootnoteReference"/>
          <w:rFonts w:ascii="Times New Roman" w:hAnsi="Times New Roman" w:cs="Times New Roman"/>
        </w:rPr>
        <w:footnoteRef/>
      </w:r>
      <w:r w:rsidRPr="003A0A59">
        <w:rPr>
          <w:rFonts w:ascii="Times New Roman" w:hAnsi="Times New Roman" w:cs="Times New Roman"/>
        </w:rPr>
        <w:t> Latvijas</w:t>
      </w:r>
      <w:r>
        <w:rPr>
          <w:rFonts w:ascii="Times New Roman" w:hAnsi="Times New Roman" w:cs="Times New Roman"/>
        </w:rPr>
        <w:t> </w:t>
      </w:r>
      <w:r w:rsidRPr="003A0A59">
        <w:rPr>
          <w:rFonts w:ascii="Times New Roman" w:hAnsi="Times New Roman" w:cs="Times New Roman"/>
        </w:rPr>
        <w:t>Pasta</w:t>
      </w:r>
      <w:r>
        <w:rPr>
          <w:rFonts w:ascii="Times New Roman" w:hAnsi="Times New Roman" w:cs="Times New Roman"/>
        </w:rPr>
        <w:t> </w:t>
      </w:r>
      <w:r w:rsidRPr="003A0A59">
        <w:rPr>
          <w:rFonts w:ascii="Times New Roman" w:hAnsi="Times New Roman" w:cs="Times New Roman"/>
        </w:rPr>
        <w:t>pakalpojumu</w:t>
      </w:r>
      <w:r>
        <w:rPr>
          <w:rFonts w:ascii="Times New Roman" w:hAnsi="Times New Roman" w:cs="Times New Roman"/>
        </w:rPr>
        <w:t> </w:t>
      </w:r>
      <w:r w:rsidRPr="003A0A59">
        <w:rPr>
          <w:rFonts w:ascii="Times New Roman" w:hAnsi="Times New Roman" w:cs="Times New Roman"/>
        </w:rPr>
        <w:t>tarifi.</w:t>
      </w:r>
      <w:r>
        <w:rPr>
          <w:rFonts w:ascii="Times New Roman" w:hAnsi="Times New Roman" w:cs="Times New Roman"/>
        </w:rPr>
        <w:t> </w:t>
      </w:r>
      <w:r w:rsidRPr="003A0A59">
        <w:rPr>
          <w:rFonts w:ascii="Times New Roman" w:hAnsi="Times New Roman" w:cs="Times New Roman"/>
        </w:rPr>
        <w:t>Pieejams:</w:t>
      </w:r>
      <w:r>
        <w:rPr>
          <w:rFonts w:ascii="Times New Roman" w:hAnsi="Times New Roman" w:cs="Times New Roman"/>
        </w:rPr>
        <w:t> </w:t>
      </w:r>
      <w:hyperlink r:id="rId3" w:history="1">
        <w:r w:rsidRPr="003A0A59">
          <w:rPr>
            <w:rStyle w:val="Hyperlink"/>
            <w:rFonts w:ascii="Times New Roman" w:hAnsi="Times New Roman" w:cs="Times New Roman"/>
          </w:rPr>
          <w:t>https://pasts.lv/files/pakalpojumi_jp/Tarifu%20gramata_LV_13.07.pdf</w:t>
        </w:r>
      </w:hyperlink>
      <w:r w:rsidRPr="003A0A5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sz w:val="24"/>
        <w:szCs w:val="20"/>
      </w:rPr>
    </w:sdtEndPr>
    <w:sdtContent>
      <w:p w14:paraId="0C7B2EF4" w14:textId="77777777" w:rsidR="00F61F1C" w:rsidRPr="00C25B49" w:rsidRDefault="00F61F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sz w:val="24"/>
            <w:szCs w:val="20"/>
          </w:rPr>
          <w:t>6</w:t>
        </w:r>
        <w:r w:rsidRPr="00C25B49">
          <w:rPr>
            <w:rFonts w:ascii="Times New Roman" w:hAnsi="Times New Roman" w:cs="Times New Roman"/>
            <w:sz w:val="24"/>
            <w:szCs w:val="20"/>
          </w:rPr>
          <w:fldChar w:fldCharType="end"/>
        </w:r>
      </w:p>
    </w:sdtContent>
  </w:sdt>
  <w:p w14:paraId="6452A5E5" w14:textId="77777777" w:rsidR="00E77A18" w:rsidRDefault="00E77A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634"/>
    <w:multiLevelType w:val="hybridMultilevel"/>
    <w:tmpl w:val="E9F27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9972C7"/>
    <w:multiLevelType w:val="hybridMultilevel"/>
    <w:tmpl w:val="D6C61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493"/>
    <w:rsid w:val="00007FA5"/>
    <w:rsid w:val="00015331"/>
    <w:rsid w:val="000200BF"/>
    <w:rsid w:val="0002118C"/>
    <w:rsid w:val="0002301D"/>
    <w:rsid w:val="000233EC"/>
    <w:rsid w:val="00026E56"/>
    <w:rsid w:val="00026E7C"/>
    <w:rsid w:val="0003095D"/>
    <w:rsid w:val="00031524"/>
    <w:rsid w:val="00034942"/>
    <w:rsid w:val="000379D2"/>
    <w:rsid w:val="00045CBD"/>
    <w:rsid w:val="00050D8D"/>
    <w:rsid w:val="000517CA"/>
    <w:rsid w:val="00052919"/>
    <w:rsid w:val="0005524F"/>
    <w:rsid w:val="000620EB"/>
    <w:rsid w:val="00064CB3"/>
    <w:rsid w:val="00065ADA"/>
    <w:rsid w:val="00067023"/>
    <w:rsid w:val="00070B30"/>
    <w:rsid w:val="000801E8"/>
    <w:rsid w:val="00083BC6"/>
    <w:rsid w:val="00095845"/>
    <w:rsid w:val="000A1D77"/>
    <w:rsid w:val="000A6579"/>
    <w:rsid w:val="000B1DF6"/>
    <w:rsid w:val="000B5652"/>
    <w:rsid w:val="000B655E"/>
    <w:rsid w:val="000D033C"/>
    <w:rsid w:val="000D3F04"/>
    <w:rsid w:val="000E16C3"/>
    <w:rsid w:val="000E25B6"/>
    <w:rsid w:val="00104CD0"/>
    <w:rsid w:val="0012253C"/>
    <w:rsid w:val="00122DD0"/>
    <w:rsid w:val="00124919"/>
    <w:rsid w:val="001249B3"/>
    <w:rsid w:val="00124A8B"/>
    <w:rsid w:val="00124DC2"/>
    <w:rsid w:val="00125393"/>
    <w:rsid w:val="00136FAD"/>
    <w:rsid w:val="00143DD3"/>
    <w:rsid w:val="00146DB8"/>
    <w:rsid w:val="001520AA"/>
    <w:rsid w:val="00157578"/>
    <w:rsid w:val="001640AD"/>
    <w:rsid w:val="001652BF"/>
    <w:rsid w:val="00173DC1"/>
    <w:rsid w:val="00175381"/>
    <w:rsid w:val="00177D70"/>
    <w:rsid w:val="001811F9"/>
    <w:rsid w:val="00183560"/>
    <w:rsid w:val="00183B94"/>
    <w:rsid w:val="001841C3"/>
    <w:rsid w:val="00184A88"/>
    <w:rsid w:val="00190617"/>
    <w:rsid w:val="00193685"/>
    <w:rsid w:val="0019424F"/>
    <w:rsid w:val="00194E56"/>
    <w:rsid w:val="0019540D"/>
    <w:rsid w:val="00195C69"/>
    <w:rsid w:val="00196695"/>
    <w:rsid w:val="001A00AC"/>
    <w:rsid w:val="001A1FE8"/>
    <w:rsid w:val="001A34DD"/>
    <w:rsid w:val="001A4BBA"/>
    <w:rsid w:val="001D0403"/>
    <w:rsid w:val="001D3398"/>
    <w:rsid w:val="001D3B29"/>
    <w:rsid w:val="001E25D1"/>
    <w:rsid w:val="001F07D8"/>
    <w:rsid w:val="001F122D"/>
    <w:rsid w:val="001F7011"/>
    <w:rsid w:val="002068C5"/>
    <w:rsid w:val="00214BC4"/>
    <w:rsid w:val="00216F80"/>
    <w:rsid w:val="002221F0"/>
    <w:rsid w:val="0022325C"/>
    <w:rsid w:val="0022441E"/>
    <w:rsid w:val="00227E09"/>
    <w:rsid w:val="002356FC"/>
    <w:rsid w:val="002377DF"/>
    <w:rsid w:val="00243426"/>
    <w:rsid w:val="00250BAD"/>
    <w:rsid w:val="002519EE"/>
    <w:rsid w:val="002526A4"/>
    <w:rsid w:val="00264D1B"/>
    <w:rsid w:val="00271147"/>
    <w:rsid w:val="00271FDA"/>
    <w:rsid w:val="002726DC"/>
    <w:rsid w:val="002730D4"/>
    <w:rsid w:val="00280212"/>
    <w:rsid w:val="0028180F"/>
    <w:rsid w:val="002857AE"/>
    <w:rsid w:val="002909EC"/>
    <w:rsid w:val="0029306A"/>
    <w:rsid w:val="00297530"/>
    <w:rsid w:val="002A374E"/>
    <w:rsid w:val="002A4183"/>
    <w:rsid w:val="002A48B4"/>
    <w:rsid w:val="002A50DC"/>
    <w:rsid w:val="002B204C"/>
    <w:rsid w:val="002B321D"/>
    <w:rsid w:val="002B5915"/>
    <w:rsid w:val="002B7C61"/>
    <w:rsid w:val="002C58BA"/>
    <w:rsid w:val="002C68BC"/>
    <w:rsid w:val="002D01D8"/>
    <w:rsid w:val="002E1C05"/>
    <w:rsid w:val="002F6A1A"/>
    <w:rsid w:val="00314C33"/>
    <w:rsid w:val="003163B0"/>
    <w:rsid w:val="003300B6"/>
    <w:rsid w:val="0033024E"/>
    <w:rsid w:val="003315FF"/>
    <w:rsid w:val="00333003"/>
    <w:rsid w:val="00334732"/>
    <w:rsid w:val="00337DBD"/>
    <w:rsid w:val="00342806"/>
    <w:rsid w:val="00344D3E"/>
    <w:rsid w:val="0035161D"/>
    <w:rsid w:val="00352868"/>
    <w:rsid w:val="00355EC8"/>
    <w:rsid w:val="00365421"/>
    <w:rsid w:val="0036596B"/>
    <w:rsid w:val="00370FCC"/>
    <w:rsid w:val="00372D61"/>
    <w:rsid w:val="00372D90"/>
    <w:rsid w:val="003864D1"/>
    <w:rsid w:val="00390AE4"/>
    <w:rsid w:val="0039170F"/>
    <w:rsid w:val="00392333"/>
    <w:rsid w:val="00392E3D"/>
    <w:rsid w:val="00393551"/>
    <w:rsid w:val="00394711"/>
    <w:rsid w:val="00395434"/>
    <w:rsid w:val="003968AF"/>
    <w:rsid w:val="003A465D"/>
    <w:rsid w:val="003A5159"/>
    <w:rsid w:val="003A694E"/>
    <w:rsid w:val="003B0BF9"/>
    <w:rsid w:val="003D06AE"/>
    <w:rsid w:val="003D0959"/>
    <w:rsid w:val="003D39C8"/>
    <w:rsid w:val="003D3C9C"/>
    <w:rsid w:val="003E0791"/>
    <w:rsid w:val="003E4831"/>
    <w:rsid w:val="003E4D61"/>
    <w:rsid w:val="003E5800"/>
    <w:rsid w:val="003E6219"/>
    <w:rsid w:val="003F28AC"/>
    <w:rsid w:val="003F3953"/>
    <w:rsid w:val="003F470A"/>
    <w:rsid w:val="00410A0C"/>
    <w:rsid w:val="00411908"/>
    <w:rsid w:val="004138B9"/>
    <w:rsid w:val="00415E50"/>
    <w:rsid w:val="00417629"/>
    <w:rsid w:val="00420B70"/>
    <w:rsid w:val="004214FB"/>
    <w:rsid w:val="0043448C"/>
    <w:rsid w:val="00435DD5"/>
    <w:rsid w:val="00437C8D"/>
    <w:rsid w:val="0044283A"/>
    <w:rsid w:val="004454FE"/>
    <w:rsid w:val="004500B7"/>
    <w:rsid w:val="004508B8"/>
    <w:rsid w:val="00456E40"/>
    <w:rsid w:val="00462B73"/>
    <w:rsid w:val="00463BFE"/>
    <w:rsid w:val="0046564F"/>
    <w:rsid w:val="004675CE"/>
    <w:rsid w:val="00471F27"/>
    <w:rsid w:val="0047641F"/>
    <w:rsid w:val="00480C95"/>
    <w:rsid w:val="00484F07"/>
    <w:rsid w:val="00487568"/>
    <w:rsid w:val="00491C93"/>
    <w:rsid w:val="0049460F"/>
    <w:rsid w:val="00497042"/>
    <w:rsid w:val="00497B6B"/>
    <w:rsid w:val="004A1A04"/>
    <w:rsid w:val="004A4593"/>
    <w:rsid w:val="004B1EF8"/>
    <w:rsid w:val="004B4F8A"/>
    <w:rsid w:val="004C7B77"/>
    <w:rsid w:val="004D084C"/>
    <w:rsid w:val="004D33FE"/>
    <w:rsid w:val="004D61BC"/>
    <w:rsid w:val="004D6CD9"/>
    <w:rsid w:val="004D72BF"/>
    <w:rsid w:val="004E747A"/>
    <w:rsid w:val="004F2844"/>
    <w:rsid w:val="004F305A"/>
    <w:rsid w:val="004F560C"/>
    <w:rsid w:val="0050178F"/>
    <w:rsid w:val="00501DFE"/>
    <w:rsid w:val="00502A8E"/>
    <w:rsid w:val="00511082"/>
    <w:rsid w:val="00513968"/>
    <w:rsid w:val="0051694F"/>
    <w:rsid w:val="00520877"/>
    <w:rsid w:val="00532583"/>
    <w:rsid w:val="00536584"/>
    <w:rsid w:val="00555C39"/>
    <w:rsid w:val="0056100B"/>
    <w:rsid w:val="00566A3C"/>
    <w:rsid w:val="0056749A"/>
    <w:rsid w:val="00574193"/>
    <w:rsid w:val="00582E1C"/>
    <w:rsid w:val="00586F28"/>
    <w:rsid w:val="00587F73"/>
    <w:rsid w:val="0059123E"/>
    <w:rsid w:val="00593797"/>
    <w:rsid w:val="00597DC9"/>
    <w:rsid w:val="005A6A98"/>
    <w:rsid w:val="005A7450"/>
    <w:rsid w:val="005B021A"/>
    <w:rsid w:val="005B07B6"/>
    <w:rsid w:val="005B243A"/>
    <w:rsid w:val="005B3265"/>
    <w:rsid w:val="005B3D5F"/>
    <w:rsid w:val="005B6C82"/>
    <w:rsid w:val="005B7797"/>
    <w:rsid w:val="005C6502"/>
    <w:rsid w:val="005D189D"/>
    <w:rsid w:val="005D451C"/>
    <w:rsid w:val="005D5B23"/>
    <w:rsid w:val="005D5E65"/>
    <w:rsid w:val="005E1A76"/>
    <w:rsid w:val="005E29E8"/>
    <w:rsid w:val="005E2E6C"/>
    <w:rsid w:val="005E467E"/>
    <w:rsid w:val="005F09E0"/>
    <w:rsid w:val="005F3561"/>
    <w:rsid w:val="006009C7"/>
    <w:rsid w:val="00604AEE"/>
    <w:rsid w:val="00604DDE"/>
    <w:rsid w:val="00606638"/>
    <w:rsid w:val="00607664"/>
    <w:rsid w:val="00613D7B"/>
    <w:rsid w:val="00615413"/>
    <w:rsid w:val="00620067"/>
    <w:rsid w:val="006230AB"/>
    <w:rsid w:val="00630ADF"/>
    <w:rsid w:val="0063277F"/>
    <w:rsid w:val="00633460"/>
    <w:rsid w:val="00633754"/>
    <w:rsid w:val="006376E8"/>
    <w:rsid w:val="00637774"/>
    <w:rsid w:val="00640002"/>
    <w:rsid w:val="00644CD3"/>
    <w:rsid w:val="00652023"/>
    <w:rsid w:val="006549D8"/>
    <w:rsid w:val="006558F7"/>
    <w:rsid w:val="00655F2C"/>
    <w:rsid w:val="0065767E"/>
    <w:rsid w:val="00667490"/>
    <w:rsid w:val="006743D6"/>
    <w:rsid w:val="00680002"/>
    <w:rsid w:val="00680BD3"/>
    <w:rsid w:val="00683EE8"/>
    <w:rsid w:val="00687FFC"/>
    <w:rsid w:val="0069174C"/>
    <w:rsid w:val="00691859"/>
    <w:rsid w:val="00692410"/>
    <w:rsid w:val="006A1D5A"/>
    <w:rsid w:val="006A4CD8"/>
    <w:rsid w:val="006A50C9"/>
    <w:rsid w:val="006A6A52"/>
    <w:rsid w:val="006B4892"/>
    <w:rsid w:val="006D7DB2"/>
    <w:rsid w:val="006E1081"/>
    <w:rsid w:val="006E7AE0"/>
    <w:rsid w:val="006F20A2"/>
    <w:rsid w:val="006F648A"/>
    <w:rsid w:val="006F7064"/>
    <w:rsid w:val="007009E0"/>
    <w:rsid w:val="00700D45"/>
    <w:rsid w:val="00701C19"/>
    <w:rsid w:val="00705EA4"/>
    <w:rsid w:val="00710AF1"/>
    <w:rsid w:val="00715502"/>
    <w:rsid w:val="00720585"/>
    <w:rsid w:val="00720A9F"/>
    <w:rsid w:val="00720AEE"/>
    <w:rsid w:val="007216D8"/>
    <w:rsid w:val="0072520A"/>
    <w:rsid w:val="00732778"/>
    <w:rsid w:val="00734D94"/>
    <w:rsid w:val="007351E6"/>
    <w:rsid w:val="007358E6"/>
    <w:rsid w:val="00735DB9"/>
    <w:rsid w:val="00736987"/>
    <w:rsid w:val="00740A7E"/>
    <w:rsid w:val="007436F0"/>
    <w:rsid w:val="007507E6"/>
    <w:rsid w:val="00752823"/>
    <w:rsid w:val="007532E6"/>
    <w:rsid w:val="00754FF0"/>
    <w:rsid w:val="00755497"/>
    <w:rsid w:val="00756465"/>
    <w:rsid w:val="00756A9E"/>
    <w:rsid w:val="00760FB1"/>
    <w:rsid w:val="00762602"/>
    <w:rsid w:val="00764EF9"/>
    <w:rsid w:val="007670FF"/>
    <w:rsid w:val="00767F1E"/>
    <w:rsid w:val="00772C08"/>
    <w:rsid w:val="00773AF6"/>
    <w:rsid w:val="00775849"/>
    <w:rsid w:val="00777755"/>
    <w:rsid w:val="00782AC5"/>
    <w:rsid w:val="007942BD"/>
    <w:rsid w:val="00795F71"/>
    <w:rsid w:val="00796718"/>
    <w:rsid w:val="007A4691"/>
    <w:rsid w:val="007B0F32"/>
    <w:rsid w:val="007B313B"/>
    <w:rsid w:val="007B355C"/>
    <w:rsid w:val="007B569D"/>
    <w:rsid w:val="007B7CBE"/>
    <w:rsid w:val="007B7FA2"/>
    <w:rsid w:val="007C65F5"/>
    <w:rsid w:val="007D2804"/>
    <w:rsid w:val="007D3C6A"/>
    <w:rsid w:val="007D7E64"/>
    <w:rsid w:val="007E055B"/>
    <w:rsid w:val="007E1535"/>
    <w:rsid w:val="007E2A38"/>
    <w:rsid w:val="007E4DB9"/>
    <w:rsid w:val="007E5F7A"/>
    <w:rsid w:val="007E73AB"/>
    <w:rsid w:val="007E7DA0"/>
    <w:rsid w:val="007F206D"/>
    <w:rsid w:val="00815FB8"/>
    <w:rsid w:val="00816813"/>
    <w:rsid w:val="00816C11"/>
    <w:rsid w:val="00833503"/>
    <w:rsid w:val="008406B2"/>
    <w:rsid w:val="00844BDA"/>
    <w:rsid w:val="00852460"/>
    <w:rsid w:val="00855670"/>
    <w:rsid w:val="0086093E"/>
    <w:rsid w:val="00861D71"/>
    <w:rsid w:val="00870FA7"/>
    <w:rsid w:val="00874717"/>
    <w:rsid w:val="00881FA4"/>
    <w:rsid w:val="00883C12"/>
    <w:rsid w:val="00884486"/>
    <w:rsid w:val="00891D29"/>
    <w:rsid w:val="00894C55"/>
    <w:rsid w:val="0089595E"/>
    <w:rsid w:val="008A1F02"/>
    <w:rsid w:val="008A72E6"/>
    <w:rsid w:val="008A770D"/>
    <w:rsid w:val="008B0917"/>
    <w:rsid w:val="008C59D6"/>
    <w:rsid w:val="008C7957"/>
    <w:rsid w:val="008D0108"/>
    <w:rsid w:val="008D475E"/>
    <w:rsid w:val="008E1DCC"/>
    <w:rsid w:val="008F2056"/>
    <w:rsid w:val="008F20C4"/>
    <w:rsid w:val="008F6F44"/>
    <w:rsid w:val="009013BA"/>
    <w:rsid w:val="00911855"/>
    <w:rsid w:val="00920CC4"/>
    <w:rsid w:val="00924060"/>
    <w:rsid w:val="00925B1E"/>
    <w:rsid w:val="00927D0F"/>
    <w:rsid w:val="00934347"/>
    <w:rsid w:val="00934A5D"/>
    <w:rsid w:val="009354E2"/>
    <w:rsid w:val="009416A6"/>
    <w:rsid w:val="009426DC"/>
    <w:rsid w:val="00950054"/>
    <w:rsid w:val="00954B3F"/>
    <w:rsid w:val="00955343"/>
    <w:rsid w:val="00956615"/>
    <w:rsid w:val="00963754"/>
    <w:rsid w:val="00964E78"/>
    <w:rsid w:val="00967B02"/>
    <w:rsid w:val="009706FC"/>
    <w:rsid w:val="00971EB6"/>
    <w:rsid w:val="00972526"/>
    <w:rsid w:val="00975FF2"/>
    <w:rsid w:val="00980562"/>
    <w:rsid w:val="00981E84"/>
    <w:rsid w:val="00984A70"/>
    <w:rsid w:val="0099207D"/>
    <w:rsid w:val="009957DD"/>
    <w:rsid w:val="00996872"/>
    <w:rsid w:val="00996CE5"/>
    <w:rsid w:val="009A14C8"/>
    <w:rsid w:val="009A2654"/>
    <w:rsid w:val="009A30F0"/>
    <w:rsid w:val="009A558F"/>
    <w:rsid w:val="009B2F24"/>
    <w:rsid w:val="009B5A1F"/>
    <w:rsid w:val="009C24A9"/>
    <w:rsid w:val="009C727A"/>
    <w:rsid w:val="009C7F27"/>
    <w:rsid w:val="009D03C1"/>
    <w:rsid w:val="009D5D5A"/>
    <w:rsid w:val="009E2473"/>
    <w:rsid w:val="009F1299"/>
    <w:rsid w:val="009F7474"/>
    <w:rsid w:val="009F7C0D"/>
    <w:rsid w:val="00A044E3"/>
    <w:rsid w:val="00A10FC3"/>
    <w:rsid w:val="00A170AD"/>
    <w:rsid w:val="00A242AE"/>
    <w:rsid w:val="00A37FB5"/>
    <w:rsid w:val="00A47406"/>
    <w:rsid w:val="00A53F87"/>
    <w:rsid w:val="00A554B2"/>
    <w:rsid w:val="00A6073E"/>
    <w:rsid w:val="00A6768C"/>
    <w:rsid w:val="00A700EB"/>
    <w:rsid w:val="00A70C6A"/>
    <w:rsid w:val="00A7149B"/>
    <w:rsid w:val="00A746BF"/>
    <w:rsid w:val="00A77572"/>
    <w:rsid w:val="00A95ADB"/>
    <w:rsid w:val="00AA5EFE"/>
    <w:rsid w:val="00AA77FD"/>
    <w:rsid w:val="00AB471F"/>
    <w:rsid w:val="00AB6E1E"/>
    <w:rsid w:val="00AC6061"/>
    <w:rsid w:val="00AD2B79"/>
    <w:rsid w:val="00AD3C9F"/>
    <w:rsid w:val="00AD4884"/>
    <w:rsid w:val="00AD683D"/>
    <w:rsid w:val="00AE2292"/>
    <w:rsid w:val="00AE388A"/>
    <w:rsid w:val="00AE42F1"/>
    <w:rsid w:val="00AE5567"/>
    <w:rsid w:val="00AF1239"/>
    <w:rsid w:val="00AF5E6B"/>
    <w:rsid w:val="00AF62A7"/>
    <w:rsid w:val="00AF70BE"/>
    <w:rsid w:val="00B010E1"/>
    <w:rsid w:val="00B1189B"/>
    <w:rsid w:val="00B1509F"/>
    <w:rsid w:val="00B16480"/>
    <w:rsid w:val="00B16F2F"/>
    <w:rsid w:val="00B17580"/>
    <w:rsid w:val="00B17994"/>
    <w:rsid w:val="00B20C33"/>
    <w:rsid w:val="00B2165C"/>
    <w:rsid w:val="00B21E30"/>
    <w:rsid w:val="00B22989"/>
    <w:rsid w:val="00B2763E"/>
    <w:rsid w:val="00B307C3"/>
    <w:rsid w:val="00B32761"/>
    <w:rsid w:val="00B35547"/>
    <w:rsid w:val="00B37326"/>
    <w:rsid w:val="00B47D89"/>
    <w:rsid w:val="00B5006B"/>
    <w:rsid w:val="00B56FD2"/>
    <w:rsid w:val="00B60FAD"/>
    <w:rsid w:val="00B61899"/>
    <w:rsid w:val="00B62303"/>
    <w:rsid w:val="00B629BC"/>
    <w:rsid w:val="00B65409"/>
    <w:rsid w:val="00B728A9"/>
    <w:rsid w:val="00B75BE6"/>
    <w:rsid w:val="00B80121"/>
    <w:rsid w:val="00B8135F"/>
    <w:rsid w:val="00B81F48"/>
    <w:rsid w:val="00B83FD2"/>
    <w:rsid w:val="00B8411F"/>
    <w:rsid w:val="00B94576"/>
    <w:rsid w:val="00B951CB"/>
    <w:rsid w:val="00BA1A30"/>
    <w:rsid w:val="00BA20AA"/>
    <w:rsid w:val="00BB1EE5"/>
    <w:rsid w:val="00BB1FCC"/>
    <w:rsid w:val="00BB3D27"/>
    <w:rsid w:val="00BC0608"/>
    <w:rsid w:val="00BD4425"/>
    <w:rsid w:val="00BD4574"/>
    <w:rsid w:val="00BE0202"/>
    <w:rsid w:val="00BE3B0C"/>
    <w:rsid w:val="00BF0CA0"/>
    <w:rsid w:val="00C11C8D"/>
    <w:rsid w:val="00C144B7"/>
    <w:rsid w:val="00C15082"/>
    <w:rsid w:val="00C17DAA"/>
    <w:rsid w:val="00C22939"/>
    <w:rsid w:val="00C24327"/>
    <w:rsid w:val="00C25B49"/>
    <w:rsid w:val="00C26430"/>
    <w:rsid w:val="00C32B89"/>
    <w:rsid w:val="00C40C7C"/>
    <w:rsid w:val="00C4475E"/>
    <w:rsid w:val="00C46E5C"/>
    <w:rsid w:val="00C50DAB"/>
    <w:rsid w:val="00C5477D"/>
    <w:rsid w:val="00C563BC"/>
    <w:rsid w:val="00C65379"/>
    <w:rsid w:val="00C67C4A"/>
    <w:rsid w:val="00C81C27"/>
    <w:rsid w:val="00C81D37"/>
    <w:rsid w:val="00C8385A"/>
    <w:rsid w:val="00C87594"/>
    <w:rsid w:val="00C954B3"/>
    <w:rsid w:val="00C95FBF"/>
    <w:rsid w:val="00C96D23"/>
    <w:rsid w:val="00C97651"/>
    <w:rsid w:val="00CB38CB"/>
    <w:rsid w:val="00CB4731"/>
    <w:rsid w:val="00CC0D2D"/>
    <w:rsid w:val="00CC2A9B"/>
    <w:rsid w:val="00CC4A87"/>
    <w:rsid w:val="00CC6920"/>
    <w:rsid w:val="00CD053E"/>
    <w:rsid w:val="00CD572B"/>
    <w:rsid w:val="00CD6BB1"/>
    <w:rsid w:val="00CD77AD"/>
    <w:rsid w:val="00CE03A7"/>
    <w:rsid w:val="00CE4D73"/>
    <w:rsid w:val="00CE5657"/>
    <w:rsid w:val="00CE5E5D"/>
    <w:rsid w:val="00CF13D7"/>
    <w:rsid w:val="00CF2B6E"/>
    <w:rsid w:val="00D013DF"/>
    <w:rsid w:val="00D04BBB"/>
    <w:rsid w:val="00D051C4"/>
    <w:rsid w:val="00D133F8"/>
    <w:rsid w:val="00D14A3E"/>
    <w:rsid w:val="00D1560B"/>
    <w:rsid w:val="00D15FBB"/>
    <w:rsid w:val="00D161CA"/>
    <w:rsid w:val="00D21CB9"/>
    <w:rsid w:val="00D23209"/>
    <w:rsid w:val="00D2374A"/>
    <w:rsid w:val="00D24B58"/>
    <w:rsid w:val="00D267C8"/>
    <w:rsid w:val="00D305F0"/>
    <w:rsid w:val="00D34125"/>
    <w:rsid w:val="00D3466E"/>
    <w:rsid w:val="00D46038"/>
    <w:rsid w:val="00D4615F"/>
    <w:rsid w:val="00D472AB"/>
    <w:rsid w:val="00D52A68"/>
    <w:rsid w:val="00D6468E"/>
    <w:rsid w:val="00D6583A"/>
    <w:rsid w:val="00D76B3E"/>
    <w:rsid w:val="00D804C9"/>
    <w:rsid w:val="00D80A1F"/>
    <w:rsid w:val="00D83C8D"/>
    <w:rsid w:val="00D8468A"/>
    <w:rsid w:val="00D87C0A"/>
    <w:rsid w:val="00D96254"/>
    <w:rsid w:val="00DA152E"/>
    <w:rsid w:val="00DA530B"/>
    <w:rsid w:val="00DB053D"/>
    <w:rsid w:val="00DC28BE"/>
    <w:rsid w:val="00DC7A51"/>
    <w:rsid w:val="00DE0F76"/>
    <w:rsid w:val="00DE1E37"/>
    <w:rsid w:val="00DE302D"/>
    <w:rsid w:val="00DF0005"/>
    <w:rsid w:val="00E115EB"/>
    <w:rsid w:val="00E12628"/>
    <w:rsid w:val="00E15198"/>
    <w:rsid w:val="00E20776"/>
    <w:rsid w:val="00E209E1"/>
    <w:rsid w:val="00E2475B"/>
    <w:rsid w:val="00E26339"/>
    <w:rsid w:val="00E30B6B"/>
    <w:rsid w:val="00E357D2"/>
    <w:rsid w:val="00E35FB9"/>
    <w:rsid w:val="00E361F8"/>
    <w:rsid w:val="00E366A4"/>
    <w:rsid w:val="00E3716B"/>
    <w:rsid w:val="00E401FD"/>
    <w:rsid w:val="00E4143C"/>
    <w:rsid w:val="00E50A8A"/>
    <w:rsid w:val="00E51BC0"/>
    <w:rsid w:val="00E5323B"/>
    <w:rsid w:val="00E55D46"/>
    <w:rsid w:val="00E56D40"/>
    <w:rsid w:val="00E6120B"/>
    <w:rsid w:val="00E63808"/>
    <w:rsid w:val="00E66818"/>
    <w:rsid w:val="00E7376E"/>
    <w:rsid w:val="00E7382E"/>
    <w:rsid w:val="00E77A18"/>
    <w:rsid w:val="00E80621"/>
    <w:rsid w:val="00E8749E"/>
    <w:rsid w:val="00E90C01"/>
    <w:rsid w:val="00E946E2"/>
    <w:rsid w:val="00E9684E"/>
    <w:rsid w:val="00EA269C"/>
    <w:rsid w:val="00EA486E"/>
    <w:rsid w:val="00EC0601"/>
    <w:rsid w:val="00EC1A85"/>
    <w:rsid w:val="00EC2D7A"/>
    <w:rsid w:val="00EC5386"/>
    <w:rsid w:val="00EE2F27"/>
    <w:rsid w:val="00EE696C"/>
    <w:rsid w:val="00EF1CFA"/>
    <w:rsid w:val="00F02723"/>
    <w:rsid w:val="00F03D3B"/>
    <w:rsid w:val="00F15BC3"/>
    <w:rsid w:val="00F16189"/>
    <w:rsid w:val="00F20050"/>
    <w:rsid w:val="00F226CE"/>
    <w:rsid w:val="00F30C2F"/>
    <w:rsid w:val="00F311E0"/>
    <w:rsid w:val="00F31EA0"/>
    <w:rsid w:val="00F3375C"/>
    <w:rsid w:val="00F350A0"/>
    <w:rsid w:val="00F40FF7"/>
    <w:rsid w:val="00F42389"/>
    <w:rsid w:val="00F44EBF"/>
    <w:rsid w:val="00F4520F"/>
    <w:rsid w:val="00F5156F"/>
    <w:rsid w:val="00F541A9"/>
    <w:rsid w:val="00F56500"/>
    <w:rsid w:val="00F56D34"/>
    <w:rsid w:val="00F57B0C"/>
    <w:rsid w:val="00F602EB"/>
    <w:rsid w:val="00F61AC4"/>
    <w:rsid w:val="00F61F1C"/>
    <w:rsid w:val="00F622B4"/>
    <w:rsid w:val="00F65B99"/>
    <w:rsid w:val="00F67393"/>
    <w:rsid w:val="00F67F24"/>
    <w:rsid w:val="00F74F7A"/>
    <w:rsid w:val="00F77268"/>
    <w:rsid w:val="00F83574"/>
    <w:rsid w:val="00F84D56"/>
    <w:rsid w:val="00F92236"/>
    <w:rsid w:val="00F95F34"/>
    <w:rsid w:val="00F97DC5"/>
    <w:rsid w:val="00FB0869"/>
    <w:rsid w:val="00FC21F5"/>
    <w:rsid w:val="00FC2B78"/>
    <w:rsid w:val="00FC46AA"/>
    <w:rsid w:val="00FC4D1B"/>
    <w:rsid w:val="00FC5A19"/>
    <w:rsid w:val="00FD071D"/>
    <w:rsid w:val="00FD3A28"/>
    <w:rsid w:val="00FE2E89"/>
    <w:rsid w:val="00FF4578"/>
    <w:rsid w:val="00FF4604"/>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54C2"/>
  <w15:docId w15:val="{796FA773-CD0B-4CC2-BF93-4EFE8E3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314C33"/>
    <w:rPr>
      <w:color w:val="605E5C"/>
      <w:shd w:val="clear" w:color="auto" w:fill="E1DFDD"/>
    </w:rPr>
  </w:style>
  <w:style w:type="character" w:styleId="CommentReference">
    <w:name w:val="annotation reference"/>
    <w:basedOn w:val="DefaultParagraphFont"/>
    <w:uiPriority w:val="99"/>
    <w:semiHidden/>
    <w:unhideWhenUsed/>
    <w:rsid w:val="00C81D37"/>
    <w:rPr>
      <w:sz w:val="16"/>
      <w:szCs w:val="16"/>
    </w:rPr>
  </w:style>
  <w:style w:type="paragraph" w:styleId="CommentText">
    <w:name w:val="annotation text"/>
    <w:basedOn w:val="Normal"/>
    <w:link w:val="CommentTextChar"/>
    <w:uiPriority w:val="99"/>
    <w:unhideWhenUsed/>
    <w:rsid w:val="00C81D3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1D37"/>
    <w:rPr>
      <w:sz w:val="20"/>
      <w:szCs w:val="20"/>
    </w:rPr>
  </w:style>
  <w:style w:type="paragraph" w:styleId="CommentSubject">
    <w:name w:val="annotation subject"/>
    <w:basedOn w:val="CommentText"/>
    <w:next w:val="CommentText"/>
    <w:link w:val="CommentSubjectChar"/>
    <w:uiPriority w:val="99"/>
    <w:semiHidden/>
    <w:unhideWhenUsed/>
    <w:rsid w:val="00C81D37"/>
    <w:rPr>
      <w:b/>
      <w:bCs/>
    </w:rPr>
  </w:style>
  <w:style w:type="character" w:customStyle="1" w:styleId="CommentSubjectChar">
    <w:name w:val="Comment Subject Char"/>
    <w:basedOn w:val="CommentTextChar"/>
    <w:link w:val="CommentSubject"/>
    <w:uiPriority w:val="99"/>
    <w:semiHidden/>
    <w:rsid w:val="00C81D37"/>
    <w:rPr>
      <w:b/>
      <w:bCs/>
      <w:sz w:val="20"/>
      <w:szCs w:val="20"/>
    </w:rPr>
  </w:style>
  <w:style w:type="paragraph" w:styleId="FootnoteText">
    <w:name w:val="footnote text"/>
    <w:basedOn w:val="Normal"/>
    <w:link w:val="FootnoteTextChar"/>
    <w:uiPriority w:val="99"/>
    <w:semiHidden/>
    <w:unhideWhenUsed/>
    <w:rsid w:val="00D80A1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0A1F"/>
    <w:rPr>
      <w:sz w:val="20"/>
      <w:szCs w:val="20"/>
    </w:rPr>
  </w:style>
  <w:style w:type="character" w:styleId="FootnoteReference">
    <w:name w:val="footnote reference"/>
    <w:basedOn w:val="DefaultParagraphFont"/>
    <w:uiPriority w:val="99"/>
    <w:semiHidden/>
    <w:unhideWhenUsed/>
    <w:rsid w:val="00D80A1F"/>
    <w:rPr>
      <w:vertAlign w:val="superscript"/>
    </w:rPr>
  </w:style>
  <w:style w:type="paragraph" w:styleId="Revision">
    <w:name w:val="Revision"/>
    <w:hidden/>
    <w:uiPriority w:val="99"/>
    <w:semiHidden/>
    <w:rsid w:val="00B80121"/>
    <w:pPr>
      <w:spacing w:after="0" w:line="240" w:lineRule="auto"/>
    </w:pPr>
  </w:style>
  <w:style w:type="paragraph" w:styleId="NormalWeb">
    <w:name w:val="Normal (Web)"/>
    <w:basedOn w:val="Normal"/>
    <w:uiPriority w:val="99"/>
    <w:unhideWhenUsed/>
    <w:rsid w:val="00A70C6A"/>
    <w:pPr>
      <w:spacing w:before="100" w:beforeAutospacing="1" w:after="100" w:afterAutospacing="1"/>
    </w:pPr>
  </w:style>
  <w:style w:type="paragraph" w:styleId="ListParagraph">
    <w:name w:val="List Paragraph"/>
    <w:basedOn w:val="Normal"/>
    <w:uiPriority w:val="34"/>
    <w:qFormat/>
    <w:rsid w:val="004138B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4253">
      <w:bodyDiv w:val="1"/>
      <w:marLeft w:val="0"/>
      <w:marRight w:val="0"/>
      <w:marTop w:val="0"/>
      <w:marBottom w:val="0"/>
      <w:divBdr>
        <w:top w:val="none" w:sz="0" w:space="0" w:color="auto"/>
        <w:left w:val="none" w:sz="0" w:space="0" w:color="auto"/>
        <w:bottom w:val="none" w:sz="0" w:space="0" w:color="auto"/>
        <w:right w:val="none" w:sz="0" w:space="0" w:color="auto"/>
      </w:divBdr>
    </w:div>
    <w:div w:id="137848149">
      <w:bodyDiv w:val="1"/>
      <w:marLeft w:val="0"/>
      <w:marRight w:val="0"/>
      <w:marTop w:val="0"/>
      <w:marBottom w:val="0"/>
      <w:divBdr>
        <w:top w:val="none" w:sz="0" w:space="0" w:color="auto"/>
        <w:left w:val="none" w:sz="0" w:space="0" w:color="auto"/>
        <w:bottom w:val="none" w:sz="0" w:space="0" w:color="auto"/>
        <w:right w:val="none" w:sz="0" w:space="0" w:color="auto"/>
      </w:divBdr>
      <w:divsChild>
        <w:div w:id="1674533088">
          <w:marLeft w:val="0"/>
          <w:marRight w:val="0"/>
          <w:marTop w:val="0"/>
          <w:marBottom w:val="0"/>
          <w:divBdr>
            <w:top w:val="none" w:sz="0" w:space="0" w:color="auto"/>
            <w:left w:val="none" w:sz="0" w:space="0" w:color="auto"/>
            <w:bottom w:val="none" w:sz="0" w:space="0" w:color="auto"/>
            <w:right w:val="none" w:sz="0" w:space="0" w:color="auto"/>
          </w:divBdr>
        </w:div>
        <w:div w:id="984622474">
          <w:marLeft w:val="0"/>
          <w:marRight w:val="0"/>
          <w:marTop w:val="0"/>
          <w:marBottom w:val="0"/>
          <w:divBdr>
            <w:top w:val="none" w:sz="0" w:space="0" w:color="auto"/>
            <w:left w:val="none" w:sz="0" w:space="0" w:color="auto"/>
            <w:bottom w:val="none" w:sz="0" w:space="0" w:color="auto"/>
            <w:right w:val="none" w:sz="0" w:space="0" w:color="auto"/>
          </w:divBdr>
        </w:div>
        <w:div w:id="613177385">
          <w:marLeft w:val="0"/>
          <w:marRight w:val="0"/>
          <w:marTop w:val="0"/>
          <w:marBottom w:val="0"/>
          <w:divBdr>
            <w:top w:val="none" w:sz="0" w:space="0" w:color="auto"/>
            <w:left w:val="none" w:sz="0" w:space="0" w:color="auto"/>
            <w:bottom w:val="none" w:sz="0" w:space="0" w:color="auto"/>
            <w:right w:val="none" w:sz="0" w:space="0" w:color="auto"/>
          </w:divBdr>
        </w:div>
        <w:div w:id="903224012">
          <w:marLeft w:val="0"/>
          <w:marRight w:val="0"/>
          <w:marTop w:val="0"/>
          <w:marBottom w:val="0"/>
          <w:divBdr>
            <w:top w:val="none" w:sz="0" w:space="0" w:color="auto"/>
            <w:left w:val="none" w:sz="0" w:space="0" w:color="auto"/>
            <w:bottom w:val="none" w:sz="0" w:space="0" w:color="auto"/>
            <w:right w:val="none" w:sz="0" w:space="0" w:color="auto"/>
          </w:divBdr>
        </w:div>
        <w:div w:id="20140243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143547">
      <w:bodyDiv w:val="1"/>
      <w:marLeft w:val="0"/>
      <w:marRight w:val="0"/>
      <w:marTop w:val="0"/>
      <w:marBottom w:val="0"/>
      <w:divBdr>
        <w:top w:val="none" w:sz="0" w:space="0" w:color="auto"/>
        <w:left w:val="none" w:sz="0" w:space="0" w:color="auto"/>
        <w:bottom w:val="none" w:sz="0" w:space="0" w:color="auto"/>
        <w:right w:val="none" w:sz="0" w:space="0" w:color="auto"/>
      </w:divBdr>
      <w:divsChild>
        <w:div w:id="1944066287">
          <w:marLeft w:val="0"/>
          <w:marRight w:val="0"/>
          <w:marTop w:val="0"/>
          <w:marBottom w:val="0"/>
          <w:divBdr>
            <w:top w:val="none" w:sz="0" w:space="0" w:color="auto"/>
            <w:left w:val="none" w:sz="0" w:space="0" w:color="auto"/>
            <w:bottom w:val="none" w:sz="0" w:space="0" w:color="auto"/>
            <w:right w:val="none" w:sz="0" w:space="0" w:color="auto"/>
          </w:divBdr>
          <w:divsChild>
            <w:div w:id="1411386959">
              <w:marLeft w:val="0"/>
              <w:marRight w:val="0"/>
              <w:marTop w:val="0"/>
              <w:marBottom w:val="0"/>
              <w:divBdr>
                <w:top w:val="none" w:sz="0" w:space="0" w:color="auto"/>
                <w:left w:val="none" w:sz="0" w:space="0" w:color="auto"/>
                <w:bottom w:val="none" w:sz="0" w:space="0" w:color="auto"/>
                <w:right w:val="none" w:sz="0" w:space="0" w:color="auto"/>
              </w:divBdr>
              <w:divsChild>
                <w:div w:id="1897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4492">
      <w:bodyDiv w:val="1"/>
      <w:marLeft w:val="0"/>
      <w:marRight w:val="0"/>
      <w:marTop w:val="0"/>
      <w:marBottom w:val="0"/>
      <w:divBdr>
        <w:top w:val="none" w:sz="0" w:space="0" w:color="auto"/>
        <w:left w:val="none" w:sz="0" w:space="0" w:color="auto"/>
        <w:bottom w:val="none" w:sz="0" w:space="0" w:color="auto"/>
        <w:right w:val="none" w:sz="0" w:space="0" w:color="auto"/>
      </w:divBdr>
    </w:div>
    <w:div w:id="300308814">
      <w:bodyDiv w:val="1"/>
      <w:marLeft w:val="0"/>
      <w:marRight w:val="0"/>
      <w:marTop w:val="0"/>
      <w:marBottom w:val="0"/>
      <w:divBdr>
        <w:top w:val="none" w:sz="0" w:space="0" w:color="auto"/>
        <w:left w:val="none" w:sz="0" w:space="0" w:color="auto"/>
        <w:bottom w:val="none" w:sz="0" w:space="0" w:color="auto"/>
        <w:right w:val="none" w:sz="0" w:space="0" w:color="auto"/>
      </w:divBdr>
    </w:div>
    <w:div w:id="550002978">
      <w:bodyDiv w:val="1"/>
      <w:marLeft w:val="0"/>
      <w:marRight w:val="0"/>
      <w:marTop w:val="0"/>
      <w:marBottom w:val="0"/>
      <w:divBdr>
        <w:top w:val="none" w:sz="0" w:space="0" w:color="auto"/>
        <w:left w:val="none" w:sz="0" w:space="0" w:color="auto"/>
        <w:bottom w:val="none" w:sz="0" w:space="0" w:color="auto"/>
        <w:right w:val="none" w:sz="0" w:space="0" w:color="auto"/>
      </w:divBdr>
    </w:div>
    <w:div w:id="639261230">
      <w:bodyDiv w:val="1"/>
      <w:marLeft w:val="0"/>
      <w:marRight w:val="0"/>
      <w:marTop w:val="0"/>
      <w:marBottom w:val="0"/>
      <w:divBdr>
        <w:top w:val="none" w:sz="0" w:space="0" w:color="auto"/>
        <w:left w:val="none" w:sz="0" w:space="0" w:color="auto"/>
        <w:bottom w:val="none" w:sz="0" w:space="0" w:color="auto"/>
        <w:right w:val="none" w:sz="0" w:space="0" w:color="auto"/>
      </w:divBdr>
      <w:divsChild>
        <w:div w:id="158428479">
          <w:marLeft w:val="0"/>
          <w:marRight w:val="0"/>
          <w:marTop w:val="0"/>
          <w:marBottom w:val="0"/>
          <w:divBdr>
            <w:top w:val="none" w:sz="0" w:space="0" w:color="auto"/>
            <w:left w:val="none" w:sz="0" w:space="0" w:color="auto"/>
            <w:bottom w:val="none" w:sz="0" w:space="0" w:color="auto"/>
            <w:right w:val="none" w:sz="0" w:space="0" w:color="auto"/>
          </w:divBdr>
          <w:divsChild>
            <w:div w:id="546642426">
              <w:marLeft w:val="0"/>
              <w:marRight w:val="0"/>
              <w:marTop w:val="0"/>
              <w:marBottom w:val="0"/>
              <w:divBdr>
                <w:top w:val="none" w:sz="0" w:space="0" w:color="auto"/>
                <w:left w:val="none" w:sz="0" w:space="0" w:color="auto"/>
                <w:bottom w:val="none" w:sz="0" w:space="0" w:color="auto"/>
                <w:right w:val="none" w:sz="0" w:space="0" w:color="auto"/>
              </w:divBdr>
              <w:divsChild>
                <w:div w:id="5996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5668">
      <w:bodyDiv w:val="1"/>
      <w:marLeft w:val="0"/>
      <w:marRight w:val="0"/>
      <w:marTop w:val="0"/>
      <w:marBottom w:val="0"/>
      <w:divBdr>
        <w:top w:val="none" w:sz="0" w:space="0" w:color="auto"/>
        <w:left w:val="none" w:sz="0" w:space="0" w:color="auto"/>
        <w:bottom w:val="none" w:sz="0" w:space="0" w:color="auto"/>
        <w:right w:val="none" w:sz="0" w:space="0" w:color="auto"/>
      </w:divBdr>
    </w:div>
    <w:div w:id="718672038">
      <w:bodyDiv w:val="1"/>
      <w:marLeft w:val="0"/>
      <w:marRight w:val="0"/>
      <w:marTop w:val="0"/>
      <w:marBottom w:val="0"/>
      <w:divBdr>
        <w:top w:val="none" w:sz="0" w:space="0" w:color="auto"/>
        <w:left w:val="none" w:sz="0" w:space="0" w:color="auto"/>
        <w:bottom w:val="none" w:sz="0" w:space="0" w:color="auto"/>
        <w:right w:val="none" w:sz="0" w:space="0" w:color="auto"/>
      </w:divBdr>
    </w:div>
    <w:div w:id="740370097">
      <w:bodyDiv w:val="1"/>
      <w:marLeft w:val="0"/>
      <w:marRight w:val="0"/>
      <w:marTop w:val="0"/>
      <w:marBottom w:val="0"/>
      <w:divBdr>
        <w:top w:val="none" w:sz="0" w:space="0" w:color="auto"/>
        <w:left w:val="none" w:sz="0" w:space="0" w:color="auto"/>
        <w:bottom w:val="none" w:sz="0" w:space="0" w:color="auto"/>
        <w:right w:val="none" w:sz="0" w:space="0" w:color="auto"/>
      </w:divBdr>
    </w:div>
    <w:div w:id="974604390">
      <w:bodyDiv w:val="1"/>
      <w:marLeft w:val="0"/>
      <w:marRight w:val="0"/>
      <w:marTop w:val="0"/>
      <w:marBottom w:val="0"/>
      <w:divBdr>
        <w:top w:val="none" w:sz="0" w:space="0" w:color="auto"/>
        <w:left w:val="none" w:sz="0" w:space="0" w:color="auto"/>
        <w:bottom w:val="none" w:sz="0" w:space="0" w:color="auto"/>
        <w:right w:val="none" w:sz="0" w:space="0" w:color="auto"/>
      </w:divBdr>
    </w:div>
    <w:div w:id="13691785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696279">
      <w:bodyDiv w:val="1"/>
      <w:marLeft w:val="0"/>
      <w:marRight w:val="0"/>
      <w:marTop w:val="0"/>
      <w:marBottom w:val="0"/>
      <w:divBdr>
        <w:top w:val="none" w:sz="0" w:space="0" w:color="auto"/>
        <w:left w:val="none" w:sz="0" w:space="0" w:color="auto"/>
        <w:bottom w:val="none" w:sz="0" w:space="0" w:color="auto"/>
        <w:right w:val="none" w:sz="0" w:space="0" w:color="auto"/>
      </w:divBdr>
    </w:div>
    <w:div w:id="1528711002">
      <w:bodyDiv w:val="1"/>
      <w:marLeft w:val="0"/>
      <w:marRight w:val="0"/>
      <w:marTop w:val="0"/>
      <w:marBottom w:val="0"/>
      <w:divBdr>
        <w:top w:val="none" w:sz="0" w:space="0" w:color="auto"/>
        <w:left w:val="none" w:sz="0" w:space="0" w:color="auto"/>
        <w:bottom w:val="none" w:sz="0" w:space="0" w:color="auto"/>
        <w:right w:val="none" w:sz="0" w:space="0" w:color="auto"/>
      </w:divBdr>
    </w:div>
    <w:div w:id="1555241716">
      <w:bodyDiv w:val="1"/>
      <w:marLeft w:val="0"/>
      <w:marRight w:val="0"/>
      <w:marTop w:val="0"/>
      <w:marBottom w:val="0"/>
      <w:divBdr>
        <w:top w:val="none" w:sz="0" w:space="0" w:color="auto"/>
        <w:left w:val="none" w:sz="0" w:space="0" w:color="auto"/>
        <w:bottom w:val="none" w:sz="0" w:space="0" w:color="auto"/>
        <w:right w:val="none" w:sz="0" w:space="0" w:color="auto"/>
      </w:divBdr>
    </w:div>
    <w:div w:id="1557013415">
      <w:bodyDiv w:val="1"/>
      <w:marLeft w:val="0"/>
      <w:marRight w:val="0"/>
      <w:marTop w:val="0"/>
      <w:marBottom w:val="0"/>
      <w:divBdr>
        <w:top w:val="none" w:sz="0" w:space="0" w:color="auto"/>
        <w:left w:val="none" w:sz="0" w:space="0" w:color="auto"/>
        <w:bottom w:val="none" w:sz="0" w:space="0" w:color="auto"/>
        <w:right w:val="none" w:sz="0" w:space="0" w:color="auto"/>
      </w:divBdr>
    </w:div>
    <w:div w:id="1736394055">
      <w:bodyDiv w:val="1"/>
      <w:marLeft w:val="0"/>
      <w:marRight w:val="0"/>
      <w:marTop w:val="0"/>
      <w:marBottom w:val="0"/>
      <w:divBdr>
        <w:top w:val="none" w:sz="0" w:space="0" w:color="auto"/>
        <w:left w:val="none" w:sz="0" w:space="0" w:color="auto"/>
        <w:bottom w:val="none" w:sz="0" w:space="0" w:color="auto"/>
        <w:right w:val="none" w:sz="0" w:space="0" w:color="auto"/>
      </w:divBdr>
    </w:div>
    <w:div w:id="1997875372">
      <w:bodyDiv w:val="1"/>
      <w:marLeft w:val="0"/>
      <w:marRight w:val="0"/>
      <w:marTop w:val="0"/>
      <w:marBottom w:val="0"/>
      <w:divBdr>
        <w:top w:val="none" w:sz="0" w:space="0" w:color="auto"/>
        <w:left w:val="none" w:sz="0" w:space="0" w:color="auto"/>
        <w:bottom w:val="none" w:sz="0" w:space="0" w:color="auto"/>
        <w:right w:val="none" w:sz="0" w:space="0" w:color="auto"/>
      </w:divBdr>
    </w:div>
    <w:div w:id="20360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lv/content/ministru-kabineta-diskusiju-doku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a-grozijumi-likuma-par-darbinieku-aizsardzibu-darba-deveja-maksatnespejas-gadijuma-lidz-2020-gada-30-novembri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asts.lv/files/pakalpojumi_jp/Tarifu%20gramata_LV_13.07.pdf" TargetMode="External"/><Relationship Id="rId2" Type="http://schemas.openxmlformats.org/officeDocument/2006/relationships/hyperlink" Target="https://likumi.lv/ta/id/299699-grozijumi-maksatnespejas-likuma" TargetMode="External"/><Relationship Id="rId1" Type="http://schemas.openxmlformats.org/officeDocument/2006/relationships/hyperlink" Target="https://likumi.lv/ta/id/287876-grozijumi-maksatnespej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941C97AB9A84C9E9A02C8F20C9A61" ma:contentTypeVersion="6" ma:contentTypeDescription="Create a new document." ma:contentTypeScope="" ma:versionID="8d4992d46f44106fce90ce670254b1cf">
  <xsd:schema xmlns:xsd="http://www.w3.org/2001/XMLSchema" xmlns:xs="http://www.w3.org/2001/XMLSchema" xmlns:p="http://schemas.microsoft.com/office/2006/metadata/properties" xmlns:ns3="cfb4b487-21cf-4848-92f8-268cf1b2bef6" targetNamespace="http://schemas.microsoft.com/office/2006/metadata/properties" ma:root="true" ma:fieldsID="52aec9f2cce6dd7ff4c41021e9827fc7" ns3:_="">
    <xsd:import namespace="cfb4b487-21cf-4848-92f8-268cf1b2be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4b487-21cf-4848-92f8-268cf1b2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46A35-4CA5-4473-A3AF-B39EA85D73CD}">
  <ds:schemaRefs>
    <ds:schemaRef ds:uri="http://schemas.microsoft.com/sharepoint/v3/contenttype/forms"/>
  </ds:schemaRefs>
</ds:datastoreItem>
</file>

<file path=customXml/itemProps2.xml><?xml version="1.0" encoding="utf-8"?>
<ds:datastoreItem xmlns:ds="http://schemas.openxmlformats.org/officeDocument/2006/customXml" ds:itemID="{B0253177-7347-4CC3-A534-16B873264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4b487-21cf-4848-92f8-268cf1b2b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0B6AA-D354-48A1-B84D-3A3583F672F0}">
  <ds:schemaRefs>
    <ds:schemaRef ds:uri="http://schemas.openxmlformats.org/officeDocument/2006/bibliography"/>
  </ds:schemaRefs>
</ds:datastoreItem>
</file>

<file path=customXml/itemProps4.xml><?xml version="1.0" encoding="utf-8"?>
<ds:datastoreItem xmlns:ds="http://schemas.openxmlformats.org/officeDocument/2006/customXml" ds:itemID="{59424218-4E55-4E56-98E5-A06476A78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12</Pages>
  <Words>4045</Words>
  <Characters>23060</Characters>
  <Application>Microsoft Office Word</Application>
  <DocSecurity>0</DocSecurity>
  <Lines>192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darbinieku aizsardzību darba devēja maksātnespējas gadījumā"" sākotnējās ietekmes novērtējuma ziņojums (anotācija)</vt:lpstr>
      <vt:lpstr>Tiesību akta nosaukums</vt:lpstr>
    </vt:vector>
  </TitlesOfParts>
  <Manager/>
  <Company>Tieslietu ministrija </Company>
  <LinksUpToDate>false</LinksUpToDate>
  <CharactersWithSpaces>27051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darbinieku aizsardzību darba devēja maksātnespējas gadījumā"" sākotnējās ietekmes novērtējuma ziņojums (anotācija)</dc:title>
  <dc:subject>Anotācija</dc:subject>
  <dc:creator>Naira Anfimova</dc:creator>
  <cp:keywords/>
  <dc:description>67046139, naira.anfimova@tm.gov.lv  </dc:description>
  <cp:lastModifiedBy>Microsoft Office User</cp:lastModifiedBy>
  <cp:revision>90</cp:revision>
  <dcterms:created xsi:type="dcterms:W3CDTF">2020-12-11T02:56:00Z</dcterms:created>
  <dcterms:modified xsi:type="dcterms:W3CDTF">2021-01-11T11:52:00Z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0x01010088F941C97AB9A84C9E9A02C8F20C9A61</vt:lpwstr>
  </property>
</Properties>
</file>