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B4AB" w14:textId="77777777" w:rsidR="00783817" w:rsidRPr="000176EB" w:rsidRDefault="000A311D" w:rsidP="000A311D">
      <w:pPr>
        <w:tabs>
          <w:tab w:val="left" w:pos="6521"/>
          <w:tab w:val="right" w:pos="8820"/>
        </w:tabs>
        <w:ind w:firstLine="709"/>
        <w:jc w:val="right"/>
        <w:rPr>
          <w:sz w:val="28"/>
          <w:szCs w:val="28"/>
        </w:rPr>
      </w:pPr>
      <w:bookmarkStart w:id="0" w:name="_Toc315690959"/>
      <w:r w:rsidRPr="000176EB">
        <w:rPr>
          <w:sz w:val="28"/>
          <w:szCs w:val="28"/>
        </w:rPr>
        <w:t>1. pielikums</w:t>
      </w:r>
      <w:bookmarkStart w:id="1" w:name="726452"/>
      <w:bookmarkStart w:id="2" w:name="n-726452"/>
      <w:bookmarkEnd w:id="1"/>
      <w:bookmarkEnd w:id="2"/>
    </w:p>
    <w:p w14:paraId="32A6D97E" w14:textId="1530497A" w:rsidR="000A311D" w:rsidRPr="000176EB" w:rsidRDefault="000A311D" w:rsidP="000A311D">
      <w:pPr>
        <w:tabs>
          <w:tab w:val="left" w:pos="6521"/>
          <w:tab w:val="right" w:pos="8820"/>
        </w:tabs>
        <w:ind w:firstLine="709"/>
        <w:jc w:val="right"/>
        <w:rPr>
          <w:sz w:val="28"/>
          <w:szCs w:val="28"/>
        </w:rPr>
      </w:pPr>
      <w:r w:rsidRPr="000176EB">
        <w:rPr>
          <w:sz w:val="28"/>
          <w:szCs w:val="28"/>
        </w:rPr>
        <w:t>Ministru kabineta</w:t>
      </w:r>
    </w:p>
    <w:p w14:paraId="45F2762A" w14:textId="1E58E0E0" w:rsidR="000A311D" w:rsidRPr="000176EB" w:rsidRDefault="000A311D" w:rsidP="000A311D">
      <w:pPr>
        <w:tabs>
          <w:tab w:val="left" w:pos="6521"/>
          <w:tab w:val="right" w:pos="8820"/>
        </w:tabs>
        <w:ind w:firstLine="709"/>
        <w:jc w:val="right"/>
        <w:rPr>
          <w:sz w:val="28"/>
          <w:szCs w:val="28"/>
        </w:rPr>
      </w:pPr>
      <w:r w:rsidRPr="000176EB">
        <w:rPr>
          <w:sz w:val="28"/>
          <w:szCs w:val="28"/>
        </w:rPr>
        <w:t>202</w:t>
      </w:r>
      <w:r w:rsidR="00EC2D9A" w:rsidRPr="000176EB">
        <w:rPr>
          <w:sz w:val="28"/>
          <w:szCs w:val="28"/>
        </w:rPr>
        <w:t>1</w:t>
      </w:r>
      <w:r w:rsidRPr="000176EB">
        <w:rPr>
          <w:sz w:val="28"/>
          <w:szCs w:val="28"/>
        </w:rPr>
        <w:t>.</w:t>
      </w:r>
      <w:r w:rsidR="00EC2D9A" w:rsidRPr="000176EB">
        <w:rPr>
          <w:sz w:val="28"/>
          <w:szCs w:val="28"/>
        </w:rPr>
        <w:t> </w:t>
      </w:r>
      <w:r w:rsidRPr="000176EB">
        <w:rPr>
          <w:sz w:val="28"/>
          <w:szCs w:val="28"/>
        </w:rPr>
        <w:t xml:space="preserve">gada </w:t>
      </w:r>
      <w:r w:rsidR="002E179C">
        <w:rPr>
          <w:sz w:val="28"/>
          <w:szCs w:val="28"/>
        </w:rPr>
        <w:t>7. janvār</w:t>
      </w:r>
      <w:r w:rsidR="002E179C">
        <w:rPr>
          <w:sz w:val="28"/>
          <w:szCs w:val="28"/>
        </w:rPr>
        <w:t>a</w:t>
      </w:r>
    </w:p>
    <w:p w14:paraId="01ABF65D" w14:textId="16332C32" w:rsidR="000A311D" w:rsidRPr="000176EB" w:rsidRDefault="000A311D" w:rsidP="000A311D">
      <w:pPr>
        <w:shd w:val="clear" w:color="auto" w:fill="FFFFFF"/>
        <w:jc w:val="right"/>
        <w:rPr>
          <w:sz w:val="28"/>
          <w:szCs w:val="28"/>
        </w:rPr>
      </w:pPr>
      <w:r w:rsidRPr="000176EB">
        <w:rPr>
          <w:sz w:val="28"/>
          <w:szCs w:val="28"/>
        </w:rPr>
        <w:t>noteikumiem Nr.</w:t>
      </w:r>
      <w:r w:rsidR="00EC2D9A" w:rsidRPr="000176EB">
        <w:rPr>
          <w:sz w:val="28"/>
          <w:szCs w:val="28"/>
        </w:rPr>
        <w:t> </w:t>
      </w:r>
      <w:r w:rsidR="002E179C">
        <w:rPr>
          <w:sz w:val="28"/>
          <w:szCs w:val="28"/>
        </w:rPr>
        <w:t>4</w:t>
      </w:r>
      <w:bookmarkStart w:id="3" w:name="_GoBack"/>
      <w:bookmarkEnd w:id="3"/>
    </w:p>
    <w:p w14:paraId="3D16FDBD" w14:textId="77777777" w:rsidR="000A311D" w:rsidRPr="000176EB" w:rsidRDefault="000A311D" w:rsidP="000A311D">
      <w:pPr>
        <w:shd w:val="clear" w:color="auto" w:fill="FFFFFF"/>
        <w:jc w:val="right"/>
        <w:rPr>
          <w:b/>
          <w:bCs/>
          <w:sz w:val="28"/>
          <w:szCs w:val="28"/>
        </w:rPr>
      </w:pPr>
    </w:p>
    <w:p w14:paraId="36111F18" w14:textId="4F4DAE7A" w:rsidR="000A311D" w:rsidRPr="000176EB" w:rsidRDefault="000A311D" w:rsidP="000A311D">
      <w:pPr>
        <w:shd w:val="clear" w:color="auto" w:fill="FFFFFF"/>
        <w:jc w:val="center"/>
        <w:rPr>
          <w:b/>
          <w:bCs/>
          <w:sz w:val="28"/>
          <w:szCs w:val="28"/>
        </w:rPr>
      </w:pPr>
      <w:r w:rsidRPr="000176EB">
        <w:rPr>
          <w:b/>
          <w:bCs/>
          <w:sz w:val="28"/>
          <w:szCs w:val="28"/>
        </w:rPr>
        <w:t xml:space="preserve">Programmas </w:t>
      </w:r>
      <w:r w:rsidR="00EC2D9A" w:rsidRPr="000176EB">
        <w:rPr>
          <w:b/>
          <w:bCs/>
          <w:sz w:val="28"/>
          <w:szCs w:val="28"/>
        </w:rPr>
        <w:t>"</w:t>
      </w:r>
      <w:r w:rsidRPr="000176EB">
        <w:rPr>
          <w:b/>
          <w:bCs/>
          <w:sz w:val="28"/>
          <w:szCs w:val="28"/>
        </w:rPr>
        <w:t>Uzņēmējdarbības attīstība, inovācijas un mazie un vidējie uzņēmumi</w:t>
      </w:r>
      <w:r w:rsidR="00EC2D9A" w:rsidRPr="000176EB">
        <w:rPr>
          <w:b/>
          <w:bCs/>
          <w:sz w:val="28"/>
          <w:szCs w:val="28"/>
        </w:rPr>
        <w:t>"</w:t>
      </w:r>
      <w:r w:rsidRPr="000176EB">
        <w:rPr>
          <w:b/>
          <w:bCs/>
          <w:sz w:val="28"/>
          <w:szCs w:val="28"/>
        </w:rPr>
        <w:t xml:space="preserve"> rezultāta un iznākuma rādītāju sasniedzamās vērtības</w:t>
      </w:r>
    </w:p>
    <w:bookmarkEnd w:id="0"/>
    <w:p w14:paraId="49E2A79F" w14:textId="77777777" w:rsidR="000A311D" w:rsidRPr="000176EB" w:rsidRDefault="000A311D" w:rsidP="000A311D">
      <w:pPr>
        <w:jc w:val="both"/>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7655"/>
        <w:gridCol w:w="1133"/>
        <w:gridCol w:w="1418"/>
      </w:tblGrid>
      <w:tr w:rsidR="001E7DB5" w:rsidRPr="000176EB" w14:paraId="70B2567B" w14:textId="77777777" w:rsidTr="0085481F">
        <w:tc>
          <w:tcPr>
            <w:tcW w:w="1555" w:type="dxa"/>
            <w:shd w:val="clear" w:color="auto" w:fill="D9D9D9" w:themeFill="background1" w:themeFillShade="D9"/>
          </w:tcPr>
          <w:p w14:paraId="174558AE" w14:textId="77777777" w:rsidR="000A311D" w:rsidRPr="000176EB" w:rsidRDefault="000A311D" w:rsidP="003B4FF7">
            <w:pPr>
              <w:jc w:val="both"/>
              <w:rPr>
                <w:b/>
              </w:rPr>
            </w:pPr>
          </w:p>
        </w:tc>
        <w:tc>
          <w:tcPr>
            <w:tcW w:w="2268" w:type="dxa"/>
            <w:shd w:val="clear" w:color="auto" w:fill="D9D9D9" w:themeFill="background1" w:themeFillShade="D9"/>
          </w:tcPr>
          <w:p w14:paraId="5A67BD7D" w14:textId="77777777" w:rsidR="000A311D" w:rsidRPr="000176EB" w:rsidRDefault="000A311D" w:rsidP="003B4FF7">
            <w:pPr>
              <w:jc w:val="both"/>
              <w:rPr>
                <w:b/>
              </w:rPr>
            </w:pPr>
            <w:r w:rsidRPr="000176EB">
              <w:rPr>
                <w:b/>
              </w:rPr>
              <w:t>Apraksts</w:t>
            </w:r>
          </w:p>
        </w:tc>
        <w:tc>
          <w:tcPr>
            <w:tcW w:w="7655" w:type="dxa"/>
            <w:tcBorders>
              <w:bottom w:val="single" w:sz="4" w:space="0" w:color="auto"/>
            </w:tcBorders>
            <w:shd w:val="clear" w:color="auto" w:fill="D9D9D9" w:themeFill="background1" w:themeFillShade="D9"/>
          </w:tcPr>
          <w:p w14:paraId="58DD39AD" w14:textId="03AA9236" w:rsidR="000A311D" w:rsidRPr="000176EB" w:rsidRDefault="000A311D" w:rsidP="003B4FF7">
            <w:pPr>
              <w:jc w:val="both"/>
              <w:rPr>
                <w:b/>
              </w:rPr>
            </w:pPr>
            <w:r w:rsidRPr="000176EB">
              <w:rPr>
                <w:b/>
              </w:rPr>
              <w:t>Rādītāji</w:t>
            </w:r>
            <w:r w:rsidR="0085481F" w:rsidRPr="000176EB">
              <w:rPr>
                <w:bCs/>
                <w:vertAlign w:val="superscript"/>
              </w:rPr>
              <w:t>1</w:t>
            </w:r>
          </w:p>
        </w:tc>
        <w:tc>
          <w:tcPr>
            <w:tcW w:w="1133" w:type="dxa"/>
            <w:tcBorders>
              <w:bottom w:val="single" w:sz="4" w:space="0" w:color="auto"/>
            </w:tcBorders>
            <w:shd w:val="clear" w:color="auto" w:fill="D9D9D9" w:themeFill="background1" w:themeFillShade="D9"/>
          </w:tcPr>
          <w:p w14:paraId="39FA96D0" w14:textId="77777777" w:rsidR="000A311D" w:rsidRPr="000176EB" w:rsidRDefault="000A311D" w:rsidP="003B4FF7">
            <w:pPr>
              <w:jc w:val="both"/>
              <w:rPr>
                <w:b/>
              </w:rPr>
            </w:pPr>
            <w:r w:rsidRPr="000176EB">
              <w:rPr>
                <w:b/>
              </w:rPr>
              <w:t>Bāze</w:t>
            </w:r>
          </w:p>
        </w:tc>
        <w:tc>
          <w:tcPr>
            <w:tcW w:w="1418" w:type="dxa"/>
            <w:tcBorders>
              <w:bottom w:val="single" w:sz="4" w:space="0" w:color="auto"/>
            </w:tcBorders>
            <w:shd w:val="clear" w:color="auto" w:fill="D9D9D9" w:themeFill="background1" w:themeFillShade="D9"/>
          </w:tcPr>
          <w:p w14:paraId="5D7871CB" w14:textId="77777777" w:rsidR="000A311D" w:rsidRPr="000176EB" w:rsidRDefault="000A311D" w:rsidP="003B4FF7">
            <w:pPr>
              <w:jc w:val="both"/>
              <w:rPr>
                <w:b/>
              </w:rPr>
            </w:pPr>
            <w:r w:rsidRPr="000176EB">
              <w:rPr>
                <w:b/>
              </w:rPr>
              <w:t>Mērķis</w:t>
            </w:r>
          </w:p>
        </w:tc>
      </w:tr>
      <w:tr w:rsidR="001E7DB5" w:rsidRPr="000176EB" w14:paraId="47A183EE" w14:textId="77777777" w:rsidTr="0085481F">
        <w:trPr>
          <w:trHeight w:val="207"/>
        </w:trPr>
        <w:tc>
          <w:tcPr>
            <w:tcW w:w="1555" w:type="dxa"/>
            <w:vMerge w:val="restart"/>
            <w:shd w:val="clear" w:color="auto" w:fill="auto"/>
          </w:tcPr>
          <w:p w14:paraId="6B07A51C" w14:textId="72131596" w:rsidR="000A311D" w:rsidRPr="000176EB" w:rsidRDefault="000A311D" w:rsidP="00317E83">
            <w:pPr>
              <w:ind w:right="-111"/>
              <w:jc w:val="both"/>
              <w:rPr>
                <w:bCs/>
              </w:rPr>
            </w:pPr>
            <w:r w:rsidRPr="000176EB">
              <w:rPr>
                <w:bCs/>
              </w:rPr>
              <w:t>1. </w:t>
            </w:r>
            <w:r w:rsidR="00317E83" w:rsidRPr="000176EB">
              <w:rPr>
                <w:bCs/>
              </w:rPr>
              <w:t xml:space="preserve">Rezultāts </w:t>
            </w:r>
          </w:p>
        </w:tc>
        <w:tc>
          <w:tcPr>
            <w:tcW w:w="2268" w:type="dxa"/>
            <w:vMerge w:val="restart"/>
            <w:shd w:val="clear" w:color="auto" w:fill="auto"/>
          </w:tcPr>
          <w:p w14:paraId="1F5612D1" w14:textId="7C17099D" w:rsidR="000A311D" w:rsidRPr="000176EB" w:rsidRDefault="000A311D" w:rsidP="0085481F">
            <w:pPr>
              <w:rPr>
                <w:bCs/>
              </w:rPr>
            </w:pPr>
            <w:r w:rsidRPr="000176EB">
              <w:rPr>
                <w:bCs/>
              </w:rPr>
              <w:t xml:space="preserve">Lielāka </w:t>
            </w:r>
            <w:r w:rsidR="000176EB" w:rsidRPr="000176EB">
              <w:rPr>
                <w:bCs/>
              </w:rPr>
              <w:t xml:space="preserve">Latvijas uzņēmumu </w:t>
            </w:r>
            <w:r w:rsidRPr="000176EB">
              <w:rPr>
                <w:bCs/>
              </w:rPr>
              <w:t>konkurētspēja</w:t>
            </w:r>
            <w:r w:rsidR="0085481F" w:rsidRPr="000176EB">
              <w:rPr>
                <w:bCs/>
                <w:vertAlign w:val="superscript"/>
              </w:rPr>
              <w:t>2</w:t>
            </w:r>
            <w:r w:rsidRPr="000176EB">
              <w:rPr>
                <w:bCs/>
              </w:rPr>
              <w:t xml:space="preserve"> prioritārās jomās</w:t>
            </w:r>
            <w:r w:rsidR="00783817" w:rsidRPr="000176EB">
              <w:rPr>
                <w:bCs/>
              </w:rPr>
              <w:t> </w:t>
            </w:r>
            <w:r w:rsidRPr="000176EB">
              <w:rPr>
                <w:bCs/>
              </w:rPr>
              <w:t>– zaļās inovācijas, IKT un dzīves kvalitāti atbalstošas tehnoloģijas</w:t>
            </w:r>
          </w:p>
        </w:tc>
        <w:tc>
          <w:tcPr>
            <w:tcW w:w="7655" w:type="dxa"/>
            <w:tcBorders>
              <w:top w:val="single" w:sz="4" w:space="0" w:color="auto"/>
            </w:tcBorders>
            <w:shd w:val="clear" w:color="auto" w:fill="auto"/>
          </w:tcPr>
          <w:p w14:paraId="441CA847" w14:textId="367569BA" w:rsidR="000A311D" w:rsidRPr="000176EB" w:rsidRDefault="000A311D" w:rsidP="003B4FF7">
            <w:pPr>
              <w:jc w:val="both"/>
              <w:rPr>
                <w:bCs/>
              </w:rPr>
            </w:pPr>
            <w:r w:rsidRPr="000176EB">
              <w:rPr>
                <w:bCs/>
              </w:rPr>
              <w:t>Radīto darbavietu skaits</w:t>
            </w:r>
            <w:r w:rsidR="0085481F" w:rsidRPr="000176EB">
              <w:rPr>
                <w:bCs/>
                <w:vertAlign w:val="superscript"/>
              </w:rPr>
              <w:t>3</w:t>
            </w:r>
          </w:p>
        </w:tc>
        <w:tc>
          <w:tcPr>
            <w:tcW w:w="1133" w:type="dxa"/>
            <w:tcBorders>
              <w:top w:val="single" w:sz="4" w:space="0" w:color="auto"/>
            </w:tcBorders>
            <w:shd w:val="clear" w:color="auto" w:fill="auto"/>
          </w:tcPr>
          <w:p w14:paraId="1A708928" w14:textId="2F814610"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6A4A8371" w14:textId="77777777" w:rsidR="000A311D" w:rsidRPr="000176EB" w:rsidRDefault="000A311D" w:rsidP="0085481F">
            <w:pPr>
              <w:ind w:left="-112" w:right="-114"/>
              <w:jc w:val="center"/>
              <w:rPr>
                <w:bCs/>
              </w:rPr>
            </w:pPr>
            <w:r w:rsidRPr="000176EB">
              <w:rPr>
                <w:bCs/>
              </w:rPr>
              <w:t>50</w:t>
            </w:r>
          </w:p>
        </w:tc>
      </w:tr>
      <w:tr w:rsidR="001E7DB5" w:rsidRPr="000176EB" w14:paraId="0BEFAFCF" w14:textId="77777777" w:rsidTr="0085481F">
        <w:trPr>
          <w:trHeight w:val="207"/>
        </w:trPr>
        <w:tc>
          <w:tcPr>
            <w:tcW w:w="1555" w:type="dxa"/>
            <w:vMerge/>
          </w:tcPr>
          <w:p w14:paraId="1A4F214C" w14:textId="77777777" w:rsidR="000A311D" w:rsidRPr="000176EB" w:rsidRDefault="000A311D" w:rsidP="00317E83">
            <w:pPr>
              <w:ind w:right="-111"/>
              <w:jc w:val="both"/>
              <w:rPr>
                <w:bCs/>
              </w:rPr>
            </w:pPr>
          </w:p>
        </w:tc>
        <w:tc>
          <w:tcPr>
            <w:tcW w:w="2268" w:type="dxa"/>
            <w:vMerge/>
          </w:tcPr>
          <w:p w14:paraId="68BD204C" w14:textId="77777777" w:rsidR="000A311D" w:rsidRPr="000176EB" w:rsidRDefault="000A311D" w:rsidP="003B4FF7">
            <w:pPr>
              <w:jc w:val="both"/>
              <w:rPr>
                <w:bCs/>
              </w:rPr>
            </w:pPr>
            <w:bookmarkStart w:id="4" w:name="_Hlk9593244"/>
          </w:p>
        </w:tc>
        <w:tc>
          <w:tcPr>
            <w:tcW w:w="7655" w:type="dxa"/>
            <w:tcBorders>
              <w:top w:val="single" w:sz="4" w:space="0" w:color="auto"/>
            </w:tcBorders>
            <w:shd w:val="clear" w:color="auto" w:fill="auto"/>
          </w:tcPr>
          <w:p w14:paraId="3A8CEC96" w14:textId="310D0CDD" w:rsidR="000A311D" w:rsidRPr="000176EB" w:rsidRDefault="000A311D" w:rsidP="003B4FF7">
            <w:pPr>
              <w:jc w:val="both"/>
              <w:rPr>
                <w:bCs/>
              </w:rPr>
            </w:pPr>
            <w:r w:rsidRPr="000176EB">
              <w:rPr>
                <w:bCs/>
                <w:lang w:eastAsia="en-GB"/>
              </w:rPr>
              <w:t xml:space="preserve">Paredzamais </w:t>
            </w:r>
            <w:r w:rsidR="0085481F" w:rsidRPr="000176EB">
              <w:rPr>
                <w:bCs/>
                <w:lang w:eastAsia="en-GB"/>
              </w:rPr>
              <w:t xml:space="preserve">gada </w:t>
            </w:r>
            <w:r w:rsidRPr="000176EB">
              <w:rPr>
                <w:bCs/>
                <w:lang w:eastAsia="en-GB"/>
              </w:rPr>
              <w:t>apgrozījuma pieaugums</w:t>
            </w:r>
          </w:p>
        </w:tc>
        <w:tc>
          <w:tcPr>
            <w:tcW w:w="1133" w:type="dxa"/>
            <w:tcBorders>
              <w:top w:val="single" w:sz="4" w:space="0" w:color="auto"/>
            </w:tcBorders>
            <w:shd w:val="clear" w:color="auto" w:fill="auto"/>
          </w:tcPr>
          <w:p w14:paraId="4B5CFC53" w14:textId="77777777"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4948E115" w14:textId="42ACF218" w:rsidR="000A311D" w:rsidRPr="000176EB" w:rsidRDefault="000A311D" w:rsidP="0085481F">
            <w:pPr>
              <w:ind w:left="-112" w:right="-114"/>
              <w:jc w:val="center"/>
              <w:rPr>
                <w:bCs/>
              </w:rPr>
            </w:pPr>
            <w:r w:rsidRPr="000176EB">
              <w:rPr>
                <w:bCs/>
              </w:rPr>
              <w:t>10</w:t>
            </w:r>
            <w:r w:rsidR="0085481F" w:rsidRPr="000176EB">
              <w:rPr>
                <w:bCs/>
              </w:rPr>
              <w:t> %</w:t>
            </w:r>
          </w:p>
        </w:tc>
      </w:tr>
      <w:tr w:rsidR="001E7DB5" w:rsidRPr="000176EB" w14:paraId="690315EF" w14:textId="77777777" w:rsidTr="0085481F">
        <w:trPr>
          <w:trHeight w:val="207"/>
        </w:trPr>
        <w:tc>
          <w:tcPr>
            <w:tcW w:w="1555" w:type="dxa"/>
            <w:vMerge/>
          </w:tcPr>
          <w:p w14:paraId="05384F20" w14:textId="77777777" w:rsidR="000A311D" w:rsidRPr="000176EB" w:rsidRDefault="000A311D" w:rsidP="00317E83">
            <w:pPr>
              <w:ind w:right="-111"/>
              <w:jc w:val="both"/>
              <w:rPr>
                <w:bCs/>
              </w:rPr>
            </w:pPr>
          </w:p>
        </w:tc>
        <w:tc>
          <w:tcPr>
            <w:tcW w:w="2268" w:type="dxa"/>
            <w:vMerge/>
          </w:tcPr>
          <w:p w14:paraId="5C403792" w14:textId="77777777" w:rsidR="000A311D" w:rsidRPr="000176EB" w:rsidRDefault="000A311D" w:rsidP="003B4FF7">
            <w:pPr>
              <w:jc w:val="both"/>
              <w:rPr>
                <w:bCs/>
              </w:rPr>
            </w:pPr>
          </w:p>
        </w:tc>
        <w:tc>
          <w:tcPr>
            <w:tcW w:w="7655" w:type="dxa"/>
            <w:tcBorders>
              <w:top w:val="single" w:sz="4" w:space="0" w:color="auto"/>
            </w:tcBorders>
            <w:shd w:val="clear" w:color="auto" w:fill="auto"/>
          </w:tcPr>
          <w:p w14:paraId="26A0B7AE" w14:textId="48AF4E55" w:rsidR="000A311D" w:rsidRPr="000176EB" w:rsidRDefault="000A311D" w:rsidP="003B4FF7">
            <w:pPr>
              <w:jc w:val="both"/>
              <w:rPr>
                <w:bCs/>
                <w:lang w:eastAsia="en-GB"/>
              </w:rPr>
            </w:pPr>
            <w:r w:rsidRPr="000176EB">
              <w:rPr>
                <w:bCs/>
                <w:lang w:eastAsia="en-GB"/>
              </w:rPr>
              <w:t>Paredzamais peļņas rādītāja pieaugums</w:t>
            </w:r>
            <w:r w:rsidR="0085481F" w:rsidRPr="000176EB">
              <w:rPr>
                <w:bCs/>
                <w:vertAlign w:val="superscript"/>
                <w:lang w:eastAsia="en-GB"/>
              </w:rPr>
              <w:t>4</w:t>
            </w:r>
          </w:p>
        </w:tc>
        <w:tc>
          <w:tcPr>
            <w:tcW w:w="1133" w:type="dxa"/>
            <w:tcBorders>
              <w:top w:val="single" w:sz="4" w:space="0" w:color="auto"/>
            </w:tcBorders>
            <w:shd w:val="clear" w:color="auto" w:fill="auto"/>
          </w:tcPr>
          <w:p w14:paraId="7EB3474E" w14:textId="77777777"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3EC364E9" w14:textId="7664D82A" w:rsidR="000A311D" w:rsidRPr="000176EB" w:rsidRDefault="000A311D" w:rsidP="0085481F">
            <w:pPr>
              <w:ind w:left="-112" w:right="-114"/>
              <w:jc w:val="center"/>
              <w:rPr>
                <w:bCs/>
              </w:rPr>
            </w:pPr>
            <w:r w:rsidRPr="000176EB">
              <w:rPr>
                <w:bCs/>
              </w:rPr>
              <w:t>5</w:t>
            </w:r>
            <w:r w:rsidR="0085481F" w:rsidRPr="000176EB">
              <w:rPr>
                <w:bCs/>
              </w:rPr>
              <w:t> %</w:t>
            </w:r>
          </w:p>
        </w:tc>
      </w:tr>
      <w:tr w:rsidR="001E7DB5" w:rsidRPr="000176EB" w14:paraId="20AFA71B" w14:textId="77777777" w:rsidTr="0085481F">
        <w:trPr>
          <w:trHeight w:val="273"/>
        </w:trPr>
        <w:tc>
          <w:tcPr>
            <w:tcW w:w="1555" w:type="dxa"/>
            <w:vMerge/>
          </w:tcPr>
          <w:p w14:paraId="366D631E" w14:textId="77777777" w:rsidR="000A311D" w:rsidRPr="000176EB" w:rsidRDefault="000A311D" w:rsidP="00317E83">
            <w:pPr>
              <w:ind w:right="-111"/>
              <w:jc w:val="both"/>
              <w:rPr>
                <w:bCs/>
              </w:rPr>
            </w:pPr>
          </w:p>
        </w:tc>
        <w:bookmarkEnd w:id="4"/>
        <w:tc>
          <w:tcPr>
            <w:tcW w:w="2268" w:type="dxa"/>
            <w:vMerge/>
          </w:tcPr>
          <w:p w14:paraId="1D8041F4" w14:textId="77777777" w:rsidR="000A311D" w:rsidRPr="000176EB" w:rsidRDefault="000A311D" w:rsidP="003B4FF7">
            <w:pPr>
              <w:jc w:val="both"/>
              <w:rPr>
                <w:bCs/>
              </w:rPr>
            </w:pPr>
          </w:p>
        </w:tc>
        <w:tc>
          <w:tcPr>
            <w:tcW w:w="7655" w:type="dxa"/>
            <w:tcBorders>
              <w:top w:val="single" w:sz="4" w:space="0" w:color="auto"/>
            </w:tcBorders>
            <w:shd w:val="clear" w:color="auto" w:fill="auto"/>
          </w:tcPr>
          <w:p w14:paraId="5C6EEF20" w14:textId="77777777" w:rsidR="000A311D" w:rsidRPr="000176EB" w:rsidRDefault="000A311D" w:rsidP="003B4FF7">
            <w:pPr>
              <w:jc w:val="both"/>
              <w:rPr>
                <w:bCs/>
              </w:rPr>
            </w:pPr>
            <w:r w:rsidRPr="000176EB">
              <w:rPr>
                <w:bCs/>
              </w:rPr>
              <w:t>Paredzamais ikgadējais CO</w:t>
            </w:r>
            <w:r w:rsidRPr="000176EB">
              <w:rPr>
                <w:bCs/>
                <w:vertAlign w:val="subscript"/>
              </w:rPr>
              <w:t>2</w:t>
            </w:r>
            <w:r w:rsidRPr="000176EB">
              <w:rPr>
                <w:bCs/>
              </w:rPr>
              <w:t xml:space="preserve"> emisiju samazinājums (tonnas)</w:t>
            </w:r>
          </w:p>
        </w:tc>
        <w:tc>
          <w:tcPr>
            <w:tcW w:w="1133" w:type="dxa"/>
            <w:tcBorders>
              <w:top w:val="single" w:sz="4" w:space="0" w:color="auto"/>
            </w:tcBorders>
            <w:shd w:val="clear" w:color="auto" w:fill="auto"/>
          </w:tcPr>
          <w:p w14:paraId="26D89563" w14:textId="0D69AA6F"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5DE7CCFB" w14:textId="77777777" w:rsidR="000A311D" w:rsidRPr="000176EB" w:rsidRDefault="000A311D" w:rsidP="0085481F">
            <w:pPr>
              <w:ind w:left="-112" w:right="-114"/>
              <w:jc w:val="center"/>
              <w:rPr>
                <w:bCs/>
              </w:rPr>
            </w:pPr>
            <w:r w:rsidRPr="000176EB">
              <w:rPr>
                <w:bCs/>
              </w:rPr>
              <w:t>2000</w:t>
            </w:r>
          </w:p>
        </w:tc>
      </w:tr>
      <w:tr w:rsidR="001E7DB5" w:rsidRPr="000176EB" w14:paraId="08446D3B" w14:textId="77777777" w:rsidTr="0085481F">
        <w:trPr>
          <w:trHeight w:val="278"/>
        </w:trPr>
        <w:tc>
          <w:tcPr>
            <w:tcW w:w="1555" w:type="dxa"/>
            <w:vMerge/>
          </w:tcPr>
          <w:p w14:paraId="0DAA7C32" w14:textId="77777777" w:rsidR="000A311D" w:rsidRPr="000176EB" w:rsidRDefault="000A311D" w:rsidP="00317E83">
            <w:pPr>
              <w:ind w:right="-111"/>
              <w:jc w:val="both"/>
              <w:rPr>
                <w:bCs/>
              </w:rPr>
            </w:pPr>
          </w:p>
        </w:tc>
        <w:tc>
          <w:tcPr>
            <w:tcW w:w="2268" w:type="dxa"/>
            <w:vMerge/>
          </w:tcPr>
          <w:p w14:paraId="606B4548" w14:textId="77777777" w:rsidR="000A311D" w:rsidRPr="000176EB" w:rsidRDefault="000A311D" w:rsidP="003B4FF7">
            <w:pPr>
              <w:jc w:val="both"/>
              <w:rPr>
                <w:bCs/>
              </w:rPr>
            </w:pPr>
          </w:p>
        </w:tc>
        <w:tc>
          <w:tcPr>
            <w:tcW w:w="7655" w:type="dxa"/>
            <w:tcBorders>
              <w:top w:val="single" w:sz="4" w:space="0" w:color="auto"/>
            </w:tcBorders>
            <w:shd w:val="clear" w:color="auto" w:fill="auto"/>
          </w:tcPr>
          <w:p w14:paraId="0E4DC110" w14:textId="77777777" w:rsidR="000A311D" w:rsidRPr="000176EB" w:rsidRDefault="000A311D" w:rsidP="003B4FF7">
            <w:pPr>
              <w:jc w:val="both"/>
              <w:rPr>
                <w:bCs/>
              </w:rPr>
            </w:pPr>
            <w:r w:rsidRPr="000176EB">
              <w:rPr>
                <w:bCs/>
              </w:rPr>
              <w:t>Aplēstais enerģijas patēriņa gada samazinājums (</w:t>
            </w:r>
            <w:proofErr w:type="spellStart"/>
            <w:r w:rsidRPr="000176EB">
              <w:rPr>
                <w:bCs/>
              </w:rPr>
              <w:t>MWh</w:t>
            </w:r>
            <w:proofErr w:type="spellEnd"/>
            <w:r w:rsidRPr="000176EB">
              <w:rPr>
                <w:bCs/>
              </w:rPr>
              <w:t xml:space="preserve">) </w:t>
            </w:r>
          </w:p>
        </w:tc>
        <w:tc>
          <w:tcPr>
            <w:tcW w:w="1133" w:type="dxa"/>
            <w:tcBorders>
              <w:top w:val="single" w:sz="4" w:space="0" w:color="auto"/>
            </w:tcBorders>
            <w:shd w:val="clear" w:color="auto" w:fill="auto"/>
          </w:tcPr>
          <w:p w14:paraId="57F4377C" w14:textId="77777777"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4F01847C" w14:textId="77777777" w:rsidR="000A311D" w:rsidRPr="000176EB" w:rsidRDefault="000A311D" w:rsidP="0085481F">
            <w:pPr>
              <w:ind w:left="-112" w:right="-114"/>
              <w:jc w:val="center"/>
              <w:rPr>
                <w:bCs/>
              </w:rPr>
            </w:pPr>
            <w:r w:rsidRPr="000176EB">
              <w:rPr>
                <w:bCs/>
              </w:rPr>
              <w:t>1500</w:t>
            </w:r>
          </w:p>
        </w:tc>
      </w:tr>
      <w:tr w:rsidR="001E7DB5" w:rsidRPr="000176EB" w14:paraId="04848984" w14:textId="77777777" w:rsidTr="0085481F">
        <w:trPr>
          <w:trHeight w:val="267"/>
        </w:trPr>
        <w:tc>
          <w:tcPr>
            <w:tcW w:w="1555" w:type="dxa"/>
            <w:vMerge/>
          </w:tcPr>
          <w:p w14:paraId="441F1E4A" w14:textId="77777777" w:rsidR="000A311D" w:rsidRPr="000176EB" w:rsidRDefault="000A311D" w:rsidP="00317E83">
            <w:pPr>
              <w:ind w:right="-111"/>
              <w:jc w:val="both"/>
              <w:rPr>
                <w:bCs/>
              </w:rPr>
            </w:pPr>
          </w:p>
        </w:tc>
        <w:tc>
          <w:tcPr>
            <w:tcW w:w="2268" w:type="dxa"/>
            <w:vMerge/>
          </w:tcPr>
          <w:p w14:paraId="78D9DD03" w14:textId="77777777" w:rsidR="000A311D" w:rsidRPr="000176EB" w:rsidRDefault="000A311D" w:rsidP="003B4FF7">
            <w:pPr>
              <w:jc w:val="both"/>
              <w:rPr>
                <w:bCs/>
              </w:rPr>
            </w:pPr>
          </w:p>
        </w:tc>
        <w:tc>
          <w:tcPr>
            <w:tcW w:w="7655" w:type="dxa"/>
            <w:tcBorders>
              <w:top w:val="single" w:sz="4" w:space="0" w:color="auto"/>
            </w:tcBorders>
            <w:shd w:val="clear" w:color="auto" w:fill="auto"/>
          </w:tcPr>
          <w:p w14:paraId="5900BE04" w14:textId="4F6507E6" w:rsidR="000A311D" w:rsidRPr="000176EB" w:rsidRDefault="000A311D" w:rsidP="003B4FF7">
            <w:pPr>
              <w:jc w:val="both"/>
              <w:rPr>
                <w:bCs/>
              </w:rPr>
            </w:pPr>
            <w:r w:rsidRPr="000176EB">
              <w:rPr>
                <w:bCs/>
              </w:rPr>
              <w:t xml:space="preserve">Jauno </w:t>
            </w:r>
            <w:r w:rsidR="00D57C31" w:rsidRPr="000176EB">
              <w:rPr>
                <w:bCs/>
              </w:rPr>
              <w:t>zaļ</w:t>
            </w:r>
            <w:r w:rsidR="005878D0" w:rsidRPr="000176EB">
              <w:rPr>
                <w:bCs/>
              </w:rPr>
              <w:t>o</w:t>
            </w:r>
            <w:r w:rsidR="00D57C31" w:rsidRPr="000176EB">
              <w:rPr>
                <w:bCs/>
              </w:rPr>
              <w:t xml:space="preserve"> inovācij</w:t>
            </w:r>
            <w:r w:rsidR="005878D0" w:rsidRPr="000176EB">
              <w:rPr>
                <w:bCs/>
              </w:rPr>
              <w:t>u</w:t>
            </w:r>
            <w:r w:rsidR="00D57C31" w:rsidRPr="000176EB">
              <w:rPr>
                <w:bCs/>
              </w:rPr>
              <w:t xml:space="preserve">, IKT un dzīves kvalitāti </w:t>
            </w:r>
            <w:r w:rsidRPr="000176EB">
              <w:rPr>
                <w:bCs/>
              </w:rPr>
              <w:t>atbalstošu produktu</w:t>
            </w:r>
            <w:r w:rsidR="00D57C31" w:rsidRPr="000176EB">
              <w:rPr>
                <w:bCs/>
              </w:rPr>
              <w:t xml:space="preserve"> vai </w:t>
            </w:r>
            <w:r w:rsidRPr="000176EB">
              <w:rPr>
                <w:bCs/>
              </w:rPr>
              <w:t xml:space="preserve">izstrādāto tehnoloģiju skaits </w:t>
            </w:r>
          </w:p>
        </w:tc>
        <w:tc>
          <w:tcPr>
            <w:tcW w:w="1133" w:type="dxa"/>
            <w:tcBorders>
              <w:top w:val="single" w:sz="4" w:space="0" w:color="auto"/>
            </w:tcBorders>
            <w:shd w:val="clear" w:color="auto" w:fill="auto"/>
          </w:tcPr>
          <w:p w14:paraId="0C867819" w14:textId="77777777"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1DBA05FD" w14:textId="29BC16E7" w:rsidR="000A311D" w:rsidRPr="000176EB" w:rsidRDefault="000A311D" w:rsidP="0085481F">
            <w:pPr>
              <w:ind w:left="-112" w:right="-114"/>
              <w:jc w:val="center"/>
              <w:rPr>
                <w:bCs/>
              </w:rPr>
            </w:pPr>
            <w:r w:rsidRPr="000176EB">
              <w:rPr>
                <w:bCs/>
              </w:rPr>
              <w:t>24</w:t>
            </w:r>
          </w:p>
        </w:tc>
      </w:tr>
      <w:tr w:rsidR="001E7DB5" w:rsidRPr="000176EB" w14:paraId="02854809" w14:textId="77777777" w:rsidTr="0085481F">
        <w:trPr>
          <w:trHeight w:val="267"/>
        </w:trPr>
        <w:tc>
          <w:tcPr>
            <w:tcW w:w="1555" w:type="dxa"/>
            <w:vMerge/>
          </w:tcPr>
          <w:p w14:paraId="6B9C2ED2" w14:textId="77777777" w:rsidR="000A311D" w:rsidRPr="000176EB" w:rsidRDefault="000A311D" w:rsidP="00317E83">
            <w:pPr>
              <w:ind w:right="-111"/>
              <w:jc w:val="both"/>
              <w:rPr>
                <w:bCs/>
              </w:rPr>
            </w:pPr>
          </w:p>
        </w:tc>
        <w:tc>
          <w:tcPr>
            <w:tcW w:w="2268" w:type="dxa"/>
            <w:vMerge/>
          </w:tcPr>
          <w:p w14:paraId="61BD0C06" w14:textId="77777777" w:rsidR="000A311D" w:rsidRPr="000176EB" w:rsidRDefault="000A311D" w:rsidP="003B4FF7">
            <w:pPr>
              <w:jc w:val="both"/>
              <w:rPr>
                <w:bCs/>
              </w:rPr>
            </w:pPr>
          </w:p>
        </w:tc>
        <w:tc>
          <w:tcPr>
            <w:tcW w:w="7655" w:type="dxa"/>
            <w:tcBorders>
              <w:top w:val="single" w:sz="4" w:space="0" w:color="auto"/>
            </w:tcBorders>
            <w:shd w:val="clear" w:color="auto" w:fill="auto"/>
          </w:tcPr>
          <w:p w14:paraId="2C832503" w14:textId="5CE1AF8F" w:rsidR="000A311D" w:rsidRPr="000176EB" w:rsidRDefault="000A311D" w:rsidP="003B4FF7">
            <w:pPr>
              <w:jc w:val="both"/>
              <w:rPr>
                <w:bCs/>
              </w:rPr>
            </w:pPr>
            <w:r w:rsidRPr="000176EB">
              <w:rPr>
                <w:bCs/>
              </w:rPr>
              <w:t>Jauno zaļo</w:t>
            </w:r>
            <w:r w:rsidR="00D57C31" w:rsidRPr="000176EB">
              <w:rPr>
                <w:bCs/>
              </w:rPr>
              <w:t xml:space="preserve"> inovāciju un </w:t>
            </w:r>
            <w:r w:rsidRPr="000176EB">
              <w:rPr>
                <w:bCs/>
              </w:rPr>
              <w:t>IKT produktu</w:t>
            </w:r>
            <w:r w:rsidR="00D57C31" w:rsidRPr="000176EB">
              <w:rPr>
                <w:bCs/>
              </w:rPr>
              <w:t xml:space="preserve"> vai </w:t>
            </w:r>
            <w:r w:rsidRPr="000176EB">
              <w:rPr>
                <w:bCs/>
              </w:rPr>
              <w:t>tehnoloģiju skaits, kas ieviesti uzņēmumos</w:t>
            </w:r>
            <w:r w:rsidR="0085481F" w:rsidRPr="000176EB">
              <w:rPr>
                <w:bCs/>
                <w:vertAlign w:val="superscript"/>
              </w:rPr>
              <w:t>5</w:t>
            </w:r>
            <w:r w:rsidRPr="000176EB">
              <w:rPr>
                <w:bCs/>
              </w:rPr>
              <w:t xml:space="preserve"> (jaunums uzņēmumiem)</w:t>
            </w:r>
          </w:p>
        </w:tc>
        <w:tc>
          <w:tcPr>
            <w:tcW w:w="1133" w:type="dxa"/>
            <w:tcBorders>
              <w:top w:val="single" w:sz="4" w:space="0" w:color="auto"/>
            </w:tcBorders>
            <w:shd w:val="clear" w:color="auto" w:fill="auto"/>
          </w:tcPr>
          <w:p w14:paraId="3E2FADF8" w14:textId="77777777"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4631E0AE" w14:textId="77777777" w:rsidR="000A311D" w:rsidRPr="000176EB" w:rsidRDefault="000A311D" w:rsidP="0085481F">
            <w:pPr>
              <w:ind w:left="-112" w:right="-114"/>
              <w:jc w:val="center"/>
              <w:rPr>
                <w:bCs/>
              </w:rPr>
            </w:pPr>
            <w:r w:rsidRPr="000176EB">
              <w:rPr>
                <w:bCs/>
              </w:rPr>
              <w:t>15</w:t>
            </w:r>
          </w:p>
        </w:tc>
      </w:tr>
      <w:tr w:rsidR="001E7DB5" w:rsidRPr="000176EB" w14:paraId="5B490290" w14:textId="77777777" w:rsidTr="0085481F">
        <w:trPr>
          <w:trHeight w:val="285"/>
        </w:trPr>
        <w:tc>
          <w:tcPr>
            <w:tcW w:w="1555" w:type="dxa"/>
            <w:vMerge/>
          </w:tcPr>
          <w:p w14:paraId="4E29260F" w14:textId="77777777" w:rsidR="000A311D" w:rsidRPr="000176EB" w:rsidRDefault="000A311D" w:rsidP="00317E83">
            <w:pPr>
              <w:ind w:right="-111"/>
              <w:jc w:val="both"/>
              <w:rPr>
                <w:bCs/>
              </w:rPr>
            </w:pPr>
          </w:p>
        </w:tc>
        <w:tc>
          <w:tcPr>
            <w:tcW w:w="2268" w:type="dxa"/>
            <w:vMerge/>
          </w:tcPr>
          <w:p w14:paraId="1BA5EE69" w14:textId="77777777" w:rsidR="000A311D" w:rsidRPr="000176EB" w:rsidRDefault="000A311D" w:rsidP="003B4FF7">
            <w:pPr>
              <w:jc w:val="both"/>
              <w:rPr>
                <w:bCs/>
              </w:rPr>
            </w:pPr>
            <w:bookmarkStart w:id="5" w:name="_Hlk9238364"/>
          </w:p>
        </w:tc>
        <w:tc>
          <w:tcPr>
            <w:tcW w:w="7655" w:type="dxa"/>
            <w:tcBorders>
              <w:top w:val="single" w:sz="4" w:space="0" w:color="auto"/>
            </w:tcBorders>
            <w:shd w:val="clear" w:color="auto" w:fill="auto"/>
          </w:tcPr>
          <w:p w14:paraId="47B7FE46" w14:textId="77777777" w:rsidR="000A311D" w:rsidRPr="000176EB" w:rsidRDefault="000A311D" w:rsidP="003B4FF7">
            <w:pPr>
              <w:jc w:val="both"/>
              <w:rPr>
                <w:bCs/>
              </w:rPr>
            </w:pPr>
            <w:r w:rsidRPr="000176EB">
              <w:rPr>
                <w:bCs/>
              </w:rPr>
              <w:t xml:space="preserve">Tehnoloģiju biznesa centra klientu apmierinātības līmenis </w:t>
            </w:r>
          </w:p>
        </w:tc>
        <w:tc>
          <w:tcPr>
            <w:tcW w:w="1133" w:type="dxa"/>
            <w:tcBorders>
              <w:top w:val="single" w:sz="4" w:space="0" w:color="auto"/>
            </w:tcBorders>
            <w:shd w:val="clear" w:color="auto" w:fill="auto"/>
          </w:tcPr>
          <w:p w14:paraId="78A28BE2" w14:textId="77777777" w:rsidR="000A311D" w:rsidRPr="000176EB" w:rsidRDefault="000A311D" w:rsidP="0085481F">
            <w:pPr>
              <w:ind w:left="-112" w:right="-114"/>
              <w:jc w:val="center"/>
              <w:rPr>
                <w:bCs/>
              </w:rPr>
            </w:pPr>
            <w:r w:rsidRPr="000176EB">
              <w:rPr>
                <w:bCs/>
              </w:rPr>
              <w:t>N/A</w:t>
            </w:r>
          </w:p>
        </w:tc>
        <w:tc>
          <w:tcPr>
            <w:tcW w:w="1418" w:type="dxa"/>
            <w:tcBorders>
              <w:top w:val="single" w:sz="4" w:space="0" w:color="auto"/>
            </w:tcBorders>
            <w:shd w:val="clear" w:color="auto" w:fill="auto"/>
          </w:tcPr>
          <w:p w14:paraId="0EDD4FBF" w14:textId="77777777" w:rsidR="000A311D" w:rsidRPr="000176EB" w:rsidRDefault="000A311D" w:rsidP="0085481F">
            <w:pPr>
              <w:ind w:left="-112" w:right="-114"/>
              <w:jc w:val="center"/>
              <w:rPr>
                <w:bCs/>
              </w:rPr>
            </w:pPr>
            <w:r w:rsidRPr="000176EB">
              <w:rPr>
                <w:bCs/>
              </w:rPr>
              <w:t>Augsts</w:t>
            </w:r>
          </w:p>
        </w:tc>
      </w:tr>
      <w:tr w:rsidR="001E7DB5" w:rsidRPr="000176EB" w14:paraId="6AF82407" w14:textId="77777777" w:rsidTr="0085481F">
        <w:trPr>
          <w:trHeight w:val="285"/>
        </w:trPr>
        <w:tc>
          <w:tcPr>
            <w:tcW w:w="1555" w:type="dxa"/>
            <w:vMerge/>
          </w:tcPr>
          <w:p w14:paraId="1AF446A6" w14:textId="77777777" w:rsidR="000A311D" w:rsidRPr="000176EB" w:rsidRDefault="000A311D" w:rsidP="00317E83">
            <w:pPr>
              <w:ind w:right="-111"/>
              <w:jc w:val="both"/>
              <w:rPr>
                <w:bCs/>
              </w:rPr>
            </w:pPr>
          </w:p>
        </w:tc>
        <w:tc>
          <w:tcPr>
            <w:tcW w:w="2268" w:type="dxa"/>
            <w:vMerge/>
          </w:tcPr>
          <w:p w14:paraId="28471D35" w14:textId="77777777" w:rsidR="000A311D" w:rsidRPr="000176EB" w:rsidRDefault="000A311D" w:rsidP="003B4FF7">
            <w:pPr>
              <w:jc w:val="both"/>
              <w:rPr>
                <w:bCs/>
              </w:rPr>
            </w:pPr>
          </w:p>
        </w:tc>
        <w:tc>
          <w:tcPr>
            <w:tcW w:w="7655" w:type="dxa"/>
            <w:tcBorders>
              <w:top w:val="single" w:sz="4" w:space="0" w:color="auto"/>
            </w:tcBorders>
            <w:shd w:val="clear" w:color="auto" w:fill="auto"/>
          </w:tcPr>
          <w:p w14:paraId="4B3837FF" w14:textId="7DCEF5BD" w:rsidR="000A311D" w:rsidRPr="000176EB" w:rsidRDefault="000A311D" w:rsidP="003B4FF7">
            <w:pPr>
              <w:jc w:val="both"/>
              <w:rPr>
                <w:bCs/>
              </w:rPr>
            </w:pPr>
            <w:r w:rsidRPr="000176EB">
              <w:rPr>
                <w:bCs/>
              </w:rPr>
              <w:t>Tehnoloģiju biznesa centra atbalstīto MVU</w:t>
            </w:r>
            <w:r w:rsidR="0085481F" w:rsidRPr="000176EB">
              <w:rPr>
                <w:bCs/>
                <w:vertAlign w:val="superscript"/>
              </w:rPr>
              <w:t>6</w:t>
            </w:r>
            <w:r w:rsidR="0085481F" w:rsidRPr="000176EB">
              <w:rPr>
                <w:bCs/>
              </w:rPr>
              <w:t xml:space="preserve"> </w:t>
            </w:r>
            <w:r w:rsidRPr="000176EB">
              <w:rPr>
                <w:bCs/>
              </w:rPr>
              <w:t xml:space="preserve">skaits, kas joprojām veic saimniecisko darbību </w:t>
            </w:r>
            <w:r w:rsidR="00F6077E" w:rsidRPr="000176EB">
              <w:rPr>
                <w:bCs/>
              </w:rPr>
              <w:t>trīs</w:t>
            </w:r>
            <w:r w:rsidRPr="000176EB">
              <w:rPr>
                <w:bCs/>
              </w:rPr>
              <w:t xml:space="preserve"> gadu laikā pēc atbalsta saņemšanas</w:t>
            </w:r>
          </w:p>
        </w:tc>
        <w:tc>
          <w:tcPr>
            <w:tcW w:w="1133" w:type="dxa"/>
            <w:tcBorders>
              <w:top w:val="single" w:sz="4" w:space="0" w:color="auto"/>
            </w:tcBorders>
            <w:shd w:val="clear" w:color="auto" w:fill="auto"/>
          </w:tcPr>
          <w:p w14:paraId="46C8FEE3" w14:textId="77777777" w:rsidR="000A311D" w:rsidRPr="000176EB" w:rsidRDefault="000A311D" w:rsidP="0085481F">
            <w:pPr>
              <w:ind w:left="-112" w:right="-114"/>
              <w:jc w:val="center"/>
              <w:rPr>
                <w:bCs/>
              </w:rPr>
            </w:pPr>
            <w:r w:rsidRPr="000176EB">
              <w:rPr>
                <w:bCs/>
              </w:rPr>
              <w:t>0</w:t>
            </w:r>
          </w:p>
        </w:tc>
        <w:tc>
          <w:tcPr>
            <w:tcW w:w="1418" w:type="dxa"/>
            <w:tcBorders>
              <w:top w:val="single" w:sz="4" w:space="0" w:color="auto"/>
            </w:tcBorders>
            <w:shd w:val="clear" w:color="auto" w:fill="auto"/>
          </w:tcPr>
          <w:p w14:paraId="27E72EB8" w14:textId="77777777" w:rsidR="000A311D" w:rsidRPr="000176EB" w:rsidRDefault="000A311D" w:rsidP="0085481F">
            <w:pPr>
              <w:ind w:left="-112" w:right="-114"/>
              <w:jc w:val="center"/>
              <w:rPr>
                <w:bCs/>
              </w:rPr>
            </w:pPr>
            <w:r w:rsidRPr="000176EB">
              <w:rPr>
                <w:bCs/>
              </w:rPr>
              <w:t>70</w:t>
            </w:r>
          </w:p>
        </w:tc>
      </w:tr>
      <w:bookmarkEnd w:id="5"/>
      <w:tr w:rsidR="001E7DB5" w:rsidRPr="000176EB" w14:paraId="07BB64D9" w14:textId="77777777" w:rsidTr="0085481F">
        <w:trPr>
          <w:trHeight w:val="274"/>
        </w:trPr>
        <w:tc>
          <w:tcPr>
            <w:tcW w:w="1555" w:type="dxa"/>
            <w:vMerge w:val="restart"/>
            <w:shd w:val="clear" w:color="auto" w:fill="auto"/>
          </w:tcPr>
          <w:p w14:paraId="4C8B22EB" w14:textId="77777777" w:rsidR="000A311D" w:rsidRPr="000176EB" w:rsidRDefault="000A311D" w:rsidP="00317E83">
            <w:pPr>
              <w:ind w:right="-111"/>
              <w:rPr>
                <w:bCs/>
              </w:rPr>
            </w:pPr>
            <w:r w:rsidRPr="000176EB">
              <w:rPr>
                <w:bCs/>
              </w:rPr>
              <w:t>1.1. iznākums</w:t>
            </w:r>
          </w:p>
          <w:p w14:paraId="10C76D50" w14:textId="77777777" w:rsidR="000A311D" w:rsidRPr="000176EB" w:rsidRDefault="000A311D" w:rsidP="00317E83">
            <w:pPr>
              <w:ind w:right="-111"/>
              <w:rPr>
                <w:bCs/>
              </w:rPr>
            </w:pPr>
          </w:p>
        </w:tc>
        <w:tc>
          <w:tcPr>
            <w:tcW w:w="2268" w:type="dxa"/>
            <w:vMerge w:val="restart"/>
            <w:shd w:val="clear" w:color="auto" w:fill="auto"/>
          </w:tcPr>
          <w:p w14:paraId="578C2D36" w14:textId="07B64E79" w:rsidR="000A311D" w:rsidRPr="000176EB" w:rsidRDefault="000A311D" w:rsidP="00F6077E">
            <w:pPr>
              <w:rPr>
                <w:bCs/>
                <w:i/>
              </w:rPr>
            </w:pPr>
            <w:r w:rsidRPr="000176EB">
              <w:rPr>
                <w:bCs/>
              </w:rPr>
              <w:t>Uzņēmumi, kas atbalstīti, lai izstrādātu zaļos produktus vai tehnoloģijas</w:t>
            </w:r>
          </w:p>
        </w:tc>
        <w:tc>
          <w:tcPr>
            <w:tcW w:w="7655" w:type="dxa"/>
            <w:shd w:val="clear" w:color="auto" w:fill="auto"/>
          </w:tcPr>
          <w:p w14:paraId="37AF4955" w14:textId="5BE87310" w:rsidR="000A311D" w:rsidRPr="000176EB" w:rsidRDefault="000A311D" w:rsidP="003B4FF7">
            <w:pPr>
              <w:rPr>
                <w:bCs/>
              </w:rPr>
            </w:pPr>
            <w:r w:rsidRPr="000176EB">
              <w:rPr>
                <w:bCs/>
              </w:rPr>
              <w:t>MVU skaits, kas atbalstīti, lai izstrādātu zaļos produktus</w:t>
            </w:r>
            <w:r w:rsidR="00D57C31" w:rsidRPr="000176EB">
              <w:rPr>
                <w:bCs/>
              </w:rPr>
              <w:t xml:space="preserve"> vai </w:t>
            </w:r>
            <w:r w:rsidRPr="000176EB">
              <w:rPr>
                <w:bCs/>
              </w:rPr>
              <w:t xml:space="preserve">tehnoloģijas </w:t>
            </w:r>
          </w:p>
        </w:tc>
        <w:tc>
          <w:tcPr>
            <w:tcW w:w="1133" w:type="dxa"/>
            <w:shd w:val="clear" w:color="auto" w:fill="auto"/>
          </w:tcPr>
          <w:p w14:paraId="5A9D1E1D"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58992F60" w14:textId="77777777" w:rsidR="000A311D" w:rsidRPr="000176EB" w:rsidRDefault="000A311D" w:rsidP="0085481F">
            <w:pPr>
              <w:ind w:left="-112" w:right="-114"/>
              <w:jc w:val="center"/>
            </w:pPr>
            <w:r w:rsidRPr="000176EB">
              <w:t>7</w:t>
            </w:r>
          </w:p>
        </w:tc>
      </w:tr>
      <w:tr w:rsidR="001E7DB5" w:rsidRPr="000176EB" w14:paraId="70D12CAC" w14:textId="77777777" w:rsidTr="0085481F">
        <w:trPr>
          <w:trHeight w:val="274"/>
        </w:trPr>
        <w:tc>
          <w:tcPr>
            <w:tcW w:w="1555" w:type="dxa"/>
            <w:vMerge/>
          </w:tcPr>
          <w:p w14:paraId="3B188CAF" w14:textId="77777777" w:rsidR="000A311D" w:rsidRPr="000176EB" w:rsidRDefault="000A311D" w:rsidP="00317E83">
            <w:pPr>
              <w:ind w:right="-111"/>
              <w:rPr>
                <w:bCs/>
              </w:rPr>
            </w:pPr>
          </w:p>
        </w:tc>
        <w:tc>
          <w:tcPr>
            <w:tcW w:w="2268" w:type="dxa"/>
            <w:vMerge/>
          </w:tcPr>
          <w:p w14:paraId="37D9E3BA" w14:textId="77777777" w:rsidR="000A311D" w:rsidRPr="000176EB" w:rsidRDefault="000A311D" w:rsidP="003B4FF7">
            <w:pPr>
              <w:jc w:val="both"/>
              <w:rPr>
                <w:bCs/>
              </w:rPr>
            </w:pPr>
          </w:p>
        </w:tc>
        <w:tc>
          <w:tcPr>
            <w:tcW w:w="7655" w:type="dxa"/>
            <w:shd w:val="clear" w:color="auto" w:fill="auto"/>
          </w:tcPr>
          <w:p w14:paraId="3D021B5B" w14:textId="2FF48339" w:rsidR="000A311D" w:rsidRPr="000176EB" w:rsidRDefault="000A311D" w:rsidP="003B4FF7">
            <w:pPr>
              <w:rPr>
                <w:bCs/>
              </w:rPr>
            </w:pPr>
            <w:r w:rsidRPr="000176EB">
              <w:rPr>
                <w:bCs/>
              </w:rPr>
              <w:t>MVU skaits, kas atbalstīti, lai ieviestu zaļos produktus</w:t>
            </w:r>
            <w:r w:rsidR="00D57C31" w:rsidRPr="000176EB">
              <w:rPr>
                <w:bCs/>
              </w:rPr>
              <w:t xml:space="preserve"> vai </w:t>
            </w:r>
            <w:r w:rsidRPr="000176EB">
              <w:rPr>
                <w:bCs/>
              </w:rPr>
              <w:t>tehnoloģijas</w:t>
            </w:r>
          </w:p>
        </w:tc>
        <w:tc>
          <w:tcPr>
            <w:tcW w:w="1133" w:type="dxa"/>
            <w:shd w:val="clear" w:color="auto" w:fill="auto"/>
          </w:tcPr>
          <w:p w14:paraId="14E04229"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7A56D909" w14:textId="77777777" w:rsidR="000A311D" w:rsidRPr="000176EB" w:rsidRDefault="000A311D" w:rsidP="0085481F">
            <w:pPr>
              <w:ind w:left="-112" w:right="-114"/>
              <w:jc w:val="center"/>
            </w:pPr>
            <w:r w:rsidRPr="000176EB">
              <w:t>10</w:t>
            </w:r>
          </w:p>
        </w:tc>
      </w:tr>
      <w:tr w:rsidR="001E7DB5" w:rsidRPr="000176EB" w14:paraId="7BF4F8A1" w14:textId="77777777" w:rsidTr="0085481F">
        <w:trPr>
          <w:trHeight w:val="274"/>
        </w:trPr>
        <w:tc>
          <w:tcPr>
            <w:tcW w:w="1555" w:type="dxa"/>
            <w:vMerge/>
          </w:tcPr>
          <w:p w14:paraId="23ABACCF" w14:textId="77777777" w:rsidR="000A311D" w:rsidRPr="000176EB" w:rsidRDefault="000A311D" w:rsidP="00317E83">
            <w:pPr>
              <w:ind w:right="-111"/>
              <w:rPr>
                <w:bCs/>
              </w:rPr>
            </w:pPr>
          </w:p>
        </w:tc>
        <w:tc>
          <w:tcPr>
            <w:tcW w:w="2268" w:type="dxa"/>
            <w:vMerge/>
          </w:tcPr>
          <w:p w14:paraId="0C115173" w14:textId="77777777" w:rsidR="000A311D" w:rsidRPr="000176EB" w:rsidRDefault="000A311D" w:rsidP="003B4FF7">
            <w:pPr>
              <w:jc w:val="both"/>
              <w:rPr>
                <w:bCs/>
              </w:rPr>
            </w:pPr>
          </w:p>
        </w:tc>
        <w:tc>
          <w:tcPr>
            <w:tcW w:w="7655" w:type="dxa"/>
            <w:shd w:val="clear" w:color="auto" w:fill="auto"/>
          </w:tcPr>
          <w:p w14:paraId="0F6E70DD" w14:textId="4FD47303" w:rsidR="000A311D" w:rsidRPr="000176EB" w:rsidRDefault="000A311D" w:rsidP="003B4FF7">
            <w:pPr>
              <w:rPr>
                <w:bCs/>
              </w:rPr>
            </w:pPr>
            <w:r w:rsidRPr="000176EB">
              <w:rPr>
                <w:bCs/>
              </w:rPr>
              <w:t>Uzņēmumu skaits, kuri izmanto ārējus pētniecības ekspertus</w:t>
            </w:r>
            <w:r w:rsidR="00D57C31" w:rsidRPr="000176EB">
              <w:rPr>
                <w:bCs/>
              </w:rPr>
              <w:t xml:space="preserve"> vai </w:t>
            </w:r>
            <w:r w:rsidR="00F6077E" w:rsidRPr="000176EB">
              <w:rPr>
                <w:bCs/>
              </w:rPr>
              <w:t xml:space="preserve">ārēju </w:t>
            </w:r>
            <w:r w:rsidRPr="000176EB">
              <w:rPr>
                <w:bCs/>
              </w:rPr>
              <w:t>pētniecības iestādi inovatīvu zaļo produktu</w:t>
            </w:r>
            <w:r w:rsidR="00D57C31" w:rsidRPr="000176EB">
              <w:rPr>
                <w:bCs/>
              </w:rPr>
              <w:t xml:space="preserve"> un </w:t>
            </w:r>
            <w:r w:rsidRPr="000176EB">
              <w:rPr>
                <w:bCs/>
              </w:rPr>
              <w:t>tehnoloģiju izstrādei</w:t>
            </w:r>
          </w:p>
        </w:tc>
        <w:tc>
          <w:tcPr>
            <w:tcW w:w="1133" w:type="dxa"/>
            <w:shd w:val="clear" w:color="auto" w:fill="auto"/>
          </w:tcPr>
          <w:p w14:paraId="1AEC77B9"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7CB9B8D7" w14:textId="77777777" w:rsidR="000A311D" w:rsidRPr="000176EB" w:rsidRDefault="000A311D" w:rsidP="0085481F">
            <w:pPr>
              <w:ind w:left="-112" w:right="-114"/>
              <w:jc w:val="center"/>
            </w:pPr>
            <w:r w:rsidRPr="000176EB">
              <w:t>7</w:t>
            </w:r>
          </w:p>
        </w:tc>
      </w:tr>
      <w:tr w:rsidR="001E7DB5" w:rsidRPr="000176EB" w14:paraId="35C309A2" w14:textId="77777777" w:rsidTr="0085481F">
        <w:trPr>
          <w:trHeight w:val="349"/>
        </w:trPr>
        <w:tc>
          <w:tcPr>
            <w:tcW w:w="1555" w:type="dxa"/>
            <w:vMerge w:val="restart"/>
            <w:shd w:val="clear" w:color="auto" w:fill="auto"/>
          </w:tcPr>
          <w:p w14:paraId="7FF3214F" w14:textId="77777777" w:rsidR="000A311D" w:rsidRPr="000176EB" w:rsidRDefault="000A311D" w:rsidP="00317E83">
            <w:pPr>
              <w:ind w:right="-111"/>
              <w:rPr>
                <w:bCs/>
              </w:rPr>
            </w:pPr>
            <w:r w:rsidRPr="000176EB">
              <w:rPr>
                <w:bCs/>
              </w:rPr>
              <w:t>1.2. iznākums</w:t>
            </w:r>
          </w:p>
        </w:tc>
        <w:tc>
          <w:tcPr>
            <w:tcW w:w="2268" w:type="dxa"/>
            <w:vMerge w:val="restart"/>
            <w:shd w:val="clear" w:color="auto" w:fill="auto"/>
          </w:tcPr>
          <w:p w14:paraId="2D51D866" w14:textId="77ED2057" w:rsidR="000A311D" w:rsidRPr="000176EB" w:rsidRDefault="000A311D" w:rsidP="00F6077E">
            <w:pPr>
              <w:rPr>
                <w:bCs/>
              </w:rPr>
            </w:pPr>
            <w:r w:rsidRPr="000176EB">
              <w:rPr>
                <w:bCs/>
              </w:rPr>
              <w:t>Uzņēmumi, kas atbalstīti, lai izstrādātu inovatīvus IKT produktus vai tehnoloģijas</w:t>
            </w:r>
          </w:p>
        </w:tc>
        <w:tc>
          <w:tcPr>
            <w:tcW w:w="7655" w:type="dxa"/>
            <w:shd w:val="clear" w:color="auto" w:fill="auto"/>
          </w:tcPr>
          <w:p w14:paraId="37E78EE8" w14:textId="0337119A" w:rsidR="000A311D" w:rsidRPr="000176EB" w:rsidRDefault="000A311D" w:rsidP="003B4FF7">
            <w:pPr>
              <w:jc w:val="both"/>
              <w:rPr>
                <w:bCs/>
              </w:rPr>
            </w:pPr>
            <w:r w:rsidRPr="000176EB">
              <w:rPr>
                <w:bCs/>
              </w:rPr>
              <w:t>MVU skaits, kas atbalstīti, lai izstrādātu jaunus IKT produktus</w:t>
            </w:r>
            <w:r w:rsidR="00D57C31" w:rsidRPr="000176EB">
              <w:rPr>
                <w:bCs/>
              </w:rPr>
              <w:t xml:space="preserve"> un </w:t>
            </w:r>
            <w:r w:rsidRPr="000176EB">
              <w:rPr>
                <w:bCs/>
              </w:rPr>
              <w:t>tehnoloģijas</w:t>
            </w:r>
          </w:p>
        </w:tc>
        <w:tc>
          <w:tcPr>
            <w:tcW w:w="1133" w:type="dxa"/>
            <w:shd w:val="clear" w:color="auto" w:fill="auto"/>
          </w:tcPr>
          <w:p w14:paraId="4962298E"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55E10D2B" w14:textId="77777777" w:rsidR="000A311D" w:rsidRPr="000176EB" w:rsidRDefault="000A311D" w:rsidP="0085481F">
            <w:pPr>
              <w:ind w:left="-112" w:right="-114"/>
              <w:jc w:val="center"/>
            </w:pPr>
            <w:r w:rsidRPr="000176EB">
              <w:t>7</w:t>
            </w:r>
          </w:p>
        </w:tc>
      </w:tr>
      <w:tr w:rsidR="001E7DB5" w:rsidRPr="000176EB" w14:paraId="6564226D" w14:textId="77777777" w:rsidTr="0085481F">
        <w:trPr>
          <w:trHeight w:val="349"/>
        </w:trPr>
        <w:tc>
          <w:tcPr>
            <w:tcW w:w="1555" w:type="dxa"/>
            <w:vMerge/>
          </w:tcPr>
          <w:p w14:paraId="16554B9E" w14:textId="77777777" w:rsidR="000A311D" w:rsidRPr="000176EB" w:rsidRDefault="000A311D" w:rsidP="00317E83">
            <w:pPr>
              <w:ind w:right="-111"/>
              <w:rPr>
                <w:bCs/>
              </w:rPr>
            </w:pPr>
          </w:p>
        </w:tc>
        <w:tc>
          <w:tcPr>
            <w:tcW w:w="2268" w:type="dxa"/>
            <w:vMerge/>
          </w:tcPr>
          <w:p w14:paraId="6142B5FA" w14:textId="77777777" w:rsidR="000A311D" w:rsidRPr="000176EB" w:rsidRDefault="000A311D" w:rsidP="003B4FF7">
            <w:pPr>
              <w:jc w:val="both"/>
              <w:rPr>
                <w:bCs/>
              </w:rPr>
            </w:pPr>
          </w:p>
        </w:tc>
        <w:tc>
          <w:tcPr>
            <w:tcW w:w="7655" w:type="dxa"/>
            <w:shd w:val="clear" w:color="auto" w:fill="auto"/>
          </w:tcPr>
          <w:p w14:paraId="574C1FE5" w14:textId="0B9AE9D8" w:rsidR="000A311D" w:rsidRPr="000176EB" w:rsidRDefault="000A311D" w:rsidP="003B4FF7">
            <w:pPr>
              <w:jc w:val="both"/>
              <w:rPr>
                <w:bCs/>
              </w:rPr>
            </w:pPr>
            <w:r w:rsidRPr="000176EB">
              <w:rPr>
                <w:bCs/>
              </w:rPr>
              <w:t>MVU skaits, kas atbalstīti, lai ieviestu jaunus IKT produktus</w:t>
            </w:r>
            <w:r w:rsidR="00D57C31" w:rsidRPr="000176EB">
              <w:rPr>
                <w:bCs/>
              </w:rPr>
              <w:t xml:space="preserve"> un </w:t>
            </w:r>
            <w:r w:rsidRPr="000176EB">
              <w:rPr>
                <w:bCs/>
              </w:rPr>
              <w:t>tehnoloģijas</w:t>
            </w:r>
          </w:p>
        </w:tc>
        <w:tc>
          <w:tcPr>
            <w:tcW w:w="1133" w:type="dxa"/>
            <w:shd w:val="clear" w:color="auto" w:fill="auto"/>
          </w:tcPr>
          <w:p w14:paraId="1E70797F"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5BF1C6CA" w14:textId="77777777" w:rsidR="000A311D" w:rsidRPr="000176EB" w:rsidRDefault="000A311D" w:rsidP="0085481F">
            <w:pPr>
              <w:ind w:left="-112" w:right="-114"/>
              <w:jc w:val="center"/>
            </w:pPr>
            <w:r w:rsidRPr="000176EB">
              <w:t>5</w:t>
            </w:r>
          </w:p>
        </w:tc>
      </w:tr>
      <w:tr w:rsidR="001E7DB5" w:rsidRPr="000176EB" w14:paraId="37E40E86" w14:textId="77777777" w:rsidTr="0085481F">
        <w:trPr>
          <w:trHeight w:val="559"/>
        </w:trPr>
        <w:tc>
          <w:tcPr>
            <w:tcW w:w="1555" w:type="dxa"/>
            <w:vMerge/>
          </w:tcPr>
          <w:p w14:paraId="4D8990C7" w14:textId="77777777" w:rsidR="000A311D" w:rsidRPr="000176EB" w:rsidRDefault="000A311D" w:rsidP="00317E83">
            <w:pPr>
              <w:ind w:right="-111"/>
              <w:rPr>
                <w:bCs/>
              </w:rPr>
            </w:pPr>
          </w:p>
        </w:tc>
        <w:tc>
          <w:tcPr>
            <w:tcW w:w="2268" w:type="dxa"/>
            <w:vMerge/>
          </w:tcPr>
          <w:p w14:paraId="318412B0" w14:textId="77777777" w:rsidR="000A311D" w:rsidRPr="000176EB" w:rsidRDefault="000A311D" w:rsidP="003B4FF7">
            <w:pPr>
              <w:rPr>
                <w:bCs/>
              </w:rPr>
            </w:pPr>
          </w:p>
        </w:tc>
        <w:tc>
          <w:tcPr>
            <w:tcW w:w="7655" w:type="dxa"/>
            <w:shd w:val="clear" w:color="auto" w:fill="auto"/>
          </w:tcPr>
          <w:p w14:paraId="32CDAF19" w14:textId="4C8F73BD" w:rsidR="000A311D" w:rsidRPr="000176EB" w:rsidRDefault="000A311D" w:rsidP="003B4FF7">
            <w:pPr>
              <w:jc w:val="both"/>
              <w:rPr>
                <w:bCs/>
              </w:rPr>
            </w:pPr>
            <w:r w:rsidRPr="000176EB">
              <w:rPr>
                <w:bCs/>
              </w:rPr>
              <w:t>Uzņēmumu skaits, kuri izmanto ārējus pētniecības ekspertus</w:t>
            </w:r>
            <w:r w:rsidR="00D57C31" w:rsidRPr="000176EB">
              <w:rPr>
                <w:bCs/>
              </w:rPr>
              <w:t xml:space="preserve"> vai </w:t>
            </w:r>
            <w:r w:rsidR="00F6077E" w:rsidRPr="000176EB">
              <w:rPr>
                <w:bCs/>
              </w:rPr>
              <w:t xml:space="preserve">ārēju </w:t>
            </w:r>
            <w:r w:rsidRPr="000176EB">
              <w:rPr>
                <w:bCs/>
              </w:rPr>
              <w:t>pētniecības iestādi inovatīvu IKT produktu</w:t>
            </w:r>
            <w:r w:rsidR="00D57C31" w:rsidRPr="000176EB">
              <w:rPr>
                <w:bCs/>
              </w:rPr>
              <w:t xml:space="preserve"> un </w:t>
            </w:r>
            <w:r w:rsidRPr="000176EB">
              <w:rPr>
                <w:bCs/>
              </w:rPr>
              <w:t>tehnoloģiju izstrādei</w:t>
            </w:r>
          </w:p>
        </w:tc>
        <w:tc>
          <w:tcPr>
            <w:tcW w:w="1133" w:type="dxa"/>
            <w:shd w:val="clear" w:color="auto" w:fill="auto"/>
          </w:tcPr>
          <w:p w14:paraId="17C31EA9"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337C054C" w14:textId="77777777" w:rsidR="000A311D" w:rsidRPr="000176EB" w:rsidRDefault="000A311D" w:rsidP="0085481F">
            <w:pPr>
              <w:ind w:left="-112" w:right="-114"/>
              <w:jc w:val="center"/>
            </w:pPr>
            <w:r w:rsidRPr="000176EB">
              <w:t>7</w:t>
            </w:r>
          </w:p>
        </w:tc>
      </w:tr>
      <w:tr w:rsidR="001E7DB5" w:rsidRPr="000176EB" w14:paraId="0DA9A1A2" w14:textId="77777777" w:rsidTr="0085481F">
        <w:trPr>
          <w:trHeight w:val="253"/>
        </w:trPr>
        <w:tc>
          <w:tcPr>
            <w:tcW w:w="1555" w:type="dxa"/>
            <w:vMerge w:val="restart"/>
            <w:shd w:val="clear" w:color="auto" w:fill="auto"/>
          </w:tcPr>
          <w:p w14:paraId="430E0352" w14:textId="77777777" w:rsidR="000A311D" w:rsidRPr="000176EB" w:rsidRDefault="000A311D" w:rsidP="00317E83">
            <w:pPr>
              <w:ind w:right="-111"/>
              <w:rPr>
                <w:bCs/>
              </w:rPr>
            </w:pPr>
            <w:r w:rsidRPr="000176EB">
              <w:rPr>
                <w:bCs/>
              </w:rPr>
              <w:lastRenderedPageBreak/>
              <w:t>1.3. iznākums</w:t>
            </w:r>
          </w:p>
        </w:tc>
        <w:tc>
          <w:tcPr>
            <w:tcW w:w="2268" w:type="dxa"/>
            <w:vMerge w:val="restart"/>
            <w:shd w:val="clear" w:color="auto" w:fill="auto"/>
          </w:tcPr>
          <w:p w14:paraId="0BA23610" w14:textId="77777777" w:rsidR="000A311D" w:rsidRPr="000176EB" w:rsidRDefault="000A311D" w:rsidP="003B4FF7">
            <w:pPr>
              <w:rPr>
                <w:bCs/>
              </w:rPr>
            </w:pPr>
            <w:r w:rsidRPr="000176EB">
              <w:rPr>
                <w:bCs/>
              </w:rPr>
              <w:t>Uzņēmumi, kas atbalstīti, lai izstrādātu inovatīvas dzīves kvalitāti atbalstošas tehnoloģijas</w:t>
            </w:r>
          </w:p>
        </w:tc>
        <w:tc>
          <w:tcPr>
            <w:tcW w:w="7655" w:type="dxa"/>
            <w:shd w:val="clear" w:color="auto" w:fill="auto"/>
          </w:tcPr>
          <w:p w14:paraId="6900AC0C" w14:textId="7BE5B1E2" w:rsidR="000A311D" w:rsidRPr="000176EB" w:rsidRDefault="000A311D" w:rsidP="003B4FF7">
            <w:pPr>
              <w:rPr>
                <w:bCs/>
              </w:rPr>
            </w:pPr>
            <w:r w:rsidRPr="000176EB">
              <w:rPr>
                <w:bCs/>
              </w:rPr>
              <w:t>MVU skaits, kas atbalstīti, lai izstrādātu jaunus dzīves kvalitāti atbalstošus produktus</w:t>
            </w:r>
            <w:r w:rsidR="00D57C31" w:rsidRPr="000176EB">
              <w:rPr>
                <w:bCs/>
              </w:rPr>
              <w:t xml:space="preserve"> un </w:t>
            </w:r>
            <w:r w:rsidRPr="000176EB">
              <w:rPr>
                <w:bCs/>
              </w:rPr>
              <w:t>tehnoloģijas</w:t>
            </w:r>
          </w:p>
        </w:tc>
        <w:tc>
          <w:tcPr>
            <w:tcW w:w="1133" w:type="dxa"/>
            <w:shd w:val="clear" w:color="auto" w:fill="auto"/>
          </w:tcPr>
          <w:p w14:paraId="59D536F4"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63AA0C60" w14:textId="77777777" w:rsidR="000A311D" w:rsidRPr="000176EB" w:rsidRDefault="000A311D" w:rsidP="0085481F">
            <w:pPr>
              <w:ind w:left="-112" w:right="-114"/>
              <w:jc w:val="center"/>
            </w:pPr>
            <w:r w:rsidRPr="000176EB">
              <w:t>10</w:t>
            </w:r>
          </w:p>
        </w:tc>
      </w:tr>
      <w:tr w:rsidR="001E7DB5" w:rsidRPr="000176EB" w14:paraId="2F2FF480" w14:textId="77777777" w:rsidTr="0085481F">
        <w:trPr>
          <w:trHeight w:val="507"/>
        </w:trPr>
        <w:tc>
          <w:tcPr>
            <w:tcW w:w="1555" w:type="dxa"/>
            <w:vMerge/>
          </w:tcPr>
          <w:p w14:paraId="3FAA86C3" w14:textId="77777777" w:rsidR="000A311D" w:rsidRPr="000176EB" w:rsidRDefault="000A311D" w:rsidP="00317E83">
            <w:pPr>
              <w:ind w:right="-111"/>
              <w:jc w:val="both"/>
              <w:rPr>
                <w:bCs/>
              </w:rPr>
            </w:pPr>
          </w:p>
        </w:tc>
        <w:tc>
          <w:tcPr>
            <w:tcW w:w="2268" w:type="dxa"/>
            <w:vMerge/>
          </w:tcPr>
          <w:p w14:paraId="0C00C88D" w14:textId="77777777" w:rsidR="000A311D" w:rsidRPr="000176EB" w:rsidRDefault="000A311D" w:rsidP="003B4FF7">
            <w:pPr>
              <w:rPr>
                <w:bCs/>
              </w:rPr>
            </w:pPr>
          </w:p>
        </w:tc>
        <w:tc>
          <w:tcPr>
            <w:tcW w:w="7655" w:type="dxa"/>
            <w:shd w:val="clear" w:color="auto" w:fill="auto"/>
          </w:tcPr>
          <w:p w14:paraId="151A774E" w14:textId="17417D21" w:rsidR="000A311D" w:rsidRPr="000176EB" w:rsidRDefault="000A311D" w:rsidP="003B4FF7">
            <w:pPr>
              <w:rPr>
                <w:bCs/>
              </w:rPr>
            </w:pPr>
            <w:r w:rsidRPr="000176EB">
              <w:rPr>
                <w:bCs/>
              </w:rPr>
              <w:t>Uzņēmumu skaits, kuri izmanto ārējus pētniecības ekspertus</w:t>
            </w:r>
            <w:r w:rsidR="00D57C31" w:rsidRPr="000176EB">
              <w:rPr>
                <w:bCs/>
              </w:rPr>
              <w:t xml:space="preserve"> vai </w:t>
            </w:r>
            <w:r w:rsidR="00F6077E" w:rsidRPr="000176EB">
              <w:rPr>
                <w:bCs/>
              </w:rPr>
              <w:t xml:space="preserve">ārēju </w:t>
            </w:r>
            <w:r w:rsidRPr="000176EB">
              <w:rPr>
                <w:bCs/>
              </w:rPr>
              <w:t>pētniecības iestādi inovatīvu dzīves kvalitāti atbalstošu produktu</w:t>
            </w:r>
            <w:r w:rsidR="00D57C31" w:rsidRPr="000176EB">
              <w:rPr>
                <w:bCs/>
              </w:rPr>
              <w:t xml:space="preserve"> un </w:t>
            </w:r>
            <w:r w:rsidRPr="000176EB">
              <w:rPr>
                <w:bCs/>
              </w:rPr>
              <w:t>tehnoloģiju izstrādei</w:t>
            </w:r>
          </w:p>
        </w:tc>
        <w:tc>
          <w:tcPr>
            <w:tcW w:w="1133" w:type="dxa"/>
            <w:shd w:val="clear" w:color="auto" w:fill="auto"/>
          </w:tcPr>
          <w:p w14:paraId="335FBA03"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7A6FD449" w14:textId="77777777" w:rsidR="000A311D" w:rsidRPr="000176EB" w:rsidRDefault="000A311D" w:rsidP="0085481F">
            <w:pPr>
              <w:ind w:left="-112" w:right="-114"/>
              <w:jc w:val="center"/>
            </w:pPr>
            <w:r w:rsidRPr="000176EB">
              <w:t>5</w:t>
            </w:r>
          </w:p>
        </w:tc>
      </w:tr>
      <w:tr w:rsidR="001E7DB5" w:rsidRPr="000176EB" w14:paraId="43EA1361" w14:textId="77777777" w:rsidTr="0085481F">
        <w:trPr>
          <w:trHeight w:val="414"/>
        </w:trPr>
        <w:tc>
          <w:tcPr>
            <w:tcW w:w="1555" w:type="dxa"/>
            <w:vMerge w:val="restart"/>
            <w:shd w:val="clear" w:color="auto" w:fill="auto"/>
          </w:tcPr>
          <w:p w14:paraId="5DC38F44" w14:textId="77777777" w:rsidR="000A311D" w:rsidRPr="000176EB" w:rsidRDefault="000A311D" w:rsidP="00317E83">
            <w:pPr>
              <w:ind w:right="-111"/>
              <w:rPr>
                <w:bCs/>
              </w:rPr>
            </w:pPr>
            <w:r w:rsidRPr="000176EB">
              <w:rPr>
                <w:bCs/>
              </w:rPr>
              <w:t>1.4. iznākums</w:t>
            </w:r>
          </w:p>
          <w:p w14:paraId="325C0975" w14:textId="77777777" w:rsidR="000A311D" w:rsidRPr="000176EB" w:rsidRDefault="000A311D" w:rsidP="00317E83">
            <w:pPr>
              <w:ind w:right="-111"/>
              <w:rPr>
                <w:bCs/>
              </w:rPr>
            </w:pPr>
          </w:p>
          <w:p w14:paraId="0FE39A9C" w14:textId="77777777" w:rsidR="000A311D" w:rsidRPr="000176EB" w:rsidRDefault="000A311D" w:rsidP="00317E83">
            <w:pPr>
              <w:ind w:right="-111"/>
              <w:rPr>
                <w:bCs/>
              </w:rPr>
            </w:pPr>
          </w:p>
        </w:tc>
        <w:tc>
          <w:tcPr>
            <w:tcW w:w="2268" w:type="dxa"/>
            <w:vMerge w:val="restart"/>
            <w:shd w:val="clear" w:color="auto" w:fill="auto"/>
          </w:tcPr>
          <w:p w14:paraId="29AF02A1" w14:textId="77777777" w:rsidR="000A311D" w:rsidRPr="000176EB" w:rsidRDefault="000A311D" w:rsidP="003B4FF7">
            <w:pPr>
              <w:rPr>
                <w:bCs/>
              </w:rPr>
            </w:pPr>
            <w:r w:rsidRPr="000176EB">
              <w:rPr>
                <w:bCs/>
              </w:rPr>
              <w:t>Izveidots Tehnoloģiju biznesa centrs</w:t>
            </w:r>
          </w:p>
        </w:tc>
        <w:tc>
          <w:tcPr>
            <w:tcW w:w="7655" w:type="dxa"/>
            <w:shd w:val="clear" w:color="auto" w:fill="auto"/>
          </w:tcPr>
          <w:p w14:paraId="3A04978E" w14:textId="77777777" w:rsidR="000A311D" w:rsidRPr="000176EB" w:rsidRDefault="000A311D" w:rsidP="003B4FF7">
            <w:pPr>
              <w:jc w:val="both"/>
              <w:rPr>
                <w:bCs/>
              </w:rPr>
            </w:pPr>
            <w:r w:rsidRPr="000176EB">
              <w:t>Atbalsta saņēmēji, kas saņēmuši uzņēmējdarbības apmācības</w:t>
            </w:r>
          </w:p>
        </w:tc>
        <w:tc>
          <w:tcPr>
            <w:tcW w:w="1133" w:type="dxa"/>
            <w:shd w:val="clear" w:color="auto" w:fill="auto"/>
          </w:tcPr>
          <w:p w14:paraId="5D36FDD9"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21B550D1" w14:textId="77777777" w:rsidR="000A311D" w:rsidRPr="000176EB" w:rsidRDefault="000A311D" w:rsidP="0085481F">
            <w:pPr>
              <w:ind w:left="-112" w:right="-114"/>
              <w:jc w:val="center"/>
            </w:pPr>
            <w:r w:rsidRPr="000176EB">
              <w:t>98</w:t>
            </w:r>
          </w:p>
        </w:tc>
      </w:tr>
      <w:tr w:rsidR="001E7DB5" w:rsidRPr="000176EB" w14:paraId="36658B22" w14:textId="77777777" w:rsidTr="0085481F">
        <w:trPr>
          <w:trHeight w:val="414"/>
        </w:trPr>
        <w:tc>
          <w:tcPr>
            <w:tcW w:w="1555" w:type="dxa"/>
            <w:vMerge/>
          </w:tcPr>
          <w:p w14:paraId="05F64596" w14:textId="77777777" w:rsidR="000A311D" w:rsidRPr="000176EB" w:rsidRDefault="000A311D" w:rsidP="00317E83">
            <w:pPr>
              <w:ind w:right="-111"/>
              <w:rPr>
                <w:bCs/>
              </w:rPr>
            </w:pPr>
          </w:p>
        </w:tc>
        <w:tc>
          <w:tcPr>
            <w:tcW w:w="2268" w:type="dxa"/>
            <w:vMerge/>
          </w:tcPr>
          <w:p w14:paraId="53D83AB2" w14:textId="77777777" w:rsidR="000A311D" w:rsidRPr="000176EB" w:rsidDel="00EE588F" w:rsidRDefault="000A311D" w:rsidP="003B4FF7">
            <w:pPr>
              <w:rPr>
                <w:bCs/>
              </w:rPr>
            </w:pPr>
          </w:p>
        </w:tc>
        <w:tc>
          <w:tcPr>
            <w:tcW w:w="7655" w:type="dxa"/>
            <w:shd w:val="clear" w:color="auto" w:fill="auto"/>
          </w:tcPr>
          <w:p w14:paraId="2950A924" w14:textId="77777777" w:rsidR="000A311D" w:rsidRPr="000176EB" w:rsidRDefault="000A311D" w:rsidP="003B4FF7">
            <w:pPr>
              <w:jc w:val="both"/>
              <w:rPr>
                <w:bCs/>
              </w:rPr>
            </w:pPr>
            <w:r w:rsidRPr="000176EB">
              <w:t>Attīstītie prototipi un pakalpojumi</w:t>
            </w:r>
          </w:p>
        </w:tc>
        <w:tc>
          <w:tcPr>
            <w:tcW w:w="1133" w:type="dxa"/>
            <w:shd w:val="clear" w:color="auto" w:fill="auto"/>
          </w:tcPr>
          <w:p w14:paraId="167581D4"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35025AE3" w14:textId="77777777" w:rsidR="000A311D" w:rsidRPr="000176EB" w:rsidRDefault="000A311D" w:rsidP="0085481F">
            <w:pPr>
              <w:ind w:left="-112" w:right="-114"/>
              <w:jc w:val="center"/>
            </w:pPr>
            <w:r w:rsidRPr="000176EB">
              <w:t>30</w:t>
            </w:r>
          </w:p>
        </w:tc>
      </w:tr>
      <w:tr w:rsidR="001E7DB5" w:rsidRPr="000176EB" w14:paraId="03263435" w14:textId="77777777" w:rsidTr="0085481F">
        <w:trPr>
          <w:trHeight w:val="441"/>
        </w:trPr>
        <w:tc>
          <w:tcPr>
            <w:tcW w:w="1555" w:type="dxa"/>
            <w:vMerge/>
          </w:tcPr>
          <w:p w14:paraId="70977AEE" w14:textId="77777777" w:rsidR="000A311D" w:rsidRPr="000176EB" w:rsidRDefault="000A311D" w:rsidP="00317E83">
            <w:pPr>
              <w:ind w:right="-111"/>
              <w:rPr>
                <w:bCs/>
              </w:rPr>
            </w:pPr>
          </w:p>
        </w:tc>
        <w:tc>
          <w:tcPr>
            <w:tcW w:w="2268" w:type="dxa"/>
            <w:vMerge/>
          </w:tcPr>
          <w:p w14:paraId="7E53E5A8" w14:textId="77777777" w:rsidR="000A311D" w:rsidRPr="000176EB" w:rsidDel="00EE588F" w:rsidRDefault="000A311D" w:rsidP="003B4FF7">
            <w:pPr>
              <w:rPr>
                <w:bCs/>
              </w:rPr>
            </w:pPr>
          </w:p>
        </w:tc>
        <w:tc>
          <w:tcPr>
            <w:tcW w:w="7655" w:type="dxa"/>
            <w:shd w:val="clear" w:color="auto" w:fill="auto"/>
          </w:tcPr>
          <w:p w14:paraId="739E5F21" w14:textId="77777777" w:rsidR="000A311D" w:rsidRPr="000176EB" w:rsidRDefault="000A311D" w:rsidP="003B4FF7">
            <w:pPr>
              <w:jc w:val="both"/>
              <w:rPr>
                <w:bCs/>
              </w:rPr>
            </w:pPr>
            <w:r w:rsidRPr="000176EB">
              <w:t>Sadarbības līgumi ar universitātēm</w:t>
            </w:r>
          </w:p>
        </w:tc>
        <w:tc>
          <w:tcPr>
            <w:tcW w:w="1133" w:type="dxa"/>
            <w:shd w:val="clear" w:color="auto" w:fill="auto"/>
          </w:tcPr>
          <w:p w14:paraId="1DB473FF"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6334FEF7" w14:textId="466A06F9" w:rsidR="000A311D" w:rsidRPr="000176EB" w:rsidRDefault="000A311D" w:rsidP="00D57C31">
            <w:pPr>
              <w:ind w:left="-112" w:right="-114"/>
              <w:jc w:val="center"/>
            </w:pPr>
            <w:r w:rsidRPr="000176EB">
              <w:t>3</w:t>
            </w:r>
          </w:p>
        </w:tc>
      </w:tr>
      <w:tr w:rsidR="001E7DB5" w:rsidRPr="000176EB" w14:paraId="19D1B1CC" w14:textId="77777777" w:rsidTr="0085481F">
        <w:trPr>
          <w:trHeight w:val="414"/>
        </w:trPr>
        <w:tc>
          <w:tcPr>
            <w:tcW w:w="1555" w:type="dxa"/>
            <w:vMerge/>
          </w:tcPr>
          <w:p w14:paraId="6BAD8D00" w14:textId="77777777" w:rsidR="000A311D" w:rsidRPr="000176EB" w:rsidRDefault="000A311D" w:rsidP="00317E83">
            <w:pPr>
              <w:ind w:right="-111"/>
              <w:jc w:val="both"/>
              <w:rPr>
                <w:bCs/>
              </w:rPr>
            </w:pPr>
          </w:p>
        </w:tc>
        <w:tc>
          <w:tcPr>
            <w:tcW w:w="2268" w:type="dxa"/>
            <w:vMerge/>
          </w:tcPr>
          <w:p w14:paraId="7C07183C" w14:textId="77777777" w:rsidR="000A311D" w:rsidRPr="000176EB" w:rsidRDefault="000A311D" w:rsidP="003B4FF7">
            <w:pPr>
              <w:jc w:val="both"/>
              <w:rPr>
                <w:bCs/>
              </w:rPr>
            </w:pPr>
          </w:p>
        </w:tc>
        <w:tc>
          <w:tcPr>
            <w:tcW w:w="7655" w:type="dxa"/>
            <w:shd w:val="clear" w:color="auto" w:fill="auto"/>
          </w:tcPr>
          <w:p w14:paraId="3739A178" w14:textId="77777777" w:rsidR="000A311D" w:rsidRPr="000176EB" w:rsidRDefault="000A311D" w:rsidP="003B4FF7">
            <w:pPr>
              <w:jc w:val="both"/>
              <w:rPr>
                <w:bCs/>
              </w:rPr>
            </w:pPr>
            <w:r w:rsidRPr="000176EB">
              <w:t>Sadarbības memorandi ar valsts kapitālsabiedrībām, pašvaldībām un starptautiskām organizācijām</w:t>
            </w:r>
          </w:p>
        </w:tc>
        <w:tc>
          <w:tcPr>
            <w:tcW w:w="1133" w:type="dxa"/>
            <w:shd w:val="clear" w:color="auto" w:fill="auto"/>
          </w:tcPr>
          <w:p w14:paraId="38F4532F"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69165BEE" w14:textId="6C9A49D5" w:rsidR="000A311D" w:rsidRPr="000176EB" w:rsidRDefault="000A311D" w:rsidP="00D57C31">
            <w:pPr>
              <w:ind w:left="-112" w:right="-114"/>
              <w:jc w:val="center"/>
            </w:pPr>
            <w:r w:rsidRPr="000176EB">
              <w:t>4</w:t>
            </w:r>
          </w:p>
        </w:tc>
      </w:tr>
      <w:tr w:rsidR="001E7DB5" w:rsidRPr="000176EB" w14:paraId="7601F16C" w14:textId="77777777" w:rsidTr="0085481F">
        <w:trPr>
          <w:trHeight w:val="414"/>
        </w:trPr>
        <w:tc>
          <w:tcPr>
            <w:tcW w:w="1555" w:type="dxa"/>
            <w:vMerge/>
          </w:tcPr>
          <w:p w14:paraId="1C9EAE03" w14:textId="77777777" w:rsidR="000A311D" w:rsidRPr="000176EB" w:rsidRDefault="000A311D" w:rsidP="00317E83">
            <w:pPr>
              <w:ind w:right="-111"/>
              <w:jc w:val="both"/>
              <w:rPr>
                <w:bCs/>
              </w:rPr>
            </w:pPr>
          </w:p>
        </w:tc>
        <w:tc>
          <w:tcPr>
            <w:tcW w:w="2268" w:type="dxa"/>
            <w:vMerge/>
          </w:tcPr>
          <w:p w14:paraId="0E8666D6" w14:textId="77777777" w:rsidR="000A311D" w:rsidRPr="000176EB" w:rsidRDefault="000A311D" w:rsidP="003B4FF7">
            <w:pPr>
              <w:jc w:val="both"/>
              <w:rPr>
                <w:bCs/>
              </w:rPr>
            </w:pPr>
          </w:p>
        </w:tc>
        <w:tc>
          <w:tcPr>
            <w:tcW w:w="7655" w:type="dxa"/>
            <w:shd w:val="clear" w:color="auto" w:fill="auto"/>
          </w:tcPr>
          <w:p w14:paraId="5523C6A1" w14:textId="77777777" w:rsidR="000A311D" w:rsidRPr="000176EB" w:rsidRDefault="000A311D" w:rsidP="003B4FF7">
            <w:pPr>
              <w:jc w:val="both"/>
              <w:rPr>
                <w:bCs/>
              </w:rPr>
            </w:pPr>
            <w:r w:rsidRPr="000176EB">
              <w:rPr>
                <w:bCs/>
              </w:rPr>
              <w:t xml:space="preserve">Organizētie </w:t>
            </w:r>
            <w:proofErr w:type="spellStart"/>
            <w:r w:rsidRPr="000176EB">
              <w:rPr>
                <w:bCs/>
              </w:rPr>
              <w:t>hakatoni</w:t>
            </w:r>
            <w:proofErr w:type="spellEnd"/>
            <w:r w:rsidRPr="000176EB">
              <w:rPr>
                <w:bCs/>
              </w:rPr>
              <w:t xml:space="preserve"> sadarbībā ar universitātēm, pašvaldībām un valsts kapitālsabiedrībām</w:t>
            </w:r>
          </w:p>
        </w:tc>
        <w:tc>
          <w:tcPr>
            <w:tcW w:w="1133" w:type="dxa"/>
            <w:shd w:val="clear" w:color="auto" w:fill="auto"/>
          </w:tcPr>
          <w:p w14:paraId="5887F2BE"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09F779A2" w14:textId="760F663D" w:rsidR="000A311D" w:rsidRPr="000176EB" w:rsidRDefault="000A311D" w:rsidP="00D57C31">
            <w:pPr>
              <w:ind w:left="-112" w:right="-114"/>
              <w:jc w:val="center"/>
            </w:pPr>
            <w:r w:rsidRPr="000176EB">
              <w:t>4</w:t>
            </w:r>
          </w:p>
        </w:tc>
      </w:tr>
      <w:tr w:rsidR="001E7DB5" w:rsidRPr="000176EB" w14:paraId="0EA25A84" w14:textId="77777777" w:rsidTr="0085481F">
        <w:trPr>
          <w:trHeight w:val="414"/>
        </w:trPr>
        <w:tc>
          <w:tcPr>
            <w:tcW w:w="1555" w:type="dxa"/>
            <w:vMerge/>
          </w:tcPr>
          <w:p w14:paraId="4397B791" w14:textId="77777777" w:rsidR="000A311D" w:rsidRPr="000176EB" w:rsidRDefault="000A311D" w:rsidP="00317E83">
            <w:pPr>
              <w:ind w:right="-111"/>
              <w:jc w:val="both"/>
              <w:rPr>
                <w:bCs/>
              </w:rPr>
            </w:pPr>
          </w:p>
        </w:tc>
        <w:tc>
          <w:tcPr>
            <w:tcW w:w="2268" w:type="dxa"/>
            <w:vMerge/>
          </w:tcPr>
          <w:p w14:paraId="2E6A0EEB" w14:textId="77777777" w:rsidR="000A311D" w:rsidRPr="000176EB" w:rsidRDefault="000A311D" w:rsidP="003B4FF7">
            <w:pPr>
              <w:jc w:val="both"/>
              <w:rPr>
                <w:bCs/>
              </w:rPr>
            </w:pPr>
          </w:p>
        </w:tc>
        <w:tc>
          <w:tcPr>
            <w:tcW w:w="7655" w:type="dxa"/>
            <w:shd w:val="clear" w:color="auto" w:fill="auto"/>
          </w:tcPr>
          <w:p w14:paraId="35CB0DA9" w14:textId="77777777" w:rsidR="000A311D" w:rsidRPr="000176EB" w:rsidRDefault="000A311D" w:rsidP="003B4FF7">
            <w:pPr>
              <w:jc w:val="both"/>
              <w:rPr>
                <w:bCs/>
              </w:rPr>
            </w:pPr>
            <w:r w:rsidRPr="000176EB">
              <w:rPr>
                <w:bCs/>
              </w:rPr>
              <w:t>Tehnoloģiju biznesa centra organizētie semināri un ideju darbnīcas</w:t>
            </w:r>
          </w:p>
        </w:tc>
        <w:tc>
          <w:tcPr>
            <w:tcW w:w="1133" w:type="dxa"/>
            <w:shd w:val="clear" w:color="auto" w:fill="auto"/>
          </w:tcPr>
          <w:p w14:paraId="49D7E064"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79C8278E" w14:textId="77777777" w:rsidR="000A311D" w:rsidRPr="000176EB" w:rsidRDefault="000A311D" w:rsidP="0085481F">
            <w:pPr>
              <w:ind w:left="-112" w:right="-114"/>
              <w:jc w:val="center"/>
            </w:pPr>
            <w:r w:rsidRPr="000176EB">
              <w:t>15</w:t>
            </w:r>
          </w:p>
        </w:tc>
      </w:tr>
      <w:tr w:rsidR="001E7DB5" w:rsidRPr="000176EB" w14:paraId="68EDD30B" w14:textId="77777777" w:rsidTr="0085481F">
        <w:trPr>
          <w:trHeight w:val="414"/>
        </w:trPr>
        <w:tc>
          <w:tcPr>
            <w:tcW w:w="1555" w:type="dxa"/>
            <w:vMerge w:val="restart"/>
            <w:shd w:val="clear" w:color="auto" w:fill="auto"/>
          </w:tcPr>
          <w:p w14:paraId="05772B09" w14:textId="5B26BACE" w:rsidR="000A311D" w:rsidRPr="000176EB" w:rsidRDefault="00317E83" w:rsidP="00317E83">
            <w:pPr>
              <w:ind w:right="-111"/>
              <w:jc w:val="both"/>
              <w:rPr>
                <w:bCs/>
              </w:rPr>
            </w:pPr>
            <w:r w:rsidRPr="000176EB">
              <w:rPr>
                <w:bCs/>
              </w:rPr>
              <w:t>2. </w:t>
            </w:r>
            <w:r w:rsidR="000A311D" w:rsidRPr="000176EB">
              <w:rPr>
                <w:bCs/>
              </w:rPr>
              <w:t>Divpusējās sadarbības rezultāts</w:t>
            </w:r>
          </w:p>
          <w:p w14:paraId="47BAAAC5" w14:textId="77777777" w:rsidR="000A311D" w:rsidRPr="000176EB" w:rsidRDefault="000A311D" w:rsidP="00317E83">
            <w:pPr>
              <w:ind w:right="-111"/>
              <w:rPr>
                <w:bCs/>
              </w:rPr>
            </w:pPr>
          </w:p>
        </w:tc>
        <w:tc>
          <w:tcPr>
            <w:tcW w:w="2268" w:type="dxa"/>
            <w:vMerge w:val="restart"/>
            <w:shd w:val="clear" w:color="auto" w:fill="auto"/>
          </w:tcPr>
          <w:p w14:paraId="5F3631BD" w14:textId="77777777" w:rsidR="000A311D" w:rsidRPr="000176EB" w:rsidRDefault="000A311D" w:rsidP="003B4FF7">
            <w:pPr>
              <w:rPr>
                <w:bCs/>
              </w:rPr>
            </w:pPr>
            <w:r w:rsidRPr="000176EB">
              <w:rPr>
                <w:bCs/>
              </w:rPr>
              <w:t>Uzlabojusies sadarbība starp programmā iesaistītajiem saņēmējvalsts un donorvalstu partneriem</w:t>
            </w:r>
          </w:p>
        </w:tc>
        <w:tc>
          <w:tcPr>
            <w:tcW w:w="7655" w:type="dxa"/>
            <w:shd w:val="clear" w:color="auto" w:fill="auto"/>
          </w:tcPr>
          <w:p w14:paraId="3D1F0843" w14:textId="77777777" w:rsidR="000A311D" w:rsidRPr="000176EB" w:rsidRDefault="000A311D" w:rsidP="003B4FF7">
            <w:pPr>
              <w:jc w:val="both"/>
              <w:rPr>
                <w:bCs/>
              </w:rPr>
            </w:pPr>
            <w:r w:rsidRPr="000176EB">
              <w:rPr>
                <w:bCs/>
              </w:rPr>
              <w:t>Donoru partnerības daļa, kas turpinās sadarbību pēc projekta īstenošanas perioda (procentuālā daļa)</w:t>
            </w:r>
          </w:p>
        </w:tc>
        <w:tc>
          <w:tcPr>
            <w:tcW w:w="1133" w:type="dxa"/>
            <w:shd w:val="clear" w:color="auto" w:fill="auto"/>
          </w:tcPr>
          <w:p w14:paraId="6A8CBBB1" w14:textId="77777777" w:rsidR="000A311D" w:rsidRPr="000176EB" w:rsidRDefault="000A311D" w:rsidP="0085481F">
            <w:pPr>
              <w:ind w:left="-112" w:right="-114"/>
              <w:jc w:val="center"/>
              <w:rPr>
                <w:bCs/>
              </w:rPr>
            </w:pPr>
            <w:r w:rsidRPr="000176EB">
              <w:rPr>
                <w:bCs/>
              </w:rPr>
              <w:t>N/A</w:t>
            </w:r>
          </w:p>
        </w:tc>
        <w:tc>
          <w:tcPr>
            <w:tcW w:w="1418" w:type="dxa"/>
            <w:shd w:val="clear" w:color="auto" w:fill="auto"/>
          </w:tcPr>
          <w:p w14:paraId="34096ED6" w14:textId="2F315AD1" w:rsidR="000A311D" w:rsidRPr="000176EB" w:rsidRDefault="000A311D" w:rsidP="0085481F">
            <w:pPr>
              <w:ind w:left="-112" w:right="-114"/>
              <w:jc w:val="center"/>
            </w:pPr>
            <w:r w:rsidRPr="000176EB">
              <w:t>20</w:t>
            </w:r>
            <w:r w:rsidR="0085481F" w:rsidRPr="000176EB">
              <w:t> %</w:t>
            </w:r>
          </w:p>
        </w:tc>
      </w:tr>
      <w:tr w:rsidR="001E7DB5" w:rsidRPr="000176EB" w14:paraId="379355C4" w14:textId="77777777" w:rsidTr="0085481F">
        <w:trPr>
          <w:trHeight w:val="379"/>
        </w:trPr>
        <w:tc>
          <w:tcPr>
            <w:tcW w:w="1555" w:type="dxa"/>
            <w:vMerge/>
          </w:tcPr>
          <w:p w14:paraId="06C63BE5" w14:textId="77777777" w:rsidR="000A311D" w:rsidRPr="000176EB" w:rsidRDefault="000A311D" w:rsidP="00317E83">
            <w:pPr>
              <w:ind w:right="-111"/>
              <w:rPr>
                <w:bCs/>
              </w:rPr>
            </w:pPr>
          </w:p>
        </w:tc>
        <w:tc>
          <w:tcPr>
            <w:tcW w:w="2268" w:type="dxa"/>
            <w:vMerge/>
          </w:tcPr>
          <w:p w14:paraId="7DF46D12" w14:textId="77777777" w:rsidR="000A311D" w:rsidRPr="000176EB" w:rsidRDefault="000A311D" w:rsidP="003B4FF7">
            <w:pPr>
              <w:rPr>
                <w:bCs/>
              </w:rPr>
            </w:pPr>
          </w:p>
        </w:tc>
        <w:tc>
          <w:tcPr>
            <w:tcW w:w="7655" w:type="dxa"/>
            <w:shd w:val="clear" w:color="auto" w:fill="auto"/>
          </w:tcPr>
          <w:p w14:paraId="2509442D" w14:textId="2263E44B" w:rsidR="000A311D" w:rsidRPr="000176EB" w:rsidRDefault="000A311D" w:rsidP="003B4FF7">
            <w:pPr>
              <w:rPr>
                <w:bCs/>
              </w:rPr>
            </w:pPr>
            <w:r w:rsidRPr="000176EB">
              <w:rPr>
                <w:bCs/>
              </w:rPr>
              <w:t>Sadarbībā iesaistīto partnerību daļa, kuras lieto divpusējā sadarbībā iegūtās zināšanas</w:t>
            </w:r>
            <w:r w:rsidRPr="000176EB" w:rsidDel="00A53492">
              <w:rPr>
                <w:bCs/>
              </w:rPr>
              <w:t xml:space="preserve"> </w:t>
            </w:r>
            <w:r w:rsidRPr="000176EB">
              <w:rPr>
                <w:bCs/>
              </w:rPr>
              <w:t>(procentuālā daļa)</w:t>
            </w:r>
          </w:p>
        </w:tc>
        <w:tc>
          <w:tcPr>
            <w:tcW w:w="1133" w:type="dxa"/>
            <w:shd w:val="clear" w:color="auto" w:fill="auto"/>
          </w:tcPr>
          <w:p w14:paraId="6F8936E8" w14:textId="77777777" w:rsidR="000A311D" w:rsidRPr="000176EB" w:rsidRDefault="000A311D" w:rsidP="0085481F">
            <w:pPr>
              <w:ind w:left="-112" w:right="-114"/>
              <w:jc w:val="center"/>
              <w:rPr>
                <w:bCs/>
              </w:rPr>
            </w:pPr>
            <w:r w:rsidRPr="000176EB">
              <w:rPr>
                <w:bCs/>
              </w:rPr>
              <w:t>N/A</w:t>
            </w:r>
          </w:p>
        </w:tc>
        <w:tc>
          <w:tcPr>
            <w:tcW w:w="1418" w:type="dxa"/>
            <w:shd w:val="clear" w:color="auto" w:fill="auto"/>
          </w:tcPr>
          <w:p w14:paraId="7E0C43D6" w14:textId="2BA41B8F" w:rsidR="000A311D" w:rsidRPr="000176EB" w:rsidRDefault="000A311D" w:rsidP="0085481F">
            <w:pPr>
              <w:ind w:left="-112" w:right="-114"/>
              <w:jc w:val="center"/>
            </w:pPr>
            <w:r w:rsidRPr="000176EB">
              <w:t>≥50</w:t>
            </w:r>
            <w:r w:rsidR="0085481F" w:rsidRPr="000176EB">
              <w:t> %</w:t>
            </w:r>
          </w:p>
        </w:tc>
      </w:tr>
      <w:tr w:rsidR="001E7DB5" w:rsidRPr="000176EB" w14:paraId="0CD52B0C" w14:textId="77777777" w:rsidTr="0085481F">
        <w:trPr>
          <w:trHeight w:val="120"/>
        </w:trPr>
        <w:tc>
          <w:tcPr>
            <w:tcW w:w="1555" w:type="dxa"/>
            <w:vMerge/>
          </w:tcPr>
          <w:p w14:paraId="2A4DFEC5" w14:textId="77777777" w:rsidR="000A311D" w:rsidRPr="000176EB" w:rsidRDefault="000A311D" w:rsidP="00317E83">
            <w:pPr>
              <w:ind w:right="-111"/>
              <w:rPr>
                <w:bCs/>
              </w:rPr>
            </w:pPr>
          </w:p>
        </w:tc>
        <w:tc>
          <w:tcPr>
            <w:tcW w:w="2268" w:type="dxa"/>
            <w:vMerge/>
          </w:tcPr>
          <w:p w14:paraId="0D3398BF" w14:textId="77777777" w:rsidR="000A311D" w:rsidRPr="000176EB" w:rsidRDefault="000A311D" w:rsidP="003B4FF7">
            <w:pPr>
              <w:rPr>
                <w:bCs/>
              </w:rPr>
            </w:pPr>
          </w:p>
        </w:tc>
        <w:tc>
          <w:tcPr>
            <w:tcW w:w="7655" w:type="dxa"/>
            <w:shd w:val="clear" w:color="auto" w:fill="auto"/>
          </w:tcPr>
          <w:p w14:paraId="0F778E50" w14:textId="77777777" w:rsidR="000A311D" w:rsidRPr="000176EB" w:rsidRDefault="000A311D" w:rsidP="003B4FF7">
            <w:pPr>
              <w:jc w:val="both"/>
              <w:rPr>
                <w:bCs/>
              </w:rPr>
            </w:pPr>
            <w:r w:rsidRPr="000176EB">
              <w:rPr>
                <w:bCs/>
                <w:iCs/>
              </w:rPr>
              <w:t>Apmierinātības līmenis ar izveidoto partnerību (skalā no 1 līdz 7)</w:t>
            </w:r>
          </w:p>
        </w:tc>
        <w:tc>
          <w:tcPr>
            <w:tcW w:w="1133" w:type="dxa"/>
            <w:shd w:val="clear" w:color="auto" w:fill="auto"/>
          </w:tcPr>
          <w:p w14:paraId="789B4C01" w14:textId="3A55F1B1" w:rsidR="000A311D" w:rsidRPr="000176EB" w:rsidRDefault="000A311D" w:rsidP="0085481F">
            <w:pPr>
              <w:ind w:left="-112" w:right="-114"/>
              <w:jc w:val="center"/>
              <w:rPr>
                <w:bCs/>
              </w:rPr>
            </w:pPr>
            <w:r w:rsidRPr="000176EB">
              <w:rPr>
                <w:bCs/>
              </w:rPr>
              <w:t>Tiks izstrādāts</w:t>
            </w:r>
            <w:r w:rsidR="0085481F" w:rsidRPr="000176EB">
              <w:rPr>
                <w:bCs/>
                <w:vertAlign w:val="superscript"/>
              </w:rPr>
              <w:t>7</w:t>
            </w:r>
          </w:p>
        </w:tc>
        <w:tc>
          <w:tcPr>
            <w:tcW w:w="1418" w:type="dxa"/>
            <w:shd w:val="clear" w:color="auto" w:fill="auto"/>
          </w:tcPr>
          <w:p w14:paraId="78BFC45C" w14:textId="334D7A9E" w:rsidR="000A311D" w:rsidRPr="000176EB" w:rsidRDefault="00D57C31" w:rsidP="0085481F">
            <w:pPr>
              <w:ind w:left="-112" w:right="-114"/>
              <w:jc w:val="center"/>
              <w:rPr>
                <w:rFonts w:eastAsiaTheme="minorEastAsia"/>
              </w:rPr>
            </w:pPr>
            <w:r w:rsidRPr="000176EB">
              <w:rPr>
                <w:rFonts w:eastAsiaTheme="minorEastAsia"/>
              </w:rPr>
              <w:t>Pieaugums v</w:t>
            </w:r>
            <w:r w:rsidR="000A311D" w:rsidRPr="000176EB">
              <w:rPr>
                <w:rFonts w:eastAsiaTheme="minorEastAsia"/>
              </w:rPr>
              <w:t>ismaz 4,5</w:t>
            </w:r>
          </w:p>
          <w:p w14:paraId="6FDD0351" w14:textId="4CDBB2F6" w:rsidR="000A311D" w:rsidRPr="000176EB" w:rsidRDefault="000A311D" w:rsidP="0085481F">
            <w:pPr>
              <w:ind w:left="-112" w:right="-114"/>
              <w:jc w:val="center"/>
            </w:pPr>
            <w:r w:rsidRPr="000176EB">
              <w:rPr>
                <w:rFonts w:eastAsiaTheme="minorEastAsia"/>
              </w:rPr>
              <w:t>attiecībā pret bāzes vērtību</w:t>
            </w:r>
          </w:p>
        </w:tc>
      </w:tr>
      <w:tr w:rsidR="001E7DB5" w:rsidRPr="000176EB" w14:paraId="3577B4C0" w14:textId="77777777" w:rsidTr="0085481F">
        <w:trPr>
          <w:trHeight w:val="120"/>
        </w:trPr>
        <w:tc>
          <w:tcPr>
            <w:tcW w:w="1555" w:type="dxa"/>
            <w:vMerge/>
          </w:tcPr>
          <w:p w14:paraId="68E11F22" w14:textId="77777777" w:rsidR="000A311D" w:rsidRPr="000176EB" w:rsidRDefault="000A311D" w:rsidP="00317E83">
            <w:pPr>
              <w:ind w:right="-111"/>
              <w:rPr>
                <w:bCs/>
              </w:rPr>
            </w:pPr>
          </w:p>
        </w:tc>
        <w:tc>
          <w:tcPr>
            <w:tcW w:w="2268" w:type="dxa"/>
            <w:vMerge/>
          </w:tcPr>
          <w:p w14:paraId="1F7448E6" w14:textId="77777777" w:rsidR="000A311D" w:rsidRPr="000176EB" w:rsidRDefault="000A311D" w:rsidP="003B4FF7">
            <w:pPr>
              <w:rPr>
                <w:bCs/>
              </w:rPr>
            </w:pPr>
          </w:p>
        </w:tc>
        <w:tc>
          <w:tcPr>
            <w:tcW w:w="7655" w:type="dxa"/>
            <w:shd w:val="clear" w:color="auto" w:fill="auto"/>
          </w:tcPr>
          <w:p w14:paraId="4B1D6876" w14:textId="77777777" w:rsidR="000A311D" w:rsidRPr="000176EB" w:rsidRDefault="000A311D" w:rsidP="003B4FF7">
            <w:pPr>
              <w:jc w:val="both"/>
              <w:rPr>
                <w:bCs/>
                <w:iCs/>
              </w:rPr>
            </w:pPr>
            <w:r w:rsidRPr="000176EB">
              <w:rPr>
                <w:bCs/>
                <w:iCs/>
              </w:rPr>
              <w:t>Pieaugusi uzticība starp sadarbības partneriem saņēmējvalstī un donorvalstī</w:t>
            </w:r>
            <w:r w:rsidRPr="000176EB" w:rsidDel="00A53492">
              <w:rPr>
                <w:bCs/>
                <w:iCs/>
              </w:rPr>
              <w:t xml:space="preserve"> </w:t>
            </w:r>
            <w:r w:rsidRPr="000176EB">
              <w:rPr>
                <w:bCs/>
                <w:iCs/>
              </w:rPr>
              <w:t>(skalā no 1 līdz 7)</w:t>
            </w:r>
          </w:p>
        </w:tc>
        <w:tc>
          <w:tcPr>
            <w:tcW w:w="1133" w:type="dxa"/>
            <w:shd w:val="clear" w:color="auto" w:fill="auto"/>
          </w:tcPr>
          <w:p w14:paraId="423D4697" w14:textId="0FBB9F25" w:rsidR="000A311D" w:rsidRPr="000176EB" w:rsidRDefault="000A311D" w:rsidP="0085481F">
            <w:pPr>
              <w:ind w:left="-112" w:right="-114"/>
              <w:jc w:val="center"/>
              <w:rPr>
                <w:bCs/>
              </w:rPr>
            </w:pPr>
            <w:r w:rsidRPr="000176EB">
              <w:rPr>
                <w:bCs/>
              </w:rPr>
              <w:t>Tiks izstrādāts</w:t>
            </w:r>
            <w:r w:rsidR="0085481F" w:rsidRPr="000176EB">
              <w:rPr>
                <w:bCs/>
                <w:vertAlign w:val="superscript"/>
              </w:rPr>
              <w:t>7</w:t>
            </w:r>
          </w:p>
        </w:tc>
        <w:tc>
          <w:tcPr>
            <w:tcW w:w="1418" w:type="dxa"/>
            <w:shd w:val="clear" w:color="auto" w:fill="auto"/>
          </w:tcPr>
          <w:p w14:paraId="43C9F2E3" w14:textId="6576BD61" w:rsidR="000A311D" w:rsidRPr="000176EB" w:rsidRDefault="00D57C31" w:rsidP="0085481F">
            <w:pPr>
              <w:ind w:left="-112" w:right="-114"/>
              <w:jc w:val="center"/>
            </w:pPr>
            <w:r w:rsidRPr="000176EB">
              <w:rPr>
                <w:rFonts w:eastAsiaTheme="minorEastAsia"/>
              </w:rPr>
              <w:t>Pieaugums v</w:t>
            </w:r>
            <w:r w:rsidR="000A311D" w:rsidRPr="000176EB">
              <w:rPr>
                <w:rFonts w:eastAsiaTheme="minorEastAsia"/>
              </w:rPr>
              <w:t>ismaz 4,5 attiecībā pret bāzes vērtību</w:t>
            </w:r>
          </w:p>
        </w:tc>
      </w:tr>
      <w:tr w:rsidR="001E7DB5" w:rsidRPr="000176EB" w14:paraId="519860E0" w14:textId="77777777" w:rsidTr="0085481F">
        <w:trPr>
          <w:trHeight w:val="258"/>
        </w:trPr>
        <w:tc>
          <w:tcPr>
            <w:tcW w:w="1555" w:type="dxa"/>
            <w:shd w:val="clear" w:color="auto" w:fill="auto"/>
          </w:tcPr>
          <w:p w14:paraId="4C5DEBC3" w14:textId="77777777" w:rsidR="000A311D" w:rsidRPr="000176EB" w:rsidRDefault="000A311D" w:rsidP="00317E83">
            <w:pPr>
              <w:ind w:right="-111"/>
              <w:rPr>
                <w:bCs/>
              </w:rPr>
            </w:pPr>
            <w:r w:rsidRPr="000176EB">
              <w:rPr>
                <w:bCs/>
              </w:rPr>
              <w:t>2.1. iznākums</w:t>
            </w:r>
          </w:p>
        </w:tc>
        <w:tc>
          <w:tcPr>
            <w:tcW w:w="2268" w:type="dxa"/>
            <w:shd w:val="clear" w:color="auto" w:fill="auto"/>
          </w:tcPr>
          <w:p w14:paraId="4A2A72A7" w14:textId="77777777" w:rsidR="000A311D" w:rsidRPr="000176EB" w:rsidRDefault="000A311D" w:rsidP="003B4FF7">
            <w:pPr>
              <w:rPr>
                <w:bCs/>
              </w:rPr>
            </w:pPr>
            <w:r w:rsidRPr="000176EB">
              <w:rPr>
                <w:bCs/>
              </w:rPr>
              <w:t xml:space="preserve">Donoru partnerības projekti </w:t>
            </w:r>
          </w:p>
        </w:tc>
        <w:tc>
          <w:tcPr>
            <w:tcW w:w="7655" w:type="dxa"/>
            <w:shd w:val="clear" w:color="auto" w:fill="auto"/>
          </w:tcPr>
          <w:p w14:paraId="377AA512" w14:textId="6D39CC83" w:rsidR="000A311D" w:rsidRPr="000176EB" w:rsidRDefault="000A311D" w:rsidP="00D57C31">
            <w:pPr>
              <w:rPr>
                <w:bCs/>
              </w:rPr>
            </w:pPr>
            <w:r w:rsidRPr="000176EB">
              <w:rPr>
                <w:bCs/>
              </w:rPr>
              <w:t>Projektu skaits, kas iekļauj sadarbību ar donorvalsts projekta partneri</w:t>
            </w:r>
          </w:p>
        </w:tc>
        <w:tc>
          <w:tcPr>
            <w:tcW w:w="1133" w:type="dxa"/>
            <w:shd w:val="clear" w:color="auto" w:fill="auto"/>
          </w:tcPr>
          <w:p w14:paraId="771B76A2"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73A30F8C" w14:textId="77777777" w:rsidR="000A311D" w:rsidRPr="000176EB" w:rsidRDefault="000A311D" w:rsidP="0085481F">
            <w:pPr>
              <w:ind w:left="-112" w:right="-114"/>
              <w:jc w:val="center"/>
            </w:pPr>
            <w:r w:rsidRPr="000176EB">
              <w:t>13</w:t>
            </w:r>
          </w:p>
        </w:tc>
      </w:tr>
      <w:tr w:rsidR="000A311D" w:rsidRPr="000176EB" w14:paraId="1594EF88" w14:textId="77777777" w:rsidTr="0085481F">
        <w:trPr>
          <w:trHeight w:val="368"/>
        </w:trPr>
        <w:tc>
          <w:tcPr>
            <w:tcW w:w="1555" w:type="dxa"/>
            <w:shd w:val="clear" w:color="auto" w:fill="auto"/>
          </w:tcPr>
          <w:p w14:paraId="5DC94452" w14:textId="77777777" w:rsidR="000A311D" w:rsidRPr="000176EB" w:rsidRDefault="000A311D" w:rsidP="00317E83">
            <w:pPr>
              <w:ind w:right="-111"/>
              <w:rPr>
                <w:bCs/>
              </w:rPr>
            </w:pPr>
            <w:r w:rsidRPr="000176EB">
              <w:rPr>
                <w:bCs/>
              </w:rPr>
              <w:t>2.2. iznākums</w:t>
            </w:r>
          </w:p>
        </w:tc>
        <w:tc>
          <w:tcPr>
            <w:tcW w:w="2268" w:type="dxa"/>
            <w:shd w:val="clear" w:color="auto" w:fill="auto"/>
          </w:tcPr>
          <w:p w14:paraId="0D4EDA8E" w14:textId="77777777" w:rsidR="000A311D" w:rsidRPr="000176EB" w:rsidRDefault="000A311D" w:rsidP="003B4FF7">
            <w:pPr>
              <w:rPr>
                <w:bCs/>
              </w:rPr>
            </w:pPr>
            <w:r w:rsidRPr="000176EB">
              <w:rPr>
                <w:bCs/>
              </w:rPr>
              <w:t xml:space="preserve">Veicināta zināšanu un tehnoloģiju </w:t>
            </w:r>
            <w:r w:rsidRPr="000176EB">
              <w:rPr>
                <w:bCs/>
              </w:rPr>
              <w:lastRenderedPageBreak/>
              <w:t>nodošana starp donorvalstu un Latvijas partneriem</w:t>
            </w:r>
          </w:p>
        </w:tc>
        <w:tc>
          <w:tcPr>
            <w:tcW w:w="7655" w:type="dxa"/>
            <w:shd w:val="clear" w:color="auto" w:fill="auto"/>
          </w:tcPr>
          <w:p w14:paraId="2523281E" w14:textId="77777777" w:rsidR="000A311D" w:rsidRPr="000176EB" w:rsidRDefault="000A311D" w:rsidP="003B4FF7">
            <w:pPr>
              <w:rPr>
                <w:bCs/>
              </w:rPr>
            </w:pPr>
            <w:r w:rsidRPr="000176EB">
              <w:rPr>
                <w:bCs/>
              </w:rPr>
              <w:lastRenderedPageBreak/>
              <w:t>Uzlabotas savstarpējās zināšanas par divpusējas uzņēmējdarbības iespējām starp atbalstītajām organizācijām (skalā no 1 līdz 5)</w:t>
            </w:r>
          </w:p>
        </w:tc>
        <w:tc>
          <w:tcPr>
            <w:tcW w:w="1133" w:type="dxa"/>
            <w:shd w:val="clear" w:color="auto" w:fill="auto"/>
          </w:tcPr>
          <w:p w14:paraId="50C6D905" w14:textId="77777777" w:rsidR="000A311D" w:rsidRPr="000176EB" w:rsidRDefault="000A311D" w:rsidP="0085481F">
            <w:pPr>
              <w:ind w:left="-112" w:right="-114"/>
              <w:jc w:val="center"/>
              <w:rPr>
                <w:bCs/>
              </w:rPr>
            </w:pPr>
            <w:r w:rsidRPr="000176EB">
              <w:rPr>
                <w:bCs/>
              </w:rPr>
              <w:t>0</w:t>
            </w:r>
          </w:p>
        </w:tc>
        <w:tc>
          <w:tcPr>
            <w:tcW w:w="1418" w:type="dxa"/>
            <w:shd w:val="clear" w:color="auto" w:fill="auto"/>
          </w:tcPr>
          <w:p w14:paraId="778071A6" w14:textId="77777777" w:rsidR="000A311D" w:rsidRPr="000176EB" w:rsidRDefault="000A311D" w:rsidP="0085481F">
            <w:pPr>
              <w:ind w:left="-112" w:right="-114"/>
              <w:jc w:val="center"/>
            </w:pPr>
            <w:r w:rsidRPr="000176EB">
              <w:t>4</w:t>
            </w:r>
          </w:p>
        </w:tc>
      </w:tr>
    </w:tbl>
    <w:p w14:paraId="0DB6028F" w14:textId="630EBC28" w:rsidR="000A311D" w:rsidRPr="000176EB" w:rsidRDefault="000A311D" w:rsidP="00F6077E">
      <w:pPr>
        <w:ind w:firstLine="709"/>
        <w:jc w:val="both"/>
      </w:pPr>
    </w:p>
    <w:p w14:paraId="47553E98" w14:textId="19CE90C0" w:rsidR="00EC2D9A" w:rsidRPr="000176EB" w:rsidRDefault="0085481F" w:rsidP="00F6077E">
      <w:pPr>
        <w:ind w:firstLine="709"/>
        <w:jc w:val="both"/>
      </w:pPr>
      <w:r w:rsidRPr="000176EB">
        <w:t>Piezīmes.</w:t>
      </w:r>
    </w:p>
    <w:p w14:paraId="44C005FF" w14:textId="34D8D239" w:rsidR="0085481F" w:rsidRPr="000176EB" w:rsidRDefault="0085481F" w:rsidP="00F6077E">
      <w:pPr>
        <w:pStyle w:val="FootnoteText"/>
        <w:spacing w:after="0"/>
        <w:ind w:firstLine="709"/>
        <w:jc w:val="both"/>
        <w:rPr>
          <w:rFonts w:ascii="Times New Roman" w:hAnsi="Times New Roman"/>
          <w:sz w:val="24"/>
          <w:szCs w:val="24"/>
          <w:lang w:val="lv-LV"/>
        </w:rPr>
      </w:pPr>
      <w:r w:rsidRPr="000176EB">
        <w:rPr>
          <w:rFonts w:ascii="Times New Roman" w:hAnsi="Times New Roman"/>
          <w:sz w:val="24"/>
          <w:szCs w:val="24"/>
          <w:vertAlign w:val="superscript"/>
          <w:lang w:val="lv-LV"/>
        </w:rPr>
        <w:t>1</w:t>
      </w:r>
      <w:r w:rsidR="002B32B9" w:rsidRPr="000176EB">
        <w:rPr>
          <w:rFonts w:ascii="Times New Roman" w:hAnsi="Times New Roman"/>
          <w:sz w:val="24"/>
          <w:szCs w:val="24"/>
          <w:vertAlign w:val="superscript"/>
          <w:lang w:val="lv-LV"/>
        </w:rPr>
        <w:t> </w:t>
      </w:r>
      <w:r w:rsidRPr="000176EB">
        <w:rPr>
          <w:rFonts w:ascii="Times New Roman" w:hAnsi="Times New Roman"/>
          <w:sz w:val="24"/>
          <w:szCs w:val="24"/>
          <w:lang w:val="lv-LV"/>
        </w:rPr>
        <w:t xml:space="preserve">Programmas atbalstīto uzņēmumu rezultātu mērīšana. </w:t>
      </w:r>
    </w:p>
    <w:p w14:paraId="15B2E1A1" w14:textId="7D05AC38" w:rsidR="0085481F" w:rsidRPr="000176EB" w:rsidRDefault="0085481F" w:rsidP="00F6077E">
      <w:pPr>
        <w:pStyle w:val="FootnoteText"/>
        <w:spacing w:after="0"/>
        <w:ind w:firstLine="709"/>
        <w:jc w:val="both"/>
        <w:rPr>
          <w:rFonts w:ascii="Times New Roman" w:hAnsi="Times New Roman"/>
          <w:sz w:val="24"/>
          <w:szCs w:val="24"/>
          <w:lang w:val="lv-LV"/>
        </w:rPr>
      </w:pPr>
      <w:r w:rsidRPr="000176EB">
        <w:rPr>
          <w:rFonts w:ascii="Times New Roman" w:hAnsi="Times New Roman"/>
          <w:sz w:val="24"/>
          <w:szCs w:val="24"/>
          <w:vertAlign w:val="superscript"/>
          <w:lang w:val="lv-LV"/>
        </w:rPr>
        <w:t>2</w:t>
      </w:r>
      <w:r w:rsidR="002B32B9" w:rsidRPr="000176EB">
        <w:rPr>
          <w:rFonts w:ascii="Times New Roman" w:hAnsi="Times New Roman"/>
          <w:sz w:val="24"/>
          <w:szCs w:val="24"/>
          <w:vertAlign w:val="superscript"/>
          <w:lang w:val="lv-LV"/>
        </w:rPr>
        <w:t> </w:t>
      </w:r>
      <w:r w:rsidR="00D57C31" w:rsidRPr="000176EB">
        <w:rPr>
          <w:rFonts w:ascii="Times New Roman" w:hAnsi="Times New Roman"/>
          <w:sz w:val="24"/>
          <w:szCs w:val="24"/>
          <w:lang w:val="lv-LV"/>
        </w:rPr>
        <w:t>K</w:t>
      </w:r>
      <w:r w:rsidRPr="000176EB">
        <w:rPr>
          <w:rFonts w:ascii="Times New Roman" w:hAnsi="Times New Roman"/>
          <w:sz w:val="24"/>
          <w:szCs w:val="24"/>
          <w:lang w:val="lv-LV"/>
        </w:rPr>
        <w:t>onkurētspēja</w:t>
      </w:r>
      <w:r w:rsidR="00D57C31" w:rsidRPr="000176EB">
        <w:rPr>
          <w:rFonts w:ascii="Times New Roman" w:hAnsi="Times New Roman"/>
          <w:sz w:val="24"/>
          <w:szCs w:val="24"/>
          <w:lang w:val="lv-LV"/>
        </w:rPr>
        <w:t xml:space="preserve"> –</w:t>
      </w:r>
      <w:r w:rsidRPr="000176EB">
        <w:rPr>
          <w:rFonts w:ascii="Times New Roman" w:hAnsi="Times New Roman"/>
          <w:sz w:val="24"/>
          <w:szCs w:val="24"/>
          <w:lang w:val="lv-LV"/>
        </w:rPr>
        <w:t xml:space="preserve"> </w:t>
      </w:r>
      <w:r w:rsidR="00D57C31" w:rsidRPr="000176EB">
        <w:rPr>
          <w:rFonts w:ascii="Times New Roman" w:hAnsi="Times New Roman"/>
          <w:sz w:val="24"/>
          <w:szCs w:val="24"/>
          <w:lang w:val="lv-LV"/>
        </w:rPr>
        <w:t>u</w:t>
      </w:r>
      <w:r w:rsidRPr="000176EB">
        <w:rPr>
          <w:rFonts w:ascii="Times New Roman" w:hAnsi="Times New Roman"/>
          <w:sz w:val="24"/>
          <w:szCs w:val="24"/>
          <w:lang w:val="lv-LV"/>
        </w:rPr>
        <w:t xml:space="preserve">zņēmumu spēja par konkurētspējīgām cenām piedāvāt produktus un pakalpojumus, kas atbilst kvalitātes standartiem vietējos un pasaules tirgos un nodrošina pietiekamu peļņu no resursiem, kas tiek izmantoti vai patērēti to ražošanā. </w:t>
      </w:r>
    </w:p>
    <w:p w14:paraId="0A8696BD" w14:textId="5DACE68A" w:rsidR="0085481F" w:rsidRPr="000176EB" w:rsidRDefault="0085481F" w:rsidP="00F6077E">
      <w:pPr>
        <w:pStyle w:val="FootnoteText"/>
        <w:spacing w:after="0"/>
        <w:ind w:firstLine="709"/>
        <w:jc w:val="both"/>
        <w:rPr>
          <w:rFonts w:ascii="Times New Roman" w:hAnsi="Times New Roman"/>
          <w:sz w:val="24"/>
          <w:szCs w:val="24"/>
          <w:lang w:val="lv-LV"/>
        </w:rPr>
      </w:pPr>
      <w:r w:rsidRPr="000176EB">
        <w:rPr>
          <w:rFonts w:ascii="Times New Roman" w:hAnsi="Times New Roman"/>
          <w:sz w:val="24"/>
          <w:szCs w:val="24"/>
          <w:vertAlign w:val="superscript"/>
          <w:lang w:val="lv-LV"/>
        </w:rPr>
        <w:t>3</w:t>
      </w:r>
      <w:r w:rsidR="002B32B9" w:rsidRPr="000176EB">
        <w:rPr>
          <w:rFonts w:ascii="Times New Roman" w:hAnsi="Times New Roman"/>
          <w:sz w:val="24"/>
          <w:szCs w:val="24"/>
          <w:vertAlign w:val="superscript"/>
          <w:lang w:val="lv-LV"/>
        </w:rPr>
        <w:t> </w:t>
      </w:r>
      <w:r w:rsidR="00D57C31" w:rsidRPr="000176EB">
        <w:rPr>
          <w:rFonts w:ascii="Times New Roman" w:hAnsi="Times New Roman"/>
          <w:sz w:val="24"/>
          <w:szCs w:val="24"/>
          <w:lang w:val="lv-LV"/>
        </w:rPr>
        <w:t>D</w:t>
      </w:r>
      <w:r w:rsidRPr="000176EB">
        <w:rPr>
          <w:rFonts w:ascii="Times New Roman" w:hAnsi="Times New Roman"/>
          <w:sz w:val="24"/>
          <w:szCs w:val="24"/>
          <w:lang w:val="lv-LV"/>
        </w:rPr>
        <w:t>arbavieta</w:t>
      </w:r>
      <w:r w:rsidR="00D57C31" w:rsidRPr="000176EB">
        <w:rPr>
          <w:rFonts w:ascii="Times New Roman" w:hAnsi="Times New Roman"/>
          <w:sz w:val="24"/>
          <w:szCs w:val="24"/>
          <w:lang w:val="lv-LV"/>
        </w:rPr>
        <w:t xml:space="preserve"> – </w:t>
      </w:r>
      <w:r w:rsidRPr="000176EB">
        <w:rPr>
          <w:rFonts w:ascii="Times New Roman" w:hAnsi="Times New Roman"/>
          <w:sz w:val="24"/>
          <w:szCs w:val="24"/>
          <w:lang w:val="lv-LV"/>
        </w:rPr>
        <w:t>pastāvīga, ar pilna laika slodzi un apmaksāta. Lai darbavietu uzskatītu par pastāvīgu, darbam ir jāilgst vismaz vienu gadu.</w:t>
      </w:r>
    </w:p>
    <w:p w14:paraId="68517B71" w14:textId="4D152242" w:rsidR="0085481F" w:rsidRPr="000176EB" w:rsidRDefault="0085481F" w:rsidP="00F6077E">
      <w:pPr>
        <w:pStyle w:val="FootnoteText"/>
        <w:spacing w:after="0"/>
        <w:ind w:firstLine="709"/>
        <w:jc w:val="both"/>
        <w:rPr>
          <w:rFonts w:ascii="Times New Roman" w:hAnsi="Times New Roman"/>
          <w:sz w:val="24"/>
          <w:szCs w:val="24"/>
        </w:rPr>
      </w:pPr>
      <w:r w:rsidRPr="000176EB">
        <w:rPr>
          <w:rFonts w:ascii="Times New Roman" w:hAnsi="Times New Roman"/>
          <w:sz w:val="24"/>
          <w:szCs w:val="24"/>
          <w:vertAlign w:val="superscript"/>
        </w:rPr>
        <w:t>4</w:t>
      </w:r>
      <w:r w:rsidR="002B32B9" w:rsidRPr="000176EB">
        <w:rPr>
          <w:rFonts w:ascii="Times New Roman" w:hAnsi="Times New Roman"/>
          <w:sz w:val="24"/>
          <w:szCs w:val="24"/>
          <w:vertAlign w:val="superscript"/>
        </w:rPr>
        <w:t> </w:t>
      </w:r>
      <w:r w:rsidRPr="000176EB">
        <w:rPr>
          <w:rFonts w:ascii="Times New Roman" w:hAnsi="Times New Roman"/>
          <w:sz w:val="24"/>
          <w:szCs w:val="24"/>
        </w:rPr>
        <w:t>Starpība starp ražošanas ieņēmumiem un ražošanas izdevumiem.</w:t>
      </w:r>
    </w:p>
    <w:p w14:paraId="6DB35D69" w14:textId="3ED02DEB" w:rsidR="0085481F" w:rsidRPr="000176EB" w:rsidRDefault="0085481F" w:rsidP="00F6077E">
      <w:pPr>
        <w:ind w:firstLine="709"/>
        <w:jc w:val="both"/>
      </w:pPr>
      <w:r w:rsidRPr="000176EB">
        <w:rPr>
          <w:vertAlign w:val="superscript"/>
        </w:rPr>
        <w:t>5</w:t>
      </w:r>
      <w:r w:rsidR="002B32B9" w:rsidRPr="000176EB">
        <w:rPr>
          <w:vertAlign w:val="superscript"/>
        </w:rPr>
        <w:t> </w:t>
      </w:r>
      <w:r w:rsidR="00D57C31" w:rsidRPr="000176EB">
        <w:t>I</w:t>
      </w:r>
      <w:r w:rsidRPr="000176EB">
        <w:t>eviests</w:t>
      </w:r>
      <w:r w:rsidR="00D57C31" w:rsidRPr="000176EB">
        <w:t xml:space="preserve"> –</w:t>
      </w:r>
      <w:r w:rsidRPr="000176EB">
        <w:t xml:space="preserve"> </w:t>
      </w:r>
      <w:r w:rsidR="00D57C31" w:rsidRPr="000176EB">
        <w:t>u</w:t>
      </w:r>
      <w:r w:rsidRPr="000176EB">
        <w:t>zņēmums izmant</w:t>
      </w:r>
      <w:r w:rsidR="00F828D2" w:rsidRPr="000176EB">
        <w:t>o</w:t>
      </w:r>
      <w:r w:rsidR="00D57C31" w:rsidRPr="000176EB">
        <w:t>jis</w:t>
      </w:r>
      <w:r w:rsidRPr="000176EB">
        <w:t xml:space="preserve"> risinājumus/tehnoloģiju/produktu, kas jau ir izstrādāts/pieejams tirgū, un pielāg</w:t>
      </w:r>
      <w:r w:rsidR="00F828D2" w:rsidRPr="000176EB">
        <w:t>o</w:t>
      </w:r>
      <w:r w:rsidR="00D57C31" w:rsidRPr="000176EB">
        <w:t>jis</w:t>
      </w:r>
      <w:r w:rsidRPr="000176EB">
        <w:t xml:space="preserve"> to uzņēmuma paša vajadzībām. Šāda veida projekti var ietvert pētniecības un attīstības komponentu, kas saistīts ar materiāla, procesa u.</w:t>
      </w:r>
      <w:r w:rsidR="00D57C31" w:rsidRPr="000176EB">
        <w:t> </w:t>
      </w:r>
      <w:r w:rsidRPr="000176EB">
        <w:t>c. pielāgošanu projekta iesniedzēja</w:t>
      </w:r>
      <w:r w:rsidR="00D57C31" w:rsidRPr="000176EB">
        <w:t xml:space="preserve"> </w:t>
      </w:r>
      <w:r w:rsidRPr="000176EB">
        <w:t>uzņēmuma vajadzībām.</w:t>
      </w:r>
    </w:p>
    <w:p w14:paraId="507EF1A6" w14:textId="537E7872" w:rsidR="0085481F" w:rsidRPr="000176EB" w:rsidRDefault="0085481F" w:rsidP="00F6077E">
      <w:pPr>
        <w:ind w:firstLine="709"/>
        <w:jc w:val="both"/>
      </w:pPr>
      <w:r w:rsidRPr="000176EB">
        <w:rPr>
          <w:vertAlign w:val="superscript"/>
        </w:rPr>
        <w:t>6</w:t>
      </w:r>
      <w:r w:rsidR="002B32B9" w:rsidRPr="000176EB">
        <w:rPr>
          <w:vertAlign w:val="superscript"/>
        </w:rPr>
        <w:t> </w:t>
      </w:r>
      <w:r w:rsidRPr="000176EB">
        <w:t xml:space="preserve">MVU </w:t>
      </w:r>
      <w:r w:rsidR="00D57C31" w:rsidRPr="000176EB">
        <w:t>–</w:t>
      </w:r>
      <w:r w:rsidRPr="000176EB">
        <w:t xml:space="preserve"> uzņēmumi, kas nodarbina mazāk nekā 250 personas un kuru gada apgrozījums nepārsniedz 50</w:t>
      </w:r>
      <w:r w:rsidR="00F6077E" w:rsidRPr="000176EB">
        <w:t> </w:t>
      </w:r>
      <w:r w:rsidRPr="000176EB">
        <w:t>miljonus EUR, un/vai gada bilances kopsumma nepārsniedz 43 miljonus EUR.</w:t>
      </w:r>
    </w:p>
    <w:p w14:paraId="13B8B8D2" w14:textId="35DF92B8" w:rsidR="0085481F" w:rsidRPr="000176EB" w:rsidRDefault="0085481F" w:rsidP="00F6077E">
      <w:pPr>
        <w:pStyle w:val="FootnoteText"/>
        <w:spacing w:after="0"/>
        <w:ind w:firstLine="709"/>
        <w:jc w:val="both"/>
        <w:rPr>
          <w:rFonts w:ascii="Times New Roman" w:hAnsi="Times New Roman"/>
          <w:sz w:val="24"/>
          <w:szCs w:val="24"/>
          <w:lang w:val="lv-LV"/>
        </w:rPr>
      </w:pPr>
      <w:r w:rsidRPr="000176EB">
        <w:rPr>
          <w:rFonts w:ascii="Times New Roman" w:hAnsi="Times New Roman"/>
          <w:sz w:val="24"/>
          <w:szCs w:val="24"/>
          <w:vertAlign w:val="superscript"/>
        </w:rPr>
        <w:t>7</w:t>
      </w:r>
      <w:r w:rsidR="002B32B9" w:rsidRPr="000176EB">
        <w:rPr>
          <w:rFonts w:ascii="Times New Roman" w:hAnsi="Times New Roman"/>
          <w:sz w:val="24"/>
          <w:szCs w:val="24"/>
          <w:vertAlign w:val="superscript"/>
        </w:rPr>
        <w:t> </w:t>
      </w:r>
      <w:r w:rsidRPr="000176EB">
        <w:rPr>
          <w:rFonts w:ascii="Times New Roman" w:hAnsi="Times New Roman"/>
          <w:sz w:val="24"/>
          <w:szCs w:val="24"/>
        </w:rPr>
        <w:t>Finanšu instrumenta birojs veiks pētījumu</w:t>
      </w:r>
      <w:r w:rsidR="00D57C31" w:rsidRPr="000176EB">
        <w:rPr>
          <w:rFonts w:ascii="Times New Roman" w:hAnsi="Times New Roman"/>
          <w:sz w:val="24"/>
          <w:szCs w:val="24"/>
        </w:rPr>
        <w:t>.</w:t>
      </w:r>
    </w:p>
    <w:p w14:paraId="3CF07CC0" w14:textId="77777777" w:rsidR="0085481F" w:rsidRPr="000176EB" w:rsidRDefault="0085481F" w:rsidP="00634577">
      <w:pPr>
        <w:tabs>
          <w:tab w:val="left" w:pos="6521"/>
        </w:tabs>
        <w:ind w:firstLine="709"/>
        <w:jc w:val="both"/>
      </w:pPr>
    </w:p>
    <w:p w14:paraId="0CFAAB65" w14:textId="77777777" w:rsidR="0085481F" w:rsidRPr="000176EB" w:rsidRDefault="0085481F" w:rsidP="00634577">
      <w:pPr>
        <w:tabs>
          <w:tab w:val="left" w:pos="6521"/>
        </w:tabs>
        <w:ind w:firstLine="709"/>
        <w:jc w:val="both"/>
        <w:rPr>
          <w:sz w:val="28"/>
          <w:szCs w:val="28"/>
        </w:rPr>
      </w:pPr>
    </w:p>
    <w:p w14:paraId="6EC0A4BC" w14:textId="77777777" w:rsidR="0085481F" w:rsidRPr="000176EB" w:rsidRDefault="0085481F" w:rsidP="00634577">
      <w:pPr>
        <w:tabs>
          <w:tab w:val="left" w:pos="6521"/>
        </w:tabs>
        <w:ind w:firstLine="709"/>
        <w:jc w:val="both"/>
        <w:rPr>
          <w:sz w:val="28"/>
          <w:szCs w:val="28"/>
        </w:rPr>
      </w:pPr>
    </w:p>
    <w:p w14:paraId="45C8C745" w14:textId="078E0774" w:rsidR="00EC2D9A" w:rsidRPr="00DF0934" w:rsidRDefault="00EC2D9A" w:rsidP="00634577">
      <w:pPr>
        <w:tabs>
          <w:tab w:val="left" w:pos="6521"/>
        </w:tabs>
        <w:ind w:firstLine="709"/>
        <w:jc w:val="both"/>
        <w:rPr>
          <w:sz w:val="28"/>
          <w:szCs w:val="28"/>
        </w:rPr>
      </w:pPr>
      <w:r w:rsidRPr="000176EB">
        <w:rPr>
          <w:sz w:val="28"/>
          <w:szCs w:val="28"/>
        </w:rPr>
        <w:t>Ekonomikas ministrs</w:t>
      </w:r>
      <w:r w:rsidRPr="000176EB">
        <w:rPr>
          <w:sz w:val="28"/>
          <w:szCs w:val="28"/>
        </w:rPr>
        <w:tab/>
        <w:t>J. </w:t>
      </w:r>
      <w:proofErr w:type="spellStart"/>
      <w:r w:rsidRPr="000176EB">
        <w:rPr>
          <w:sz w:val="28"/>
          <w:szCs w:val="28"/>
        </w:rPr>
        <w:t>Vitenbergs</w:t>
      </w:r>
      <w:proofErr w:type="spellEnd"/>
    </w:p>
    <w:p w14:paraId="42918100" w14:textId="77777777" w:rsidR="00EC2D9A" w:rsidRPr="00DF0934" w:rsidRDefault="00EC2D9A" w:rsidP="00DF0934">
      <w:pPr>
        <w:widowControl w:val="0"/>
        <w:tabs>
          <w:tab w:val="left" w:pos="709"/>
          <w:tab w:val="left" w:pos="7230"/>
        </w:tabs>
        <w:autoSpaceDE w:val="0"/>
        <w:autoSpaceDN w:val="0"/>
        <w:adjustRightInd w:val="0"/>
        <w:jc w:val="both"/>
        <w:rPr>
          <w:sz w:val="28"/>
          <w:szCs w:val="28"/>
        </w:rPr>
      </w:pPr>
    </w:p>
    <w:p w14:paraId="6A94742E" w14:textId="0BE3C5C9" w:rsidR="00FD6B53" w:rsidRPr="001E7DB5" w:rsidRDefault="00FD6B53" w:rsidP="000A311D"/>
    <w:sectPr w:rsidR="00FD6B53" w:rsidRPr="001E7DB5" w:rsidSect="00EC2D9A">
      <w:headerReference w:type="default" r:id="rId11"/>
      <w:footerReference w:type="defaul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7B25" w14:textId="77777777" w:rsidR="00990183" w:rsidRDefault="00990183" w:rsidP="000A311D">
      <w:r>
        <w:separator/>
      </w:r>
    </w:p>
  </w:endnote>
  <w:endnote w:type="continuationSeparator" w:id="0">
    <w:p w14:paraId="79175A22" w14:textId="77777777" w:rsidR="00990183" w:rsidRDefault="00990183" w:rsidP="000A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81BC" w14:textId="47D1AA1D" w:rsidR="00EC2D9A" w:rsidRPr="00EC2D9A" w:rsidRDefault="00EC2D9A">
    <w:pPr>
      <w:pStyle w:val="Footer"/>
      <w:rPr>
        <w:sz w:val="16"/>
        <w:szCs w:val="16"/>
      </w:rPr>
    </w:pPr>
    <w:r w:rsidRPr="00634577">
      <w:rPr>
        <w:sz w:val="16"/>
        <w:szCs w:val="16"/>
      </w:rPr>
      <w:t>N2521_0</w:t>
    </w:r>
    <w:r>
      <w:rPr>
        <w:sz w:val="16"/>
        <w:szCs w:val="16"/>
      </w:rPr>
      <w:t>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CC22" w14:textId="1B0CD775" w:rsidR="00EC2D9A" w:rsidRPr="00EC2D9A" w:rsidRDefault="00EC2D9A">
    <w:pPr>
      <w:pStyle w:val="Footer"/>
      <w:rPr>
        <w:sz w:val="16"/>
        <w:szCs w:val="16"/>
      </w:rPr>
    </w:pPr>
    <w:r w:rsidRPr="00634577">
      <w:rPr>
        <w:sz w:val="16"/>
        <w:szCs w:val="16"/>
      </w:rPr>
      <w:t>N2521_0</w:t>
    </w:r>
    <w:r>
      <w:rPr>
        <w:sz w:val="16"/>
        <w:szCs w:val="16"/>
      </w:rPr>
      <w:t>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87E6" w14:textId="77777777" w:rsidR="00990183" w:rsidRDefault="00990183" w:rsidP="000A311D">
      <w:r>
        <w:separator/>
      </w:r>
    </w:p>
  </w:footnote>
  <w:footnote w:type="continuationSeparator" w:id="0">
    <w:p w14:paraId="68D0390E" w14:textId="77777777" w:rsidR="00990183" w:rsidRDefault="00990183" w:rsidP="000A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705642"/>
      <w:docPartObj>
        <w:docPartGallery w:val="Page Numbers (Top of Page)"/>
        <w:docPartUnique/>
      </w:docPartObj>
    </w:sdtPr>
    <w:sdtEndPr/>
    <w:sdtContent>
      <w:p w14:paraId="59BD0E17" w14:textId="58808DA4" w:rsidR="00EC2D9A" w:rsidRDefault="00EC2D9A">
        <w:pPr>
          <w:pStyle w:val="Header"/>
          <w:jc w:val="center"/>
        </w:pPr>
        <w:r>
          <w:fldChar w:fldCharType="begin"/>
        </w:r>
        <w:r>
          <w:instrText>PAGE   \* MERGEFORMAT</w:instrText>
        </w:r>
        <w:r>
          <w:fldChar w:fldCharType="separate"/>
        </w:r>
        <w:r>
          <w:rPr>
            <w:lang w:val="lt-LT"/>
          </w:rPr>
          <w:t>2</w:t>
        </w:r>
        <w:r>
          <w:fldChar w:fldCharType="end"/>
        </w:r>
      </w:p>
    </w:sdtContent>
  </w:sdt>
  <w:p w14:paraId="63198A1B" w14:textId="77777777" w:rsidR="00EC2D9A" w:rsidRDefault="00EC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4BBB"/>
    <w:multiLevelType w:val="hybridMultilevel"/>
    <w:tmpl w:val="39FCF9C8"/>
    <w:lvl w:ilvl="0" w:tplc="5C2A11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1D"/>
    <w:rsid w:val="000176EB"/>
    <w:rsid w:val="000A311D"/>
    <w:rsid w:val="00127850"/>
    <w:rsid w:val="001E7DB5"/>
    <w:rsid w:val="00204CF4"/>
    <w:rsid w:val="00240CA4"/>
    <w:rsid w:val="002B32B9"/>
    <w:rsid w:val="002E179C"/>
    <w:rsid w:val="00317E83"/>
    <w:rsid w:val="005878D0"/>
    <w:rsid w:val="00686D79"/>
    <w:rsid w:val="00783817"/>
    <w:rsid w:val="0085481F"/>
    <w:rsid w:val="00990183"/>
    <w:rsid w:val="00B36257"/>
    <w:rsid w:val="00BF2DFB"/>
    <w:rsid w:val="00D332BD"/>
    <w:rsid w:val="00D57C31"/>
    <w:rsid w:val="00D959A0"/>
    <w:rsid w:val="00EC2D9A"/>
    <w:rsid w:val="00F125C4"/>
    <w:rsid w:val="00F6077E"/>
    <w:rsid w:val="00F828D2"/>
    <w:rsid w:val="00FD6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E2884C"/>
  <w15:chartTrackingRefBased/>
  <w15:docId w15:val="{CD35B86F-5886-47B3-91AD-7280A8B4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1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11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A311D"/>
    <w:rPr>
      <w:rFonts w:ascii="Segoe UI" w:hAnsi="Segoe UI" w:cs="Segoe UI"/>
      <w:sz w:val="18"/>
      <w:szCs w:val="18"/>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rsid w:val="000A311D"/>
    <w:pPr>
      <w:spacing w:after="120"/>
    </w:pPr>
    <w:rPr>
      <w:rFonts w:ascii="Calibri" w:hAnsi="Calibri"/>
      <w:sz w:val="20"/>
      <w:szCs w:val="20"/>
      <w:lang w:val="nb-NO" w:eastAsia="en-US"/>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0A311D"/>
    <w:rPr>
      <w:rFonts w:ascii="Calibri" w:eastAsia="Times New Roman" w:hAnsi="Calibri" w:cs="Times New Roman"/>
      <w:sz w:val="20"/>
      <w:szCs w:val="20"/>
      <w:lang w:val="nb-NO"/>
    </w:rPr>
  </w:style>
  <w:style w:type="character" w:styleId="FootnoteReference">
    <w:name w:val="footnote reference"/>
    <w:aliases w:val="4_G,Footnote Reference Number,Footnote Reference Superscript,Footnote symbol,fr"/>
    <w:uiPriority w:val="99"/>
    <w:rsid w:val="000A311D"/>
    <w:rPr>
      <w:vertAlign w:val="superscript"/>
    </w:rPr>
  </w:style>
  <w:style w:type="paragraph" w:styleId="Header">
    <w:name w:val="header"/>
    <w:basedOn w:val="Normal"/>
    <w:link w:val="HeaderChar"/>
    <w:uiPriority w:val="99"/>
    <w:unhideWhenUsed/>
    <w:rsid w:val="00F125C4"/>
    <w:pPr>
      <w:tabs>
        <w:tab w:val="center" w:pos="4153"/>
        <w:tab w:val="right" w:pos="8306"/>
      </w:tabs>
    </w:pPr>
  </w:style>
  <w:style w:type="character" w:customStyle="1" w:styleId="HeaderChar">
    <w:name w:val="Header Char"/>
    <w:basedOn w:val="DefaultParagraphFont"/>
    <w:link w:val="Header"/>
    <w:uiPriority w:val="99"/>
    <w:rsid w:val="00F125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5C4"/>
    <w:pPr>
      <w:tabs>
        <w:tab w:val="center" w:pos="4153"/>
        <w:tab w:val="right" w:pos="8306"/>
      </w:tabs>
    </w:pPr>
  </w:style>
  <w:style w:type="character" w:customStyle="1" w:styleId="FooterChar">
    <w:name w:val="Footer Char"/>
    <w:basedOn w:val="DefaultParagraphFont"/>
    <w:link w:val="Footer"/>
    <w:uiPriority w:val="99"/>
    <w:rsid w:val="00F125C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878D0"/>
    <w:rPr>
      <w:sz w:val="16"/>
      <w:szCs w:val="16"/>
    </w:rPr>
  </w:style>
  <w:style w:type="paragraph" w:styleId="CommentText">
    <w:name w:val="annotation text"/>
    <w:basedOn w:val="Normal"/>
    <w:link w:val="CommentTextChar"/>
    <w:uiPriority w:val="99"/>
    <w:semiHidden/>
    <w:unhideWhenUsed/>
    <w:rsid w:val="005878D0"/>
    <w:rPr>
      <w:sz w:val="20"/>
      <w:szCs w:val="20"/>
    </w:rPr>
  </w:style>
  <w:style w:type="character" w:customStyle="1" w:styleId="CommentTextChar">
    <w:name w:val="Comment Text Char"/>
    <w:basedOn w:val="DefaultParagraphFont"/>
    <w:link w:val="CommentText"/>
    <w:uiPriority w:val="99"/>
    <w:semiHidden/>
    <w:rsid w:val="005878D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78D0"/>
    <w:rPr>
      <w:b/>
      <w:bCs/>
    </w:rPr>
  </w:style>
  <w:style w:type="character" w:customStyle="1" w:styleId="CommentSubjectChar">
    <w:name w:val="Comment Subject Char"/>
    <w:basedOn w:val="CommentTextChar"/>
    <w:link w:val="CommentSubject"/>
    <w:uiPriority w:val="99"/>
    <w:semiHidden/>
    <w:rsid w:val="005878D0"/>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78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FB95-3AEA-4107-B8EE-8B7E23245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BFE80-BF52-42F4-B77C-7D58F5D9A0C6}">
  <ds:schemaRefs>
    <ds:schemaRef ds:uri="http://schemas.microsoft.com/sharepoint/v3/contenttype/forms"/>
  </ds:schemaRefs>
</ds:datastoreItem>
</file>

<file path=customXml/itemProps3.xml><?xml version="1.0" encoding="utf-8"?>
<ds:datastoreItem xmlns:ds="http://schemas.openxmlformats.org/officeDocument/2006/customXml" ds:itemID="{015AE756-4907-4EC0-A214-4B0B516F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244EC-52C7-40EA-B370-5F46F8F9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3085</Words>
  <Characters>1759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1. pielikums: Programmas "Uzņēmējdarbības attīstība, inovācijas un mazie un vidējie uzņēmumi" rezultāta un iznākuma rādītāju sasniedzamās vērtības</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Programmas "Uzņēmējdarbības attīstība, inovācijas un mazie un vidējie uzņēmumi" rezultāta un iznākuma rādītāju sasniedzamās vērtības</dc:title>
  <dc:subject/>
  <dc:creator>Martins.Jansons@em.gov.lv</dc:creator>
  <cp:keywords>EMNotp1_20072020_NFI_MVU</cp:keywords>
  <dc:description>Martins.Jansons@em.gov.lv, 67013057</dc:description>
  <cp:lastModifiedBy>Leontine Babkina</cp:lastModifiedBy>
  <cp:revision>16</cp:revision>
  <dcterms:created xsi:type="dcterms:W3CDTF">2020-11-17T15:38:00Z</dcterms:created>
  <dcterms:modified xsi:type="dcterms:W3CDTF">2021-01-12T08:17:00Z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