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D3D23" w14:textId="77777777" w:rsidR="00BD5588" w:rsidRPr="00895DDC" w:rsidRDefault="00BD5588" w:rsidP="00BD5588">
      <w:pPr>
        <w:pStyle w:val="Title"/>
        <w:spacing w:before="130" w:line="260" w:lineRule="exact"/>
        <w:ind w:firstLine="539"/>
        <w:jc w:val="both"/>
        <w:rPr>
          <w:sz w:val="20"/>
        </w:rPr>
      </w:pPr>
    </w:p>
    <w:p w14:paraId="611F569B" w14:textId="5C76DE5B" w:rsidR="00BD5588" w:rsidRPr="00EF0E08" w:rsidRDefault="00937D51" w:rsidP="00937D51">
      <w:pPr>
        <w:pStyle w:val="paragraph"/>
        <w:spacing w:before="0" w:beforeAutospacing="0" w:after="0" w:afterAutospacing="0"/>
        <w:jc w:val="center"/>
        <w:textAlignment w:val="baseline"/>
        <w:rPr>
          <w:b/>
          <w:bCs/>
          <w:sz w:val="26"/>
          <w:szCs w:val="26"/>
        </w:rPr>
      </w:pPr>
      <w:bookmarkStart w:id="0" w:name="_Hlk57636109"/>
      <w:r w:rsidRPr="00EF0E08">
        <w:rPr>
          <w:b/>
          <w:bCs/>
          <w:sz w:val="26"/>
          <w:szCs w:val="26"/>
          <w:shd w:val="clear" w:color="auto" w:fill="FFFFFF"/>
        </w:rPr>
        <w:t>Ministru kabineta noteikumu projekta “</w:t>
      </w:r>
      <w:bookmarkStart w:id="1" w:name="_Hlk61532284"/>
      <w:r w:rsidRPr="00EF0E08">
        <w:rPr>
          <w:b/>
          <w:bCs/>
          <w:sz w:val="26"/>
          <w:szCs w:val="26"/>
          <w:shd w:val="clear" w:color="auto" w:fill="FFFFFF"/>
        </w:rPr>
        <w:t xml:space="preserve">Noteikumi par </w:t>
      </w:r>
      <w:bookmarkEnd w:id="0"/>
      <w:r w:rsidRPr="00EF0E08">
        <w:rPr>
          <w:b/>
          <w:bCs/>
          <w:sz w:val="26"/>
          <w:szCs w:val="26"/>
          <w:shd w:val="clear" w:color="auto" w:fill="FFFFFF"/>
        </w:rPr>
        <w:t>prioritāro investīciju projektu apkalpošanu</w:t>
      </w:r>
      <w:bookmarkEnd w:id="1"/>
      <w:r w:rsidRPr="00EF0E08">
        <w:rPr>
          <w:b/>
          <w:bCs/>
          <w:sz w:val="26"/>
          <w:szCs w:val="26"/>
        </w:rPr>
        <w:t xml:space="preserve">” </w:t>
      </w:r>
      <w:r w:rsidR="00BD5588" w:rsidRPr="00EF0E08">
        <w:rPr>
          <w:b/>
          <w:bCs/>
          <w:sz w:val="26"/>
          <w:szCs w:val="26"/>
        </w:rPr>
        <w:t>sākotnējās ietekmes novērtējuma ziņojums (anotācija)</w:t>
      </w:r>
    </w:p>
    <w:p w14:paraId="0A4A71EC" w14:textId="77777777" w:rsidR="00BD5588" w:rsidRPr="00287E11" w:rsidRDefault="00BD5588" w:rsidP="00BD5588">
      <w:pPr>
        <w:pStyle w:val="Title"/>
        <w:spacing w:before="130" w:line="260" w:lineRule="exact"/>
        <w:ind w:firstLine="53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6"/>
        <w:gridCol w:w="5310"/>
      </w:tblGrid>
      <w:tr w:rsidR="00BD5588" w:rsidRPr="00EF0E08" w14:paraId="75CE7C59" w14:textId="77777777" w:rsidTr="635B1FAC">
        <w:trPr>
          <w:cantSplit/>
        </w:trPr>
        <w:tc>
          <w:tcPr>
            <w:tcW w:w="9581" w:type="dxa"/>
            <w:gridSpan w:val="2"/>
            <w:shd w:val="clear" w:color="auto" w:fill="FFFFFF" w:themeFill="background1"/>
            <w:vAlign w:val="center"/>
            <w:hideMark/>
          </w:tcPr>
          <w:p w14:paraId="650116A4" w14:textId="77777777" w:rsidR="00BD5588" w:rsidRPr="00EF0E08" w:rsidRDefault="00BD5588" w:rsidP="009E734D">
            <w:pPr>
              <w:rPr>
                <w:b/>
                <w:iCs/>
                <w:lang w:eastAsia="en-US"/>
              </w:rPr>
            </w:pPr>
            <w:r w:rsidRPr="00EF0E08">
              <w:rPr>
                <w:b/>
                <w:iCs/>
                <w:lang w:eastAsia="en-US"/>
              </w:rPr>
              <w:t>Tiesību akta projekta anotācijas kopsavilkums</w:t>
            </w:r>
          </w:p>
        </w:tc>
      </w:tr>
      <w:tr w:rsidR="00062BEB" w:rsidRPr="00EF0E08" w14:paraId="5DB0BA84" w14:textId="77777777" w:rsidTr="635B1FAC">
        <w:trPr>
          <w:cantSplit/>
        </w:trPr>
        <w:tc>
          <w:tcPr>
            <w:tcW w:w="3430" w:type="dxa"/>
            <w:shd w:val="clear" w:color="auto" w:fill="FFFFFF" w:themeFill="background1"/>
            <w:hideMark/>
          </w:tcPr>
          <w:p w14:paraId="0D855C52" w14:textId="77777777" w:rsidR="00BD5588" w:rsidRPr="00EF0E08" w:rsidRDefault="00BD5588" w:rsidP="00EF0E08">
            <w:pPr>
              <w:rPr>
                <w:iCs/>
                <w:sz w:val="22"/>
                <w:szCs w:val="22"/>
                <w:lang w:eastAsia="en-US"/>
              </w:rPr>
            </w:pPr>
            <w:bookmarkStart w:id="2" w:name="_Hlk61531644"/>
            <w:r w:rsidRPr="00EF0E08">
              <w:rPr>
                <w:iCs/>
                <w:sz w:val="22"/>
                <w:szCs w:val="22"/>
                <w:lang w:eastAsia="en-US"/>
              </w:rPr>
              <w:t>Mērķis, risinājums un projekta spēkā stāšanās laiks (500 zīmes bez atstarpēm)</w:t>
            </w:r>
          </w:p>
        </w:tc>
        <w:tc>
          <w:tcPr>
            <w:tcW w:w="6151" w:type="dxa"/>
            <w:shd w:val="clear" w:color="auto" w:fill="FFFFFF" w:themeFill="background1"/>
            <w:hideMark/>
          </w:tcPr>
          <w:p w14:paraId="1C305FA6" w14:textId="4AEB3C2E" w:rsidR="00BD5588" w:rsidRPr="00EF0E08" w:rsidRDefault="00062BEB" w:rsidP="00EF0E08">
            <w:pPr>
              <w:rPr>
                <w:sz w:val="22"/>
                <w:szCs w:val="22"/>
                <w:lang w:eastAsia="en-US"/>
              </w:rPr>
            </w:pPr>
            <w:r w:rsidRPr="00EF0E08">
              <w:rPr>
                <w:sz w:val="22"/>
                <w:szCs w:val="22"/>
                <w:lang w:eastAsia="en-US"/>
              </w:rPr>
              <w:t>Lai veicinātu Latvijas tautsaimniecības at</w:t>
            </w:r>
            <w:r w:rsidR="007D2FD6" w:rsidRPr="00EF0E08">
              <w:rPr>
                <w:sz w:val="22"/>
                <w:szCs w:val="22"/>
                <w:lang w:eastAsia="en-US"/>
              </w:rPr>
              <w:t>gūšanos no krīzes</w:t>
            </w:r>
            <w:r w:rsidRPr="00EF0E08">
              <w:rPr>
                <w:sz w:val="22"/>
                <w:szCs w:val="22"/>
                <w:lang w:eastAsia="en-US"/>
              </w:rPr>
              <w:t xml:space="preserve"> un ekonomiskās situācijas uzlabošanos</w:t>
            </w:r>
            <w:r w:rsidR="007D2FD6" w:rsidRPr="00EF0E08">
              <w:rPr>
                <w:sz w:val="22"/>
                <w:szCs w:val="22"/>
                <w:lang w:eastAsia="en-US"/>
              </w:rPr>
              <w:t>, 2020.g</w:t>
            </w:r>
            <w:r w:rsidR="00B23D40">
              <w:rPr>
                <w:sz w:val="22"/>
                <w:szCs w:val="22"/>
                <w:lang w:eastAsia="en-US"/>
              </w:rPr>
              <w:t>ada</w:t>
            </w:r>
            <w:r w:rsidR="007D2FD6" w:rsidRPr="00EF0E08">
              <w:rPr>
                <w:sz w:val="22"/>
                <w:szCs w:val="22"/>
                <w:lang w:eastAsia="en-US"/>
              </w:rPr>
              <w:t xml:space="preserve"> 10.jūnija Covid-19 infekcijas izplatības seku pārvarēšanas likuma 59.</w:t>
            </w:r>
            <w:r w:rsidR="00B23D40">
              <w:rPr>
                <w:sz w:val="22"/>
                <w:szCs w:val="22"/>
                <w:lang w:eastAsia="en-US"/>
              </w:rPr>
              <w:t> </w:t>
            </w:r>
            <w:r w:rsidR="007D2FD6" w:rsidRPr="00EF0E08">
              <w:rPr>
                <w:sz w:val="22"/>
                <w:szCs w:val="22"/>
                <w:lang w:eastAsia="en-US"/>
              </w:rPr>
              <w:t xml:space="preserve">pantā ir paredzēts pasākums </w:t>
            </w:r>
            <w:r w:rsidR="00B23D40">
              <w:rPr>
                <w:sz w:val="22"/>
                <w:szCs w:val="22"/>
                <w:lang w:eastAsia="en-US"/>
              </w:rPr>
              <w:t>–</w:t>
            </w:r>
            <w:r w:rsidR="007D2FD6" w:rsidRPr="00EF0E08">
              <w:rPr>
                <w:sz w:val="22"/>
                <w:szCs w:val="22"/>
                <w:lang w:eastAsia="en-US"/>
              </w:rPr>
              <w:t xml:space="preserve"> paātrināt privāto investīciju apjoma pieaugumu. </w:t>
            </w:r>
            <w:r w:rsidR="002C00C5" w:rsidRPr="00EF0E08">
              <w:rPr>
                <w:sz w:val="22"/>
                <w:szCs w:val="22"/>
                <w:lang w:eastAsia="en-US"/>
              </w:rPr>
              <w:t>Ministru kabineta noteikumu “Noteikumi par prioritāro investīciju projektu apkalpošanu”</w:t>
            </w:r>
            <w:r w:rsidR="00AA5009" w:rsidRPr="00EF0E08">
              <w:rPr>
                <w:sz w:val="22"/>
                <w:szCs w:val="22"/>
                <w:lang w:eastAsia="en-US"/>
              </w:rPr>
              <w:t xml:space="preserve"> projekts (turpmāk – Noteikumu projekts) </w:t>
            </w:r>
            <w:r w:rsidR="007D2FD6" w:rsidRPr="00EF0E08">
              <w:rPr>
                <w:sz w:val="22"/>
                <w:szCs w:val="22"/>
                <w:lang w:eastAsia="en-US"/>
              </w:rPr>
              <w:t xml:space="preserve">ir izstrādāts šī pasākuma īstenošanai un </w:t>
            </w:r>
            <w:r w:rsidR="00AA5009" w:rsidRPr="00EF0E08">
              <w:rPr>
                <w:sz w:val="22"/>
                <w:szCs w:val="22"/>
                <w:lang w:eastAsia="en-US"/>
              </w:rPr>
              <w:t>nosaka</w:t>
            </w:r>
            <w:r w:rsidR="0039136E" w:rsidRPr="00EF0E08">
              <w:rPr>
                <w:sz w:val="22"/>
                <w:szCs w:val="22"/>
                <w:lang w:eastAsia="en-US"/>
              </w:rPr>
              <w:t xml:space="preserve"> p</w:t>
            </w:r>
            <w:r w:rsidR="00AA5009" w:rsidRPr="00EF0E08">
              <w:rPr>
                <w:sz w:val="22"/>
                <w:szCs w:val="22"/>
                <w:lang w:eastAsia="en-US"/>
              </w:rPr>
              <w:t>rioritāro investīciju projektu sektorus, komersantu kvalifikācijas kritērijus un investīciju projektu</w:t>
            </w:r>
            <w:r w:rsidR="0088274F" w:rsidRPr="00EF0E08">
              <w:rPr>
                <w:sz w:val="22"/>
                <w:szCs w:val="22"/>
                <w:lang w:eastAsia="en-US"/>
              </w:rPr>
              <w:t xml:space="preserve"> apstiprināšanas kārtību</w:t>
            </w:r>
            <w:r w:rsidR="00AA5009" w:rsidRPr="00EF0E08">
              <w:rPr>
                <w:sz w:val="22"/>
                <w:szCs w:val="22"/>
                <w:lang w:eastAsia="en-US"/>
              </w:rPr>
              <w:t>, attiecībā uz kuriem tiešās un pastarpinātās pārvaldes iestādes, kā arī privātpersonas</w:t>
            </w:r>
            <w:r w:rsidR="0039136E" w:rsidRPr="00EF0E08">
              <w:rPr>
                <w:sz w:val="22"/>
                <w:szCs w:val="22"/>
                <w:lang w:eastAsia="en-US"/>
              </w:rPr>
              <w:t xml:space="preserve"> </w:t>
            </w:r>
            <w:r w:rsidR="00AA5009" w:rsidRPr="00EF0E08">
              <w:rPr>
                <w:sz w:val="22"/>
                <w:szCs w:val="22"/>
                <w:lang w:eastAsia="en-US"/>
              </w:rPr>
              <w:t xml:space="preserve">nodrošina </w:t>
            </w:r>
            <w:r w:rsidR="0039136E" w:rsidRPr="00EF0E08">
              <w:rPr>
                <w:sz w:val="22"/>
                <w:szCs w:val="22"/>
                <w:lang w:eastAsia="en-US"/>
              </w:rPr>
              <w:t>pakalpojumu sniegšanu  prioritārā kārtībā un termiņā</w:t>
            </w:r>
            <w:r w:rsidR="0088274F" w:rsidRPr="00EF0E08">
              <w:rPr>
                <w:sz w:val="22"/>
                <w:szCs w:val="22"/>
                <w:lang w:eastAsia="en-US"/>
              </w:rPr>
              <w:t xml:space="preserve">. </w:t>
            </w:r>
            <w:r w:rsidR="0039136E" w:rsidRPr="00EF0E08">
              <w:rPr>
                <w:sz w:val="22"/>
                <w:szCs w:val="22"/>
                <w:lang w:eastAsia="en-US"/>
              </w:rPr>
              <w:t>Noteikumu projekts nosaka arī v</w:t>
            </w:r>
            <w:r w:rsidR="00AA5009" w:rsidRPr="00EF0E08">
              <w:rPr>
                <w:sz w:val="22"/>
                <w:szCs w:val="22"/>
                <w:lang w:eastAsia="en-US"/>
              </w:rPr>
              <w:t>alsts pārvaldes uzdevumu ietvaros sniedzamo pakalpojumu sarakstu un gadījumus, kas nodrošināmi prioritārā kārtībā un termiņā attiecībā uz prioritārajiem investīciju projektiem.</w:t>
            </w:r>
          </w:p>
          <w:p w14:paraId="28ACC48B" w14:textId="06FCC185" w:rsidR="00ED3BEA" w:rsidRPr="00EF0E08" w:rsidRDefault="00ED3BEA" w:rsidP="00EF0E08">
            <w:pPr>
              <w:rPr>
                <w:sz w:val="22"/>
                <w:szCs w:val="22"/>
                <w:lang w:eastAsia="en-US"/>
              </w:rPr>
            </w:pPr>
          </w:p>
          <w:p w14:paraId="18D3E107" w14:textId="77777777" w:rsidR="00ED3BEA" w:rsidRPr="00EF0E08" w:rsidRDefault="00ED3BEA" w:rsidP="00EF0E08">
            <w:pPr>
              <w:rPr>
                <w:sz w:val="22"/>
                <w:szCs w:val="22"/>
                <w:lang w:eastAsia="en-US"/>
              </w:rPr>
            </w:pPr>
            <w:r w:rsidRPr="00EF0E08">
              <w:rPr>
                <w:sz w:val="22"/>
                <w:szCs w:val="22"/>
                <w:lang w:eastAsia="en-US"/>
              </w:rPr>
              <w:t xml:space="preserve">Noteikumu mērķis ir samazināt administratīvo slogu un paātrināt administratīvos saskaņošanas procesus, vienlaicīgi veicinot Latvijas konkurētspēju investīciju piesaistes jomā. </w:t>
            </w:r>
          </w:p>
          <w:p w14:paraId="46779E4C" w14:textId="77777777" w:rsidR="00ED3BEA" w:rsidRPr="00EF0E08" w:rsidRDefault="00ED3BEA" w:rsidP="00EF0E08">
            <w:pPr>
              <w:rPr>
                <w:sz w:val="22"/>
                <w:szCs w:val="22"/>
                <w:lang w:eastAsia="en-US"/>
              </w:rPr>
            </w:pPr>
          </w:p>
          <w:p w14:paraId="2998C78F" w14:textId="136C8D5B" w:rsidR="00ED3BEA" w:rsidRPr="00EF0E08" w:rsidRDefault="00ED3BEA" w:rsidP="00EF0E08">
            <w:pPr>
              <w:rPr>
                <w:sz w:val="22"/>
                <w:szCs w:val="22"/>
                <w:lang w:eastAsia="en-US"/>
              </w:rPr>
            </w:pPr>
            <w:r w:rsidRPr="00EF0E08">
              <w:rPr>
                <w:sz w:val="22"/>
                <w:szCs w:val="22"/>
                <w:lang w:eastAsia="en-US"/>
              </w:rPr>
              <w:t xml:space="preserve">Noteikumiem nav fiskālas ietekmes.  </w:t>
            </w:r>
          </w:p>
          <w:p w14:paraId="402FDD39" w14:textId="77777777" w:rsidR="00A334E4" w:rsidRPr="00EF0E08" w:rsidRDefault="00A334E4" w:rsidP="00EF0E08">
            <w:pPr>
              <w:rPr>
                <w:sz w:val="22"/>
                <w:szCs w:val="22"/>
                <w:lang w:eastAsia="en-US"/>
              </w:rPr>
            </w:pPr>
          </w:p>
          <w:p w14:paraId="50335E2D" w14:textId="78FC0E11" w:rsidR="00EC7889" w:rsidRPr="00EF0E08" w:rsidRDefault="00EC7889" w:rsidP="00EF0E08">
            <w:pPr>
              <w:rPr>
                <w:sz w:val="22"/>
                <w:szCs w:val="22"/>
                <w:lang w:eastAsia="en-US"/>
              </w:rPr>
            </w:pPr>
            <w:r w:rsidRPr="00EF0E08">
              <w:rPr>
                <w:sz w:val="22"/>
                <w:szCs w:val="22"/>
                <w:lang w:eastAsia="en-US"/>
              </w:rPr>
              <w:t xml:space="preserve">Noteikumi stāsies spēkā </w:t>
            </w:r>
            <w:r w:rsidR="003819AB" w:rsidRPr="00EF0E08">
              <w:rPr>
                <w:sz w:val="22"/>
                <w:szCs w:val="22"/>
                <w:lang w:eastAsia="en-US"/>
              </w:rPr>
              <w:t>2021.gada 1.februārī</w:t>
            </w:r>
            <w:r w:rsidRPr="00EF0E08">
              <w:rPr>
                <w:sz w:val="22"/>
                <w:szCs w:val="22"/>
                <w:lang w:eastAsia="en-US"/>
              </w:rPr>
              <w:t>.</w:t>
            </w:r>
          </w:p>
        </w:tc>
      </w:tr>
      <w:bookmarkEnd w:id="2"/>
    </w:tbl>
    <w:p w14:paraId="5FF02F72" w14:textId="77777777" w:rsidR="00BD5588" w:rsidRPr="00EF0E08" w:rsidRDefault="00BD5588" w:rsidP="00EF0E08">
      <w:pPr>
        <w:pStyle w:val="Title"/>
        <w:spacing w:before="130" w:line="260" w:lineRule="exact"/>
        <w:ind w:firstLine="539"/>
        <w:jc w:val="lef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EF0E08" w14:paraId="1F2B189B" w14:textId="77777777" w:rsidTr="527D0A3B">
        <w:tc>
          <w:tcPr>
            <w:tcW w:w="5000" w:type="pct"/>
            <w:gridSpan w:val="3"/>
            <w:vAlign w:val="center"/>
            <w:hideMark/>
          </w:tcPr>
          <w:p w14:paraId="1C590BEC" w14:textId="77777777" w:rsidR="00BD5588" w:rsidRPr="00EF0E08" w:rsidRDefault="00BD5588" w:rsidP="009E734D">
            <w:pPr>
              <w:rPr>
                <w:b/>
                <w:bCs/>
              </w:rPr>
            </w:pPr>
            <w:r w:rsidRPr="00EF0E08">
              <w:rPr>
                <w:b/>
                <w:bCs/>
              </w:rPr>
              <w:t>I. Tiesību akta projekta izstrādes nepieciešamība</w:t>
            </w:r>
          </w:p>
        </w:tc>
      </w:tr>
      <w:tr w:rsidR="00BD5588" w:rsidRPr="00EF0E08" w14:paraId="7E207E1C" w14:textId="77777777" w:rsidTr="527D0A3B">
        <w:tc>
          <w:tcPr>
            <w:tcW w:w="311" w:type="pct"/>
            <w:hideMark/>
          </w:tcPr>
          <w:p w14:paraId="535BAACE" w14:textId="77777777" w:rsidR="00BD5588" w:rsidRPr="00EF0E08" w:rsidRDefault="00BD5588" w:rsidP="00EF0E08">
            <w:pPr>
              <w:rPr>
                <w:sz w:val="22"/>
                <w:szCs w:val="22"/>
              </w:rPr>
            </w:pPr>
            <w:bookmarkStart w:id="3" w:name="_Hlk61531657"/>
            <w:r w:rsidRPr="00EF0E08">
              <w:rPr>
                <w:sz w:val="22"/>
                <w:szCs w:val="22"/>
              </w:rPr>
              <w:t>1.</w:t>
            </w:r>
          </w:p>
        </w:tc>
        <w:tc>
          <w:tcPr>
            <w:tcW w:w="1479" w:type="pct"/>
            <w:hideMark/>
          </w:tcPr>
          <w:p w14:paraId="7EB47906" w14:textId="77777777" w:rsidR="00BD5588" w:rsidRPr="00EF0E08" w:rsidRDefault="00BD5588" w:rsidP="00EF0E08">
            <w:pPr>
              <w:rPr>
                <w:sz w:val="22"/>
                <w:szCs w:val="22"/>
              </w:rPr>
            </w:pPr>
            <w:r w:rsidRPr="00EF0E08">
              <w:rPr>
                <w:sz w:val="22"/>
                <w:szCs w:val="22"/>
              </w:rPr>
              <w:t>Pamatojums</w:t>
            </w:r>
          </w:p>
        </w:tc>
        <w:tc>
          <w:tcPr>
            <w:tcW w:w="3210" w:type="pct"/>
            <w:hideMark/>
          </w:tcPr>
          <w:p w14:paraId="2A067A29" w14:textId="77777777" w:rsidR="00BD5588" w:rsidRPr="00EF0E08" w:rsidRDefault="003A47A1" w:rsidP="00EF0E08">
            <w:pPr>
              <w:rPr>
                <w:sz w:val="22"/>
                <w:szCs w:val="22"/>
              </w:rPr>
            </w:pPr>
            <w:r w:rsidRPr="00EF0E08">
              <w:rPr>
                <w:sz w:val="22"/>
                <w:szCs w:val="22"/>
              </w:rPr>
              <w:t>Noteikumu projekts izstrādāts, pamatojoties uz Covid-19 infekcijas izplatības seku pārvarēšanas likuma 59.panta otro daļu.</w:t>
            </w:r>
          </w:p>
          <w:p w14:paraId="6C93D35D" w14:textId="6A3C6548" w:rsidR="00A334E4" w:rsidRPr="00EF0E08" w:rsidRDefault="00A334E4" w:rsidP="00EF0E08">
            <w:pPr>
              <w:rPr>
                <w:sz w:val="22"/>
                <w:szCs w:val="22"/>
              </w:rPr>
            </w:pPr>
          </w:p>
        </w:tc>
      </w:tr>
      <w:tr w:rsidR="00BD5588" w:rsidRPr="00EF0E08" w14:paraId="24CAC9D7" w14:textId="77777777" w:rsidTr="527D0A3B">
        <w:tc>
          <w:tcPr>
            <w:tcW w:w="311" w:type="pct"/>
            <w:hideMark/>
          </w:tcPr>
          <w:p w14:paraId="3F92E498" w14:textId="77777777" w:rsidR="00BD5588" w:rsidRPr="00EF0E08" w:rsidRDefault="00BD5588" w:rsidP="00EF0E08">
            <w:pPr>
              <w:rPr>
                <w:sz w:val="22"/>
                <w:szCs w:val="22"/>
              </w:rPr>
            </w:pPr>
            <w:bookmarkStart w:id="4" w:name="_Hlk61350807"/>
            <w:bookmarkEnd w:id="3"/>
            <w:r w:rsidRPr="00EF0E08">
              <w:rPr>
                <w:sz w:val="22"/>
                <w:szCs w:val="22"/>
              </w:rPr>
              <w:t>2.</w:t>
            </w:r>
          </w:p>
        </w:tc>
        <w:tc>
          <w:tcPr>
            <w:tcW w:w="1479" w:type="pct"/>
            <w:hideMark/>
          </w:tcPr>
          <w:p w14:paraId="01586EC5" w14:textId="77777777" w:rsidR="00BD5588" w:rsidRPr="00EF0E08" w:rsidRDefault="00BD5588" w:rsidP="00EF0E08">
            <w:pPr>
              <w:rPr>
                <w:sz w:val="22"/>
                <w:szCs w:val="22"/>
              </w:rPr>
            </w:pPr>
            <w:r w:rsidRPr="00EF0E08">
              <w:rPr>
                <w:sz w:val="22"/>
                <w:szCs w:val="22"/>
              </w:rPr>
              <w:t>Pašreizējā situācija un problēmas, kuru risināšanai tiesību akta projekts izstrādāts, tiesiskā regulējuma mērķis un būtība</w:t>
            </w:r>
          </w:p>
        </w:tc>
        <w:tc>
          <w:tcPr>
            <w:tcW w:w="3210" w:type="pct"/>
            <w:hideMark/>
          </w:tcPr>
          <w:p w14:paraId="42022A2D" w14:textId="318F6866" w:rsidR="009B39FC" w:rsidRPr="00EF0E08" w:rsidRDefault="009B39FC" w:rsidP="00EF0E08">
            <w:pPr>
              <w:spacing w:after="160"/>
              <w:contextualSpacing/>
              <w:rPr>
                <w:sz w:val="22"/>
                <w:szCs w:val="22"/>
              </w:rPr>
            </w:pPr>
            <w:bookmarkStart w:id="5" w:name="_Hlk61531682"/>
            <w:r w:rsidRPr="00EF0E08">
              <w:rPr>
                <w:sz w:val="22"/>
                <w:szCs w:val="22"/>
              </w:rPr>
              <w:t xml:space="preserve">Saistībā ar COVID-19 izplatību pasaulē un Latvijā noteikta virkne stingru ierobežojošu pasākumu. No 2020. gada 12.martā līdz 2020.gada 12.maijam un no 2020.gada 9.novembra līdz 2021.gada 7.februārim visā valsts teritorijā tika izsludināta ārkārtējā situācija ar mērķi ierobežot Covid-19 izplatību (Ministru kabineta 2020. gada 12. marta rīkojums Nr. 103 "Par ārkārtējās situācijas izsludināšanu", un Ministru kabineta 2020.gada 6.novembra rīkojums Nr.655 "Par ārkārtējās situācijas izsludināšanu"). Minētie ierobežojošie pasākumi ietekmē komersantu spēju veiksmīgi īstenot komercdarbību, tādējādi tie atstāj </w:t>
            </w:r>
            <w:r w:rsidR="007D2FD6" w:rsidRPr="00EF0E08">
              <w:rPr>
                <w:sz w:val="22"/>
                <w:szCs w:val="22"/>
              </w:rPr>
              <w:t xml:space="preserve">negatīvu </w:t>
            </w:r>
            <w:r w:rsidRPr="00EF0E08">
              <w:rPr>
                <w:sz w:val="22"/>
                <w:szCs w:val="22"/>
              </w:rPr>
              <w:t xml:space="preserve">ietekmi uz valsts ekonomisko izaugsmi. Ņemot vērā aktuālās norises pasaules tautsaimniecībā, t.sk. Covid-19 izplatības otrā viļņa ietekmi, Latvijas Banka prognozē </w:t>
            </w:r>
            <w:r w:rsidRPr="00EF0E08">
              <w:rPr>
                <w:sz w:val="22"/>
                <w:szCs w:val="22"/>
              </w:rPr>
              <w:lastRenderedPageBreak/>
              <w:t>Latvijas IKP samazinājumu 2020.gadā par 4,7%, kā arī lēnāku IKP izaugsmi 2021.gadā – 2,8%.</w:t>
            </w:r>
          </w:p>
          <w:p w14:paraId="5AB392E7" w14:textId="77777777" w:rsidR="00A334E4" w:rsidRPr="00EF0E08" w:rsidRDefault="00A334E4" w:rsidP="00EF0E08">
            <w:pPr>
              <w:spacing w:after="160"/>
              <w:contextualSpacing/>
              <w:rPr>
                <w:sz w:val="22"/>
                <w:szCs w:val="22"/>
              </w:rPr>
            </w:pPr>
          </w:p>
          <w:p w14:paraId="6DEC2752" w14:textId="12D0477F" w:rsidR="007C3AFC" w:rsidRPr="00EF0E08" w:rsidRDefault="007C3AFC" w:rsidP="00EF0E08">
            <w:pPr>
              <w:spacing w:after="160"/>
              <w:contextualSpacing/>
              <w:rPr>
                <w:sz w:val="22"/>
                <w:szCs w:val="22"/>
              </w:rPr>
            </w:pPr>
            <w:r w:rsidRPr="00EF0E08">
              <w:rPr>
                <w:sz w:val="22"/>
                <w:szCs w:val="22"/>
              </w:rPr>
              <w:t>Tāpat, uzņēmējus apvienojošās organizācijas</w:t>
            </w:r>
            <w:r w:rsidR="00AD19E2" w:rsidRPr="00EF0E08">
              <w:rPr>
                <w:sz w:val="22"/>
                <w:szCs w:val="22"/>
              </w:rPr>
              <w:t xml:space="preserve"> </w:t>
            </w:r>
            <w:r w:rsidR="00A334E4" w:rsidRPr="00EF0E08">
              <w:rPr>
                <w:sz w:val="22"/>
                <w:szCs w:val="22"/>
              </w:rPr>
              <w:t>kā, piemēram,</w:t>
            </w:r>
            <w:r w:rsidR="00AD19E2" w:rsidRPr="00EF0E08">
              <w:rPr>
                <w:sz w:val="22"/>
                <w:szCs w:val="22"/>
              </w:rPr>
              <w:t xml:space="preserve"> </w:t>
            </w:r>
            <w:r w:rsidR="00A334E4" w:rsidRPr="00EF0E08">
              <w:rPr>
                <w:sz w:val="22"/>
                <w:szCs w:val="22"/>
              </w:rPr>
              <w:t>Latvijas Tirdzniecības un rūpniecības kamera (LTRK) un</w:t>
            </w:r>
            <w:r w:rsidR="00AD19E2" w:rsidRPr="00EF0E08">
              <w:rPr>
                <w:sz w:val="22"/>
                <w:szCs w:val="22"/>
              </w:rPr>
              <w:t xml:space="preserve"> </w:t>
            </w:r>
            <w:proofErr w:type="spellStart"/>
            <w:r w:rsidR="00A334E4" w:rsidRPr="00EF0E08">
              <w:rPr>
                <w:sz w:val="22"/>
                <w:szCs w:val="22"/>
              </w:rPr>
              <w:t>Foreign</w:t>
            </w:r>
            <w:proofErr w:type="spellEnd"/>
            <w:r w:rsidR="00A334E4" w:rsidRPr="00EF0E08">
              <w:rPr>
                <w:sz w:val="22"/>
                <w:szCs w:val="22"/>
              </w:rPr>
              <w:t xml:space="preserve"> Investors’ </w:t>
            </w:r>
            <w:proofErr w:type="spellStart"/>
            <w:r w:rsidR="00A334E4" w:rsidRPr="00EF0E08">
              <w:rPr>
                <w:sz w:val="22"/>
                <w:szCs w:val="22"/>
              </w:rPr>
              <w:t>Council</w:t>
            </w:r>
            <w:proofErr w:type="spellEnd"/>
            <w:r w:rsidR="00A334E4" w:rsidRPr="00EF0E08">
              <w:rPr>
                <w:sz w:val="22"/>
                <w:szCs w:val="22"/>
              </w:rPr>
              <w:t xml:space="preserve"> </w:t>
            </w:r>
            <w:proofErr w:type="spellStart"/>
            <w:r w:rsidR="00A334E4" w:rsidRPr="00EF0E08">
              <w:rPr>
                <w:sz w:val="22"/>
                <w:szCs w:val="22"/>
              </w:rPr>
              <w:t>in</w:t>
            </w:r>
            <w:proofErr w:type="spellEnd"/>
            <w:r w:rsidR="00A334E4" w:rsidRPr="00EF0E08">
              <w:rPr>
                <w:sz w:val="22"/>
                <w:szCs w:val="22"/>
              </w:rPr>
              <w:t xml:space="preserve"> Latvia (</w:t>
            </w:r>
            <w:r w:rsidR="00AD19E2" w:rsidRPr="00EF0E08">
              <w:rPr>
                <w:sz w:val="22"/>
                <w:szCs w:val="22"/>
              </w:rPr>
              <w:t>FICIL</w:t>
            </w:r>
            <w:r w:rsidR="00A334E4" w:rsidRPr="00EF0E08">
              <w:rPr>
                <w:sz w:val="22"/>
                <w:szCs w:val="22"/>
              </w:rPr>
              <w:t>)</w:t>
            </w:r>
            <w:r w:rsidRPr="00EF0E08">
              <w:rPr>
                <w:sz w:val="22"/>
                <w:szCs w:val="22"/>
              </w:rPr>
              <w:t xml:space="preserve"> ir norādījušas uz lēnu investīciju projektu virzību un </w:t>
            </w:r>
            <w:r w:rsidR="005806AA" w:rsidRPr="00EF0E08">
              <w:rPr>
                <w:sz w:val="22"/>
                <w:szCs w:val="22"/>
              </w:rPr>
              <w:t xml:space="preserve">lēnu </w:t>
            </w:r>
            <w:r w:rsidRPr="00EF0E08">
              <w:rPr>
                <w:sz w:val="22"/>
                <w:szCs w:val="22"/>
              </w:rPr>
              <w:t>dažādu ar to saistītu saskaņojumu apstiprināšanu valsts un pašvaldību iestādēs.</w:t>
            </w:r>
            <w:r w:rsidR="00ED3BEA" w:rsidRPr="00EF0E08">
              <w:rPr>
                <w:sz w:val="22"/>
                <w:szCs w:val="22"/>
              </w:rPr>
              <w:t xml:space="preserve"> </w:t>
            </w:r>
            <w:r w:rsidR="00DF1F40" w:rsidRPr="00EF0E08">
              <w:rPr>
                <w:sz w:val="22"/>
                <w:szCs w:val="22"/>
              </w:rPr>
              <w:t>Apjomīgu i</w:t>
            </w:r>
            <w:r w:rsidR="00ED3BEA" w:rsidRPr="00EF0E08">
              <w:rPr>
                <w:sz w:val="22"/>
                <w:szCs w:val="22"/>
              </w:rPr>
              <w:t xml:space="preserve">nvestīciju projektu īstenošana nereti aizņem 2-3 gadus.  </w:t>
            </w:r>
          </w:p>
          <w:p w14:paraId="1716D2F3" w14:textId="1CCAC8BD" w:rsidR="00662E58" w:rsidRPr="00EF0E08" w:rsidRDefault="009B39FC" w:rsidP="00EF0E08">
            <w:pPr>
              <w:pStyle w:val="NormalWeb"/>
              <w:rPr>
                <w:color w:val="000000"/>
                <w:sz w:val="22"/>
                <w:szCs w:val="22"/>
              </w:rPr>
            </w:pPr>
            <w:r w:rsidRPr="00EF0E08">
              <w:rPr>
                <w:sz w:val="22"/>
                <w:szCs w:val="22"/>
              </w:rPr>
              <w:t>Lai nodrošinātu veiksmīgāku ekonomikas atveseļošanos un turpmāku izaugsmi, tostarp radot konkurētspējīgu vidi investīciju ieplūšanai ekonomikā, nepieciešams izstrādāt jaunu, uzņēmējus atbalstošu, regulējumu.</w:t>
            </w:r>
            <w:r w:rsidR="007C3AFC" w:rsidRPr="00EF0E08">
              <w:rPr>
                <w:sz w:val="22"/>
                <w:szCs w:val="22"/>
              </w:rPr>
              <w:t xml:space="preserve"> </w:t>
            </w:r>
            <w:r w:rsidR="00ED3BEA" w:rsidRPr="00EF0E08">
              <w:rPr>
                <w:sz w:val="22"/>
                <w:szCs w:val="22"/>
              </w:rPr>
              <w:t xml:space="preserve">Turklāt, ņemot vērā, ka šāda veida </w:t>
            </w:r>
            <w:r w:rsidR="7E5B1F87" w:rsidRPr="00EF0E08">
              <w:rPr>
                <w:sz w:val="22"/>
                <w:szCs w:val="22"/>
              </w:rPr>
              <w:t>prioritāro projektu “koridors”</w:t>
            </w:r>
            <w:r w:rsidR="00ED3BEA" w:rsidRPr="00EF0E08">
              <w:rPr>
                <w:sz w:val="22"/>
                <w:szCs w:val="22"/>
              </w:rPr>
              <w:t xml:space="preserve"> jau ir izveidots Lietuvā, administratīvā sloga mazināšana un projektu saskaņošanai nepieciešamā laika saīsināšana ir būtisks aspekts Latvijas reģionālās konkurētspējas celšanai investīciju piesaistes jomā.</w:t>
            </w:r>
            <w:r w:rsidR="007925CF" w:rsidRPr="00EF0E08">
              <w:rPr>
                <w:sz w:val="22"/>
                <w:szCs w:val="22"/>
              </w:rPr>
              <w:t xml:space="preserve"> </w:t>
            </w:r>
            <w:r w:rsidR="00662E58" w:rsidRPr="00EF0E08">
              <w:rPr>
                <w:color w:val="000000" w:themeColor="text1"/>
                <w:sz w:val="22"/>
                <w:szCs w:val="22"/>
              </w:rPr>
              <w:t>Lai uzlabotu konkurētspēju, nepieciešams veidot “Zaļo koridoru” liela apjoma investīcijām prioritārajos virzienos, ar mērķi mērogojami pārnest zināšanas, piesaistīt kapitālu un talantus tautsaimniecībā būtiskās jomās.</w:t>
            </w:r>
          </w:p>
          <w:p w14:paraId="61A7850C" w14:textId="77777777" w:rsidR="00662E58" w:rsidRPr="00EF0E08" w:rsidRDefault="00662E58" w:rsidP="00EF0E08">
            <w:pPr>
              <w:pStyle w:val="NormalWeb"/>
              <w:rPr>
                <w:color w:val="000000"/>
                <w:sz w:val="22"/>
                <w:szCs w:val="22"/>
              </w:rPr>
            </w:pPr>
            <w:r w:rsidRPr="00EF0E08">
              <w:rPr>
                <w:color w:val="000000" w:themeColor="text1"/>
                <w:sz w:val="22"/>
                <w:szCs w:val="22"/>
              </w:rPr>
              <w:t>Straujāk piesaistot investīcijas, mēs spēsim ātrāk panākt strukturālas pārmaiņas ekonomikā un celt darba ražīgumu. Īpaši aktuāli tas ir tādēļ, ka Latvijas sabiedrība strauji noveco un pēc Ekonomiskās sadarbības un attīstības organizācijā (OECD) veiktā pētījuma "</w:t>
            </w:r>
            <w:proofErr w:type="spellStart"/>
            <w:r w:rsidRPr="00EF0E08">
              <w:rPr>
                <w:color w:val="000000" w:themeColor="text1"/>
                <w:sz w:val="22"/>
                <w:szCs w:val="22"/>
              </w:rPr>
              <w:t>Pensions</w:t>
            </w:r>
            <w:proofErr w:type="spellEnd"/>
            <w:r w:rsidRPr="00EF0E08">
              <w:rPr>
                <w:color w:val="000000" w:themeColor="text1"/>
                <w:sz w:val="22"/>
                <w:szCs w:val="22"/>
              </w:rPr>
              <w:t xml:space="preserve"> </w:t>
            </w:r>
            <w:proofErr w:type="spellStart"/>
            <w:r w:rsidRPr="00EF0E08">
              <w:rPr>
                <w:color w:val="000000" w:themeColor="text1"/>
                <w:sz w:val="22"/>
                <w:szCs w:val="22"/>
              </w:rPr>
              <w:t>at</w:t>
            </w:r>
            <w:proofErr w:type="spellEnd"/>
            <w:r w:rsidRPr="00EF0E08">
              <w:rPr>
                <w:color w:val="000000" w:themeColor="text1"/>
                <w:sz w:val="22"/>
                <w:szCs w:val="22"/>
              </w:rPr>
              <w:t xml:space="preserve"> a </w:t>
            </w:r>
            <w:proofErr w:type="spellStart"/>
            <w:r w:rsidRPr="00EF0E08">
              <w:rPr>
                <w:color w:val="000000" w:themeColor="text1"/>
                <w:sz w:val="22"/>
                <w:szCs w:val="22"/>
              </w:rPr>
              <w:t>Glance</w:t>
            </w:r>
            <w:proofErr w:type="spellEnd"/>
            <w:r w:rsidRPr="00EF0E08">
              <w:rPr>
                <w:color w:val="000000" w:themeColor="text1"/>
                <w:sz w:val="22"/>
                <w:szCs w:val="22"/>
              </w:rPr>
              <w:t xml:space="preserve"> 2019" datiem līdz 2060. gadam darbspējīgo iedzīvotāju skaits Latvijā saruks par 40%. Tas nozīmē, ka katram strādājošajam būs jābūt teju divas reizes efektīvākam, lai nodrošinātu vismaz līdzšinējo dzīves līmeni.</w:t>
            </w:r>
          </w:p>
          <w:p w14:paraId="01B2B826" w14:textId="74A285FD" w:rsidR="005708CA" w:rsidRPr="00EF0E08" w:rsidRDefault="00662E58" w:rsidP="00EF0E08">
            <w:pPr>
              <w:spacing w:after="160"/>
              <w:contextualSpacing/>
              <w:rPr>
                <w:sz w:val="22"/>
                <w:szCs w:val="22"/>
              </w:rPr>
            </w:pPr>
            <w:r w:rsidRPr="00EF0E08">
              <w:rPr>
                <w:color w:val="000000" w:themeColor="text1"/>
                <w:sz w:val="22"/>
                <w:szCs w:val="22"/>
              </w:rPr>
              <w:t xml:space="preserve">Iniciatīvas mērķis ir radīt administratīvos atvieglojumus prioritārajiem investīciju projektiem. </w:t>
            </w:r>
            <w:r w:rsidR="009B39FC" w:rsidRPr="00EF0E08">
              <w:rPr>
                <w:sz w:val="22"/>
                <w:szCs w:val="22"/>
              </w:rPr>
              <w:t xml:space="preserve">Noteikumu projekts paredz noteikt </w:t>
            </w:r>
            <w:r w:rsidR="0088274F" w:rsidRPr="00EF0E08">
              <w:rPr>
                <w:sz w:val="22"/>
                <w:szCs w:val="22"/>
              </w:rPr>
              <w:t xml:space="preserve">prioritāro investīciju projektu sektorus, </w:t>
            </w:r>
            <w:r w:rsidR="009B39FC" w:rsidRPr="00EF0E08">
              <w:rPr>
                <w:sz w:val="22"/>
                <w:szCs w:val="22"/>
              </w:rPr>
              <w:t>kritērijus investīciju projektu atzīšanai par prioritāriem, to apstiprināšanas kārtību kā arī valsts pārvaldes uzdevumu ietvaros sniedzamos pakalpojumus, kas par prioritāriem atzītiem investīciju projektiem sniedzami paātrinātā kārtībā un termiņā.</w:t>
            </w:r>
            <w:r w:rsidR="004E770B" w:rsidRPr="00EF0E08">
              <w:rPr>
                <w:sz w:val="22"/>
                <w:szCs w:val="22"/>
              </w:rPr>
              <w:t xml:space="preserve"> Pakalpojumu un to gadījumu saraksts, kad prioritārie projekti ir apkalpoj</w:t>
            </w:r>
            <w:r w:rsidR="006C3C93" w:rsidRPr="00EF0E08">
              <w:rPr>
                <w:sz w:val="22"/>
                <w:szCs w:val="22"/>
              </w:rPr>
              <w:t>a</w:t>
            </w:r>
            <w:r w:rsidR="004E770B" w:rsidRPr="00EF0E08">
              <w:rPr>
                <w:sz w:val="22"/>
                <w:szCs w:val="22"/>
              </w:rPr>
              <w:t xml:space="preserve">mi prioritārā termiņā un kārtībā, ir nosaukts Noteikumu Pielikumā un tiks papildināts, identificējot šādu vajadzību. Nepieciešamie precizējumi tiks galvenokārt </w:t>
            </w:r>
            <w:r w:rsidR="00F504B7" w:rsidRPr="00EF0E08">
              <w:rPr>
                <w:sz w:val="22"/>
                <w:szCs w:val="22"/>
              </w:rPr>
              <w:t>apkopoti, balstoties uz komersantu iesniegumos par prioritārā statusa piešķiršanu norādīto informāciju.</w:t>
            </w:r>
            <w:r w:rsidR="005708CA" w:rsidRPr="00EF0E08">
              <w:rPr>
                <w:sz w:val="22"/>
                <w:szCs w:val="22"/>
              </w:rPr>
              <w:t xml:space="preserve"> </w:t>
            </w:r>
          </w:p>
          <w:p w14:paraId="3FAFC280" w14:textId="7E95E9DA" w:rsidR="635B1FAC" w:rsidRPr="00EF0E08" w:rsidRDefault="635B1FAC" w:rsidP="00EF0E08">
            <w:pPr>
              <w:spacing w:after="160"/>
              <w:rPr>
                <w:sz w:val="22"/>
                <w:szCs w:val="22"/>
              </w:rPr>
            </w:pPr>
          </w:p>
          <w:p w14:paraId="1C5A7668" w14:textId="4D639DBE" w:rsidR="009B39FC" w:rsidRPr="00EF0E08" w:rsidRDefault="005708CA" w:rsidP="00EF0E08">
            <w:pPr>
              <w:spacing w:after="160"/>
              <w:contextualSpacing/>
              <w:rPr>
                <w:sz w:val="22"/>
                <w:szCs w:val="22"/>
              </w:rPr>
            </w:pPr>
            <w:r w:rsidRPr="00EF0E08">
              <w:rPr>
                <w:sz w:val="22"/>
                <w:szCs w:val="22"/>
              </w:rPr>
              <w:t xml:space="preserve">Prioritārā kārtība un termiņš, kādā apkalpojami prioritārie investīciju projekti, ir noteikti “Covid-19 infekcijas seku pārvarēšanas likuma” 59.panta 3.daļā:  “Ja šā panta otrajā </w:t>
            </w:r>
            <w:r w:rsidRPr="00EF0E08">
              <w:rPr>
                <w:sz w:val="22"/>
                <w:szCs w:val="22"/>
              </w:rPr>
              <w:lastRenderedPageBreak/>
              <w:t>daļā minētajā sarakstā ietverto pakalpojumu sniegšanas termiņš atbilstoši attiecīgās jomas darbību regulējošiem normatīvajiem aktiem ir garāks par piecām darbdienām, tad prioritārā kārtībā attiecīgais pakalpojums sniedzams vismaz divas reizes īsākā termiņā un par to netiek piemērota papildu maksa.”</w:t>
            </w:r>
          </w:p>
          <w:p w14:paraId="62BE2AE1" w14:textId="77777777" w:rsidR="00D76E05" w:rsidRPr="00EF0E08" w:rsidRDefault="00D76E05" w:rsidP="00EF0E08">
            <w:pPr>
              <w:spacing w:after="160"/>
              <w:contextualSpacing/>
              <w:rPr>
                <w:sz w:val="22"/>
                <w:szCs w:val="22"/>
              </w:rPr>
            </w:pPr>
          </w:p>
          <w:p w14:paraId="48C6A063" w14:textId="0703C026" w:rsidR="00D76E05" w:rsidRPr="00EF0E08" w:rsidRDefault="00D76E05" w:rsidP="00EF0E08">
            <w:pPr>
              <w:spacing w:after="160"/>
              <w:contextualSpacing/>
              <w:rPr>
                <w:sz w:val="22"/>
                <w:szCs w:val="22"/>
              </w:rPr>
            </w:pPr>
            <w:r w:rsidRPr="00EF0E08">
              <w:rPr>
                <w:sz w:val="22"/>
                <w:szCs w:val="22"/>
              </w:rPr>
              <w:t>Prognozētais prioritāro investīciju projektu loks varētu būt 50 – 70 investīciju projekti gadā, balstoties uz 2019. un 2020.gada datiem. Piemērojot prioritārās kārtības un termiņa noteikumus Pielikumā iekļautajos Imigrācijas likuma un MK noteikumu “Uzturēšanās atļauju noteikumi” regulētajos gadījumos, par subjektu loku uzskatāms komersants un tā nodarbinātie.</w:t>
            </w:r>
          </w:p>
          <w:p w14:paraId="6EC782F1" w14:textId="76F73B47" w:rsidR="00DF1F40" w:rsidRPr="00EF0E08" w:rsidRDefault="00DF1F40" w:rsidP="00EF0E08">
            <w:pPr>
              <w:spacing w:after="160"/>
              <w:contextualSpacing/>
              <w:rPr>
                <w:sz w:val="22"/>
                <w:szCs w:val="22"/>
              </w:rPr>
            </w:pPr>
          </w:p>
          <w:p w14:paraId="4EA5F714" w14:textId="0E77E648" w:rsidR="00DF1F40" w:rsidRPr="00EF0E08" w:rsidRDefault="00DF1F40" w:rsidP="00EF0E08">
            <w:pPr>
              <w:rPr>
                <w:sz w:val="22"/>
                <w:szCs w:val="22"/>
              </w:rPr>
            </w:pPr>
            <w:r w:rsidRPr="00EF0E08">
              <w:rPr>
                <w:sz w:val="22"/>
                <w:szCs w:val="22"/>
              </w:rPr>
              <w:t xml:space="preserve">Prioritāro investīciju projektu sektori ir definēti saskaņā ar NIP </w:t>
            </w:r>
            <w:r w:rsidR="001F468E" w:rsidRPr="00EF0E08">
              <w:rPr>
                <w:sz w:val="22"/>
                <w:szCs w:val="22"/>
              </w:rPr>
              <w:t>un</w:t>
            </w:r>
            <w:r w:rsidRPr="00EF0E08">
              <w:rPr>
                <w:sz w:val="22"/>
                <w:szCs w:val="22"/>
              </w:rPr>
              <w:t xml:space="preserve"> RIS3 jomām, un tie ir: 1) zināšanu ietilpīga </w:t>
            </w:r>
            <w:proofErr w:type="spellStart"/>
            <w:r w:rsidRPr="00EF0E08">
              <w:rPr>
                <w:sz w:val="22"/>
                <w:szCs w:val="22"/>
              </w:rPr>
              <w:t>bioekonomika</w:t>
            </w:r>
            <w:proofErr w:type="spellEnd"/>
            <w:r w:rsidRPr="00EF0E08">
              <w:rPr>
                <w:sz w:val="22"/>
                <w:szCs w:val="22"/>
              </w:rPr>
              <w:t xml:space="preserve">; 2) </w:t>
            </w:r>
            <w:proofErr w:type="spellStart"/>
            <w:r w:rsidRPr="00EF0E08">
              <w:rPr>
                <w:sz w:val="22"/>
                <w:szCs w:val="22"/>
              </w:rPr>
              <w:t>biomedicīna</w:t>
            </w:r>
            <w:proofErr w:type="spellEnd"/>
            <w:r w:rsidRPr="00EF0E08">
              <w:rPr>
                <w:sz w:val="22"/>
                <w:szCs w:val="22"/>
              </w:rPr>
              <w:t xml:space="preserve">, medicīnas tehnoloģijas, farmācija; 3) </w:t>
            </w:r>
            <w:proofErr w:type="spellStart"/>
            <w:r w:rsidRPr="00EF0E08">
              <w:rPr>
                <w:sz w:val="22"/>
                <w:szCs w:val="22"/>
              </w:rPr>
              <w:t>fotonika</w:t>
            </w:r>
            <w:proofErr w:type="spellEnd"/>
            <w:r w:rsidRPr="00EF0E08">
              <w:rPr>
                <w:sz w:val="22"/>
                <w:szCs w:val="22"/>
              </w:rPr>
              <w:t xml:space="preserve"> un viedie materiāli, tehnoloģijas un </w:t>
            </w:r>
            <w:proofErr w:type="spellStart"/>
            <w:r w:rsidRPr="00EF0E08">
              <w:rPr>
                <w:sz w:val="22"/>
                <w:szCs w:val="22"/>
              </w:rPr>
              <w:t>inženiersistēmas</w:t>
            </w:r>
            <w:proofErr w:type="spellEnd"/>
            <w:r w:rsidRPr="00EF0E08">
              <w:rPr>
                <w:sz w:val="22"/>
                <w:szCs w:val="22"/>
              </w:rPr>
              <w:t>; 4) viedā enerģētika un mobilitāte; 5) informācijas un komunikācijas tehnoloģijas; 6) starptautisko biznesa pakalpojumu centru darbības nodrošināšana un pakalpojumu sniegšana; 7) būvniecība</w:t>
            </w:r>
            <w:r w:rsidR="001F468E" w:rsidRPr="00EF0E08">
              <w:rPr>
                <w:sz w:val="22"/>
                <w:szCs w:val="22"/>
              </w:rPr>
              <w:t>, kā arī transports un loģistika</w:t>
            </w:r>
            <w:r w:rsidRPr="00EF0E08">
              <w:rPr>
                <w:sz w:val="22"/>
                <w:szCs w:val="22"/>
              </w:rPr>
              <w:t>, ja t</w:t>
            </w:r>
            <w:r w:rsidR="001F468E" w:rsidRPr="00EF0E08">
              <w:rPr>
                <w:sz w:val="22"/>
                <w:szCs w:val="22"/>
              </w:rPr>
              <w:t>ie</w:t>
            </w:r>
            <w:r w:rsidRPr="00EF0E08">
              <w:rPr>
                <w:sz w:val="22"/>
                <w:szCs w:val="22"/>
              </w:rPr>
              <w:t xml:space="preserve"> ir saistīt</w:t>
            </w:r>
            <w:r w:rsidR="001F468E" w:rsidRPr="00EF0E08">
              <w:rPr>
                <w:sz w:val="22"/>
                <w:szCs w:val="22"/>
              </w:rPr>
              <w:t>i</w:t>
            </w:r>
            <w:r w:rsidRPr="00EF0E08">
              <w:rPr>
                <w:sz w:val="22"/>
                <w:szCs w:val="22"/>
              </w:rPr>
              <w:t xml:space="preserve"> ar pakalpojumu un infrastruktūras nodrošināšanu </w:t>
            </w:r>
            <w:r w:rsidR="004E770B" w:rsidRPr="00EF0E08">
              <w:rPr>
                <w:sz w:val="22"/>
                <w:szCs w:val="22"/>
              </w:rPr>
              <w:t>iepriekšminētajos sektoros strādājošiem uzņēmumiem</w:t>
            </w:r>
            <w:r w:rsidR="00662E58" w:rsidRPr="00EF0E08">
              <w:rPr>
                <w:sz w:val="22"/>
                <w:szCs w:val="22"/>
              </w:rPr>
              <w:t>, kas atbilst noteikumu 4.punktā minētajiem kritērijiem.</w:t>
            </w:r>
          </w:p>
          <w:p w14:paraId="73681CFD" w14:textId="77777777" w:rsidR="00CB39DE" w:rsidRPr="00EF0E08" w:rsidRDefault="00CB39DE" w:rsidP="00EF0E08">
            <w:pPr>
              <w:spacing w:after="160"/>
              <w:contextualSpacing/>
              <w:rPr>
                <w:sz w:val="22"/>
                <w:szCs w:val="22"/>
              </w:rPr>
            </w:pPr>
          </w:p>
          <w:p w14:paraId="33CF2F8E" w14:textId="15BA9354" w:rsidR="00875095" w:rsidRPr="00EF0E08" w:rsidRDefault="00CB39DE" w:rsidP="00EF0E08">
            <w:pPr>
              <w:spacing w:after="160"/>
              <w:contextualSpacing/>
              <w:rPr>
                <w:sz w:val="22"/>
                <w:szCs w:val="22"/>
                <w:highlight w:val="yellow"/>
              </w:rPr>
            </w:pPr>
            <w:r w:rsidRPr="00EF0E08">
              <w:rPr>
                <w:sz w:val="22"/>
                <w:szCs w:val="22"/>
              </w:rPr>
              <w:t xml:space="preserve">MK noteikumi ir attiecināmi uz visiem </w:t>
            </w:r>
            <w:r w:rsidR="009E734D" w:rsidRPr="009E734D">
              <w:rPr>
                <w:sz w:val="22"/>
                <w:szCs w:val="22"/>
                <w:u w:val="single"/>
              </w:rPr>
              <w:t>komercsabiedrību</w:t>
            </w:r>
            <w:r w:rsidR="009E734D">
              <w:rPr>
                <w:sz w:val="22"/>
                <w:szCs w:val="22"/>
              </w:rPr>
              <w:t xml:space="preserve"> (turpmāk -  </w:t>
            </w:r>
            <w:r w:rsidR="009E734D" w:rsidRPr="009E734D">
              <w:rPr>
                <w:sz w:val="22"/>
                <w:szCs w:val="22"/>
              </w:rPr>
              <w:t>K</w:t>
            </w:r>
            <w:r w:rsidR="733A483D" w:rsidRPr="009E734D">
              <w:rPr>
                <w:sz w:val="22"/>
                <w:szCs w:val="22"/>
              </w:rPr>
              <w:t>omersant</w:t>
            </w:r>
            <w:r w:rsidR="009E734D" w:rsidRPr="009E734D">
              <w:rPr>
                <w:sz w:val="22"/>
                <w:szCs w:val="22"/>
              </w:rPr>
              <w:t>s</w:t>
            </w:r>
            <w:r w:rsidR="009E734D">
              <w:rPr>
                <w:sz w:val="22"/>
                <w:szCs w:val="22"/>
                <w:u w:val="single"/>
              </w:rPr>
              <w:t>)</w:t>
            </w:r>
            <w:r w:rsidR="733A483D" w:rsidRPr="00EF0E08">
              <w:rPr>
                <w:sz w:val="22"/>
                <w:szCs w:val="22"/>
              </w:rPr>
              <w:t xml:space="preserve"> </w:t>
            </w:r>
            <w:r w:rsidRPr="00EF0E08">
              <w:rPr>
                <w:sz w:val="22"/>
                <w:szCs w:val="22"/>
              </w:rPr>
              <w:t>investīciju projektiem, neatkarīgi no to finansējuma avota un projektu administrējošās vai pārraugošās iestādes.</w:t>
            </w:r>
            <w:r w:rsidR="00DF1F40" w:rsidRPr="00EF0E08">
              <w:rPr>
                <w:sz w:val="22"/>
                <w:szCs w:val="22"/>
              </w:rPr>
              <w:t xml:space="preserve"> Balstoties uz 2019.gadā īstenoto šāda apjoma projektu skaitu prioritārajos sektoros, kritērijiem atbilstošu projektu skaits paredzams apmēram </w:t>
            </w:r>
            <w:r w:rsidR="00662E58" w:rsidRPr="00EF0E08">
              <w:rPr>
                <w:sz w:val="22"/>
                <w:szCs w:val="22"/>
              </w:rPr>
              <w:t xml:space="preserve">50–70 </w:t>
            </w:r>
            <w:r w:rsidR="00DF1F40" w:rsidRPr="00EF0E08">
              <w:rPr>
                <w:sz w:val="22"/>
                <w:szCs w:val="22"/>
              </w:rPr>
              <w:t>projekti</w:t>
            </w:r>
            <w:r w:rsidR="00662E58" w:rsidRPr="00EF0E08">
              <w:rPr>
                <w:sz w:val="22"/>
                <w:szCs w:val="22"/>
              </w:rPr>
              <w:t>em</w:t>
            </w:r>
            <w:r w:rsidR="00DF1F40" w:rsidRPr="00EF0E08">
              <w:rPr>
                <w:sz w:val="22"/>
                <w:szCs w:val="22"/>
              </w:rPr>
              <w:t xml:space="preserve"> gadā</w:t>
            </w:r>
            <w:r w:rsidR="00662E58" w:rsidRPr="00EF0E08">
              <w:rPr>
                <w:sz w:val="22"/>
                <w:szCs w:val="22"/>
              </w:rPr>
              <w:t>, balstoties uz datiem gan par esošajiem investīciju projektiem, ko īsteno L</w:t>
            </w:r>
            <w:r w:rsidR="009E734D">
              <w:rPr>
                <w:sz w:val="22"/>
                <w:szCs w:val="22"/>
              </w:rPr>
              <w:t>atvijas investīciju un attīstības aģentūras (turpmāk – LIAA)</w:t>
            </w:r>
            <w:r w:rsidR="00662E58" w:rsidRPr="00EF0E08">
              <w:rPr>
                <w:sz w:val="22"/>
                <w:szCs w:val="22"/>
              </w:rPr>
              <w:t xml:space="preserve"> klienti, gan ņemot vērā datus par ieguldījumu apjomu iepriekšējā gadā, kuru vērtība pārsniedz 10 miljonus </w:t>
            </w:r>
            <w:proofErr w:type="spellStart"/>
            <w:r w:rsidR="00662E58" w:rsidRPr="00EF0E08">
              <w:rPr>
                <w:sz w:val="22"/>
                <w:szCs w:val="22"/>
              </w:rPr>
              <w:t>euro</w:t>
            </w:r>
            <w:proofErr w:type="spellEnd"/>
            <w:r w:rsidR="00662E58" w:rsidRPr="00EF0E08">
              <w:rPr>
                <w:sz w:val="22"/>
                <w:szCs w:val="22"/>
              </w:rPr>
              <w:t>.</w:t>
            </w:r>
          </w:p>
          <w:p w14:paraId="1AD86E86" w14:textId="09F32AF7" w:rsidR="3791E5A7" w:rsidRPr="00EF0E08" w:rsidRDefault="2A077094" w:rsidP="00EF0E08">
            <w:pPr>
              <w:spacing w:after="160"/>
              <w:rPr>
                <w:color w:val="333333"/>
                <w:sz w:val="22"/>
                <w:szCs w:val="22"/>
              </w:rPr>
            </w:pPr>
            <w:r w:rsidRPr="00EF0E08">
              <w:rPr>
                <w:color w:val="333333"/>
                <w:sz w:val="22"/>
                <w:szCs w:val="22"/>
              </w:rPr>
              <w:t xml:space="preserve">Noteikumos ietvertais regulējums neattiecas uz pašvaldību īstenotajiem vai plānotajiem infrastruktūras, galvenokārt  </w:t>
            </w:r>
            <w:proofErr w:type="spellStart"/>
            <w:r w:rsidRPr="00EF0E08">
              <w:rPr>
                <w:color w:val="333333"/>
                <w:sz w:val="22"/>
                <w:szCs w:val="22"/>
              </w:rPr>
              <w:t>inženierinfrastruktūras</w:t>
            </w:r>
            <w:proofErr w:type="spellEnd"/>
            <w:r w:rsidRPr="00EF0E08">
              <w:rPr>
                <w:color w:val="333333"/>
                <w:sz w:val="22"/>
                <w:szCs w:val="22"/>
              </w:rPr>
              <w:t xml:space="preserve"> un sociālās infrastruktūras projektiem</w:t>
            </w:r>
          </w:p>
          <w:p w14:paraId="7263D5FF" w14:textId="77777777" w:rsidR="00E369BD" w:rsidRPr="00EF0E08" w:rsidRDefault="00E369BD" w:rsidP="00EF0E08">
            <w:pPr>
              <w:spacing w:after="160"/>
              <w:contextualSpacing/>
              <w:rPr>
                <w:sz w:val="22"/>
                <w:szCs w:val="22"/>
              </w:rPr>
            </w:pPr>
          </w:p>
          <w:p w14:paraId="447F5438" w14:textId="31B2B770" w:rsidR="00895DDC" w:rsidRPr="00EF0E08" w:rsidRDefault="009B39FC" w:rsidP="00EF0E08">
            <w:pPr>
              <w:spacing w:after="160"/>
              <w:contextualSpacing/>
              <w:rPr>
                <w:sz w:val="22"/>
                <w:szCs w:val="22"/>
              </w:rPr>
            </w:pPr>
            <w:r w:rsidRPr="00EF0E08">
              <w:rPr>
                <w:sz w:val="22"/>
                <w:szCs w:val="22"/>
              </w:rPr>
              <w:t>Prioritāra investīciju projekta statusa piešķiršanas kritēriji un pieprasīšanas kārtība</w:t>
            </w:r>
            <w:r w:rsidR="00895DDC" w:rsidRPr="00EF0E08">
              <w:rPr>
                <w:sz w:val="22"/>
                <w:szCs w:val="22"/>
              </w:rPr>
              <w:t xml:space="preserve">: </w:t>
            </w:r>
            <w:r w:rsidRPr="00EF0E08">
              <w:rPr>
                <w:sz w:val="22"/>
                <w:szCs w:val="22"/>
              </w:rPr>
              <w:t xml:space="preserve">Lēmumu par </w:t>
            </w:r>
            <w:r w:rsidR="0078488F" w:rsidRPr="00EF0E08">
              <w:rPr>
                <w:sz w:val="22"/>
                <w:szCs w:val="22"/>
              </w:rPr>
              <w:t xml:space="preserve">prioritāra </w:t>
            </w:r>
            <w:r w:rsidRPr="00EF0E08">
              <w:rPr>
                <w:sz w:val="22"/>
                <w:szCs w:val="22"/>
              </w:rPr>
              <w:t>investīciju projekta statusa</w:t>
            </w:r>
            <w:r w:rsidR="0078488F" w:rsidRPr="00EF0E08">
              <w:rPr>
                <w:sz w:val="22"/>
                <w:szCs w:val="22"/>
              </w:rPr>
              <w:t xml:space="preserve"> </w:t>
            </w:r>
            <w:r w:rsidRPr="00EF0E08">
              <w:rPr>
                <w:sz w:val="22"/>
                <w:szCs w:val="22"/>
              </w:rPr>
              <w:t xml:space="preserve"> apstiprināšanu pieņem L</w:t>
            </w:r>
            <w:r w:rsidR="00EF0E08">
              <w:rPr>
                <w:sz w:val="22"/>
                <w:szCs w:val="22"/>
              </w:rPr>
              <w:t>IAA</w:t>
            </w:r>
            <w:r w:rsidRPr="00EF0E08">
              <w:rPr>
                <w:sz w:val="22"/>
                <w:szCs w:val="22"/>
              </w:rPr>
              <w:t>.</w:t>
            </w:r>
            <w:r w:rsidR="00A334E4" w:rsidRPr="00EF0E08">
              <w:rPr>
                <w:sz w:val="22"/>
                <w:szCs w:val="22"/>
              </w:rPr>
              <w:t xml:space="preserve"> </w:t>
            </w:r>
            <w:r w:rsidRPr="00EF0E08">
              <w:rPr>
                <w:sz w:val="22"/>
                <w:szCs w:val="22"/>
              </w:rPr>
              <w:t>Atbalsts paredzēts komercsabiedrībām</w:t>
            </w:r>
            <w:r w:rsidR="00EF0E08">
              <w:rPr>
                <w:sz w:val="22"/>
                <w:szCs w:val="22"/>
              </w:rPr>
              <w:t>.</w:t>
            </w:r>
            <w:r w:rsidR="00895DDC" w:rsidRPr="00EF0E08">
              <w:rPr>
                <w:sz w:val="22"/>
                <w:szCs w:val="22"/>
              </w:rPr>
              <w:t xml:space="preserve"> </w:t>
            </w:r>
          </w:p>
          <w:p w14:paraId="0E6991D6" w14:textId="77777777" w:rsidR="00895DDC" w:rsidRPr="00EF0E08" w:rsidRDefault="00895DDC" w:rsidP="00EF0E08">
            <w:pPr>
              <w:spacing w:after="160"/>
              <w:contextualSpacing/>
              <w:rPr>
                <w:sz w:val="22"/>
                <w:szCs w:val="22"/>
              </w:rPr>
            </w:pPr>
          </w:p>
          <w:p w14:paraId="6C8FD68C" w14:textId="0E18EF78" w:rsidR="00895DDC" w:rsidRPr="00EF0E08" w:rsidRDefault="009B39FC" w:rsidP="00EF0E08">
            <w:pPr>
              <w:spacing w:after="160"/>
              <w:contextualSpacing/>
              <w:rPr>
                <w:sz w:val="22"/>
                <w:szCs w:val="22"/>
              </w:rPr>
            </w:pPr>
            <w:r w:rsidRPr="00EF0E08">
              <w:rPr>
                <w:sz w:val="22"/>
                <w:szCs w:val="22"/>
              </w:rPr>
              <w:t xml:space="preserve">Lai </w:t>
            </w:r>
            <w:r w:rsidR="00895DDC" w:rsidRPr="00EF0E08">
              <w:rPr>
                <w:sz w:val="22"/>
                <w:szCs w:val="22"/>
              </w:rPr>
              <w:t xml:space="preserve">piešķirtu </w:t>
            </w:r>
            <w:r w:rsidR="0078488F" w:rsidRPr="00EF0E08">
              <w:rPr>
                <w:sz w:val="22"/>
                <w:szCs w:val="22"/>
              </w:rPr>
              <w:t>S</w:t>
            </w:r>
            <w:r w:rsidRPr="00EF0E08">
              <w:rPr>
                <w:sz w:val="22"/>
                <w:szCs w:val="22"/>
              </w:rPr>
              <w:t>tatusu, Komersant</w:t>
            </w:r>
            <w:r w:rsidR="00895DDC" w:rsidRPr="00EF0E08">
              <w:rPr>
                <w:sz w:val="22"/>
                <w:szCs w:val="22"/>
              </w:rPr>
              <w:t>ie</w:t>
            </w:r>
            <w:r w:rsidRPr="00EF0E08">
              <w:rPr>
                <w:sz w:val="22"/>
                <w:szCs w:val="22"/>
              </w:rPr>
              <w:t>m ir</w:t>
            </w:r>
            <w:r w:rsidR="00895DDC" w:rsidRPr="00EF0E08">
              <w:rPr>
                <w:sz w:val="22"/>
                <w:szCs w:val="22"/>
              </w:rPr>
              <w:t xml:space="preserve">: </w:t>
            </w:r>
            <w:r w:rsidRPr="00EF0E08">
              <w:rPr>
                <w:sz w:val="22"/>
                <w:szCs w:val="22"/>
              </w:rPr>
              <w:t xml:space="preserve"> </w:t>
            </w:r>
          </w:p>
          <w:p w14:paraId="064D62F2" w14:textId="07E9941F" w:rsidR="001F468E" w:rsidRPr="00EF0E08" w:rsidRDefault="00895DDC" w:rsidP="00EF0E08">
            <w:pPr>
              <w:spacing w:after="160"/>
              <w:contextualSpacing/>
              <w:rPr>
                <w:sz w:val="22"/>
                <w:szCs w:val="22"/>
              </w:rPr>
            </w:pPr>
            <w:r w:rsidRPr="00EF0E08">
              <w:rPr>
                <w:sz w:val="22"/>
                <w:szCs w:val="22"/>
              </w:rPr>
              <w:t xml:space="preserve">1) </w:t>
            </w:r>
            <w:r w:rsidR="009B39FC" w:rsidRPr="00EF0E08">
              <w:rPr>
                <w:sz w:val="22"/>
                <w:szCs w:val="22"/>
              </w:rPr>
              <w:t xml:space="preserve">jādarbojas vienā no Noteikumu projekta </w:t>
            </w:r>
            <w:r w:rsidR="00BE02CA" w:rsidRPr="00EF0E08">
              <w:rPr>
                <w:sz w:val="22"/>
                <w:szCs w:val="22"/>
              </w:rPr>
              <w:t>2</w:t>
            </w:r>
            <w:r w:rsidR="00937D51" w:rsidRPr="00EF0E08">
              <w:rPr>
                <w:sz w:val="22"/>
                <w:szCs w:val="22"/>
              </w:rPr>
              <w:t>.</w:t>
            </w:r>
            <w:r w:rsidR="009B39FC" w:rsidRPr="00EF0E08">
              <w:rPr>
                <w:sz w:val="22"/>
                <w:szCs w:val="22"/>
              </w:rPr>
              <w:t xml:space="preserve"> punktā minētajām </w:t>
            </w:r>
            <w:r w:rsidRPr="00EF0E08">
              <w:rPr>
                <w:sz w:val="22"/>
                <w:szCs w:val="22"/>
              </w:rPr>
              <w:t xml:space="preserve">prioritārajām </w:t>
            </w:r>
            <w:r w:rsidR="009B39FC" w:rsidRPr="00EF0E08">
              <w:rPr>
                <w:sz w:val="22"/>
                <w:szCs w:val="22"/>
              </w:rPr>
              <w:t>nozarēm</w:t>
            </w:r>
            <w:r w:rsidRPr="00EF0E08">
              <w:rPr>
                <w:sz w:val="22"/>
                <w:szCs w:val="22"/>
              </w:rPr>
              <w:t>;</w:t>
            </w:r>
          </w:p>
          <w:p w14:paraId="7A1A527C" w14:textId="4D8945F8" w:rsidR="00895DDC" w:rsidRPr="00EF0E08" w:rsidRDefault="00895DDC" w:rsidP="00EF0E08">
            <w:pPr>
              <w:spacing w:after="160"/>
              <w:contextualSpacing/>
              <w:rPr>
                <w:sz w:val="22"/>
                <w:szCs w:val="22"/>
              </w:rPr>
            </w:pPr>
            <w:r w:rsidRPr="00EF0E08">
              <w:rPr>
                <w:sz w:val="22"/>
                <w:szCs w:val="22"/>
              </w:rPr>
              <w:t>2)</w:t>
            </w:r>
            <w:r w:rsidR="00BE02CA" w:rsidRPr="00EF0E08">
              <w:rPr>
                <w:sz w:val="22"/>
                <w:szCs w:val="22"/>
              </w:rPr>
              <w:t xml:space="preserve"> tiem uz iesnieguma iesniegšanas dienu n</w:t>
            </w:r>
            <w:r w:rsidRPr="00EF0E08">
              <w:rPr>
                <w:sz w:val="22"/>
                <w:szCs w:val="22"/>
              </w:rPr>
              <w:t>edrīkst būt</w:t>
            </w:r>
            <w:r w:rsidR="00BE02CA" w:rsidRPr="00EF0E08">
              <w:rPr>
                <w:sz w:val="22"/>
                <w:szCs w:val="22"/>
              </w:rPr>
              <w:t xml:space="preserve"> Valsts ieņēmumu dienesta</w:t>
            </w:r>
            <w:r w:rsidRPr="00EF0E08">
              <w:rPr>
                <w:sz w:val="22"/>
                <w:szCs w:val="22"/>
              </w:rPr>
              <w:t xml:space="preserve"> (turpmāk – VID)</w:t>
            </w:r>
            <w:r w:rsidR="00BE02CA" w:rsidRPr="00EF0E08">
              <w:rPr>
                <w:sz w:val="22"/>
                <w:szCs w:val="22"/>
              </w:rPr>
              <w:t xml:space="preserve"> administrēto </w:t>
            </w:r>
            <w:r w:rsidR="00BE02CA" w:rsidRPr="00EF0E08">
              <w:rPr>
                <w:sz w:val="22"/>
                <w:szCs w:val="22"/>
              </w:rPr>
              <w:lastRenderedPageBreak/>
              <w:t xml:space="preserve">nodokļu (nodevu) parādu, kas kopsummā pārsniedz 1000 </w:t>
            </w:r>
            <w:proofErr w:type="spellStart"/>
            <w:r w:rsidR="00BE02CA" w:rsidRPr="00EF0E08">
              <w:rPr>
                <w:sz w:val="22"/>
                <w:szCs w:val="22"/>
              </w:rPr>
              <w:t>euro</w:t>
            </w:r>
            <w:proofErr w:type="spellEnd"/>
            <w:r w:rsidR="00BE02CA" w:rsidRPr="00EF0E08">
              <w:rPr>
                <w:sz w:val="22"/>
                <w:szCs w:val="22"/>
              </w:rPr>
              <w:t>, izņemot nodokļu maksājumus, kuriem ir piešķirts samaksas termiņa pagarinājums, noslēgta vienošanās par labprātīgu nodokļu samaksu vai noslēgts vienošanās līgums</w:t>
            </w:r>
            <w:r w:rsidRPr="00EF0E08">
              <w:rPr>
                <w:sz w:val="22"/>
                <w:szCs w:val="22"/>
              </w:rPr>
              <w:t>;</w:t>
            </w:r>
          </w:p>
          <w:p w14:paraId="57ACA465" w14:textId="2FC30205" w:rsidR="00C71484" w:rsidRPr="00EF0E08" w:rsidRDefault="7F24E1B1" w:rsidP="00EF0E08">
            <w:pPr>
              <w:rPr>
                <w:sz w:val="22"/>
                <w:szCs w:val="22"/>
              </w:rPr>
            </w:pPr>
            <w:r w:rsidRPr="00EF0E08">
              <w:rPr>
                <w:sz w:val="22"/>
                <w:szCs w:val="22"/>
              </w:rPr>
              <w:t xml:space="preserve">3) </w:t>
            </w:r>
            <w:r w:rsidR="128E4704" w:rsidRPr="00EF0E08">
              <w:rPr>
                <w:sz w:val="22"/>
                <w:szCs w:val="22"/>
              </w:rPr>
              <w:t>tiem</w:t>
            </w:r>
            <w:r w:rsidRPr="00EF0E08">
              <w:rPr>
                <w:sz w:val="22"/>
                <w:szCs w:val="22"/>
              </w:rPr>
              <w:t xml:space="preserve"> nav pasludināts maksātnespējas process, netiek īstenots tiesiskās aizsardzības process </w:t>
            </w:r>
            <w:r w:rsidR="02D54279" w:rsidRPr="00EF0E08">
              <w:rPr>
                <w:sz w:val="22"/>
                <w:szCs w:val="22"/>
              </w:rPr>
              <w:t>un</w:t>
            </w:r>
            <w:r w:rsidRPr="00EF0E08">
              <w:rPr>
                <w:sz w:val="22"/>
                <w:szCs w:val="22"/>
              </w:rPr>
              <w:t xml:space="preserve"> netiek īstenots </w:t>
            </w:r>
            <w:proofErr w:type="spellStart"/>
            <w:r w:rsidRPr="00EF0E08">
              <w:rPr>
                <w:sz w:val="22"/>
                <w:szCs w:val="22"/>
              </w:rPr>
              <w:t>ārpustiesas</w:t>
            </w:r>
            <w:proofErr w:type="spellEnd"/>
            <w:r w:rsidRPr="00EF0E08">
              <w:rPr>
                <w:sz w:val="22"/>
                <w:szCs w:val="22"/>
              </w:rPr>
              <w:t xml:space="preserve"> tiesiskās aizsardzības process,  nav uzsākta bankrota procedūra, piemērota sanācija vai mierizlīgums, </w:t>
            </w:r>
            <w:r w:rsidR="20D01EA1" w:rsidRPr="00EF0E08">
              <w:rPr>
                <w:sz w:val="22"/>
                <w:szCs w:val="22"/>
              </w:rPr>
              <w:t xml:space="preserve">un </w:t>
            </w:r>
            <w:r w:rsidR="16CA025D" w:rsidRPr="00EF0E08">
              <w:rPr>
                <w:sz w:val="22"/>
                <w:szCs w:val="22"/>
              </w:rPr>
              <w:t>to</w:t>
            </w:r>
            <w:r w:rsidRPr="00EF0E08">
              <w:rPr>
                <w:sz w:val="22"/>
                <w:szCs w:val="22"/>
              </w:rPr>
              <w:t xml:space="preserve"> saimnieciskā darbība nav izbeigta vai t</w:t>
            </w:r>
            <w:r w:rsidR="27C99F06" w:rsidRPr="00EF0E08">
              <w:rPr>
                <w:sz w:val="22"/>
                <w:szCs w:val="22"/>
              </w:rPr>
              <w:t>ie</w:t>
            </w:r>
            <w:r w:rsidRPr="00EF0E08">
              <w:rPr>
                <w:sz w:val="22"/>
                <w:szCs w:val="22"/>
              </w:rPr>
              <w:t xml:space="preserve"> neatbilst tiesību aktos noteiktajiem kritērijiem, lai t</w:t>
            </w:r>
            <w:r w:rsidR="387B39BA" w:rsidRPr="00EF0E08">
              <w:rPr>
                <w:sz w:val="22"/>
                <w:szCs w:val="22"/>
              </w:rPr>
              <w:t>ie</w:t>
            </w:r>
            <w:r w:rsidRPr="00EF0E08">
              <w:rPr>
                <w:sz w:val="22"/>
                <w:szCs w:val="22"/>
              </w:rPr>
              <w:t>m piemērotu maksātnespējas</w:t>
            </w:r>
            <w:r w:rsidRPr="00EF0E08">
              <w:rPr>
                <w:rFonts w:eastAsia="Arial"/>
                <w:color w:val="414142"/>
                <w:sz w:val="22"/>
                <w:szCs w:val="22"/>
              </w:rPr>
              <w:t xml:space="preserve"> </w:t>
            </w:r>
            <w:r w:rsidRPr="00EF0E08">
              <w:rPr>
                <w:sz w:val="22"/>
                <w:szCs w:val="22"/>
              </w:rPr>
              <w:t>procedūru;</w:t>
            </w:r>
            <w:r w:rsidR="002C08A9" w:rsidRPr="00EF0E08">
              <w:rPr>
                <w:sz w:val="22"/>
                <w:szCs w:val="22"/>
              </w:rPr>
              <w:t xml:space="preserve"> </w:t>
            </w:r>
          </w:p>
          <w:p w14:paraId="3926FDB0" w14:textId="0A64CA2C" w:rsidR="00234EFB" w:rsidRPr="00EF0E08" w:rsidRDefault="002C08A9" w:rsidP="00EF0E08">
            <w:pPr>
              <w:rPr>
                <w:sz w:val="22"/>
                <w:szCs w:val="22"/>
              </w:rPr>
            </w:pPr>
            <w:r w:rsidRPr="00EF0E08">
              <w:rPr>
                <w:sz w:val="22"/>
                <w:szCs w:val="22"/>
              </w:rPr>
              <w:t xml:space="preserve">4) </w:t>
            </w:r>
            <w:r w:rsidR="002B69C7" w:rsidRPr="00EF0E08">
              <w:rPr>
                <w:sz w:val="22"/>
                <w:szCs w:val="22"/>
              </w:rPr>
              <w:t>tiem ir pietiekami finanšu resursi investīciju projekta īstenošanai, ko apliecina attiecīgs finansējuma pieejamību apliecinošs dokuments</w:t>
            </w:r>
          </w:p>
          <w:p w14:paraId="6C0403B2" w14:textId="203367F5" w:rsidR="009A28A6" w:rsidRPr="00EF0E08" w:rsidRDefault="0038581C" w:rsidP="00EF0E08">
            <w:pPr>
              <w:rPr>
                <w:sz w:val="22"/>
                <w:szCs w:val="22"/>
              </w:rPr>
            </w:pPr>
            <w:r w:rsidRPr="00EF0E08">
              <w:rPr>
                <w:sz w:val="22"/>
                <w:szCs w:val="22"/>
              </w:rPr>
              <w:t>5</w:t>
            </w:r>
            <w:r w:rsidR="00895DDC" w:rsidRPr="00EF0E08">
              <w:rPr>
                <w:sz w:val="22"/>
                <w:szCs w:val="22"/>
              </w:rPr>
              <w:t>)</w:t>
            </w:r>
            <w:r w:rsidR="00BE02CA" w:rsidRPr="00EF0E08">
              <w:rPr>
                <w:sz w:val="22"/>
                <w:szCs w:val="22"/>
              </w:rPr>
              <w:t xml:space="preserve"> </w:t>
            </w:r>
            <w:r w:rsidR="009B39FC" w:rsidRPr="00EF0E08">
              <w:rPr>
                <w:sz w:val="22"/>
                <w:szCs w:val="22"/>
              </w:rPr>
              <w:t xml:space="preserve">un </w:t>
            </w:r>
            <w:r w:rsidR="00BE02CA" w:rsidRPr="00EF0E08">
              <w:rPr>
                <w:sz w:val="22"/>
                <w:szCs w:val="22"/>
              </w:rPr>
              <w:t xml:space="preserve">tiem </w:t>
            </w:r>
            <w:r w:rsidR="009B39FC" w:rsidRPr="00EF0E08">
              <w:rPr>
                <w:sz w:val="22"/>
                <w:szCs w:val="22"/>
              </w:rPr>
              <w:t xml:space="preserve">jāatbilst vismaz </w:t>
            </w:r>
            <w:r w:rsidR="00662E58" w:rsidRPr="00EF0E08">
              <w:rPr>
                <w:sz w:val="22"/>
                <w:szCs w:val="22"/>
              </w:rPr>
              <w:t xml:space="preserve">trijiem </w:t>
            </w:r>
            <w:r w:rsidR="009B39FC" w:rsidRPr="00EF0E08">
              <w:rPr>
                <w:sz w:val="22"/>
                <w:szCs w:val="22"/>
              </w:rPr>
              <w:t>no sekojošiem kritērijiem:</w:t>
            </w:r>
            <w:r w:rsidR="20065C77" w:rsidRPr="00EF0E08">
              <w:rPr>
                <w:sz w:val="22"/>
                <w:szCs w:val="22"/>
              </w:rPr>
              <w:t xml:space="preserve">- </w:t>
            </w:r>
            <w:r w:rsidR="009B39FC" w:rsidRPr="00EF0E08">
              <w:rPr>
                <w:b/>
                <w:bCs/>
                <w:sz w:val="22"/>
                <w:szCs w:val="22"/>
              </w:rPr>
              <w:t>ieguldījumu apjoms</w:t>
            </w:r>
            <w:r w:rsidR="009B39FC" w:rsidRPr="00EF0E08">
              <w:rPr>
                <w:sz w:val="22"/>
                <w:szCs w:val="22"/>
              </w:rPr>
              <w:t xml:space="preserve"> trīs gadu periodā ir vismaz </w:t>
            </w:r>
            <w:r w:rsidR="001F468E" w:rsidRPr="00EF0E08">
              <w:rPr>
                <w:sz w:val="22"/>
                <w:szCs w:val="22"/>
              </w:rPr>
              <w:t xml:space="preserve">5 000 000 </w:t>
            </w:r>
            <w:proofErr w:type="spellStart"/>
            <w:r w:rsidR="001F468E" w:rsidRPr="00EF0E08">
              <w:rPr>
                <w:sz w:val="22"/>
                <w:szCs w:val="22"/>
              </w:rPr>
              <w:t>euro</w:t>
            </w:r>
            <w:proofErr w:type="spellEnd"/>
            <w:r w:rsidR="001F468E" w:rsidRPr="00EF0E08">
              <w:rPr>
                <w:sz w:val="22"/>
                <w:szCs w:val="22"/>
              </w:rPr>
              <w:t xml:space="preserve"> (Rīgas pilsētas administratīvajā teritorijā - vismaz 10 000 000 </w:t>
            </w:r>
            <w:proofErr w:type="spellStart"/>
            <w:r w:rsidR="001F468E" w:rsidRPr="00EF0E08">
              <w:rPr>
                <w:sz w:val="22"/>
                <w:szCs w:val="22"/>
              </w:rPr>
              <w:t>euro</w:t>
            </w:r>
            <w:proofErr w:type="spellEnd"/>
            <w:r w:rsidR="001F468E" w:rsidRPr="00EF0E08">
              <w:rPr>
                <w:sz w:val="22"/>
                <w:szCs w:val="22"/>
              </w:rPr>
              <w:t xml:space="preserve">) </w:t>
            </w:r>
            <w:r w:rsidR="009B39FC" w:rsidRPr="00EF0E08">
              <w:rPr>
                <w:sz w:val="22"/>
                <w:szCs w:val="22"/>
              </w:rPr>
              <w:t xml:space="preserve">un tas tiek veikts, lai nodrošinātu komercdarbību šo noteikumu </w:t>
            </w:r>
            <w:r w:rsidR="00A334E4" w:rsidRPr="00EF0E08">
              <w:rPr>
                <w:sz w:val="22"/>
                <w:szCs w:val="22"/>
              </w:rPr>
              <w:t>2</w:t>
            </w:r>
            <w:r w:rsidR="009B39FC" w:rsidRPr="00EF0E08">
              <w:rPr>
                <w:sz w:val="22"/>
                <w:szCs w:val="22"/>
              </w:rPr>
              <w:t>.punktā minētajos sektoros (darbības jomā), tai skaitā pakalpojumu nodrošināšanā šo sektoru uzņēmumie</w:t>
            </w:r>
            <w:r w:rsidR="738951CF" w:rsidRPr="00EF0E08">
              <w:rPr>
                <w:sz w:val="22"/>
                <w:szCs w:val="22"/>
              </w:rPr>
              <w:t>m</w:t>
            </w:r>
            <w:r w:rsidR="4905241F" w:rsidRPr="00EF0E08">
              <w:rPr>
                <w:sz w:val="22"/>
                <w:szCs w:val="22"/>
              </w:rPr>
              <w:t>.</w:t>
            </w:r>
            <w:r w:rsidR="085D894E" w:rsidRPr="00EF0E08">
              <w:rPr>
                <w:sz w:val="22"/>
                <w:szCs w:val="22"/>
              </w:rPr>
              <w:t xml:space="preserve"> </w:t>
            </w:r>
            <w:r w:rsidR="009A28A6" w:rsidRPr="00EF0E08">
              <w:rPr>
                <w:b/>
                <w:bCs/>
                <w:sz w:val="22"/>
                <w:szCs w:val="22"/>
              </w:rPr>
              <w:t>Pamatojums</w:t>
            </w:r>
            <w:r w:rsidR="00F35EBA" w:rsidRPr="00EF0E08">
              <w:rPr>
                <w:sz w:val="22"/>
                <w:szCs w:val="22"/>
              </w:rPr>
              <w:t>: Kritērija mērķis ir veicināt tādu investīciju projektu apkalpošanu, kas var sniegt lielāku pienesumu gan no ieguldījuma apjoma viedokļa, gan arī ieguldījumu sektora skatu punkta. Otrkārt, kritērija izvēles pamatā ir nepieciešam</w:t>
            </w:r>
            <w:r w:rsidR="172B5C5D" w:rsidRPr="00EF0E08">
              <w:rPr>
                <w:sz w:val="22"/>
                <w:szCs w:val="22"/>
              </w:rPr>
              <w:t>ība</w:t>
            </w:r>
            <w:r w:rsidR="00F35EBA" w:rsidRPr="00EF0E08">
              <w:rPr>
                <w:sz w:val="22"/>
                <w:szCs w:val="22"/>
              </w:rPr>
              <w:t xml:space="preserve"> nodrošināt sniegtā atbalsta </w:t>
            </w:r>
            <w:proofErr w:type="spellStart"/>
            <w:r w:rsidR="00F35EBA" w:rsidRPr="00EF0E08">
              <w:rPr>
                <w:sz w:val="22"/>
                <w:szCs w:val="22"/>
              </w:rPr>
              <w:t>prioritizēšanu</w:t>
            </w:r>
            <w:proofErr w:type="spellEnd"/>
            <w:r w:rsidR="00F35EBA" w:rsidRPr="00EF0E08">
              <w:rPr>
                <w:sz w:val="22"/>
                <w:szCs w:val="22"/>
              </w:rPr>
              <w:t xml:space="preserve"> publiskā sektora pusē.</w:t>
            </w:r>
            <w:r w:rsidR="0320D2A3" w:rsidRPr="00EF0E08">
              <w:rPr>
                <w:sz w:val="22"/>
                <w:szCs w:val="22"/>
              </w:rPr>
              <w:t xml:space="preserve">- </w:t>
            </w:r>
            <w:r w:rsidR="00746D70" w:rsidRPr="00EF0E08">
              <w:rPr>
                <w:sz w:val="22"/>
                <w:szCs w:val="22"/>
              </w:rPr>
              <w:t xml:space="preserve">investīciju projekta īstenošanas rezultātā </w:t>
            </w:r>
            <w:r w:rsidR="00746D70" w:rsidRPr="00EF0E08">
              <w:rPr>
                <w:b/>
                <w:bCs/>
                <w:sz w:val="22"/>
                <w:szCs w:val="22"/>
              </w:rPr>
              <w:t>plānoto darba vietu skaits</w:t>
            </w:r>
            <w:r w:rsidR="00746D70" w:rsidRPr="00EF0E08">
              <w:rPr>
                <w:sz w:val="22"/>
                <w:szCs w:val="22"/>
              </w:rPr>
              <w:t xml:space="preserve"> </w:t>
            </w:r>
            <w:r w:rsidR="009A28A6" w:rsidRPr="00EF0E08">
              <w:rPr>
                <w:sz w:val="22"/>
                <w:szCs w:val="22"/>
              </w:rPr>
              <w:t>trīs gadu periodā ir vismaz 75 jaunas darba vietas (Rīgas pilsētas administratīvajā teritorijā plānotas vismaz 100 jaunas darba vietas)</w:t>
            </w:r>
            <w:r w:rsidR="15130B07" w:rsidRPr="00EF0E08">
              <w:rPr>
                <w:sz w:val="22"/>
                <w:szCs w:val="22"/>
              </w:rPr>
              <w:t xml:space="preserve">. </w:t>
            </w:r>
            <w:r w:rsidR="009A28A6" w:rsidRPr="00EF0E08">
              <w:rPr>
                <w:b/>
                <w:bCs/>
                <w:sz w:val="22"/>
                <w:szCs w:val="22"/>
              </w:rPr>
              <w:t>Pamatojums</w:t>
            </w:r>
            <w:r w:rsidR="009A28A6" w:rsidRPr="00EF0E08">
              <w:rPr>
                <w:sz w:val="22"/>
                <w:szCs w:val="22"/>
              </w:rPr>
              <w:t xml:space="preserve">: </w:t>
            </w:r>
            <w:r w:rsidR="00F35EBA" w:rsidRPr="00EF0E08">
              <w:rPr>
                <w:sz w:val="22"/>
                <w:szCs w:val="22"/>
              </w:rPr>
              <w:t>Kritērija pamatā ir dati par esošo LIAA klientu attīstības tendencēm trīs gadu periodā. Kā otra kritērija komponente ir nodrošināt tādu investīciju projektu prioritāru apkalpošanu, kas var radīt lielāko efektu uz COVID-19 radītās krīzes seku mazināšanu, nodrošinot jaunu darba vietu izveidi un Latvijas ekonomikas transformāciju</w:t>
            </w:r>
            <w:r w:rsidR="27A1F951" w:rsidRPr="00EF0E08">
              <w:rPr>
                <w:sz w:val="22"/>
                <w:szCs w:val="22"/>
              </w:rPr>
              <w:t xml:space="preserve">; </w:t>
            </w:r>
            <w:r w:rsidR="27A1F951" w:rsidRPr="00EF0E08">
              <w:rPr>
                <w:b/>
                <w:bCs/>
                <w:sz w:val="22"/>
                <w:szCs w:val="22"/>
              </w:rPr>
              <w:t xml:space="preserve">VAI </w:t>
            </w:r>
            <w:r w:rsidR="00746D70" w:rsidRPr="00EF0E08">
              <w:rPr>
                <w:sz w:val="22"/>
                <w:szCs w:val="22"/>
              </w:rPr>
              <w:t xml:space="preserve">komersanta </w:t>
            </w:r>
            <w:r w:rsidR="00746D70" w:rsidRPr="00EF0E08">
              <w:rPr>
                <w:b/>
                <w:bCs/>
                <w:sz w:val="22"/>
                <w:szCs w:val="22"/>
              </w:rPr>
              <w:t>plānotā mēneša vidējā bruto darba samaksa</w:t>
            </w:r>
            <w:r w:rsidR="00746D70" w:rsidRPr="00EF0E08">
              <w:rPr>
                <w:sz w:val="22"/>
                <w:szCs w:val="22"/>
              </w:rPr>
              <w:t xml:space="preserve"> darbiniekiem ir ne mazāka kā</w:t>
            </w:r>
            <w:r w:rsidR="009A28A6" w:rsidRPr="00EF0E08">
              <w:rPr>
                <w:sz w:val="22"/>
                <w:szCs w:val="22"/>
              </w:rPr>
              <w:t xml:space="preserve"> Centrālās statistikas pārvaldes oficiālajā statistikas paziņojumā publicētais valstī strādājošo mēneša vidējās darba samaksas apmērs iepriekšējā gadā, kam piemērots koeficients 1,5 (Rīgas pilsētas administratīvajā teritorijā tiek piemērots koeficients 2) </w:t>
            </w:r>
            <w:r w:rsidR="00746D70" w:rsidRPr="00EF0E08">
              <w:rPr>
                <w:sz w:val="22"/>
                <w:szCs w:val="22"/>
              </w:rPr>
              <w:t>un investīciju projekta īstenošanas rezultātā plānoto no jauna radīto darba vietu skaits</w:t>
            </w:r>
            <w:r w:rsidR="009A28A6" w:rsidRPr="00EF0E08">
              <w:rPr>
                <w:sz w:val="22"/>
                <w:szCs w:val="22"/>
              </w:rPr>
              <w:t xml:space="preserve"> trīs gadu periodā</w:t>
            </w:r>
            <w:r w:rsidR="00746D70" w:rsidRPr="00EF0E08">
              <w:rPr>
                <w:sz w:val="22"/>
                <w:szCs w:val="22"/>
              </w:rPr>
              <w:t xml:space="preserve"> ir vismaz 50 jaunas darba vietas</w:t>
            </w:r>
            <w:r w:rsidR="009A28A6" w:rsidRPr="00EF0E08">
              <w:rPr>
                <w:sz w:val="22"/>
                <w:szCs w:val="22"/>
              </w:rPr>
              <w:t xml:space="preserve"> (Rīgas pilsētas administratīvajā teritorijā plānotas vismaz 75 jaunas darba vietas)</w:t>
            </w:r>
            <w:r w:rsidR="60634331" w:rsidRPr="00EF0E08">
              <w:rPr>
                <w:sz w:val="22"/>
                <w:szCs w:val="22"/>
              </w:rPr>
              <w:t xml:space="preserve">. </w:t>
            </w:r>
            <w:r w:rsidR="009A28A6" w:rsidRPr="00EF0E08">
              <w:rPr>
                <w:b/>
                <w:bCs/>
                <w:sz w:val="22"/>
                <w:szCs w:val="22"/>
              </w:rPr>
              <w:t>Pamatojums</w:t>
            </w:r>
            <w:r w:rsidR="009A28A6" w:rsidRPr="00EF0E08">
              <w:rPr>
                <w:sz w:val="22"/>
                <w:szCs w:val="22"/>
              </w:rPr>
              <w:t>:</w:t>
            </w:r>
            <w:r w:rsidR="00F35EBA" w:rsidRPr="00EF0E08">
              <w:rPr>
                <w:sz w:val="22"/>
                <w:szCs w:val="22"/>
              </w:rPr>
              <w:t xml:space="preserve"> Kritērija pamatā ir Centrālās statistikas pārvaldes dati par vidējo darba samaksu prioritārajos sektoros. Mērķis ir veicināt tādu investīciju projektu ātrāku realizāciju, kas var nodrošināt jaunu darba vietu izveidi ar augstāku atlīdzības līmeni</w:t>
            </w:r>
            <w:r w:rsidR="080C0248" w:rsidRPr="00EF0E08">
              <w:rPr>
                <w:sz w:val="22"/>
                <w:szCs w:val="22"/>
              </w:rPr>
              <w:t>.</w:t>
            </w:r>
          </w:p>
          <w:p w14:paraId="21EEF1FD" w14:textId="58BC5AFF" w:rsidR="009A28A6" w:rsidRPr="00EF0E08" w:rsidRDefault="080C0248" w:rsidP="00EF0E08">
            <w:pPr>
              <w:rPr>
                <w:sz w:val="22"/>
                <w:szCs w:val="22"/>
              </w:rPr>
            </w:pPr>
            <w:r w:rsidRPr="00EF0E08">
              <w:rPr>
                <w:sz w:val="22"/>
                <w:szCs w:val="22"/>
              </w:rPr>
              <w:t xml:space="preserve">- </w:t>
            </w:r>
            <w:r w:rsidR="00937D51" w:rsidRPr="00EF0E08">
              <w:rPr>
                <w:sz w:val="22"/>
                <w:szCs w:val="22"/>
              </w:rPr>
              <w:t xml:space="preserve">plānotais preču vai pakalpojumu </w:t>
            </w:r>
            <w:r w:rsidR="00937D51" w:rsidRPr="00EF0E08">
              <w:rPr>
                <w:b/>
                <w:bCs/>
                <w:sz w:val="22"/>
                <w:szCs w:val="22"/>
              </w:rPr>
              <w:t>eksporta apjoms</w:t>
            </w:r>
            <w:r w:rsidR="7D5E2282" w:rsidRPr="00EF0E08">
              <w:rPr>
                <w:sz w:val="22"/>
                <w:szCs w:val="22"/>
              </w:rPr>
              <w:t xml:space="preserve"> 3 gadu periodā pēc investīciju projekta īstenošanas </w:t>
            </w:r>
            <w:r w:rsidR="00937D51" w:rsidRPr="00EF0E08">
              <w:rPr>
                <w:sz w:val="22"/>
                <w:szCs w:val="22"/>
              </w:rPr>
              <w:t xml:space="preserve"> ir lielāks par </w:t>
            </w:r>
            <w:r w:rsidR="009A28A6" w:rsidRPr="00EF0E08">
              <w:rPr>
                <w:sz w:val="22"/>
                <w:szCs w:val="22"/>
              </w:rPr>
              <w:t>3</w:t>
            </w:r>
            <w:r w:rsidR="7F830ADA" w:rsidRPr="00EF0E08">
              <w:rPr>
                <w:sz w:val="22"/>
                <w:szCs w:val="22"/>
              </w:rPr>
              <w:t xml:space="preserve"> </w:t>
            </w:r>
            <w:r w:rsidR="7F830ADA" w:rsidRPr="00EF0E08">
              <w:rPr>
                <w:sz w:val="22"/>
                <w:szCs w:val="22"/>
              </w:rPr>
              <w:lastRenderedPageBreak/>
              <w:t>0</w:t>
            </w:r>
            <w:r w:rsidR="009A28A6" w:rsidRPr="00EF0E08">
              <w:rPr>
                <w:sz w:val="22"/>
                <w:szCs w:val="22"/>
              </w:rPr>
              <w:t xml:space="preserve">00 000 </w:t>
            </w:r>
            <w:proofErr w:type="spellStart"/>
            <w:r w:rsidR="009A28A6" w:rsidRPr="00EF0E08">
              <w:rPr>
                <w:sz w:val="22"/>
                <w:szCs w:val="22"/>
              </w:rPr>
              <w:t>euro</w:t>
            </w:r>
            <w:proofErr w:type="spellEnd"/>
            <w:r w:rsidR="009A28A6" w:rsidRPr="00EF0E08">
              <w:rPr>
                <w:sz w:val="22"/>
                <w:szCs w:val="22"/>
              </w:rPr>
              <w:t xml:space="preserve">  (Rīgas pilsētas administratīvajā teritorijā plānotais preču vai pakalpojumu eksporta apjoms ir lielāks par 5</w:t>
            </w:r>
            <w:r w:rsidR="22796957" w:rsidRPr="00EF0E08">
              <w:rPr>
                <w:sz w:val="22"/>
                <w:szCs w:val="22"/>
              </w:rPr>
              <w:t xml:space="preserve"> </w:t>
            </w:r>
            <w:r w:rsidR="009A28A6" w:rsidRPr="00EF0E08">
              <w:rPr>
                <w:sz w:val="22"/>
                <w:szCs w:val="22"/>
              </w:rPr>
              <w:t>00</w:t>
            </w:r>
            <w:r w:rsidR="1B99558D" w:rsidRPr="00EF0E08">
              <w:rPr>
                <w:sz w:val="22"/>
                <w:szCs w:val="22"/>
              </w:rPr>
              <w:t>0</w:t>
            </w:r>
            <w:r w:rsidR="009A28A6" w:rsidRPr="00EF0E08">
              <w:rPr>
                <w:sz w:val="22"/>
                <w:szCs w:val="22"/>
              </w:rPr>
              <w:t xml:space="preserve"> 000 </w:t>
            </w:r>
            <w:proofErr w:type="spellStart"/>
            <w:r w:rsidR="009A28A6" w:rsidRPr="00EF0E08">
              <w:rPr>
                <w:sz w:val="22"/>
                <w:szCs w:val="22"/>
              </w:rPr>
              <w:t>euro</w:t>
            </w:r>
            <w:proofErr w:type="spellEnd"/>
            <w:r w:rsidR="009A28A6" w:rsidRPr="00EF0E08">
              <w:rPr>
                <w:sz w:val="22"/>
                <w:szCs w:val="22"/>
              </w:rPr>
              <w:t>)</w:t>
            </w:r>
            <w:r w:rsidR="4E43394A" w:rsidRPr="00EF0E08">
              <w:rPr>
                <w:sz w:val="22"/>
                <w:szCs w:val="22"/>
              </w:rPr>
              <w:t xml:space="preserve"> vai </w:t>
            </w:r>
            <w:r w:rsidR="4E43394A" w:rsidRPr="00EF0E08">
              <w:rPr>
                <w:color w:val="201F1E"/>
                <w:sz w:val="22"/>
                <w:szCs w:val="22"/>
              </w:rPr>
              <w:t xml:space="preserve">plānotais saražoto preču vai sniegto pakalpojumu apjoms trīs gadu periodā, kuri ir importa preču vai pakalpojumu aizstājēji,  ir lielāks par 500 000 </w:t>
            </w:r>
            <w:proofErr w:type="spellStart"/>
            <w:r w:rsidR="4E43394A" w:rsidRPr="00EF0E08">
              <w:rPr>
                <w:color w:val="201F1E"/>
                <w:sz w:val="22"/>
                <w:szCs w:val="22"/>
              </w:rPr>
              <w:t>euro</w:t>
            </w:r>
            <w:proofErr w:type="spellEnd"/>
            <w:r w:rsidR="4E43394A" w:rsidRPr="00EF0E08">
              <w:rPr>
                <w:color w:val="201F1E"/>
                <w:sz w:val="22"/>
                <w:szCs w:val="22"/>
              </w:rPr>
              <w:t xml:space="preserve"> gadā trīs gadu periodā. </w:t>
            </w:r>
            <w:r w:rsidR="009A28A6" w:rsidRPr="00EF0E08">
              <w:rPr>
                <w:b/>
                <w:bCs/>
                <w:sz w:val="22"/>
                <w:szCs w:val="22"/>
              </w:rPr>
              <w:t>Pamatojums</w:t>
            </w:r>
            <w:r w:rsidR="009A28A6" w:rsidRPr="00EF0E08">
              <w:rPr>
                <w:sz w:val="22"/>
                <w:szCs w:val="22"/>
              </w:rPr>
              <w:t>:</w:t>
            </w:r>
            <w:r w:rsidR="00662E58" w:rsidRPr="00EF0E08">
              <w:rPr>
                <w:sz w:val="22"/>
                <w:szCs w:val="22"/>
              </w:rPr>
              <w:t xml:space="preserve"> Kritērija mērķis ir veicināt atbalstu eksportējošajiem uzņēmumiem</w:t>
            </w:r>
            <w:r w:rsidR="00F35EBA" w:rsidRPr="00EF0E08">
              <w:rPr>
                <w:sz w:val="22"/>
                <w:szCs w:val="22"/>
              </w:rPr>
              <w:t>, tādejādi sniedzot atbalstu to izaugsmē un jaunu tirgu apgūšanā</w:t>
            </w:r>
            <w:r w:rsidR="5FB59B22" w:rsidRPr="00EF0E08">
              <w:rPr>
                <w:sz w:val="22"/>
                <w:szCs w:val="22"/>
              </w:rPr>
              <w:t xml:space="preserve">. </w:t>
            </w:r>
          </w:p>
          <w:p w14:paraId="07770436" w14:textId="5EF51397" w:rsidR="00C43A86" w:rsidRPr="00EF0E08" w:rsidRDefault="19A07896" w:rsidP="00EF0E08">
            <w:pPr>
              <w:ind w:left="45"/>
              <w:rPr>
                <w:sz w:val="22"/>
                <w:szCs w:val="22"/>
              </w:rPr>
            </w:pPr>
            <w:r w:rsidRPr="00EF0E08">
              <w:rPr>
                <w:sz w:val="22"/>
                <w:szCs w:val="22"/>
              </w:rPr>
              <w:t xml:space="preserve">- </w:t>
            </w:r>
            <w:r w:rsidR="00937D51" w:rsidRPr="00EF0E08">
              <w:rPr>
                <w:sz w:val="22"/>
                <w:szCs w:val="22"/>
              </w:rPr>
              <w:t xml:space="preserve">komersanta plānotais ieguldījumu apjoms </w:t>
            </w:r>
            <w:r w:rsidR="00937D51" w:rsidRPr="00EF0E08">
              <w:rPr>
                <w:b/>
                <w:bCs/>
                <w:sz w:val="22"/>
                <w:szCs w:val="22"/>
              </w:rPr>
              <w:t>pētniecībā un attīstībā</w:t>
            </w:r>
            <w:r w:rsidR="00937D51" w:rsidRPr="00EF0E08">
              <w:rPr>
                <w:sz w:val="22"/>
                <w:szCs w:val="22"/>
              </w:rPr>
              <w:t>,</w:t>
            </w:r>
            <w:r w:rsidR="009A28A6" w:rsidRPr="00EF0E08">
              <w:rPr>
                <w:sz w:val="22"/>
                <w:szCs w:val="22"/>
              </w:rPr>
              <w:t xml:space="preserve"> tai skaitā</w:t>
            </w:r>
            <w:r w:rsidR="00937D51" w:rsidRPr="00EF0E08">
              <w:rPr>
                <w:sz w:val="22"/>
                <w:szCs w:val="22"/>
              </w:rPr>
              <w:t xml:space="preserve"> darbinieku kompetenču pilnveidē</w:t>
            </w:r>
            <w:r w:rsidR="009A28A6" w:rsidRPr="00EF0E08">
              <w:rPr>
                <w:sz w:val="22"/>
                <w:szCs w:val="22"/>
              </w:rPr>
              <w:t>,</w:t>
            </w:r>
            <w:r w:rsidR="00937D51" w:rsidRPr="00EF0E08">
              <w:rPr>
                <w:sz w:val="22"/>
                <w:szCs w:val="22"/>
              </w:rPr>
              <w:t xml:space="preserve"> </w:t>
            </w:r>
            <w:r w:rsidR="75FC5EAF" w:rsidRPr="00EF0E08">
              <w:rPr>
                <w:sz w:val="22"/>
                <w:szCs w:val="22"/>
              </w:rPr>
              <w:t xml:space="preserve">trīs gadu periodā pēc investīciju projekta ieviešanas </w:t>
            </w:r>
            <w:r w:rsidR="00937D51" w:rsidRPr="00EF0E08">
              <w:rPr>
                <w:sz w:val="22"/>
                <w:szCs w:val="22"/>
              </w:rPr>
              <w:t xml:space="preserve">ir vismaz </w:t>
            </w:r>
            <w:r w:rsidR="7BA59C6D" w:rsidRPr="00EF0E08">
              <w:rPr>
                <w:sz w:val="22"/>
                <w:szCs w:val="22"/>
              </w:rPr>
              <w:t>2</w:t>
            </w:r>
            <w:r w:rsidR="00937D51" w:rsidRPr="00EF0E08">
              <w:rPr>
                <w:sz w:val="22"/>
                <w:szCs w:val="22"/>
              </w:rPr>
              <w:t xml:space="preserve">50 000 </w:t>
            </w:r>
            <w:proofErr w:type="spellStart"/>
            <w:r w:rsidR="00937D51" w:rsidRPr="00EF0E08">
              <w:rPr>
                <w:sz w:val="22"/>
                <w:szCs w:val="22"/>
              </w:rPr>
              <w:t>euro</w:t>
            </w:r>
            <w:proofErr w:type="spellEnd"/>
            <w:r w:rsidR="238ACF0C" w:rsidRPr="00EF0E08">
              <w:rPr>
                <w:sz w:val="22"/>
                <w:szCs w:val="22"/>
              </w:rPr>
              <w:t xml:space="preserve">. </w:t>
            </w:r>
            <w:r w:rsidR="009A28A6" w:rsidRPr="00EF0E08">
              <w:rPr>
                <w:b/>
                <w:bCs/>
                <w:sz w:val="22"/>
                <w:szCs w:val="22"/>
              </w:rPr>
              <w:t>Pamatojums</w:t>
            </w:r>
            <w:r w:rsidR="009A28A6" w:rsidRPr="00EF0E08">
              <w:rPr>
                <w:sz w:val="22"/>
                <w:szCs w:val="22"/>
              </w:rPr>
              <w:t>:</w:t>
            </w:r>
            <w:r w:rsidR="00662E58" w:rsidRPr="00EF0E08">
              <w:rPr>
                <w:sz w:val="22"/>
                <w:szCs w:val="22"/>
              </w:rPr>
              <w:t xml:space="preserve"> Kritērija primārais mērķis ir veicināt uzņēmumu ieguldījumus pētniecībā un attīstībā, kā arī darbinieku kvalifikācijas celšanā.</w:t>
            </w:r>
            <w:r w:rsidR="009A28A6" w:rsidRPr="00EF0E08">
              <w:rPr>
                <w:sz w:val="22"/>
                <w:szCs w:val="22"/>
              </w:rPr>
              <w:t>)</w:t>
            </w:r>
            <w:r w:rsidR="00981171" w:rsidRPr="00EF0E08">
              <w:rPr>
                <w:sz w:val="22"/>
                <w:szCs w:val="22"/>
              </w:rPr>
              <w:t xml:space="preserve"> </w:t>
            </w:r>
            <w:r w:rsidR="00A86C3E" w:rsidRPr="00EF0E08">
              <w:rPr>
                <w:sz w:val="22"/>
                <w:szCs w:val="22"/>
              </w:rPr>
              <w:t xml:space="preserve">Komersantu pārstāvja </w:t>
            </w:r>
            <w:r w:rsidR="00981171" w:rsidRPr="00EF0E08">
              <w:rPr>
                <w:sz w:val="22"/>
                <w:szCs w:val="22"/>
              </w:rPr>
              <w:t xml:space="preserve">LTRK </w:t>
            </w:r>
            <w:r w:rsidR="00A86C3E" w:rsidRPr="00EF0E08">
              <w:rPr>
                <w:sz w:val="22"/>
                <w:szCs w:val="22"/>
              </w:rPr>
              <w:t>priekšlikums</w:t>
            </w:r>
            <w:r w:rsidR="00981171" w:rsidRPr="00EF0E08">
              <w:rPr>
                <w:sz w:val="22"/>
                <w:szCs w:val="22"/>
              </w:rPr>
              <w:t xml:space="preserve"> kritērija apjoma noteikšanai </w:t>
            </w:r>
            <w:r w:rsidR="00400AC9" w:rsidRPr="00EF0E08">
              <w:rPr>
                <w:sz w:val="22"/>
                <w:szCs w:val="22"/>
              </w:rPr>
              <w:t xml:space="preserve">ir vēl </w:t>
            </w:r>
            <w:r w:rsidR="00981171" w:rsidRPr="00EF0E08">
              <w:rPr>
                <w:sz w:val="22"/>
                <w:szCs w:val="22"/>
              </w:rPr>
              <w:t xml:space="preserve">augstāks. </w:t>
            </w:r>
          </w:p>
          <w:p w14:paraId="00794A17" w14:textId="77777777" w:rsidR="0038581C" w:rsidRPr="00EF0E08" w:rsidRDefault="0038581C" w:rsidP="00EF0E08">
            <w:pPr>
              <w:ind w:left="45"/>
              <w:rPr>
                <w:sz w:val="22"/>
                <w:szCs w:val="22"/>
              </w:rPr>
            </w:pPr>
          </w:p>
          <w:p w14:paraId="6CF325E5" w14:textId="1112B485" w:rsidR="00D15692" w:rsidRPr="00EF0E08" w:rsidRDefault="00D15692" w:rsidP="00EF0E08">
            <w:pPr>
              <w:rPr>
                <w:sz w:val="22"/>
                <w:szCs w:val="22"/>
              </w:rPr>
            </w:pPr>
            <w:r w:rsidRPr="00EF0E08">
              <w:rPr>
                <w:sz w:val="22"/>
                <w:szCs w:val="22"/>
              </w:rPr>
              <w:t>Ņemot vērā ieguldījumu raksturu, projekta 4</w:t>
            </w:r>
            <w:r w:rsidR="348F6095" w:rsidRPr="00EF0E08">
              <w:rPr>
                <w:sz w:val="22"/>
                <w:szCs w:val="22"/>
              </w:rPr>
              <w:t>.4</w:t>
            </w:r>
            <w:r w:rsidRPr="00EF0E08">
              <w:rPr>
                <w:sz w:val="22"/>
                <w:szCs w:val="22"/>
              </w:rPr>
              <w:t>.2. un 4.</w:t>
            </w:r>
            <w:r w:rsidR="5CA2BACA" w:rsidRPr="00EF0E08">
              <w:rPr>
                <w:sz w:val="22"/>
                <w:szCs w:val="22"/>
              </w:rPr>
              <w:t>4.</w:t>
            </w:r>
            <w:r w:rsidRPr="00EF0E08">
              <w:rPr>
                <w:sz w:val="22"/>
                <w:szCs w:val="22"/>
              </w:rPr>
              <w:t xml:space="preserve">3.apakšpunktā minēto kritēriju izpilde (t.i., minimālais no jauna radīto darba vietu skaits) </w:t>
            </w:r>
            <w:r w:rsidRPr="00EF0E08">
              <w:rPr>
                <w:sz w:val="22"/>
                <w:szCs w:val="22"/>
                <w:shd w:val="clear" w:color="auto" w:fill="FFFFFF"/>
              </w:rPr>
              <w:t xml:space="preserve">nav obligāta prasībā attiecībā uz investīciju projektiem viedās enerģētikas jomā, ja investīciju projekts ir saistīts ar jaunu elektroenerģijas ražošanas  iekārtu ieviešanu (piemēram, vēja vai saules elektrostaciju ieviešanu) vai elektroenerģijas ražošanas jaudu palielināšanu </w:t>
            </w:r>
            <w:r w:rsidR="0025669E" w:rsidRPr="00EF0E08">
              <w:rPr>
                <w:sz w:val="22"/>
                <w:szCs w:val="22"/>
                <w:shd w:val="clear" w:color="auto" w:fill="FFFFFF"/>
              </w:rPr>
              <w:t xml:space="preserve">atjaunojamo energoresursu jomā </w:t>
            </w:r>
            <w:r w:rsidRPr="00EF0E08">
              <w:rPr>
                <w:sz w:val="22"/>
                <w:szCs w:val="22"/>
                <w:shd w:val="clear" w:color="auto" w:fill="FFFFFF"/>
              </w:rPr>
              <w:t>(</w:t>
            </w:r>
            <w:r w:rsidR="0025669E" w:rsidRPr="00EF0E08">
              <w:rPr>
                <w:sz w:val="22"/>
                <w:szCs w:val="22"/>
                <w:shd w:val="clear" w:color="auto" w:fill="FFFFFF"/>
              </w:rPr>
              <w:t>tai skaitā</w:t>
            </w:r>
            <w:r w:rsidRPr="00EF0E08">
              <w:rPr>
                <w:sz w:val="22"/>
                <w:szCs w:val="22"/>
                <w:shd w:val="clear" w:color="auto" w:fill="FFFFFF"/>
              </w:rPr>
              <w:t xml:space="preserve">, </w:t>
            </w:r>
            <w:r w:rsidRPr="00EF0E08">
              <w:rPr>
                <w:sz w:val="22"/>
                <w:szCs w:val="22"/>
              </w:rPr>
              <w:t xml:space="preserve">aizstājot esošās elektroenerģijas ražošanas iekārtas). </w:t>
            </w:r>
          </w:p>
          <w:p w14:paraId="38554761" w14:textId="77777777" w:rsidR="00EE48D2" w:rsidRPr="00EF0E08" w:rsidRDefault="00EE48D2" w:rsidP="00EF0E08">
            <w:pPr>
              <w:rPr>
                <w:sz w:val="22"/>
                <w:szCs w:val="22"/>
              </w:rPr>
            </w:pPr>
          </w:p>
          <w:p w14:paraId="00C41651" w14:textId="5622EA05" w:rsidR="00B82F9E" w:rsidRPr="00EF0E08" w:rsidRDefault="0028514A" w:rsidP="00EF0E08">
            <w:pPr>
              <w:spacing w:after="160" w:line="259" w:lineRule="auto"/>
              <w:contextualSpacing/>
              <w:rPr>
                <w:sz w:val="22"/>
                <w:szCs w:val="22"/>
              </w:rPr>
            </w:pPr>
            <w:r w:rsidRPr="00EF0E08">
              <w:rPr>
                <w:sz w:val="22"/>
                <w:szCs w:val="22"/>
              </w:rPr>
              <w:t>Komersant</w:t>
            </w:r>
            <w:r w:rsidR="00895DDC" w:rsidRPr="00EF0E08">
              <w:rPr>
                <w:sz w:val="22"/>
                <w:szCs w:val="22"/>
              </w:rPr>
              <w:t>i Statusa apstiprināšanai var pieteikties,</w:t>
            </w:r>
            <w:r w:rsidRPr="00EF0E08">
              <w:rPr>
                <w:sz w:val="22"/>
                <w:szCs w:val="22"/>
              </w:rPr>
              <w:t xml:space="preserve"> iesniedz</w:t>
            </w:r>
            <w:r w:rsidR="00895DDC" w:rsidRPr="00EF0E08">
              <w:rPr>
                <w:sz w:val="22"/>
                <w:szCs w:val="22"/>
              </w:rPr>
              <w:t>ot</w:t>
            </w:r>
            <w:r w:rsidRPr="00EF0E08">
              <w:rPr>
                <w:sz w:val="22"/>
                <w:szCs w:val="22"/>
              </w:rPr>
              <w:t xml:space="preserve"> L</w:t>
            </w:r>
            <w:r w:rsidR="000868DE" w:rsidRPr="00EF0E08">
              <w:rPr>
                <w:sz w:val="22"/>
                <w:szCs w:val="22"/>
              </w:rPr>
              <w:t>IAA</w:t>
            </w:r>
            <w:r w:rsidRPr="00EF0E08">
              <w:rPr>
                <w:sz w:val="22"/>
                <w:szCs w:val="22"/>
              </w:rPr>
              <w:t xml:space="preserve"> iesniegumu</w:t>
            </w:r>
            <w:r w:rsidR="00813431">
              <w:rPr>
                <w:sz w:val="22"/>
                <w:szCs w:val="22"/>
              </w:rPr>
              <w:t xml:space="preserve">. </w:t>
            </w:r>
            <w:r w:rsidRPr="00EF0E08">
              <w:rPr>
                <w:sz w:val="22"/>
                <w:szCs w:val="22"/>
              </w:rPr>
              <w:t xml:space="preserve">Iesniegumā </w:t>
            </w:r>
            <w:r w:rsidR="00895DDC" w:rsidRPr="00EF0E08">
              <w:rPr>
                <w:sz w:val="22"/>
                <w:szCs w:val="22"/>
              </w:rPr>
              <w:t>jānorāda</w:t>
            </w:r>
            <w:r w:rsidRPr="00EF0E08">
              <w:rPr>
                <w:sz w:val="22"/>
                <w:szCs w:val="22"/>
              </w:rPr>
              <w:t xml:space="preserve"> </w:t>
            </w:r>
            <w:r w:rsidR="00A334E4" w:rsidRPr="00EF0E08">
              <w:rPr>
                <w:sz w:val="22"/>
                <w:szCs w:val="22"/>
              </w:rPr>
              <w:t xml:space="preserve">Noteikumu </w:t>
            </w:r>
            <w:r w:rsidR="00DD0473" w:rsidRPr="00EF0E08">
              <w:rPr>
                <w:sz w:val="22"/>
                <w:szCs w:val="22"/>
              </w:rPr>
              <w:t>8</w:t>
            </w:r>
            <w:r w:rsidR="00A334E4" w:rsidRPr="00EF0E08">
              <w:rPr>
                <w:sz w:val="22"/>
                <w:szCs w:val="22"/>
              </w:rPr>
              <w:t xml:space="preserve">.punktā prasītā </w:t>
            </w:r>
            <w:r w:rsidRPr="00EF0E08">
              <w:rPr>
                <w:sz w:val="22"/>
                <w:szCs w:val="22"/>
              </w:rPr>
              <w:t>informācij</w:t>
            </w:r>
            <w:r w:rsidR="00A334E4" w:rsidRPr="00EF0E08">
              <w:rPr>
                <w:sz w:val="22"/>
                <w:szCs w:val="22"/>
              </w:rPr>
              <w:t>a</w:t>
            </w:r>
            <w:r w:rsidR="00B82F9E" w:rsidRPr="00EF0E08">
              <w:rPr>
                <w:sz w:val="22"/>
                <w:szCs w:val="22"/>
              </w:rPr>
              <w:t>.</w:t>
            </w:r>
          </w:p>
          <w:p w14:paraId="454CBD8E" w14:textId="77777777" w:rsidR="00264896" w:rsidRPr="00EF0E08" w:rsidRDefault="00264896" w:rsidP="00EF0E08">
            <w:pPr>
              <w:spacing w:after="160" w:line="259" w:lineRule="auto"/>
              <w:contextualSpacing/>
              <w:rPr>
                <w:sz w:val="22"/>
                <w:szCs w:val="22"/>
              </w:rPr>
            </w:pPr>
          </w:p>
          <w:p w14:paraId="2C10D13F" w14:textId="34F4CED5" w:rsidR="00264896" w:rsidRPr="001F2D23" w:rsidRDefault="00264896" w:rsidP="00EF0E08">
            <w:pPr>
              <w:spacing w:after="160" w:line="259" w:lineRule="auto"/>
              <w:contextualSpacing/>
              <w:rPr>
                <w:sz w:val="22"/>
                <w:szCs w:val="22"/>
              </w:rPr>
            </w:pPr>
            <w:r w:rsidRPr="001F2D23">
              <w:rPr>
                <w:sz w:val="22"/>
                <w:szCs w:val="22"/>
              </w:rPr>
              <w:t xml:space="preserve">Ņemot vērā, ka informācija par nodokļu parādu ir publiski pieejama </w:t>
            </w:r>
            <w:r w:rsidR="000868DE" w:rsidRPr="001F2D23">
              <w:rPr>
                <w:sz w:val="22"/>
                <w:szCs w:val="22"/>
              </w:rPr>
              <w:t xml:space="preserve">VID </w:t>
            </w:r>
            <w:r w:rsidRPr="001F2D23">
              <w:rPr>
                <w:sz w:val="22"/>
                <w:szCs w:val="22"/>
              </w:rPr>
              <w:t>administrēto nodokļu (nodevu) parādnieku datubāzē</w:t>
            </w:r>
            <w:r w:rsidR="001F2D23" w:rsidRPr="001F2D23">
              <w:rPr>
                <w:sz w:val="22"/>
                <w:szCs w:val="22"/>
              </w:rPr>
              <w:t xml:space="preserve"> un tiek aktualizēta katru dienu uz datumu - divas darba dienas atpakaļ,</w:t>
            </w:r>
            <w:r w:rsidRPr="001F2D23">
              <w:rPr>
                <w:sz w:val="22"/>
                <w:szCs w:val="22"/>
              </w:rPr>
              <w:t xml:space="preserve"> </w:t>
            </w:r>
            <w:r w:rsidR="001F2D23">
              <w:rPr>
                <w:sz w:val="22"/>
                <w:szCs w:val="22"/>
              </w:rPr>
              <w:t>LIAA</w:t>
            </w:r>
            <w:r w:rsidR="001F2D23" w:rsidRPr="001F2D23">
              <w:rPr>
                <w:sz w:val="22"/>
                <w:szCs w:val="22"/>
              </w:rPr>
              <w:t xml:space="preserve"> informāciju par iesniedzēja nodokļu parādu iegūst VID administrēto nodokļu (nodevu) parādnieku datu bāzē</w:t>
            </w:r>
          </w:p>
          <w:p w14:paraId="1C381D81" w14:textId="77777777" w:rsidR="00264896" w:rsidRPr="00EF0E08" w:rsidRDefault="00264896" w:rsidP="00EF0E08">
            <w:pPr>
              <w:spacing w:after="160" w:line="259" w:lineRule="auto"/>
              <w:contextualSpacing/>
              <w:rPr>
                <w:sz w:val="22"/>
                <w:szCs w:val="22"/>
              </w:rPr>
            </w:pPr>
          </w:p>
          <w:p w14:paraId="70D029AB" w14:textId="65585808" w:rsidR="00264896" w:rsidRPr="00EF0E08" w:rsidRDefault="00264896" w:rsidP="00EF0E08">
            <w:pPr>
              <w:spacing w:after="160"/>
              <w:ind w:left="45"/>
              <w:rPr>
                <w:sz w:val="22"/>
                <w:szCs w:val="22"/>
              </w:rPr>
            </w:pPr>
            <w:r w:rsidRPr="00EF0E08">
              <w:rPr>
                <w:sz w:val="22"/>
                <w:szCs w:val="22"/>
              </w:rPr>
              <w:t>Savukārt, ja uz iesnieguma iesniegšanas dienu atbilstoši V</w:t>
            </w:r>
            <w:r w:rsidR="000868DE" w:rsidRPr="00EF0E08">
              <w:rPr>
                <w:sz w:val="22"/>
                <w:szCs w:val="22"/>
              </w:rPr>
              <w:t xml:space="preserve">ID </w:t>
            </w:r>
            <w:r w:rsidRPr="00EF0E08">
              <w:rPr>
                <w:sz w:val="22"/>
                <w:szCs w:val="22"/>
              </w:rPr>
              <w:t>publiskajā datubāzē iekļautajai informācijai iesniedzējam veicējam ir nodokļu (nodevu) parāds, kuru nodokļu maksātājs līdz iesniegumu iesniegšanas dienai ir nomaksājis vai ar V</w:t>
            </w:r>
            <w:r w:rsidR="000868DE" w:rsidRPr="00EF0E08">
              <w:rPr>
                <w:sz w:val="22"/>
                <w:szCs w:val="22"/>
              </w:rPr>
              <w:t xml:space="preserve">ID vienojies </w:t>
            </w:r>
            <w:r w:rsidRPr="00EF0E08">
              <w:rPr>
                <w:sz w:val="22"/>
                <w:szCs w:val="22"/>
              </w:rPr>
              <w:t xml:space="preserve">par labprātīgu nodokļu nomaksu, tad, iesniedzot iesniegumu, pievienojama informācija, kas minēto apstiprina. Piemēram, izziņu no </w:t>
            </w:r>
            <w:r w:rsidR="000868DE" w:rsidRPr="00EF0E08">
              <w:rPr>
                <w:sz w:val="22"/>
                <w:szCs w:val="22"/>
              </w:rPr>
              <w:t>VID</w:t>
            </w:r>
            <w:r w:rsidRPr="00EF0E08">
              <w:rPr>
                <w:sz w:val="22"/>
                <w:szCs w:val="22"/>
              </w:rPr>
              <w:t xml:space="preserve"> elektroniskās deklarēšanas sistēmas par aktuālajiem nodokļu parādiem uz iesnieguma iesniegšanas brīdi. Proti, ja tādu nebūs, tad izziņā būs norādīts, ka šajā datumā nodokļu maksātājam nav </w:t>
            </w:r>
            <w:r w:rsidR="000868DE" w:rsidRPr="00EF0E08">
              <w:rPr>
                <w:sz w:val="22"/>
                <w:szCs w:val="22"/>
              </w:rPr>
              <w:t>VID</w:t>
            </w:r>
            <w:r w:rsidRPr="00EF0E08">
              <w:rPr>
                <w:sz w:val="22"/>
                <w:szCs w:val="22"/>
              </w:rPr>
              <w:t xml:space="preserve"> administrēto nodokļu (nodevu) parādu. Savukārt, ja iesniedzējs ir vienojies par labprātīgu nodokļu nomaksu, tad šādu informāciju norāda iesniegumā, papildu apliecinājumu par minēto faktu neiesniedzot. Proti, tā kā šāda informācija tiek iekļauta </w:t>
            </w:r>
            <w:r w:rsidR="000868DE" w:rsidRPr="00EF0E08">
              <w:rPr>
                <w:sz w:val="22"/>
                <w:szCs w:val="22"/>
              </w:rPr>
              <w:lastRenderedPageBreak/>
              <w:t>VID</w:t>
            </w:r>
            <w:r w:rsidRPr="00EF0E08">
              <w:rPr>
                <w:sz w:val="22"/>
                <w:szCs w:val="22"/>
              </w:rPr>
              <w:t xml:space="preserve"> administrēto nodokļu (nodevu) parādnieku datubāzē, tad </w:t>
            </w:r>
            <w:r w:rsidR="001F2D23">
              <w:rPr>
                <w:sz w:val="22"/>
                <w:szCs w:val="22"/>
              </w:rPr>
              <w:t>2 dienu laikā</w:t>
            </w:r>
            <w:r w:rsidRPr="00EF0E08">
              <w:rPr>
                <w:sz w:val="22"/>
                <w:szCs w:val="22"/>
              </w:rPr>
              <w:t xml:space="preserve"> šāda informācija publiski būs pieejama.</w:t>
            </w:r>
          </w:p>
          <w:p w14:paraId="24B806A3" w14:textId="4DEE1200" w:rsidR="00F039CD" w:rsidRPr="00EF0E08" w:rsidRDefault="00F039CD" w:rsidP="00EF0E08">
            <w:pPr>
              <w:spacing w:after="160"/>
              <w:ind w:left="45"/>
              <w:rPr>
                <w:sz w:val="22"/>
                <w:szCs w:val="22"/>
              </w:rPr>
            </w:pPr>
            <w:r w:rsidRPr="00EF0E08">
              <w:rPr>
                <w:sz w:val="22"/>
                <w:szCs w:val="22"/>
              </w:rPr>
              <w:t>L</w:t>
            </w:r>
            <w:r w:rsidR="000868DE" w:rsidRPr="00EF0E08">
              <w:rPr>
                <w:sz w:val="22"/>
                <w:szCs w:val="22"/>
              </w:rPr>
              <w:t>IAA</w:t>
            </w:r>
            <w:r w:rsidRPr="00EF0E08">
              <w:rPr>
                <w:sz w:val="22"/>
                <w:szCs w:val="22"/>
              </w:rPr>
              <w:t>, pamatojoties uz komersanta iesniegumā norādīto informāciju, pieņem lēmumu par investīciju projekta apstiprināšanu, ja investīciju projekts atbilst</w:t>
            </w:r>
            <w:r w:rsidR="00264896" w:rsidRPr="00EF0E08">
              <w:rPr>
                <w:sz w:val="22"/>
                <w:szCs w:val="22"/>
              </w:rPr>
              <w:t xml:space="preserve"> vismaz </w:t>
            </w:r>
            <w:r w:rsidR="00480185" w:rsidRPr="00EF0E08">
              <w:rPr>
                <w:sz w:val="22"/>
                <w:szCs w:val="22"/>
              </w:rPr>
              <w:t>3</w:t>
            </w:r>
            <w:r w:rsidRPr="00EF0E08">
              <w:rPr>
                <w:sz w:val="22"/>
                <w:szCs w:val="22"/>
              </w:rPr>
              <w:t xml:space="preserve"> </w:t>
            </w:r>
            <w:r w:rsidR="00895DDC" w:rsidRPr="00EF0E08">
              <w:rPr>
                <w:sz w:val="22"/>
                <w:szCs w:val="22"/>
              </w:rPr>
              <w:t>Noteikumu projekta</w:t>
            </w:r>
            <w:r w:rsidRPr="00EF0E08">
              <w:rPr>
                <w:sz w:val="22"/>
                <w:szCs w:val="22"/>
              </w:rPr>
              <w:t xml:space="preserve"> </w:t>
            </w:r>
            <w:r w:rsidR="00CB716E" w:rsidRPr="00EF0E08">
              <w:rPr>
                <w:sz w:val="22"/>
                <w:szCs w:val="22"/>
              </w:rPr>
              <w:t>4</w:t>
            </w:r>
            <w:r w:rsidRPr="00EF0E08">
              <w:rPr>
                <w:sz w:val="22"/>
                <w:szCs w:val="22"/>
              </w:rPr>
              <w:t>.</w:t>
            </w:r>
            <w:r w:rsidR="00F734A5" w:rsidRPr="00EF0E08">
              <w:rPr>
                <w:sz w:val="22"/>
                <w:szCs w:val="22"/>
              </w:rPr>
              <w:t>4.</w:t>
            </w:r>
            <w:r w:rsidR="000868DE" w:rsidRPr="00EF0E08">
              <w:rPr>
                <w:sz w:val="22"/>
                <w:szCs w:val="22"/>
              </w:rPr>
              <w:t xml:space="preserve"> </w:t>
            </w:r>
            <w:r w:rsidRPr="00EF0E08">
              <w:rPr>
                <w:sz w:val="22"/>
                <w:szCs w:val="22"/>
              </w:rPr>
              <w:t>punktā noteiktajiem kritērijiem</w:t>
            </w:r>
            <w:r w:rsidR="00264896" w:rsidRPr="00EF0E08">
              <w:rPr>
                <w:sz w:val="22"/>
                <w:szCs w:val="22"/>
              </w:rPr>
              <w:t xml:space="preserve">, un </w:t>
            </w:r>
            <w:r w:rsidR="00B05743" w:rsidRPr="00EF0E08">
              <w:rPr>
                <w:sz w:val="22"/>
                <w:szCs w:val="22"/>
              </w:rPr>
              <w:t>izpilda</w:t>
            </w:r>
            <w:r w:rsidR="00A778F4" w:rsidRPr="00EF0E08">
              <w:rPr>
                <w:sz w:val="22"/>
                <w:szCs w:val="22"/>
              </w:rPr>
              <w:t xml:space="preserve"> 4.2., 4.3. un 4.5. apakšpunkta nosacījum</w:t>
            </w:r>
            <w:r w:rsidR="00B05743" w:rsidRPr="00EF0E08">
              <w:rPr>
                <w:sz w:val="22"/>
                <w:szCs w:val="22"/>
              </w:rPr>
              <w:t>us</w:t>
            </w:r>
            <w:r w:rsidR="00A778F4" w:rsidRPr="00EF0E08">
              <w:rPr>
                <w:sz w:val="22"/>
                <w:szCs w:val="22"/>
              </w:rPr>
              <w:t xml:space="preserve"> par</w:t>
            </w:r>
            <w:r w:rsidR="007E77FE" w:rsidRPr="00EF0E08">
              <w:rPr>
                <w:sz w:val="22"/>
                <w:szCs w:val="22"/>
              </w:rPr>
              <w:t xml:space="preserve"> nodokļu</w:t>
            </w:r>
            <w:r w:rsidR="00A778F4" w:rsidRPr="00EF0E08">
              <w:rPr>
                <w:sz w:val="22"/>
                <w:szCs w:val="22"/>
              </w:rPr>
              <w:t xml:space="preserve"> </w:t>
            </w:r>
            <w:r w:rsidR="00D50D51" w:rsidRPr="00EF0E08">
              <w:rPr>
                <w:sz w:val="22"/>
                <w:szCs w:val="22"/>
              </w:rPr>
              <w:t xml:space="preserve">parādu </w:t>
            </w:r>
            <w:r w:rsidR="007E77FE" w:rsidRPr="00EF0E08">
              <w:rPr>
                <w:sz w:val="22"/>
                <w:szCs w:val="22"/>
              </w:rPr>
              <w:t xml:space="preserve">virs 1000 EUR </w:t>
            </w:r>
            <w:r w:rsidR="00D50D51" w:rsidRPr="00EF0E08">
              <w:rPr>
                <w:sz w:val="22"/>
                <w:szCs w:val="22"/>
              </w:rPr>
              <w:t>neesamību</w:t>
            </w:r>
            <w:r w:rsidR="00113A19" w:rsidRPr="00EF0E08">
              <w:rPr>
                <w:sz w:val="22"/>
                <w:szCs w:val="22"/>
              </w:rPr>
              <w:t>, maksātnespējas procesa vai bankrota nees</w:t>
            </w:r>
            <w:r w:rsidR="007073CF" w:rsidRPr="00EF0E08">
              <w:rPr>
                <w:sz w:val="22"/>
                <w:szCs w:val="22"/>
              </w:rPr>
              <w:t xml:space="preserve">amību, </w:t>
            </w:r>
            <w:r w:rsidR="00B05743" w:rsidRPr="00EF0E08">
              <w:rPr>
                <w:sz w:val="22"/>
                <w:szCs w:val="22"/>
              </w:rPr>
              <w:t>kā arī pieejamā finansējuma apliecinā</w:t>
            </w:r>
            <w:r w:rsidR="00125A68" w:rsidRPr="00EF0E08">
              <w:rPr>
                <w:sz w:val="22"/>
                <w:szCs w:val="22"/>
              </w:rPr>
              <w:t>šanu</w:t>
            </w:r>
            <w:r w:rsidR="00264896" w:rsidRPr="00EF0E08">
              <w:rPr>
                <w:sz w:val="22"/>
                <w:szCs w:val="22"/>
              </w:rPr>
              <w:t>.</w:t>
            </w:r>
            <w:r w:rsidR="000868DE" w:rsidRPr="00EF0E08">
              <w:rPr>
                <w:sz w:val="22"/>
                <w:szCs w:val="22"/>
              </w:rPr>
              <w:t xml:space="preserve"> </w:t>
            </w:r>
            <w:r w:rsidR="005538ED" w:rsidRPr="00EF0E08">
              <w:rPr>
                <w:sz w:val="22"/>
                <w:szCs w:val="22"/>
              </w:rPr>
              <w:t xml:space="preserve">Lēmumu par apstiprināšanu vai noraidīšanu </w:t>
            </w:r>
            <w:r w:rsidR="000868DE" w:rsidRPr="00EF0E08">
              <w:rPr>
                <w:sz w:val="22"/>
                <w:szCs w:val="22"/>
              </w:rPr>
              <w:t xml:space="preserve">LIAA triju darbdienu laikā </w:t>
            </w:r>
            <w:proofErr w:type="spellStart"/>
            <w:r w:rsidR="000868DE" w:rsidRPr="00EF0E08">
              <w:rPr>
                <w:sz w:val="22"/>
                <w:szCs w:val="22"/>
              </w:rPr>
              <w:t>nosūt</w:t>
            </w:r>
            <w:r w:rsidR="005538ED" w:rsidRPr="00EF0E08">
              <w:rPr>
                <w:sz w:val="22"/>
                <w:szCs w:val="22"/>
              </w:rPr>
              <w:t>a</w:t>
            </w:r>
            <w:proofErr w:type="spellEnd"/>
            <w:r w:rsidR="005538ED" w:rsidRPr="00EF0E08">
              <w:rPr>
                <w:sz w:val="22"/>
                <w:szCs w:val="22"/>
              </w:rPr>
              <w:t xml:space="preserve"> </w:t>
            </w:r>
            <w:r w:rsidR="000868DE" w:rsidRPr="00EF0E08">
              <w:rPr>
                <w:sz w:val="22"/>
                <w:szCs w:val="22"/>
              </w:rPr>
              <w:t xml:space="preserve">uz komersanta e-pasta adresi, kā arī informē </w:t>
            </w:r>
            <w:r w:rsidR="006B0768" w:rsidRPr="00EF0E08">
              <w:rPr>
                <w:sz w:val="22"/>
                <w:szCs w:val="22"/>
              </w:rPr>
              <w:t>tiešās un pastarpinātās publiskās personas un privātpersonas, kur</w:t>
            </w:r>
            <w:r w:rsidR="00BE22B5" w:rsidRPr="00EF0E08">
              <w:rPr>
                <w:sz w:val="22"/>
                <w:szCs w:val="22"/>
              </w:rPr>
              <w:t xml:space="preserve">as </w:t>
            </w:r>
            <w:r w:rsidR="00AE7014" w:rsidRPr="00EF0E08">
              <w:rPr>
                <w:sz w:val="22"/>
                <w:szCs w:val="22"/>
              </w:rPr>
              <w:t>skars prasība apkalpot projektu prioritārā kārtībā un termiņā.</w:t>
            </w:r>
          </w:p>
          <w:p w14:paraId="17B5671E" w14:textId="3524C70D" w:rsidR="00342980" w:rsidRPr="00EF0E08" w:rsidRDefault="00F573CD" w:rsidP="00EF0E08">
            <w:pPr>
              <w:spacing w:after="160"/>
              <w:rPr>
                <w:sz w:val="22"/>
                <w:szCs w:val="22"/>
              </w:rPr>
            </w:pPr>
            <w:r w:rsidRPr="00EF0E08">
              <w:rPr>
                <w:sz w:val="22"/>
                <w:szCs w:val="22"/>
              </w:rPr>
              <w:t xml:space="preserve">Informācija par apstiprinātajiem prioritāro investīciju statusa projektiem tiek publicēta Latvijas Investīciju un attīstības aģentūras interneta vietnē </w:t>
            </w:r>
            <w:hyperlink r:id="rId10" w:history="1">
              <w:r w:rsidRPr="00EF0E08">
                <w:rPr>
                  <w:rStyle w:val="Hyperlink"/>
                  <w:sz w:val="22"/>
                  <w:szCs w:val="22"/>
                </w:rPr>
                <w:t>www.liaa.gov.lv</w:t>
              </w:r>
            </w:hyperlink>
            <w:r w:rsidRPr="00EF0E08">
              <w:rPr>
                <w:sz w:val="22"/>
                <w:szCs w:val="22"/>
              </w:rPr>
              <w:t xml:space="preserve">.  </w:t>
            </w:r>
          </w:p>
          <w:p w14:paraId="5DAF83AC" w14:textId="64074882" w:rsidR="00342980" w:rsidRPr="00EF0E08" w:rsidRDefault="00342980" w:rsidP="00EF0E08">
            <w:pPr>
              <w:spacing w:after="160"/>
              <w:contextualSpacing/>
              <w:rPr>
                <w:sz w:val="22"/>
                <w:szCs w:val="22"/>
              </w:rPr>
            </w:pPr>
            <w:r w:rsidRPr="00EF0E08">
              <w:rPr>
                <w:sz w:val="22"/>
                <w:szCs w:val="22"/>
              </w:rPr>
              <w:t xml:space="preserve">Lai nodrošinātu prioritārā investīciju projekta īstenošanai paredzētās būvniecības ieceres ātru virzību, saskaņošanu un apstiprināšanu prioritārā secībā un kārtībā, ir nepieciešams veikt Būvniecības informācijas sistēmas pielāgojumus,  t.i. papildināt būvniecības ieceres datus ar informāciju par ieceres prioritāro statusu. Funkcionalitāte nodrošinās, ka publisko un privāto tiesību subjekti, kas ir iesaistīti būvniecības ieceres skaņošanas un akceptēšanas procesā, Būvniecības informācijas sistēmā saņemot pieprasījumu tehnisko vai speciālo noteikumu izdošanai, ieceres saskaņošanai un akceptēšanai, redzēs ieceres prioritāro statusu un spēs identificēt likumā noteikto pienākumu veikt attiecīgās darbības īsākos termiņos. </w:t>
            </w:r>
          </w:p>
          <w:p w14:paraId="06759B57" w14:textId="77777777" w:rsidR="004E770B" w:rsidRPr="00EF0E08" w:rsidRDefault="004E770B" w:rsidP="00EF0E08">
            <w:pPr>
              <w:spacing w:after="160"/>
              <w:contextualSpacing/>
              <w:rPr>
                <w:sz w:val="22"/>
                <w:szCs w:val="22"/>
              </w:rPr>
            </w:pPr>
          </w:p>
          <w:p w14:paraId="6E41639F" w14:textId="503ADCDD" w:rsidR="00303994" w:rsidRPr="00EF0E08" w:rsidRDefault="00EC1210" w:rsidP="00EF0E08">
            <w:pPr>
              <w:spacing w:after="160"/>
              <w:contextualSpacing/>
              <w:rPr>
                <w:iCs/>
                <w:sz w:val="22"/>
                <w:szCs w:val="22"/>
              </w:rPr>
            </w:pPr>
            <w:r w:rsidRPr="00EF0E08">
              <w:rPr>
                <w:sz w:val="22"/>
                <w:szCs w:val="22"/>
              </w:rPr>
              <w:t xml:space="preserve">Būvniecības informācijas sistēmas pielāgošanas izmaksas ir </w:t>
            </w:r>
            <w:r w:rsidRPr="00EF0E08">
              <w:rPr>
                <w:iCs/>
                <w:sz w:val="22"/>
                <w:szCs w:val="22"/>
              </w:rPr>
              <w:t>17.895,90 EUR un tiks segtas no Ekonomikas ministrijas investīciju budžeta līdzekļiem.</w:t>
            </w:r>
          </w:p>
          <w:p w14:paraId="7D37E9F7" w14:textId="128A0969" w:rsidR="006C3C93" w:rsidRPr="00EF0E08" w:rsidRDefault="006C3C93" w:rsidP="00EF0E08">
            <w:pPr>
              <w:spacing w:after="160"/>
              <w:contextualSpacing/>
              <w:rPr>
                <w:iCs/>
                <w:sz w:val="22"/>
                <w:szCs w:val="22"/>
              </w:rPr>
            </w:pPr>
          </w:p>
          <w:p w14:paraId="5497BB5D" w14:textId="0D23FAC7" w:rsidR="006C3C93" w:rsidRPr="00EF0E08" w:rsidRDefault="006C3C93" w:rsidP="00EF0E08">
            <w:pPr>
              <w:spacing w:after="160"/>
              <w:contextualSpacing/>
              <w:rPr>
                <w:sz w:val="22"/>
                <w:szCs w:val="22"/>
              </w:rPr>
            </w:pPr>
            <w:r w:rsidRPr="00EF0E08">
              <w:rPr>
                <w:sz w:val="22"/>
                <w:szCs w:val="22"/>
              </w:rPr>
              <w:t xml:space="preserve">Gadījumā, ja prioritāro investīciju projektu apkalpošanas dēļ </w:t>
            </w:r>
            <w:r w:rsidR="002F2D9C" w:rsidRPr="00EF0E08">
              <w:rPr>
                <w:sz w:val="22"/>
                <w:szCs w:val="22"/>
              </w:rPr>
              <w:t xml:space="preserve">tiek </w:t>
            </w:r>
            <w:r w:rsidRPr="00EF0E08">
              <w:rPr>
                <w:sz w:val="22"/>
                <w:szCs w:val="22"/>
              </w:rPr>
              <w:t>kavē</w:t>
            </w:r>
            <w:r w:rsidR="002F2D9C" w:rsidRPr="00EF0E08">
              <w:rPr>
                <w:sz w:val="22"/>
                <w:szCs w:val="22"/>
              </w:rPr>
              <w:t>ta</w:t>
            </w:r>
            <w:r w:rsidRPr="00EF0E08">
              <w:rPr>
                <w:sz w:val="22"/>
                <w:szCs w:val="22"/>
              </w:rPr>
              <w:t xml:space="preserve"> </w:t>
            </w:r>
            <w:r w:rsidR="00EC1168" w:rsidRPr="00EF0E08">
              <w:rPr>
                <w:sz w:val="22"/>
                <w:szCs w:val="22"/>
              </w:rPr>
              <w:t>citu</w:t>
            </w:r>
            <w:r w:rsidRPr="00EF0E08">
              <w:rPr>
                <w:sz w:val="22"/>
                <w:szCs w:val="22"/>
              </w:rPr>
              <w:t xml:space="preserve"> </w:t>
            </w:r>
            <w:r w:rsidR="002F2D9C" w:rsidRPr="00EF0E08">
              <w:rPr>
                <w:sz w:val="22"/>
                <w:szCs w:val="22"/>
              </w:rPr>
              <w:t xml:space="preserve">attiecīgajā </w:t>
            </w:r>
            <w:r w:rsidRPr="00EF0E08">
              <w:rPr>
                <w:sz w:val="22"/>
                <w:szCs w:val="22"/>
              </w:rPr>
              <w:t xml:space="preserve">iestādē iesniegto </w:t>
            </w:r>
            <w:r w:rsidR="00EC1168" w:rsidRPr="00EF0E08">
              <w:rPr>
                <w:sz w:val="22"/>
                <w:szCs w:val="22"/>
              </w:rPr>
              <w:t xml:space="preserve">administratīvo </w:t>
            </w:r>
            <w:r w:rsidRPr="00EF0E08">
              <w:rPr>
                <w:sz w:val="22"/>
                <w:szCs w:val="22"/>
              </w:rPr>
              <w:t>lietu izskatīšana</w:t>
            </w:r>
            <w:r w:rsidR="002F2D9C" w:rsidRPr="00EF0E08">
              <w:rPr>
                <w:sz w:val="22"/>
                <w:szCs w:val="22"/>
              </w:rPr>
              <w:t xml:space="preserve">, tas ir uzskatāms par objektīvu un attaisnojošu iemeslu pagarināt termiņu neprioritāro </w:t>
            </w:r>
            <w:r w:rsidR="00EC1168" w:rsidRPr="00EF0E08">
              <w:rPr>
                <w:sz w:val="22"/>
                <w:szCs w:val="22"/>
              </w:rPr>
              <w:t>administratīvo lietu</w:t>
            </w:r>
            <w:r w:rsidR="002F2D9C" w:rsidRPr="00EF0E08">
              <w:rPr>
                <w:sz w:val="22"/>
                <w:szCs w:val="22"/>
              </w:rPr>
              <w:t xml:space="preserve"> izskatīšanai</w:t>
            </w:r>
            <w:r w:rsidR="00EC1168" w:rsidRPr="00EF0E08">
              <w:rPr>
                <w:sz w:val="22"/>
                <w:szCs w:val="22"/>
              </w:rPr>
              <w:t>.</w:t>
            </w:r>
          </w:p>
          <w:p w14:paraId="20FCE8A7" w14:textId="77777777" w:rsidR="00A76A52" w:rsidRPr="00EF0E08" w:rsidRDefault="00A76A52" w:rsidP="00EF0E08">
            <w:pPr>
              <w:spacing w:after="160"/>
              <w:contextualSpacing/>
              <w:rPr>
                <w:sz w:val="22"/>
                <w:szCs w:val="22"/>
              </w:rPr>
            </w:pPr>
          </w:p>
          <w:bookmarkEnd w:id="5"/>
          <w:p w14:paraId="2DC6810B" w14:textId="41F5C192" w:rsidR="00342980" w:rsidRPr="00EF0E08" w:rsidRDefault="00A76A52" w:rsidP="00EF0E08">
            <w:pPr>
              <w:spacing w:after="160"/>
              <w:contextualSpacing/>
              <w:rPr>
                <w:color w:val="414142"/>
                <w:sz w:val="22"/>
                <w:szCs w:val="22"/>
              </w:rPr>
            </w:pPr>
            <w:r w:rsidRPr="00EF0E08">
              <w:rPr>
                <w:sz w:val="22"/>
                <w:szCs w:val="22"/>
              </w:rPr>
              <w:t>Pamatojums par pielikumā ietvertajiem pakalpojumiem:</w:t>
            </w:r>
            <w:r w:rsidRPr="00EF0E08">
              <w:rPr>
                <w:b/>
                <w:bCs/>
                <w:sz w:val="22"/>
                <w:szCs w:val="22"/>
              </w:rPr>
              <w:t xml:space="preserve"> </w:t>
            </w:r>
            <w:r w:rsidR="00EF0E08">
              <w:rPr>
                <w:sz w:val="22"/>
                <w:szCs w:val="22"/>
              </w:rPr>
              <w:t>n</w:t>
            </w:r>
            <w:r w:rsidR="668E7DE8" w:rsidRPr="00EF0E08">
              <w:rPr>
                <w:sz w:val="22"/>
                <w:szCs w:val="22"/>
              </w:rPr>
              <w:t xml:space="preserve">oteikumu pielikumā </w:t>
            </w:r>
            <w:r w:rsidR="077C6232" w:rsidRPr="00EF0E08">
              <w:rPr>
                <w:sz w:val="22"/>
                <w:szCs w:val="22"/>
              </w:rPr>
              <w:t xml:space="preserve">ir </w:t>
            </w:r>
            <w:r w:rsidR="668E7DE8" w:rsidRPr="00EF0E08">
              <w:rPr>
                <w:sz w:val="22"/>
                <w:szCs w:val="22"/>
              </w:rPr>
              <w:t>ietverti</w:t>
            </w:r>
            <w:r w:rsidR="06BF098C" w:rsidRPr="00EF0E08">
              <w:rPr>
                <w:sz w:val="22"/>
                <w:szCs w:val="22"/>
              </w:rPr>
              <w:t xml:space="preserve"> </w:t>
            </w:r>
            <w:r w:rsidR="06BF098C" w:rsidRPr="00EF0E08">
              <w:rPr>
                <w:color w:val="414142"/>
                <w:sz w:val="22"/>
                <w:szCs w:val="22"/>
              </w:rPr>
              <w:t>tiešās un pastarpinātās pārvaldes iestāžu sniegtie pakalpojumi, k</w:t>
            </w:r>
            <w:r w:rsidR="78B65872" w:rsidRPr="00EF0E08">
              <w:rPr>
                <w:color w:val="414142"/>
                <w:sz w:val="22"/>
                <w:szCs w:val="22"/>
              </w:rPr>
              <w:t>uru sniegšanas termiņš var ietekmēt investīciju projektu īstenošanu no komersantu puses, neiekļaujot tādus pakalpojumus</w:t>
            </w:r>
            <w:r w:rsidR="792FD5D8" w:rsidRPr="00EF0E08">
              <w:rPr>
                <w:color w:val="414142"/>
                <w:sz w:val="22"/>
                <w:szCs w:val="22"/>
              </w:rPr>
              <w:t xml:space="preserve">, kas </w:t>
            </w:r>
            <w:r w:rsidR="79E9AA20" w:rsidRPr="00EF0E08">
              <w:rPr>
                <w:color w:val="414142"/>
                <w:sz w:val="22"/>
                <w:szCs w:val="22"/>
              </w:rPr>
              <w:t xml:space="preserve">ietekmē sabiedrības līdzdalības iesējas un </w:t>
            </w:r>
            <w:r w:rsidR="792FD5D8" w:rsidRPr="00EF0E08">
              <w:rPr>
                <w:color w:val="414142"/>
                <w:sz w:val="22"/>
                <w:szCs w:val="22"/>
              </w:rPr>
              <w:t>tiesības attiecībā uz līdzdalību lēmumu pieņemšanas procesā to likumīgo interešu aizsardzībai</w:t>
            </w:r>
            <w:r w:rsidR="3590D275" w:rsidRPr="00EF0E08">
              <w:rPr>
                <w:color w:val="414142"/>
                <w:sz w:val="22"/>
                <w:szCs w:val="22"/>
              </w:rPr>
              <w:t>.</w:t>
            </w:r>
          </w:p>
          <w:p w14:paraId="3DC3B6CC" w14:textId="73C7E382" w:rsidR="00342980" w:rsidRPr="00EF0E08" w:rsidRDefault="67BE4B38" w:rsidP="00EF0E08">
            <w:pPr>
              <w:spacing w:after="160"/>
              <w:contextualSpacing/>
              <w:rPr>
                <w:color w:val="414142"/>
                <w:sz w:val="22"/>
                <w:szCs w:val="22"/>
              </w:rPr>
            </w:pPr>
            <w:r w:rsidRPr="00EF0E08">
              <w:rPr>
                <w:color w:val="414142"/>
                <w:sz w:val="22"/>
                <w:szCs w:val="22"/>
              </w:rPr>
              <w:t xml:space="preserve">Pielikumā atbilstoši likumā ietvertajam deleģējumam ir ietverti arī tie gadījumi, kad ir nepieciešams saņemt </w:t>
            </w:r>
            <w:r w:rsidRPr="00EF0E08">
              <w:rPr>
                <w:color w:val="414142"/>
                <w:sz w:val="22"/>
                <w:szCs w:val="22"/>
              </w:rPr>
              <w:lastRenderedPageBreak/>
              <w:t xml:space="preserve">saskaņojumu </w:t>
            </w:r>
            <w:r w:rsidR="583AE8D3" w:rsidRPr="00EF0E08">
              <w:rPr>
                <w:color w:val="414142"/>
                <w:sz w:val="22"/>
                <w:szCs w:val="22"/>
              </w:rPr>
              <w:t>no</w:t>
            </w:r>
            <w:r w:rsidRPr="00EF0E08">
              <w:rPr>
                <w:color w:val="414142"/>
                <w:sz w:val="22"/>
                <w:szCs w:val="22"/>
              </w:rPr>
              <w:t xml:space="preserve"> privātperson</w:t>
            </w:r>
            <w:r w:rsidR="2FB59E91" w:rsidRPr="00EF0E08">
              <w:rPr>
                <w:color w:val="414142"/>
                <w:sz w:val="22"/>
                <w:szCs w:val="22"/>
              </w:rPr>
              <w:t>ām</w:t>
            </w:r>
            <w:r w:rsidRPr="00EF0E08">
              <w:rPr>
                <w:color w:val="414142"/>
                <w:sz w:val="22"/>
                <w:szCs w:val="22"/>
              </w:rPr>
              <w:t>, kuras ir iesaistītas pakalpojumu sniegšanā, veicot valsts pārvaldes uzdevumus, tostarp investīciju projekta īstenošanai nepieciešamo darbību saskaņošanā</w:t>
            </w:r>
            <w:r w:rsidR="47476BB7" w:rsidRPr="00EF0E08">
              <w:rPr>
                <w:color w:val="414142"/>
                <w:sz w:val="22"/>
                <w:szCs w:val="22"/>
              </w:rPr>
              <w:t>(p</w:t>
            </w:r>
            <w:r w:rsidR="00454727" w:rsidRPr="00EF0E08">
              <w:rPr>
                <w:color w:val="414142"/>
                <w:sz w:val="22"/>
                <w:szCs w:val="22"/>
              </w:rPr>
              <w:t>i</w:t>
            </w:r>
            <w:r w:rsidR="47476BB7" w:rsidRPr="00EF0E08">
              <w:rPr>
                <w:color w:val="414142"/>
                <w:sz w:val="22"/>
                <w:szCs w:val="22"/>
              </w:rPr>
              <w:t>emēram, saistītās infrastruktūras turētāji).</w:t>
            </w:r>
          </w:p>
          <w:p w14:paraId="389E1CFC" w14:textId="3B15AB02" w:rsidR="00342980" w:rsidRPr="00EF0E08" w:rsidRDefault="635B1FAC" w:rsidP="00EF0E08">
            <w:pPr>
              <w:pStyle w:val="NormalWeb"/>
              <w:spacing w:after="160"/>
              <w:contextualSpacing/>
              <w:rPr>
                <w:color w:val="414142"/>
                <w:sz w:val="22"/>
                <w:szCs w:val="22"/>
              </w:rPr>
            </w:pPr>
            <w:r w:rsidRPr="00EF0E08">
              <w:rPr>
                <w:color w:val="000000" w:themeColor="text1"/>
                <w:sz w:val="22"/>
                <w:szCs w:val="22"/>
              </w:rPr>
              <w:t>Pretstatā citu valstu piemēriem, tai skaitā Lietuvai,  regulējums attiecas arī uz vietējā kapitāla uzņēmumiem</w:t>
            </w:r>
            <w:r w:rsidR="003569C9" w:rsidRPr="00EF0E08">
              <w:rPr>
                <w:color w:val="000000" w:themeColor="text1"/>
                <w:sz w:val="22"/>
                <w:szCs w:val="22"/>
              </w:rPr>
              <w:t>, kā arī</w:t>
            </w:r>
            <w:r w:rsidR="00EE22BB" w:rsidRPr="00EF0E08">
              <w:rPr>
                <w:color w:val="000000" w:themeColor="text1"/>
                <w:sz w:val="22"/>
                <w:szCs w:val="22"/>
              </w:rPr>
              <w:t>, ņemot vērā ieguldījuma apjomu,</w:t>
            </w:r>
            <w:r w:rsidR="003569C9" w:rsidRPr="00EF0E08">
              <w:rPr>
                <w:color w:val="000000" w:themeColor="text1"/>
                <w:sz w:val="22"/>
                <w:szCs w:val="22"/>
              </w:rPr>
              <w:t xml:space="preserve"> </w:t>
            </w:r>
            <w:r w:rsidR="00CF79E2" w:rsidRPr="00EF0E08">
              <w:rPr>
                <w:color w:val="000000" w:themeColor="text1"/>
                <w:sz w:val="22"/>
                <w:szCs w:val="22"/>
              </w:rPr>
              <w:t>tā mērķauditorija ir daudz plašāka</w:t>
            </w:r>
            <w:r w:rsidR="00FA1F22" w:rsidRPr="00EF0E08">
              <w:rPr>
                <w:color w:val="000000" w:themeColor="text1"/>
                <w:sz w:val="22"/>
                <w:szCs w:val="22"/>
              </w:rPr>
              <w:t xml:space="preserve"> nekā Lietuvā. </w:t>
            </w:r>
            <w:r w:rsidR="007925CF" w:rsidRPr="00EF0E08">
              <w:rPr>
                <w:color w:val="000000" w:themeColor="text1"/>
                <w:sz w:val="22"/>
                <w:szCs w:val="22"/>
              </w:rPr>
              <w:t xml:space="preserve">Lietuvā kritērijs ir vismaz 20 000 000 </w:t>
            </w:r>
            <w:proofErr w:type="spellStart"/>
            <w:r w:rsidR="007925CF" w:rsidRPr="00EF0E08">
              <w:rPr>
                <w:color w:val="000000" w:themeColor="text1"/>
                <w:sz w:val="22"/>
                <w:szCs w:val="22"/>
              </w:rPr>
              <w:t>eur</w:t>
            </w:r>
            <w:proofErr w:type="spellEnd"/>
            <w:r w:rsidR="007925CF" w:rsidRPr="00EF0E08">
              <w:rPr>
                <w:color w:val="000000" w:themeColor="text1"/>
                <w:sz w:val="22"/>
                <w:szCs w:val="22"/>
              </w:rPr>
              <w:t xml:space="preserve"> ieguldījums reģionos un 30 000 000 </w:t>
            </w:r>
            <w:proofErr w:type="spellStart"/>
            <w:r w:rsidR="007925CF" w:rsidRPr="00EF0E08">
              <w:rPr>
                <w:color w:val="000000" w:themeColor="text1"/>
                <w:sz w:val="22"/>
                <w:szCs w:val="22"/>
              </w:rPr>
              <w:t>eur</w:t>
            </w:r>
            <w:proofErr w:type="spellEnd"/>
            <w:r w:rsidR="007925CF" w:rsidRPr="00EF0E08">
              <w:rPr>
                <w:color w:val="000000" w:themeColor="text1"/>
                <w:sz w:val="22"/>
                <w:szCs w:val="22"/>
              </w:rPr>
              <w:t xml:space="preserve"> Viļņā, radot vismaz 150 jaunas pilna laika darba vietas reģionos un 200 Viļņā, turklāt nodrošinot darba stabilitāti vismaz 5 gadus.</w:t>
            </w:r>
          </w:p>
        </w:tc>
      </w:tr>
      <w:bookmarkEnd w:id="4"/>
      <w:tr w:rsidR="00BD5588" w:rsidRPr="00EF0E08" w14:paraId="072A88C3" w14:textId="77777777" w:rsidTr="527D0A3B">
        <w:tc>
          <w:tcPr>
            <w:tcW w:w="311" w:type="pct"/>
            <w:hideMark/>
          </w:tcPr>
          <w:p w14:paraId="12ADF754" w14:textId="77777777" w:rsidR="00BD5588" w:rsidRPr="00EF0E08" w:rsidRDefault="00BD5588" w:rsidP="00EF0E08">
            <w:pPr>
              <w:rPr>
                <w:sz w:val="22"/>
                <w:szCs w:val="22"/>
              </w:rPr>
            </w:pPr>
            <w:r w:rsidRPr="00EF0E08">
              <w:rPr>
                <w:sz w:val="22"/>
                <w:szCs w:val="22"/>
              </w:rPr>
              <w:lastRenderedPageBreak/>
              <w:t>3.</w:t>
            </w:r>
          </w:p>
        </w:tc>
        <w:tc>
          <w:tcPr>
            <w:tcW w:w="1479" w:type="pct"/>
            <w:hideMark/>
          </w:tcPr>
          <w:p w14:paraId="36F60A2A" w14:textId="77777777" w:rsidR="00BD5588" w:rsidRPr="00EF0E08" w:rsidRDefault="00BD5588" w:rsidP="00EF0E08">
            <w:pPr>
              <w:rPr>
                <w:sz w:val="22"/>
                <w:szCs w:val="22"/>
              </w:rPr>
            </w:pPr>
            <w:r w:rsidRPr="00EF0E08">
              <w:rPr>
                <w:sz w:val="22"/>
                <w:szCs w:val="22"/>
              </w:rPr>
              <w:t>Projekta izstrādē iesaistītās institūcijas un publiskas personas kapitālsabiedrības</w:t>
            </w:r>
          </w:p>
        </w:tc>
        <w:tc>
          <w:tcPr>
            <w:tcW w:w="3210" w:type="pct"/>
            <w:hideMark/>
          </w:tcPr>
          <w:p w14:paraId="17F0AD06" w14:textId="0BB5E241" w:rsidR="00BD5588" w:rsidRPr="00EF0E08" w:rsidRDefault="00F85A50" w:rsidP="00EF0E08">
            <w:pPr>
              <w:rPr>
                <w:sz w:val="22"/>
                <w:szCs w:val="22"/>
              </w:rPr>
            </w:pPr>
            <w:r w:rsidRPr="00EF0E08">
              <w:rPr>
                <w:sz w:val="22"/>
                <w:szCs w:val="22"/>
              </w:rPr>
              <w:t>Ekonomikas ministrija, Latvijas Investīciju un attīstības aģentūra</w:t>
            </w:r>
          </w:p>
        </w:tc>
      </w:tr>
      <w:tr w:rsidR="00BD5588" w:rsidRPr="00EF0E08" w14:paraId="1A75AFB6" w14:textId="77777777" w:rsidTr="527D0A3B">
        <w:tc>
          <w:tcPr>
            <w:tcW w:w="311" w:type="pct"/>
            <w:hideMark/>
          </w:tcPr>
          <w:p w14:paraId="05CD628E" w14:textId="77777777" w:rsidR="00BD5588" w:rsidRPr="00EF0E08" w:rsidRDefault="00BD5588" w:rsidP="00EF0E08">
            <w:pPr>
              <w:rPr>
                <w:sz w:val="22"/>
                <w:szCs w:val="22"/>
              </w:rPr>
            </w:pPr>
            <w:r w:rsidRPr="00EF0E08">
              <w:rPr>
                <w:sz w:val="22"/>
                <w:szCs w:val="22"/>
              </w:rPr>
              <w:t>4.</w:t>
            </w:r>
          </w:p>
        </w:tc>
        <w:tc>
          <w:tcPr>
            <w:tcW w:w="1479" w:type="pct"/>
            <w:hideMark/>
          </w:tcPr>
          <w:p w14:paraId="334AA087" w14:textId="77777777" w:rsidR="00BD5588" w:rsidRPr="00EF0E08" w:rsidRDefault="00BD5588" w:rsidP="00EF0E08">
            <w:pPr>
              <w:rPr>
                <w:sz w:val="22"/>
                <w:szCs w:val="22"/>
              </w:rPr>
            </w:pPr>
            <w:r w:rsidRPr="00EF0E08">
              <w:rPr>
                <w:sz w:val="22"/>
                <w:szCs w:val="22"/>
              </w:rPr>
              <w:t>Cita informācija</w:t>
            </w:r>
          </w:p>
        </w:tc>
        <w:tc>
          <w:tcPr>
            <w:tcW w:w="3210" w:type="pct"/>
            <w:hideMark/>
          </w:tcPr>
          <w:p w14:paraId="597E3DB9" w14:textId="77777777" w:rsidR="001E7088" w:rsidRPr="009E734D" w:rsidRDefault="001E7088" w:rsidP="00EF0E08">
            <w:pPr>
              <w:spacing w:after="160"/>
              <w:contextualSpacing/>
              <w:rPr>
                <w:sz w:val="22"/>
                <w:szCs w:val="22"/>
              </w:rPr>
            </w:pPr>
            <w:r w:rsidRPr="00EF0E08">
              <w:rPr>
                <w:sz w:val="22"/>
                <w:szCs w:val="22"/>
              </w:rPr>
              <w:t xml:space="preserve">MK noteikumu projekts ir saņēmis konceptuālu atbalstu Saeimas Budžeta un finanšu (nodokļu) komisijas sēdē 15.12.2020, izskatot 23.12.2020. izsludinātos grozījumus </w:t>
            </w:r>
            <w:r w:rsidRPr="009E734D">
              <w:rPr>
                <w:sz w:val="22"/>
                <w:szCs w:val="22"/>
              </w:rPr>
              <w:t>Covid-19 infekcijas izplatības seku pārvarēšanas likumā.</w:t>
            </w:r>
          </w:p>
          <w:p w14:paraId="7B9F092E" w14:textId="77777777" w:rsidR="001E7088" w:rsidRPr="009E734D" w:rsidRDefault="001E7088" w:rsidP="00EF0E08">
            <w:pPr>
              <w:rPr>
                <w:sz w:val="22"/>
                <w:szCs w:val="22"/>
              </w:rPr>
            </w:pPr>
          </w:p>
          <w:p w14:paraId="50FD24B2" w14:textId="5B12CF14" w:rsidR="00BD5588" w:rsidRPr="00EF0E08" w:rsidRDefault="00A4570B" w:rsidP="00EF0E08">
            <w:pPr>
              <w:rPr>
                <w:sz w:val="22"/>
                <w:szCs w:val="22"/>
              </w:rPr>
            </w:pPr>
            <w:r w:rsidRPr="009E734D">
              <w:rPr>
                <w:sz w:val="22"/>
                <w:szCs w:val="22"/>
              </w:rPr>
              <w:t xml:space="preserve">Nosakot </w:t>
            </w:r>
            <w:r w:rsidR="0078488F" w:rsidRPr="009E734D">
              <w:rPr>
                <w:sz w:val="22"/>
                <w:szCs w:val="22"/>
              </w:rPr>
              <w:t>S</w:t>
            </w:r>
            <w:r w:rsidRPr="009E734D">
              <w:rPr>
                <w:sz w:val="22"/>
                <w:szCs w:val="22"/>
              </w:rPr>
              <w:t>tatusu tiks ievērots Covid-19 infekcijas izplatības seku pārvarēšanas likumā</w:t>
            </w:r>
            <w:r w:rsidRPr="00EF0E08">
              <w:rPr>
                <w:sz w:val="22"/>
                <w:szCs w:val="22"/>
              </w:rPr>
              <w:t xml:space="preserve"> noteiktais, ciktāl tas attiec</w:t>
            </w:r>
            <w:r w:rsidR="000868DE" w:rsidRPr="00EF0E08">
              <w:rPr>
                <w:sz w:val="22"/>
                <w:szCs w:val="22"/>
              </w:rPr>
              <w:t>a</w:t>
            </w:r>
            <w:r w:rsidRPr="00EF0E08">
              <w:rPr>
                <w:sz w:val="22"/>
                <w:szCs w:val="22"/>
              </w:rPr>
              <w:t xml:space="preserve">s uz </w:t>
            </w:r>
            <w:r w:rsidR="0078488F" w:rsidRPr="00EF0E08">
              <w:rPr>
                <w:sz w:val="22"/>
                <w:szCs w:val="22"/>
              </w:rPr>
              <w:t>S</w:t>
            </w:r>
            <w:r w:rsidRPr="00EF0E08">
              <w:rPr>
                <w:sz w:val="22"/>
                <w:szCs w:val="22"/>
              </w:rPr>
              <w:t>tatusa piešķiršanu.</w:t>
            </w:r>
          </w:p>
        </w:tc>
      </w:tr>
    </w:tbl>
    <w:p w14:paraId="2FE293F0" w14:textId="77777777" w:rsidR="00BD5588" w:rsidRPr="00EF0E08" w:rsidRDefault="00BD5588" w:rsidP="00EF0E08">
      <w:pPr>
        <w:pStyle w:val="Title"/>
        <w:spacing w:before="130" w:line="260" w:lineRule="exact"/>
        <w:ind w:firstLine="539"/>
        <w:jc w:val="lef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EF0E08" w14:paraId="44DDB181" w14:textId="77777777" w:rsidTr="005708CA">
        <w:trPr>
          <w:cantSplit/>
        </w:trPr>
        <w:tc>
          <w:tcPr>
            <w:tcW w:w="5000" w:type="pct"/>
            <w:gridSpan w:val="3"/>
            <w:vAlign w:val="center"/>
            <w:hideMark/>
          </w:tcPr>
          <w:p w14:paraId="22522838" w14:textId="77777777" w:rsidR="00BD5588" w:rsidRPr="009E734D" w:rsidRDefault="00BD5588" w:rsidP="009E734D">
            <w:pPr>
              <w:rPr>
                <w:b/>
                <w:bCs/>
              </w:rPr>
            </w:pPr>
            <w:r w:rsidRPr="009E734D">
              <w:rPr>
                <w:b/>
                <w:bCs/>
              </w:rPr>
              <w:t>II. Tiesību akta projekta ietekme uz sabiedrību, tautsaimniecības attīstību un administratīvo slogu</w:t>
            </w:r>
          </w:p>
        </w:tc>
      </w:tr>
      <w:tr w:rsidR="00BD5588" w:rsidRPr="00EF0E08" w14:paraId="3417D23A" w14:textId="77777777" w:rsidTr="005708CA">
        <w:trPr>
          <w:cantSplit/>
        </w:trPr>
        <w:tc>
          <w:tcPr>
            <w:tcW w:w="311" w:type="pct"/>
            <w:hideMark/>
          </w:tcPr>
          <w:p w14:paraId="07EF6E72" w14:textId="77777777" w:rsidR="00BD5588" w:rsidRPr="00EF0E08" w:rsidRDefault="00BD5588" w:rsidP="00EF0E08">
            <w:pPr>
              <w:rPr>
                <w:sz w:val="22"/>
                <w:szCs w:val="22"/>
              </w:rPr>
            </w:pPr>
            <w:bookmarkStart w:id="6" w:name="_Hlk61531696"/>
            <w:r w:rsidRPr="00EF0E08">
              <w:rPr>
                <w:sz w:val="22"/>
                <w:szCs w:val="22"/>
              </w:rPr>
              <w:t>1.</w:t>
            </w:r>
          </w:p>
        </w:tc>
        <w:tc>
          <w:tcPr>
            <w:tcW w:w="1479" w:type="pct"/>
            <w:hideMark/>
          </w:tcPr>
          <w:p w14:paraId="076CB0F5" w14:textId="77777777" w:rsidR="00BD5588" w:rsidRPr="00EF0E08" w:rsidRDefault="00BD5588" w:rsidP="00EF0E08">
            <w:pPr>
              <w:rPr>
                <w:sz w:val="22"/>
                <w:szCs w:val="22"/>
              </w:rPr>
            </w:pPr>
            <w:r w:rsidRPr="00EF0E08">
              <w:rPr>
                <w:sz w:val="22"/>
                <w:szCs w:val="22"/>
              </w:rPr>
              <w:t xml:space="preserve">Sabiedrības </w:t>
            </w:r>
            <w:proofErr w:type="spellStart"/>
            <w:r w:rsidRPr="00EF0E08">
              <w:rPr>
                <w:sz w:val="22"/>
                <w:szCs w:val="22"/>
              </w:rPr>
              <w:t>mērķgrupas</w:t>
            </w:r>
            <w:proofErr w:type="spellEnd"/>
            <w:r w:rsidRPr="00EF0E08">
              <w:rPr>
                <w:sz w:val="22"/>
                <w:szCs w:val="22"/>
              </w:rPr>
              <w:t>, kuras tiesiskais regulējums ietekmē vai varētu ietekmēt</w:t>
            </w:r>
          </w:p>
        </w:tc>
        <w:tc>
          <w:tcPr>
            <w:tcW w:w="3210" w:type="pct"/>
            <w:hideMark/>
          </w:tcPr>
          <w:p w14:paraId="56184205" w14:textId="7770B9C3" w:rsidR="00BD5588" w:rsidRPr="00EF0E08" w:rsidRDefault="004B1B8F" w:rsidP="00EF0E08">
            <w:pPr>
              <w:rPr>
                <w:sz w:val="22"/>
                <w:szCs w:val="22"/>
              </w:rPr>
            </w:pPr>
            <w:r w:rsidRPr="00EF0E08">
              <w:rPr>
                <w:sz w:val="22"/>
                <w:szCs w:val="22"/>
              </w:rPr>
              <w:t>Noteikumu projekt</w:t>
            </w:r>
            <w:r w:rsidR="00267F81" w:rsidRPr="00EF0E08">
              <w:rPr>
                <w:sz w:val="22"/>
                <w:szCs w:val="22"/>
              </w:rPr>
              <w:t>s tieši ietekmēs</w:t>
            </w:r>
            <w:r w:rsidRPr="00EF0E08">
              <w:rPr>
                <w:sz w:val="22"/>
                <w:szCs w:val="22"/>
              </w:rPr>
              <w:t xml:space="preserve"> </w:t>
            </w:r>
            <w:r w:rsidR="00BB6DBC" w:rsidRPr="00EF0E08">
              <w:rPr>
                <w:sz w:val="22"/>
                <w:szCs w:val="22"/>
              </w:rPr>
              <w:t>K</w:t>
            </w:r>
            <w:r w:rsidRPr="00EF0E08">
              <w:rPr>
                <w:sz w:val="22"/>
                <w:szCs w:val="22"/>
              </w:rPr>
              <w:t>omersant</w:t>
            </w:r>
            <w:r w:rsidR="00267F81" w:rsidRPr="00EF0E08">
              <w:rPr>
                <w:sz w:val="22"/>
                <w:szCs w:val="22"/>
              </w:rPr>
              <w:t>us</w:t>
            </w:r>
            <w:r w:rsidRPr="00EF0E08">
              <w:rPr>
                <w:sz w:val="22"/>
                <w:szCs w:val="22"/>
              </w:rPr>
              <w:t xml:space="preserve">, kuri darbojas kādā no Noteikumu projekta </w:t>
            </w:r>
            <w:r w:rsidR="00AD19E2" w:rsidRPr="00EF0E08">
              <w:rPr>
                <w:sz w:val="22"/>
                <w:szCs w:val="22"/>
              </w:rPr>
              <w:t>4</w:t>
            </w:r>
            <w:r w:rsidRPr="00EF0E08">
              <w:rPr>
                <w:sz w:val="22"/>
                <w:szCs w:val="22"/>
              </w:rPr>
              <w:t>. punktā minēt</w:t>
            </w:r>
            <w:r w:rsidR="00882729" w:rsidRPr="00EF0E08">
              <w:rPr>
                <w:sz w:val="22"/>
                <w:szCs w:val="22"/>
              </w:rPr>
              <w:t>ajiem</w:t>
            </w:r>
            <w:r w:rsidRPr="00EF0E08">
              <w:rPr>
                <w:sz w:val="22"/>
                <w:szCs w:val="22"/>
              </w:rPr>
              <w:t xml:space="preserve"> sektoriem</w:t>
            </w:r>
            <w:r w:rsidR="00267F81" w:rsidRPr="00EF0E08">
              <w:rPr>
                <w:sz w:val="22"/>
                <w:szCs w:val="22"/>
              </w:rPr>
              <w:t>.</w:t>
            </w:r>
          </w:p>
          <w:p w14:paraId="19E25935" w14:textId="77777777" w:rsidR="00E87CCB" w:rsidRPr="00EF0E08" w:rsidRDefault="00E87CCB" w:rsidP="00EF0E08">
            <w:pPr>
              <w:rPr>
                <w:sz w:val="22"/>
                <w:szCs w:val="22"/>
              </w:rPr>
            </w:pPr>
          </w:p>
          <w:p w14:paraId="6FCD5A8D" w14:textId="2A37F045" w:rsidR="005C5EF5" w:rsidRPr="00EF0E08" w:rsidRDefault="005C5EF5" w:rsidP="00EF0E08">
            <w:pPr>
              <w:rPr>
                <w:sz w:val="22"/>
                <w:szCs w:val="22"/>
              </w:rPr>
            </w:pPr>
          </w:p>
        </w:tc>
      </w:tr>
      <w:tr w:rsidR="00BD5588" w:rsidRPr="00EF0E08" w14:paraId="33379FFC" w14:textId="77777777" w:rsidTr="005708CA">
        <w:trPr>
          <w:cantSplit/>
        </w:trPr>
        <w:tc>
          <w:tcPr>
            <w:tcW w:w="311" w:type="pct"/>
            <w:hideMark/>
          </w:tcPr>
          <w:p w14:paraId="10E8D06B" w14:textId="77777777" w:rsidR="00BD5588" w:rsidRPr="00EF0E08" w:rsidRDefault="00BD5588" w:rsidP="00EF0E08">
            <w:pPr>
              <w:rPr>
                <w:sz w:val="22"/>
                <w:szCs w:val="22"/>
              </w:rPr>
            </w:pPr>
            <w:r w:rsidRPr="00EF0E08">
              <w:rPr>
                <w:sz w:val="22"/>
                <w:szCs w:val="22"/>
              </w:rPr>
              <w:t>2.</w:t>
            </w:r>
          </w:p>
        </w:tc>
        <w:tc>
          <w:tcPr>
            <w:tcW w:w="1479" w:type="pct"/>
            <w:hideMark/>
          </w:tcPr>
          <w:p w14:paraId="4E904813" w14:textId="77777777" w:rsidR="00BD5588" w:rsidRPr="00EF0E08" w:rsidRDefault="00BD5588" w:rsidP="00EF0E08">
            <w:pPr>
              <w:rPr>
                <w:sz w:val="22"/>
                <w:szCs w:val="22"/>
              </w:rPr>
            </w:pPr>
            <w:r w:rsidRPr="00EF0E08">
              <w:rPr>
                <w:sz w:val="22"/>
                <w:szCs w:val="22"/>
              </w:rPr>
              <w:t>Tiesiskā regulējuma ietekme uz tautsaimniecību un administratīvo slogu</w:t>
            </w:r>
          </w:p>
        </w:tc>
        <w:tc>
          <w:tcPr>
            <w:tcW w:w="3210" w:type="pct"/>
            <w:hideMark/>
          </w:tcPr>
          <w:p w14:paraId="6BDAC8AF" w14:textId="44BAD020" w:rsidR="00BD5588" w:rsidRPr="00EF0E08" w:rsidRDefault="00963ACA" w:rsidP="00EF0E08">
            <w:pPr>
              <w:rPr>
                <w:sz w:val="22"/>
                <w:szCs w:val="22"/>
              </w:rPr>
            </w:pPr>
            <w:r w:rsidRPr="00EF0E08">
              <w:rPr>
                <w:sz w:val="22"/>
                <w:szCs w:val="22"/>
              </w:rPr>
              <w:t>Noteikumu projektā ietvertais regulējums</w:t>
            </w:r>
            <w:r w:rsidR="007F0C43" w:rsidRPr="00EF0E08">
              <w:rPr>
                <w:sz w:val="22"/>
                <w:szCs w:val="22"/>
              </w:rPr>
              <w:t xml:space="preserve"> pozitīvi ietekmēs Latvijas konkurētspēju piesaistīt ārvalstu tiešās investīcijas</w:t>
            </w:r>
            <w:r w:rsidR="00AD19E2" w:rsidRPr="00EF0E08">
              <w:rPr>
                <w:sz w:val="22"/>
                <w:szCs w:val="22"/>
              </w:rPr>
              <w:t>, tādējādi palielinot kopējos nodokļu ieņēmumus valsts budžetā un veicinot ekonomikas atgūšanos un izaugsmi</w:t>
            </w:r>
            <w:r w:rsidR="007F0C43" w:rsidRPr="00EF0E08">
              <w:rPr>
                <w:sz w:val="22"/>
                <w:szCs w:val="22"/>
              </w:rPr>
              <w:t>.</w:t>
            </w:r>
          </w:p>
          <w:p w14:paraId="6521A90A" w14:textId="77777777" w:rsidR="00DC453C" w:rsidRPr="00EF0E08" w:rsidRDefault="00013937" w:rsidP="00EF0E08">
            <w:pPr>
              <w:rPr>
                <w:sz w:val="22"/>
                <w:szCs w:val="22"/>
              </w:rPr>
            </w:pPr>
            <w:r w:rsidRPr="00EF0E08">
              <w:rPr>
                <w:sz w:val="22"/>
                <w:szCs w:val="22"/>
              </w:rPr>
              <w:t xml:space="preserve">Noteikumu projekts paredz administratīvo darbību  atvieglošanu Komersantiem. </w:t>
            </w:r>
            <w:r w:rsidR="004F78B7" w:rsidRPr="00EF0E08">
              <w:rPr>
                <w:sz w:val="22"/>
                <w:szCs w:val="22"/>
              </w:rPr>
              <w:t xml:space="preserve">Noteikumu projekts </w:t>
            </w:r>
            <w:r w:rsidR="00E070C8" w:rsidRPr="00EF0E08">
              <w:rPr>
                <w:sz w:val="22"/>
                <w:szCs w:val="22"/>
              </w:rPr>
              <w:t xml:space="preserve">samazina </w:t>
            </w:r>
            <w:r w:rsidR="004F78B7" w:rsidRPr="00EF0E08">
              <w:rPr>
                <w:sz w:val="22"/>
                <w:szCs w:val="22"/>
              </w:rPr>
              <w:t>administratīvo slogu</w:t>
            </w:r>
            <w:r w:rsidR="00E070C8" w:rsidRPr="00EF0E08">
              <w:rPr>
                <w:sz w:val="22"/>
                <w:szCs w:val="22"/>
              </w:rPr>
              <w:t xml:space="preserve"> komersantiem, kas kvalificējas noteikumos noteiktajiem kritērijiem</w:t>
            </w:r>
            <w:r w:rsidR="004F78B7" w:rsidRPr="00EF0E08">
              <w:rPr>
                <w:sz w:val="22"/>
                <w:szCs w:val="22"/>
              </w:rPr>
              <w:t>.</w:t>
            </w:r>
            <w:r w:rsidR="001962D1" w:rsidRPr="00EF0E08">
              <w:rPr>
                <w:sz w:val="22"/>
                <w:szCs w:val="22"/>
              </w:rPr>
              <w:t xml:space="preserve"> </w:t>
            </w:r>
          </w:p>
          <w:p w14:paraId="5060D56B" w14:textId="66E7F057" w:rsidR="00E070C8" w:rsidRPr="00EF0E08" w:rsidRDefault="00E070C8" w:rsidP="00EF0E08">
            <w:pPr>
              <w:rPr>
                <w:sz w:val="22"/>
                <w:szCs w:val="22"/>
              </w:rPr>
            </w:pPr>
            <w:r w:rsidRPr="00EF0E08">
              <w:rPr>
                <w:sz w:val="22"/>
                <w:szCs w:val="22"/>
              </w:rPr>
              <w:t>Plānotā ietekme uz tautsaimniecību, balstoties uz 2019.</w:t>
            </w:r>
            <w:r w:rsidR="00F35EBA" w:rsidRPr="00EF0E08">
              <w:rPr>
                <w:sz w:val="22"/>
                <w:szCs w:val="22"/>
              </w:rPr>
              <w:t>un 2020.</w:t>
            </w:r>
            <w:r w:rsidRPr="00EF0E08">
              <w:rPr>
                <w:sz w:val="22"/>
                <w:szCs w:val="22"/>
              </w:rPr>
              <w:t>gada datiem</w:t>
            </w:r>
            <w:r w:rsidR="00AD19E2" w:rsidRPr="00EF0E08">
              <w:rPr>
                <w:sz w:val="22"/>
                <w:szCs w:val="22"/>
              </w:rPr>
              <w:t xml:space="preserve">: </w:t>
            </w:r>
            <w:r w:rsidRPr="00EF0E08">
              <w:rPr>
                <w:sz w:val="22"/>
                <w:szCs w:val="22"/>
              </w:rPr>
              <w:t>vismaz</w:t>
            </w:r>
            <w:r w:rsidR="00F35EBA" w:rsidRPr="00EF0E08">
              <w:rPr>
                <w:sz w:val="22"/>
                <w:szCs w:val="22"/>
              </w:rPr>
              <w:t xml:space="preserve"> 50 – 70 </w:t>
            </w:r>
            <w:r w:rsidR="006C3C93" w:rsidRPr="00EF0E08">
              <w:rPr>
                <w:sz w:val="22"/>
                <w:szCs w:val="22"/>
              </w:rPr>
              <w:t xml:space="preserve"> </w:t>
            </w:r>
            <w:r w:rsidRPr="00EF0E08">
              <w:rPr>
                <w:sz w:val="22"/>
                <w:szCs w:val="22"/>
              </w:rPr>
              <w:t>investīciju projektiem tiks nodrošināts ātrāks īstenošanas process, tādejādi sekmējot finanšu resursu pieaugumu Latvijas ekonomikā vismaz 100M</w:t>
            </w:r>
            <w:r w:rsidR="000868DE" w:rsidRPr="00EF0E08">
              <w:rPr>
                <w:sz w:val="22"/>
                <w:szCs w:val="22"/>
              </w:rPr>
              <w:t xml:space="preserve"> </w:t>
            </w:r>
            <w:proofErr w:type="spellStart"/>
            <w:r w:rsidRPr="00EF0E08">
              <w:rPr>
                <w:sz w:val="22"/>
                <w:szCs w:val="22"/>
              </w:rPr>
              <w:t>euro</w:t>
            </w:r>
            <w:proofErr w:type="spellEnd"/>
            <w:r w:rsidRPr="00EF0E08">
              <w:rPr>
                <w:sz w:val="22"/>
                <w:szCs w:val="22"/>
              </w:rPr>
              <w:t xml:space="preserve"> apmērā, </w:t>
            </w:r>
            <w:r w:rsidR="00AD19E2" w:rsidRPr="00EF0E08">
              <w:rPr>
                <w:sz w:val="22"/>
                <w:szCs w:val="22"/>
              </w:rPr>
              <w:t xml:space="preserve">kā arī </w:t>
            </w:r>
            <w:r w:rsidRPr="00EF0E08">
              <w:rPr>
                <w:sz w:val="22"/>
                <w:szCs w:val="22"/>
              </w:rPr>
              <w:t>nodrošinot vismaz 1000 jaunu darba vietu ātrāku izveidi.</w:t>
            </w:r>
          </w:p>
          <w:p w14:paraId="1029EB61" w14:textId="2DD7F1B7" w:rsidR="000868DE" w:rsidRPr="00EF0E08" w:rsidRDefault="000868DE" w:rsidP="00EF0E08">
            <w:pPr>
              <w:rPr>
                <w:sz w:val="22"/>
                <w:szCs w:val="22"/>
              </w:rPr>
            </w:pPr>
          </w:p>
        </w:tc>
      </w:tr>
      <w:bookmarkEnd w:id="6"/>
      <w:tr w:rsidR="00BD5588" w:rsidRPr="00EF0E08" w14:paraId="4496C3E0" w14:textId="77777777" w:rsidTr="005708CA">
        <w:trPr>
          <w:cantSplit/>
        </w:trPr>
        <w:tc>
          <w:tcPr>
            <w:tcW w:w="311" w:type="pct"/>
            <w:hideMark/>
          </w:tcPr>
          <w:p w14:paraId="780165C7" w14:textId="77777777" w:rsidR="00BD5588" w:rsidRPr="00EF0E08" w:rsidRDefault="00BD5588" w:rsidP="00EF0E08">
            <w:pPr>
              <w:rPr>
                <w:sz w:val="22"/>
                <w:szCs w:val="22"/>
              </w:rPr>
            </w:pPr>
            <w:r w:rsidRPr="00EF0E08">
              <w:rPr>
                <w:sz w:val="22"/>
                <w:szCs w:val="22"/>
              </w:rPr>
              <w:t>3.</w:t>
            </w:r>
          </w:p>
        </w:tc>
        <w:tc>
          <w:tcPr>
            <w:tcW w:w="1479" w:type="pct"/>
            <w:hideMark/>
          </w:tcPr>
          <w:p w14:paraId="68AA7E53" w14:textId="77777777" w:rsidR="00BD5588" w:rsidRPr="00EF0E08" w:rsidRDefault="00BD5588" w:rsidP="00EF0E08">
            <w:pPr>
              <w:rPr>
                <w:sz w:val="22"/>
                <w:szCs w:val="22"/>
              </w:rPr>
            </w:pPr>
            <w:r w:rsidRPr="00EF0E08">
              <w:rPr>
                <w:sz w:val="22"/>
                <w:szCs w:val="22"/>
              </w:rPr>
              <w:t>Administratīvo izmaksu monetārs novērtējums</w:t>
            </w:r>
          </w:p>
        </w:tc>
        <w:tc>
          <w:tcPr>
            <w:tcW w:w="3210" w:type="pct"/>
            <w:hideMark/>
          </w:tcPr>
          <w:p w14:paraId="6FBD19E1" w14:textId="20816413" w:rsidR="00BD5588" w:rsidRPr="00EF0E08" w:rsidRDefault="00AC74E9" w:rsidP="00EF0E08">
            <w:pPr>
              <w:rPr>
                <w:sz w:val="22"/>
                <w:szCs w:val="22"/>
              </w:rPr>
            </w:pPr>
            <w:r w:rsidRPr="00EF0E08">
              <w:rPr>
                <w:sz w:val="22"/>
                <w:szCs w:val="22"/>
              </w:rPr>
              <w:t>Projekts šo jomu neskar.</w:t>
            </w:r>
          </w:p>
        </w:tc>
      </w:tr>
      <w:tr w:rsidR="00BD5588" w:rsidRPr="00EF0E08" w14:paraId="5F196B36" w14:textId="77777777" w:rsidTr="005708CA">
        <w:trPr>
          <w:cantSplit/>
        </w:trPr>
        <w:tc>
          <w:tcPr>
            <w:tcW w:w="311" w:type="pct"/>
            <w:hideMark/>
          </w:tcPr>
          <w:p w14:paraId="66E53B05" w14:textId="77777777" w:rsidR="00BD5588" w:rsidRPr="00EF0E08" w:rsidRDefault="00BD5588" w:rsidP="00EF0E08">
            <w:pPr>
              <w:rPr>
                <w:sz w:val="22"/>
                <w:szCs w:val="22"/>
              </w:rPr>
            </w:pPr>
            <w:r w:rsidRPr="00EF0E08">
              <w:rPr>
                <w:sz w:val="22"/>
                <w:szCs w:val="22"/>
              </w:rPr>
              <w:t>4.</w:t>
            </w:r>
          </w:p>
        </w:tc>
        <w:tc>
          <w:tcPr>
            <w:tcW w:w="1479" w:type="pct"/>
            <w:hideMark/>
          </w:tcPr>
          <w:p w14:paraId="03161612" w14:textId="77777777" w:rsidR="00BD5588" w:rsidRPr="00EF0E08" w:rsidRDefault="00BD5588" w:rsidP="00EF0E08">
            <w:pPr>
              <w:rPr>
                <w:sz w:val="22"/>
                <w:szCs w:val="22"/>
              </w:rPr>
            </w:pPr>
            <w:r w:rsidRPr="00EF0E08">
              <w:rPr>
                <w:sz w:val="22"/>
                <w:szCs w:val="22"/>
              </w:rPr>
              <w:t>Atbilstības izmaksu monetārs novērtējums</w:t>
            </w:r>
          </w:p>
        </w:tc>
        <w:tc>
          <w:tcPr>
            <w:tcW w:w="3210" w:type="pct"/>
            <w:hideMark/>
          </w:tcPr>
          <w:p w14:paraId="01596F8F" w14:textId="1EE8E5ED" w:rsidR="00BD5588" w:rsidRPr="00EF0E08" w:rsidRDefault="00AC74E9" w:rsidP="00EF0E08">
            <w:pPr>
              <w:rPr>
                <w:sz w:val="22"/>
                <w:szCs w:val="22"/>
              </w:rPr>
            </w:pPr>
            <w:r w:rsidRPr="00EF0E08">
              <w:rPr>
                <w:sz w:val="22"/>
                <w:szCs w:val="22"/>
              </w:rPr>
              <w:t>Projekts šo jomu neskar.</w:t>
            </w:r>
          </w:p>
        </w:tc>
      </w:tr>
      <w:tr w:rsidR="00BD5588" w:rsidRPr="00EF0E08" w14:paraId="5E5F6826" w14:textId="77777777" w:rsidTr="005708CA">
        <w:trPr>
          <w:cantSplit/>
        </w:trPr>
        <w:tc>
          <w:tcPr>
            <w:tcW w:w="311" w:type="pct"/>
            <w:hideMark/>
          </w:tcPr>
          <w:p w14:paraId="6D32D22C" w14:textId="77777777" w:rsidR="00BD5588" w:rsidRPr="00EF0E08" w:rsidRDefault="00BD5588" w:rsidP="00EF0E08">
            <w:pPr>
              <w:rPr>
                <w:sz w:val="22"/>
                <w:szCs w:val="22"/>
              </w:rPr>
            </w:pPr>
            <w:r w:rsidRPr="00EF0E08">
              <w:rPr>
                <w:sz w:val="22"/>
                <w:szCs w:val="22"/>
              </w:rPr>
              <w:lastRenderedPageBreak/>
              <w:t>5.</w:t>
            </w:r>
          </w:p>
        </w:tc>
        <w:tc>
          <w:tcPr>
            <w:tcW w:w="1479" w:type="pct"/>
            <w:hideMark/>
          </w:tcPr>
          <w:p w14:paraId="51B5CDBB" w14:textId="77777777" w:rsidR="00BD5588" w:rsidRPr="00EF0E08" w:rsidRDefault="00BD5588" w:rsidP="00EF0E08">
            <w:pPr>
              <w:rPr>
                <w:sz w:val="22"/>
                <w:szCs w:val="22"/>
              </w:rPr>
            </w:pPr>
            <w:r w:rsidRPr="00EF0E08">
              <w:rPr>
                <w:sz w:val="22"/>
                <w:szCs w:val="22"/>
              </w:rPr>
              <w:t>Cita informācija</w:t>
            </w:r>
          </w:p>
        </w:tc>
        <w:tc>
          <w:tcPr>
            <w:tcW w:w="3210" w:type="pct"/>
            <w:hideMark/>
          </w:tcPr>
          <w:p w14:paraId="46A26091" w14:textId="5DAB459C" w:rsidR="00BD5588" w:rsidRPr="00EF0E08" w:rsidRDefault="00D81038" w:rsidP="00EF0E08">
            <w:pPr>
              <w:rPr>
                <w:sz w:val="22"/>
                <w:szCs w:val="22"/>
              </w:rPr>
            </w:pPr>
            <w:r w:rsidRPr="00EF0E08">
              <w:rPr>
                <w:sz w:val="22"/>
                <w:szCs w:val="22"/>
              </w:rPr>
              <w:t>Nav.</w:t>
            </w:r>
          </w:p>
        </w:tc>
      </w:tr>
    </w:tbl>
    <w:p w14:paraId="00F8BA95" w14:textId="0E2FDCFD" w:rsidR="00BD5588" w:rsidRPr="00EF0E08" w:rsidRDefault="00BD5588" w:rsidP="00EF0E08">
      <w:pPr>
        <w:rPr>
          <w:sz w:val="22"/>
          <w:szCs w:val="22"/>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82"/>
        <w:gridCol w:w="983"/>
        <w:gridCol w:w="982"/>
        <w:gridCol w:w="861"/>
        <w:gridCol w:w="860"/>
        <w:gridCol w:w="860"/>
        <w:gridCol w:w="860"/>
        <w:gridCol w:w="911"/>
      </w:tblGrid>
      <w:tr w:rsidR="00BD5588" w:rsidRPr="00EF0E08" w14:paraId="5604CFA7" w14:textId="77777777" w:rsidTr="000344BB">
        <w:trPr>
          <w:cantSplit/>
        </w:trPr>
        <w:tc>
          <w:tcPr>
            <w:tcW w:w="8299" w:type="dxa"/>
            <w:gridSpan w:val="8"/>
            <w:shd w:val="clear" w:color="auto" w:fill="auto"/>
            <w:vAlign w:val="center"/>
            <w:hideMark/>
          </w:tcPr>
          <w:p w14:paraId="611AA3A5" w14:textId="77777777" w:rsidR="00BD5588" w:rsidRPr="009E734D" w:rsidRDefault="00BD5588" w:rsidP="009E734D">
            <w:pPr>
              <w:rPr>
                <w:b/>
                <w:bCs/>
                <w:lang w:eastAsia="en-US"/>
              </w:rPr>
            </w:pPr>
            <w:r w:rsidRPr="009E734D">
              <w:rPr>
                <w:b/>
                <w:bCs/>
                <w:lang w:eastAsia="en-US"/>
              </w:rPr>
              <w:t>III. Tiesību akta projekta ietekme uz valsts budžetu un pašvaldību budžetiem</w:t>
            </w:r>
          </w:p>
        </w:tc>
      </w:tr>
      <w:tr w:rsidR="00BD5588" w:rsidRPr="00EF0E08" w14:paraId="6C46F1FC" w14:textId="77777777" w:rsidTr="000344BB">
        <w:trPr>
          <w:cantSplit/>
        </w:trPr>
        <w:tc>
          <w:tcPr>
            <w:tcW w:w="1982" w:type="dxa"/>
            <w:vMerge w:val="restart"/>
            <w:shd w:val="clear" w:color="auto" w:fill="FFFFFF"/>
            <w:vAlign w:val="center"/>
          </w:tcPr>
          <w:p w14:paraId="119F0F64" w14:textId="77777777" w:rsidR="00BD5588" w:rsidRPr="00EF0E08" w:rsidRDefault="00BD5588" w:rsidP="00EF0E08">
            <w:pPr>
              <w:rPr>
                <w:bCs/>
                <w:sz w:val="22"/>
                <w:szCs w:val="22"/>
                <w:lang w:eastAsia="en-US"/>
              </w:rPr>
            </w:pPr>
            <w:r w:rsidRPr="00EF0E08">
              <w:rPr>
                <w:bCs/>
                <w:sz w:val="22"/>
                <w:szCs w:val="22"/>
                <w:lang w:eastAsia="en-US"/>
              </w:rPr>
              <w:t>Rādītāji</w:t>
            </w:r>
          </w:p>
        </w:tc>
        <w:tc>
          <w:tcPr>
            <w:tcW w:w="1965" w:type="dxa"/>
            <w:gridSpan w:val="2"/>
            <w:vMerge w:val="restart"/>
            <w:shd w:val="clear" w:color="auto" w:fill="FFFFFF"/>
            <w:vAlign w:val="center"/>
            <w:hideMark/>
          </w:tcPr>
          <w:p w14:paraId="1E1E1B04" w14:textId="77777777" w:rsidR="00BD5588" w:rsidRPr="00EF0E08" w:rsidRDefault="00BD5588" w:rsidP="00EF0E08">
            <w:pPr>
              <w:rPr>
                <w:bCs/>
                <w:sz w:val="22"/>
                <w:szCs w:val="22"/>
                <w:lang w:eastAsia="en-US"/>
              </w:rPr>
            </w:pPr>
            <w:r w:rsidRPr="00EF0E08">
              <w:rPr>
                <w:bCs/>
                <w:sz w:val="22"/>
                <w:szCs w:val="22"/>
                <w:lang w:eastAsia="en-US"/>
              </w:rPr>
              <w:t>n-gads</w:t>
            </w:r>
          </w:p>
        </w:tc>
        <w:tc>
          <w:tcPr>
            <w:tcW w:w="4352" w:type="dxa"/>
            <w:gridSpan w:val="5"/>
            <w:shd w:val="clear" w:color="auto" w:fill="FFFFFF"/>
            <w:vAlign w:val="center"/>
            <w:hideMark/>
          </w:tcPr>
          <w:p w14:paraId="03FF17F6" w14:textId="77777777" w:rsidR="00BD5588" w:rsidRPr="00EF0E08" w:rsidRDefault="00BD5588" w:rsidP="00EF0E08">
            <w:pPr>
              <w:rPr>
                <w:sz w:val="22"/>
                <w:szCs w:val="22"/>
                <w:lang w:eastAsia="en-US"/>
              </w:rPr>
            </w:pPr>
            <w:r w:rsidRPr="00EF0E08">
              <w:rPr>
                <w:sz w:val="22"/>
                <w:szCs w:val="22"/>
                <w:lang w:eastAsia="en-US"/>
              </w:rPr>
              <w:t>Turpmākie trīs gadi (</w:t>
            </w:r>
            <w:proofErr w:type="spellStart"/>
            <w:r w:rsidRPr="00EF0E08">
              <w:rPr>
                <w:i/>
                <w:iCs/>
                <w:sz w:val="22"/>
                <w:szCs w:val="22"/>
                <w:lang w:eastAsia="en-US"/>
              </w:rPr>
              <w:t>euro</w:t>
            </w:r>
            <w:proofErr w:type="spellEnd"/>
            <w:r w:rsidRPr="00EF0E08">
              <w:rPr>
                <w:sz w:val="22"/>
                <w:szCs w:val="22"/>
                <w:lang w:eastAsia="en-US"/>
              </w:rPr>
              <w:t>)</w:t>
            </w:r>
          </w:p>
        </w:tc>
      </w:tr>
      <w:tr w:rsidR="00BB64C2" w:rsidRPr="00EF0E08" w14:paraId="758F2CF2" w14:textId="77777777" w:rsidTr="000344BB">
        <w:trPr>
          <w:cantSplit/>
        </w:trPr>
        <w:tc>
          <w:tcPr>
            <w:tcW w:w="1982" w:type="dxa"/>
            <w:vMerge/>
            <w:shd w:val="clear" w:color="auto" w:fill="auto"/>
            <w:vAlign w:val="center"/>
            <w:hideMark/>
          </w:tcPr>
          <w:p w14:paraId="78BE4488" w14:textId="77777777" w:rsidR="00BD5588" w:rsidRPr="00EF0E08" w:rsidRDefault="00BD5588" w:rsidP="00EF0E08">
            <w:pPr>
              <w:rPr>
                <w:bCs/>
                <w:sz w:val="22"/>
                <w:szCs w:val="22"/>
                <w:lang w:eastAsia="en-US"/>
              </w:rPr>
            </w:pPr>
          </w:p>
        </w:tc>
        <w:tc>
          <w:tcPr>
            <w:tcW w:w="1965" w:type="dxa"/>
            <w:gridSpan w:val="2"/>
            <w:vMerge/>
            <w:shd w:val="clear" w:color="auto" w:fill="auto"/>
            <w:vAlign w:val="center"/>
            <w:hideMark/>
          </w:tcPr>
          <w:p w14:paraId="36581C81" w14:textId="77777777" w:rsidR="00BD5588" w:rsidRPr="00EF0E08" w:rsidRDefault="00BD5588" w:rsidP="00EF0E08">
            <w:pPr>
              <w:rPr>
                <w:bCs/>
                <w:sz w:val="22"/>
                <w:szCs w:val="22"/>
                <w:lang w:eastAsia="en-US"/>
              </w:rPr>
            </w:pPr>
          </w:p>
        </w:tc>
        <w:tc>
          <w:tcPr>
            <w:tcW w:w="1721" w:type="dxa"/>
            <w:gridSpan w:val="2"/>
            <w:shd w:val="clear" w:color="auto" w:fill="FFFFFF"/>
            <w:vAlign w:val="center"/>
            <w:hideMark/>
          </w:tcPr>
          <w:p w14:paraId="6D4A4785" w14:textId="77777777" w:rsidR="00BD5588" w:rsidRPr="00EF0E08" w:rsidRDefault="00BD5588" w:rsidP="00EF0E08">
            <w:pPr>
              <w:rPr>
                <w:bCs/>
                <w:sz w:val="22"/>
                <w:szCs w:val="22"/>
                <w:lang w:eastAsia="en-US"/>
              </w:rPr>
            </w:pPr>
            <w:r w:rsidRPr="00EF0E08">
              <w:rPr>
                <w:bCs/>
                <w:sz w:val="22"/>
                <w:szCs w:val="22"/>
                <w:lang w:eastAsia="en-US"/>
              </w:rPr>
              <w:t>n+1</w:t>
            </w:r>
          </w:p>
        </w:tc>
        <w:tc>
          <w:tcPr>
            <w:tcW w:w="1720" w:type="dxa"/>
            <w:gridSpan w:val="2"/>
            <w:shd w:val="clear" w:color="auto" w:fill="FFFFFF"/>
            <w:vAlign w:val="center"/>
            <w:hideMark/>
          </w:tcPr>
          <w:p w14:paraId="55A69E2B" w14:textId="77777777" w:rsidR="00BD5588" w:rsidRPr="00EF0E08" w:rsidRDefault="00BD5588" w:rsidP="00EF0E08">
            <w:pPr>
              <w:rPr>
                <w:bCs/>
                <w:sz w:val="22"/>
                <w:szCs w:val="22"/>
                <w:lang w:eastAsia="en-US"/>
              </w:rPr>
            </w:pPr>
            <w:r w:rsidRPr="00EF0E08">
              <w:rPr>
                <w:bCs/>
                <w:sz w:val="22"/>
                <w:szCs w:val="22"/>
                <w:lang w:eastAsia="en-US"/>
              </w:rPr>
              <w:t>n+2</w:t>
            </w:r>
          </w:p>
        </w:tc>
        <w:tc>
          <w:tcPr>
            <w:tcW w:w="911" w:type="dxa"/>
            <w:shd w:val="clear" w:color="auto" w:fill="FFFFFF"/>
            <w:vAlign w:val="center"/>
            <w:hideMark/>
          </w:tcPr>
          <w:p w14:paraId="740EC457" w14:textId="77777777" w:rsidR="00BD5588" w:rsidRPr="00EF0E08" w:rsidRDefault="00BD5588" w:rsidP="00EF0E08">
            <w:pPr>
              <w:rPr>
                <w:bCs/>
                <w:sz w:val="22"/>
                <w:szCs w:val="22"/>
                <w:lang w:eastAsia="en-US"/>
              </w:rPr>
            </w:pPr>
            <w:r w:rsidRPr="00EF0E08">
              <w:rPr>
                <w:bCs/>
                <w:sz w:val="22"/>
                <w:szCs w:val="22"/>
                <w:lang w:eastAsia="en-US"/>
              </w:rPr>
              <w:t>n+3</w:t>
            </w:r>
          </w:p>
        </w:tc>
      </w:tr>
      <w:tr w:rsidR="00EE48D2" w:rsidRPr="00EF0E08" w14:paraId="33822C4D" w14:textId="77777777" w:rsidTr="000344BB">
        <w:trPr>
          <w:cantSplit/>
        </w:trPr>
        <w:tc>
          <w:tcPr>
            <w:tcW w:w="1982" w:type="dxa"/>
            <w:vMerge/>
            <w:shd w:val="clear" w:color="auto" w:fill="auto"/>
            <w:vAlign w:val="center"/>
            <w:hideMark/>
          </w:tcPr>
          <w:p w14:paraId="10BC3D1F" w14:textId="77777777" w:rsidR="00BD5588" w:rsidRPr="00EF0E08" w:rsidRDefault="00BD5588" w:rsidP="00EF0E08">
            <w:pPr>
              <w:rPr>
                <w:b/>
                <w:bCs/>
                <w:sz w:val="22"/>
                <w:szCs w:val="22"/>
                <w:lang w:eastAsia="en-US"/>
              </w:rPr>
            </w:pPr>
          </w:p>
        </w:tc>
        <w:tc>
          <w:tcPr>
            <w:tcW w:w="983" w:type="dxa"/>
            <w:shd w:val="clear" w:color="auto" w:fill="FFFFFF"/>
            <w:vAlign w:val="center"/>
            <w:hideMark/>
          </w:tcPr>
          <w:p w14:paraId="208195D2" w14:textId="77777777" w:rsidR="00BD5588" w:rsidRPr="00EF0E08" w:rsidRDefault="00BD5588" w:rsidP="00EF0E08">
            <w:pPr>
              <w:rPr>
                <w:sz w:val="22"/>
                <w:szCs w:val="22"/>
                <w:lang w:eastAsia="en-US"/>
              </w:rPr>
            </w:pPr>
            <w:r w:rsidRPr="00EF0E08">
              <w:rPr>
                <w:sz w:val="22"/>
                <w:szCs w:val="22"/>
                <w:lang w:eastAsia="en-US"/>
              </w:rPr>
              <w:t>saskaņā ar valsts budžetu kārtējam gadam</w:t>
            </w:r>
          </w:p>
        </w:tc>
        <w:tc>
          <w:tcPr>
            <w:tcW w:w="982" w:type="dxa"/>
            <w:shd w:val="clear" w:color="auto" w:fill="FFFFFF"/>
            <w:vAlign w:val="center"/>
            <w:hideMark/>
          </w:tcPr>
          <w:p w14:paraId="265D5EAD" w14:textId="77777777" w:rsidR="00BD5588" w:rsidRPr="00EF0E08" w:rsidRDefault="00BD5588" w:rsidP="00EF0E08">
            <w:pPr>
              <w:rPr>
                <w:sz w:val="22"/>
                <w:szCs w:val="22"/>
                <w:lang w:eastAsia="en-US"/>
              </w:rPr>
            </w:pPr>
            <w:r w:rsidRPr="00EF0E08">
              <w:rPr>
                <w:sz w:val="22"/>
                <w:szCs w:val="22"/>
                <w:lang w:eastAsia="en-US"/>
              </w:rPr>
              <w:t>izmaiņas kārtējā gadā, salīdzinot ar valsts budžetu kārtējam gadam</w:t>
            </w:r>
          </w:p>
        </w:tc>
        <w:tc>
          <w:tcPr>
            <w:tcW w:w="861" w:type="dxa"/>
            <w:shd w:val="clear" w:color="auto" w:fill="FFFFFF"/>
            <w:vAlign w:val="center"/>
            <w:hideMark/>
          </w:tcPr>
          <w:p w14:paraId="6705CDF7" w14:textId="77777777" w:rsidR="00BD5588" w:rsidRPr="00EF0E08" w:rsidRDefault="00BD5588" w:rsidP="00EF0E08">
            <w:pPr>
              <w:rPr>
                <w:sz w:val="22"/>
                <w:szCs w:val="22"/>
                <w:lang w:eastAsia="en-US"/>
              </w:rPr>
            </w:pPr>
            <w:r w:rsidRPr="00EF0E08">
              <w:rPr>
                <w:sz w:val="22"/>
                <w:szCs w:val="22"/>
                <w:lang w:eastAsia="en-US"/>
              </w:rPr>
              <w:t>saskaņā ar vidēja termiņa budžeta ietvaru</w:t>
            </w:r>
          </w:p>
        </w:tc>
        <w:tc>
          <w:tcPr>
            <w:tcW w:w="860" w:type="dxa"/>
            <w:shd w:val="clear" w:color="auto" w:fill="FFFFFF"/>
            <w:vAlign w:val="center"/>
            <w:hideMark/>
          </w:tcPr>
          <w:p w14:paraId="64BB62A2" w14:textId="77777777" w:rsidR="00BD5588" w:rsidRPr="00EF0E08" w:rsidRDefault="00BD5588" w:rsidP="00EF0E08">
            <w:pPr>
              <w:rPr>
                <w:sz w:val="22"/>
                <w:szCs w:val="22"/>
                <w:lang w:eastAsia="en-US"/>
              </w:rPr>
            </w:pPr>
            <w:r w:rsidRPr="00EF0E08">
              <w:rPr>
                <w:sz w:val="22"/>
                <w:szCs w:val="22"/>
                <w:lang w:eastAsia="en-US"/>
              </w:rPr>
              <w:t>izmaiņas, salīdzinot ar vidēja termiņa budžeta ietvaru n+1 gadam</w:t>
            </w:r>
          </w:p>
        </w:tc>
        <w:tc>
          <w:tcPr>
            <w:tcW w:w="860" w:type="dxa"/>
            <w:shd w:val="clear" w:color="auto" w:fill="FFFFFF"/>
            <w:vAlign w:val="center"/>
            <w:hideMark/>
          </w:tcPr>
          <w:p w14:paraId="03C3BBE5" w14:textId="77777777" w:rsidR="00BD5588" w:rsidRPr="00EF0E08" w:rsidRDefault="00BD5588" w:rsidP="00EF0E08">
            <w:pPr>
              <w:rPr>
                <w:sz w:val="22"/>
                <w:szCs w:val="22"/>
                <w:lang w:eastAsia="en-US"/>
              </w:rPr>
            </w:pPr>
            <w:r w:rsidRPr="00EF0E08">
              <w:rPr>
                <w:sz w:val="22"/>
                <w:szCs w:val="22"/>
                <w:lang w:eastAsia="en-US"/>
              </w:rPr>
              <w:t>saskaņā ar vidēja termiņa budžeta ietvaru</w:t>
            </w:r>
          </w:p>
        </w:tc>
        <w:tc>
          <w:tcPr>
            <w:tcW w:w="860" w:type="dxa"/>
            <w:shd w:val="clear" w:color="auto" w:fill="FFFFFF"/>
            <w:vAlign w:val="center"/>
            <w:hideMark/>
          </w:tcPr>
          <w:p w14:paraId="070BE7E8" w14:textId="77777777" w:rsidR="00BD5588" w:rsidRPr="00EF0E08" w:rsidRDefault="00BD5588" w:rsidP="00EF0E08">
            <w:pPr>
              <w:rPr>
                <w:sz w:val="22"/>
                <w:szCs w:val="22"/>
                <w:lang w:eastAsia="en-US"/>
              </w:rPr>
            </w:pPr>
            <w:r w:rsidRPr="00EF0E08">
              <w:rPr>
                <w:sz w:val="22"/>
                <w:szCs w:val="22"/>
                <w:lang w:eastAsia="en-US"/>
              </w:rPr>
              <w:t>izmaiņas, salīdzinot ar vidēja termiņa budžeta ietvaru n+2 gadam</w:t>
            </w:r>
          </w:p>
        </w:tc>
        <w:tc>
          <w:tcPr>
            <w:tcW w:w="911" w:type="dxa"/>
            <w:shd w:val="clear" w:color="auto" w:fill="FFFFFF"/>
            <w:vAlign w:val="center"/>
            <w:hideMark/>
          </w:tcPr>
          <w:p w14:paraId="6ECC6D18" w14:textId="77777777" w:rsidR="00BD5588" w:rsidRPr="00EF0E08" w:rsidRDefault="00BD5588" w:rsidP="00EF0E08">
            <w:pPr>
              <w:rPr>
                <w:sz w:val="22"/>
                <w:szCs w:val="22"/>
                <w:lang w:eastAsia="en-US"/>
              </w:rPr>
            </w:pPr>
            <w:r w:rsidRPr="00EF0E08">
              <w:rPr>
                <w:sz w:val="22"/>
                <w:szCs w:val="22"/>
                <w:lang w:eastAsia="en-US"/>
              </w:rPr>
              <w:t xml:space="preserve">izmaiņas, salīdzinot ar vidēja termiņa budžeta ietvaru </w:t>
            </w:r>
            <w:r w:rsidRPr="00EF0E08">
              <w:rPr>
                <w:sz w:val="22"/>
                <w:szCs w:val="22"/>
                <w:lang w:eastAsia="en-US"/>
              </w:rPr>
              <w:br/>
              <w:t>n+2 gadam</w:t>
            </w:r>
          </w:p>
        </w:tc>
      </w:tr>
      <w:tr w:rsidR="00EE48D2" w:rsidRPr="00287E11" w14:paraId="0B7A302A" w14:textId="77777777" w:rsidTr="000344BB">
        <w:trPr>
          <w:cantSplit/>
        </w:trPr>
        <w:tc>
          <w:tcPr>
            <w:tcW w:w="1982" w:type="dxa"/>
            <w:shd w:val="clear" w:color="auto" w:fill="FFFFFF"/>
            <w:vAlign w:val="center"/>
            <w:hideMark/>
          </w:tcPr>
          <w:p w14:paraId="23EA661C" w14:textId="77777777" w:rsidR="00BD5588" w:rsidRPr="00287E11" w:rsidRDefault="00BD5588" w:rsidP="005708CA">
            <w:pPr>
              <w:jc w:val="center"/>
              <w:rPr>
                <w:sz w:val="22"/>
                <w:szCs w:val="22"/>
                <w:lang w:eastAsia="en-US"/>
              </w:rPr>
            </w:pPr>
            <w:r w:rsidRPr="00287E11">
              <w:rPr>
                <w:sz w:val="22"/>
                <w:szCs w:val="22"/>
                <w:lang w:eastAsia="en-US"/>
              </w:rPr>
              <w:t>1</w:t>
            </w:r>
          </w:p>
        </w:tc>
        <w:tc>
          <w:tcPr>
            <w:tcW w:w="983" w:type="dxa"/>
            <w:shd w:val="clear" w:color="auto" w:fill="FFFFFF"/>
            <w:vAlign w:val="center"/>
            <w:hideMark/>
          </w:tcPr>
          <w:p w14:paraId="725BF55E" w14:textId="77777777" w:rsidR="00BD5588" w:rsidRPr="00287E11" w:rsidRDefault="00BD5588" w:rsidP="005708CA">
            <w:pPr>
              <w:jc w:val="center"/>
              <w:rPr>
                <w:sz w:val="22"/>
                <w:szCs w:val="22"/>
                <w:lang w:eastAsia="en-US"/>
              </w:rPr>
            </w:pPr>
            <w:r w:rsidRPr="00287E11">
              <w:rPr>
                <w:sz w:val="22"/>
                <w:szCs w:val="22"/>
                <w:lang w:eastAsia="en-US"/>
              </w:rPr>
              <w:t>2</w:t>
            </w:r>
          </w:p>
        </w:tc>
        <w:tc>
          <w:tcPr>
            <w:tcW w:w="982" w:type="dxa"/>
            <w:shd w:val="clear" w:color="auto" w:fill="FFFFFF"/>
            <w:vAlign w:val="center"/>
            <w:hideMark/>
          </w:tcPr>
          <w:p w14:paraId="4CE11600" w14:textId="77777777" w:rsidR="00BD5588" w:rsidRPr="00287E11" w:rsidRDefault="00BD5588" w:rsidP="005708CA">
            <w:pPr>
              <w:jc w:val="center"/>
              <w:rPr>
                <w:sz w:val="22"/>
                <w:szCs w:val="22"/>
                <w:lang w:eastAsia="en-US"/>
              </w:rPr>
            </w:pPr>
            <w:r w:rsidRPr="00287E11">
              <w:rPr>
                <w:sz w:val="22"/>
                <w:szCs w:val="22"/>
                <w:lang w:eastAsia="en-US"/>
              </w:rPr>
              <w:t>3</w:t>
            </w:r>
          </w:p>
        </w:tc>
        <w:tc>
          <w:tcPr>
            <w:tcW w:w="861" w:type="dxa"/>
            <w:shd w:val="clear" w:color="auto" w:fill="FFFFFF"/>
            <w:vAlign w:val="center"/>
            <w:hideMark/>
          </w:tcPr>
          <w:p w14:paraId="7215EBC4" w14:textId="77777777" w:rsidR="00BD5588" w:rsidRPr="00287E11" w:rsidRDefault="00BD5588" w:rsidP="005708CA">
            <w:pPr>
              <w:jc w:val="center"/>
              <w:rPr>
                <w:sz w:val="22"/>
                <w:szCs w:val="22"/>
                <w:lang w:eastAsia="en-US"/>
              </w:rPr>
            </w:pPr>
            <w:r w:rsidRPr="00287E11">
              <w:rPr>
                <w:sz w:val="22"/>
                <w:szCs w:val="22"/>
                <w:lang w:eastAsia="en-US"/>
              </w:rPr>
              <w:t>4</w:t>
            </w:r>
          </w:p>
        </w:tc>
        <w:tc>
          <w:tcPr>
            <w:tcW w:w="860" w:type="dxa"/>
            <w:shd w:val="clear" w:color="auto" w:fill="FFFFFF"/>
            <w:vAlign w:val="center"/>
            <w:hideMark/>
          </w:tcPr>
          <w:p w14:paraId="4E02C260" w14:textId="77777777" w:rsidR="00BD5588" w:rsidRPr="00287E11" w:rsidRDefault="00BD5588" w:rsidP="005708CA">
            <w:pPr>
              <w:jc w:val="center"/>
              <w:rPr>
                <w:sz w:val="22"/>
                <w:szCs w:val="22"/>
                <w:lang w:eastAsia="en-US"/>
              </w:rPr>
            </w:pPr>
            <w:r w:rsidRPr="00287E11">
              <w:rPr>
                <w:sz w:val="22"/>
                <w:szCs w:val="22"/>
                <w:lang w:eastAsia="en-US"/>
              </w:rPr>
              <w:t>5</w:t>
            </w:r>
          </w:p>
        </w:tc>
        <w:tc>
          <w:tcPr>
            <w:tcW w:w="860" w:type="dxa"/>
            <w:shd w:val="clear" w:color="auto" w:fill="FFFFFF"/>
            <w:vAlign w:val="center"/>
            <w:hideMark/>
          </w:tcPr>
          <w:p w14:paraId="5AE7C699" w14:textId="77777777" w:rsidR="00BD5588" w:rsidRPr="00287E11" w:rsidRDefault="00BD5588" w:rsidP="005708CA">
            <w:pPr>
              <w:jc w:val="center"/>
              <w:rPr>
                <w:sz w:val="22"/>
                <w:szCs w:val="22"/>
                <w:lang w:eastAsia="en-US"/>
              </w:rPr>
            </w:pPr>
            <w:r w:rsidRPr="00287E11">
              <w:rPr>
                <w:sz w:val="22"/>
                <w:szCs w:val="22"/>
                <w:lang w:eastAsia="en-US"/>
              </w:rPr>
              <w:t>6</w:t>
            </w:r>
          </w:p>
        </w:tc>
        <w:tc>
          <w:tcPr>
            <w:tcW w:w="860" w:type="dxa"/>
            <w:shd w:val="clear" w:color="auto" w:fill="FFFFFF"/>
            <w:vAlign w:val="center"/>
            <w:hideMark/>
          </w:tcPr>
          <w:p w14:paraId="08BAC0BD" w14:textId="77777777" w:rsidR="00BD5588" w:rsidRPr="00287E11" w:rsidRDefault="00BD5588" w:rsidP="005708CA">
            <w:pPr>
              <w:jc w:val="center"/>
              <w:rPr>
                <w:sz w:val="22"/>
                <w:szCs w:val="22"/>
                <w:lang w:eastAsia="en-US"/>
              </w:rPr>
            </w:pPr>
            <w:r w:rsidRPr="00287E11">
              <w:rPr>
                <w:sz w:val="22"/>
                <w:szCs w:val="22"/>
                <w:lang w:eastAsia="en-US"/>
              </w:rPr>
              <w:t>7</w:t>
            </w:r>
          </w:p>
        </w:tc>
        <w:tc>
          <w:tcPr>
            <w:tcW w:w="911" w:type="dxa"/>
            <w:shd w:val="clear" w:color="auto" w:fill="FFFFFF"/>
            <w:vAlign w:val="center"/>
            <w:hideMark/>
          </w:tcPr>
          <w:p w14:paraId="7F80CE60" w14:textId="77777777" w:rsidR="00BD5588" w:rsidRPr="00287E11" w:rsidRDefault="00BD5588" w:rsidP="005708CA">
            <w:pPr>
              <w:jc w:val="center"/>
              <w:rPr>
                <w:sz w:val="22"/>
                <w:szCs w:val="22"/>
                <w:lang w:eastAsia="en-US"/>
              </w:rPr>
            </w:pPr>
            <w:r w:rsidRPr="00287E11">
              <w:rPr>
                <w:sz w:val="22"/>
                <w:szCs w:val="22"/>
                <w:lang w:eastAsia="en-US"/>
              </w:rPr>
              <w:t>8</w:t>
            </w:r>
          </w:p>
        </w:tc>
      </w:tr>
      <w:tr w:rsidR="00EE48D2" w:rsidRPr="00287E11" w14:paraId="42EFBA85" w14:textId="77777777" w:rsidTr="000344BB">
        <w:trPr>
          <w:cantSplit/>
        </w:trPr>
        <w:tc>
          <w:tcPr>
            <w:tcW w:w="1982" w:type="dxa"/>
            <w:shd w:val="clear" w:color="auto" w:fill="FFFFFF"/>
            <w:hideMark/>
          </w:tcPr>
          <w:p w14:paraId="69967553" w14:textId="56649D6B" w:rsidR="000344BB" w:rsidRPr="00287E11" w:rsidRDefault="000344BB" w:rsidP="000344BB">
            <w:pPr>
              <w:rPr>
                <w:sz w:val="22"/>
                <w:szCs w:val="22"/>
                <w:lang w:eastAsia="en-US"/>
              </w:rPr>
            </w:pPr>
            <w:r w:rsidRPr="00287E11">
              <w:rPr>
                <w:iCs/>
                <w:color w:val="414142"/>
                <w:sz w:val="22"/>
                <w:szCs w:val="22"/>
              </w:rPr>
              <w:t>1. Budžeta ieņēmumi</w:t>
            </w:r>
          </w:p>
        </w:tc>
        <w:tc>
          <w:tcPr>
            <w:tcW w:w="983" w:type="dxa"/>
            <w:shd w:val="clear" w:color="auto" w:fill="FFFFFF"/>
            <w:vAlign w:val="center"/>
          </w:tcPr>
          <w:p w14:paraId="4C1FE896" w14:textId="4231D896" w:rsidR="000344BB" w:rsidRPr="00287E11" w:rsidRDefault="00A8539D" w:rsidP="000344BB">
            <w:pPr>
              <w:jc w:val="center"/>
              <w:rPr>
                <w:sz w:val="22"/>
                <w:szCs w:val="22"/>
                <w:lang w:eastAsia="en-US"/>
              </w:rPr>
            </w:pPr>
            <w:r w:rsidRPr="00287E11">
              <w:rPr>
                <w:iCs/>
                <w:color w:val="414142"/>
                <w:sz w:val="22"/>
                <w:szCs w:val="22"/>
              </w:rPr>
              <w:t>0</w:t>
            </w:r>
          </w:p>
        </w:tc>
        <w:tc>
          <w:tcPr>
            <w:tcW w:w="982" w:type="dxa"/>
            <w:shd w:val="clear" w:color="auto" w:fill="FFFFFF"/>
            <w:vAlign w:val="center"/>
          </w:tcPr>
          <w:p w14:paraId="7F2AB0DC" w14:textId="000EA04A" w:rsidR="000344BB" w:rsidRPr="00287E11" w:rsidRDefault="000344BB" w:rsidP="000344BB">
            <w:pPr>
              <w:jc w:val="center"/>
              <w:rPr>
                <w:sz w:val="22"/>
                <w:szCs w:val="22"/>
                <w:lang w:eastAsia="en-US"/>
              </w:rPr>
            </w:pPr>
            <w:r w:rsidRPr="00287E11">
              <w:rPr>
                <w:iCs/>
                <w:color w:val="414142"/>
                <w:sz w:val="22"/>
                <w:szCs w:val="22"/>
              </w:rPr>
              <w:t>0</w:t>
            </w:r>
          </w:p>
        </w:tc>
        <w:tc>
          <w:tcPr>
            <w:tcW w:w="861" w:type="dxa"/>
            <w:shd w:val="clear" w:color="auto" w:fill="FFFFFF"/>
            <w:vAlign w:val="center"/>
          </w:tcPr>
          <w:p w14:paraId="23CFD71E" w14:textId="7DBFD794" w:rsidR="000344BB" w:rsidRPr="00287E11" w:rsidRDefault="00A8539D" w:rsidP="000344BB">
            <w:pPr>
              <w:jc w:val="center"/>
              <w:rPr>
                <w:sz w:val="22"/>
                <w:szCs w:val="22"/>
                <w:lang w:eastAsia="en-US"/>
              </w:rPr>
            </w:pPr>
            <w:r w:rsidRPr="00287E11">
              <w:rPr>
                <w:iCs/>
                <w:color w:val="414142"/>
                <w:sz w:val="22"/>
                <w:szCs w:val="22"/>
              </w:rPr>
              <w:t>0</w:t>
            </w:r>
          </w:p>
        </w:tc>
        <w:tc>
          <w:tcPr>
            <w:tcW w:w="860" w:type="dxa"/>
            <w:shd w:val="clear" w:color="auto" w:fill="FFFFFF"/>
            <w:vAlign w:val="center"/>
          </w:tcPr>
          <w:p w14:paraId="777C62A7" w14:textId="340B8970"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FFFFFF"/>
            <w:vAlign w:val="center"/>
          </w:tcPr>
          <w:p w14:paraId="79E188D1" w14:textId="661A8FF0" w:rsidR="000344BB" w:rsidRPr="00287E11" w:rsidRDefault="00A8539D" w:rsidP="000344BB">
            <w:pPr>
              <w:jc w:val="center"/>
              <w:rPr>
                <w:sz w:val="22"/>
                <w:szCs w:val="22"/>
                <w:lang w:eastAsia="en-US"/>
              </w:rPr>
            </w:pPr>
            <w:r w:rsidRPr="00287E11">
              <w:rPr>
                <w:iCs/>
                <w:color w:val="414142"/>
                <w:sz w:val="22"/>
                <w:szCs w:val="22"/>
              </w:rPr>
              <w:t>0</w:t>
            </w:r>
          </w:p>
        </w:tc>
        <w:tc>
          <w:tcPr>
            <w:tcW w:w="860" w:type="dxa"/>
            <w:shd w:val="clear" w:color="auto" w:fill="FFFFFF"/>
            <w:vAlign w:val="center"/>
          </w:tcPr>
          <w:p w14:paraId="5C4AA658" w14:textId="733B76AD"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FFFFFF"/>
            <w:vAlign w:val="center"/>
          </w:tcPr>
          <w:p w14:paraId="36DC77E1" w14:textId="4B44CFFF"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0360AE05" w14:textId="77777777" w:rsidTr="000344BB">
        <w:trPr>
          <w:cantSplit/>
        </w:trPr>
        <w:tc>
          <w:tcPr>
            <w:tcW w:w="1982" w:type="dxa"/>
            <w:shd w:val="clear" w:color="auto" w:fill="auto"/>
            <w:hideMark/>
          </w:tcPr>
          <w:p w14:paraId="01D35A9C" w14:textId="669DBFBC" w:rsidR="000344BB" w:rsidRPr="00287E11" w:rsidRDefault="000344BB" w:rsidP="000344BB">
            <w:pPr>
              <w:rPr>
                <w:sz w:val="22"/>
                <w:szCs w:val="22"/>
                <w:lang w:eastAsia="en-US"/>
              </w:rPr>
            </w:pPr>
            <w:r w:rsidRPr="00287E11">
              <w:rPr>
                <w:iCs/>
                <w:color w:val="414142"/>
                <w:sz w:val="22"/>
                <w:szCs w:val="22"/>
              </w:rPr>
              <w:t>1.1. valsts pamatbudžets, tai skaitā ieņēmumi no maksas pakalpojumiem un citi pašu ieņēmumi</w:t>
            </w:r>
            <w:r w:rsidRPr="00287E11" w:rsidDel="00114AD6">
              <w:rPr>
                <w:iCs/>
                <w:color w:val="414142"/>
                <w:sz w:val="22"/>
                <w:szCs w:val="22"/>
              </w:rPr>
              <w:t xml:space="preserve"> </w:t>
            </w:r>
          </w:p>
        </w:tc>
        <w:tc>
          <w:tcPr>
            <w:tcW w:w="983" w:type="dxa"/>
            <w:shd w:val="clear" w:color="auto" w:fill="auto"/>
          </w:tcPr>
          <w:p w14:paraId="2447C16E" w14:textId="2520F21C" w:rsidR="000344BB" w:rsidRPr="00287E11" w:rsidRDefault="00A8539D" w:rsidP="000344BB">
            <w:pPr>
              <w:jc w:val="center"/>
              <w:rPr>
                <w:sz w:val="22"/>
                <w:szCs w:val="22"/>
                <w:lang w:eastAsia="en-US"/>
              </w:rPr>
            </w:pPr>
            <w:r w:rsidRPr="00287E11">
              <w:rPr>
                <w:iCs/>
                <w:color w:val="414142"/>
                <w:sz w:val="22"/>
                <w:szCs w:val="22"/>
              </w:rPr>
              <w:t>0</w:t>
            </w:r>
          </w:p>
        </w:tc>
        <w:tc>
          <w:tcPr>
            <w:tcW w:w="982" w:type="dxa"/>
            <w:shd w:val="clear" w:color="auto" w:fill="auto"/>
            <w:vAlign w:val="center"/>
          </w:tcPr>
          <w:p w14:paraId="6FD459A0" w14:textId="1A1425DF" w:rsidR="000344BB" w:rsidRPr="00287E11" w:rsidRDefault="000344BB" w:rsidP="000344BB">
            <w:pPr>
              <w:jc w:val="center"/>
              <w:rPr>
                <w:sz w:val="22"/>
                <w:szCs w:val="22"/>
                <w:lang w:eastAsia="en-US"/>
              </w:rPr>
            </w:pPr>
            <w:r w:rsidRPr="00287E11">
              <w:rPr>
                <w:iCs/>
                <w:color w:val="414142"/>
                <w:sz w:val="22"/>
                <w:szCs w:val="22"/>
              </w:rPr>
              <w:t>0</w:t>
            </w:r>
          </w:p>
        </w:tc>
        <w:tc>
          <w:tcPr>
            <w:tcW w:w="861" w:type="dxa"/>
            <w:shd w:val="clear" w:color="auto" w:fill="auto"/>
            <w:vAlign w:val="center"/>
          </w:tcPr>
          <w:p w14:paraId="407F369A" w14:textId="77A5D0F5" w:rsidR="000344BB" w:rsidRPr="00287E11" w:rsidRDefault="00A8539D"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6B5E85F0" w14:textId="4806399E"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244539C8" w14:textId="339EA24F" w:rsidR="000344BB" w:rsidRPr="00287E11" w:rsidRDefault="00A8539D"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0EC66F39" w14:textId="0D295B2F"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auto"/>
            <w:vAlign w:val="center"/>
          </w:tcPr>
          <w:p w14:paraId="6DA58EB5" w14:textId="069BCF34"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3FD06361" w14:textId="77777777" w:rsidTr="000344BB">
        <w:trPr>
          <w:cantSplit/>
        </w:trPr>
        <w:tc>
          <w:tcPr>
            <w:tcW w:w="1982" w:type="dxa"/>
            <w:shd w:val="clear" w:color="auto" w:fill="auto"/>
            <w:hideMark/>
          </w:tcPr>
          <w:p w14:paraId="2F009776" w14:textId="242A232D" w:rsidR="000344BB" w:rsidRPr="00287E11" w:rsidRDefault="000344BB" w:rsidP="000344BB">
            <w:pPr>
              <w:rPr>
                <w:sz w:val="22"/>
                <w:szCs w:val="22"/>
                <w:lang w:eastAsia="en-US"/>
              </w:rPr>
            </w:pPr>
            <w:r w:rsidRPr="00287E11">
              <w:rPr>
                <w:iCs/>
                <w:color w:val="414142"/>
                <w:sz w:val="22"/>
                <w:szCs w:val="22"/>
              </w:rPr>
              <w:t>1.2. valsts speciālais budžets</w:t>
            </w:r>
          </w:p>
        </w:tc>
        <w:tc>
          <w:tcPr>
            <w:tcW w:w="983" w:type="dxa"/>
            <w:shd w:val="clear" w:color="auto" w:fill="auto"/>
            <w:vAlign w:val="center"/>
          </w:tcPr>
          <w:p w14:paraId="44BF52B3" w14:textId="7F944BD0" w:rsidR="000344BB" w:rsidRPr="00287E11" w:rsidRDefault="000344BB" w:rsidP="000344BB">
            <w:pPr>
              <w:jc w:val="center"/>
              <w:rPr>
                <w:sz w:val="22"/>
                <w:szCs w:val="22"/>
                <w:lang w:eastAsia="en-US"/>
              </w:rPr>
            </w:pPr>
            <w:r w:rsidRPr="00287E11">
              <w:rPr>
                <w:iCs/>
                <w:color w:val="414142"/>
                <w:sz w:val="22"/>
                <w:szCs w:val="22"/>
              </w:rPr>
              <w:t>0</w:t>
            </w:r>
          </w:p>
        </w:tc>
        <w:tc>
          <w:tcPr>
            <w:tcW w:w="982" w:type="dxa"/>
            <w:shd w:val="clear" w:color="auto" w:fill="auto"/>
            <w:vAlign w:val="center"/>
          </w:tcPr>
          <w:p w14:paraId="7AD465C8" w14:textId="772D5BED" w:rsidR="000344BB" w:rsidRPr="00287E11" w:rsidRDefault="000344BB" w:rsidP="000344BB">
            <w:pPr>
              <w:jc w:val="center"/>
              <w:rPr>
                <w:sz w:val="22"/>
                <w:szCs w:val="22"/>
                <w:lang w:eastAsia="en-US"/>
              </w:rPr>
            </w:pPr>
            <w:r w:rsidRPr="00287E11">
              <w:rPr>
                <w:iCs/>
                <w:color w:val="414142"/>
                <w:sz w:val="22"/>
                <w:szCs w:val="22"/>
              </w:rPr>
              <w:t>0</w:t>
            </w:r>
          </w:p>
        </w:tc>
        <w:tc>
          <w:tcPr>
            <w:tcW w:w="861" w:type="dxa"/>
            <w:shd w:val="clear" w:color="auto" w:fill="auto"/>
            <w:vAlign w:val="center"/>
          </w:tcPr>
          <w:p w14:paraId="415191CF" w14:textId="222C8C8F"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71537841" w14:textId="22190E5C"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2A394F73" w14:textId="3648B30B"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73A9AFBD" w14:textId="1E097BC0"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auto"/>
            <w:vAlign w:val="center"/>
          </w:tcPr>
          <w:p w14:paraId="4FC7D201" w14:textId="6CDD248D"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05327037" w14:textId="77777777" w:rsidTr="000344BB">
        <w:trPr>
          <w:cantSplit/>
        </w:trPr>
        <w:tc>
          <w:tcPr>
            <w:tcW w:w="1982" w:type="dxa"/>
            <w:shd w:val="clear" w:color="auto" w:fill="auto"/>
            <w:hideMark/>
          </w:tcPr>
          <w:p w14:paraId="3881531C" w14:textId="1FF7AFD9" w:rsidR="000344BB" w:rsidRPr="00287E11" w:rsidRDefault="000344BB" w:rsidP="000344BB">
            <w:pPr>
              <w:rPr>
                <w:sz w:val="22"/>
                <w:szCs w:val="22"/>
                <w:lang w:eastAsia="en-US"/>
              </w:rPr>
            </w:pPr>
            <w:r w:rsidRPr="00287E11">
              <w:rPr>
                <w:iCs/>
                <w:color w:val="414142"/>
                <w:sz w:val="22"/>
                <w:szCs w:val="22"/>
              </w:rPr>
              <w:t>1.3. pašvaldību budžets</w:t>
            </w:r>
          </w:p>
        </w:tc>
        <w:tc>
          <w:tcPr>
            <w:tcW w:w="983" w:type="dxa"/>
            <w:shd w:val="clear" w:color="auto" w:fill="auto"/>
            <w:vAlign w:val="center"/>
          </w:tcPr>
          <w:p w14:paraId="545E2EF7" w14:textId="7C21DABD" w:rsidR="000344BB" w:rsidRPr="00287E11" w:rsidRDefault="000344BB" w:rsidP="000344BB">
            <w:pPr>
              <w:jc w:val="center"/>
              <w:rPr>
                <w:sz w:val="22"/>
                <w:szCs w:val="22"/>
                <w:lang w:eastAsia="en-US"/>
              </w:rPr>
            </w:pPr>
            <w:r w:rsidRPr="00287E11">
              <w:rPr>
                <w:iCs/>
                <w:color w:val="414142"/>
                <w:sz w:val="22"/>
                <w:szCs w:val="22"/>
              </w:rPr>
              <w:t>0</w:t>
            </w:r>
          </w:p>
        </w:tc>
        <w:tc>
          <w:tcPr>
            <w:tcW w:w="982" w:type="dxa"/>
            <w:shd w:val="clear" w:color="auto" w:fill="auto"/>
            <w:vAlign w:val="center"/>
          </w:tcPr>
          <w:p w14:paraId="3C3C92BF" w14:textId="39D18CBB" w:rsidR="000344BB" w:rsidRPr="00287E11" w:rsidRDefault="000344BB" w:rsidP="000344BB">
            <w:pPr>
              <w:jc w:val="center"/>
              <w:rPr>
                <w:sz w:val="22"/>
                <w:szCs w:val="22"/>
                <w:lang w:eastAsia="en-US"/>
              </w:rPr>
            </w:pPr>
            <w:r w:rsidRPr="00287E11">
              <w:rPr>
                <w:iCs/>
                <w:color w:val="414142"/>
                <w:sz w:val="22"/>
                <w:szCs w:val="22"/>
              </w:rPr>
              <w:t>0</w:t>
            </w:r>
          </w:p>
        </w:tc>
        <w:tc>
          <w:tcPr>
            <w:tcW w:w="861" w:type="dxa"/>
            <w:shd w:val="clear" w:color="auto" w:fill="auto"/>
            <w:vAlign w:val="center"/>
          </w:tcPr>
          <w:p w14:paraId="7AD67B21" w14:textId="3710B661"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113EA7B6" w14:textId="173175EA"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2BB4BB5F" w14:textId="5F856135"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4F850593" w14:textId="1AEF07DF"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auto"/>
            <w:vAlign w:val="center"/>
          </w:tcPr>
          <w:p w14:paraId="3D33BEFB" w14:textId="5F0DB2C7"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6E519CFA" w14:textId="77777777" w:rsidTr="000344BB">
        <w:trPr>
          <w:cantSplit/>
        </w:trPr>
        <w:tc>
          <w:tcPr>
            <w:tcW w:w="1982" w:type="dxa"/>
            <w:shd w:val="clear" w:color="auto" w:fill="auto"/>
            <w:hideMark/>
          </w:tcPr>
          <w:p w14:paraId="7B0796F7" w14:textId="5D0E3376" w:rsidR="000344BB" w:rsidRPr="00287E11" w:rsidRDefault="000344BB" w:rsidP="000344BB">
            <w:pPr>
              <w:rPr>
                <w:sz w:val="22"/>
                <w:szCs w:val="22"/>
                <w:lang w:eastAsia="en-US"/>
              </w:rPr>
            </w:pPr>
            <w:r w:rsidRPr="00287E11">
              <w:rPr>
                <w:iCs/>
                <w:color w:val="414142"/>
                <w:sz w:val="22"/>
                <w:szCs w:val="22"/>
              </w:rPr>
              <w:t>2. Budžeta izdevumi</w:t>
            </w:r>
          </w:p>
        </w:tc>
        <w:tc>
          <w:tcPr>
            <w:tcW w:w="983" w:type="dxa"/>
            <w:shd w:val="clear" w:color="auto" w:fill="auto"/>
            <w:vAlign w:val="center"/>
          </w:tcPr>
          <w:p w14:paraId="6D376947" w14:textId="1F1610AE" w:rsidR="000344BB" w:rsidRPr="00287E11" w:rsidRDefault="00A8539D" w:rsidP="000344BB">
            <w:pPr>
              <w:jc w:val="center"/>
              <w:rPr>
                <w:sz w:val="22"/>
                <w:szCs w:val="22"/>
                <w:lang w:eastAsia="en-US"/>
              </w:rPr>
            </w:pPr>
            <w:r w:rsidRPr="00287E11">
              <w:rPr>
                <w:iCs/>
                <w:color w:val="414142"/>
                <w:sz w:val="22"/>
                <w:szCs w:val="22"/>
              </w:rPr>
              <w:t>0</w:t>
            </w:r>
          </w:p>
        </w:tc>
        <w:tc>
          <w:tcPr>
            <w:tcW w:w="982" w:type="dxa"/>
            <w:shd w:val="clear" w:color="auto" w:fill="auto"/>
            <w:vAlign w:val="center"/>
          </w:tcPr>
          <w:p w14:paraId="01CECA33" w14:textId="15B54A82" w:rsidR="000344BB" w:rsidRPr="00287E11" w:rsidRDefault="000344BB" w:rsidP="000344BB">
            <w:pPr>
              <w:jc w:val="center"/>
              <w:rPr>
                <w:sz w:val="22"/>
                <w:szCs w:val="22"/>
                <w:lang w:eastAsia="en-US"/>
              </w:rPr>
            </w:pPr>
            <w:r w:rsidRPr="00287E11">
              <w:rPr>
                <w:iCs/>
                <w:color w:val="414142"/>
                <w:sz w:val="22"/>
                <w:szCs w:val="22"/>
              </w:rPr>
              <w:t>0</w:t>
            </w:r>
          </w:p>
        </w:tc>
        <w:tc>
          <w:tcPr>
            <w:tcW w:w="861" w:type="dxa"/>
            <w:shd w:val="clear" w:color="auto" w:fill="auto"/>
            <w:vAlign w:val="center"/>
          </w:tcPr>
          <w:p w14:paraId="752FAE50" w14:textId="5DBAB8FA" w:rsidR="000344BB" w:rsidRPr="00287E11" w:rsidRDefault="00A8539D"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413F1E36" w14:textId="55DC389B"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2D76E4CB" w14:textId="2ED68086" w:rsidR="000344BB" w:rsidRPr="00287E11" w:rsidRDefault="00A8539D"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45341E28" w14:textId="191822F9"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auto"/>
            <w:vAlign w:val="center"/>
          </w:tcPr>
          <w:p w14:paraId="7B75B946" w14:textId="4E0259BC"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473060E7" w14:textId="77777777" w:rsidTr="000344BB">
        <w:trPr>
          <w:cantSplit/>
        </w:trPr>
        <w:tc>
          <w:tcPr>
            <w:tcW w:w="1982" w:type="dxa"/>
            <w:shd w:val="clear" w:color="auto" w:fill="auto"/>
            <w:hideMark/>
          </w:tcPr>
          <w:p w14:paraId="4C00080C" w14:textId="75F396A5" w:rsidR="000344BB" w:rsidRPr="00287E11" w:rsidRDefault="000344BB" w:rsidP="000344BB">
            <w:pPr>
              <w:rPr>
                <w:sz w:val="22"/>
                <w:szCs w:val="22"/>
                <w:lang w:eastAsia="en-US"/>
              </w:rPr>
            </w:pPr>
            <w:r w:rsidRPr="00287E11">
              <w:rPr>
                <w:iCs/>
                <w:color w:val="414142"/>
                <w:sz w:val="22"/>
                <w:szCs w:val="22"/>
              </w:rPr>
              <w:t>2.1. valsts pamatbudžets</w:t>
            </w:r>
          </w:p>
        </w:tc>
        <w:tc>
          <w:tcPr>
            <w:tcW w:w="983" w:type="dxa"/>
            <w:shd w:val="clear" w:color="auto" w:fill="auto"/>
            <w:vAlign w:val="center"/>
          </w:tcPr>
          <w:p w14:paraId="38419D7C" w14:textId="461E9AC0" w:rsidR="000344BB" w:rsidRPr="00287E11" w:rsidRDefault="00A8539D" w:rsidP="000344BB">
            <w:pPr>
              <w:jc w:val="center"/>
              <w:rPr>
                <w:sz w:val="22"/>
                <w:szCs w:val="22"/>
                <w:lang w:eastAsia="en-US"/>
              </w:rPr>
            </w:pPr>
            <w:r w:rsidRPr="00287E11">
              <w:rPr>
                <w:iCs/>
                <w:color w:val="414142"/>
                <w:sz w:val="22"/>
                <w:szCs w:val="22"/>
              </w:rPr>
              <w:t>0</w:t>
            </w:r>
          </w:p>
        </w:tc>
        <w:tc>
          <w:tcPr>
            <w:tcW w:w="982" w:type="dxa"/>
            <w:shd w:val="clear" w:color="auto" w:fill="auto"/>
            <w:vAlign w:val="center"/>
          </w:tcPr>
          <w:p w14:paraId="484371D1" w14:textId="6E3F0B27" w:rsidR="000344BB" w:rsidRPr="00287E11" w:rsidRDefault="000344BB" w:rsidP="000344BB">
            <w:pPr>
              <w:jc w:val="center"/>
              <w:rPr>
                <w:sz w:val="22"/>
                <w:szCs w:val="22"/>
                <w:lang w:eastAsia="en-US"/>
              </w:rPr>
            </w:pPr>
            <w:r w:rsidRPr="00287E11">
              <w:rPr>
                <w:iCs/>
                <w:color w:val="414142"/>
                <w:sz w:val="22"/>
                <w:szCs w:val="22"/>
              </w:rPr>
              <w:t>0</w:t>
            </w:r>
          </w:p>
        </w:tc>
        <w:tc>
          <w:tcPr>
            <w:tcW w:w="861" w:type="dxa"/>
            <w:shd w:val="clear" w:color="auto" w:fill="auto"/>
            <w:vAlign w:val="center"/>
          </w:tcPr>
          <w:p w14:paraId="5E723B9C" w14:textId="5E282BA1" w:rsidR="000344BB" w:rsidRPr="00287E11" w:rsidRDefault="00A8539D"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5F65C3F6" w14:textId="1D88EF56" w:rsidR="000344BB" w:rsidRPr="00287E11" w:rsidRDefault="00A8539D"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5E1B8A9C" w14:textId="59A5E9E7" w:rsidR="000344BB" w:rsidRPr="00287E11" w:rsidRDefault="00A8539D"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61A15F22" w14:textId="1E1B0ED7"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auto"/>
            <w:vAlign w:val="center"/>
          </w:tcPr>
          <w:p w14:paraId="06CB7ABD" w14:textId="0F150029"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37439964" w14:textId="77777777" w:rsidTr="000344BB">
        <w:trPr>
          <w:cantSplit/>
        </w:trPr>
        <w:tc>
          <w:tcPr>
            <w:tcW w:w="1982" w:type="dxa"/>
            <w:shd w:val="clear" w:color="auto" w:fill="auto"/>
            <w:hideMark/>
          </w:tcPr>
          <w:p w14:paraId="26025942" w14:textId="176EEFF1" w:rsidR="000344BB" w:rsidRPr="00287E11" w:rsidRDefault="000344BB" w:rsidP="000344BB">
            <w:pPr>
              <w:rPr>
                <w:sz w:val="22"/>
                <w:szCs w:val="22"/>
                <w:lang w:eastAsia="en-US"/>
              </w:rPr>
            </w:pPr>
            <w:r w:rsidRPr="00287E11">
              <w:rPr>
                <w:iCs/>
                <w:color w:val="414142"/>
                <w:sz w:val="22"/>
                <w:szCs w:val="22"/>
              </w:rPr>
              <w:t>2.2. valsts speciālais budžets</w:t>
            </w:r>
          </w:p>
        </w:tc>
        <w:tc>
          <w:tcPr>
            <w:tcW w:w="983" w:type="dxa"/>
            <w:shd w:val="clear" w:color="auto" w:fill="auto"/>
            <w:vAlign w:val="center"/>
          </w:tcPr>
          <w:p w14:paraId="4326FC90" w14:textId="15F7B7A9" w:rsidR="000344BB" w:rsidRPr="00287E11" w:rsidRDefault="000344BB" w:rsidP="000344BB">
            <w:pPr>
              <w:jc w:val="center"/>
              <w:rPr>
                <w:sz w:val="22"/>
                <w:szCs w:val="22"/>
                <w:lang w:eastAsia="en-US"/>
              </w:rPr>
            </w:pPr>
            <w:r w:rsidRPr="00287E11">
              <w:rPr>
                <w:iCs/>
                <w:color w:val="414142"/>
                <w:sz w:val="22"/>
                <w:szCs w:val="22"/>
              </w:rPr>
              <w:t>0</w:t>
            </w:r>
          </w:p>
        </w:tc>
        <w:tc>
          <w:tcPr>
            <w:tcW w:w="982" w:type="dxa"/>
            <w:shd w:val="clear" w:color="auto" w:fill="auto"/>
            <w:vAlign w:val="center"/>
          </w:tcPr>
          <w:p w14:paraId="49B3F402" w14:textId="5B4D9055" w:rsidR="000344BB" w:rsidRPr="00287E11" w:rsidRDefault="000344BB" w:rsidP="000344BB">
            <w:pPr>
              <w:jc w:val="center"/>
              <w:rPr>
                <w:sz w:val="22"/>
                <w:szCs w:val="22"/>
                <w:lang w:eastAsia="en-US"/>
              </w:rPr>
            </w:pPr>
            <w:r w:rsidRPr="00287E11">
              <w:rPr>
                <w:iCs/>
                <w:color w:val="414142"/>
                <w:sz w:val="22"/>
                <w:szCs w:val="22"/>
              </w:rPr>
              <w:t>0</w:t>
            </w:r>
          </w:p>
        </w:tc>
        <w:tc>
          <w:tcPr>
            <w:tcW w:w="861" w:type="dxa"/>
            <w:shd w:val="clear" w:color="auto" w:fill="auto"/>
            <w:vAlign w:val="center"/>
          </w:tcPr>
          <w:p w14:paraId="17A4C673" w14:textId="49A6E0B9"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275DD576" w14:textId="2207FCDD"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55D2E5BC" w14:textId="277C7417"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16C43D48" w14:textId="6C7E6CF8"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auto"/>
            <w:vAlign w:val="center"/>
          </w:tcPr>
          <w:p w14:paraId="016FC0C9" w14:textId="49276566"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56B8CD50" w14:textId="77777777" w:rsidTr="000344BB">
        <w:trPr>
          <w:cantSplit/>
        </w:trPr>
        <w:tc>
          <w:tcPr>
            <w:tcW w:w="1982" w:type="dxa"/>
            <w:shd w:val="clear" w:color="auto" w:fill="auto"/>
            <w:hideMark/>
          </w:tcPr>
          <w:p w14:paraId="376057EA" w14:textId="7FB3E3BA" w:rsidR="000344BB" w:rsidRPr="00287E11" w:rsidRDefault="000344BB" w:rsidP="000344BB">
            <w:pPr>
              <w:rPr>
                <w:sz w:val="22"/>
                <w:szCs w:val="22"/>
                <w:lang w:eastAsia="en-US"/>
              </w:rPr>
            </w:pPr>
            <w:r w:rsidRPr="00287E11">
              <w:rPr>
                <w:iCs/>
                <w:color w:val="414142"/>
                <w:sz w:val="22"/>
                <w:szCs w:val="22"/>
              </w:rPr>
              <w:t>2.3. pašvaldību budžets</w:t>
            </w:r>
          </w:p>
        </w:tc>
        <w:tc>
          <w:tcPr>
            <w:tcW w:w="983" w:type="dxa"/>
            <w:shd w:val="clear" w:color="auto" w:fill="auto"/>
            <w:vAlign w:val="center"/>
          </w:tcPr>
          <w:p w14:paraId="06196EFF" w14:textId="3334428B" w:rsidR="000344BB" w:rsidRPr="00287E11" w:rsidRDefault="000344BB" w:rsidP="000344BB">
            <w:pPr>
              <w:jc w:val="center"/>
              <w:rPr>
                <w:sz w:val="22"/>
                <w:szCs w:val="22"/>
                <w:lang w:eastAsia="en-US"/>
              </w:rPr>
            </w:pPr>
            <w:r w:rsidRPr="00287E11">
              <w:rPr>
                <w:iCs/>
                <w:color w:val="414142"/>
                <w:sz w:val="22"/>
                <w:szCs w:val="22"/>
              </w:rPr>
              <w:t>0</w:t>
            </w:r>
          </w:p>
        </w:tc>
        <w:tc>
          <w:tcPr>
            <w:tcW w:w="982" w:type="dxa"/>
            <w:shd w:val="clear" w:color="auto" w:fill="auto"/>
            <w:vAlign w:val="center"/>
          </w:tcPr>
          <w:p w14:paraId="18C3EEF3" w14:textId="76E99E97" w:rsidR="000344BB" w:rsidRPr="00287E11" w:rsidRDefault="000344BB" w:rsidP="000344BB">
            <w:pPr>
              <w:jc w:val="center"/>
              <w:rPr>
                <w:sz w:val="22"/>
                <w:szCs w:val="22"/>
                <w:lang w:eastAsia="en-US"/>
              </w:rPr>
            </w:pPr>
            <w:r w:rsidRPr="00287E11">
              <w:rPr>
                <w:iCs/>
                <w:color w:val="414142"/>
                <w:sz w:val="22"/>
                <w:szCs w:val="22"/>
              </w:rPr>
              <w:t>0</w:t>
            </w:r>
          </w:p>
        </w:tc>
        <w:tc>
          <w:tcPr>
            <w:tcW w:w="861" w:type="dxa"/>
            <w:shd w:val="clear" w:color="auto" w:fill="auto"/>
            <w:vAlign w:val="center"/>
          </w:tcPr>
          <w:p w14:paraId="2FB2B09A" w14:textId="7B760DB9"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752DD2FE" w14:textId="7AF9709C"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7A044C50" w14:textId="4E61FAFF"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11F08496" w14:textId="1FE6D8E3"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auto"/>
            <w:vAlign w:val="center"/>
          </w:tcPr>
          <w:p w14:paraId="531B3B25" w14:textId="761B448B"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1AA7739F" w14:textId="77777777" w:rsidTr="000344BB">
        <w:trPr>
          <w:cantSplit/>
        </w:trPr>
        <w:tc>
          <w:tcPr>
            <w:tcW w:w="1982" w:type="dxa"/>
            <w:shd w:val="clear" w:color="auto" w:fill="auto"/>
            <w:hideMark/>
          </w:tcPr>
          <w:p w14:paraId="0AA94BDC" w14:textId="1304DE1B" w:rsidR="000344BB" w:rsidRPr="00287E11" w:rsidRDefault="000344BB" w:rsidP="000344BB">
            <w:pPr>
              <w:rPr>
                <w:sz w:val="22"/>
                <w:szCs w:val="22"/>
                <w:lang w:eastAsia="en-US"/>
              </w:rPr>
            </w:pPr>
            <w:r w:rsidRPr="00287E11">
              <w:rPr>
                <w:iCs/>
                <w:color w:val="414142"/>
                <w:sz w:val="22"/>
                <w:szCs w:val="22"/>
              </w:rPr>
              <w:t>3. Finansiālā ietekme</w:t>
            </w:r>
          </w:p>
        </w:tc>
        <w:tc>
          <w:tcPr>
            <w:tcW w:w="983" w:type="dxa"/>
            <w:shd w:val="clear" w:color="auto" w:fill="auto"/>
            <w:vAlign w:val="center"/>
          </w:tcPr>
          <w:p w14:paraId="1BCFE993" w14:textId="3CDC9C50" w:rsidR="000344BB" w:rsidRPr="00287E11" w:rsidRDefault="00EC1210" w:rsidP="000344BB">
            <w:pPr>
              <w:jc w:val="center"/>
              <w:rPr>
                <w:sz w:val="22"/>
                <w:szCs w:val="22"/>
                <w:lang w:eastAsia="en-US"/>
              </w:rPr>
            </w:pPr>
            <w:r w:rsidRPr="00287E11">
              <w:rPr>
                <w:sz w:val="22"/>
                <w:szCs w:val="22"/>
                <w:lang w:eastAsia="en-US"/>
              </w:rPr>
              <w:t>0</w:t>
            </w:r>
          </w:p>
        </w:tc>
        <w:tc>
          <w:tcPr>
            <w:tcW w:w="982" w:type="dxa"/>
            <w:shd w:val="clear" w:color="auto" w:fill="auto"/>
            <w:vAlign w:val="center"/>
          </w:tcPr>
          <w:p w14:paraId="12407E27" w14:textId="187E2DD2" w:rsidR="000344BB" w:rsidRPr="00287E11" w:rsidRDefault="000344BB" w:rsidP="000344BB">
            <w:pPr>
              <w:jc w:val="center"/>
              <w:rPr>
                <w:sz w:val="22"/>
                <w:szCs w:val="22"/>
                <w:lang w:eastAsia="en-US"/>
              </w:rPr>
            </w:pPr>
            <w:r w:rsidRPr="00287E11">
              <w:rPr>
                <w:iCs/>
                <w:color w:val="414142"/>
                <w:sz w:val="22"/>
                <w:szCs w:val="22"/>
              </w:rPr>
              <w:t>0</w:t>
            </w:r>
          </w:p>
        </w:tc>
        <w:tc>
          <w:tcPr>
            <w:tcW w:w="861" w:type="dxa"/>
            <w:shd w:val="clear" w:color="auto" w:fill="auto"/>
            <w:vAlign w:val="center"/>
          </w:tcPr>
          <w:p w14:paraId="4F345829" w14:textId="3BB08298"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26270D5D" w14:textId="7D8EC89F"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433874EA" w14:textId="69B37FEF"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67E9FD76" w14:textId="263FDD8D"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auto"/>
            <w:vAlign w:val="center"/>
          </w:tcPr>
          <w:p w14:paraId="16AD8A83" w14:textId="7B232902"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6291D22E" w14:textId="77777777" w:rsidTr="000344BB">
        <w:trPr>
          <w:cantSplit/>
        </w:trPr>
        <w:tc>
          <w:tcPr>
            <w:tcW w:w="1982" w:type="dxa"/>
            <w:shd w:val="clear" w:color="auto" w:fill="auto"/>
            <w:hideMark/>
          </w:tcPr>
          <w:p w14:paraId="250B5ECC" w14:textId="24697AFC" w:rsidR="000344BB" w:rsidRPr="00287E11" w:rsidRDefault="000344BB" w:rsidP="000344BB">
            <w:pPr>
              <w:rPr>
                <w:sz w:val="22"/>
                <w:szCs w:val="22"/>
                <w:lang w:eastAsia="en-US"/>
              </w:rPr>
            </w:pPr>
            <w:r w:rsidRPr="00287E11">
              <w:rPr>
                <w:iCs/>
                <w:color w:val="414142"/>
                <w:sz w:val="22"/>
                <w:szCs w:val="22"/>
              </w:rPr>
              <w:t>3.1. valsts pamatbudžets</w:t>
            </w:r>
          </w:p>
        </w:tc>
        <w:tc>
          <w:tcPr>
            <w:tcW w:w="983" w:type="dxa"/>
            <w:shd w:val="clear" w:color="auto" w:fill="auto"/>
            <w:vAlign w:val="center"/>
          </w:tcPr>
          <w:p w14:paraId="40408F40" w14:textId="2D05C47E" w:rsidR="000344BB" w:rsidRPr="00287E11" w:rsidRDefault="00EC1210" w:rsidP="000344BB">
            <w:pPr>
              <w:jc w:val="center"/>
              <w:rPr>
                <w:sz w:val="22"/>
                <w:szCs w:val="22"/>
                <w:lang w:eastAsia="en-US"/>
              </w:rPr>
            </w:pPr>
            <w:r w:rsidRPr="00287E11">
              <w:rPr>
                <w:iCs/>
                <w:color w:val="414142"/>
                <w:sz w:val="22"/>
                <w:szCs w:val="22"/>
              </w:rPr>
              <w:t>0</w:t>
            </w:r>
          </w:p>
        </w:tc>
        <w:tc>
          <w:tcPr>
            <w:tcW w:w="982" w:type="dxa"/>
            <w:shd w:val="clear" w:color="auto" w:fill="auto"/>
            <w:vAlign w:val="center"/>
          </w:tcPr>
          <w:p w14:paraId="07C46D9C" w14:textId="77F80571" w:rsidR="000344BB" w:rsidRPr="00287E11" w:rsidRDefault="000344BB" w:rsidP="000344BB">
            <w:pPr>
              <w:jc w:val="center"/>
              <w:rPr>
                <w:sz w:val="22"/>
                <w:szCs w:val="22"/>
                <w:lang w:eastAsia="en-US"/>
              </w:rPr>
            </w:pPr>
            <w:r w:rsidRPr="00287E11">
              <w:rPr>
                <w:iCs/>
                <w:color w:val="414142"/>
                <w:sz w:val="22"/>
                <w:szCs w:val="22"/>
              </w:rPr>
              <w:t>0</w:t>
            </w:r>
          </w:p>
        </w:tc>
        <w:tc>
          <w:tcPr>
            <w:tcW w:w="861" w:type="dxa"/>
            <w:shd w:val="clear" w:color="auto" w:fill="auto"/>
            <w:vAlign w:val="center"/>
          </w:tcPr>
          <w:p w14:paraId="15ADA79B" w14:textId="00F5AEE0"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4203A60C" w14:textId="6C426D5C"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2105F1CE" w14:textId="4B6A6626"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7C1A1E56" w14:textId="4BDD8B42"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auto"/>
            <w:vAlign w:val="center"/>
          </w:tcPr>
          <w:p w14:paraId="110AB36B" w14:textId="0D343972"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4FDAB543" w14:textId="77777777" w:rsidTr="000344BB">
        <w:trPr>
          <w:cantSplit/>
        </w:trPr>
        <w:tc>
          <w:tcPr>
            <w:tcW w:w="1982" w:type="dxa"/>
            <w:shd w:val="clear" w:color="auto" w:fill="auto"/>
            <w:hideMark/>
          </w:tcPr>
          <w:p w14:paraId="0F392567" w14:textId="574CFCE4" w:rsidR="000344BB" w:rsidRPr="00287E11" w:rsidRDefault="000344BB" w:rsidP="000344BB">
            <w:pPr>
              <w:rPr>
                <w:sz w:val="22"/>
                <w:szCs w:val="22"/>
                <w:lang w:eastAsia="en-US"/>
              </w:rPr>
            </w:pPr>
            <w:r w:rsidRPr="00287E11">
              <w:rPr>
                <w:iCs/>
                <w:color w:val="414142"/>
                <w:sz w:val="22"/>
                <w:szCs w:val="22"/>
              </w:rPr>
              <w:t>3.2. speciālais budžets</w:t>
            </w:r>
          </w:p>
        </w:tc>
        <w:tc>
          <w:tcPr>
            <w:tcW w:w="983" w:type="dxa"/>
            <w:shd w:val="clear" w:color="auto" w:fill="auto"/>
            <w:vAlign w:val="center"/>
          </w:tcPr>
          <w:p w14:paraId="1E5C891B" w14:textId="3F8E9A8F" w:rsidR="000344BB" w:rsidRPr="00287E11" w:rsidRDefault="000344BB" w:rsidP="000344BB">
            <w:pPr>
              <w:jc w:val="center"/>
              <w:rPr>
                <w:sz w:val="22"/>
                <w:szCs w:val="22"/>
                <w:lang w:eastAsia="en-US"/>
              </w:rPr>
            </w:pPr>
            <w:r w:rsidRPr="00287E11">
              <w:rPr>
                <w:iCs/>
                <w:color w:val="414142"/>
                <w:sz w:val="22"/>
                <w:szCs w:val="22"/>
              </w:rPr>
              <w:t>0</w:t>
            </w:r>
          </w:p>
        </w:tc>
        <w:tc>
          <w:tcPr>
            <w:tcW w:w="982" w:type="dxa"/>
            <w:shd w:val="clear" w:color="auto" w:fill="auto"/>
            <w:vAlign w:val="center"/>
          </w:tcPr>
          <w:p w14:paraId="5F049C7C" w14:textId="5CCC30B8" w:rsidR="000344BB" w:rsidRPr="00287E11" w:rsidRDefault="000344BB" w:rsidP="000344BB">
            <w:pPr>
              <w:jc w:val="center"/>
              <w:rPr>
                <w:sz w:val="22"/>
                <w:szCs w:val="22"/>
                <w:lang w:eastAsia="en-US"/>
              </w:rPr>
            </w:pPr>
            <w:r w:rsidRPr="00287E11">
              <w:rPr>
                <w:iCs/>
                <w:color w:val="414142"/>
                <w:sz w:val="22"/>
                <w:szCs w:val="22"/>
              </w:rPr>
              <w:t>0</w:t>
            </w:r>
          </w:p>
        </w:tc>
        <w:tc>
          <w:tcPr>
            <w:tcW w:w="861" w:type="dxa"/>
            <w:shd w:val="clear" w:color="auto" w:fill="auto"/>
            <w:vAlign w:val="center"/>
          </w:tcPr>
          <w:p w14:paraId="4EF42C6B" w14:textId="2075FBB5"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0858E9E1" w14:textId="694601B4"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56110A85" w14:textId="3DBC4403"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66CD697B" w14:textId="7A89F6F6"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auto"/>
            <w:vAlign w:val="center"/>
          </w:tcPr>
          <w:p w14:paraId="7154735D" w14:textId="19D42D56"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3F6F8747" w14:textId="77777777" w:rsidTr="000344BB">
        <w:trPr>
          <w:cantSplit/>
        </w:trPr>
        <w:tc>
          <w:tcPr>
            <w:tcW w:w="1982" w:type="dxa"/>
            <w:shd w:val="clear" w:color="auto" w:fill="auto"/>
            <w:hideMark/>
          </w:tcPr>
          <w:p w14:paraId="1468BC8F" w14:textId="41206527" w:rsidR="000344BB" w:rsidRPr="00287E11" w:rsidRDefault="000344BB" w:rsidP="000344BB">
            <w:pPr>
              <w:rPr>
                <w:sz w:val="22"/>
                <w:szCs w:val="22"/>
                <w:lang w:eastAsia="en-US"/>
              </w:rPr>
            </w:pPr>
            <w:r w:rsidRPr="00287E11">
              <w:rPr>
                <w:iCs/>
                <w:color w:val="414142"/>
                <w:sz w:val="22"/>
                <w:szCs w:val="22"/>
              </w:rPr>
              <w:t>3.3. pašvaldību budžets</w:t>
            </w:r>
          </w:p>
        </w:tc>
        <w:tc>
          <w:tcPr>
            <w:tcW w:w="983" w:type="dxa"/>
            <w:shd w:val="clear" w:color="auto" w:fill="auto"/>
            <w:vAlign w:val="center"/>
          </w:tcPr>
          <w:p w14:paraId="11167F09" w14:textId="12D558D2" w:rsidR="000344BB" w:rsidRPr="00287E11" w:rsidRDefault="000344BB" w:rsidP="000344BB">
            <w:pPr>
              <w:jc w:val="center"/>
              <w:rPr>
                <w:sz w:val="22"/>
                <w:szCs w:val="22"/>
                <w:lang w:eastAsia="en-US"/>
              </w:rPr>
            </w:pPr>
            <w:r w:rsidRPr="00287E11">
              <w:rPr>
                <w:iCs/>
                <w:color w:val="414142"/>
                <w:sz w:val="22"/>
                <w:szCs w:val="22"/>
              </w:rPr>
              <w:t>0</w:t>
            </w:r>
          </w:p>
        </w:tc>
        <w:tc>
          <w:tcPr>
            <w:tcW w:w="982" w:type="dxa"/>
            <w:shd w:val="clear" w:color="auto" w:fill="auto"/>
            <w:vAlign w:val="center"/>
          </w:tcPr>
          <w:p w14:paraId="271441E1" w14:textId="1DBD26FD" w:rsidR="000344BB" w:rsidRPr="00287E11" w:rsidRDefault="000344BB" w:rsidP="000344BB">
            <w:pPr>
              <w:jc w:val="center"/>
              <w:rPr>
                <w:sz w:val="22"/>
                <w:szCs w:val="22"/>
                <w:lang w:eastAsia="en-US"/>
              </w:rPr>
            </w:pPr>
            <w:r w:rsidRPr="00287E11">
              <w:rPr>
                <w:iCs/>
                <w:color w:val="414142"/>
                <w:sz w:val="22"/>
                <w:szCs w:val="22"/>
              </w:rPr>
              <w:t>0</w:t>
            </w:r>
          </w:p>
        </w:tc>
        <w:tc>
          <w:tcPr>
            <w:tcW w:w="861" w:type="dxa"/>
            <w:shd w:val="clear" w:color="auto" w:fill="auto"/>
            <w:vAlign w:val="center"/>
          </w:tcPr>
          <w:p w14:paraId="4F3024C3" w14:textId="7C8D8250"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04FF2662" w14:textId="5BCD1F10"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4B703366" w14:textId="672D8725"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2A70B9EE" w14:textId="58A68A94"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auto"/>
            <w:vAlign w:val="center"/>
          </w:tcPr>
          <w:p w14:paraId="4199AC30" w14:textId="081F3E70"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691194CA" w14:textId="77777777" w:rsidTr="000344BB">
        <w:trPr>
          <w:cantSplit/>
        </w:trPr>
        <w:tc>
          <w:tcPr>
            <w:tcW w:w="1982" w:type="dxa"/>
            <w:shd w:val="clear" w:color="auto" w:fill="auto"/>
            <w:hideMark/>
          </w:tcPr>
          <w:p w14:paraId="34A58077" w14:textId="0A1FA42E" w:rsidR="000344BB" w:rsidRPr="00287E11" w:rsidRDefault="000344BB" w:rsidP="000344BB">
            <w:pPr>
              <w:rPr>
                <w:sz w:val="22"/>
                <w:szCs w:val="22"/>
                <w:lang w:eastAsia="en-US"/>
              </w:rPr>
            </w:pPr>
            <w:r w:rsidRPr="00287E11">
              <w:rPr>
                <w:iCs/>
                <w:color w:val="414142"/>
                <w:sz w:val="22"/>
                <w:szCs w:val="22"/>
              </w:rPr>
              <w:t>4. Finanšu līdzekļi papildu izdevumu finansēšanai (kompensējošu izdevumu samazinājumu norāda ar "+" zīmi)</w:t>
            </w:r>
          </w:p>
        </w:tc>
        <w:tc>
          <w:tcPr>
            <w:tcW w:w="983" w:type="dxa"/>
            <w:shd w:val="clear" w:color="auto" w:fill="auto"/>
            <w:vAlign w:val="center"/>
          </w:tcPr>
          <w:p w14:paraId="4C3E2E9F" w14:textId="7AEA3BFE" w:rsidR="000344BB" w:rsidRPr="00287E11" w:rsidRDefault="000344BB" w:rsidP="000344BB">
            <w:pPr>
              <w:jc w:val="center"/>
              <w:rPr>
                <w:sz w:val="22"/>
                <w:szCs w:val="22"/>
                <w:lang w:eastAsia="en-US"/>
              </w:rPr>
            </w:pPr>
            <w:r w:rsidRPr="00287E11">
              <w:rPr>
                <w:iCs/>
                <w:color w:val="414142"/>
                <w:sz w:val="22"/>
                <w:szCs w:val="22"/>
              </w:rPr>
              <w:t>X</w:t>
            </w:r>
          </w:p>
        </w:tc>
        <w:tc>
          <w:tcPr>
            <w:tcW w:w="982" w:type="dxa"/>
            <w:shd w:val="clear" w:color="auto" w:fill="auto"/>
            <w:vAlign w:val="center"/>
          </w:tcPr>
          <w:p w14:paraId="088F57FE" w14:textId="070C83D3" w:rsidR="000344BB" w:rsidRPr="00287E11" w:rsidRDefault="000344BB" w:rsidP="000344BB">
            <w:pPr>
              <w:jc w:val="center"/>
              <w:rPr>
                <w:sz w:val="22"/>
                <w:szCs w:val="22"/>
                <w:lang w:eastAsia="en-US"/>
              </w:rPr>
            </w:pPr>
            <w:r w:rsidRPr="00287E11">
              <w:rPr>
                <w:iCs/>
                <w:color w:val="414142"/>
                <w:sz w:val="22"/>
                <w:szCs w:val="22"/>
              </w:rPr>
              <w:t>0</w:t>
            </w:r>
          </w:p>
        </w:tc>
        <w:tc>
          <w:tcPr>
            <w:tcW w:w="861" w:type="dxa"/>
            <w:shd w:val="clear" w:color="auto" w:fill="auto"/>
            <w:vAlign w:val="center"/>
          </w:tcPr>
          <w:p w14:paraId="7E2F50A9" w14:textId="0629F592" w:rsidR="000344BB" w:rsidRPr="00287E11" w:rsidRDefault="000344BB" w:rsidP="000344BB">
            <w:pPr>
              <w:jc w:val="center"/>
              <w:rPr>
                <w:sz w:val="22"/>
                <w:szCs w:val="22"/>
                <w:lang w:eastAsia="en-US"/>
              </w:rPr>
            </w:pPr>
            <w:r w:rsidRPr="00287E11">
              <w:rPr>
                <w:iCs/>
                <w:color w:val="414142"/>
                <w:sz w:val="22"/>
                <w:szCs w:val="22"/>
              </w:rPr>
              <w:t>X</w:t>
            </w:r>
          </w:p>
        </w:tc>
        <w:tc>
          <w:tcPr>
            <w:tcW w:w="860" w:type="dxa"/>
            <w:shd w:val="clear" w:color="auto" w:fill="auto"/>
            <w:vAlign w:val="center"/>
          </w:tcPr>
          <w:p w14:paraId="783655BB" w14:textId="12BE9332" w:rsidR="000344BB" w:rsidRPr="00287E11" w:rsidRDefault="000344BB" w:rsidP="000344BB">
            <w:pPr>
              <w:jc w:val="center"/>
              <w:rPr>
                <w:sz w:val="22"/>
                <w:szCs w:val="22"/>
                <w:lang w:eastAsia="en-US"/>
              </w:rPr>
            </w:pPr>
            <w:r w:rsidRPr="00287E11">
              <w:rPr>
                <w:iCs/>
                <w:color w:val="414142"/>
                <w:sz w:val="22"/>
                <w:szCs w:val="22"/>
              </w:rPr>
              <w:t>0</w:t>
            </w:r>
          </w:p>
        </w:tc>
        <w:tc>
          <w:tcPr>
            <w:tcW w:w="860" w:type="dxa"/>
            <w:shd w:val="clear" w:color="auto" w:fill="auto"/>
            <w:vAlign w:val="center"/>
          </w:tcPr>
          <w:p w14:paraId="5783EE54" w14:textId="34219EA3" w:rsidR="000344BB" w:rsidRPr="00287E11" w:rsidRDefault="000344BB" w:rsidP="000344BB">
            <w:pPr>
              <w:jc w:val="center"/>
              <w:rPr>
                <w:sz w:val="22"/>
                <w:szCs w:val="22"/>
                <w:lang w:eastAsia="en-US"/>
              </w:rPr>
            </w:pPr>
            <w:r w:rsidRPr="00287E11">
              <w:rPr>
                <w:iCs/>
                <w:color w:val="414142"/>
                <w:sz w:val="22"/>
                <w:szCs w:val="22"/>
              </w:rPr>
              <w:t>X</w:t>
            </w:r>
          </w:p>
        </w:tc>
        <w:tc>
          <w:tcPr>
            <w:tcW w:w="860" w:type="dxa"/>
            <w:shd w:val="clear" w:color="auto" w:fill="auto"/>
            <w:vAlign w:val="center"/>
          </w:tcPr>
          <w:p w14:paraId="7B5AEF0B" w14:textId="08CF92E8"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auto"/>
            <w:vAlign w:val="center"/>
          </w:tcPr>
          <w:p w14:paraId="6A9173BA" w14:textId="1E4390E5"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2DB4A142" w14:textId="77777777" w:rsidTr="000344BB">
        <w:trPr>
          <w:cantSplit/>
        </w:trPr>
        <w:tc>
          <w:tcPr>
            <w:tcW w:w="1982" w:type="dxa"/>
            <w:shd w:val="clear" w:color="auto" w:fill="auto"/>
            <w:hideMark/>
          </w:tcPr>
          <w:p w14:paraId="6285EAA3" w14:textId="0CEF361D" w:rsidR="000344BB" w:rsidRPr="00287E11" w:rsidRDefault="000344BB" w:rsidP="000344BB">
            <w:pPr>
              <w:rPr>
                <w:sz w:val="22"/>
                <w:szCs w:val="22"/>
                <w:lang w:eastAsia="en-US"/>
              </w:rPr>
            </w:pPr>
            <w:r w:rsidRPr="00287E11">
              <w:rPr>
                <w:iCs/>
                <w:color w:val="414142"/>
                <w:sz w:val="22"/>
                <w:szCs w:val="22"/>
              </w:rPr>
              <w:lastRenderedPageBreak/>
              <w:t>5. Precizēta finansiālā ietekme</w:t>
            </w:r>
          </w:p>
        </w:tc>
        <w:tc>
          <w:tcPr>
            <w:tcW w:w="983" w:type="dxa"/>
            <w:vMerge w:val="restart"/>
            <w:shd w:val="clear" w:color="auto" w:fill="auto"/>
            <w:vAlign w:val="center"/>
            <w:hideMark/>
          </w:tcPr>
          <w:p w14:paraId="4FFB9D59" w14:textId="77777777" w:rsidR="000344BB" w:rsidRPr="00287E11" w:rsidRDefault="000344BB" w:rsidP="000344BB">
            <w:pPr>
              <w:jc w:val="center"/>
              <w:rPr>
                <w:iCs/>
                <w:color w:val="414142"/>
                <w:sz w:val="22"/>
                <w:szCs w:val="22"/>
              </w:rPr>
            </w:pPr>
          </w:p>
          <w:p w14:paraId="02D03C9F" w14:textId="77777777" w:rsidR="000344BB" w:rsidRPr="00287E11" w:rsidRDefault="000344BB" w:rsidP="000344BB">
            <w:pPr>
              <w:jc w:val="center"/>
              <w:rPr>
                <w:iCs/>
                <w:color w:val="414142"/>
                <w:sz w:val="22"/>
                <w:szCs w:val="22"/>
              </w:rPr>
            </w:pPr>
          </w:p>
          <w:p w14:paraId="09B258B6" w14:textId="77777777" w:rsidR="000344BB" w:rsidRPr="00287E11" w:rsidRDefault="000344BB" w:rsidP="000344BB">
            <w:pPr>
              <w:jc w:val="center"/>
              <w:rPr>
                <w:iCs/>
                <w:color w:val="414142"/>
                <w:sz w:val="22"/>
                <w:szCs w:val="22"/>
              </w:rPr>
            </w:pPr>
          </w:p>
          <w:p w14:paraId="1A01F365" w14:textId="77777777" w:rsidR="000344BB" w:rsidRPr="00287E11" w:rsidRDefault="000344BB" w:rsidP="000344BB">
            <w:pPr>
              <w:jc w:val="center"/>
              <w:rPr>
                <w:iCs/>
                <w:color w:val="414142"/>
                <w:sz w:val="22"/>
                <w:szCs w:val="22"/>
              </w:rPr>
            </w:pPr>
          </w:p>
          <w:p w14:paraId="57E339C7" w14:textId="77777777" w:rsidR="000344BB" w:rsidRPr="00287E11" w:rsidRDefault="000344BB" w:rsidP="000344BB">
            <w:pPr>
              <w:jc w:val="center"/>
              <w:rPr>
                <w:iCs/>
                <w:color w:val="414142"/>
                <w:sz w:val="22"/>
                <w:szCs w:val="22"/>
              </w:rPr>
            </w:pPr>
          </w:p>
          <w:p w14:paraId="46876693" w14:textId="432C7EEB" w:rsidR="000344BB" w:rsidRPr="00287E11" w:rsidRDefault="000344BB" w:rsidP="000344BB">
            <w:pPr>
              <w:jc w:val="center"/>
              <w:rPr>
                <w:sz w:val="22"/>
                <w:szCs w:val="22"/>
                <w:lang w:eastAsia="en-US"/>
              </w:rPr>
            </w:pPr>
            <w:r w:rsidRPr="00287E11">
              <w:rPr>
                <w:iCs/>
                <w:color w:val="414142"/>
                <w:sz w:val="22"/>
                <w:szCs w:val="22"/>
              </w:rPr>
              <w:t>X</w:t>
            </w:r>
          </w:p>
        </w:tc>
        <w:tc>
          <w:tcPr>
            <w:tcW w:w="982" w:type="dxa"/>
            <w:shd w:val="clear" w:color="auto" w:fill="auto"/>
            <w:vAlign w:val="center"/>
            <w:hideMark/>
          </w:tcPr>
          <w:p w14:paraId="5376FCCD" w14:textId="1D0DC3A8" w:rsidR="000344BB" w:rsidRPr="00287E11" w:rsidRDefault="000344BB" w:rsidP="000344BB">
            <w:pPr>
              <w:jc w:val="center"/>
              <w:rPr>
                <w:sz w:val="22"/>
                <w:szCs w:val="22"/>
                <w:lang w:eastAsia="en-US"/>
              </w:rPr>
            </w:pPr>
            <w:r w:rsidRPr="00287E11">
              <w:rPr>
                <w:iCs/>
                <w:color w:val="414142"/>
                <w:sz w:val="22"/>
                <w:szCs w:val="22"/>
              </w:rPr>
              <w:t>0</w:t>
            </w:r>
          </w:p>
        </w:tc>
        <w:tc>
          <w:tcPr>
            <w:tcW w:w="861" w:type="dxa"/>
            <w:vMerge w:val="restart"/>
            <w:shd w:val="clear" w:color="auto" w:fill="auto"/>
            <w:vAlign w:val="center"/>
            <w:hideMark/>
          </w:tcPr>
          <w:p w14:paraId="3417C60B" w14:textId="77777777" w:rsidR="000344BB" w:rsidRPr="00287E11" w:rsidRDefault="000344BB" w:rsidP="000344BB">
            <w:pPr>
              <w:jc w:val="center"/>
              <w:rPr>
                <w:iCs/>
                <w:color w:val="414142"/>
                <w:sz w:val="22"/>
                <w:szCs w:val="22"/>
              </w:rPr>
            </w:pPr>
          </w:p>
          <w:p w14:paraId="0F156ED0" w14:textId="77777777" w:rsidR="000344BB" w:rsidRPr="00287E11" w:rsidRDefault="000344BB" w:rsidP="000344BB">
            <w:pPr>
              <w:jc w:val="center"/>
              <w:rPr>
                <w:iCs/>
                <w:color w:val="414142"/>
                <w:sz w:val="22"/>
                <w:szCs w:val="22"/>
              </w:rPr>
            </w:pPr>
          </w:p>
          <w:p w14:paraId="4448DABC" w14:textId="77777777" w:rsidR="000344BB" w:rsidRPr="00287E11" w:rsidRDefault="000344BB" w:rsidP="000344BB">
            <w:pPr>
              <w:jc w:val="center"/>
              <w:rPr>
                <w:iCs/>
                <w:color w:val="414142"/>
                <w:sz w:val="22"/>
                <w:szCs w:val="22"/>
              </w:rPr>
            </w:pPr>
          </w:p>
          <w:p w14:paraId="39FC287A" w14:textId="77777777" w:rsidR="000344BB" w:rsidRPr="00287E11" w:rsidRDefault="000344BB" w:rsidP="000344BB">
            <w:pPr>
              <w:jc w:val="center"/>
              <w:rPr>
                <w:iCs/>
                <w:color w:val="414142"/>
                <w:sz w:val="22"/>
                <w:szCs w:val="22"/>
              </w:rPr>
            </w:pPr>
          </w:p>
          <w:p w14:paraId="19A9A36B" w14:textId="77777777" w:rsidR="000344BB" w:rsidRPr="00287E11" w:rsidRDefault="000344BB" w:rsidP="000344BB">
            <w:pPr>
              <w:jc w:val="center"/>
              <w:rPr>
                <w:iCs/>
                <w:color w:val="414142"/>
                <w:sz w:val="22"/>
                <w:szCs w:val="22"/>
              </w:rPr>
            </w:pPr>
          </w:p>
          <w:p w14:paraId="16CD37CA" w14:textId="1BEF0435" w:rsidR="000344BB" w:rsidRPr="00287E11" w:rsidRDefault="000344BB" w:rsidP="000344BB">
            <w:pPr>
              <w:jc w:val="center"/>
              <w:rPr>
                <w:sz w:val="22"/>
                <w:szCs w:val="22"/>
                <w:lang w:eastAsia="en-US"/>
              </w:rPr>
            </w:pPr>
            <w:r w:rsidRPr="00287E11">
              <w:rPr>
                <w:iCs/>
                <w:color w:val="414142"/>
                <w:sz w:val="22"/>
                <w:szCs w:val="22"/>
              </w:rPr>
              <w:t>X</w:t>
            </w:r>
          </w:p>
        </w:tc>
        <w:tc>
          <w:tcPr>
            <w:tcW w:w="860" w:type="dxa"/>
            <w:shd w:val="clear" w:color="auto" w:fill="auto"/>
            <w:vAlign w:val="center"/>
            <w:hideMark/>
          </w:tcPr>
          <w:p w14:paraId="59E208C3" w14:textId="3B8131E8" w:rsidR="000344BB" w:rsidRPr="00287E11" w:rsidRDefault="000344BB" w:rsidP="000344BB">
            <w:pPr>
              <w:jc w:val="center"/>
              <w:rPr>
                <w:sz w:val="22"/>
                <w:szCs w:val="22"/>
                <w:lang w:eastAsia="en-US"/>
              </w:rPr>
            </w:pPr>
            <w:r w:rsidRPr="00287E11">
              <w:rPr>
                <w:iCs/>
                <w:color w:val="414142"/>
                <w:sz w:val="22"/>
                <w:szCs w:val="22"/>
              </w:rPr>
              <w:t>0</w:t>
            </w:r>
          </w:p>
        </w:tc>
        <w:tc>
          <w:tcPr>
            <w:tcW w:w="860" w:type="dxa"/>
            <w:vMerge w:val="restart"/>
            <w:shd w:val="clear" w:color="auto" w:fill="auto"/>
            <w:vAlign w:val="center"/>
            <w:hideMark/>
          </w:tcPr>
          <w:p w14:paraId="66646426" w14:textId="77777777" w:rsidR="000344BB" w:rsidRPr="00287E11" w:rsidRDefault="000344BB" w:rsidP="000344BB">
            <w:pPr>
              <w:jc w:val="center"/>
              <w:rPr>
                <w:iCs/>
                <w:color w:val="414142"/>
                <w:sz w:val="22"/>
                <w:szCs w:val="22"/>
              </w:rPr>
            </w:pPr>
          </w:p>
          <w:p w14:paraId="346301F6" w14:textId="77777777" w:rsidR="000344BB" w:rsidRPr="00287E11" w:rsidRDefault="000344BB" w:rsidP="000344BB">
            <w:pPr>
              <w:jc w:val="center"/>
              <w:rPr>
                <w:iCs/>
                <w:color w:val="414142"/>
                <w:sz w:val="22"/>
                <w:szCs w:val="22"/>
              </w:rPr>
            </w:pPr>
          </w:p>
          <w:p w14:paraId="554F1362" w14:textId="77777777" w:rsidR="000344BB" w:rsidRPr="00287E11" w:rsidRDefault="000344BB" w:rsidP="000344BB">
            <w:pPr>
              <w:jc w:val="center"/>
              <w:rPr>
                <w:iCs/>
                <w:color w:val="414142"/>
                <w:sz w:val="22"/>
                <w:szCs w:val="22"/>
              </w:rPr>
            </w:pPr>
          </w:p>
          <w:p w14:paraId="55A76859" w14:textId="77777777" w:rsidR="000344BB" w:rsidRPr="00287E11" w:rsidRDefault="000344BB" w:rsidP="000344BB">
            <w:pPr>
              <w:jc w:val="center"/>
              <w:rPr>
                <w:iCs/>
                <w:color w:val="414142"/>
                <w:sz w:val="22"/>
                <w:szCs w:val="22"/>
              </w:rPr>
            </w:pPr>
          </w:p>
          <w:p w14:paraId="125AFEB1" w14:textId="77777777" w:rsidR="000344BB" w:rsidRPr="00287E11" w:rsidRDefault="000344BB" w:rsidP="000344BB">
            <w:pPr>
              <w:jc w:val="center"/>
              <w:rPr>
                <w:iCs/>
                <w:color w:val="414142"/>
                <w:sz w:val="22"/>
                <w:szCs w:val="22"/>
              </w:rPr>
            </w:pPr>
          </w:p>
          <w:p w14:paraId="4F770C83" w14:textId="47E99668" w:rsidR="000344BB" w:rsidRPr="00287E11" w:rsidRDefault="000344BB" w:rsidP="000344BB">
            <w:pPr>
              <w:jc w:val="center"/>
              <w:rPr>
                <w:sz w:val="22"/>
                <w:szCs w:val="22"/>
                <w:lang w:eastAsia="en-US"/>
              </w:rPr>
            </w:pPr>
            <w:r w:rsidRPr="00287E11">
              <w:rPr>
                <w:iCs/>
                <w:color w:val="414142"/>
                <w:sz w:val="22"/>
                <w:szCs w:val="22"/>
              </w:rPr>
              <w:t>X</w:t>
            </w:r>
          </w:p>
        </w:tc>
        <w:tc>
          <w:tcPr>
            <w:tcW w:w="860" w:type="dxa"/>
            <w:shd w:val="clear" w:color="auto" w:fill="auto"/>
            <w:vAlign w:val="center"/>
            <w:hideMark/>
          </w:tcPr>
          <w:p w14:paraId="2527D81B" w14:textId="673BDFE8" w:rsidR="000344BB" w:rsidRPr="00287E11" w:rsidRDefault="000344BB" w:rsidP="000344BB">
            <w:pPr>
              <w:jc w:val="center"/>
              <w:rPr>
                <w:sz w:val="22"/>
                <w:szCs w:val="22"/>
                <w:lang w:eastAsia="en-US"/>
              </w:rPr>
            </w:pPr>
            <w:r w:rsidRPr="00287E11">
              <w:rPr>
                <w:iCs/>
                <w:color w:val="414142"/>
                <w:sz w:val="22"/>
                <w:szCs w:val="22"/>
              </w:rPr>
              <w:t>0</w:t>
            </w:r>
          </w:p>
        </w:tc>
        <w:tc>
          <w:tcPr>
            <w:tcW w:w="911" w:type="dxa"/>
            <w:shd w:val="clear" w:color="auto" w:fill="auto"/>
            <w:vAlign w:val="center"/>
            <w:hideMark/>
          </w:tcPr>
          <w:p w14:paraId="049A4779" w14:textId="7F09B619" w:rsidR="000344BB" w:rsidRPr="00287E11" w:rsidRDefault="000344BB" w:rsidP="000344BB">
            <w:pPr>
              <w:jc w:val="center"/>
              <w:rPr>
                <w:sz w:val="22"/>
                <w:szCs w:val="22"/>
                <w:lang w:eastAsia="en-US"/>
              </w:rPr>
            </w:pPr>
            <w:r w:rsidRPr="00287E11">
              <w:rPr>
                <w:iCs/>
                <w:color w:val="414142"/>
                <w:sz w:val="22"/>
                <w:szCs w:val="22"/>
              </w:rPr>
              <w:t>0</w:t>
            </w:r>
          </w:p>
        </w:tc>
      </w:tr>
      <w:tr w:rsidR="000344BB" w:rsidRPr="00287E11" w14:paraId="454DEACA" w14:textId="77777777" w:rsidTr="000344BB">
        <w:trPr>
          <w:cantSplit/>
        </w:trPr>
        <w:tc>
          <w:tcPr>
            <w:tcW w:w="1982" w:type="dxa"/>
            <w:shd w:val="clear" w:color="auto" w:fill="auto"/>
            <w:hideMark/>
          </w:tcPr>
          <w:p w14:paraId="059B3294" w14:textId="1E7CC2C0" w:rsidR="000344BB" w:rsidRPr="00287E11" w:rsidRDefault="000344BB" w:rsidP="000344BB">
            <w:pPr>
              <w:rPr>
                <w:sz w:val="22"/>
                <w:szCs w:val="22"/>
                <w:lang w:eastAsia="en-US"/>
              </w:rPr>
            </w:pPr>
            <w:r w:rsidRPr="00287E11">
              <w:rPr>
                <w:iCs/>
                <w:color w:val="414142"/>
                <w:sz w:val="22"/>
                <w:szCs w:val="22"/>
              </w:rPr>
              <w:t>5.1. valsts pamatbudžets</w:t>
            </w:r>
          </w:p>
        </w:tc>
        <w:tc>
          <w:tcPr>
            <w:tcW w:w="983" w:type="dxa"/>
            <w:vMerge/>
            <w:shd w:val="clear" w:color="auto" w:fill="auto"/>
            <w:vAlign w:val="center"/>
            <w:hideMark/>
          </w:tcPr>
          <w:p w14:paraId="2DF003D3" w14:textId="77777777" w:rsidR="000344BB" w:rsidRPr="00287E11" w:rsidRDefault="000344BB" w:rsidP="000344BB">
            <w:pPr>
              <w:jc w:val="center"/>
              <w:rPr>
                <w:sz w:val="22"/>
                <w:szCs w:val="22"/>
                <w:lang w:eastAsia="en-US"/>
              </w:rPr>
            </w:pPr>
          </w:p>
        </w:tc>
        <w:tc>
          <w:tcPr>
            <w:tcW w:w="982" w:type="dxa"/>
            <w:shd w:val="clear" w:color="auto" w:fill="auto"/>
            <w:vAlign w:val="center"/>
            <w:hideMark/>
          </w:tcPr>
          <w:p w14:paraId="6BCF87FF" w14:textId="334811B9" w:rsidR="000344BB" w:rsidRPr="00287E11" w:rsidRDefault="000344BB" w:rsidP="000344BB">
            <w:pPr>
              <w:jc w:val="center"/>
              <w:rPr>
                <w:sz w:val="22"/>
                <w:szCs w:val="22"/>
                <w:lang w:eastAsia="en-US"/>
              </w:rPr>
            </w:pPr>
            <w:r w:rsidRPr="00287E11">
              <w:rPr>
                <w:iCs/>
                <w:color w:val="414142"/>
                <w:sz w:val="22"/>
                <w:szCs w:val="22"/>
              </w:rPr>
              <w:t> 0</w:t>
            </w:r>
          </w:p>
        </w:tc>
        <w:tc>
          <w:tcPr>
            <w:tcW w:w="861" w:type="dxa"/>
            <w:vMerge/>
            <w:shd w:val="clear" w:color="auto" w:fill="auto"/>
            <w:vAlign w:val="center"/>
            <w:hideMark/>
          </w:tcPr>
          <w:p w14:paraId="13A13362" w14:textId="77777777" w:rsidR="000344BB" w:rsidRPr="00287E11" w:rsidRDefault="000344BB" w:rsidP="000344BB">
            <w:pPr>
              <w:jc w:val="center"/>
              <w:rPr>
                <w:sz w:val="22"/>
                <w:szCs w:val="22"/>
                <w:lang w:eastAsia="en-US"/>
              </w:rPr>
            </w:pPr>
          </w:p>
        </w:tc>
        <w:tc>
          <w:tcPr>
            <w:tcW w:w="860" w:type="dxa"/>
            <w:shd w:val="clear" w:color="auto" w:fill="auto"/>
            <w:vAlign w:val="center"/>
            <w:hideMark/>
          </w:tcPr>
          <w:p w14:paraId="2A3CDFE4" w14:textId="6EDCB51B" w:rsidR="000344BB" w:rsidRPr="00287E11" w:rsidRDefault="000344BB" w:rsidP="000344BB">
            <w:pPr>
              <w:jc w:val="center"/>
              <w:rPr>
                <w:sz w:val="22"/>
                <w:szCs w:val="22"/>
                <w:lang w:eastAsia="en-US"/>
              </w:rPr>
            </w:pPr>
            <w:r w:rsidRPr="00287E11">
              <w:rPr>
                <w:iCs/>
                <w:color w:val="414142"/>
                <w:sz w:val="22"/>
                <w:szCs w:val="22"/>
              </w:rPr>
              <w:t> 0</w:t>
            </w:r>
          </w:p>
        </w:tc>
        <w:tc>
          <w:tcPr>
            <w:tcW w:w="860" w:type="dxa"/>
            <w:vMerge/>
            <w:shd w:val="clear" w:color="auto" w:fill="auto"/>
            <w:vAlign w:val="center"/>
            <w:hideMark/>
          </w:tcPr>
          <w:p w14:paraId="7C65E486" w14:textId="77777777" w:rsidR="000344BB" w:rsidRPr="00287E11" w:rsidRDefault="000344BB" w:rsidP="000344BB">
            <w:pPr>
              <w:jc w:val="center"/>
              <w:rPr>
                <w:sz w:val="22"/>
                <w:szCs w:val="22"/>
                <w:lang w:eastAsia="en-US"/>
              </w:rPr>
            </w:pPr>
          </w:p>
        </w:tc>
        <w:tc>
          <w:tcPr>
            <w:tcW w:w="860" w:type="dxa"/>
            <w:shd w:val="clear" w:color="auto" w:fill="auto"/>
            <w:vAlign w:val="center"/>
            <w:hideMark/>
          </w:tcPr>
          <w:p w14:paraId="6BFCD972" w14:textId="241CB0EA" w:rsidR="000344BB" w:rsidRPr="00287E11" w:rsidRDefault="000344BB" w:rsidP="000344BB">
            <w:pPr>
              <w:jc w:val="center"/>
              <w:rPr>
                <w:sz w:val="22"/>
                <w:szCs w:val="22"/>
                <w:lang w:eastAsia="en-US"/>
              </w:rPr>
            </w:pPr>
            <w:r w:rsidRPr="00287E11">
              <w:rPr>
                <w:iCs/>
                <w:color w:val="414142"/>
                <w:sz w:val="22"/>
                <w:szCs w:val="22"/>
              </w:rPr>
              <w:t> 0</w:t>
            </w:r>
          </w:p>
        </w:tc>
        <w:tc>
          <w:tcPr>
            <w:tcW w:w="911" w:type="dxa"/>
            <w:shd w:val="clear" w:color="auto" w:fill="auto"/>
            <w:vAlign w:val="center"/>
            <w:hideMark/>
          </w:tcPr>
          <w:p w14:paraId="5E2ED27D" w14:textId="7BBBCE41" w:rsidR="000344BB" w:rsidRPr="00287E11" w:rsidRDefault="000344BB" w:rsidP="000344BB">
            <w:pPr>
              <w:jc w:val="center"/>
              <w:rPr>
                <w:sz w:val="22"/>
                <w:szCs w:val="22"/>
                <w:lang w:eastAsia="en-US"/>
              </w:rPr>
            </w:pPr>
            <w:r w:rsidRPr="00287E11">
              <w:rPr>
                <w:iCs/>
                <w:color w:val="414142"/>
                <w:sz w:val="22"/>
                <w:szCs w:val="22"/>
              </w:rPr>
              <w:t> 0</w:t>
            </w:r>
          </w:p>
        </w:tc>
      </w:tr>
      <w:tr w:rsidR="000344BB" w:rsidRPr="00287E11" w14:paraId="1BAB5824" w14:textId="77777777" w:rsidTr="000344BB">
        <w:trPr>
          <w:cantSplit/>
        </w:trPr>
        <w:tc>
          <w:tcPr>
            <w:tcW w:w="1982" w:type="dxa"/>
            <w:shd w:val="clear" w:color="auto" w:fill="auto"/>
            <w:hideMark/>
          </w:tcPr>
          <w:p w14:paraId="59351801" w14:textId="539718C5" w:rsidR="000344BB" w:rsidRPr="00287E11" w:rsidRDefault="000344BB" w:rsidP="000344BB">
            <w:pPr>
              <w:rPr>
                <w:sz w:val="22"/>
                <w:szCs w:val="22"/>
                <w:lang w:eastAsia="en-US"/>
              </w:rPr>
            </w:pPr>
            <w:r w:rsidRPr="00287E11">
              <w:rPr>
                <w:iCs/>
                <w:color w:val="414142"/>
                <w:sz w:val="22"/>
                <w:szCs w:val="22"/>
              </w:rPr>
              <w:t>5.2. speciālais budžets</w:t>
            </w:r>
          </w:p>
        </w:tc>
        <w:tc>
          <w:tcPr>
            <w:tcW w:w="983" w:type="dxa"/>
            <w:vMerge/>
            <w:shd w:val="clear" w:color="auto" w:fill="auto"/>
            <w:vAlign w:val="center"/>
            <w:hideMark/>
          </w:tcPr>
          <w:p w14:paraId="64E6C949" w14:textId="77777777" w:rsidR="000344BB" w:rsidRPr="00287E11" w:rsidRDefault="000344BB" w:rsidP="000344BB">
            <w:pPr>
              <w:jc w:val="center"/>
              <w:rPr>
                <w:sz w:val="22"/>
                <w:szCs w:val="22"/>
                <w:lang w:eastAsia="en-US"/>
              </w:rPr>
            </w:pPr>
          </w:p>
        </w:tc>
        <w:tc>
          <w:tcPr>
            <w:tcW w:w="982" w:type="dxa"/>
            <w:shd w:val="clear" w:color="auto" w:fill="auto"/>
            <w:vAlign w:val="center"/>
            <w:hideMark/>
          </w:tcPr>
          <w:p w14:paraId="04C4D715" w14:textId="669E2797" w:rsidR="000344BB" w:rsidRPr="00287E11" w:rsidRDefault="000344BB" w:rsidP="000344BB">
            <w:pPr>
              <w:jc w:val="center"/>
              <w:rPr>
                <w:sz w:val="22"/>
                <w:szCs w:val="22"/>
                <w:lang w:eastAsia="en-US"/>
              </w:rPr>
            </w:pPr>
            <w:r w:rsidRPr="00287E11">
              <w:rPr>
                <w:iCs/>
                <w:color w:val="414142"/>
                <w:sz w:val="22"/>
                <w:szCs w:val="22"/>
              </w:rPr>
              <w:t> 0</w:t>
            </w:r>
          </w:p>
        </w:tc>
        <w:tc>
          <w:tcPr>
            <w:tcW w:w="861" w:type="dxa"/>
            <w:vMerge/>
            <w:shd w:val="clear" w:color="auto" w:fill="auto"/>
            <w:vAlign w:val="center"/>
            <w:hideMark/>
          </w:tcPr>
          <w:p w14:paraId="0E7BE0C7" w14:textId="77777777" w:rsidR="000344BB" w:rsidRPr="00287E11" w:rsidRDefault="000344BB" w:rsidP="000344BB">
            <w:pPr>
              <w:jc w:val="center"/>
              <w:rPr>
                <w:sz w:val="22"/>
                <w:szCs w:val="22"/>
                <w:lang w:eastAsia="en-US"/>
              </w:rPr>
            </w:pPr>
          </w:p>
        </w:tc>
        <w:tc>
          <w:tcPr>
            <w:tcW w:w="860" w:type="dxa"/>
            <w:shd w:val="clear" w:color="auto" w:fill="auto"/>
            <w:vAlign w:val="center"/>
            <w:hideMark/>
          </w:tcPr>
          <w:p w14:paraId="416AE2D9" w14:textId="5C61A684" w:rsidR="000344BB" w:rsidRPr="00287E11" w:rsidRDefault="000344BB" w:rsidP="000344BB">
            <w:pPr>
              <w:jc w:val="center"/>
              <w:rPr>
                <w:sz w:val="22"/>
                <w:szCs w:val="22"/>
                <w:lang w:eastAsia="en-US"/>
              </w:rPr>
            </w:pPr>
            <w:r w:rsidRPr="00287E11">
              <w:rPr>
                <w:iCs/>
                <w:color w:val="414142"/>
                <w:sz w:val="22"/>
                <w:szCs w:val="22"/>
              </w:rPr>
              <w:t> 0</w:t>
            </w:r>
          </w:p>
        </w:tc>
        <w:tc>
          <w:tcPr>
            <w:tcW w:w="860" w:type="dxa"/>
            <w:vMerge/>
            <w:shd w:val="clear" w:color="auto" w:fill="auto"/>
            <w:vAlign w:val="center"/>
            <w:hideMark/>
          </w:tcPr>
          <w:p w14:paraId="3C8D6D48" w14:textId="77777777" w:rsidR="000344BB" w:rsidRPr="00287E11" w:rsidRDefault="000344BB" w:rsidP="000344BB">
            <w:pPr>
              <w:jc w:val="center"/>
              <w:rPr>
                <w:sz w:val="22"/>
                <w:szCs w:val="22"/>
                <w:lang w:eastAsia="en-US"/>
              </w:rPr>
            </w:pPr>
          </w:p>
        </w:tc>
        <w:tc>
          <w:tcPr>
            <w:tcW w:w="860" w:type="dxa"/>
            <w:shd w:val="clear" w:color="auto" w:fill="auto"/>
            <w:vAlign w:val="center"/>
            <w:hideMark/>
          </w:tcPr>
          <w:p w14:paraId="18A643D1" w14:textId="293E0DEA" w:rsidR="000344BB" w:rsidRPr="00287E11" w:rsidRDefault="000344BB" w:rsidP="000344BB">
            <w:pPr>
              <w:jc w:val="center"/>
              <w:rPr>
                <w:sz w:val="22"/>
                <w:szCs w:val="22"/>
                <w:lang w:eastAsia="en-US"/>
              </w:rPr>
            </w:pPr>
            <w:r w:rsidRPr="00287E11">
              <w:rPr>
                <w:iCs/>
                <w:color w:val="414142"/>
                <w:sz w:val="22"/>
                <w:szCs w:val="22"/>
              </w:rPr>
              <w:t> 0</w:t>
            </w:r>
          </w:p>
        </w:tc>
        <w:tc>
          <w:tcPr>
            <w:tcW w:w="911" w:type="dxa"/>
            <w:shd w:val="clear" w:color="auto" w:fill="auto"/>
            <w:vAlign w:val="center"/>
            <w:hideMark/>
          </w:tcPr>
          <w:p w14:paraId="3D84688A" w14:textId="4CA89C6E" w:rsidR="000344BB" w:rsidRPr="00287E11" w:rsidRDefault="000344BB" w:rsidP="000344BB">
            <w:pPr>
              <w:jc w:val="center"/>
              <w:rPr>
                <w:sz w:val="22"/>
                <w:szCs w:val="22"/>
                <w:lang w:eastAsia="en-US"/>
              </w:rPr>
            </w:pPr>
            <w:r w:rsidRPr="00287E11">
              <w:rPr>
                <w:iCs/>
                <w:color w:val="414142"/>
                <w:sz w:val="22"/>
                <w:szCs w:val="22"/>
              </w:rPr>
              <w:t> 0</w:t>
            </w:r>
          </w:p>
        </w:tc>
      </w:tr>
      <w:tr w:rsidR="000344BB" w:rsidRPr="00287E11" w14:paraId="084C28F4" w14:textId="77777777" w:rsidTr="000344BB">
        <w:trPr>
          <w:cantSplit/>
        </w:trPr>
        <w:tc>
          <w:tcPr>
            <w:tcW w:w="1982" w:type="dxa"/>
            <w:shd w:val="clear" w:color="auto" w:fill="auto"/>
            <w:hideMark/>
          </w:tcPr>
          <w:p w14:paraId="17612709" w14:textId="5DE07413" w:rsidR="000344BB" w:rsidRPr="00287E11" w:rsidRDefault="000344BB" w:rsidP="000344BB">
            <w:pPr>
              <w:rPr>
                <w:sz w:val="22"/>
                <w:szCs w:val="22"/>
                <w:lang w:eastAsia="en-US"/>
              </w:rPr>
            </w:pPr>
            <w:r w:rsidRPr="00287E11">
              <w:rPr>
                <w:iCs/>
                <w:color w:val="414142"/>
                <w:sz w:val="22"/>
                <w:szCs w:val="22"/>
              </w:rPr>
              <w:t>5.3. pašvaldību budžets</w:t>
            </w:r>
          </w:p>
        </w:tc>
        <w:tc>
          <w:tcPr>
            <w:tcW w:w="983" w:type="dxa"/>
            <w:vMerge/>
            <w:shd w:val="clear" w:color="auto" w:fill="auto"/>
            <w:vAlign w:val="center"/>
            <w:hideMark/>
          </w:tcPr>
          <w:p w14:paraId="05234277" w14:textId="77777777" w:rsidR="000344BB" w:rsidRPr="00287E11" w:rsidRDefault="000344BB" w:rsidP="000344BB">
            <w:pPr>
              <w:jc w:val="center"/>
              <w:rPr>
                <w:sz w:val="22"/>
                <w:szCs w:val="22"/>
                <w:lang w:eastAsia="en-US"/>
              </w:rPr>
            </w:pPr>
          </w:p>
        </w:tc>
        <w:tc>
          <w:tcPr>
            <w:tcW w:w="982" w:type="dxa"/>
            <w:shd w:val="clear" w:color="auto" w:fill="auto"/>
            <w:vAlign w:val="center"/>
            <w:hideMark/>
          </w:tcPr>
          <w:p w14:paraId="34B97991" w14:textId="06D1F2EB" w:rsidR="000344BB" w:rsidRPr="00287E11" w:rsidRDefault="000344BB" w:rsidP="000344BB">
            <w:pPr>
              <w:jc w:val="center"/>
              <w:rPr>
                <w:sz w:val="22"/>
                <w:szCs w:val="22"/>
                <w:lang w:eastAsia="en-US"/>
              </w:rPr>
            </w:pPr>
            <w:r w:rsidRPr="00287E11">
              <w:rPr>
                <w:iCs/>
                <w:color w:val="414142"/>
                <w:sz w:val="22"/>
                <w:szCs w:val="22"/>
              </w:rPr>
              <w:t> 0</w:t>
            </w:r>
          </w:p>
        </w:tc>
        <w:tc>
          <w:tcPr>
            <w:tcW w:w="861" w:type="dxa"/>
            <w:vMerge/>
            <w:shd w:val="clear" w:color="auto" w:fill="auto"/>
            <w:vAlign w:val="center"/>
            <w:hideMark/>
          </w:tcPr>
          <w:p w14:paraId="4A797B34" w14:textId="77777777" w:rsidR="000344BB" w:rsidRPr="00287E11" w:rsidRDefault="000344BB" w:rsidP="000344BB">
            <w:pPr>
              <w:jc w:val="center"/>
              <w:rPr>
                <w:sz w:val="22"/>
                <w:szCs w:val="22"/>
                <w:lang w:eastAsia="en-US"/>
              </w:rPr>
            </w:pPr>
          </w:p>
        </w:tc>
        <w:tc>
          <w:tcPr>
            <w:tcW w:w="860" w:type="dxa"/>
            <w:shd w:val="clear" w:color="auto" w:fill="auto"/>
            <w:vAlign w:val="center"/>
            <w:hideMark/>
          </w:tcPr>
          <w:p w14:paraId="31785754" w14:textId="3F60D812" w:rsidR="000344BB" w:rsidRPr="00287E11" w:rsidRDefault="000344BB" w:rsidP="000344BB">
            <w:pPr>
              <w:jc w:val="center"/>
              <w:rPr>
                <w:sz w:val="22"/>
                <w:szCs w:val="22"/>
                <w:lang w:eastAsia="en-US"/>
              </w:rPr>
            </w:pPr>
            <w:r w:rsidRPr="00287E11">
              <w:rPr>
                <w:iCs/>
                <w:color w:val="414142"/>
                <w:sz w:val="22"/>
                <w:szCs w:val="22"/>
              </w:rPr>
              <w:t> 0</w:t>
            </w:r>
          </w:p>
        </w:tc>
        <w:tc>
          <w:tcPr>
            <w:tcW w:w="860" w:type="dxa"/>
            <w:vMerge/>
            <w:shd w:val="clear" w:color="auto" w:fill="auto"/>
            <w:vAlign w:val="center"/>
            <w:hideMark/>
          </w:tcPr>
          <w:p w14:paraId="70BAF865" w14:textId="77777777" w:rsidR="000344BB" w:rsidRPr="00287E11" w:rsidRDefault="000344BB" w:rsidP="000344BB">
            <w:pPr>
              <w:jc w:val="center"/>
              <w:rPr>
                <w:sz w:val="22"/>
                <w:szCs w:val="22"/>
                <w:lang w:eastAsia="en-US"/>
              </w:rPr>
            </w:pPr>
          </w:p>
        </w:tc>
        <w:tc>
          <w:tcPr>
            <w:tcW w:w="860" w:type="dxa"/>
            <w:shd w:val="clear" w:color="auto" w:fill="auto"/>
            <w:vAlign w:val="center"/>
            <w:hideMark/>
          </w:tcPr>
          <w:p w14:paraId="4FD83473" w14:textId="014DF4F2" w:rsidR="000344BB" w:rsidRPr="00287E11" w:rsidRDefault="000344BB" w:rsidP="000344BB">
            <w:pPr>
              <w:jc w:val="center"/>
              <w:rPr>
                <w:sz w:val="22"/>
                <w:szCs w:val="22"/>
                <w:lang w:eastAsia="en-US"/>
              </w:rPr>
            </w:pPr>
            <w:r w:rsidRPr="00287E11">
              <w:rPr>
                <w:iCs/>
                <w:color w:val="414142"/>
                <w:sz w:val="22"/>
                <w:szCs w:val="22"/>
              </w:rPr>
              <w:t> 0</w:t>
            </w:r>
          </w:p>
        </w:tc>
        <w:tc>
          <w:tcPr>
            <w:tcW w:w="911" w:type="dxa"/>
            <w:shd w:val="clear" w:color="auto" w:fill="auto"/>
            <w:vAlign w:val="center"/>
            <w:hideMark/>
          </w:tcPr>
          <w:p w14:paraId="34610010" w14:textId="26BAA98E" w:rsidR="000344BB" w:rsidRPr="00287E11" w:rsidRDefault="000344BB" w:rsidP="000344BB">
            <w:pPr>
              <w:jc w:val="center"/>
              <w:rPr>
                <w:sz w:val="22"/>
                <w:szCs w:val="22"/>
                <w:lang w:eastAsia="en-US"/>
              </w:rPr>
            </w:pPr>
            <w:r w:rsidRPr="00287E11">
              <w:rPr>
                <w:iCs/>
                <w:color w:val="414142"/>
                <w:sz w:val="22"/>
                <w:szCs w:val="22"/>
              </w:rPr>
              <w:t> 0</w:t>
            </w:r>
          </w:p>
        </w:tc>
      </w:tr>
      <w:tr w:rsidR="00BD5588" w:rsidRPr="00287E11" w14:paraId="74B70492" w14:textId="77777777" w:rsidTr="000344BB">
        <w:trPr>
          <w:cantSplit/>
        </w:trPr>
        <w:tc>
          <w:tcPr>
            <w:tcW w:w="1982" w:type="dxa"/>
            <w:shd w:val="clear" w:color="auto" w:fill="auto"/>
            <w:hideMark/>
          </w:tcPr>
          <w:p w14:paraId="6CCBC286" w14:textId="77777777" w:rsidR="00BD5588" w:rsidRPr="00287E11" w:rsidRDefault="00BD5588" w:rsidP="005708CA">
            <w:pPr>
              <w:rPr>
                <w:sz w:val="22"/>
                <w:szCs w:val="22"/>
                <w:lang w:eastAsia="en-US"/>
              </w:rPr>
            </w:pPr>
            <w:r w:rsidRPr="00287E11">
              <w:rPr>
                <w:sz w:val="22"/>
                <w:szCs w:val="22"/>
                <w:lang w:eastAsia="en-US"/>
              </w:rPr>
              <w:t>6. Detalizēts ieņēmumu un izdevumu aprēķins (ja nepieciešams, detalizētu ieņēmumu un izdevumu aprēķinu var pievienot anotācijas pielikumā)</w:t>
            </w:r>
          </w:p>
        </w:tc>
        <w:tc>
          <w:tcPr>
            <w:tcW w:w="6317" w:type="dxa"/>
            <w:gridSpan w:val="7"/>
            <w:vMerge w:val="restart"/>
            <w:shd w:val="clear" w:color="auto" w:fill="auto"/>
            <w:vAlign w:val="center"/>
            <w:hideMark/>
          </w:tcPr>
          <w:p w14:paraId="5FF27D1F" w14:textId="77777777" w:rsidR="00BD5588" w:rsidRPr="00287E11" w:rsidRDefault="00BD5588" w:rsidP="005708CA">
            <w:pPr>
              <w:jc w:val="center"/>
              <w:rPr>
                <w:sz w:val="22"/>
                <w:szCs w:val="22"/>
                <w:lang w:eastAsia="en-US"/>
              </w:rPr>
            </w:pPr>
          </w:p>
        </w:tc>
      </w:tr>
      <w:tr w:rsidR="00BD5588" w:rsidRPr="00287E11" w14:paraId="6DCEE0E6" w14:textId="77777777" w:rsidTr="000344BB">
        <w:trPr>
          <w:cantSplit/>
        </w:trPr>
        <w:tc>
          <w:tcPr>
            <w:tcW w:w="1982" w:type="dxa"/>
            <w:shd w:val="clear" w:color="auto" w:fill="auto"/>
            <w:hideMark/>
          </w:tcPr>
          <w:p w14:paraId="2C374DFA" w14:textId="77777777" w:rsidR="00BD5588" w:rsidRPr="00287E11" w:rsidRDefault="00BD5588" w:rsidP="005708CA">
            <w:pPr>
              <w:rPr>
                <w:sz w:val="22"/>
                <w:szCs w:val="22"/>
                <w:lang w:eastAsia="en-US"/>
              </w:rPr>
            </w:pPr>
            <w:r w:rsidRPr="00287E11">
              <w:rPr>
                <w:sz w:val="22"/>
                <w:szCs w:val="22"/>
                <w:lang w:eastAsia="en-US"/>
              </w:rPr>
              <w:t>6.1. detalizēts ieņēmumu aprēķins</w:t>
            </w:r>
          </w:p>
        </w:tc>
        <w:tc>
          <w:tcPr>
            <w:tcW w:w="6317" w:type="dxa"/>
            <w:gridSpan w:val="7"/>
            <w:vMerge/>
            <w:shd w:val="clear" w:color="auto" w:fill="auto"/>
            <w:vAlign w:val="center"/>
            <w:hideMark/>
          </w:tcPr>
          <w:p w14:paraId="60B729E3" w14:textId="77777777" w:rsidR="00BD5588" w:rsidRPr="00287E11" w:rsidRDefault="00BD5588" w:rsidP="005708CA">
            <w:pPr>
              <w:jc w:val="center"/>
              <w:rPr>
                <w:sz w:val="22"/>
                <w:szCs w:val="22"/>
                <w:lang w:eastAsia="en-US"/>
              </w:rPr>
            </w:pPr>
          </w:p>
        </w:tc>
      </w:tr>
      <w:tr w:rsidR="00BD5588" w:rsidRPr="00287E11" w14:paraId="3BD89C16" w14:textId="77777777" w:rsidTr="000344BB">
        <w:trPr>
          <w:cantSplit/>
        </w:trPr>
        <w:tc>
          <w:tcPr>
            <w:tcW w:w="1982" w:type="dxa"/>
            <w:shd w:val="clear" w:color="auto" w:fill="auto"/>
            <w:hideMark/>
          </w:tcPr>
          <w:p w14:paraId="3496C5ED" w14:textId="77777777" w:rsidR="00BD5588" w:rsidRPr="00287E11" w:rsidRDefault="00BD5588" w:rsidP="005708CA">
            <w:pPr>
              <w:rPr>
                <w:sz w:val="22"/>
                <w:szCs w:val="22"/>
                <w:lang w:eastAsia="en-US"/>
              </w:rPr>
            </w:pPr>
            <w:r w:rsidRPr="00287E11">
              <w:rPr>
                <w:sz w:val="22"/>
                <w:szCs w:val="22"/>
                <w:lang w:eastAsia="en-US"/>
              </w:rPr>
              <w:t>6.2. detalizēts izdevumu aprēķins</w:t>
            </w:r>
          </w:p>
        </w:tc>
        <w:tc>
          <w:tcPr>
            <w:tcW w:w="6317" w:type="dxa"/>
            <w:gridSpan w:val="7"/>
            <w:vMerge/>
            <w:shd w:val="clear" w:color="auto" w:fill="auto"/>
            <w:vAlign w:val="center"/>
            <w:hideMark/>
          </w:tcPr>
          <w:p w14:paraId="1733DE01" w14:textId="77777777" w:rsidR="00BD5588" w:rsidRPr="00287E11" w:rsidRDefault="00BD5588" w:rsidP="005708CA">
            <w:pPr>
              <w:jc w:val="center"/>
              <w:rPr>
                <w:sz w:val="22"/>
                <w:szCs w:val="22"/>
                <w:lang w:eastAsia="en-US"/>
              </w:rPr>
            </w:pPr>
          </w:p>
        </w:tc>
      </w:tr>
      <w:tr w:rsidR="00BD5588" w:rsidRPr="00287E11" w14:paraId="72DECF64" w14:textId="77777777" w:rsidTr="000344BB">
        <w:trPr>
          <w:cantSplit/>
        </w:trPr>
        <w:tc>
          <w:tcPr>
            <w:tcW w:w="1982" w:type="dxa"/>
            <w:shd w:val="clear" w:color="auto" w:fill="auto"/>
            <w:hideMark/>
          </w:tcPr>
          <w:p w14:paraId="7FE8DC05" w14:textId="77777777" w:rsidR="00BD5588" w:rsidRPr="00287E11" w:rsidRDefault="00BD5588" w:rsidP="005708CA">
            <w:pPr>
              <w:rPr>
                <w:sz w:val="22"/>
                <w:szCs w:val="22"/>
                <w:lang w:eastAsia="en-US"/>
              </w:rPr>
            </w:pPr>
            <w:r w:rsidRPr="00287E11">
              <w:rPr>
                <w:sz w:val="22"/>
                <w:szCs w:val="22"/>
                <w:lang w:eastAsia="en-US"/>
              </w:rPr>
              <w:t>7. Amata vietu skaita izmaiņas</w:t>
            </w:r>
          </w:p>
        </w:tc>
        <w:tc>
          <w:tcPr>
            <w:tcW w:w="6317" w:type="dxa"/>
            <w:gridSpan w:val="7"/>
            <w:shd w:val="clear" w:color="auto" w:fill="auto"/>
            <w:hideMark/>
          </w:tcPr>
          <w:p w14:paraId="234D9877" w14:textId="1F9CAE0E" w:rsidR="00BD5588" w:rsidRPr="00287E11" w:rsidRDefault="00677245" w:rsidP="005708CA">
            <w:pPr>
              <w:rPr>
                <w:sz w:val="22"/>
                <w:szCs w:val="22"/>
                <w:lang w:eastAsia="en-US"/>
              </w:rPr>
            </w:pPr>
            <w:r w:rsidRPr="00287E11">
              <w:rPr>
                <w:sz w:val="22"/>
                <w:szCs w:val="22"/>
                <w:lang w:eastAsia="en-US"/>
              </w:rPr>
              <w:t>Noteikumu projekts šo jomu neskar.</w:t>
            </w:r>
          </w:p>
        </w:tc>
      </w:tr>
      <w:tr w:rsidR="00BD5588" w:rsidRPr="00287E11" w14:paraId="72B68E9E" w14:textId="77777777" w:rsidTr="000344BB">
        <w:trPr>
          <w:cantSplit/>
        </w:trPr>
        <w:tc>
          <w:tcPr>
            <w:tcW w:w="1982" w:type="dxa"/>
            <w:shd w:val="clear" w:color="auto" w:fill="auto"/>
            <w:hideMark/>
          </w:tcPr>
          <w:p w14:paraId="68C71813" w14:textId="77777777" w:rsidR="00BD5588" w:rsidRPr="00287E11" w:rsidRDefault="00BD5588" w:rsidP="005708CA">
            <w:pPr>
              <w:rPr>
                <w:sz w:val="22"/>
                <w:szCs w:val="22"/>
                <w:lang w:eastAsia="en-US"/>
              </w:rPr>
            </w:pPr>
            <w:r w:rsidRPr="00287E11">
              <w:rPr>
                <w:sz w:val="22"/>
                <w:szCs w:val="22"/>
                <w:lang w:eastAsia="en-US"/>
              </w:rPr>
              <w:t>8. Cita informācija</w:t>
            </w:r>
          </w:p>
        </w:tc>
        <w:tc>
          <w:tcPr>
            <w:tcW w:w="6317" w:type="dxa"/>
            <w:gridSpan w:val="7"/>
            <w:shd w:val="clear" w:color="auto" w:fill="auto"/>
            <w:hideMark/>
          </w:tcPr>
          <w:p w14:paraId="38F38EB5" w14:textId="42F767F9" w:rsidR="00BD5588" w:rsidRPr="00287E11" w:rsidRDefault="00677245" w:rsidP="005708CA">
            <w:pPr>
              <w:rPr>
                <w:sz w:val="22"/>
                <w:szCs w:val="22"/>
                <w:lang w:eastAsia="en-US"/>
              </w:rPr>
            </w:pPr>
            <w:r w:rsidRPr="00287E11">
              <w:rPr>
                <w:sz w:val="22"/>
                <w:szCs w:val="22"/>
                <w:lang w:eastAsia="en-US"/>
              </w:rPr>
              <w:t>Nav.</w:t>
            </w:r>
          </w:p>
        </w:tc>
      </w:tr>
      <w:tr w:rsidR="00BD5588" w:rsidRPr="00287E11" w14:paraId="300322B7" w14:textId="77777777" w:rsidTr="000344BB">
        <w:tblPrEx>
          <w:tblCellMar>
            <w:top w:w="30" w:type="dxa"/>
            <w:left w:w="30" w:type="dxa"/>
            <w:bottom w:w="30" w:type="dxa"/>
            <w:right w:w="30" w:type="dxa"/>
          </w:tblCellMar>
        </w:tblPrEx>
        <w:trPr>
          <w:cantSplit/>
        </w:trPr>
        <w:tc>
          <w:tcPr>
            <w:tcW w:w="8299" w:type="dxa"/>
            <w:gridSpan w:val="8"/>
            <w:vAlign w:val="center"/>
            <w:hideMark/>
          </w:tcPr>
          <w:p w14:paraId="608A2D92" w14:textId="77777777" w:rsidR="00BD5588" w:rsidRPr="009E734D" w:rsidRDefault="00BD5588" w:rsidP="00EF0E08">
            <w:pPr>
              <w:rPr>
                <w:b/>
                <w:bCs/>
              </w:rPr>
            </w:pPr>
            <w:r w:rsidRPr="009E734D">
              <w:rPr>
                <w:b/>
                <w:bCs/>
              </w:rPr>
              <w:t>IV. Tiesību akta projekta ietekme uz spēkā esošo tiesību normu sistēmu</w:t>
            </w:r>
          </w:p>
        </w:tc>
      </w:tr>
      <w:tr w:rsidR="00601878" w:rsidRPr="00287E11" w14:paraId="34DDA374" w14:textId="77777777" w:rsidTr="000344BB">
        <w:tblPrEx>
          <w:tblCellMar>
            <w:top w:w="30" w:type="dxa"/>
            <w:left w:w="30" w:type="dxa"/>
            <w:bottom w:w="30" w:type="dxa"/>
            <w:right w:w="30" w:type="dxa"/>
          </w:tblCellMar>
        </w:tblPrEx>
        <w:trPr>
          <w:cantSplit/>
        </w:trPr>
        <w:tc>
          <w:tcPr>
            <w:tcW w:w="8299" w:type="dxa"/>
            <w:gridSpan w:val="8"/>
          </w:tcPr>
          <w:p w14:paraId="293D6F25" w14:textId="72B3CE6D" w:rsidR="00601878" w:rsidRPr="00287E11" w:rsidRDefault="00601878" w:rsidP="00EF0E08">
            <w:pPr>
              <w:rPr>
                <w:sz w:val="22"/>
                <w:szCs w:val="22"/>
              </w:rPr>
            </w:pPr>
            <w:r w:rsidRPr="00287E11">
              <w:rPr>
                <w:sz w:val="22"/>
                <w:szCs w:val="22"/>
              </w:rPr>
              <w:t>Noteikumu projekts šo jomu neskar</w:t>
            </w:r>
          </w:p>
        </w:tc>
      </w:tr>
    </w:tbl>
    <w:p w14:paraId="5C39C368" w14:textId="77777777" w:rsidR="00BD5588" w:rsidRPr="00287E11" w:rsidRDefault="00BD5588" w:rsidP="00EF0E08">
      <w:pPr>
        <w:pStyle w:val="Title"/>
        <w:spacing w:before="130" w:line="260" w:lineRule="exact"/>
        <w:ind w:firstLine="539"/>
        <w:jc w:val="lef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287E11" w14:paraId="3CBC1FF6" w14:textId="77777777" w:rsidTr="005708CA">
        <w:trPr>
          <w:cantSplit/>
        </w:trPr>
        <w:tc>
          <w:tcPr>
            <w:tcW w:w="5000" w:type="pct"/>
            <w:vAlign w:val="center"/>
            <w:hideMark/>
          </w:tcPr>
          <w:p w14:paraId="2F0A6471" w14:textId="77777777" w:rsidR="00BD5588" w:rsidRPr="009E734D" w:rsidRDefault="00BD5588" w:rsidP="00EF0E08">
            <w:pPr>
              <w:rPr>
                <w:b/>
                <w:bCs/>
              </w:rPr>
            </w:pPr>
            <w:r w:rsidRPr="009E734D">
              <w:rPr>
                <w:b/>
                <w:bCs/>
              </w:rPr>
              <w:t>V. Tiesību akta projekta atbilstība Latvijas Republikas starptautiskajām saistībām</w:t>
            </w:r>
          </w:p>
        </w:tc>
      </w:tr>
      <w:tr w:rsidR="00601878" w:rsidRPr="00287E11" w14:paraId="63CA1EF7" w14:textId="77777777" w:rsidTr="00601878">
        <w:trPr>
          <w:cantSplit/>
        </w:trPr>
        <w:tc>
          <w:tcPr>
            <w:tcW w:w="5000" w:type="pct"/>
          </w:tcPr>
          <w:p w14:paraId="0390C45F" w14:textId="1DE17D54" w:rsidR="00601878" w:rsidRPr="00287E11" w:rsidRDefault="00601878" w:rsidP="00EF0E08">
            <w:pPr>
              <w:rPr>
                <w:sz w:val="22"/>
                <w:szCs w:val="22"/>
              </w:rPr>
            </w:pPr>
            <w:r w:rsidRPr="00287E11">
              <w:rPr>
                <w:sz w:val="22"/>
                <w:szCs w:val="22"/>
              </w:rPr>
              <w:t>Noteikumu projekts šo jomu neskar</w:t>
            </w:r>
          </w:p>
        </w:tc>
      </w:tr>
    </w:tbl>
    <w:p w14:paraId="5F4A817F" w14:textId="4052E857" w:rsidR="00BD5588" w:rsidRDefault="00BD5588" w:rsidP="009E734D">
      <w:pPr>
        <w:pStyle w:val="Title"/>
        <w:spacing w:before="130" w:line="260" w:lineRule="exact"/>
        <w:jc w:val="both"/>
        <w:rPr>
          <w:sz w:val="20"/>
        </w:rPr>
      </w:pPr>
    </w:p>
    <w:p w14:paraId="47A82B5F" w14:textId="77777777" w:rsidR="009E734D" w:rsidRPr="00895DDC" w:rsidRDefault="009E734D" w:rsidP="009E734D">
      <w:pPr>
        <w:pStyle w:val="Title"/>
        <w:spacing w:before="130" w:line="260" w:lineRule="exact"/>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287E11" w14:paraId="441CE0A8" w14:textId="77777777" w:rsidTr="005708CA">
        <w:trPr>
          <w:cantSplit/>
        </w:trPr>
        <w:tc>
          <w:tcPr>
            <w:tcW w:w="5000" w:type="pct"/>
            <w:gridSpan w:val="3"/>
            <w:vAlign w:val="center"/>
            <w:hideMark/>
          </w:tcPr>
          <w:p w14:paraId="4856C6FE" w14:textId="77777777" w:rsidR="00BD5588" w:rsidRPr="009E734D" w:rsidRDefault="00BD5588" w:rsidP="00EF0E08">
            <w:pPr>
              <w:rPr>
                <w:b/>
                <w:bCs/>
              </w:rPr>
            </w:pPr>
            <w:r w:rsidRPr="009E734D">
              <w:rPr>
                <w:b/>
                <w:bCs/>
              </w:rPr>
              <w:t>VI. Sabiedrības līdzdalība un komunikācijas aktivitātes</w:t>
            </w:r>
          </w:p>
        </w:tc>
      </w:tr>
      <w:tr w:rsidR="00BD5588" w:rsidRPr="00287E11" w14:paraId="14945171" w14:textId="77777777" w:rsidTr="005708CA">
        <w:trPr>
          <w:cantSplit/>
        </w:trPr>
        <w:tc>
          <w:tcPr>
            <w:tcW w:w="311" w:type="pct"/>
            <w:hideMark/>
          </w:tcPr>
          <w:p w14:paraId="22E35377" w14:textId="77777777" w:rsidR="00BD5588" w:rsidRPr="00287E11" w:rsidRDefault="00BD5588" w:rsidP="00EF0E08">
            <w:pPr>
              <w:rPr>
                <w:sz w:val="22"/>
                <w:szCs w:val="22"/>
              </w:rPr>
            </w:pPr>
            <w:r w:rsidRPr="00287E11">
              <w:rPr>
                <w:sz w:val="22"/>
                <w:szCs w:val="22"/>
              </w:rPr>
              <w:t>1.</w:t>
            </w:r>
          </w:p>
        </w:tc>
        <w:tc>
          <w:tcPr>
            <w:tcW w:w="1479" w:type="pct"/>
            <w:hideMark/>
          </w:tcPr>
          <w:p w14:paraId="0605CC2F" w14:textId="77777777" w:rsidR="00BD5588" w:rsidRPr="00287E11" w:rsidRDefault="00BD5588" w:rsidP="00EF0E08">
            <w:pPr>
              <w:rPr>
                <w:sz w:val="22"/>
                <w:szCs w:val="22"/>
              </w:rPr>
            </w:pPr>
            <w:r w:rsidRPr="00287E11">
              <w:rPr>
                <w:sz w:val="22"/>
                <w:szCs w:val="22"/>
              </w:rPr>
              <w:t>Plānotās sabiedrības līdzdalības un komunikācijas aktivitātes saistībā ar projektu</w:t>
            </w:r>
          </w:p>
        </w:tc>
        <w:tc>
          <w:tcPr>
            <w:tcW w:w="3210" w:type="pct"/>
            <w:hideMark/>
          </w:tcPr>
          <w:p w14:paraId="2776D349" w14:textId="24A8F14C" w:rsidR="00BD5588" w:rsidRPr="00287E11" w:rsidRDefault="000269D3" w:rsidP="00EF0E08">
            <w:pPr>
              <w:rPr>
                <w:sz w:val="22"/>
                <w:szCs w:val="22"/>
              </w:rPr>
            </w:pPr>
            <w:r w:rsidRPr="00287E11">
              <w:rPr>
                <w:sz w:val="22"/>
                <w:szCs w:val="22"/>
              </w:rPr>
              <w:t xml:space="preserve">Pēc Noteikumu projekta stāšanās spēkā, tas tiks izsludināts “Latvijas Vēstnesī”. Informācija par pieņemto Noteikumu projektu tiks publicēta LIAA mājas lapā </w:t>
            </w:r>
            <w:hyperlink r:id="rId11" w:history="1">
              <w:r w:rsidRPr="00287E11">
                <w:rPr>
                  <w:sz w:val="22"/>
                  <w:szCs w:val="22"/>
                </w:rPr>
                <w:t>www.liaa.gov.lv</w:t>
              </w:r>
            </w:hyperlink>
            <w:r w:rsidRPr="00287E11">
              <w:rPr>
                <w:sz w:val="22"/>
                <w:szCs w:val="22"/>
              </w:rPr>
              <w:t xml:space="preserve"> un Ekonomikas ministrijas mājas lapā www.em.gov.lv.  Pēc Noteikumu projekta stāšanās spēkā, tiks sagatavota preses </w:t>
            </w:r>
            <w:proofErr w:type="spellStart"/>
            <w:r w:rsidRPr="00287E11">
              <w:rPr>
                <w:sz w:val="22"/>
                <w:szCs w:val="22"/>
              </w:rPr>
              <w:t>relīze</w:t>
            </w:r>
            <w:proofErr w:type="spellEnd"/>
            <w:r w:rsidRPr="00287E11">
              <w:rPr>
                <w:sz w:val="22"/>
                <w:szCs w:val="22"/>
              </w:rPr>
              <w:t>, lai informētu sabiedrību.</w:t>
            </w:r>
          </w:p>
        </w:tc>
      </w:tr>
      <w:tr w:rsidR="00BD5588" w:rsidRPr="00287E11" w14:paraId="18FA7BC5" w14:textId="77777777" w:rsidTr="005708CA">
        <w:trPr>
          <w:cantSplit/>
        </w:trPr>
        <w:tc>
          <w:tcPr>
            <w:tcW w:w="311" w:type="pct"/>
            <w:hideMark/>
          </w:tcPr>
          <w:p w14:paraId="19051F30" w14:textId="77777777" w:rsidR="00BD5588" w:rsidRPr="00287E11" w:rsidRDefault="00BD5588" w:rsidP="00EF0E08">
            <w:pPr>
              <w:rPr>
                <w:sz w:val="22"/>
                <w:szCs w:val="22"/>
              </w:rPr>
            </w:pPr>
            <w:r w:rsidRPr="00287E11">
              <w:rPr>
                <w:sz w:val="22"/>
                <w:szCs w:val="22"/>
              </w:rPr>
              <w:t>2.</w:t>
            </w:r>
          </w:p>
        </w:tc>
        <w:tc>
          <w:tcPr>
            <w:tcW w:w="1479" w:type="pct"/>
            <w:hideMark/>
          </w:tcPr>
          <w:p w14:paraId="748A44AF" w14:textId="77777777" w:rsidR="00BD5588" w:rsidRPr="00287E11" w:rsidRDefault="00BD5588" w:rsidP="00EF0E08">
            <w:pPr>
              <w:rPr>
                <w:sz w:val="22"/>
                <w:szCs w:val="22"/>
              </w:rPr>
            </w:pPr>
            <w:r w:rsidRPr="00287E11">
              <w:rPr>
                <w:sz w:val="22"/>
                <w:szCs w:val="22"/>
              </w:rPr>
              <w:t>Sabiedrības līdzdalība projekta izstrādē</w:t>
            </w:r>
          </w:p>
        </w:tc>
        <w:tc>
          <w:tcPr>
            <w:tcW w:w="3210" w:type="pct"/>
            <w:hideMark/>
          </w:tcPr>
          <w:p w14:paraId="7779DC04" w14:textId="138BF1F8" w:rsidR="00BD5588" w:rsidRPr="00287E11" w:rsidRDefault="000269D3" w:rsidP="00EF0E08">
            <w:pPr>
              <w:rPr>
                <w:sz w:val="22"/>
                <w:szCs w:val="22"/>
              </w:rPr>
            </w:pPr>
            <w:bookmarkStart w:id="7" w:name="_Hlk61531723"/>
            <w:r w:rsidRPr="00287E11">
              <w:rPr>
                <w:sz w:val="22"/>
                <w:szCs w:val="22"/>
              </w:rPr>
              <w:t xml:space="preserve">Noteikumu projekta izstrādes gaitā notikušas konsultācijas ar </w:t>
            </w:r>
            <w:r w:rsidR="00062BEB" w:rsidRPr="00287E11">
              <w:rPr>
                <w:sz w:val="22"/>
                <w:szCs w:val="22"/>
              </w:rPr>
              <w:t xml:space="preserve">sekojošām </w:t>
            </w:r>
            <w:r w:rsidRPr="00287E11">
              <w:rPr>
                <w:sz w:val="22"/>
                <w:szCs w:val="22"/>
              </w:rPr>
              <w:t>uzņēmējus apvienojošām organizācijām</w:t>
            </w:r>
            <w:r w:rsidR="00062BEB" w:rsidRPr="00287E11">
              <w:rPr>
                <w:sz w:val="22"/>
                <w:szCs w:val="22"/>
              </w:rPr>
              <w:t>: Latvijas Tirdzniecības un rūpniecības kamera, FICIL (</w:t>
            </w:r>
            <w:proofErr w:type="spellStart"/>
            <w:r w:rsidR="00062BEB" w:rsidRPr="00287E11">
              <w:rPr>
                <w:sz w:val="22"/>
                <w:szCs w:val="22"/>
              </w:rPr>
              <w:t>Foreign</w:t>
            </w:r>
            <w:proofErr w:type="spellEnd"/>
            <w:r w:rsidR="00062BEB" w:rsidRPr="00287E11">
              <w:rPr>
                <w:sz w:val="22"/>
                <w:szCs w:val="22"/>
              </w:rPr>
              <w:t xml:space="preserve"> Investors </w:t>
            </w:r>
            <w:proofErr w:type="spellStart"/>
            <w:r w:rsidR="00062BEB" w:rsidRPr="00287E11">
              <w:rPr>
                <w:sz w:val="22"/>
                <w:szCs w:val="22"/>
              </w:rPr>
              <w:t>Council</w:t>
            </w:r>
            <w:proofErr w:type="spellEnd"/>
            <w:r w:rsidR="00062BEB" w:rsidRPr="00287E11">
              <w:rPr>
                <w:sz w:val="22"/>
                <w:szCs w:val="22"/>
              </w:rPr>
              <w:t xml:space="preserve"> </w:t>
            </w:r>
            <w:proofErr w:type="spellStart"/>
            <w:r w:rsidR="00062BEB" w:rsidRPr="00287E11">
              <w:rPr>
                <w:sz w:val="22"/>
                <w:szCs w:val="22"/>
              </w:rPr>
              <w:t>in</w:t>
            </w:r>
            <w:proofErr w:type="spellEnd"/>
            <w:r w:rsidR="00062BEB" w:rsidRPr="00287E11">
              <w:rPr>
                <w:sz w:val="22"/>
                <w:szCs w:val="22"/>
              </w:rPr>
              <w:t xml:space="preserve"> Latvia), Latvijas Darba devēju konfederācija un Nekustamo īpašumu pārvaldnieku asociācija.</w:t>
            </w:r>
            <w:bookmarkEnd w:id="7"/>
          </w:p>
        </w:tc>
      </w:tr>
      <w:tr w:rsidR="00BD5588" w:rsidRPr="00287E11" w14:paraId="31FF485A" w14:textId="77777777" w:rsidTr="005708CA">
        <w:trPr>
          <w:cantSplit/>
        </w:trPr>
        <w:tc>
          <w:tcPr>
            <w:tcW w:w="311" w:type="pct"/>
            <w:hideMark/>
          </w:tcPr>
          <w:p w14:paraId="5C6AE0D9" w14:textId="77777777" w:rsidR="00BD5588" w:rsidRPr="00287E11" w:rsidRDefault="00BD5588" w:rsidP="00EF0E08">
            <w:pPr>
              <w:rPr>
                <w:sz w:val="22"/>
                <w:szCs w:val="22"/>
              </w:rPr>
            </w:pPr>
            <w:r w:rsidRPr="00287E11">
              <w:rPr>
                <w:sz w:val="22"/>
                <w:szCs w:val="22"/>
              </w:rPr>
              <w:t>3.</w:t>
            </w:r>
          </w:p>
        </w:tc>
        <w:tc>
          <w:tcPr>
            <w:tcW w:w="1479" w:type="pct"/>
            <w:hideMark/>
          </w:tcPr>
          <w:p w14:paraId="0B40CC16" w14:textId="77777777" w:rsidR="00BD5588" w:rsidRPr="00287E11" w:rsidRDefault="00BD5588" w:rsidP="00EF0E08">
            <w:pPr>
              <w:rPr>
                <w:sz w:val="22"/>
                <w:szCs w:val="22"/>
              </w:rPr>
            </w:pPr>
            <w:r w:rsidRPr="00287E11">
              <w:rPr>
                <w:sz w:val="22"/>
                <w:szCs w:val="22"/>
              </w:rPr>
              <w:t>Sabiedrības līdzdalības rezultāti</w:t>
            </w:r>
          </w:p>
        </w:tc>
        <w:tc>
          <w:tcPr>
            <w:tcW w:w="3210" w:type="pct"/>
            <w:hideMark/>
          </w:tcPr>
          <w:p w14:paraId="4FE22702" w14:textId="0B8B15DD" w:rsidR="00BD5588" w:rsidRPr="00287E11" w:rsidRDefault="00062BEB" w:rsidP="00EF0E08">
            <w:pPr>
              <w:rPr>
                <w:sz w:val="22"/>
                <w:szCs w:val="22"/>
              </w:rPr>
            </w:pPr>
            <w:r w:rsidRPr="00287E11">
              <w:rPr>
                <w:sz w:val="22"/>
                <w:szCs w:val="22"/>
              </w:rPr>
              <w:t xml:space="preserve">Saņemts organizāciju atbalsts un ierosinājumi noteikumu projekta izstrādei. </w:t>
            </w:r>
          </w:p>
        </w:tc>
      </w:tr>
      <w:tr w:rsidR="00BD5588" w:rsidRPr="00287E11" w14:paraId="0EEFC2B2" w14:textId="77777777" w:rsidTr="005708CA">
        <w:trPr>
          <w:cantSplit/>
        </w:trPr>
        <w:tc>
          <w:tcPr>
            <w:tcW w:w="311" w:type="pct"/>
            <w:hideMark/>
          </w:tcPr>
          <w:p w14:paraId="29876942" w14:textId="77777777" w:rsidR="00BD5588" w:rsidRPr="00287E11" w:rsidRDefault="00BD5588" w:rsidP="00EF0E08">
            <w:pPr>
              <w:rPr>
                <w:sz w:val="22"/>
                <w:szCs w:val="22"/>
              </w:rPr>
            </w:pPr>
            <w:r w:rsidRPr="00287E11">
              <w:rPr>
                <w:sz w:val="22"/>
                <w:szCs w:val="22"/>
              </w:rPr>
              <w:t>4.</w:t>
            </w:r>
          </w:p>
        </w:tc>
        <w:tc>
          <w:tcPr>
            <w:tcW w:w="1479" w:type="pct"/>
            <w:hideMark/>
          </w:tcPr>
          <w:p w14:paraId="4ADDC42B" w14:textId="77777777" w:rsidR="00BD5588" w:rsidRPr="00287E11" w:rsidRDefault="00BD5588" w:rsidP="00EF0E08">
            <w:pPr>
              <w:rPr>
                <w:sz w:val="22"/>
                <w:szCs w:val="22"/>
              </w:rPr>
            </w:pPr>
            <w:r w:rsidRPr="00287E11">
              <w:rPr>
                <w:sz w:val="22"/>
                <w:szCs w:val="22"/>
              </w:rPr>
              <w:t>Cita informācija</w:t>
            </w:r>
          </w:p>
        </w:tc>
        <w:tc>
          <w:tcPr>
            <w:tcW w:w="3210" w:type="pct"/>
            <w:hideMark/>
          </w:tcPr>
          <w:p w14:paraId="38BB927E" w14:textId="6A39F45A" w:rsidR="00BD5588" w:rsidRPr="00287E11" w:rsidRDefault="007D0D3B" w:rsidP="00EF0E08">
            <w:pPr>
              <w:rPr>
                <w:sz w:val="22"/>
                <w:szCs w:val="22"/>
              </w:rPr>
            </w:pPr>
            <w:r w:rsidRPr="00287E11">
              <w:rPr>
                <w:sz w:val="22"/>
                <w:szCs w:val="22"/>
              </w:rPr>
              <w:t>Nav.</w:t>
            </w:r>
          </w:p>
        </w:tc>
      </w:tr>
    </w:tbl>
    <w:p w14:paraId="1F0CCEC1" w14:textId="77777777" w:rsidR="00BD5588" w:rsidRPr="00287E11" w:rsidRDefault="00BD5588" w:rsidP="00EF0E08">
      <w:pPr>
        <w:pStyle w:val="Title"/>
        <w:spacing w:before="130" w:line="260" w:lineRule="exact"/>
        <w:ind w:firstLine="539"/>
        <w:jc w:val="lef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287E11" w14:paraId="2F0587C3" w14:textId="77777777" w:rsidTr="005708CA">
        <w:trPr>
          <w:cantSplit/>
        </w:trPr>
        <w:tc>
          <w:tcPr>
            <w:tcW w:w="5000" w:type="pct"/>
            <w:gridSpan w:val="3"/>
            <w:vAlign w:val="center"/>
            <w:hideMark/>
          </w:tcPr>
          <w:p w14:paraId="49647C68" w14:textId="77777777" w:rsidR="00BD5588" w:rsidRPr="009E734D" w:rsidRDefault="00BD5588" w:rsidP="00EF0E08">
            <w:pPr>
              <w:rPr>
                <w:b/>
                <w:bCs/>
              </w:rPr>
            </w:pPr>
            <w:r w:rsidRPr="009E734D">
              <w:rPr>
                <w:b/>
                <w:bCs/>
              </w:rPr>
              <w:t>VII. Tiesību akta projekta izpildes nodrošināšana un tās ietekme uz institūcijām</w:t>
            </w:r>
          </w:p>
        </w:tc>
      </w:tr>
      <w:tr w:rsidR="00BD5588" w:rsidRPr="00287E11" w14:paraId="15B3955D" w14:textId="77777777" w:rsidTr="005708CA">
        <w:trPr>
          <w:cantSplit/>
        </w:trPr>
        <w:tc>
          <w:tcPr>
            <w:tcW w:w="311" w:type="pct"/>
            <w:hideMark/>
          </w:tcPr>
          <w:p w14:paraId="0235FF7D" w14:textId="77777777" w:rsidR="00BD5588" w:rsidRPr="00287E11" w:rsidRDefault="00BD5588" w:rsidP="00EF0E08">
            <w:pPr>
              <w:rPr>
                <w:sz w:val="22"/>
                <w:szCs w:val="22"/>
              </w:rPr>
            </w:pPr>
            <w:bookmarkStart w:id="8" w:name="_Hlk61531738"/>
            <w:r w:rsidRPr="00287E11">
              <w:rPr>
                <w:sz w:val="22"/>
                <w:szCs w:val="22"/>
              </w:rPr>
              <w:t>1.</w:t>
            </w:r>
          </w:p>
        </w:tc>
        <w:tc>
          <w:tcPr>
            <w:tcW w:w="1479" w:type="pct"/>
            <w:hideMark/>
          </w:tcPr>
          <w:p w14:paraId="6C970200" w14:textId="77777777" w:rsidR="00BD5588" w:rsidRPr="00287E11" w:rsidRDefault="00BD5588" w:rsidP="00EF0E08">
            <w:pPr>
              <w:rPr>
                <w:sz w:val="22"/>
                <w:szCs w:val="22"/>
              </w:rPr>
            </w:pPr>
            <w:r w:rsidRPr="00287E11">
              <w:rPr>
                <w:sz w:val="22"/>
                <w:szCs w:val="22"/>
              </w:rPr>
              <w:t>Projekta izpildē iesaistītās institūcijas</w:t>
            </w:r>
          </w:p>
        </w:tc>
        <w:tc>
          <w:tcPr>
            <w:tcW w:w="3210" w:type="pct"/>
            <w:hideMark/>
          </w:tcPr>
          <w:p w14:paraId="78349E8E" w14:textId="0EF76948" w:rsidR="00BD5588" w:rsidRPr="00287E11" w:rsidRDefault="009B3435" w:rsidP="00EF0E08">
            <w:pPr>
              <w:rPr>
                <w:sz w:val="22"/>
                <w:szCs w:val="22"/>
              </w:rPr>
            </w:pPr>
            <w:r w:rsidRPr="00287E11">
              <w:rPr>
                <w:sz w:val="22"/>
                <w:szCs w:val="22"/>
              </w:rPr>
              <w:t>Ekonomikas ministrija, L</w:t>
            </w:r>
            <w:r w:rsidR="001B1BD7" w:rsidRPr="00287E11">
              <w:rPr>
                <w:sz w:val="22"/>
                <w:szCs w:val="22"/>
              </w:rPr>
              <w:t>atvijas Investīciju un attīstības aģentūra</w:t>
            </w:r>
            <w:r w:rsidRPr="00287E11">
              <w:rPr>
                <w:sz w:val="22"/>
                <w:szCs w:val="22"/>
              </w:rPr>
              <w:t>, pašvaldīb</w:t>
            </w:r>
            <w:r w:rsidR="00F0056C" w:rsidRPr="00287E11">
              <w:rPr>
                <w:sz w:val="22"/>
                <w:szCs w:val="22"/>
              </w:rPr>
              <w:t>as un to</w:t>
            </w:r>
            <w:r w:rsidRPr="00287E11">
              <w:rPr>
                <w:sz w:val="22"/>
                <w:szCs w:val="22"/>
              </w:rPr>
              <w:t xml:space="preserve"> būvvaldes, Latvijas Republikas Uzņēmumu reģistrs, </w:t>
            </w:r>
            <w:r w:rsidR="00223ED9" w:rsidRPr="00287E11">
              <w:rPr>
                <w:sz w:val="22"/>
                <w:szCs w:val="22"/>
              </w:rPr>
              <w:t>VAS “Elektroniskie sakari”,</w:t>
            </w:r>
            <w:r w:rsidR="00062BEB" w:rsidRPr="00287E11">
              <w:rPr>
                <w:sz w:val="22"/>
                <w:szCs w:val="22"/>
              </w:rPr>
              <w:t xml:space="preserve"> </w:t>
            </w:r>
            <w:r w:rsidR="005D6067" w:rsidRPr="00287E11">
              <w:rPr>
                <w:sz w:val="22"/>
                <w:szCs w:val="22"/>
              </w:rPr>
              <w:t>VAS “Latvijas Valsts ceļi”,</w:t>
            </w:r>
            <w:r w:rsidR="00223ED9" w:rsidRPr="00287E11">
              <w:rPr>
                <w:sz w:val="22"/>
                <w:szCs w:val="22"/>
              </w:rPr>
              <w:t xml:space="preserve"> </w:t>
            </w:r>
            <w:r w:rsidR="00D95A01" w:rsidRPr="00287E11">
              <w:rPr>
                <w:sz w:val="22"/>
                <w:szCs w:val="22"/>
              </w:rPr>
              <w:t xml:space="preserve">plānošanas reģioni, Valsts vides dienests, Vides pārraudzības valsts birojs, </w:t>
            </w:r>
            <w:r w:rsidR="001B1BD7" w:rsidRPr="00287E11">
              <w:rPr>
                <w:sz w:val="22"/>
                <w:szCs w:val="22"/>
              </w:rPr>
              <w:t>Pilsonības un migrācijas lietu pārvalde</w:t>
            </w:r>
            <w:r w:rsidR="005D6067" w:rsidRPr="00287E11">
              <w:rPr>
                <w:sz w:val="22"/>
                <w:szCs w:val="22"/>
              </w:rPr>
              <w:t>, Būvniecības valsts kontroles birojs, Sabiedrisko pakalpojumu regulēšanas komisija, un citas Noteikumu projekta pielikumā minēto pienākumu izpildē iesaistītās institūcijas un privātpersonas</w:t>
            </w:r>
            <w:r w:rsidR="00062BEB" w:rsidRPr="00287E11">
              <w:rPr>
                <w:sz w:val="22"/>
                <w:szCs w:val="22"/>
              </w:rPr>
              <w:t>.</w:t>
            </w:r>
          </w:p>
        </w:tc>
      </w:tr>
      <w:tr w:rsidR="00BD5588" w:rsidRPr="00287E11" w14:paraId="43AB8486" w14:textId="77777777" w:rsidTr="005708CA">
        <w:trPr>
          <w:cantSplit/>
        </w:trPr>
        <w:tc>
          <w:tcPr>
            <w:tcW w:w="311" w:type="pct"/>
            <w:hideMark/>
          </w:tcPr>
          <w:p w14:paraId="2575DA4B" w14:textId="77777777" w:rsidR="00BD5588" w:rsidRPr="00287E11" w:rsidRDefault="00BD5588" w:rsidP="00EF0E08">
            <w:pPr>
              <w:rPr>
                <w:sz w:val="22"/>
                <w:szCs w:val="22"/>
              </w:rPr>
            </w:pPr>
            <w:r w:rsidRPr="00287E11">
              <w:rPr>
                <w:sz w:val="22"/>
                <w:szCs w:val="22"/>
              </w:rPr>
              <w:t>2.</w:t>
            </w:r>
          </w:p>
        </w:tc>
        <w:tc>
          <w:tcPr>
            <w:tcW w:w="1479" w:type="pct"/>
            <w:hideMark/>
          </w:tcPr>
          <w:p w14:paraId="354429FE" w14:textId="77777777" w:rsidR="00BD5588" w:rsidRPr="00287E11" w:rsidRDefault="00BD5588" w:rsidP="00EF0E08">
            <w:pPr>
              <w:rPr>
                <w:sz w:val="22"/>
                <w:szCs w:val="22"/>
              </w:rPr>
            </w:pPr>
            <w:r w:rsidRPr="00287E11">
              <w:rPr>
                <w:sz w:val="22"/>
                <w:szCs w:val="22"/>
              </w:rPr>
              <w:t>Projekta izpildes ietekme uz pārvaldes funkcijām un institucionālo struktūru.</w:t>
            </w:r>
            <w:r w:rsidRPr="00287E11">
              <w:rPr>
                <w:sz w:val="22"/>
                <w:szCs w:val="22"/>
              </w:rPr>
              <w:br/>
              <w:t>Jaunu institūciju izveide, esošu institūciju likvidācija vai reorganizācija, to ietekme uz institūcijas cilvēkresursiem</w:t>
            </w:r>
          </w:p>
        </w:tc>
        <w:tc>
          <w:tcPr>
            <w:tcW w:w="3210" w:type="pct"/>
            <w:hideMark/>
          </w:tcPr>
          <w:p w14:paraId="130BB856" w14:textId="58871E43" w:rsidR="00BD5588" w:rsidRPr="00287E11" w:rsidRDefault="001C4AB2" w:rsidP="00EF0E08">
            <w:pPr>
              <w:rPr>
                <w:sz w:val="22"/>
                <w:szCs w:val="22"/>
              </w:rPr>
            </w:pPr>
            <w:r w:rsidRPr="00287E11">
              <w:rPr>
                <w:sz w:val="22"/>
                <w:szCs w:val="22"/>
              </w:rPr>
              <w:t>Projekta izpilde neparedz jaunu institūciju izveidi vai esošo institūciju likvidāciju.</w:t>
            </w:r>
            <w:r w:rsidRPr="00287E11">
              <w:rPr>
                <w:iCs/>
                <w:color w:val="000000" w:themeColor="text1"/>
                <w:sz w:val="22"/>
                <w:szCs w:val="22"/>
              </w:rPr>
              <w:t xml:space="preserve"> </w:t>
            </w:r>
          </w:p>
        </w:tc>
      </w:tr>
      <w:bookmarkEnd w:id="8"/>
      <w:tr w:rsidR="00BD5588" w:rsidRPr="00287E11" w14:paraId="54AA8B4B" w14:textId="77777777" w:rsidTr="005708CA">
        <w:trPr>
          <w:cantSplit/>
        </w:trPr>
        <w:tc>
          <w:tcPr>
            <w:tcW w:w="311" w:type="pct"/>
            <w:hideMark/>
          </w:tcPr>
          <w:p w14:paraId="2607D4E2" w14:textId="77777777" w:rsidR="00BD5588" w:rsidRPr="00287E11" w:rsidRDefault="00BD5588" w:rsidP="00EF0E08">
            <w:pPr>
              <w:rPr>
                <w:sz w:val="22"/>
                <w:szCs w:val="22"/>
              </w:rPr>
            </w:pPr>
            <w:r w:rsidRPr="00287E11">
              <w:rPr>
                <w:sz w:val="22"/>
                <w:szCs w:val="22"/>
              </w:rPr>
              <w:t>3.</w:t>
            </w:r>
          </w:p>
        </w:tc>
        <w:tc>
          <w:tcPr>
            <w:tcW w:w="1479" w:type="pct"/>
            <w:hideMark/>
          </w:tcPr>
          <w:p w14:paraId="157EB187" w14:textId="77777777" w:rsidR="00BD5588" w:rsidRPr="00287E11" w:rsidRDefault="00BD5588" w:rsidP="00EF0E08">
            <w:pPr>
              <w:rPr>
                <w:sz w:val="22"/>
                <w:szCs w:val="22"/>
              </w:rPr>
            </w:pPr>
            <w:r w:rsidRPr="00287E11">
              <w:rPr>
                <w:sz w:val="22"/>
                <w:szCs w:val="22"/>
              </w:rPr>
              <w:t>Cita informācija</w:t>
            </w:r>
          </w:p>
        </w:tc>
        <w:tc>
          <w:tcPr>
            <w:tcW w:w="3210" w:type="pct"/>
            <w:hideMark/>
          </w:tcPr>
          <w:p w14:paraId="386D5033" w14:textId="1F157DCF" w:rsidR="00BD5588" w:rsidRPr="00287E11" w:rsidRDefault="001C4AB2" w:rsidP="00EF0E08">
            <w:pPr>
              <w:rPr>
                <w:sz w:val="22"/>
                <w:szCs w:val="22"/>
              </w:rPr>
            </w:pPr>
            <w:r w:rsidRPr="00287E11">
              <w:rPr>
                <w:sz w:val="22"/>
                <w:szCs w:val="22"/>
              </w:rPr>
              <w:t>Nav.</w:t>
            </w:r>
          </w:p>
        </w:tc>
      </w:tr>
    </w:tbl>
    <w:p w14:paraId="554074BB" w14:textId="77777777" w:rsidR="00895DDC" w:rsidRPr="00287E11" w:rsidRDefault="00895DDC" w:rsidP="00D350BD">
      <w:pPr>
        <w:pStyle w:val="Body"/>
        <w:tabs>
          <w:tab w:val="left" w:pos="6521"/>
        </w:tabs>
        <w:spacing w:after="0" w:line="240" w:lineRule="auto"/>
        <w:ind w:firstLine="709"/>
        <w:jc w:val="both"/>
        <w:rPr>
          <w:rFonts w:ascii="Times New Roman" w:hAnsi="Times New Roman" w:cs="Times New Roman"/>
          <w:color w:val="auto"/>
          <w:lang w:val="de-DE"/>
        </w:rPr>
      </w:pPr>
    </w:p>
    <w:p w14:paraId="0846A09A" w14:textId="77777777" w:rsidR="009E734D" w:rsidRDefault="009E734D" w:rsidP="00287E11">
      <w:pPr>
        <w:pStyle w:val="Body"/>
        <w:tabs>
          <w:tab w:val="left" w:pos="6521"/>
        </w:tabs>
        <w:spacing w:after="0" w:line="240" w:lineRule="auto"/>
        <w:jc w:val="both"/>
        <w:rPr>
          <w:rFonts w:ascii="Times New Roman" w:hAnsi="Times New Roman" w:cs="Times New Roman"/>
          <w:color w:val="auto"/>
          <w:lang w:val="de-DE"/>
        </w:rPr>
      </w:pPr>
    </w:p>
    <w:p w14:paraId="7F6BB9BD" w14:textId="62C18C82" w:rsidR="009E734D" w:rsidRDefault="009E734D" w:rsidP="00287E11">
      <w:pPr>
        <w:pStyle w:val="Body"/>
        <w:tabs>
          <w:tab w:val="left" w:pos="6521"/>
        </w:tabs>
        <w:spacing w:after="0" w:line="240" w:lineRule="auto"/>
        <w:jc w:val="both"/>
        <w:rPr>
          <w:rFonts w:ascii="Times New Roman" w:hAnsi="Times New Roman" w:cs="Times New Roman"/>
          <w:color w:val="auto"/>
          <w:lang w:val="de-DE"/>
        </w:rPr>
      </w:pPr>
    </w:p>
    <w:p w14:paraId="36383304" w14:textId="77777777" w:rsidR="009E734D" w:rsidRPr="00287E11" w:rsidRDefault="009E734D" w:rsidP="00287E11">
      <w:pPr>
        <w:pStyle w:val="Body"/>
        <w:tabs>
          <w:tab w:val="left" w:pos="6521"/>
        </w:tabs>
        <w:spacing w:after="0" w:line="240" w:lineRule="auto"/>
        <w:jc w:val="both"/>
        <w:rPr>
          <w:rFonts w:ascii="Times New Roman" w:hAnsi="Times New Roman" w:cs="Times New Roman"/>
          <w:color w:val="auto"/>
          <w:lang w:val="de-DE"/>
        </w:rPr>
      </w:pPr>
    </w:p>
    <w:p w14:paraId="2DAEA320" w14:textId="2509E77D" w:rsidR="00E44472" w:rsidRDefault="00D350BD" w:rsidP="009E734D">
      <w:pPr>
        <w:pStyle w:val="Body"/>
        <w:tabs>
          <w:tab w:val="left" w:pos="6521"/>
        </w:tabs>
        <w:spacing w:after="0" w:line="240" w:lineRule="auto"/>
        <w:ind w:firstLine="709"/>
        <w:rPr>
          <w:rFonts w:ascii="Times New Roman" w:hAnsi="Times New Roman" w:cs="Times New Roman"/>
          <w:color w:val="auto"/>
          <w:sz w:val="24"/>
          <w:szCs w:val="24"/>
          <w:lang w:val="de-DE"/>
        </w:rPr>
      </w:pPr>
      <w:proofErr w:type="spellStart"/>
      <w:r w:rsidRPr="009E734D">
        <w:rPr>
          <w:rFonts w:ascii="Times New Roman" w:hAnsi="Times New Roman" w:cs="Times New Roman"/>
          <w:color w:val="auto"/>
          <w:sz w:val="24"/>
          <w:szCs w:val="24"/>
          <w:lang w:val="de-DE"/>
        </w:rPr>
        <w:t>Ekonomikas</w:t>
      </w:r>
      <w:proofErr w:type="spellEnd"/>
      <w:r w:rsidRPr="009E734D">
        <w:rPr>
          <w:rFonts w:ascii="Times New Roman" w:hAnsi="Times New Roman" w:cs="Times New Roman"/>
          <w:color w:val="auto"/>
          <w:sz w:val="24"/>
          <w:szCs w:val="24"/>
          <w:lang w:val="de-DE"/>
        </w:rPr>
        <w:t xml:space="preserve"> </w:t>
      </w:r>
      <w:proofErr w:type="spellStart"/>
      <w:r w:rsidRPr="009E734D">
        <w:rPr>
          <w:rFonts w:ascii="Times New Roman" w:hAnsi="Times New Roman" w:cs="Times New Roman"/>
          <w:color w:val="auto"/>
          <w:sz w:val="24"/>
          <w:szCs w:val="24"/>
          <w:lang w:val="de-DE"/>
        </w:rPr>
        <w:t>ministrs</w:t>
      </w:r>
      <w:proofErr w:type="spellEnd"/>
      <w:r w:rsidRPr="009E734D">
        <w:rPr>
          <w:rFonts w:ascii="Times New Roman" w:hAnsi="Times New Roman" w:cs="Times New Roman"/>
          <w:color w:val="auto"/>
          <w:sz w:val="24"/>
          <w:szCs w:val="24"/>
          <w:lang w:val="de-DE"/>
        </w:rPr>
        <w:tab/>
        <w:t>J. </w:t>
      </w:r>
      <w:proofErr w:type="spellStart"/>
      <w:r w:rsidRPr="009E734D">
        <w:rPr>
          <w:rFonts w:ascii="Times New Roman" w:hAnsi="Times New Roman" w:cs="Times New Roman"/>
          <w:color w:val="auto"/>
          <w:sz w:val="24"/>
          <w:szCs w:val="24"/>
          <w:lang w:val="de-DE"/>
        </w:rPr>
        <w:t>Vitenbergs</w:t>
      </w:r>
      <w:proofErr w:type="spellEnd"/>
    </w:p>
    <w:p w14:paraId="08026162" w14:textId="5E5E9E34" w:rsidR="009E734D" w:rsidRDefault="009E734D" w:rsidP="009E734D">
      <w:pPr>
        <w:pStyle w:val="Body"/>
        <w:tabs>
          <w:tab w:val="left" w:pos="6521"/>
        </w:tabs>
        <w:spacing w:after="0" w:line="240" w:lineRule="auto"/>
        <w:ind w:firstLine="709"/>
        <w:rPr>
          <w:rFonts w:ascii="Times New Roman" w:hAnsi="Times New Roman" w:cs="Times New Roman"/>
          <w:color w:val="auto"/>
          <w:sz w:val="24"/>
          <w:szCs w:val="24"/>
          <w:lang w:val="de-DE"/>
        </w:rPr>
      </w:pPr>
    </w:p>
    <w:p w14:paraId="6EE8142B" w14:textId="585AA94F" w:rsidR="009E734D" w:rsidRDefault="009E734D" w:rsidP="009E734D">
      <w:pPr>
        <w:pStyle w:val="Body"/>
        <w:tabs>
          <w:tab w:val="left" w:pos="6521"/>
        </w:tabs>
        <w:spacing w:after="0" w:line="240" w:lineRule="auto"/>
        <w:ind w:firstLine="709"/>
        <w:rPr>
          <w:rFonts w:ascii="Times New Roman" w:hAnsi="Times New Roman" w:cs="Times New Roman"/>
          <w:color w:val="auto"/>
          <w:sz w:val="24"/>
          <w:szCs w:val="24"/>
          <w:lang w:val="de-DE"/>
        </w:rPr>
      </w:pPr>
    </w:p>
    <w:p w14:paraId="291E26EC" w14:textId="04C802CE" w:rsidR="009E734D" w:rsidRDefault="009E734D" w:rsidP="009E734D">
      <w:pPr>
        <w:pStyle w:val="Body"/>
        <w:tabs>
          <w:tab w:val="left" w:pos="6521"/>
        </w:tabs>
        <w:spacing w:after="0" w:line="240" w:lineRule="auto"/>
        <w:ind w:firstLine="709"/>
        <w:rPr>
          <w:rFonts w:ascii="Times New Roman" w:hAnsi="Times New Roman" w:cs="Times New Roman"/>
          <w:color w:val="auto"/>
          <w:sz w:val="24"/>
          <w:szCs w:val="24"/>
          <w:lang w:val="de-DE"/>
        </w:rPr>
      </w:pPr>
    </w:p>
    <w:p w14:paraId="08204EDD" w14:textId="188BD944" w:rsidR="009E734D" w:rsidRDefault="009E734D" w:rsidP="009E734D">
      <w:pPr>
        <w:pStyle w:val="Body"/>
        <w:tabs>
          <w:tab w:val="left" w:pos="6521"/>
        </w:tabs>
        <w:spacing w:after="0" w:line="240" w:lineRule="auto"/>
        <w:ind w:firstLine="709"/>
        <w:rPr>
          <w:rFonts w:ascii="Times New Roman" w:hAnsi="Times New Roman" w:cs="Times New Roman"/>
          <w:color w:val="auto"/>
          <w:sz w:val="24"/>
          <w:szCs w:val="24"/>
          <w:lang w:val="de-DE"/>
        </w:rPr>
      </w:pPr>
    </w:p>
    <w:p w14:paraId="481ABB58" w14:textId="4491EBA8" w:rsidR="009E734D" w:rsidRDefault="009E734D" w:rsidP="009E734D">
      <w:pPr>
        <w:pStyle w:val="Body"/>
        <w:tabs>
          <w:tab w:val="left" w:pos="6521"/>
        </w:tabs>
        <w:spacing w:after="0" w:line="240" w:lineRule="auto"/>
        <w:ind w:firstLine="709"/>
        <w:rPr>
          <w:rFonts w:ascii="Times New Roman" w:hAnsi="Times New Roman" w:cs="Times New Roman"/>
          <w:color w:val="auto"/>
          <w:sz w:val="24"/>
          <w:szCs w:val="24"/>
          <w:lang w:val="de-DE"/>
        </w:rPr>
      </w:pPr>
    </w:p>
    <w:p w14:paraId="2D0A7588" w14:textId="77777777" w:rsidR="009E734D" w:rsidRDefault="009E734D" w:rsidP="009E734D">
      <w:pPr>
        <w:pStyle w:val="Body"/>
        <w:tabs>
          <w:tab w:val="left" w:pos="6521"/>
        </w:tabs>
        <w:spacing w:after="0" w:line="240" w:lineRule="auto"/>
        <w:ind w:firstLine="709"/>
        <w:rPr>
          <w:rFonts w:ascii="Times New Roman" w:hAnsi="Times New Roman" w:cs="Times New Roman"/>
          <w:color w:val="auto"/>
          <w:sz w:val="24"/>
          <w:szCs w:val="24"/>
          <w:lang w:val="de-DE"/>
        </w:rPr>
      </w:pPr>
    </w:p>
    <w:p w14:paraId="2A80721D" w14:textId="77777777" w:rsidR="009E734D" w:rsidRDefault="009E734D" w:rsidP="009E734D">
      <w:pPr>
        <w:pStyle w:val="Body"/>
        <w:tabs>
          <w:tab w:val="left" w:pos="6521"/>
        </w:tabs>
        <w:spacing w:after="0"/>
        <w:rPr>
          <w:rFonts w:ascii="Times New Roman" w:hAnsi="Times New Roman" w:cs="Times New Roman"/>
          <w:color w:val="auto"/>
          <w:sz w:val="20"/>
          <w:szCs w:val="20"/>
          <w:lang w:val="de-DE"/>
        </w:rPr>
      </w:pPr>
      <w:r w:rsidRPr="009E734D">
        <w:rPr>
          <w:rFonts w:ascii="Times New Roman" w:hAnsi="Times New Roman" w:cs="Times New Roman"/>
          <w:color w:val="auto"/>
          <w:sz w:val="20"/>
          <w:szCs w:val="20"/>
          <w:lang w:val="de-DE"/>
        </w:rPr>
        <w:t xml:space="preserve">Zanda </w:t>
      </w:r>
      <w:proofErr w:type="spellStart"/>
      <w:r w:rsidRPr="009E734D">
        <w:rPr>
          <w:rFonts w:ascii="Times New Roman" w:hAnsi="Times New Roman" w:cs="Times New Roman"/>
          <w:color w:val="auto"/>
          <w:sz w:val="20"/>
          <w:szCs w:val="20"/>
          <w:lang w:val="de-DE"/>
        </w:rPr>
        <w:t>Gailume</w:t>
      </w:r>
      <w:proofErr w:type="spellEnd"/>
      <w:r w:rsidRPr="009E734D">
        <w:rPr>
          <w:rFonts w:ascii="Times New Roman" w:hAnsi="Times New Roman" w:cs="Times New Roman"/>
          <w:color w:val="auto"/>
          <w:sz w:val="20"/>
          <w:szCs w:val="20"/>
          <w:lang w:val="de-DE"/>
        </w:rPr>
        <w:t xml:space="preserve"> - </w:t>
      </w:r>
      <w:proofErr w:type="spellStart"/>
      <w:r w:rsidRPr="009E734D">
        <w:rPr>
          <w:rFonts w:ascii="Times New Roman" w:hAnsi="Times New Roman" w:cs="Times New Roman"/>
          <w:color w:val="auto"/>
          <w:sz w:val="20"/>
          <w:szCs w:val="20"/>
          <w:lang w:val="de-DE"/>
        </w:rPr>
        <w:t>Zohara</w:t>
      </w:r>
      <w:proofErr w:type="spellEnd"/>
      <w:r w:rsidRPr="009E734D">
        <w:rPr>
          <w:rFonts w:ascii="Times New Roman" w:hAnsi="Times New Roman" w:cs="Times New Roman"/>
          <w:color w:val="auto"/>
          <w:sz w:val="20"/>
          <w:szCs w:val="20"/>
          <w:lang w:val="de-DE"/>
        </w:rPr>
        <w:t xml:space="preserve"> 67013039</w:t>
      </w:r>
    </w:p>
    <w:p w14:paraId="349197F8" w14:textId="03ECB24A" w:rsidR="009E734D" w:rsidRPr="009E734D" w:rsidRDefault="009E734D" w:rsidP="009E734D">
      <w:pPr>
        <w:pStyle w:val="Body"/>
        <w:tabs>
          <w:tab w:val="left" w:pos="6521"/>
        </w:tabs>
        <w:spacing w:after="0"/>
        <w:rPr>
          <w:rFonts w:ascii="Times New Roman" w:hAnsi="Times New Roman" w:cs="Times New Roman"/>
          <w:color w:val="auto"/>
          <w:sz w:val="20"/>
          <w:szCs w:val="20"/>
          <w:lang w:val="de-DE"/>
        </w:rPr>
      </w:pPr>
      <w:r w:rsidRPr="009E734D">
        <w:rPr>
          <w:rFonts w:ascii="Times New Roman" w:hAnsi="Times New Roman" w:cs="Times New Roman"/>
          <w:color w:val="auto"/>
          <w:sz w:val="20"/>
          <w:szCs w:val="20"/>
          <w:lang w:val="de-DE"/>
        </w:rPr>
        <w:t>zanda.gailume-zohara@em.gov.lv</w:t>
      </w:r>
      <w:bookmarkStart w:id="9" w:name="_GoBack"/>
      <w:bookmarkEnd w:id="9"/>
    </w:p>
    <w:sectPr w:rsidR="009E734D" w:rsidRPr="009E734D" w:rsidSect="004C551F">
      <w:headerReference w:type="default"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7FF88" w14:textId="77777777" w:rsidR="00C66139" w:rsidRDefault="00C66139" w:rsidP="00DA3C40">
      <w:r>
        <w:separator/>
      </w:r>
    </w:p>
  </w:endnote>
  <w:endnote w:type="continuationSeparator" w:id="0">
    <w:p w14:paraId="0DFC3252" w14:textId="77777777" w:rsidR="00C66139" w:rsidRDefault="00C66139" w:rsidP="00DA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4158" w14:textId="00FD3D6C" w:rsidR="00DA3C40" w:rsidRPr="00DA3C40" w:rsidRDefault="00DA3C40">
    <w:pPr>
      <w:pStyle w:val="Footer"/>
      <w:rPr>
        <w:sz w:val="20"/>
        <w:szCs w:val="20"/>
      </w:rPr>
    </w:pPr>
    <w:r w:rsidRPr="00DA3C40">
      <w:rPr>
        <w:sz w:val="20"/>
        <w:szCs w:val="20"/>
      </w:rPr>
      <w:t>EManot_prioritarie_projekti_</w:t>
    </w:r>
    <w:r w:rsidR="00045D21">
      <w:rPr>
        <w:sz w:val="20"/>
        <w:szCs w:val="20"/>
      </w:rPr>
      <w:t>04</w:t>
    </w:r>
    <w:r w:rsidRPr="00DA3C40">
      <w:rPr>
        <w:sz w:val="20"/>
        <w:szCs w:val="20"/>
      </w:rPr>
      <w:t>0</w:t>
    </w:r>
    <w:r w:rsidR="00045D21">
      <w:rPr>
        <w:sz w:val="20"/>
        <w:szCs w:val="20"/>
      </w:rPr>
      <w:t>2</w:t>
    </w:r>
    <w:r w:rsidRPr="00DA3C40">
      <w:rPr>
        <w:sz w:val="20"/>
        <w:szCs w:val="20"/>
      </w:rPr>
      <w:t>2021.docx</w:t>
    </w:r>
  </w:p>
  <w:p w14:paraId="50003583" w14:textId="7986C51F" w:rsidR="00DA3C40" w:rsidRDefault="00DA3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A936" w14:textId="77777777" w:rsidR="00C66139" w:rsidRDefault="00C66139" w:rsidP="00DA3C40">
      <w:r>
        <w:separator/>
      </w:r>
    </w:p>
  </w:footnote>
  <w:footnote w:type="continuationSeparator" w:id="0">
    <w:p w14:paraId="417ECDFA" w14:textId="77777777" w:rsidR="00C66139" w:rsidRDefault="00C66139" w:rsidP="00DA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232252"/>
      <w:docPartObj>
        <w:docPartGallery w:val="Page Numbers (Top of Page)"/>
        <w:docPartUnique/>
      </w:docPartObj>
    </w:sdtPr>
    <w:sdtEndPr>
      <w:rPr>
        <w:noProof/>
      </w:rPr>
    </w:sdtEndPr>
    <w:sdtContent>
      <w:p w14:paraId="2D0E8566" w14:textId="7034019A" w:rsidR="004C551F" w:rsidRDefault="004C551F">
        <w:pPr>
          <w:pStyle w:val="Header"/>
        </w:pPr>
        <w:r>
          <w:fldChar w:fldCharType="begin"/>
        </w:r>
        <w:r>
          <w:instrText xml:space="preserve"> PAGE   \* MERGEFORMAT </w:instrText>
        </w:r>
        <w:r>
          <w:fldChar w:fldCharType="separate"/>
        </w:r>
        <w:r>
          <w:rPr>
            <w:noProof/>
          </w:rPr>
          <w:t>2</w:t>
        </w:r>
        <w:r>
          <w:rPr>
            <w:noProof/>
          </w:rPr>
          <w:fldChar w:fldCharType="end"/>
        </w:r>
      </w:p>
    </w:sdtContent>
  </w:sdt>
  <w:p w14:paraId="51F26BEE" w14:textId="77777777" w:rsidR="004C551F" w:rsidRDefault="004C5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00B"/>
    <w:multiLevelType w:val="hybridMultilevel"/>
    <w:tmpl w:val="FBBE4074"/>
    <w:lvl w:ilvl="0" w:tplc="FFB6B2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042A99"/>
    <w:multiLevelType w:val="hybridMultilevel"/>
    <w:tmpl w:val="E3667F02"/>
    <w:lvl w:ilvl="0" w:tplc="0426000D">
      <w:start w:val="1"/>
      <w:numFmt w:val="bullet"/>
      <w:lvlText w:val=""/>
      <w:lvlJc w:val="left"/>
      <w:pPr>
        <w:ind w:left="765" w:hanging="360"/>
      </w:pPr>
      <w:rPr>
        <w:rFonts w:ascii="Wingdings" w:hAnsi="Wingding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 w15:restartNumberingAfterBreak="0">
    <w:nsid w:val="1F1D469F"/>
    <w:multiLevelType w:val="hybridMultilevel"/>
    <w:tmpl w:val="54CEBBBE"/>
    <w:lvl w:ilvl="0" w:tplc="2D1CE3CA">
      <w:numFmt w:val="bullet"/>
      <w:lvlText w:val="-"/>
      <w:lvlJc w:val="left"/>
      <w:pPr>
        <w:ind w:left="405" w:hanging="360"/>
      </w:pPr>
      <w:rPr>
        <w:rFonts w:ascii="Cambria" w:eastAsia="Times New Roman" w:hAnsi="Cambria" w:cs="Times New Roman" w:hint="default"/>
        <w:i w:val="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15:restartNumberingAfterBreak="0">
    <w:nsid w:val="46CD63BD"/>
    <w:multiLevelType w:val="hybridMultilevel"/>
    <w:tmpl w:val="5EC63A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366BA7"/>
    <w:multiLevelType w:val="hybridMultilevel"/>
    <w:tmpl w:val="A7DE6F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7C4A"/>
    <w:rsid w:val="00013937"/>
    <w:rsid w:val="00015932"/>
    <w:rsid w:val="000269D3"/>
    <w:rsid w:val="000344BB"/>
    <w:rsid w:val="00045D21"/>
    <w:rsid w:val="00062BEB"/>
    <w:rsid w:val="000868DE"/>
    <w:rsid w:val="00087482"/>
    <w:rsid w:val="000A484F"/>
    <w:rsid w:val="000B2D4A"/>
    <w:rsid w:val="00113A19"/>
    <w:rsid w:val="00122C8A"/>
    <w:rsid w:val="00125A68"/>
    <w:rsid w:val="00127EEF"/>
    <w:rsid w:val="00191F27"/>
    <w:rsid w:val="001962D1"/>
    <w:rsid w:val="001A116F"/>
    <w:rsid w:val="001B1BD7"/>
    <w:rsid w:val="001C4AB2"/>
    <w:rsid w:val="001E7088"/>
    <w:rsid w:val="001F0BC9"/>
    <w:rsid w:val="001F2D23"/>
    <w:rsid w:val="001F468E"/>
    <w:rsid w:val="00211EE6"/>
    <w:rsid w:val="00223ED9"/>
    <w:rsid w:val="00234EFB"/>
    <w:rsid w:val="002456E9"/>
    <w:rsid w:val="0025669E"/>
    <w:rsid w:val="00264896"/>
    <w:rsid w:val="00267F81"/>
    <w:rsid w:val="002767FD"/>
    <w:rsid w:val="0028514A"/>
    <w:rsid w:val="00287E11"/>
    <w:rsid w:val="00294928"/>
    <w:rsid w:val="00295E8C"/>
    <w:rsid w:val="002A036C"/>
    <w:rsid w:val="002A5321"/>
    <w:rsid w:val="002B69C7"/>
    <w:rsid w:val="002C00C5"/>
    <w:rsid w:val="002C08A9"/>
    <w:rsid w:val="002D1FFB"/>
    <w:rsid w:val="002E5252"/>
    <w:rsid w:val="002E6C2B"/>
    <w:rsid w:val="002F2D9C"/>
    <w:rsid w:val="00303994"/>
    <w:rsid w:val="003112AB"/>
    <w:rsid w:val="00323C36"/>
    <w:rsid w:val="00342980"/>
    <w:rsid w:val="003569C9"/>
    <w:rsid w:val="003819AB"/>
    <w:rsid w:val="0038581C"/>
    <w:rsid w:val="0039136E"/>
    <w:rsid w:val="003A1372"/>
    <w:rsid w:val="003A47A1"/>
    <w:rsid w:val="003C2AD0"/>
    <w:rsid w:val="003C37D4"/>
    <w:rsid w:val="003C6DF7"/>
    <w:rsid w:val="003D1848"/>
    <w:rsid w:val="003D3772"/>
    <w:rsid w:val="00400AC9"/>
    <w:rsid w:val="00432C47"/>
    <w:rsid w:val="0043435C"/>
    <w:rsid w:val="00454727"/>
    <w:rsid w:val="00464512"/>
    <w:rsid w:val="00467E78"/>
    <w:rsid w:val="00470688"/>
    <w:rsid w:val="00480185"/>
    <w:rsid w:val="004915F1"/>
    <w:rsid w:val="00497526"/>
    <w:rsid w:val="004B1B8F"/>
    <w:rsid w:val="004B53A3"/>
    <w:rsid w:val="004C49B5"/>
    <w:rsid w:val="004C551F"/>
    <w:rsid w:val="004D5691"/>
    <w:rsid w:val="004E770B"/>
    <w:rsid w:val="004F78B7"/>
    <w:rsid w:val="00515251"/>
    <w:rsid w:val="0052361C"/>
    <w:rsid w:val="00545E93"/>
    <w:rsid w:val="005538ED"/>
    <w:rsid w:val="0055557D"/>
    <w:rsid w:val="00564BA4"/>
    <w:rsid w:val="00566021"/>
    <w:rsid w:val="005708CA"/>
    <w:rsid w:val="005806AA"/>
    <w:rsid w:val="005A015B"/>
    <w:rsid w:val="005A765A"/>
    <w:rsid w:val="005C0D74"/>
    <w:rsid w:val="005C5EF5"/>
    <w:rsid w:val="005D6067"/>
    <w:rsid w:val="005F4AEF"/>
    <w:rsid w:val="00600FB1"/>
    <w:rsid w:val="00601878"/>
    <w:rsid w:val="00656CB8"/>
    <w:rsid w:val="00661F19"/>
    <w:rsid w:val="00662E58"/>
    <w:rsid w:val="00677245"/>
    <w:rsid w:val="00694C0E"/>
    <w:rsid w:val="006A1F00"/>
    <w:rsid w:val="006A427A"/>
    <w:rsid w:val="006B0768"/>
    <w:rsid w:val="006B2392"/>
    <w:rsid w:val="006C3C93"/>
    <w:rsid w:val="006C543B"/>
    <w:rsid w:val="006D6619"/>
    <w:rsid w:val="006E17B5"/>
    <w:rsid w:val="006F37E4"/>
    <w:rsid w:val="007073CF"/>
    <w:rsid w:val="007326A5"/>
    <w:rsid w:val="00733598"/>
    <w:rsid w:val="00733979"/>
    <w:rsid w:val="0073713D"/>
    <w:rsid w:val="00746D70"/>
    <w:rsid w:val="007631DA"/>
    <w:rsid w:val="0078488F"/>
    <w:rsid w:val="007925CF"/>
    <w:rsid w:val="007A0BB4"/>
    <w:rsid w:val="007A2E7F"/>
    <w:rsid w:val="007A6EF3"/>
    <w:rsid w:val="007A79BD"/>
    <w:rsid w:val="007C1905"/>
    <w:rsid w:val="007C3AFC"/>
    <w:rsid w:val="007D0D3B"/>
    <w:rsid w:val="007D2FD6"/>
    <w:rsid w:val="007D7691"/>
    <w:rsid w:val="007D7D74"/>
    <w:rsid w:val="007E77FE"/>
    <w:rsid w:val="007F0C43"/>
    <w:rsid w:val="00813431"/>
    <w:rsid w:val="00865B6D"/>
    <w:rsid w:val="00875095"/>
    <w:rsid w:val="00882729"/>
    <w:rsid w:val="0088274F"/>
    <w:rsid w:val="008940D7"/>
    <w:rsid w:val="00895DDC"/>
    <w:rsid w:val="008A3E26"/>
    <w:rsid w:val="008A7582"/>
    <w:rsid w:val="008B0FBD"/>
    <w:rsid w:val="008B1EAE"/>
    <w:rsid w:val="008C0C38"/>
    <w:rsid w:val="008F719A"/>
    <w:rsid w:val="0092111F"/>
    <w:rsid w:val="00937D51"/>
    <w:rsid w:val="009455E7"/>
    <w:rsid w:val="00947331"/>
    <w:rsid w:val="0095375F"/>
    <w:rsid w:val="00962EC9"/>
    <w:rsid w:val="0096356D"/>
    <w:rsid w:val="00963ACA"/>
    <w:rsid w:val="00975333"/>
    <w:rsid w:val="009777C5"/>
    <w:rsid w:val="00981171"/>
    <w:rsid w:val="009A28A6"/>
    <w:rsid w:val="009A2C66"/>
    <w:rsid w:val="009B3435"/>
    <w:rsid w:val="009B39FC"/>
    <w:rsid w:val="009E734D"/>
    <w:rsid w:val="009F2D33"/>
    <w:rsid w:val="00A334E4"/>
    <w:rsid w:val="00A4570B"/>
    <w:rsid w:val="00A76A52"/>
    <w:rsid w:val="00A770C7"/>
    <w:rsid w:val="00A778F4"/>
    <w:rsid w:val="00A80AEB"/>
    <w:rsid w:val="00A8539D"/>
    <w:rsid w:val="00A86C3E"/>
    <w:rsid w:val="00A91BE2"/>
    <w:rsid w:val="00AA5009"/>
    <w:rsid w:val="00AC74E9"/>
    <w:rsid w:val="00AD19E2"/>
    <w:rsid w:val="00AE042B"/>
    <w:rsid w:val="00AE7014"/>
    <w:rsid w:val="00AF4C3A"/>
    <w:rsid w:val="00B02F99"/>
    <w:rsid w:val="00B05743"/>
    <w:rsid w:val="00B05E4D"/>
    <w:rsid w:val="00B1183B"/>
    <w:rsid w:val="00B23D40"/>
    <w:rsid w:val="00B25E95"/>
    <w:rsid w:val="00B464B8"/>
    <w:rsid w:val="00B55DF1"/>
    <w:rsid w:val="00B82F9E"/>
    <w:rsid w:val="00B94112"/>
    <w:rsid w:val="00B94684"/>
    <w:rsid w:val="00BA5EE2"/>
    <w:rsid w:val="00BB55A7"/>
    <w:rsid w:val="00BB64C2"/>
    <w:rsid w:val="00BB6DBC"/>
    <w:rsid w:val="00BD5588"/>
    <w:rsid w:val="00BE02CA"/>
    <w:rsid w:val="00BE22B5"/>
    <w:rsid w:val="00C2595F"/>
    <w:rsid w:val="00C43A86"/>
    <w:rsid w:val="00C51567"/>
    <w:rsid w:val="00C66139"/>
    <w:rsid w:val="00C71484"/>
    <w:rsid w:val="00C8841E"/>
    <w:rsid w:val="00CA0C9D"/>
    <w:rsid w:val="00CB07A3"/>
    <w:rsid w:val="00CB39DE"/>
    <w:rsid w:val="00CB716E"/>
    <w:rsid w:val="00CC6581"/>
    <w:rsid w:val="00CF2818"/>
    <w:rsid w:val="00CF79E2"/>
    <w:rsid w:val="00D15692"/>
    <w:rsid w:val="00D22D23"/>
    <w:rsid w:val="00D26040"/>
    <w:rsid w:val="00D350BD"/>
    <w:rsid w:val="00D37A56"/>
    <w:rsid w:val="00D50D51"/>
    <w:rsid w:val="00D57D84"/>
    <w:rsid w:val="00D76E05"/>
    <w:rsid w:val="00D81038"/>
    <w:rsid w:val="00D95786"/>
    <w:rsid w:val="00D95A01"/>
    <w:rsid w:val="00DA3C40"/>
    <w:rsid w:val="00DC453C"/>
    <w:rsid w:val="00DD0473"/>
    <w:rsid w:val="00DE0BD2"/>
    <w:rsid w:val="00DF1F40"/>
    <w:rsid w:val="00E070C8"/>
    <w:rsid w:val="00E1746F"/>
    <w:rsid w:val="00E369BD"/>
    <w:rsid w:val="00E44472"/>
    <w:rsid w:val="00E5331E"/>
    <w:rsid w:val="00E555F2"/>
    <w:rsid w:val="00E87CCB"/>
    <w:rsid w:val="00EA0650"/>
    <w:rsid w:val="00EB159C"/>
    <w:rsid w:val="00EB6677"/>
    <w:rsid w:val="00EC1168"/>
    <w:rsid w:val="00EC1210"/>
    <w:rsid w:val="00EC6AF8"/>
    <w:rsid w:val="00EC7889"/>
    <w:rsid w:val="00ED3BEA"/>
    <w:rsid w:val="00EE22BB"/>
    <w:rsid w:val="00EE48D2"/>
    <w:rsid w:val="00EF0E08"/>
    <w:rsid w:val="00EF11BE"/>
    <w:rsid w:val="00EF2AAD"/>
    <w:rsid w:val="00EF5797"/>
    <w:rsid w:val="00F0056C"/>
    <w:rsid w:val="00F039CD"/>
    <w:rsid w:val="00F04B52"/>
    <w:rsid w:val="00F245B1"/>
    <w:rsid w:val="00F35EBA"/>
    <w:rsid w:val="00F504B7"/>
    <w:rsid w:val="00F51424"/>
    <w:rsid w:val="00F573CD"/>
    <w:rsid w:val="00F6053A"/>
    <w:rsid w:val="00F734A5"/>
    <w:rsid w:val="00F85A50"/>
    <w:rsid w:val="00FA1F22"/>
    <w:rsid w:val="00FA2D26"/>
    <w:rsid w:val="00FA408E"/>
    <w:rsid w:val="01B4598B"/>
    <w:rsid w:val="02D54279"/>
    <w:rsid w:val="0320D2A3"/>
    <w:rsid w:val="0354E4B1"/>
    <w:rsid w:val="046ACBD9"/>
    <w:rsid w:val="048BA55A"/>
    <w:rsid w:val="05CB546F"/>
    <w:rsid w:val="06371344"/>
    <w:rsid w:val="06BF098C"/>
    <w:rsid w:val="06DBD165"/>
    <w:rsid w:val="077C6232"/>
    <w:rsid w:val="078F1368"/>
    <w:rsid w:val="07B59815"/>
    <w:rsid w:val="07E7638A"/>
    <w:rsid w:val="080C0248"/>
    <w:rsid w:val="085D894E"/>
    <w:rsid w:val="0928E7B1"/>
    <w:rsid w:val="09783EDA"/>
    <w:rsid w:val="09D82E2B"/>
    <w:rsid w:val="0A641447"/>
    <w:rsid w:val="0BF3810A"/>
    <w:rsid w:val="0C21D707"/>
    <w:rsid w:val="0C340365"/>
    <w:rsid w:val="0C956C37"/>
    <w:rsid w:val="0CAC5C5D"/>
    <w:rsid w:val="0DD9C624"/>
    <w:rsid w:val="0E098EC3"/>
    <w:rsid w:val="0E34E37E"/>
    <w:rsid w:val="0E6DA25C"/>
    <w:rsid w:val="0EA63084"/>
    <w:rsid w:val="101C9B3A"/>
    <w:rsid w:val="10577994"/>
    <w:rsid w:val="11E6B50E"/>
    <w:rsid w:val="11F5B729"/>
    <w:rsid w:val="124F3E32"/>
    <w:rsid w:val="1266EFC9"/>
    <w:rsid w:val="128E4704"/>
    <w:rsid w:val="15130B07"/>
    <w:rsid w:val="1562CD19"/>
    <w:rsid w:val="15B392B9"/>
    <w:rsid w:val="15E4D809"/>
    <w:rsid w:val="16B864F9"/>
    <w:rsid w:val="16CA025D"/>
    <w:rsid w:val="172B5C5D"/>
    <w:rsid w:val="18A90707"/>
    <w:rsid w:val="18AB5739"/>
    <w:rsid w:val="18F73E94"/>
    <w:rsid w:val="18F95E10"/>
    <w:rsid w:val="190F9412"/>
    <w:rsid w:val="191A4D66"/>
    <w:rsid w:val="19A07896"/>
    <w:rsid w:val="1A790A1C"/>
    <w:rsid w:val="1AE4B895"/>
    <w:rsid w:val="1B99558D"/>
    <w:rsid w:val="1D2CE121"/>
    <w:rsid w:val="1F608038"/>
    <w:rsid w:val="1FFE4ECE"/>
    <w:rsid w:val="20065C77"/>
    <w:rsid w:val="20AE49C2"/>
    <w:rsid w:val="20D01EA1"/>
    <w:rsid w:val="21782CD0"/>
    <w:rsid w:val="2203BB97"/>
    <w:rsid w:val="224C399F"/>
    <w:rsid w:val="22796957"/>
    <w:rsid w:val="238ACF0C"/>
    <w:rsid w:val="247DB93A"/>
    <w:rsid w:val="24E2FAC8"/>
    <w:rsid w:val="25BC993F"/>
    <w:rsid w:val="25CFC1BC"/>
    <w:rsid w:val="26B0B177"/>
    <w:rsid w:val="27A1F951"/>
    <w:rsid w:val="27C99F06"/>
    <w:rsid w:val="28DF4D38"/>
    <w:rsid w:val="29176F60"/>
    <w:rsid w:val="2A077094"/>
    <w:rsid w:val="2A35BC69"/>
    <w:rsid w:val="2DD2B445"/>
    <w:rsid w:val="2E9BD796"/>
    <w:rsid w:val="2F0D249C"/>
    <w:rsid w:val="2FB59E91"/>
    <w:rsid w:val="30C8C78B"/>
    <w:rsid w:val="320417DA"/>
    <w:rsid w:val="32A405EC"/>
    <w:rsid w:val="34742147"/>
    <w:rsid w:val="348F6095"/>
    <w:rsid w:val="3590D275"/>
    <w:rsid w:val="35DCCA0B"/>
    <w:rsid w:val="364CE6DC"/>
    <w:rsid w:val="36D788FD"/>
    <w:rsid w:val="3791E5A7"/>
    <w:rsid w:val="387B39BA"/>
    <w:rsid w:val="39715B29"/>
    <w:rsid w:val="398C2C4D"/>
    <w:rsid w:val="3A4A0819"/>
    <w:rsid w:val="3A912EBA"/>
    <w:rsid w:val="3AFC2289"/>
    <w:rsid w:val="3BAD199C"/>
    <w:rsid w:val="3BEFE57C"/>
    <w:rsid w:val="3C4C1A44"/>
    <w:rsid w:val="3C7BCE95"/>
    <w:rsid w:val="3D58F6DF"/>
    <w:rsid w:val="3DF5F296"/>
    <w:rsid w:val="3EB61952"/>
    <w:rsid w:val="3F40AE9B"/>
    <w:rsid w:val="3F8715A4"/>
    <w:rsid w:val="4185634D"/>
    <w:rsid w:val="436D1B09"/>
    <w:rsid w:val="4502625F"/>
    <w:rsid w:val="45849B64"/>
    <w:rsid w:val="45AFF01F"/>
    <w:rsid w:val="45FBD77A"/>
    <w:rsid w:val="466E9836"/>
    <w:rsid w:val="46B5C4CC"/>
    <w:rsid w:val="473078A7"/>
    <w:rsid w:val="47476BB7"/>
    <w:rsid w:val="47E29317"/>
    <w:rsid w:val="486D1A2A"/>
    <w:rsid w:val="48912E4C"/>
    <w:rsid w:val="4905241F"/>
    <w:rsid w:val="498D109B"/>
    <w:rsid w:val="49B81E75"/>
    <w:rsid w:val="4A16322E"/>
    <w:rsid w:val="4A54CB5D"/>
    <w:rsid w:val="4B0A26F7"/>
    <w:rsid w:val="4C81E57D"/>
    <w:rsid w:val="4CD91EF5"/>
    <w:rsid w:val="4E43394A"/>
    <w:rsid w:val="4E9DBBF6"/>
    <w:rsid w:val="4F899163"/>
    <w:rsid w:val="50EA836A"/>
    <w:rsid w:val="51234248"/>
    <w:rsid w:val="516929C3"/>
    <w:rsid w:val="51B3E948"/>
    <w:rsid w:val="5213A465"/>
    <w:rsid w:val="527D0A3B"/>
    <w:rsid w:val="52846625"/>
    <w:rsid w:val="530D1980"/>
    <w:rsid w:val="535804BC"/>
    <w:rsid w:val="537FDA3C"/>
    <w:rsid w:val="55E3F1BB"/>
    <w:rsid w:val="57795B6F"/>
    <w:rsid w:val="583AE8D3"/>
    <w:rsid w:val="588E661B"/>
    <w:rsid w:val="5968560B"/>
    <w:rsid w:val="59733F89"/>
    <w:rsid w:val="59D5C84D"/>
    <w:rsid w:val="59EA60FB"/>
    <w:rsid w:val="5AC20532"/>
    <w:rsid w:val="5B43E492"/>
    <w:rsid w:val="5B5AF745"/>
    <w:rsid w:val="5CA2BACA"/>
    <w:rsid w:val="5CABDF67"/>
    <w:rsid w:val="5E9647B5"/>
    <w:rsid w:val="5FB59B22"/>
    <w:rsid w:val="60437810"/>
    <w:rsid w:val="60634331"/>
    <w:rsid w:val="60CC36FE"/>
    <w:rsid w:val="612107FE"/>
    <w:rsid w:val="632B2AD0"/>
    <w:rsid w:val="635B1FAC"/>
    <w:rsid w:val="64DA4471"/>
    <w:rsid w:val="65C2DD80"/>
    <w:rsid w:val="65EDB1F5"/>
    <w:rsid w:val="668E7DE8"/>
    <w:rsid w:val="66A01720"/>
    <w:rsid w:val="67BE4B38"/>
    <w:rsid w:val="68391DEA"/>
    <w:rsid w:val="694F5BDC"/>
    <w:rsid w:val="6C64DE02"/>
    <w:rsid w:val="6D09F915"/>
    <w:rsid w:val="6EA09C75"/>
    <w:rsid w:val="6EE4A2D8"/>
    <w:rsid w:val="6FA27EA4"/>
    <w:rsid w:val="6FB5A721"/>
    <w:rsid w:val="703A4D5A"/>
    <w:rsid w:val="70D34B00"/>
    <w:rsid w:val="71D61DBB"/>
    <w:rsid w:val="72D41F86"/>
    <w:rsid w:val="730CDE64"/>
    <w:rsid w:val="733A483D"/>
    <w:rsid w:val="7360089F"/>
    <w:rsid w:val="73740D98"/>
    <w:rsid w:val="738951CF"/>
    <w:rsid w:val="7421E910"/>
    <w:rsid w:val="746DD06B"/>
    <w:rsid w:val="7496C948"/>
    <w:rsid w:val="74DEFEE7"/>
    <w:rsid w:val="75FC5EAF"/>
    <w:rsid w:val="7679A03B"/>
    <w:rsid w:val="76A292DF"/>
    <w:rsid w:val="76C5AD9A"/>
    <w:rsid w:val="770FC1F3"/>
    <w:rsid w:val="78B65872"/>
    <w:rsid w:val="792FD5D8"/>
    <w:rsid w:val="79CA8F5E"/>
    <w:rsid w:val="79E9AA20"/>
    <w:rsid w:val="7A3F4359"/>
    <w:rsid w:val="7AEF3E4D"/>
    <w:rsid w:val="7BA59C6D"/>
    <w:rsid w:val="7BCA0AB9"/>
    <w:rsid w:val="7BED2574"/>
    <w:rsid w:val="7C6AC314"/>
    <w:rsid w:val="7D5E2282"/>
    <w:rsid w:val="7D7FDA5A"/>
    <w:rsid w:val="7E5B1F87"/>
    <w:rsid w:val="7F1C34BB"/>
    <w:rsid w:val="7F24E1B1"/>
    <w:rsid w:val="7F5E9BD7"/>
    <w:rsid w:val="7F756856"/>
    <w:rsid w:val="7F830AD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C9B1F"/>
  <w15:docId w15:val="{3D8BA915-7B4C-4713-A0C1-15E54FAB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3C2AD0"/>
    <w:pPr>
      <w:ind w:left="720"/>
      <w:contextualSpacing/>
    </w:pPr>
  </w:style>
  <w:style w:type="character" w:styleId="CommentReference">
    <w:name w:val="annotation reference"/>
    <w:basedOn w:val="DefaultParagraphFont"/>
    <w:uiPriority w:val="99"/>
    <w:semiHidden/>
    <w:unhideWhenUsed/>
    <w:rsid w:val="007F0C43"/>
    <w:rPr>
      <w:sz w:val="16"/>
      <w:szCs w:val="16"/>
    </w:rPr>
  </w:style>
  <w:style w:type="paragraph" w:styleId="CommentText">
    <w:name w:val="annotation text"/>
    <w:basedOn w:val="Normal"/>
    <w:link w:val="CommentTextChar"/>
    <w:uiPriority w:val="99"/>
    <w:semiHidden/>
    <w:unhideWhenUsed/>
    <w:rsid w:val="007F0C43"/>
    <w:rPr>
      <w:sz w:val="20"/>
      <w:szCs w:val="20"/>
    </w:rPr>
  </w:style>
  <w:style w:type="character" w:customStyle="1" w:styleId="CommentTextChar">
    <w:name w:val="Comment Text Char"/>
    <w:basedOn w:val="DefaultParagraphFont"/>
    <w:link w:val="CommentText"/>
    <w:uiPriority w:val="99"/>
    <w:semiHidden/>
    <w:rsid w:val="007F0C4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F0C43"/>
    <w:rPr>
      <w:b/>
      <w:bCs/>
    </w:rPr>
  </w:style>
  <w:style w:type="character" w:customStyle="1" w:styleId="CommentSubjectChar">
    <w:name w:val="Comment Subject Char"/>
    <w:basedOn w:val="CommentTextChar"/>
    <w:link w:val="CommentSubject"/>
    <w:uiPriority w:val="99"/>
    <w:semiHidden/>
    <w:rsid w:val="007F0C43"/>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0A484F"/>
    <w:rPr>
      <w:color w:val="605E5C"/>
      <w:shd w:val="clear" w:color="auto" w:fill="E1DFDD"/>
    </w:rPr>
  </w:style>
  <w:style w:type="paragraph" w:customStyle="1" w:styleId="tv213">
    <w:name w:val="tv213"/>
    <w:basedOn w:val="Normal"/>
    <w:rsid w:val="0028514A"/>
    <w:pPr>
      <w:spacing w:before="100" w:beforeAutospacing="1" w:after="100" w:afterAutospacing="1"/>
    </w:pPr>
  </w:style>
  <w:style w:type="paragraph" w:styleId="BalloonText">
    <w:name w:val="Balloon Text"/>
    <w:basedOn w:val="Normal"/>
    <w:link w:val="BalloonTextChar"/>
    <w:uiPriority w:val="99"/>
    <w:semiHidden/>
    <w:unhideWhenUsed/>
    <w:rsid w:val="00937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D51"/>
    <w:rPr>
      <w:rFonts w:ascii="Segoe UI" w:eastAsia="Times New Roman" w:hAnsi="Segoe UI" w:cs="Segoe UI"/>
      <w:sz w:val="18"/>
      <w:szCs w:val="18"/>
      <w:lang w:eastAsia="lv-LV"/>
    </w:rPr>
  </w:style>
  <w:style w:type="paragraph" w:customStyle="1" w:styleId="paragraph">
    <w:name w:val="paragraph"/>
    <w:basedOn w:val="Normal"/>
    <w:rsid w:val="00937D51"/>
    <w:pPr>
      <w:spacing w:before="100" w:beforeAutospacing="1" w:after="100" w:afterAutospacing="1"/>
    </w:pPr>
  </w:style>
  <w:style w:type="character" w:customStyle="1" w:styleId="normaltextrun">
    <w:name w:val="normaltextrun"/>
    <w:basedOn w:val="DefaultParagraphFont"/>
    <w:rsid w:val="00937D51"/>
  </w:style>
  <w:style w:type="paragraph" w:customStyle="1" w:styleId="Body">
    <w:name w:val="Body"/>
    <w:rsid w:val="00D350BD"/>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paragraph" w:styleId="NormalWeb">
    <w:name w:val="Normal (Web)"/>
    <w:basedOn w:val="Normal"/>
    <w:uiPriority w:val="99"/>
    <w:unhideWhenUsed/>
    <w:rsid w:val="00662E58"/>
    <w:pPr>
      <w:spacing w:before="100" w:beforeAutospacing="1" w:after="100" w:afterAutospacing="1"/>
    </w:pPr>
  </w:style>
  <w:style w:type="paragraph" w:styleId="Header">
    <w:name w:val="header"/>
    <w:basedOn w:val="Normal"/>
    <w:link w:val="HeaderChar"/>
    <w:uiPriority w:val="99"/>
    <w:unhideWhenUsed/>
    <w:rsid w:val="00DA3C40"/>
    <w:pPr>
      <w:tabs>
        <w:tab w:val="center" w:pos="4153"/>
        <w:tab w:val="right" w:pos="8306"/>
      </w:tabs>
    </w:pPr>
  </w:style>
  <w:style w:type="character" w:customStyle="1" w:styleId="HeaderChar">
    <w:name w:val="Header Char"/>
    <w:basedOn w:val="DefaultParagraphFont"/>
    <w:link w:val="Header"/>
    <w:uiPriority w:val="99"/>
    <w:rsid w:val="00DA3C4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A3C40"/>
    <w:pPr>
      <w:tabs>
        <w:tab w:val="center" w:pos="4153"/>
        <w:tab w:val="right" w:pos="8306"/>
      </w:tabs>
    </w:pPr>
  </w:style>
  <w:style w:type="character" w:customStyle="1" w:styleId="FooterChar">
    <w:name w:val="Footer Char"/>
    <w:basedOn w:val="DefaultParagraphFont"/>
    <w:link w:val="Footer"/>
    <w:uiPriority w:val="99"/>
    <w:rsid w:val="00DA3C40"/>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DA3C40"/>
    <w:rPr>
      <w:sz w:val="20"/>
      <w:szCs w:val="20"/>
    </w:rPr>
  </w:style>
  <w:style w:type="character" w:customStyle="1" w:styleId="FootnoteTextChar">
    <w:name w:val="Footnote Text Char"/>
    <w:basedOn w:val="DefaultParagraphFont"/>
    <w:link w:val="FootnoteText"/>
    <w:uiPriority w:val="99"/>
    <w:semiHidden/>
    <w:rsid w:val="00DA3C4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A3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8021">
      <w:bodyDiv w:val="1"/>
      <w:marLeft w:val="0"/>
      <w:marRight w:val="0"/>
      <w:marTop w:val="0"/>
      <w:marBottom w:val="0"/>
      <w:divBdr>
        <w:top w:val="none" w:sz="0" w:space="0" w:color="auto"/>
        <w:left w:val="none" w:sz="0" w:space="0" w:color="auto"/>
        <w:bottom w:val="none" w:sz="0" w:space="0" w:color="auto"/>
        <w:right w:val="none" w:sz="0" w:space="0" w:color="auto"/>
      </w:divBdr>
      <w:divsChild>
        <w:div w:id="2037997695">
          <w:marLeft w:val="0"/>
          <w:marRight w:val="0"/>
          <w:marTop w:val="0"/>
          <w:marBottom w:val="567"/>
          <w:divBdr>
            <w:top w:val="none" w:sz="0" w:space="0" w:color="auto"/>
            <w:left w:val="none" w:sz="0" w:space="0" w:color="auto"/>
            <w:bottom w:val="none" w:sz="0" w:space="0" w:color="auto"/>
            <w:right w:val="none" w:sz="0" w:space="0" w:color="auto"/>
          </w:divBdr>
        </w:div>
      </w:divsChild>
    </w:div>
    <w:div w:id="2057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aa.gov.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iaa.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5FE087FC1B844A83E2EDF405DAD7F" ma:contentTypeVersion="9" ma:contentTypeDescription="Create a new document." ma:contentTypeScope="" ma:versionID="552b49b5af2db2237bb734c90459a032">
  <xsd:schema xmlns:xsd="http://www.w3.org/2001/XMLSchema" xmlns:xs="http://www.w3.org/2001/XMLSchema" xmlns:p="http://schemas.microsoft.com/office/2006/metadata/properties" xmlns:ns3="f26bd45e-c81f-4ad6-880f-d877d82294f4" xmlns:ns4="010df039-ddb9-4415-8887-ea3e355ce0c5" targetNamespace="http://schemas.microsoft.com/office/2006/metadata/properties" ma:root="true" ma:fieldsID="7911e8fd72af0d968b70d3900c0401ad" ns3:_="" ns4:_="">
    <xsd:import namespace="f26bd45e-c81f-4ad6-880f-d877d82294f4"/>
    <xsd:import namespace="010df039-ddb9-4415-8887-ea3e355ce0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bd45e-c81f-4ad6-880f-d877d8229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df039-ddb9-4415-8887-ea3e355ce0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4BF9D-5544-4FF1-B043-AC4A7690461F}">
  <ds:schemaRefs>
    <ds:schemaRef ds:uri="http://schemas.microsoft.com/sharepoint/v3/contenttype/forms"/>
  </ds:schemaRefs>
</ds:datastoreItem>
</file>

<file path=customXml/itemProps2.xml><?xml version="1.0" encoding="utf-8"?>
<ds:datastoreItem xmlns:ds="http://schemas.openxmlformats.org/officeDocument/2006/customXml" ds:itemID="{E9567BD6-D81F-4CF4-98B1-42BCB438B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BE8E16-C12C-44BC-83F6-3E59E365E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bd45e-c81f-4ad6-880f-d877d82294f4"/>
    <ds:schemaRef ds:uri="010df039-ddb9-4415-8887-ea3e355ce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14221</Words>
  <Characters>8106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22283</CharactersWithSpaces>
  <SharedDoc>false</SharedDoc>
  <HLinks>
    <vt:vector size="18" baseType="variant">
      <vt:variant>
        <vt:i4>4128805</vt:i4>
      </vt:variant>
      <vt:variant>
        <vt:i4>6</vt:i4>
      </vt:variant>
      <vt:variant>
        <vt:i4>0</vt:i4>
      </vt:variant>
      <vt:variant>
        <vt:i4>5</vt:i4>
      </vt:variant>
      <vt:variant>
        <vt:lpwstr>http://www.liaa.gov.lv/</vt:lpwstr>
      </vt:variant>
      <vt:variant>
        <vt:lpwstr/>
      </vt:variant>
      <vt:variant>
        <vt:i4>4128805</vt:i4>
      </vt:variant>
      <vt:variant>
        <vt:i4>3</vt:i4>
      </vt:variant>
      <vt:variant>
        <vt:i4>0</vt:i4>
      </vt:variant>
      <vt:variant>
        <vt:i4>5</vt:i4>
      </vt:variant>
      <vt:variant>
        <vt:lpwstr>http://www.liaa.gov.lv/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vija.skutane</dc:creator>
  <cp:keywords/>
  <cp:lastModifiedBy>Zanda Gailume-Zohara</cp:lastModifiedBy>
  <cp:revision>3</cp:revision>
  <dcterms:created xsi:type="dcterms:W3CDTF">2021-02-05T10:28:00Z</dcterms:created>
  <dcterms:modified xsi:type="dcterms:W3CDTF">2021-02-05T11:07:00Z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0x010100C515FE087FC1B844A83E2EDF405DAD7F</vt:lpwstr>
  </property>
</Properties>
</file>