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A40F" w14:textId="5373E098" w:rsidR="00894C55" w:rsidRPr="00DD0BF5" w:rsidRDefault="00680DF7" w:rsidP="00D92B3B">
      <w:pPr>
        <w:shd w:val="clear" w:color="auto" w:fill="FFFFFF"/>
        <w:spacing w:after="0" w:line="240" w:lineRule="auto"/>
        <w:jc w:val="center"/>
        <w:rPr>
          <w:rFonts w:ascii="Times New Roman" w:eastAsia="Times New Roman" w:hAnsi="Times New Roman" w:cs="Times New Roman"/>
          <w:b/>
          <w:bCs/>
          <w:color w:val="222A35" w:themeColor="text2" w:themeShade="80"/>
          <w:sz w:val="28"/>
          <w:szCs w:val="24"/>
          <w:lang w:eastAsia="lv-LV"/>
        </w:rPr>
      </w:pPr>
      <w:sdt>
        <w:sdtPr>
          <w:rPr>
            <w:rFonts w:ascii="Times New Roman" w:eastAsia="Times New Roman" w:hAnsi="Times New Roman" w:cs="Times New Roman"/>
            <w:b/>
            <w:bCs/>
            <w:color w:val="222A35" w:themeColor="text2" w:themeShade="80"/>
            <w:sz w:val="28"/>
            <w:szCs w:val="24"/>
            <w:lang w:eastAsia="lv-LV"/>
          </w:rPr>
          <w:id w:val="882755678"/>
          <w:placeholder>
            <w:docPart w:val="B2513C7936974E769D1103048039203D"/>
          </w:placeholder>
        </w:sdtPr>
        <w:sdtEndPr/>
        <w:sdtContent>
          <w:r w:rsidR="00D92B3B" w:rsidRPr="00DD0BF5">
            <w:rPr>
              <w:rFonts w:ascii="Times New Roman" w:eastAsia="Times New Roman" w:hAnsi="Times New Roman" w:cs="Times New Roman"/>
              <w:b/>
              <w:bCs/>
              <w:color w:val="222A35" w:themeColor="text2" w:themeShade="80"/>
              <w:sz w:val="28"/>
              <w:szCs w:val="24"/>
              <w:lang w:eastAsia="lv-LV"/>
            </w:rPr>
            <w:t>Likumprojekta</w:t>
          </w:r>
          <w:r w:rsidR="00AF38A4" w:rsidRPr="00DD0BF5">
            <w:rPr>
              <w:rFonts w:ascii="Times New Roman" w:eastAsia="Times New Roman" w:hAnsi="Times New Roman" w:cs="Times New Roman"/>
              <w:b/>
              <w:bCs/>
              <w:color w:val="222A35" w:themeColor="text2" w:themeShade="80"/>
              <w:sz w:val="28"/>
              <w:szCs w:val="24"/>
              <w:lang w:eastAsia="lv-LV"/>
            </w:rPr>
            <w:t xml:space="preserve"> “</w:t>
          </w:r>
          <w:r w:rsidR="00C72D8D" w:rsidRPr="00C72D8D">
            <w:rPr>
              <w:rFonts w:ascii="Times New Roman" w:eastAsia="Times New Roman" w:hAnsi="Times New Roman" w:cs="Times New Roman"/>
              <w:b/>
              <w:bCs/>
              <w:color w:val="222A35" w:themeColor="text2" w:themeShade="80"/>
              <w:sz w:val="28"/>
              <w:szCs w:val="24"/>
              <w:lang w:eastAsia="lv-LV"/>
            </w:rPr>
            <w:t>Par Nolīgumu, ar ko groza Nolīgumu par iemaksu pārskaitīšanu uz vienoto noregulējuma fondu un to kopīgošanu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un Somijas Republiku</w:t>
          </w:r>
          <w:r w:rsidR="00AF38A4" w:rsidRPr="00DD0BF5">
            <w:rPr>
              <w:rFonts w:ascii="Times New Roman" w:eastAsia="Times New Roman" w:hAnsi="Times New Roman" w:cs="Times New Roman"/>
              <w:b/>
              <w:bCs/>
              <w:color w:val="222A35" w:themeColor="text2" w:themeShade="80"/>
              <w:sz w:val="28"/>
              <w:szCs w:val="24"/>
              <w:lang w:eastAsia="lv-LV"/>
            </w:rPr>
            <w:t>”</w:t>
          </w:r>
        </w:sdtContent>
      </w:sdt>
      <w:r w:rsidR="00894C55" w:rsidRPr="00DD0BF5">
        <w:rPr>
          <w:rFonts w:ascii="Times New Roman" w:eastAsia="Times New Roman" w:hAnsi="Times New Roman" w:cs="Times New Roman"/>
          <w:b/>
          <w:bCs/>
          <w:color w:val="222A35" w:themeColor="text2" w:themeShade="80"/>
          <w:sz w:val="28"/>
          <w:szCs w:val="24"/>
          <w:lang w:eastAsia="lv-LV"/>
        </w:rPr>
        <w:t xml:space="preserve"> sākotnējās ietekmes novērtējuma ziņojums (anotācija)</w:t>
      </w:r>
    </w:p>
    <w:p w14:paraId="447FC3EB" w14:textId="77777777" w:rsidR="00E5323B" w:rsidRPr="00DD0BF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37250" w:rsidRPr="00DD0BF5" w14:paraId="344D08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BDA92"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D0BF5">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37250" w:rsidRPr="00DD0BF5" w14:paraId="136A061A" w14:textId="77777777" w:rsidTr="00FF575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A58752D"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D0BF5">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B2E1371" w14:textId="52166303" w:rsidR="00D92B3B" w:rsidRPr="00DD0BF5" w:rsidRDefault="00D92B3B" w:rsidP="00D92B3B">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 xml:space="preserve">Likumprojekts ir izstrādāts, lai apstiprinātu </w:t>
            </w:r>
            <w:r w:rsidR="00C72D8D">
              <w:rPr>
                <w:rFonts w:ascii="Times New Roman" w:eastAsia="Times New Roman" w:hAnsi="Times New Roman" w:cs="Times New Roman"/>
                <w:color w:val="000000" w:themeColor="text1"/>
                <w:sz w:val="24"/>
                <w:szCs w:val="24"/>
                <w:lang w:eastAsia="lv-LV"/>
              </w:rPr>
              <w:t>N</w:t>
            </w:r>
            <w:r w:rsidR="004316BD" w:rsidRPr="00DD0BF5">
              <w:rPr>
                <w:rFonts w:ascii="Times New Roman" w:eastAsia="Times New Roman" w:hAnsi="Times New Roman" w:cs="Times New Roman"/>
                <w:color w:val="000000" w:themeColor="text1"/>
                <w:sz w:val="24"/>
                <w:szCs w:val="24"/>
                <w:lang w:eastAsia="lv-LV"/>
              </w:rPr>
              <w:t>olīguma</w:t>
            </w:r>
            <w:r w:rsidRPr="00DD0BF5">
              <w:rPr>
                <w:rFonts w:ascii="Times New Roman" w:eastAsia="Times New Roman" w:hAnsi="Times New Roman" w:cs="Times New Roman"/>
                <w:color w:val="000000" w:themeColor="text1"/>
                <w:sz w:val="24"/>
                <w:szCs w:val="24"/>
                <w:lang w:eastAsia="lv-LV"/>
              </w:rPr>
              <w:t xml:space="preserve">, ar ko groza Nolīgumu par iemaksu pārskaitīšanu uz vienoto noregulējuma  fondu un to kopīgošanu (turpmāk – </w:t>
            </w:r>
            <w:r w:rsidR="00712F96" w:rsidRPr="00DD0BF5">
              <w:rPr>
                <w:rFonts w:ascii="Times New Roman" w:eastAsia="Times New Roman" w:hAnsi="Times New Roman" w:cs="Times New Roman"/>
                <w:color w:val="000000" w:themeColor="text1"/>
                <w:sz w:val="24"/>
                <w:szCs w:val="24"/>
                <w:lang w:eastAsia="lv-LV"/>
              </w:rPr>
              <w:t>Nolīguma projekts</w:t>
            </w:r>
            <w:r w:rsidRPr="00DD0BF5">
              <w:rPr>
                <w:rFonts w:ascii="Times New Roman" w:eastAsia="Times New Roman" w:hAnsi="Times New Roman" w:cs="Times New Roman"/>
                <w:color w:val="000000" w:themeColor="text1"/>
                <w:sz w:val="24"/>
                <w:szCs w:val="24"/>
                <w:lang w:eastAsia="lv-LV"/>
              </w:rPr>
              <w:t>) parakstīšanu un virzīšanu ratifikācijai Saeimā.</w:t>
            </w:r>
          </w:p>
          <w:p w14:paraId="0C617FA1" w14:textId="559487C7" w:rsidR="00E5323B" w:rsidRPr="00DD0BF5" w:rsidRDefault="00D66394" w:rsidP="00E76800">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Nolīguma</w:t>
            </w:r>
            <w:r w:rsidR="00712F96" w:rsidRPr="00DD0BF5">
              <w:rPr>
                <w:rFonts w:ascii="Times New Roman" w:eastAsia="Times New Roman" w:hAnsi="Times New Roman" w:cs="Times New Roman"/>
                <w:color w:val="000000" w:themeColor="text1"/>
                <w:sz w:val="24"/>
                <w:szCs w:val="24"/>
                <w:lang w:eastAsia="lv-LV"/>
              </w:rPr>
              <w:t xml:space="preserve"> projekts</w:t>
            </w:r>
            <w:r w:rsidRPr="00DD0BF5">
              <w:rPr>
                <w:rFonts w:ascii="Times New Roman" w:eastAsia="Times New Roman" w:hAnsi="Times New Roman" w:cs="Times New Roman"/>
                <w:color w:val="000000" w:themeColor="text1"/>
                <w:sz w:val="24"/>
                <w:szCs w:val="24"/>
                <w:lang w:eastAsia="lv-LV"/>
              </w:rPr>
              <w:t xml:space="preserve"> paredz veikt grozījumus Nolīgumā par iemaksu pārskaitīšanu uz vienoto noregulējuma  fondu</w:t>
            </w:r>
            <w:r w:rsidR="008F3089" w:rsidRPr="00DD0BF5">
              <w:rPr>
                <w:rFonts w:ascii="Times New Roman" w:eastAsia="Times New Roman" w:hAnsi="Times New Roman" w:cs="Times New Roman"/>
                <w:color w:val="000000" w:themeColor="text1"/>
                <w:sz w:val="24"/>
                <w:szCs w:val="24"/>
                <w:lang w:eastAsia="lv-LV"/>
              </w:rPr>
              <w:t xml:space="preserve"> (turpmāk – VNF)</w:t>
            </w:r>
            <w:r w:rsidRPr="00DD0BF5">
              <w:rPr>
                <w:rFonts w:ascii="Times New Roman" w:eastAsia="Times New Roman" w:hAnsi="Times New Roman" w:cs="Times New Roman"/>
                <w:color w:val="000000" w:themeColor="text1"/>
                <w:sz w:val="24"/>
                <w:szCs w:val="24"/>
                <w:lang w:eastAsia="lv-LV"/>
              </w:rPr>
              <w:t xml:space="preserve"> un to kopīgošanu, lai nodrošinātu agrīnu kopīgā atbalsta </w:t>
            </w:r>
            <w:r w:rsidR="00E0052E" w:rsidRPr="00DD0BF5">
              <w:rPr>
                <w:rFonts w:ascii="Times New Roman" w:eastAsia="Times New Roman" w:hAnsi="Times New Roman" w:cs="Times New Roman"/>
                <w:color w:val="000000" w:themeColor="text1"/>
                <w:sz w:val="24"/>
                <w:szCs w:val="24"/>
                <w:lang w:eastAsia="lv-LV"/>
              </w:rPr>
              <w:t>mehānisma</w:t>
            </w:r>
            <w:r w:rsidRPr="00DD0BF5">
              <w:rPr>
                <w:rFonts w:ascii="Times New Roman" w:eastAsia="Times New Roman" w:hAnsi="Times New Roman" w:cs="Times New Roman"/>
                <w:color w:val="000000" w:themeColor="text1"/>
                <w:sz w:val="24"/>
                <w:szCs w:val="24"/>
                <w:lang w:eastAsia="lv-LV"/>
              </w:rPr>
              <w:t xml:space="preserve"> ieviešanu</w:t>
            </w:r>
            <w:r w:rsidR="00D67825" w:rsidRPr="00DD0BF5">
              <w:rPr>
                <w:rFonts w:ascii="Times New Roman" w:eastAsia="Times New Roman" w:hAnsi="Times New Roman" w:cs="Times New Roman"/>
                <w:color w:val="000000" w:themeColor="text1"/>
                <w:sz w:val="24"/>
                <w:szCs w:val="24"/>
                <w:lang w:eastAsia="lv-LV"/>
              </w:rPr>
              <w:t>.</w:t>
            </w:r>
          </w:p>
        </w:tc>
      </w:tr>
    </w:tbl>
    <w:p w14:paraId="6578D947"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DD0BF5">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737250" w:rsidRPr="00DD0BF5" w14:paraId="3BFC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45DB8"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7250" w:rsidRPr="00DD0BF5" w14:paraId="0A3BD0EE"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E3FE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B65C6C6"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05B1E28C" w14:textId="0102D6F8" w:rsidR="006C54E2" w:rsidRPr="00DD0BF5"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Likumpro</w:t>
            </w:r>
            <w:r w:rsidR="001C5DEC" w:rsidRPr="00DD0BF5">
              <w:rPr>
                <w:rFonts w:ascii="Times New Roman" w:eastAsia="Times New Roman" w:hAnsi="Times New Roman" w:cs="Times New Roman"/>
                <w:color w:val="000000" w:themeColor="text1"/>
                <w:sz w:val="24"/>
                <w:szCs w:val="24"/>
                <w:lang w:eastAsia="lv-LV"/>
              </w:rPr>
              <w:t>jekts izstrādāts saskaņā ar 2020</w:t>
            </w:r>
            <w:r w:rsidRPr="00DD0BF5">
              <w:rPr>
                <w:rFonts w:ascii="Times New Roman" w:eastAsia="Times New Roman" w:hAnsi="Times New Roman" w:cs="Times New Roman"/>
                <w:color w:val="000000" w:themeColor="text1"/>
                <w:sz w:val="24"/>
                <w:szCs w:val="24"/>
                <w:lang w:eastAsia="lv-LV"/>
              </w:rPr>
              <w:t>.gada 13.</w:t>
            </w:r>
            <w:r w:rsidR="001C5DEC" w:rsidRPr="00DD0BF5">
              <w:rPr>
                <w:rFonts w:ascii="Times New Roman" w:eastAsia="Times New Roman" w:hAnsi="Times New Roman" w:cs="Times New Roman"/>
                <w:color w:val="000000" w:themeColor="text1"/>
                <w:sz w:val="24"/>
                <w:szCs w:val="24"/>
                <w:lang w:eastAsia="lv-LV"/>
              </w:rPr>
              <w:t>martā</w:t>
            </w:r>
            <w:r w:rsidRPr="00DD0BF5">
              <w:rPr>
                <w:rFonts w:ascii="Times New Roman" w:eastAsia="Times New Roman" w:hAnsi="Times New Roman" w:cs="Times New Roman"/>
                <w:color w:val="000000" w:themeColor="text1"/>
                <w:sz w:val="24"/>
                <w:szCs w:val="24"/>
                <w:lang w:eastAsia="lv-LV"/>
              </w:rPr>
              <w:t xml:space="preserve"> Saeimā a</w:t>
            </w:r>
            <w:r w:rsidR="001C5DEC" w:rsidRPr="00DD0BF5">
              <w:rPr>
                <w:rFonts w:ascii="Times New Roman" w:eastAsia="Times New Roman" w:hAnsi="Times New Roman" w:cs="Times New Roman"/>
                <w:color w:val="000000" w:themeColor="text1"/>
                <w:sz w:val="24"/>
                <w:szCs w:val="24"/>
                <w:lang w:eastAsia="lv-LV"/>
              </w:rPr>
              <w:t xml:space="preserve">tbalstīto </w:t>
            </w:r>
            <w:r w:rsidR="007F2F66" w:rsidRPr="00DD0BF5">
              <w:rPr>
                <w:rFonts w:ascii="Times New Roman" w:eastAsia="Times New Roman" w:hAnsi="Times New Roman" w:cs="Times New Roman"/>
                <w:color w:val="000000" w:themeColor="text1"/>
                <w:sz w:val="24"/>
                <w:szCs w:val="24"/>
                <w:lang w:eastAsia="lv-LV"/>
              </w:rPr>
              <w:t xml:space="preserve">un 17.martā Ministru kabinetā apstiprināto </w:t>
            </w:r>
            <w:r w:rsidR="001C5DEC" w:rsidRPr="00DD0BF5">
              <w:rPr>
                <w:rFonts w:ascii="Times New Roman" w:eastAsia="Times New Roman" w:hAnsi="Times New Roman" w:cs="Times New Roman"/>
                <w:color w:val="000000" w:themeColor="text1"/>
                <w:sz w:val="24"/>
                <w:szCs w:val="24"/>
                <w:lang w:eastAsia="lv-LV"/>
              </w:rPr>
              <w:t>Latvijas pozīciju Nr.6</w:t>
            </w:r>
            <w:r w:rsidRPr="00DD0BF5">
              <w:rPr>
                <w:rFonts w:ascii="Times New Roman" w:eastAsia="Times New Roman" w:hAnsi="Times New Roman" w:cs="Times New Roman"/>
                <w:color w:val="000000" w:themeColor="text1"/>
                <w:sz w:val="24"/>
                <w:szCs w:val="24"/>
                <w:lang w:eastAsia="lv-LV"/>
              </w:rPr>
              <w:t xml:space="preserve"> “</w:t>
            </w:r>
            <w:r w:rsidR="001C5DEC" w:rsidRPr="00DD0BF5">
              <w:rPr>
                <w:rFonts w:ascii="Times New Roman" w:eastAsia="Times New Roman" w:hAnsi="Times New Roman" w:cs="Times New Roman"/>
                <w:color w:val="000000" w:themeColor="text1"/>
                <w:sz w:val="24"/>
                <w:szCs w:val="24"/>
                <w:lang w:eastAsia="lv-LV"/>
              </w:rPr>
              <w:t xml:space="preserve">Par Ekonomikas un monetārās savienības padziļināšanas aspektiem – diskusijas </w:t>
            </w:r>
            <w:proofErr w:type="spellStart"/>
            <w:r w:rsidR="001C5DEC" w:rsidRPr="00DD0BF5">
              <w:rPr>
                <w:rFonts w:ascii="Times New Roman" w:eastAsia="Times New Roman" w:hAnsi="Times New Roman" w:cs="Times New Roman"/>
                <w:i/>
                <w:color w:val="000000" w:themeColor="text1"/>
                <w:sz w:val="24"/>
                <w:szCs w:val="24"/>
                <w:lang w:eastAsia="lv-LV"/>
              </w:rPr>
              <w:t>Euro</w:t>
            </w:r>
            <w:proofErr w:type="spellEnd"/>
            <w:r w:rsidR="001C5DEC" w:rsidRPr="00DD0BF5">
              <w:rPr>
                <w:rFonts w:ascii="Times New Roman" w:eastAsia="Times New Roman" w:hAnsi="Times New Roman" w:cs="Times New Roman"/>
                <w:color w:val="000000" w:themeColor="text1"/>
                <w:sz w:val="24"/>
                <w:szCs w:val="24"/>
                <w:lang w:eastAsia="lv-LV"/>
              </w:rPr>
              <w:t xml:space="preserve"> grupā</w:t>
            </w:r>
            <w:r w:rsidRPr="00DD0BF5">
              <w:rPr>
                <w:rFonts w:ascii="Times New Roman" w:eastAsia="Times New Roman" w:hAnsi="Times New Roman" w:cs="Times New Roman"/>
                <w:color w:val="000000" w:themeColor="text1"/>
                <w:sz w:val="24"/>
                <w:szCs w:val="24"/>
                <w:lang w:eastAsia="lv-LV"/>
              </w:rPr>
              <w:t xml:space="preserve">”. </w:t>
            </w:r>
          </w:p>
          <w:p w14:paraId="69B61B22" w14:textId="269AC52A" w:rsidR="00E5323B" w:rsidRPr="00DD0BF5" w:rsidRDefault="007236A7" w:rsidP="0078698E">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Atbilstoši</w:t>
            </w:r>
            <w:r w:rsidRPr="00DD0BF5">
              <w:rPr>
                <w:rFonts w:ascii="Times New Roman" w:eastAsia="Times New Roman" w:hAnsi="Times New Roman" w:cs="Times New Roman"/>
                <w:i/>
                <w:color w:val="000000" w:themeColor="text1"/>
                <w:sz w:val="24"/>
                <w:szCs w:val="24"/>
                <w:lang w:eastAsia="lv-LV"/>
              </w:rPr>
              <w:t xml:space="preserve"> </w:t>
            </w:r>
            <w:proofErr w:type="spellStart"/>
            <w:r w:rsidR="001C5DEC" w:rsidRPr="00DD0BF5">
              <w:rPr>
                <w:rFonts w:ascii="Times New Roman" w:eastAsia="Times New Roman" w:hAnsi="Times New Roman" w:cs="Times New Roman"/>
                <w:i/>
                <w:color w:val="000000" w:themeColor="text1"/>
                <w:sz w:val="24"/>
                <w:szCs w:val="24"/>
                <w:lang w:eastAsia="lv-LV"/>
              </w:rPr>
              <w:t>Euro</w:t>
            </w:r>
            <w:proofErr w:type="spellEnd"/>
            <w:r w:rsidR="001C5DEC" w:rsidRPr="00DD0BF5">
              <w:rPr>
                <w:rFonts w:ascii="Times New Roman" w:eastAsia="Times New Roman" w:hAnsi="Times New Roman" w:cs="Times New Roman"/>
                <w:color w:val="000000" w:themeColor="text1"/>
                <w:sz w:val="24"/>
                <w:szCs w:val="24"/>
                <w:lang w:eastAsia="lv-LV"/>
              </w:rPr>
              <w:t xml:space="preserve"> grupas iekļaujošā formātā 2</w:t>
            </w:r>
            <w:r w:rsidRPr="00DD0BF5">
              <w:rPr>
                <w:rFonts w:ascii="Times New Roman" w:eastAsia="Times New Roman" w:hAnsi="Times New Roman" w:cs="Times New Roman"/>
                <w:color w:val="000000" w:themeColor="text1"/>
                <w:sz w:val="24"/>
                <w:szCs w:val="24"/>
                <w:lang w:eastAsia="lv-LV"/>
              </w:rPr>
              <w:t xml:space="preserve">020.gada 30.novembra paziņojumam </w:t>
            </w:r>
            <w:r w:rsidR="0078698E" w:rsidRPr="00DD0BF5">
              <w:rPr>
                <w:rFonts w:ascii="Times New Roman" w:eastAsia="Times New Roman" w:hAnsi="Times New Roman" w:cs="Times New Roman"/>
                <w:color w:val="000000" w:themeColor="text1"/>
                <w:sz w:val="24"/>
                <w:szCs w:val="24"/>
                <w:lang w:eastAsia="lv-LV"/>
              </w:rPr>
              <w:t>finanšu ministri ir vienojušies</w:t>
            </w:r>
            <w:r w:rsidRPr="00DD0BF5">
              <w:rPr>
                <w:rFonts w:ascii="Times New Roman" w:eastAsia="Times New Roman" w:hAnsi="Times New Roman" w:cs="Times New Roman"/>
                <w:color w:val="000000" w:themeColor="text1"/>
                <w:sz w:val="24"/>
                <w:szCs w:val="24"/>
                <w:lang w:eastAsia="lv-LV"/>
              </w:rPr>
              <w:t xml:space="preserve"> par </w:t>
            </w:r>
            <w:r w:rsidR="007562B2" w:rsidRPr="00DD0BF5">
              <w:rPr>
                <w:rFonts w:ascii="Times New Roman" w:eastAsia="Times New Roman" w:hAnsi="Times New Roman" w:cs="Times New Roman"/>
                <w:color w:val="000000" w:themeColor="text1"/>
                <w:sz w:val="24"/>
                <w:szCs w:val="24"/>
                <w:lang w:eastAsia="lv-LV"/>
              </w:rPr>
              <w:t xml:space="preserve">kopīgā atbalsta </w:t>
            </w:r>
            <w:r w:rsidR="00E0052E" w:rsidRPr="00DD0BF5">
              <w:rPr>
                <w:rFonts w:ascii="Times New Roman" w:eastAsia="Times New Roman" w:hAnsi="Times New Roman" w:cs="Times New Roman"/>
                <w:color w:val="000000" w:themeColor="text1"/>
                <w:sz w:val="24"/>
                <w:szCs w:val="24"/>
                <w:lang w:eastAsia="lv-LV"/>
              </w:rPr>
              <w:t>mehānisma</w:t>
            </w:r>
            <w:r w:rsidR="007562B2" w:rsidRPr="00DD0BF5">
              <w:rPr>
                <w:rFonts w:ascii="Times New Roman" w:eastAsia="Times New Roman" w:hAnsi="Times New Roman" w:cs="Times New Roman"/>
                <w:color w:val="000000" w:themeColor="text1"/>
                <w:sz w:val="24"/>
                <w:szCs w:val="24"/>
                <w:lang w:eastAsia="lv-LV"/>
              </w:rPr>
              <w:t xml:space="preserve"> agrīno ieviešanu ne vēlāk kā </w:t>
            </w:r>
            <w:r w:rsidR="00162EC7" w:rsidRPr="00DD0BF5">
              <w:rPr>
                <w:rFonts w:ascii="Times New Roman" w:eastAsia="Times New Roman" w:hAnsi="Times New Roman" w:cs="Times New Roman"/>
                <w:color w:val="000000" w:themeColor="text1"/>
                <w:sz w:val="24"/>
                <w:szCs w:val="24"/>
                <w:lang w:eastAsia="lv-LV"/>
              </w:rPr>
              <w:t xml:space="preserve">līdz </w:t>
            </w:r>
            <w:r w:rsidR="007562B2" w:rsidRPr="00DD0BF5">
              <w:rPr>
                <w:rFonts w:ascii="Times New Roman" w:eastAsia="Times New Roman" w:hAnsi="Times New Roman" w:cs="Times New Roman"/>
                <w:color w:val="000000" w:themeColor="text1"/>
                <w:sz w:val="24"/>
                <w:szCs w:val="24"/>
                <w:lang w:eastAsia="lv-LV"/>
              </w:rPr>
              <w:t>2022.gada sākum</w:t>
            </w:r>
            <w:r w:rsidR="00162EC7" w:rsidRPr="00DD0BF5">
              <w:rPr>
                <w:rFonts w:ascii="Times New Roman" w:eastAsia="Times New Roman" w:hAnsi="Times New Roman" w:cs="Times New Roman"/>
                <w:color w:val="000000" w:themeColor="text1"/>
                <w:sz w:val="24"/>
                <w:szCs w:val="24"/>
                <w:lang w:eastAsia="lv-LV"/>
              </w:rPr>
              <w:t>am. Vienlaicīgi vienošanās paredz</w:t>
            </w:r>
            <w:r w:rsidRPr="00DD0BF5">
              <w:rPr>
                <w:rFonts w:ascii="Times New Roman" w:eastAsia="Times New Roman" w:hAnsi="Times New Roman" w:cs="Times New Roman"/>
                <w:color w:val="000000" w:themeColor="text1"/>
                <w:sz w:val="24"/>
                <w:szCs w:val="24"/>
                <w:lang w:eastAsia="lv-LV"/>
              </w:rPr>
              <w:t xml:space="preserve">, ka </w:t>
            </w:r>
            <w:r w:rsidR="007562B2" w:rsidRPr="00DD0BF5">
              <w:rPr>
                <w:rFonts w:ascii="Times New Roman" w:eastAsia="Times New Roman" w:hAnsi="Times New Roman" w:cs="Times New Roman"/>
                <w:color w:val="000000" w:themeColor="text1"/>
                <w:sz w:val="24"/>
                <w:szCs w:val="24"/>
                <w:lang w:eastAsia="lv-LV"/>
              </w:rPr>
              <w:t xml:space="preserve">Nolīguma projekta </w:t>
            </w:r>
            <w:r w:rsidRPr="00DD0BF5">
              <w:rPr>
                <w:rFonts w:ascii="Times New Roman" w:eastAsia="Times New Roman" w:hAnsi="Times New Roman" w:cs="Times New Roman"/>
                <w:color w:val="000000" w:themeColor="text1"/>
                <w:sz w:val="24"/>
                <w:szCs w:val="24"/>
                <w:lang w:eastAsia="lv-LV"/>
              </w:rPr>
              <w:t>parakstīšana notiks</w:t>
            </w:r>
            <w:r w:rsidR="007562B2" w:rsidRPr="00DD0BF5">
              <w:rPr>
                <w:rFonts w:ascii="Times New Roman" w:eastAsia="Times New Roman" w:hAnsi="Times New Roman" w:cs="Times New Roman"/>
                <w:color w:val="000000" w:themeColor="text1"/>
                <w:sz w:val="24"/>
                <w:szCs w:val="24"/>
                <w:lang w:eastAsia="lv-LV"/>
              </w:rPr>
              <w:t xml:space="preserve"> kopā ar Līguma, ar kuru groza Līgumu par Eiropas Stabilitātes mehānisma</w:t>
            </w:r>
            <w:r w:rsidR="00A44E2A" w:rsidRPr="00DD0BF5">
              <w:rPr>
                <w:rFonts w:ascii="Times New Roman" w:eastAsia="Times New Roman" w:hAnsi="Times New Roman" w:cs="Times New Roman"/>
                <w:color w:val="000000" w:themeColor="text1"/>
                <w:sz w:val="24"/>
                <w:szCs w:val="24"/>
                <w:lang w:eastAsia="lv-LV"/>
              </w:rPr>
              <w:t xml:space="preserve"> (turpmāk – ESM)</w:t>
            </w:r>
            <w:r w:rsidR="007562B2" w:rsidRPr="00DD0BF5">
              <w:rPr>
                <w:rFonts w:ascii="Times New Roman" w:eastAsia="Times New Roman" w:hAnsi="Times New Roman" w:cs="Times New Roman"/>
                <w:color w:val="000000" w:themeColor="text1"/>
                <w:sz w:val="24"/>
                <w:szCs w:val="24"/>
                <w:lang w:eastAsia="lv-LV"/>
              </w:rPr>
              <w:t xml:space="preserve"> dibināšanu, parakstīšanu</w:t>
            </w:r>
            <w:r w:rsidRPr="00DD0BF5">
              <w:rPr>
                <w:rFonts w:ascii="Times New Roman" w:eastAsia="Times New Roman" w:hAnsi="Times New Roman" w:cs="Times New Roman"/>
                <w:color w:val="000000" w:themeColor="text1"/>
                <w:sz w:val="24"/>
                <w:szCs w:val="24"/>
                <w:lang w:eastAsia="lv-LV"/>
              </w:rPr>
              <w:t xml:space="preserve"> šā gada 27.janvārī, pēc kā dalībvalstis var</w:t>
            </w:r>
            <w:r w:rsidR="007562B2" w:rsidRPr="00DD0BF5">
              <w:rPr>
                <w:rFonts w:ascii="Times New Roman" w:eastAsia="Times New Roman" w:hAnsi="Times New Roman" w:cs="Times New Roman"/>
                <w:color w:val="000000" w:themeColor="text1"/>
                <w:sz w:val="24"/>
                <w:szCs w:val="24"/>
                <w:lang w:eastAsia="lv-LV"/>
              </w:rPr>
              <w:t>ēs</w:t>
            </w:r>
            <w:r w:rsidRPr="00DD0BF5">
              <w:rPr>
                <w:rFonts w:ascii="Times New Roman" w:eastAsia="Times New Roman" w:hAnsi="Times New Roman" w:cs="Times New Roman"/>
                <w:color w:val="000000" w:themeColor="text1"/>
                <w:sz w:val="24"/>
                <w:szCs w:val="24"/>
                <w:lang w:eastAsia="lv-LV"/>
              </w:rPr>
              <w:t xml:space="preserve"> uzsākt </w:t>
            </w:r>
            <w:r w:rsidR="007562B2" w:rsidRPr="00DD0BF5">
              <w:rPr>
                <w:rFonts w:ascii="Times New Roman" w:eastAsia="Times New Roman" w:hAnsi="Times New Roman" w:cs="Times New Roman"/>
                <w:color w:val="000000" w:themeColor="text1"/>
                <w:sz w:val="24"/>
                <w:szCs w:val="24"/>
                <w:lang w:eastAsia="lv-LV"/>
              </w:rPr>
              <w:t>ratifikācijas procesu</w:t>
            </w:r>
            <w:r w:rsidRPr="00DD0BF5">
              <w:rPr>
                <w:rFonts w:ascii="Times New Roman" w:eastAsia="Times New Roman" w:hAnsi="Times New Roman" w:cs="Times New Roman"/>
                <w:color w:val="000000" w:themeColor="text1"/>
                <w:sz w:val="24"/>
                <w:szCs w:val="24"/>
                <w:lang w:eastAsia="lv-LV"/>
              </w:rPr>
              <w:t>.</w:t>
            </w:r>
          </w:p>
        </w:tc>
      </w:tr>
      <w:tr w:rsidR="00737250" w:rsidRPr="00DD0BF5" w14:paraId="127A67F0"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AEB51" w14:textId="77777777" w:rsidR="00737250" w:rsidRPr="00DD0BF5"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AB24664" w14:textId="562E0A65" w:rsidR="00737250" w:rsidRPr="00DD0BF5"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3BD30190" w14:textId="173B8616" w:rsidR="00A44E2A" w:rsidRPr="00DD0BF5" w:rsidRDefault="00A44E2A" w:rsidP="005F5CC5">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hAnsi="Times New Roman" w:cs="Times New Roman"/>
                <w:sz w:val="24"/>
                <w:szCs w:val="24"/>
              </w:rPr>
              <w:t xml:space="preserve">2017.gada 6.decembrī Eiropas Komisija (turpmāk - EK) publicēja priekšlikumus turpmākai Ekonomikas un monetārās savienības padziļināšanai. </w:t>
            </w:r>
            <w:r w:rsidR="008D7BF4" w:rsidRPr="00DD0BF5">
              <w:rPr>
                <w:rFonts w:ascii="Times New Roman" w:hAnsi="Times New Roman" w:cs="Times New Roman"/>
                <w:sz w:val="24"/>
                <w:szCs w:val="24"/>
              </w:rPr>
              <w:t>Viens no priekšlikumiem paredzēja, ka</w:t>
            </w:r>
            <w:r w:rsidRPr="00DD0BF5">
              <w:rPr>
                <w:rStyle w:val="jlqj4b"/>
                <w:rFonts w:ascii="Times New Roman" w:eastAsia="Times New Roman" w:hAnsi="Times New Roman" w:cs="Times New Roman"/>
                <w:color w:val="000000"/>
                <w:sz w:val="24"/>
                <w:szCs w:val="24"/>
              </w:rPr>
              <w:t xml:space="preserve"> kopīgā atbalsta </w:t>
            </w:r>
            <w:r w:rsidR="008D7BF4" w:rsidRPr="00DD0BF5">
              <w:rPr>
                <w:rStyle w:val="jlqj4b"/>
                <w:rFonts w:ascii="Times New Roman" w:eastAsia="Times New Roman" w:hAnsi="Times New Roman" w:cs="Times New Roman"/>
                <w:color w:val="000000"/>
                <w:sz w:val="24"/>
                <w:szCs w:val="24"/>
              </w:rPr>
              <w:t>mehānisma</w:t>
            </w:r>
            <w:r w:rsidRPr="00DD0BF5">
              <w:rPr>
                <w:rStyle w:val="jlqj4b"/>
                <w:rFonts w:ascii="Times New Roman" w:eastAsia="Times New Roman" w:hAnsi="Times New Roman" w:cs="Times New Roman"/>
                <w:color w:val="000000"/>
                <w:sz w:val="24"/>
                <w:szCs w:val="24"/>
              </w:rPr>
              <w:t xml:space="preserve"> (t.i. kredītlīnijas</w:t>
            </w:r>
            <w:r w:rsidR="008D7BF4" w:rsidRPr="00DD0BF5">
              <w:rPr>
                <w:rStyle w:val="jlqj4b"/>
                <w:rFonts w:ascii="Times New Roman" w:eastAsia="Times New Roman" w:hAnsi="Times New Roman" w:cs="Times New Roman"/>
                <w:color w:val="000000"/>
                <w:sz w:val="24"/>
                <w:szCs w:val="24"/>
              </w:rPr>
              <w:t>) nodrošināšana</w:t>
            </w:r>
            <w:r w:rsidRPr="00DD0BF5">
              <w:rPr>
                <w:rStyle w:val="jlqj4b"/>
                <w:rFonts w:ascii="Times New Roman" w:eastAsia="Times New Roman" w:hAnsi="Times New Roman" w:cs="Times New Roman"/>
                <w:color w:val="000000"/>
                <w:sz w:val="24"/>
                <w:szCs w:val="24"/>
              </w:rPr>
              <w:t xml:space="preserve"> </w:t>
            </w:r>
            <w:r w:rsidR="005740EC" w:rsidRPr="00DD0BF5">
              <w:rPr>
                <w:rStyle w:val="jlqj4b"/>
                <w:rFonts w:ascii="Times New Roman" w:eastAsia="Times New Roman" w:hAnsi="Times New Roman" w:cs="Times New Roman"/>
                <w:color w:val="000000"/>
                <w:sz w:val="24"/>
                <w:szCs w:val="24"/>
              </w:rPr>
              <w:t>VNF</w:t>
            </w:r>
            <w:r w:rsidRPr="00DD0BF5">
              <w:rPr>
                <w:rStyle w:val="jlqj4b"/>
                <w:rFonts w:ascii="Times New Roman" w:eastAsia="Times New Roman" w:hAnsi="Times New Roman" w:cs="Times New Roman"/>
                <w:color w:val="000000"/>
                <w:sz w:val="24"/>
                <w:szCs w:val="24"/>
              </w:rPr>
              <w:t xml:space="preserve"> </w:t>
            </w:r>
            <w:r w:rsidR="008D7BF4" w:rsidRPr="00DD0BF5">
              <w:rPr>
                <w:rStyle w:val="jlqj4b"/>
                <w:rFonts w:ascii="Times New Roman" w:eastAsia="Times New Roman" w:hAnsi="Times New Roman" w:cs="Times New Roman"/>
                <w:color w:val="000000"/>
                <w:sz w:val="24"/>
                <w:szCs w:val="24"/>
              </w:rPr>
              <w:t xml:space="preserve">notiks </w:t>
            </w:r>
            <w:r w:rsidRPr="00DD0BF5">
              <w:rPr>
                <w:rStyle w:val="jlqj4b"/>
                <w:rFonts w:ascii="Times New Roman" w:eastAsia="Times New Roman" w:hAnsi="Times New Roman" w:cs="Times New Roman"/>
                <w:color w:val="000000"/>
                <w:sz w:val="24"/>
                <w:szCs w:val="24"/>
              </w:rPr>
              <w:t xml:space="preserve">ar ESM palīdzību. </w:t>
            </w:r>
          </w:p>
          <w:p w14:paraId="4F58298B" w14:textId="4C324D80" w:rsidR="007F6DA0" w:rsidRPr="00DD0BF5" w:rsidRDefault="007F6DA0"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2018.gada 14.decembrī </w:t>
            </w:r>
            <w:proofErr w:type="spellStart"/>
            <w:r w:rsidRPr="00DD0BF5">
              <w:rPr>
                <w:rFonts w:ascii="Times New Roman" w:hAnsi="Times New Roman" w:cs="Times New Roman"/>
                <w:sz w:val="24"/>
                <w:szCs w:val="24"/>
              </w:rPr>
              <w:t>Eirosamita</w:t>
            </w:r>
            <w:proofErr w:type="spellEnd"/>
            <w:r w:rsidRPr="00DD0BF5">
              <w:rPr>
                <w:rFonts w:ascii="Times New Roman" w:hAnsi="Times New Roman" w:cs="Times New Roman"/>
                <w:sz w:val="24"/>
                <w:szCs w:val="24"/>
              </w:rPr>
              <w:t xml:space="preserve"> laikā </w:t>
            </w:r>
            <w:proofErr w:type="spellStart"/>
            <w:r w:rsidRPr="00DD0BF5">
              <w:rPr>
                <w:rFonts w:ascii="Times New Roman" w:hAnsi="Times New Roman" w:cs="Times New Roman"/>
                <w:i/>
                <w:sz w:val="24"/>
                <w:szCs w:val="24"/>
              </w:rPr>
              <w:t>Euro</w:t>
            </w:r>
            <w:proofErr w:type="spellEnd"/>
            <w:r w:rsidRPr="00DD0BF5">
              <w:rPr>
                <w:rFonts w:ascii="Times New Roman" w:hAnsi="Times New Roman" w:cs="Times New Roman"/>
                <w:sz w:val="24"/>
                <w:szCs w:val="24"/>
              </w:rPr>
              <w:t xml:space="preserve"> zonas valstu vai to valdību vadītāji apstiprināja kopīgā atbalsta </w:t>
            </w:r>
            <w:r w:rsidR="00E0052E" w:rsidRPr="00DD0BF5">
              <w:rPr>
                <w:rFonts w:ascii="Times New Roman" w:hAnsi="Times New Roman" w:cs="Times New Roman"/>
                <w:sz w:val="24"/>
                <w:szCs w:val="24"/>
              </w:rPr>
              <w:t>mehānisma</w:t>
            </w:r>
            <w:r w:rsidRPr="00DD0BF5">
              <w:rPr>
                <w:rFonts w:ascii="Times New Roman" w:hAnsi="Times New Roman" w:cs="Times New Roman"/>
                <w:sz w:val="24"/>
                <w:szCs w:val="24"/>
              </w:rPr>
              <w:t xml:space="preserve"> </w:t>
            </w:r>
            <w:r w:rsidR="00E0052E" w:rsidRPr="00DD0BF5">
              <w:rPr>
                <w:rFonts w:ascii="Times New Roman" w:hAnsi="Times New Roman" w:cs="Times New Roman"/>
                <w:sz w:val="24"/>
                <w:szCs w:val="24"/>
              </w:rPr>
              <w:t>darba uzdevumus. Vienošanās, kas atspoguļota darba uzdevumus, paredz</w:t>
            </w:r>
            <w:r w:rsidR="008D7BF4" w:rsidRPr="00DD0BF5">
              <w:rPr>
                <w:rFonts w:ascii="Times New Roman" w:hAnsi="Times New Roman" w:cs="Times New Roman"/>
                <w:sz w:val="24"/>
                <w:szCs w:val="24"/>
              </w:rPr>
              <w:t>ēja</w:t>
            </w:r>
            <w:r w:rsidR="00E0052E" w:rsidRPr="00DD0BF5">
              <w:rPr>
                <w:rFonts w:ascii="Times New Roman" w:hAnsi="Times New Roman" w:cs="Times New Roman"/>
                <w:sz w:val="24"/>
                <w:szCs w:val="24"/>
              </w:rPr>
              <w:t>, ka kopīgais at</w:t>
            </w:r>
            <w:r w:rsidR="008D7BF4" w:rsidRPr="00DD0BF5">
              <w:rPr>
                <w:rFonts w:ascii="Times New Roman" w:hAnsi="Times New Roman" w:cs="Times New Roman"/>
                <w:sz w:val="24"/>
                <w:szCs w:val="24"/>
              </w:rPr>
              <w:t>balsta mehānisms tiktu ieviests</w:t>
            </w:r>
            <w:r w:rsidR="00E0052E" w:rsidRPr="00DD0BF5">
              <w:rPr>
                <w:rFonts w:ascii="Times New Roman" w:hAnsi="Times New Roman" w:cs="Times New Roman"/>
                <w:sz w:val="24"/>
                <w:szCs w:val="24"/>
              </w:rPr>
              <w:t xml:space="preserve"> pirms pārejas perioda beigām</w:t>
            </w:r>
            <w:r w:rsidR="008D7BF4" w:rsidRPr="00DD0BF5">
              <w:rPr>
                <w:rFonts w:ascii="Times New Roman" w:hAnsi="Times New Roman" w:cs="Times New Roman"/>
                <w:sz w:val="24"/>
                <w:szCs w:val="24"/>
              </w:rPr>
              <w:t>,</w:t>
            </w:r>
            <w:r w:rsidR="00E0052E" w:rsidRPr="00DD0BF5">
              <w:rPr>
                <w:rFonts w:ascii="Times New Roman" w:hAnsi="Times New Roman" w:cs="Times New Roman"/>
                <w:sz w:val="24"/>
                <w:szCs w:val="24"/>
              </w:rPr>
              <w:t xml:space="preserve"> veicot nelielas izmaiņas </w:t>
            </w:r>
            <w:r w:rsidR="00E0052E"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8F3089" w:rsidRPr="00DD0BF5">
              <w:rPr>
                <w:rFonts w:ascii="Times New Roman" w:eastAsia="Times New Roman" w:hAnsi="Times New Roman" w:cs="Times New Roman"/>
                <w:color w:val="000000" w:themeColor="text1"/>
                <w:sz w:val="24"/>
                <w:szCs w:val="24"/>
                <w:lang w:eastAsia="lv-LV"/>
              </w:rPr>
              <w:t>VNF</w:t>
            </w:r>
            <w:r w:rsidR="00E0052E" w:rsidRPr="00DD0BF5">
              <w:rPr>
                <w:rFonts w:ascii="Times New Roman" w:eastAsia="Times New Roman" w:hAnsi="Times New Roman" w:cs="Times New Roman"/>
                <w:color w:val="000000" w:themeColor="text1"/>
                <w:sz w:val="24"/>
                <w:szCs w:val="24"/>
                <w:lang w:eastAsia="lv-LV"/>
              </w:rPr>
              <w:t xml:space="preserve"> un to </w:t>
            </w:r>
            <w:r w:rsidR="00E0052E" w:rsidRPr="00DD0BF5">
              <w:rPr>
                <w:rFonts w:ascii="Times New Roman" w:eastAsia="Times New Roman" w:hAnsi="Times New Roman" w:cs="Times New Roman"/>
                <w:color w:val="000000" w:themeColor="text1"/>
                <w:sz w:val="24"/>
                <w:szCs w:val="24"/>
                <w:lang w:eastAsia="lv-LV"/>
              </w:rPr>
              <w:lastRenderedPageBreak/>
              <w:t>kopīgošanu</w:t>
            </w:r>
            <w:r w:rsidR="00E0052E" w:rsidRPr="00DD0BF5">
              <w:rPr>
                <w:rFonts w:ascii="Times New Roman" w:hAnsi="Times New Roman" w:cs="Times New Roman"/>
                <w:sz w:val="24"/>
                <w:szCs w:val="24"/>
              </w:rPr>
              <w:t xml:space="preserve">, ar noteikumu, ka ir panākts pietiekams progress risku samazināšanā, </w:t>
            </w:r>
            <w:r w:rsidR="008D7BF4" w:rsidRPr="00DD0BF5">
              <w:rPr>
                <w:rFonts w:ascii="Times New Roman" w:hAnsi="Times New Roman" w:cs="Times New Roman"/>
                <w:sz w:val="24"/>
                <w:szCs w:val="24"/>
              </w:rPr>
              <w:t xml:space="preserve">kas noteikts </w:t>
            </w:r>
            <w:r w:rsidR="00E0052E" w:rsidRPr="00DD0BF5">
              <w:rPr>
                <w:rFonts w:ascii="Times New Roman" w:hAnsi="Times New Roman" w:cs="Times New Roman"/>
                <w:sz w:val="24"/>
                <w:szCs w:val="24"/>
              </w:rPr>
              <w:t xml:space="preserve">pēc politiska lēmuma, kas ņem vērā </w:t>
            </w:r>
            <w:r w:rsidR="00555F52" w:rsidRPr="00DD0BF5">
              <w:rPr>
                <w:rFonts w:ascii="Times New Roman" w:hAnsi="Times New Roman" w:cs="Times New Roman"/>
                <w:sz w:val="24"/>
                <w:szCs w:val="24"/>
              </w:rPr>
              <w:t xml:space="preserve">institūciju un kompetento </w:t>
            </w:r>
            <w:r w:rsidR="00E0052E" w:rsidRPr="00DD0BF5">
              <w:rPr>
                <w:rFonts w:ascii="Times New Roman" w:hAnsi="Times New Roman" w:cs="Times New Roman"/>
                <w:sz w:val="24"/>
                <w:szCs w:val="24"/>
              </w:rPr>
              <w:t>iestāžu izstrādāto</w:t>
            </w:r>
            <w:r w:rsidR="006A6AA2" w:rsidRPr="00DD0BF5">
              <w:rPr>
                <w:rFonts w:ascii="Times New Roman" w:hAnsi="Times New Roman" w:cs="Times New Roman"/>
                <w:sz w:val="24"/>
                <w:szCs w:val="24"/>
              </w:rPr>
              <w:t xml:space="preserve"> risku</w:t>
            </w:r>
            <w:r w:rsidR="00E0052E" w:rsidRPr="00DD0BF5">
              <w:rPr>
                <w:rFonts w:ascii="Times New Roman" w:hAnsi="Times New Roman" w:cs="Times New Roman"/>
                <w:sz w:val="24"/>
                <w:szCs w:val="24"/>
              </w:rPr>
              <w:t xml:space="preserve"> samazināšanas novērtējums 2020. gadā. Turklāt riska samazināšanas prasības būtu samērīgas ar kopīgā atbalsta mehānisma mērķu vērienīgumu pārejas periodā salīdzinājumā ar mērķu vērienīgumu </w:t>
            </w:r>
            <w:r w:rsidR="008D7BF4" w:rsidRPr="00DD0BF5">
              <w:rPr>
                <w:rFonts w:ascii="Times New Roman" w:hAnsi="Times New Roman" w:cs="Times New Roman"/>
                <w:sz w:val="24"/>
                <w:szCs w:val="24"/>
              </w:rPr>
              <w:t>pēc pārejas perioda beigām</w:t>
            </w:r>
            <w:r w:rsidR="00E0052E" w:rsidRPr="00DD0BF5">
              <w:rPr>
                <w:rFonts w:ascii="Times New Roman" w:hAnsi="Times New Roman" w:cs="Times New Roman"/>
                <w:sz w:val="24"/>
                <w:szCs w:val="24"/>
              </w:rPr>
              <w:t>.</w:t>
            </w:r>
          </w:p>
          <w:p w14:paraId="71564883" w14:textId="7A541202" w:rsidR="007F6DA0" w:rsidRPr="00DD0BF5" w:rsidRDefault="00E0052E"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Pamatojoties uz 2018.decembra vienošanos, 2019.gada 4.decembra </w:t>
            </w:r>
            <w:proofErr w:type="spellStart"/>
            <w:r w:rsidRPr="00DD0BF5">
              <w:rPr>
                <w:rFonts w:ascii="Times New Roman" w:hAnsi="Times New Roman" w:cs="Times New Roman"/>
                <w:i/>
                <w:iCs/>
                <w:sz w:val="24"/>
                <w:szCs w:val="24"/>
              </w:rPr>
              <w:t>Euro</w:t>
            </w:r>
            <w:proofErr w:type="spellEnd"/>
            <w:r w:rsidRPr="00DD0BF5">
              <w:rPr>
                <w:rFonts w:ascii="Times New Roman" w:hAnsi="Times New Roman" w:cs="Times New Roman"/>
                <w:sz w:val="24"/>
                <w:szCs w:val="24"/>
              </w:rPr>
              <w:t xml:space="preserve"> grupas iekļaujošā formāt</w:t>
            </w:r>
            <w:r w:rsidR="008D7BF4" w:rsidRPr="00DD0BF5">
              <w:rPr>
                <w:rFonts w:ascii="Times New Roman" w:hAnsi="Times New Roman" w:cs="Times New Roman"/>
                <w:sz w:val="24"/>
                <w:szCs w:val="24"/>
              </w:rPr>
              <w:t>a</w:t>
            </w:r>
            <w:r w:rsidRPr="00DD0BF5">
              <w:rPr>
                <w:rFonts w:ascii="Times New Roman" w:hAnsi="Times New Roman" w:cs="Times New Roman"/>
                <w:sz w:val="24"/>
                <w:szCs w:val="24"/>
              </w:rPr>
              <w:t xml:space="preserve"> sanāksmē finanšu ministri apstiprināja tehnisko kārtību ārkārtas </w:t>
            </w:r>
            <w:proofErr w:type="spellStart"/>
            <w:r w:rsidR="00B761FA" w:rsidRPr="00DD0BF5">
              <w:rPr>
                <w:rFonts w:ascii="Times New Roman" w:hAnsi="Times New Roman" w:cs="Times New Roman"/>
                <w:i/>
                <w:iCs/>
                <w:sz w:val="24"/>
                <w:szCs w:val="24"/>
              </w:rPr>
              <w:t>ex</w:t>
            </w:r>
            <w:proofErr w:type="spellEnd"/>
            <w:r w:rsidR="00B761FA" w:rsidRPr="00DD0BF5">
              <w:rPr>
                <w:rFonts w:ascii="Times New Roman" w:hAnsi="Times New Roman" w:cs="Times New Roman"/>
                <w:i/>
                <w:iCs/>
                <w:sz w:val="24"/>
                <w:szCs w:val="24"/>
              </w:rPr>
              <w:t>-</w:t>
            </w:r>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w:t>
            </w:r>
            <w:r w:rsidR="005740EC" w:rsidRPr="00DD0BF5">
              <w:rPr>
                <w:rFonts w:ascii="Times New Roman" w:hAnsi="Times New Roman" w:cs="Times New Roman"/>
                <w:sz w:val="24"/>
                <w:szCs w:val="24"/>
              </w:rPr>
              <w:t>VNF</w:t>
            </w:r>
            <w:r w:rsidR="00B761FA" w:rsidRPr="00DD0BF5">
              <w:rPr>
                <w:rFonts w:ascii="Times New Roman" w:hAnsi="Times New Roman" w:cs="Times New Roman"/>
                <w:sz w:val="24"/>
                <w:szCs w:val="24"/>
              </w:rPr>
              <w:t xml:space="preserve"> </w:t>
            </w:r>
            <w:r w:rsidRPr="00DD0BF5">
              <w:rPr>
                <w:rFonts w:ascii="Times New Roman" w:hAnsi="Times New Roman" w:cs="Times New Roman"/>
                <w:sz w:val="24"/>
                <w:szCs w:val="24"/>
              </w:rPr>
              <w:t>kopīgošanai</w:t>
            </w:r>
            <w:r w:rsidR="00B761FA" w:rsidRPr="00DD0BF5">
              <w:rPr>
                <w:rFonts w:ascii="Times New Roman" w:hAnsi="Times New Roman" w:cs="Times New Roman"/>
                <w:sz w:val="24"/>
                <w:szCs w:val="24"/>
              </w:rPr>
              <w:t>.</w:t>
            </w:r>
          </w:p>
          <w:p w14:paraId="6EF33A3F" w14:textId="531E0E49" w:rsidR="001A1A2A" w:rsidRPr="00DD0BF5" w:rsidRDefault="001A1A2A" w:rsidP="005F5CC5">
            <w:pPr>
              <w:spacing w:after="0"/>
              <w:jc w:val="both"/>
              <w:rPr>
                <w:rFonts w:ascii="Times New Roman" w:hAnsi="Times New Roman" w:cs="Times New Roman"/>
                <w:sz w:val="24"/>
                <w:szCs w:val="24"/>
              </w:rPr>
            </w:pPr>
            <w:r w:rsidRPr="00DD0BF5">
              <w:rPr>
                <w:rFonts w:ascii="Times New Roman" w:hAnsi="Times New Roman" w:cs="Times New Roman"/>
                <w:color w:val="000000"/>
                <w:sz w:val="24"/>
                <w:szCs w:val="24"/>
              </w:rPr>
              <w:t xml:space="preserve">2020.gada 16.marta </w:t>
            </w:r>
            <w:proofErr w:type="spellStart"/>
            <w:r w:rsidRPr="00DD0BF5">
              <w:rPr>
                <w:rFonts w:ascii="Times New Roman" w:hAnsi="Times New Roman" w:cs="Times New Roman"/>
                <w:i/>
                <w:color w:val="000000"/>
                <w:sz w:val="24"/>
                <w:szCs w:val="24"/>
              </w:rPr>
              <w:t>Euro</w:t>
            </w:r>
            <w:proofErr w:type="spellEnd"/>
            <w:r w:rsidRPr="00DD0BF5">
              <w:rPr>
                <w:rFonts w:ascii="Times New Roman" w:hAnsi="Times New Roman" w:cs="Times New Roman"/>
                <w:color w:val="000000"/>
                <w:sz w:val="24"/>
                <w:szCs w:val="24"/>
              </w:rPr>
              <w:t xml:space="preserve"> grupas iekļaujošā formāta sanāksmes laikā tika diskutēts par panākto progresu un izstrādātajiem grozījumiem </w:t>
            </w:r>
            <w:r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8F3089"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Pr="00DD0BF5">
              <w:rPr>
                <w:rFonts w:ascii="Times New Roman" w:hAnsi="Times New Roman" w:cs="Times New Roman"/>
                <w:color w:val="000000"/>
                <w:sz w:val="24"/>
                <w:szCs w:val="24"/>
              </w:rPr>
              <w:t>.</w:t>
            </w:r>
          </w:p>
          <w:p w14:paraId="21548A73" w14:textId="79B97AB4" w:rsidR="006A6AA2" w:rsidRPr="00DD0BF5" w:rsidRDefault="00EE5DCB" w:rsidP="005F5CC5">
            <w:pPr>
              <w:spacing w:after="0"/>
              <w:jc w:val="both"/>
              <w:rPr>
                <w:rStyle w:val="jlqj4b"/>
                <w:rFonts w:ascii="Times New Roman" w:eastAsia="Times New Roman" w:hAnsi="Times New Roman" w:cs="Times New Roman"/>
                <w:color w:val="000000"/>
                <w:sz w:val="24"/>
                <w:szCs w:val="24"/>
              </w:rPr>
            </w:pPr>
            <w:r w:rsidRPr="00DD0BF5">
              <w:rPr>
                <w:rStyle w:val="jlqj4b"/>
                <w:rFonts w:ascii="Times New Roman" w:eastAsia="Times New Roman" w:hAnsi="Times New Roman" w:cs="Times New Roman"/>
                <w:color w:val="000000"/>
                <w:sz w:val="24"/>
                <w:szCs w:val="24"/>
              </w:rPr>
              <w:t xml:space="preserve">2020.gada 30.novembrī </w:t>
            </w:r>
            <w:proofErr w:type="spellStart"/>
            <w:r w:rsidRPr="00DD0BF5">
              <w:rPr>
                <w:rStyle w:val="jlqj4b"/>
                <w:rFonts w:ascii="Times New Roman" w:eastAsia="Times New Roman" w:hAnsi="Times New Roman" w:cs="Times New Roman"/>
                <w:i/>
                <w:color w:val="000000"/>
                <w:sz w:val="24"/>
                <w:szCs w:val="24"/>
              </w:rPr>
              <w:t>Euro</w:t>
            </w:r>
            <w:proofErr w:type="spellEnd"/>
            <w:r w:rsidRPr="00DD0BF5">
              <w:rPr>
                <w:rStyle w:val="jlqj4b"/>
                <w:rFonts w:ascii="Times New Roman" w:eastAsia="Times New Roman" w:hAnsi="Times New Roman" w:cs="Times New Roman"/>
                <w:color w:val="000000"/>
                <w:sz w:val="24"/>
                <w:szCs w:val="24"/>
              </w:rPr>
              <w:t xml:space="preserve"> grupa iekļaujošā formātā</w:t>
            </w:r>
            <w:r w:rsidR="006A6AA2" w:rsidRPr="00DD0BF5">
              <w:rPr>
                <w:rStyle w:val="jlqj4b"/>
                <w:rFonts w:ascii="Times New Roman" w:eastAsia="Times New Roman" w:hAnsi="Times New Roman" w:cs="Times New Roman"/>
                <w:color w:val="000000"/>
                <w:sz w:val="24"/>
                <w:szCs w:val="24"/>
              </w:rPr>
              <w:t>, pamatojoties uz institūciju un kompetento iestāžu izstrādāto risku samazināšanas novērtējumu,</w:t>
            </w:r>
            <w:r w:rsidR="00AC4352" w:rsidRPr="00DD0BF5">
              <w:rPr>
                <w:rStyle w:val="jlqj4b"/>
                <w:rFonts w:ascii="Times New Roman" w:eastAsia="Times New Roman" w:hAnsi="Times New Roman" w:cs="Times New Roman"/>
                <w:color w:val="000000"/>
                <w:sz w:val="24"/>
                <w:szCs w:val="24"/>
              </w:rPr>
              <w:t xml:space="preserve"> vienojās </w:t>
            </w:r>
            <w:r w:rsidR="006A6AA2" w:rsidRPr="00DD0BF5">
              <w:rPr>
                <w:rStyle w:val="jlqj4b"/>
                <w:rFonts w:ascii="Times New Roman" w:eastAsia="Times New Roman" w:hAnsi="Times New Roman" w:cs="Times New Roman"/>
                <w:color w:val="000000"/>
                <w:sz w:val="24"/>
                <w:szCs w:val="24"/>
              </w:rPr>
              <w:t>par kopīgā atbalsta mehānisma agrīno ieviešanu, t.i. paredzot to ieviest līdz 2022.gada sākumam, nevis līdz pārejas perioda beigām 2024.gada sākumā.</w:t>
            </w:r>
          </w:p>
          <w:p w14:paraId="4A2BF478" w14:textId="77777777" w:rsidR="003E708C" w:rsidRPr="00DD0BF5" w:rsidRDefault="003E708C" w:rsidP="005F5CC5">
            <w:pPr>
              <w:spacing w:after="0"/>
              <w:jc w:val="both"/>
              <w:rPr>
                <w:rFonts w:ascii="Times New Roman" w:eastAsia="Times New Roman" w:hAnsi="Times New Roman" w:cs="Times New Roman"/>
                <w:color w:val="000000" w:themeColor="text1"/>
                <w:sz w:val="10"/>
                <w:szCs w:val="10"/>
                <w:lang w:eastAsia="lv-LV"/>
              </w:rPr>
            </w:pPr>
          </w:p>
          <w:p w14:paraId="6D63805B" w14:textId="316C1F1E" w:rsidR="0097167B" w:rsidRPr="00DD0BF5" w:rsidRDefault="0097167B" w:rsidP="005F5CC5">
            <w:pPr>
              <w:spacing w:after="0" w:line="240" w:lineRule="auto"/>
              <w:jc w:val="both"/>
              <w:rPr>
                <w:rFonts w:ascii="Times New Roman" w:hAnsi="Times New Roman" w:cs="Times New Roman"/>
                <w:sz w:val="24"/>
                <w:szCs w:val="24"/>
              </w:rPr>
            </w:pPr>
            <w:r w:rsidRPr="00DD0BF5">
              <w:rPr>
                <w:rFonts w:ascii="Times New Roman" w:eastAsia="Times New Roman" w:hAnsi="Times New Roman" w:cs="Times New Roman"/>
                <w:color w:val="000000" w:themeColor="text1"/>
                <w:sz w:val="24"/>
                <w:szCs w:val="24"/>
                <w:lang w:eastAsia="lv-LV"/>
              </w:rPr>
              <w:t xml:space="preserve">Nolīguma projekts </w:t>
            </w:r>
            <w:r w:rsidR="00BA33BF" w:rsidRPr="00DD0BF5">
              <w:rPr>
                <w:rFonts w:ascii="Times New Roman" w:eastAsia="Times New Roman" w:hAnsi="Times New Roman" w:cs="Times New Roman"/>
                <w:color w:val="000000" w:themeColor="text1"/>
                <w:sz w:val="24"/>
                <w:szCs w:val="24"/>
                <w:lang w:eastAsia="lv-LV"/>
              </w:rPr>
              <w:t>nodrošina</w:t>
            </w:r>
            <w:r w:rsidRPr="00DD0BF5">
              <w:rPr>
                <w:rFonts w:ascii="Times New Roman" w:eastAsia="Times New Roman" w:hAnsi="Times New Roman" w:cs="Times New Roman"/>
                <w:color w:val="000000" w:themeColor="text1"/>
                <w:sz w:val="24"/>
                <w:szCs w:val="24"/>
                <w:lang w:eastAsia="lv-LV"/>
              </w:rPr>
              <w:t xml:space="preserve"> p</w:t>
            </w:r>
            <w:r w:rsidR="00ED6F56" w:rsidRPr="00DD0BF5">
              <w:rPr>
                <w:rFonts w:ascii="Times New Roman" w:hAnsi="Times New Roman" w:cs="Times New Roman"/>
                <w:sz w:val="24"/>
                <w:szCs w:val="24"/>
              </w:rPr>
              <w:t xml:space="preserve">ubliskā atbalsta </w:t>
            </w:r>
            <w:r w:rsidRPr="00DD0BF5">
              <w:rPr>
                <w:rFonts w:ascii="Times New Roman" w:hAnsi="Times New Roman" w:cs="Times New Roman"/>
                <w:sz w:val="24"/>
                <w:szCs w:val="24"/>
              </w:rPr>
              <w:t>mehānisma</w:t>
            </w:r>
            <w:r w:rsidR="00ED6F56" w:rsidRPr="00DD0BF5">
              <w:rPr>
                <w:rFonts w:ascii="Times New Roman" w:hAnsi="Times New Roman" w:cs="Times New Roman"/>
                <w:sz w:val="24"/>
                <w:szCs w:val="24"/>
              </w:rPr>
              <w:t xml:space="preserve"> </w:t>
            </w:r>
            <w:r w:rsidR="003A0E74" w:rsidRPr="00DD0BF5">
              <w:rPr>
                <w:rFonts w:ascii="Times New Roman" w:hAnsi="Times New Roman" w:cs="Times New Roman"/>
                <w:sz w:val="24"/>
                <w:szCs w:val="24"/>
              </w:rPr>
              <w:t>agrīn</w:t>
            </w:r>
            <w:r w:rsidRPr="00DD0BF5">
              <w:rPr>
                <w:rFonts w:ascii="Times New Roman" w:hAnsi="Times New Roman" w:cs="Times New Roman"/>
                <w:sz w:val="24"/>
                <w:szCs w:val="24"/>
              </w:rPr>
              <w:t>u</w:t>
            </w:r>
            <w:r w:rsidR="003A0E74" w:rsidRPr="00DD0BF5">
              <w:rPr>
                <w:rFonts w:ascii="Times New Roman" w:hAnsi="Times New Roman" w:cs="Times New Roman"/>
                <w:sz w:val="24"/>
                <w:szCs w:val="24"/>
              </w:rPr>
              <w:t xml:space="preserve"> ievie</w:t>
            </w:r>
            <w:r w:rsidRPr="00DD0BF5">
              <w:rPr>
                <w:rFonts w:ascii="Times New Roman" w:hAnsi="Times New Roman" w:cs="Times New Roman"/>
                <w:sz w:val="24"/>
                <w:szCs w:val="24"/>
              </w:rPr>
              <w:t>šanu</w:t>
            </w:r>
            <w:r w:rsidR="00ED6F56" w:rsidRPr="00DD0BF5">
              <w:rPr>
                <w:rFonts w:ascii="Times New Roman" w:hAnsi="Times New Roman" w:cs="Times New Roman"/>
                <w:sz w:val="24"/>
                <w:szCs w:val="24"/>
              </w:rPr>
              <w:t xml:space="preserve">, veicot nelielus grozījumus </w:t>
            </w:r>
            <w:r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E840F6"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00E840F6" w:rsidRPr="00DD0BF5">
              <w:rPr>
                <w:rFonts w:ascii="Times New Roman" w:hAnsi="Times New Roman" w:cs="Times New Roman"/>
                <w:sz w:val="24"/>
                <w:szCs w:val="24"/>
              </w:rPr>
              <w:t xml:space="preserve">. Grozījumu rezultātā tiek paredzēta ātrāka </w:t>
            </w:r>
            <w:proofErr w:type="spellStart"/>
            <w:r w:rsidR="00E840F6" w:rsidRPr="00DD0BF5">
              <w:rPr>
                <w:rFonts w:ascii="Times New Roman" w:hAnsi="Times New Roman" w:cs="Times New Roman"/>
                <w:i/>
                <w:sz w:val="24"/>
                <w:szCs w:val="24"/>
              </w:rPr>
              <w:t>ex</w:t>
            </w:r>
            <w:proofErr w:type="spellEnd"/>
            <w:r w:rsidR="00E840F6" w:rsidRPr="00DD0BF5">
              <w:rPr>
                <w:rFonts w:ascii="Times New Roman" w:hAnsi="Times New Roman" w:cs="Times New Roman"/>
                <w:i/>
                <w:sz w:val="24"/>
                <w:szCs w:val="24"/>
              </w:rPr>
              <w:t xml:space="preserve">-post </w:t>
            </w:r>
            <w:r w:rsidR="00E840F6" w:rsidRPr="00DD0BF5">
              <w:rPr>
                <w:rFonts w:ascii="Times New Roman" w:hAnsi="Times New Roman" w:cs="Times New Roman"/>
                <w:sz w:val="24"/>
                <w:szCs w:val="24"/>
              </w:rPr>
              <w:t>iemaksu kopīgošana.</w:t>
            </w:r>
          </w:p>
          <w:p w14:paraId="542B52CA" w14:textId="0F0D5EAB" w:rsidR="00B51F0E" w:rsidRPr="00DD0BF5" w:rsidRDefault="00B51F0E" w:rsidP="005F5CC5">
            <w:pPr>
              <w:pStyle w:val="Sarakstarindkopa"/>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t xml:space="preserve">Saskaņā ar </w:t>
            </w:r>
            <w:r w:rsidR="008F3089" w:rsidRPr="00DD0BF5">
              <w:rPr>
                <w:rFonts w:ascii="Times New Roman" w:eastAsia="Times New Roman" w:hAnsi="Times New Roman" w:cs="Times New Roman"/>
                <w:color w:val="000000" w:themeColor="text1"/>
                <w:sz w:val="24"/>
                <w:szCs w:val="24"/>
                <w:lang w:eastAsia="lv-LV"/>
              </w:rPr>
              <w:t>Nolīguma</w:t>
            </w:r>
            <w:r w:rsidRPr="00DD0BF5">
              <w:rPr>
                <w:rFonts w:ascii="Times New Roman" w:eastAsia="Times New Roman" w:hAnsi="Times New Roman" w:cs="Times New Roman"/>
                <w:color w:val="000000" w:themeColor="text1"/>
                <w:sz w:val="24"/>
                <w:szCs w:val="24"/>
                <w:lang w:eastAsia="lv-LV"/>
              </w:rPr>
              <w:t xml:space="preserve"> par iemaksu pārskaitīšanu uz </w:t>
            </w:r>
            <w:r w:rsidR="008F3089"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008F3089" w:rsidRPr="00DD0BF5">
              <w:rPr>
                <w:rFonts w:ascii="Times New Roman" w:hAnsi="Times New Roman" w:cs="Times New Roman"/>
                <w:sz w:val="24"/>
                <w:szCs w:val="24"/>
              </w:rPr>
              <w:t xml:space="preserve"> </w:t>
            </w:r>
            <w:r w:rsidRPr="00DD0BF5">
              <w:rPr>
                <w:rFonts w:ascii="Times New Roman" w:hAnsi="Times New Roman" w:cs="Times New Roman"/>
                <w:sz w:val="24"/>
                <w:szCs w:val="24"/>
              </w:rPr>
              <w:t xml:space="preserve">esošo redakciju konkrētu noregulējuma darbību izmaksas tiek segtas no pušu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iemaksām, ja iepriekš VNF veikto </w:t>
            </w:r>
            <w:proofErr w:type="spellStart"/>
            <w:r w:rsidRPr="00DD0BF5">
              <w:rPr>
                <w:rFonts w:ascii="Times New Roman" w:hAnsi="Times New Roman" w:cs="Times New Roman"/>
                <w:i/>
                <w:iCs/>
                <w:sz w:val="24"/>
                <w:szCs w:val="24"/>
              </w:rPr>
              <w:t>ex-ante</w:t>
            </w:r>
            <w:proofErr w:type="spellEnd"/>
            <w:r w:rsidRPr="00DD0BF5">
              <w:rPr>
                <w:rFonts w:ascii="Times New Roman" w:hAnsi="Times New Roman" w:cs="Times New Roman"/>
                <w:sz w:val="24"/>
                <w:szCs w:val="24"/>
              </w:rPr>
              <w:t xml:space="preserve"> iemaksu apmērs na</w:t>
            </w:r>
            <w:r w:rsidR="008F3089" w:rsidRPr="00DD0BF5">
              <w:rPr>
                <w:rFonts w:ascii="Times New Roman" w:hAnsi="Times New Roman" w:cs="Times New Roman"/>
                <w:sz w:val="24"/>
                <w:szCs w:val="24"/>
              </w:rPr>
              <w:t xml:space="preserve">v pietiekams. Šādā gadījumā tai </w:t>
            </w:r>
            <w:r w:rsidRPr="00DD0BF5">
              <w:rPr>
                <w:rFonts w:ascii="Times New Roman" w:hAnsi="Times New Roman" w:cs="Times New Roman"/>
                <w:sz w:val="24"/>
                <w:szCs w:val="24"/>
              </w:rPr>
              <w:t>Nolīguma pusei, kurā noregulējamā iestāde vai grupa veic uzņēmējdarbību vai tai ir piešķirta da</w:t>
            </w:r>
            <w:r w:rsidR="00421F15" w:rsidRPr="00DD0BF5">
              <w:rPr>
                <w:rFonts w:ascii="Times New Roman" w:hAnsi="Times New Roman" w:cs="Times New Roman"/>
                <w:sz w:val="24"/>
                <w:szCs w:val="24"/>
              </w:rPr>
              <w:t>rbības atļauja, vai arī vairākām pusēm</w:t>
            </w:r>
            <w:r w:rsidRPr="00DD0BF5">
              <w:rPr>
                <w:rFonts w:ascii="Times New Roman" w:hAnsi="Times New Roman" w:cs="Times New Roman"/>
                <w:sz w:val="24"/>
                <w:szCs w:val="24"/>
              </w:rPr>
              <w:t xml:space="preserve">, ja jānoregulē pārrobežu grupa, ir pienākums veikt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konkrētai noregulējuma darbībai trūkstošās izmaksas. Vienlaikus maksimālais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apmērs nedrīkst pārsniegt dalībvalsts trīskāršu </w:t>
            </w:r>
            <w:proofErr w:type="spellStart"/>
            <w:r w:rsidRPr="00DD0BF5">
              <w:rPr>
                <w:rFonts w:ascii="Times New Roman" w:hAnsi="Times New Roman" w:cs="Times New Roman"/>
                <w:i/>
                <w:iCs/>
                <w:sz w:val="24"/>
                <w:szCs w:val="24"/>
              </w:rPr>
              <w:t>ex-ante</w:t>
            </w:r>
            <w:proofErr w:type="spellEnd"/>
            <w:r w:rsidRPr="00DD0BF5">
              <w:rPr>
                <w:rFonts w:ascii="Times New Roman" w:hAnsi="Times New Roman" w:cs="Times New Roman"/>
                <w:sz w:val="24"/>
                <w:szCs w:val="24"/>
              </w:rPr>
              <w:t xml:space="preserve"> gada iemaksu apmēru.</w:t>
            </w:r>
          </w:p>
          <w:p w14:paraId="1D13E687" w14:textId="1429E866" w:rsidR="00B51F0E" w:rsidRPr="00DD0BF5" w:rsidRDefault="00B51F0E" w:rsidP="005F5CC5">
            <w:pPr>
              <w:pStyle w:val="Sarakstarindkopa"/>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projekts saglabā principu, ka konkrētās noregulējuma darbību izmaksas primāri sedz tā Nolīguma puse, kurā noregulējamā iestāde vai grupa veic uzņēmējdarbību vai tai ir piešķirta darbības atļauja, vai arī vairākas puses, ja jānoregulē pārrobežu grupa. Taču atbilstoši grozījumu redakcijai attiecīgā Nolīguma puse vai puses veic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 xml:space="preserve">-post </w:t>
            </w:r>
            <w:r w:rsidRPr="00DD0BF5">
              <w:rPr>
                <w:rFonts w:ascii="Times New Roman" w:hAnsi="Times New Roman" w:cs="Times New Roman"/>
                <w:sz w:val="24"/>
                <w:szCs w:val="24"/>
              </w:rPr>
              <w:t xml:space="preserve">iemaksas konkrēto noregulējuma darbību veikšanai 30% apmērā no noteiktā maksimālā apmēra. Ievērojot, ka Nolīguma projekta mērķis ir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ātrāka kopīgošana, vienlaikus paredzēts, ka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daļa 30% apmērā ik ceturksni samazinās.  </w:t>
            </w:r>
          </w:p>
          <w:p w14:paraId="1F7F8609" w14:textId="22C8813C" w:rsidR="00B51F0E" w:rsidRPr="00DD0BF5" w:rsidRDefault="00B51F0E" w:rsidP="005F5CC5">
            <w:pPr>
              <w:pStyle w:val="Sarakstarindkopa"/>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lastRenderedPageBreak/>
              <w:t xml:space="preserve">Ja šo iemaksu apmērs nav pietiekams, visām Nolīguma pusēm saskaņā ar Nolīguma projektu ir pienākums veikt papildu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konkrēto noregulējuma darbību izmaksas. Šo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apmērs nedrīkst pārsniegt atlikušo daļu no maksimālā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izmaksu apmēra, kuru nav segusi dalībvalsts, kurai primāri ir pienākums šīs izmaksas segt (piemēram, ja dalībvalsts ir segusi 30 % no </w:t>
            </w:r>
            <w:r w:rsidR="005B0E79" w:rsidRPr="00DD0BF5">
              <w:rPr>
                <w:rFonts w:ascii="Times New Roman" w:hAnsi="Times New Roman" w:cs="Times New Roman"/>
                <w:sz w:val="24"/>
                <w:szCs w:val="24"/>
              </w:rPr>
              <w:t xml:space="preserve">maksimālā </w:t>
            </w:r>
            <w:proofErr w:type="spellStart"/>
            <w:r w:rsidR="005B0E79" w:rsidRPr="00DD0BF5">
              <w:rPr>
                <w:rFonts w:ascii="Times New Roman" w:hAnsi="Times New Roman" w:cs="Times New Roman"/>
                <w:i/>
                <w:sz w:val="24"/>
                <w:szCs w:val="24"/>
              </w:rPr>
              <w:t>ex</w:t>
            </w:r>
            <w:proofErr w:type="spellEnd"/>
            <w:r w:rsidR="005B0E79" w:rsidRPr="00DD0BF5">
              <w:rPr>
                <w:rFonts w:ascii="Times New Roman" w:hAnsi="Times New Roman" w:cs="Times New Roman"/>
                <w:i/>
                <w:sz w:val="24"/>
                <w:szCs w:val="24"/>
              </w:rPr>
              <w:t xml:space="preserve">-post </w:t>
            </w:r>
            <w:r w:rsidR="005B0E79" w:rsidRPr="00DD0BF5">
              <w:rPr>
                <w:rFonts w:ascii="Times New Roman" w:hAnsi="Times New Roman" w:cs="Times New Roman"/>
                <w:sz w:val="24"/>
                <w:szCs w:val="24"/>
              </w:rPr>
              <w:t xml:space="preserve">izmaksu </w:t>
            </w:r>
            <w:r w:rsidRPr="00DD0BF5">
              <w:rPr>
                <w:rFonts w:ascii="Times New Roman" w:hAnsi="Times New Roman" w:cs="Times New Roman"/>
                <w:sz w:val="24"/>
                <w:szCs w:val="24"/>
              </w:rPr>
              <w:t>apmēra, tad atlikusī daļa veido 70%).</w:t>
            </w:r>
          </w:p>
          <w:p w14:paraId="7A45DB90" w14:textId="5EBD6F72" w:rsidR="00B51F0E" w:rsidRPr="002E0EF2" w:rsidRDefault="00B51F0E" w:rsidP="002E0EF2">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Saskaņā ar </w:t>
            </w:r>
            <w:r w:rsidR="005B0E79" w:rsidRPr="00DD0BF5">
              <w:rPr>
                <w:rFonts w:ascii="Times New Roman" w:hAnsi="Times New Roman" w:cs="Times New Roman"/>
                <w:sz w:val="24"/>
                <w:szCs w:val="24"/>
              </w:rPr>
              <w:t>Nolīguma projekta</w:t>
            </w:r>
            <w:r w:rsidRPr="00DD0BF5">
              <w:rPr>
                <w:rFonts w:ascii="Times New Roman" w:hAnsi="Times New Roman" w:cs="Times New Roman"/>
                <w:sz w:val="24"/>
                <w:szCs w:val="24"/>
              </w:rPr>
              <w:t xml:space="preserve"> redakciju iepriekš norādītā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veikšanas kārtība ir piemērojama arī gadījumos, kad </w:t>
            </w:r>
            <w:r w:rsidR="005B0E79" w:rsidRPr="00DD0BF5">
              <w:rPr>
                <w:rFonts w:ascii="Times New Roman" w:hAnsi="Times New Roman" w:cs="Times New Roman"/>
                <w:sz w:val="24"/>
                <w:szCs w:val="24"/>
              </w:rPr>
              <w:t>Nolīguma</w:t>
            </w:r>
            <w:r w:rsidRPr="00DD0BF5">
              <w:rPr>
                <w:rFonts w:ascii="Times New Roman" w:hAnsi="Times New Roman" w:cs="Times New Roman"/>
                <w:sz w:val="24"/>
                <w:szCs w:val="24"/>
              </w:rPr>
              <w:t xml:space="preserve"> pusēm ir pienākums veikt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VNF </w:t>
            </w:r>
            <w:r w:rsidRPr="002E0EF2">
              <w:rPr>
                <w:rFonts w:ascii="Times New Roman" w:hAnsi="Times New Roman" w:cs="Times New Roman"/>
                <w:sz w:val="24"/>
                <w:szCs w:val="24"/>
              </w:rPr>
              <w:t>aizņēmumus.</w:t>
            </w:r>
          </w:p>
          <w:p w14:paraId="24DB6A08" w14:textId="151871C1" w:rsidR="00EE135B" w:rsidRPr="002E0EF2" w:rsidRDefault="00807A7B" w:rsidP="002E0EF2">
            <w:pPr>
              <w:pStyle w:val="Sarakstarindkopa"/>
              <w:spacing w:after="0"/>
              <w:ind w:left="0"/>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Nol</w:t>
            </w:r>
            <w:r w:rsidR="0007422A" w:rsidRPr="002E0EF2">
              <w:rPr>
                <w:rFonts w:ascii="Times New Roman" w:hAnsi="Times New Roman" w:cs="Times New Roman"/>
                <w:color w:val="000000" w:themeColor="text1"/>
                <w:sz w:val="24"/>
                <w:szCs w:val="24"/>
              </w:rPr>
              <w:t>īguma projektā tiek</w:t>
            </w:r>
            <w:r w:rsidRPr="002E0EF2">
              <w:rPr>
                <w:rFonts w:ascii="Times New Roman" w:hAnsi="Times New Roman" w:cs="Times New Roman"/>
                <w:color w:val="000000" w:themeColor="text1"/>
                <w:sz w:val="24"/>
                <w:szCs w:val="24"/>
              </w:rPr>
              <w:t xml:space="preserve"> atrunā</w:t>
            </w:r>
            <w:r w:rsidR="002E0EF2">
              <w:rPr>
                <w:rFonts w:ascii="Times New Roman" w:hAnsi="Times New Roman" w:cs="Times New Roman"/>
                <w:color w:val="000000" w:themeColor="text1"/>
                <w:sz w:val="24"/>
                <w:szCs w:val="24"/>
              </w:rPr>
              <w:t>ts</w:t>
            </w:r>
            <w:r w:rsidRPr="002E0EF2">
              <w:rPr>
                <w:rFonts w:ascii="Times New Roman" w:hAnsi="Times New Roman" w:cs="Times New Roman"/>
                <w:color w:val="000000" w:themeColor="text1"/>
                <w:sz w:val="24"/>
                <w:szCs w:val="24"/>
              </w:rPr>
              <w:t xml:space="preserve"> arī kopējo</w:t>
            </w:r>
            <w:r w:rsidR="00B51F0E" w:rsidRPr="002E0EF2">
              <w:rPr>
                <w:rFonts w:ascii="Times New Roman" w:hAnsi="Times New Roman" w:cs="Times New Roman"/>
                <w:color w:val="000000" w:themeColor="text1"/>
                <w:sz w:val="24"/>
                <w:szCs w:val="24"/>
              </w:rPr>
              <w:t xml:space="preserve"> </w:t>
            </w:r>
            <w:proofErr w:type="spellStart"/>
            <w:r w:rsidR="00B51F0E" w:rsidRPr="002E0EF2">
              <w:rPr>
                <w:rFonts w:ascii="Times New Roman" w:hAnsi="Times New Roman" w:cs="Times New Roman"/>
                <w:i/>
                <w:iCs/>
                <w:color w:val="000000" w:themeColor="text1"/>
                <w:sz w:val="24"/>
                <w:szCs w:val="24"/>
              </w:rPr>
              <w:t>ex</w:t>
            </w:r>
            <w:proofErr w:type="spellEnd"/>
            <w:r w:rsidR="00B51F0E" w:rsidRPr="002E0EF2">
              <w:rPr>
                <w:rFonts w:ascii="Times New Roman" w:hAnsi="Times New Roman" w:cs="Times New Roman"/>
                <w:i/>
                <w:iCs/>
                <w:color w:val="000000" w:themeColor="text1"/>
                <w:sz w:val="24"/>
                <w:szCs w:val="24"/>
              </w:rPr>
              <w:t>-post</w:t>
            </w:r>
            <w:r w:rsidR="002E0EF2">
              <w:rPr>
                <w:rFonts w:ascii="Times New Roman" w:hAnsi="Times New Roman" w:cs="Times New Roman"/>
                <w:color w:val="000000" w:themeColor="text1"/>
                <w:sz w:val="24"/>
                <w:szCs w:val="24"/>
              </w:rPr>
              <w:t xml:space="preserve"> izmaksu apjoms</w:t>
            </w:r>
            <w:r w:rsidR="00B51F0E" w:rsidRPr="002E0EF2">
              <w:rPr>
                <w:rFonts w:ascii="Times New Roman" w:hAnsi="Times New Roman" w:cs="Times New Roman"/>
                <w:color w:val="000000" w:themeColor="text1"/>
                <w:sz w:val="24"/>
                <w:szCs w:val="24"/>
              </w:rPr>
              <w:t xml:space="preserve"> pārejas perioda laikā uzsāktai noregulējuma darbībai</w:t>
            </w:r>
            <w:r w:rsidR="002E0EF2">
              <w:rPr>
                <w:rFonts w:ascii="Times New Roman" w:hAnsi="Times New Roman" w:cs="Times New Roman"/>
                <w:color w:val="000000" w:themeColor="text1"/>
                <w:sz w:val="24"/>
                <w:szCs w:val="24"/>
              </w:rPr>
              <w:t>, kas</w:t>
            </w:r>
            <w:r w:rsidR="004A4D48" w:rsidRPr="002E0EF2">
              <w:rPr>
                <w:rFonts w:ascii="Times New Roman" w:hAnsi="Times New Roman" w:cs="Times New Roman"/>
                <w:color w:val="000000" w:themeColor="text1"/>
                <w:sz w:val="24"/>
                <w:szCs w:val="24"/>
              </w:rPr>
              <w:t xml:space="preserve"> ir aprobežots Nolīguma projekta 1.pant</w:t>
            </w:r>
            <w:r w:rsidR="002E0EF2">
              <w:rPr>
                <w:rFonts w:ascii="Times New Roman" w:hAnsi="Times New Roman" w:cs="Times New Roman"/>
                <w:color w:val="000000" w:themeColor="text1"/>
                <w:sz w:val="24"/>
                <w:szCs w:val="24"/>
              </w:rPr>
              <w:t>ā</w:t>
            </w:r>
            <w:r w:rsidR="004A4D48" w:rsidRPr="002E0EF2">
              <w:rPr>
                <w:rFonts w:ascii="Times New Roman" w:hAnsi="Times New Roman" w:cs="Times New Roman"/>
                <w:color w:val="000000" w:themeColor="text1"/>
                <w:sz w:val="24"/>
                <w:szCs w:val="24"/>
              </w:rPr>
              <w:t xml:space="preserve"> ietvert</w:t>
            </w:r>
            <w:r w:rsidR="00777670">
              <w:rPr>
                <w:rFonts w:ascii="Times New Roman" w:hAnsi="Times New Roman" w:cs="Times New Roman"/>
                <w:color w:val="000000" w:themeColor="text1"/>
                <w:sz w:val="24"/>
                <w:szCs w:val="24"/>
              </w:rPr>
              <w:t>ajā</w:t>
            </w:r>
            <w:r w:rsidR="004A4D48" w:rsidRPr="002E0EF2">
              <w:rPr>
                <w:rFonts w:ascii="Times New Roman" w:hAnsi="Times New Roman" w:cs="Times New Roman"/>
                <w:color w:val="000000" w:themeColor="text1"/>
                <w:sz w:val="24"/>
                <w:szCs w:val="24"/>
              </w:rPr>
              <w:t xml:space="preserve"> Nolīguma 5.panta 1.punkta “e” apakšpunkta trešajā daļā</w:t>
            </w:r>
            <w:r w:rsidR="00EE135B" w:rsidRPr="002E0EF2">
              <w:rPr>
                <w:rFonts w:ascii="Times New Roman" w:hAnsi="Times New Roman" w:cs="Times New Roman"/>
                <w:color w:val="000000" w:themeColor="text1"/>
                <w:sz w:val="24"/>
                <w:szCs w:val="24"/>
              </w:rPr>
              <w:t xml:space="preserve">, </w:t>
            </w:r>
            <w:r w:rsidR="004A4D48" w:rsidRPr="002E0EF2">
              <w:rPr>
                <w:rFonts w:ascii="Times New Roman" w:hAnsi="Times New Roman" w:cs="Times New Roman"/>
                <w:color w:val="000000" w:themeColor="text1"/>
                <w:sz w:val="24"/>
                <w:szCs w:val="24"/>
              </w:rPr>
              <w:t xml:space="preserve">un tas </w:t>
            </w:r>
            <w:r w:rsidR="00EE135B" w:rsidRPr="002E0EF2">
              <w:rPr>
                <w:rFonts w:ascii="Times New Roman" w:hAnsi="Times New Roman" w:cs="Times New Roman"/>
                <w:color w:val="000000" w:themeColor="text1"/>
                <w:sz w:val="24"/>
                <w:szCs w:val="24"/>
              </w:rPr>
              <w:t>kas nedrīkst pārsniegt:</w:t>
            </w:r>
          </w:p>
          <w:p w14:paraId="107F7F17" w14:textId="65F67D17" w:rsidR="00EE135B" w:rsidRPr="002E0EF2" w:rsidRDefault="00EE135B" w:rsidP="002E0EF2">
            <w:pPr>
              <w:spacing w:after="0"/>
              <w:ind w:firstLine="249"/>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1) Nolīguma</w:t>
            </w:r>
            <w:r w:rsidR="004A4D48" w:rsidRPr="002E0EF2">
              <w:rPr>
                <w:rFonts w:ascii="Times New Roman" w:hAnsi="Times New Roman" w:cs="Times New Roman"/>
                <w:color w:val="000000" w:themeColor="text1"/>
                <w:sz w:val="24"/>
                <w:szCs w:val="24"/>
              </w:rPr>
              <w:t xml:space="preserve"> projekta 1.pantā ietvertās Nolīguma</w:t>
            </w:r>
            <w:r w:rsidRPr="002E0EF2">
              <w:rPr>
                <w:rFonts w:ascii="Times New Roman" w:hAnsi="Times New Roman" w:cs="Times New Roman"/>
                <w:color w:val="000000" w:themeColor="text1"/>
                <w:sz w:val="24"/>
                <w:szCs w:val="24"/>
              </w:rPr>
              <w:t xml:space="preserve"> 5.panta 1.</w:t>
            </w:r>
            <w:r w:rsidR="004A4D48" w:rsidRPr="002E0EF2">
              <w:rPr>
                <w:rFonts w:ascii="Times New Roman" w:hAnsi="Times New Roman" w:cs="Times New Roman"/>
                <w:color w:val="000000" w:themeColor="text1"/>
                <w:sz w:val="24"/>
                <w:szCs w:val="24"/>
              </w:rPr>
              <w:t>punkta “d” apakš</w:t>
            </w:r>
            <w:r w:rsidRPr="002E0EF2">
              <w:rPr>
                <w:rFonts w:ascii="Times New Roman" w:hAnsi="Times New Roman" w:cs="Times New Roman"/>
                <w:color w:val="000000" w:themeColor="text1"/>
                <w:sz w:val="24"/>
                <w:szCs w:val="24"/>
              </w:rPr>
              <w:t xml:space="preserve">punkta </w:t>
            </w:r>
            <w:r w:rsidR="002E0EF2" w:rsidRPr="002E0EF2">
              <w:rPr>
                <w:rFonts w:ascii="Times New Roman" w:hAnsi="Times New Roman" w:cs="Times New Roman"/>
                <w:color w:val="000000" w:themeColor="text1"/>
                <w:sz w:val="24"/>
                <w:szCs w:val="24"/>
              </w:rPr>
              <w:t>pirmajā daļā</w:t>
            </w:r>
            <w:r w:rsidRPr="002E0EF2">
              <w:rPr>
                <w:rFonts w:ascii="Times New Roman" w:hAnsi="Times New Roman" w:cs="Times New Roman"/>
                <w:color w:val="000000" w:themeColor="text1"/>
                <w:sz w:val="24"/>
                <w:szCs w:val="24"/>
              </w:rPr>
              <w:t xml:space="preserve"> noteiktajā gadījumā - trīskāršu šajā n</w:t>
            </w:r>
            <w:r w:rsidR="002E0EF2" w:rsidRPr="002E0EF2">
              <w:rPr>
                <w:rFonts w:ascii="Times New Roman" w:hAnsi="Times New Roman" w:cs="Times New Roman"/>
                <w:color w:val="000000" w:themeColor="text1"/>
                <w:sz w:val="24"/>
                <w:szCs w:val="24"/>
              </w:rPr>
              <w:t>ormā noteikto apmēru, t.i., 3x30</w:t>
            </w:r>
            <w:r w:rsidRPr="002E0EF2">
              <w:rPr>
                <w:rFonts w:ascii="Times New Roman" w:hAnsi="Times New Roman" w:cs="Times New Roman"/>
                <w:color w:val="000000" w:themeColor="text1"/>
                <w:sz w:val="24"/>
                <w:szCs w:val="24"/>
              </w:rPr>
              <w:t xml:space="preserve">% no maksimālā </w:t>
            </w:r>
            <w:proofErr w:type="spellStart"/>
            <w:r w:rsidRPr="002E0EF2">
              <w:rPr>
                <w:rFonts w:ascii="Times New Roman" w:hAnsi="Times New Roman" w:cs="Times New Roman"/>
                <w:i/>
                <w:color w:val="000000" w:themeColor="text1"/>
                <w:sz w:val="24"/>
                <w:szCs w:val="24"/>
              </w:rPr>
              <w:t>ex</w:t>
            </w:r>
            <w:proofErr w:type="spellEnd"/>
            <w:r w:rsidRPr="002E0EF2">
              <w:rPr>
                <w:rFonts w:ascii="Times New Roman" w:hAnsi="Times New Roman" w:cs="Times New Roman"/>
                <w:i/>
                <w:color w:val="000000" w:themeColor="text1"/>
                <w:sz w:val="24"/>
                <w:szCs w:val="24"/>
              </w:rPr>
              <w:t>-post</w:t>
            </w:r>
            <w:r w:rsidRPr="002E0EF2">
              <w:rPr>
                <w:rFonts w:ascii="Times New Roman" w:hAnsi="Times New Roman" w:cs="Times New Roman"/>
                <w:color w:val="000000" w:themeColor="text1"/>
                <w:sz w:val="24"/>
                <w:szCs w:val="24"/>
              </w:rPr>
              <w:t xml:space="preserve"> izmaksu apmēra, kas noteikts </w:t>
            </w:r>
            <w:r w:rsidR="002E0EF2" w:rsidRPr="002E0EF2">
              <w:rPr>
                <w:rFonts w:ascii="Times New Roman" w:hAnsi="Times New Roman" w:cs="Times New Roman"/>
                <w:color w:val="000000" w:themeColor="text1"/>
                <w:sz w:val="24"/>
                <w:szCs w:val="24"/>
              </w:rPr>
              <w:t xml:space="preserve">Eiropas Parlamenta un Padomes </w:t>
            </w:r>
            <w:r w:rsidR="00777670">
              <w:rPr>
                <w:rFonts w:ascii="Times New Roman" w:hAnsi="Times New Roman" w:cs="Times New Roman"/>
                <w:color w:val="000000" w:themeColor="text1"/>
                <w:sz w:val="24"/>
                <w:szCs w:val="24"/>
              </w:rPr>
              <w:t>2014.gada 15.jūlija (ES) regulas</w:t>
            </w:r>
            <w:r w:rsidR="002E0EF2" w:rsidRPr="002E0EF2">
              <w:rPr>
                <w:rFonts w:ascii="Times New Roman" w:hAnsi="Times New Roman" w:cs="Times New Roman"/>
                <w:color w:val="000000" w:themeColor="text1"/>
                <w:sz w:val="24"/>
                <w:szCs w:val="24"/>
              </w:rPr>
              <w:t xml:space="preserve"> Nr.806/2014, ar ko izveido vienādus noteikumus un vienotu procedūru kredītiestāžu un noteiktu ieguldījumu brokeru sabiedrību noregulējumam, izmantojot vienotu noregulējuma mehānismu un VNF, un groza Regulu (ES Nr.1093/2010 </w:t>
            </w:r>
            <w:r w:rsidRPr="002E0EF2">
              <w:rPr>
                <w:rFonts w:ascii="Times New Roman" w:hAnsi="Times New Roman" w:cs="Times New Roman"/>
                <w:color w:val="000000" w:themeColor="text1"/>
                <w:sz w:val="24"/>
                <w:szCs w:val="24"/>
              </w:rPr>
              <w:t>regulas</w:t>
            </w:r>
            <w:r w:rsidR="00353540">
              <w:rPr>
                <w:rFonts w:ascii="Times New Roman" w:hAnsi="Times New Roman" w:cs="Times New Roman"/>
                <w:color w:val="000000" w:themeColor="text1"/>
                <w:sz w:val="24"/>
                <w:szCs w:val="24"/>
              </w:rPr>
              <w:t xml:space="preserve"> (turpmāk – VNM regula)</w:t>
            </w:r>
            <w:r w:rsidR="00777670">
              <w:rPr>
                <w:rFonts w:ascii="Times New Roman" w:hAnsi="Times New Roman" w:cs="Times New Roman"/>
                <w:color w:val="000000" w:themeColor="text1"/>
                <w:sz w:val="24"/>
                <w:szCs w:val="24"/>
              </w:rPr>
              <w:t>,</w:t>
            </w:r>
            <w:r w:rsidRPr="002E0EF2">
              <w:rPr>
                <w:rFonts w:ascii="Times New Roman" w:hAnsi="Times New Roman" w:cs="Times New Roman"/>
                <w:color w:val="000000" w:themeColor="text1"/>
                <w:sz w:val="24"/>
                <w:szCs w:val="24"/>
              </w:rPr>
              <w:t xml:space="preserve"> 71.panta 1.punktā; </w:t>
            </w:r>
          </w:p>
          <w:p w14:paraId="243AC850" w14:textId="61F7D57F" w:rsidR="002E0EF2" w:rsidRPr="002E0EF2" w:rsidRDefault="00EE135B" w:rsidP="002E0EF2">
            <w:pPr>
              <w:pStyle w:val="Sarakstarindkopa"/>
              <w:spacing w:after="0"/>
              <w:ind w:left="0" w:firstLine="249"/>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 xml:space="preserve">2) </w:t>
            </w:r>
            <w:r w:rsidR="002E0EF2" w:rsidRPr="002E0EF2">
              <w:rPr>
                <w:rFonts w:ascii="Times New Roman" w:hAnsi="Times New Roman" w:cs="Times New Roman"/>
                <w:color w:val="000000" w:themeColor="text1"/>
                <w:sz w:val="24"/>
                <w:szCs w:val="24"/>
              </w:rPr>
              <w:t>Nolīguma projekta 1.pantā ietvertās Nolīguma</w:t>
            </w:r>
            <w:r w:rsidRPr="002E0EF2">
              <w:rPr>
                <w:rFonts w:ascii="Times New Roman" w:hAnsi="Times New Roman" w:cs="Times New Roman"/>
                <w:color w:val="000000" w:themeColor="text1"/>
                <w:sz w:val="24"/>
                <w:szCs w:val="24"/>
              </w:rPr>
              <w:t xml:space="preserve"> 5.panta 1.</w:t>
            </w:r>
            <w:r w:rsidR="002E0EF2" w:rsidRPr="002E0EF2">
              <w:rPr>
                <w:rFonts w:ascii="Times New Roman" w:hAnsi="Times New Roman" w:cs="Times New Roman"/>
                <w:color w:val="000000" w:themeColor="text1"/>
                <w:sz w:val="24"/>
                <w:szCs w:val="24"/>
              </w:rPr>
              <w:t>punkta “d” apakš</w:t>
            </w:r>
            <w:r w:rsidRPr="002E0EF2">
              <w:rPr>
                <w:rFonts w:ascii="Times New Roman" w:hAnsi="Times New Roman" w:cs="Times New Roman"/>
                <w:color w:val="000000" w:themeColor="text1"/>
                <w:sz w:val="24"/>
                <w:szCs w:val="24"/>
              </w:rPr>
              <w:t xml:space="preserve">punkta </w:t>
            </w:r>
            <w:r w:rsidR="002E0EF2" w:rsidRPr="002E0EF2">
              <w:rPr>
                <w:rFonts w:ascii="Times New Roman" w:hAnsi="Times New Roman" w:cs="Times New Roman"/>
                <w:color w:val="000000" w:themeColor="text1"/>
                <w:sz w:val="24"/>
                <w:szCs w:val="24"/>
              </w:rPr>
              <w:t>otrajā daļā</w:t>
            </w:r>
            <w:r w:rsidRPr="002E0EF2">
              <w:rPr>
                <w:rFonts w:ascii="Times New Roman" w:hAnsi="Times New Roman" w:cs="Times New Roman"/>
                <w:color w:val="000000" w:themeColor="text1"/>
                <w:sz w:val="24"/>
                <w:szCs w:val="24"/>
              </w:rPr>
              <w:t xml:space="preserve"> noteiktajā gadījumā - iepriekš VNF veikto </w:t>
            </w:r>
            <w:proofErr w:type="spellStart"/>
            <w:r w:rsidRPr="002E0EF2">
              <w:rPr>
                <w:rFonts w:ascii="Times New Roman" w:hAnsi="Times New Roman" w:cs="Times New Roman"/>
                <w:i/>
                <w:color w:val="000000" w:themeColor="text1"/>
                <w:sz w:val="24"/>
                <w:szCs w:val="24"/>
              </w:rPr>
              <w:t>ex-ante</w:t>
            </w:r>
            <w:proofErr w:type="spellEnd"/>
            <w:r w:rsidRPr="002E0EF2">
              <w:rPr>
                <w:rFonts w:ascii="Times New Roman" w:hAnsi="Times New Roman" w:cs="Times New Roman"/>
                <w:color w:val="000000" w:themeColor="text1"/>
                <w:sz w:val="24"/>
                <w:szCs w:val="24"/>
              </w:rPr>
              <w:t xml:space="preserve"> iemaksu summu, no kuras atskaitītas ar iepriekšējām izma</w:t>
            </w:r>
            <w:r w:rsidR="002E0EF2" w:rsidRPr="002E0EF2">
              <w:rPr>
                <w:rFonts w:ascii="Times New Roman" w:hAnsi="Times New Roman" w:cs="Times New Roman"/>
                <w:color w:val="000000" w:themeColor="text1"/>
                <w:sz w:val="24"/>
                <w:szCs w:val="24"/>
              </w:rPr>
              <w:t>ksām no VNF saistītās iemaksas.</w:t>
            </w:r>
          </w:p>
          <w:p w14:paraId="1DDBE91F" w14:textId="61506DB9" w:rsidR="00F631CA" w:rsidRDefault="00E11F35" w:rsidP="005F5CC5">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Gadījumā, ja noteiktais </w:t>
            </w:r>
            <w:proofErr w:type="spellStart"/>
            <w:r w:rsidR="00B82605" w:rsidRPr="00DD0BF5">
              <w:rPr>
                <w:rFonts w:ascii="Times New Roman" w:hAnsi="Times New Roman" w:cs="Times New Roman"/>
                <w:i/>
                <w:iCs/>
                <w:sz w:val="24"/>
                <w:szCs w:val="24"/>
              </w:rPr>
              <w:t>ex</w:t>
            </w:r>
            <w:proofErr w:type="spellEnd"/>
            <w:r w:rsidR="00B82605" w:rsidRPr="00DD0BF5">
              <w:rPr>
                <w:rFonts w:ascii="Times New Roman" w:hAnsi="Times New Roman" w:cs="Times New Roman"/>
                <w:i/>
                <w:iCs/>
                <w:sz w:val="24"/>
                <w:szCs w:val="24"/>
              </w:rPr>
              <w:t>-post</w:t>
            </w:r>
            <w:r w:rsidR="00B82605" w:rsidRPr="00DD0BF5">
              <w:rPr>
                <w:rFonts w:ascii="Times New Roman" w:hAnsi="Times New Roman" w:cs="Times New Roman"/>
                <w:sz w:val="24"/>
                <w:szCs w:val="24"/>
              </w:rPr>
              <w:t xml:space="preserve"> maksājumu apmērs nav pietiekams, lai noteiktajos termiņos pilnībā atmaksātu VNF ņemtos aizņēmumus konkrētas noregulējuma darbības izmaksu segšanai, </w:t>
            </w:r>
            <w:r w:rsidR="003617EF" w:rsidRPr="00DD0BF5">
              <w:rPr>
                <w:rFonts w:ascii="Times New Roman" w:hAnsi="Times New Roman" w:cs="Times New Roman"/>
                <w:sz w:val="24"/>
                <w:szCs w:val="24"/>
              </w:rPr>
              <w:t>Nolīguma</w:t>
            </w:r>
            <w:r w:rsidR="00B82605" w:rsidRPr="00DD0BF5">
              <w:rPr>
                <w:rFonts w:ascii="Times New Roman" w:hAnsi="Times New Roman" w:cs="Times New Roman"/>
                <w:sz w:val="24"/>
                <w:szCs w:val="24"/>
              </w:rPr>
              <w:t xml:space="preserve"> pusei, kurā noregulējamā iestāde vai grupa veic uzņēmējdarbību vai tai ir piešķirta darbības atļauja, vai arī vairākām pusēm, ja jānoregulē pārrobežu grupa, ir pienākums veikt papildu </w:t>
            </w:r>
            <w:proofErr w:type="spellStart"/>
            <w:r w:rsidR="00B82605" w:rsidRPr="00DD0BF5">
              <w:rPr>
                <w:rFonts w:ascii="Times New Roman" w:hAnsi="Times New Roman" w:cs="Times New Roman"/>
                <w:i/>
                <w:iCs/>
                <w:sz w:val="24"/>
                <w:szCs w:val="24"/>
              </w:rPr>
              <w:t>ex</w:t>
            </w:r>
            <w:proofErr w:type="spellEnd"/>
            <w:r w:rsidR="00B82605" w:rsidRPr="00DD0BF5">
              <w:rPr>
                <w:rFonts w:ascii="Times New Roman" w:hAnsi="Times New Roman" w:cs="Times New Roman"/>
                <w:i/>
                <w:iCs/>
                <w:sz w:val="24"/>
                <w:szCs w:val="24"/>
              </w:rPr>
              <w:t>-post</w:t>
            </w:r>
            <w:r w:rsidR="00B82605" w:rsidRPr="00DD0BF5">
              <w:rPr>
                <w:rFonts w:ascii="Times New Roman" w:hAnsi="Times New Roman" w:cs="Times New Roman"/>
                <w:sz w:val="24"/>
                <w:szCs w:val="24"/>
              </w:rPr>
              <w:t xml:space="preserve"> maksājumus. Arī šādā scenārijā tiek ņemts vērā </w:t>
            </w:r>
            <w:r w:rsidR="003617EF" w:rsidRPr="00DD0BF5">
              <w:rPr>
                <w:rFonts w:ascii="Times New Roman" w:hAnsi="Times New Roman" w:cs="Times New Roman"/>
                <w:sz w:val="24"/>
                <w:szCs w:val="24"/>
              </w:rPr>
              <w:t xml:space="preserve">maksimālais </w:t>
            </w:r>
            <w:proofErr w:type="spellStart"/>
            <w:r w:rsidR="003617EF" w:rsidRPr="00DD0BF5">
              <w:rPr>
                <w:rFonts w:ascii="Times New Roman" w:hAnsi="Times New Roman" w:cs="Times New Roman"/>
                <w:i/>
                <w:sz w:val="24"/>
                <w:szCs w:val="24"/>
              </w:rPr>
              <w:t>ex</w:t>
            </w:r>
            <w:proofErr w:type="spellEnd"/>
            <w:r w:rsidR="003617EF" w:rsidRPr="00DD0BF5">
              <w:rPr>
                <w:rFonts w:ascii="Times New Roman" w:hAnsi="Times New Roman" w:cs="Times New Roman"/>
                <w:i/>
                <w:sz w:val="24"/>
                <w:szCs w:val="24"/>
              </w:rPr>
              <w:t>-post</w:t>
            </w:r>
            <w:r w:rsidR="003617EF" w:rsidRPr="00DD0BF5">
              <w:rPr>
                <w:rFonts w:ascii="Times New Roman" w:hAnsi="Times New Roman" w:cs="Times New Roman"/>
                <w:sz w:val="24"/>
                <w:szCs w:val="24"/>
              </w:rPr>
              <w:t xml:space="preserve"> iemaksu </w:t>
            </w:r>
            <w:r w:rsidR="00B82605" w:rsidRPr="00DD0BF5">
              <w:rPr>
                <w:rFonts w:ascii="Times New Roman" w:hAnsi="Times New Roman" w:cs="Times New Roman"/>
                <w:sz w:val="24"/>
                <w:szCs w:val="24"/>
              </w:rPr>
              <w:t>ierobežojums</w:t>
            </w:r>
            <w:r w:rsidR="003617EF" w:rsidRPr="00DD0BF5">
              <w:rPr>
                <w:rFonts w:ascii="Times New Roman" w:hAnsi="Times New Roman" w:cs="Times New Roman"/>
                <w:sz w:val="24"/>
                <w:szCs w:val="24"/>
              </w:rPr>
              <w:t>.</w:t>
            </w:r>
          </w:p>
          <w:p w14:paraId="658E39FB" w14:textId="55ED46B4" w:rsidR="00A0649A" w:rsidRPr="00A0649A" w:rsidRDefault="00A0649A" w:rsidP="005F5CC5">
            <w:pPr>
              <w:shd w:val="clear" w:color="auto" w:fill="FFFFFF" w:themeFill="background1"/>
              <w:spacing w:after="0"/>
              <w:jc w:val="both"/>
              <w:rPr>
                <w:rFonts w:ascii="Times New Roman" w:hAnsi="Times New Roman" w:cs="Times New Roman"/>
                <w:sz w:val="10"/>
                <w:szCs w:val="10"/>
              </w:rPr>
            </w:pPr>
          </w:p>
          <w:p w14:paraId="0ABE3EB0" w14:textId="7D570E51" w:rsidR="00A0649A" w:rsidRPr="00DD0BF5" w:rsidRDefault="00A0649A" w:rsidP="005F5CC5">
            <w:pPr>
              <w:shd w:val="clear" w:color="auto" w:fill="FFFFFF" w:themeFill="background1"/>
              <w:spacing w:after="0"/>
              <w:jc w:val="both"/>
              <w:rPr>
                <w:rFonts w:ascii="Times New Roman" w:hAnsi="Times New Roman" w:cs="Times New Roman"/>
                <w:sz w:val="24"/>
                <w:szCs w:val="24"/>
              </w:rPr>
            </w:pPr>
            <w:r w:rsidRPr="00A0649A">
              <w:rPr>
                <w:rFonts w:ascii="Times New Roman" w:hAnsi="Times New Roman" w:cs="Times New Roman"/>
                <w:sz w:val="24"/>
                <w:szCs w:val="24"/>
              </w:rPr>
              <w:t>Termins “īpašās noregulējuma darbības” ir vienlīdzīgi lietojams, kā termins “konkrētās noregulējuma darbības”.</w:t>
            </w:r>
          </w:p>
          <w:p w14:paraId="013F2589" w14:textId="77777777" w:rsidR="005F5CC5" w:rsidRPr="00DD0BF5" w:rsidRDefault="005F5CC5" w:rsidP="005F5CC5">
            <w:pPr>
              <w:shd w:val="clear" w:color="auto" w:fill="FFFFFF" w:themeFill="background1"/>
              <w:spacing w:after="0"/>
              <w:jc w:val="both"/>
              <w:rPr>
                <w:rStyle w:val="jlqj4b"/>
                <w:rFonts w:ascii="Times New Roman" w:hAnsi="Times New Roman" w:cs="Times New Roman"/>
                <w:sz w:val="10"/>
                <w:szCs w:val="10"/>
              </w:rPr>
            </w:pPr>
          </w:p>
          <w:p w14:paraId="66F834C9" w14:textId="419CE1C4" w:rsidR="00C40FBA" w:rsidRPr="00DD0BF5" w:rsidRDefault="005F5CC5" w:rsidP="005F5CC5">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projektam ir pievienota deklarācija, kas nosaka, ka grozījumu parakstītāji, kas ir arī Līguma, ar kuru groza Līgumu par ESM dibināšanu, parakstītāji, centīsies noslēgt </w:t>
            </w:r>
            <w:r w:rsidRPr="00DD0BF5">
              <w:rPr>
                <w:rFonts w:ascii="Times New Roman" w:hAnsi="Times New Roman" w:cs="Times New Roman"/>
                <w:sz w:val="24"/>
                <w:szCs w:val="24"/>
              </w:rPr>
              <w:lastRenderedPageBreak/>
              <w:t>grozījumu ratifikācijas procesu vienlaicīgi ar Līguma, ar kuru groza Līgumu par ESM dibināšanu, ratifikācijas procesu un jebkurā gadījumā pēc iespējas ātrāk kopējā atbalsta mehānisma agrīnai ieviešanai, ievērojot nacionālās procedūras un nosacījumus.</w:t>
            </w:r>
          </w:p>
          <w:p w14:paraId="3A8DF7FE" w14:textId="77777777" w:rsidR="005F5CC5" w:rsidRPr="00DD0BF5" w:rsidRDefault="005F5CC5" w:rsidP="005F5CC5">
            <w:pPr>
              <w:shd w:val="clear" w:color="auto" w:fill="FFFFFF" w:themeFill="background1"/>
              <w:spacing w:after="0"/>
              <w:jc w:val="both"/>
              <w:rPr>
                <w:rFonts w:ascii="Times New Roman" w:hAnsi="Times New Roman" w:cs="Times New Roman"/>
                <w:sz w:val="10"/>
                <w:szCs w:val="10"/>
              </w:rPr>
            </w:pPr>
          </w:p>
          <w:p w14:paraId="225C467E" w14:textId="77777777" w:rsidR="00C40FBA" w:rsidRPr="00DD0BF5" w:rsidRDefault="0084501D"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projekts stājas spēkā dienā, kad ratifikācijas, apstiprināšanas vai pieņemšanas instrumentus ir deponējuši visi parakstītāji, kas piedalās vienotajā uzraudzības mehānismā un vienotajā noregulējuma mehānismā. </w:t>
            </w:r>
          </w:p>
          <w:p w14:paraId="2AC14F6A" w14:textId="77777777" w:rsidR="005F139B" w:rsidRPr="00DD0BF5" w:rsidRDefault="005F139B" w:rsidP="005F5CC5">
            <w:pPr>
              <w:shd w:val="clear" w:color="auto" w:fill="FFFFFF" w:themeFill="background1"/>
              <w:spacing w:after="0"/>
              <w:jc w:val="both"/>
              <w:rPr>
                <w:rFonts w:ascii="Times New Roman" w:eastAsia="Times New Roman" w:hAnsi="Times New Roman" w:cs="Times New Roman"/>
                <w:color w:val="000000"/>
                <w:sz w:val="24"/>
                <w:szCs w:val="24"/>
              </w:rPr>
            </w:pPr>
            <w:r w:rsidRPr="00DD0BF5">
              <w:rPr>
                <w:rFonts w:ascii="Times New Roman" w:eastAsia="Times New Roman" w:hAnsi="Times New Roman" w:cs="Times New Roman"/>
                <w:color w:val="000000"/>
                <w:sz w:val="24"/>
                <w:szCs w:val="24"/>
              </w:rPr>
              <w:t>Grozījumi, lai arī stājušies spēkā, ir piemērojami pēc dienas, kad (1) Nolīguma puses ir konstatējušas – sniegušas politisku paziņojumu, ka ir sasniegts nozīmīgs progress risku samazināšanā banku sektorā, un (2) ir stājusies spēkā ESM Valdes rezolūcija par kopīgā atbalsta mehānisma piešķiršanu.</w:t>
            </w:r>
          </w:p>
          <w:p w14:paraId="1432F658" w14:textId="77777777" w:rsidR="000F4200" w:rsidRPr="00DD0BF5" w:rsidRDefault="000F4200" w:rsidP="005F5CC5">
            <w:pPr>
              <w:shd w:val="clear" w:color="auto" w:fill="FFFFFF" w:themeFill="background1"/>
              <w:spacing w:after="0"/>
              <w:jc w:val="both"/>
              <w:rPr>
                <w:rFonts w:ascii="Times New Roman" w:eastAsia="Times New Roman" w:hAnsi="Times New Roman" w:cs="Times New Roman"/>
                <w:color w:val="000000"/>
                <w:sz w:val="10"/>
                <w:szCs w:val="10"/>
              </w:rPr>
            </w:pPr>
          </w:p>
          <w:p w14:paraId="0D51B431" w14:textId="5B167577" w:rsidR="000F4200" w:rsidRPr="00DD0BF5" w:rsidRDefault="00695757" w:rsidP="00695757">
            <w:pPr>
              <w:shd w:val="clear" w:color="auto" w:fill="FFFFFF" w:themeFill="background1"/>
              <w:spacing w:after="0"/>
              <w:jc w:val="both"/>
              <w:rPr>
                <w:rFonts w:ascii="Times New Roman" w:eastAsia="Times New Roman" w:hAnsi="Times New Roman" w:cs="Times New Roman"/>
                <w:color w:val="000000"/>
                <w:sz w:val="24"/>
                <w:szCs w:val="24"/>
              </w:rPr>
            </w:pPr>
            <w:r w:rsidRPr="00DD0BF5">
              <w:rPr>
                <w:rFonts w:ascii="Times New Roman" w:eastAsia="Times New Roman" w:hAnsi="Times New Roman" w:cs="Times New Roman"/>
                <w:color w:val="000000"/>
                <w:sz w:val="24"/>
                <w:szCs w:val="24"/>
              </w:rPr>
              <w:t>Ar šā likumprojekta</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apstiprināšanu tiek</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pieņemti grozījumi</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 xml:space="preserve">Nolīgumā </w:t>
            </w:r>
            <w:r w:rsidR="000F4200" w:rsidRPr="00DD0BF5">
              <w:rPr>
                <w:rFonts w:ascii="Times New Roman" w:eastAsia="Times New Roman" w:hAnsi="Times New Roman" w:cs="Times New Roman"/>
                <w:color w:val="000000"/>
                <w:sz w:val="24"/>
                <w:szCs w:val="24"/>
              </w:rPr>
              <w:t xml:space="preserve">par iemaksu pārskaitīšanu uz vienoto noregulējuma fondu un to kopīgošanu, </w:t>
            </w:r>
            <w:r w:rsidRPr="00DD0BF5">
              <w:rPr>
                <w:rFonts w:ascii="Times New Roman" w:eastAsia="Times New Roman" w:hAnsi="Times New Roman" w:cs="Times New Roman"/>
                <w:color w:val="000000"/>
                <w:sz w:val="24"/>
                <w:szCs w:val="24"/>
              </w:rPr>
              <w:t>kas Saeimā</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pieņemti</w:t>
            </w:r>
            <w:r w:rsidR="000F4200" w:rsidRPr="00DD0BF5">
              <w:rPr>
                <w:rFonts w:ascii="Times New Roman" w:eastAsia="Times New Roman" w:hAnsi="Times New Roman" w:cs="Times New Roman"/>
                <w:color w:val="000000"/>
                <w:sz w:val="24"/>
                <w:szCs w:val="24"/>
              </w:rPr>
              <w:t xml:space="preserve"> 2014.gada 30.oktobrī ar likumu “Par Nolīgumu par iemaksu pārskaitīšanu uz vienoto noregulējuma fondu un to kopīgošanu”.</w:t>
            </w:r>
          </w:p>
        </w:tc>
      </w:tr>
      <w:tr w:rsidR="00D40C5D" w:rsidRPr="00DD0BF5" w14:paraId="42D2CAAA"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CF21523"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6E21CD55"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shd w:val="clear" w:color="auto" w:fill="auto"/>
          </w:tcPr>
          <w:p w14:paraId="23DF2673" w14:textId="0A9972AE" w:rsidR="00FF7AF0" w:rsidRPr="00DD0BF5" w:rsidRDefault="00D07138" w:rsidP="005F5CC5">
            <w:pPr>
              <w:pStyle w:val="naisf"/>
              <w:spacing w:before="0" w:after="0"/>
              <w:ind w:right="57" w:firstLine="0"/>
              <w:rPr>
                <w:color w:val="000000" w:themeColor="text1"/>
                <w:lang w:val="lv-LV"/>
              </w:rPr>
            </w:pPr>
            <w:r w:rsidRPr="00DD0BF5">
              <w:rPr>
                <w:lang w:val="lv-LV"/>
              </w:rPr>
              <w:t>Finanšu ministrija</w:t>
            </w:r>
            <w:r w:rsidR="00EA6BC7" w:rsidRPr="00DD0BF5">
              <w:rPr>
                <w:lang w:val="lv-LV"/>
              </w:rPr>
              <w:t xml:space="preserve">, Latvijas Banka, Finanšu un kapitāla tirgus komisija. </w:t>
            </w:r>
          </w:p>
        </w:tc>
      </w:tr>
      <w:tr w:rsidR="00D40C5D" w:rsidRPr="00DD0BF5" w14:paraId="7B9C8EE3"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2BB5C123"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76BF2C56"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1F14CA2B" w14:textId="0F2B4D82" w:rsidR="00D40C5D" w:rsidRPr="00DD0BF5" w:rsidRDefault="00EA6BC7"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rPr>
              <w:t>Nav.</w:t>
            </w:r>
          </w:p>
        </w:tc>
      </w:tr>
    </w:tbl>
    <w:p w14:paraId="40228E4E"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657"/>
        <w:gridCol w:w="3817"/>
      </w:tblGrid>
      <w:tr w:rsidR="00926C30" w:rsidRPr="00DD0BF5" w14:paraId="6668B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A1949"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26C30" w:rsidRPr="00DD0BF5" w14:paraId="6822BF45"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FDFB4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2554" w:type="pct"/>
            <w:tcBorders>
              <w:top w:val="outset" w:sz="6" w:space="0" w:color="auto"/>
              <w:left w:val="outset" w:sz="6" w:space="0" w:color="auto"/>
              <w:bottom w:val="outset" w:sz="6" w:space="0" w:color="auto"/>
              <w:right w:val="outset" w:sz="6" w:space="0" w:color="auto"/>
            </w:tcBorders>
            <w:hideMark/>
          </w:tcPr>
          <w:p w14:paraId="5C9D31D3"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 xml:space="preserve">Sabiedrības </w:t>
            </w:r>
            <w:proofErr w:type="spellStart"/>
            <w:r w:rsidRPr="00DD0BF5">
              <w:rPr>
                <w:rFonts w:ascii="Times New Roman" w:eastAsia="Times New Roman" w:hAnsi="Times New Roman" w:cs="Times New Roman"/>
                <w:iCs/>
                <w:color w:val="000000" w:themeColor="text1"/>
                <w:sz w:val="24"/>
                <w:szCs w:val="24"/>
                <w:lang w:eastAsia="lv-LV"/>
              </w:rPr>
              <w:t>mērķgrupas</w:t>
            </w:r>
            <w:proofErr w:type="spellEnd"/>
            <w:r w:rsidRPr="00DD0BF5">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083" w:type="pct"/>
            <w:tcBorders>
              <w:top w:val="outset" w:sz="6" w:space="0" w:color="auto"/>
              <w:left w:val="outset" w:sz="6" w:space="0" w:color="auto"/>
              <w:bottom w:val="outset" w:sz="6" w:space="0" w:color="auto"/>
              <w:right w:val="outset" w:sz="6" w:space="0" w:color="auto"/>
            </w:tcBorders>
            <w:hideMark/>
          </w:tcPr>
          <w:p w14:paraId="158D487E" w14:textId="2BA13502" w:rsidR="00EA6BC7" w:rsidRPr="00DD0BF5" w:rsidRDefault="005F5CC5" w:rsidP="00100A5A">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Latvijā reģistrētas kredītiestādes</w:t>
            </w:r>
            <w:r w:rsidR="00100A5A" w:rsidRPr="00DD0BF5">
              <w:rPr>
                <w:rFonts w:ascii="Times New Roman" w:hAnsi="Times New Roman" w:cs="Times New Roman"/>
                <w:sz w:val="24"/>
                <w:szCs w:val="24"/>
                <w:lang w:eastAsia="lv-LV"/>
              </w:rPr>
              <w:t>.</w:t>
            </w:r>
            <w:r w:rsidRPr="00DD0BF5">
              <w:rPr>
                <w:rFonts w:ascii="Times New Roman" w:hAnsi="Times New Roman" w:cs="Times New Roman"/>
                <w:sz w:val="24"/>
                <w:szCs w:val="24"/>
                <w:lang w:eastAsia="lv-LV"/>
              </w:rPr>
              <w:t xml:space="preserve"> </w:t>
            </w:r>
          </w:p>
        </w:tc>
      </w:tr>
      <w:tr w:rsidR="00926C30" w:rsidRPr="00DD0BF5" w14:paraId="19CC46EA"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10AE6F"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2554" w:type="pct"/>
            <w:tcBorders>
              <w:top w:val="outset" w:sz="6" w:space="0" w:color="auto"/>
              <w:left w:val="outset" w:sz="6" w:space="0" w:color="auto"/>
              <w:bottom w:val="outset" w:sz="6" w:space="0" w:color="auto"/>
              <w:right w:val="outset" w:sz="6" w:space="0" w:color="auto"/>
            </w:tcBorders>
            <w:hideMark/>
          </w:tcPr>
          <w:p w14:paraId="53008F2C"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083" w:type="pct"/>
            <w:tcBorders>
              <w:top w:val="outset" w:sz="6" w:space="0" w:color="auto"/>
              <w:left w:val="outset" w:sz="6" w:space="0" w:color="auto"/>
              <w:bottom w:val="outset" w:sz="6" w:space="0" w:color="auto"/>
              <w:right w:val="outset" w:sz="6" w:space="0" w:color="auto"/>
            </w:tcBorders>
            <w:hideMark/>
          </w:tcPr>
          <w:p w14:paraId="57816353" w14:textId="2E6DF788" w:rsidR="00967671" w:rsidRPr="00DD0BF5" w:rsidRDefault="00FF18A2" w:rsidP="004F25D9">
            <w:pPr>
              <w:spacing w:after="0" w:line="240" w:lineRule="auto"/>
              <w:jc w:val="both"/>
              <w:rPr>
                <w:rFonts w:ascii="Times New Roman" w:hAnsi="Times New Roman" w:cs="Times New Roman"/>
                <w:color w:val="000000"/>
                <w:sz w:val="24"/>
                <w:szCs w:val="24"/>
              </w:rPr>
            </w:pPr>
            <w:r w:rsidRPr="00DD0BF5">
              <w:rPr>
                <w:rFonts w:ascii="Times New Roman" w:hAnsi="Times New Roman"/>
                <w:bCs/>
                <w:sz w:val="24"/>
                <w:szCs w:val="24"/>
              </w:rPr>
              <w:t>Nav attiecināms.</w:t>
            </w:r>
          </w:p>
        </w:tc>
      </w:tr>
      <w:tr w:rsidR="00926C30" w:rsidRPr="00DD0BF5" w14:paraId="589E0637"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937BA"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2554" w:type="pct"/>
            <w:tcBorders>
              <w:top w:val="outset" w:sz="6" w:space="0" w:color="auto"/>
              <w:left w:val="outset" w:sz="6" w:space="0" w:color="auto"/>
              <w:bottom w:val="outset" w:sz="6" w:space="0" w:color="auto"/>
              <w:right w:val="outset" w:sz="6" w:space="0" w:color="auto"/>
            </w:tcBorders>
            <w:hideMark/>
          </w:tcPr>
          <w:p w14:paraId="5E6BC7AA"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Administratīvo izmaksu monetārs novērtējums</w:t>
            </w:r>
          </w:p>
        </w:tc>
        <w:tc>
          <w:tcPr>
            <w:tcW w:w="2083" w:type="pct"/>
            <w:tcBorders>
              <w:top w:val="outset" w:sz="6" w:space="0" w:color="auto"/>
              <w:left w:val="outset" w:sz="6" w:space="0" w:color="auto"/>
              <w:bottom w:val="outset" w:sz="6" w:space="0" w:color="auto"/>
              <w:right w:val="outset" w:sz="6" w:space="0" w:color="auto"/>
            </w:tcBorders>
            <w:hideMark/>
          </w:tcPr>
          <w:p w14:paraId="67D7B094" w14:textId="7F4C2777" w:rsidR="00E5323B" w:rsidRPr="00DD0BF5" w:rsidRDefault="00FF18A2"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hAnsi="Times New Roman"/>
                <w:bCs/>
                <w:sz w:val="24"/>
                <w:szCs w:val="24"/>
              </w:rPr>
              <w:t>Nav attiecināms.</w:t>
            </w:r>
          </w:p>
        </w:tc>
      </w:tr>
      <w:tr w:rsidR="00926C30" w:rsidRPr="00DD0BF5" w14:paraId="5D4EDE32"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614DC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2554" w:type="pct"/>
            <w:tcBorders>
              <w:top w:val="outset" w:sz="6" w:space="0" w:color="auto"/>
              <w:left w:val="outset" w:sz="6" w:space="0" w:color="auto"/>
              <w:bottom w:val="outset" w:sz="6" w:space="0" w:color="auto"/>
              <w:right w:val="outset" w:sz="6" w:space="0" w:color="auto"/>
            </w:tcBorders>
            <w:hideMark/>
          </w:tcPr>
          <w:p w14:paraId="4CF10D40"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Atbilstības izmaksu monetārs novērtējums</w:t>
            </w:r>
          </w:p>
        </w:tc>
        <w:tc>
          <w:tcPr>
            <w:tcW w:w="2083" w:type="pct"/>
            <w:tcBorders>
              <w:top w:val="outset" w:sz="6" w:space="0" w:color="auto"/>
              <w:left w:val="outset" w:sz="6" w:space="0" w:color="auto"/>
              <w:bottom w:val="outset" w:sz="6" w:space="0" w:color="auto"/>
              <w:right w:val="outset" w:sz="6" w:space="0" w:color="auto"/>
            </w:tcBorders>
            <w:hideMark/>
          </w:tcPr>
          <w:p w14:paraId="5696412A" w14:textId="61EF490A" w:rsidR="00E5323B" w:rsidRPr="00DD0BF5" w:rsidRDefault="00FF18A2"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hAnsi="Times New Roman"/>
                <w:bCs/>
                <w:sz w:val="24"/>
                <w:szCs w:val="24"/>
              </w:rPr>
              <w:t>Nav attiecināms.</w:t>
            </w:r>
          </w:p>
        </w:tc>
      </w:tr>
      <w:tr w:rsidR="00926C30" w:rsidRPr="00DD0BF5" w14:paraId="5AF44F7B"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AEFA42"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5.</w:t>
            </w:r>
          </w:p>
        </w:tc>
        <w:tc>
          <w:tcPr>
            <w:tcW w:w="2554" w:type="pct"/>
            <w:tcBorders>
              <w:top w:val="outset" w:sz="6" w:space="0" w:color="auto"/>
              <w:left w:val="outset" w:sz="6" w:space="0" w:color="auto"/>
              <w:bottom w:val="outset" w:sz="6" w:space="0" w:color="auto"/>
              <w:right w:val="outset" w:sz="6" w:space="0" w:color="auto"/>
            </w:tcBorders>
            <w:hideMark/>
          </w:tcPr>
          <w:p w14:paraId="14C38481"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2083" w:type="pct"/>
            <w:tcBorders>
              <w:top w:val="outset" w:sz="6" w:space="0" w:color="auto"/>
              <w:left w:val="outset" w:sz="6" w:space="0" w:color="auto"/>
              <w:bottom w:val="outset" w:sz="6" w:space="0" w:color="auto"/>
              <w:right w:val="outset" w:sz="6" w:space="0" w:color="auto"/>
            </w:tcBorders>
            <w:hideMark/>
          </w:tcPr>
          <w:p w14:paraId="2BBF0A21" w14:textId="77777777" w:rsidR="00E5323B" w:rsidRPr="00DD0BF5" w:rsidRDefault="00967671"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Nav.</w:t>
            </w:r>
          </w:p>
        </w:tc>
      </w:tr>
    </w:tbl>
    <w:p w14:paraId="699A0410"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D0BF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7671" w:rsidRPr="00DD0BF5" w14:paraId="50C21E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AC69C"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F25D9" w:rsidRPr="00DD0BF5" w14:paraId="0BD5C33E" w14:textId="77777777" w:rsidTr="004F25D9">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tcPr>
          <w:p w14:paraId="25997978" w14:textId="3E82CD8B" w:rsidR="004F25D9" w:rsidRPr="00DD0BF5" w:rsidRDefault="004F25D9" w:rsidP="004F25D9">
            <w:pPr>
              <w:spacing w:after="0"/>
              <w:jc w:val="center"/>
              <w:rPr>
                <w:rFonts w:ascii="Times New Roman" w:hAnsi="Times New Roman" w:cs="Times New Roman"/>
                <w:bCs/>
                <w:color w:val="000000"/>
                <w:sz w:val="20"/>
                <w:szCs w:val="20"/>
              </w:rPr>
            </w:pPr>
            <w:r w:rsidRPr="00DD0BF5">
              <w:rPr>
                <w:rFonts w:ascii="Times New Roman" w:hAnsi="Times New Roman"/>
                <w:bCs/>
                <w:sz w:val="24"/>
                <w:szCs w:val="24"/>
              </w:rPr>
              <w:t>Projekts šo jomu neskar.</w:t>
            </w:r>
          </w:p>
        </w:tc>
      </w:tr>
    </w:tbl>
    <w:p w14:paraId="3C06F56F"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61"/>
        <w:gridCol w:w="5542"/>
      </w:tblGrid>
      <w:tr w:rsidR="00967671" w:rsidRPr="00DD0BF5" w14:paraId="65771B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028361"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54E97" w:rsidRPr="00DD0BF5" w14:paraId="7D57C405"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9820489" w14:textId="34B6C52A"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vAlign w:val="center"/>
          </w:tcPr>
          <w:p w14:paraId="0BF4FCA6" w14:textId="160D4E44"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Saistītie tiesību aktu projekti</w:t>
            </w:r>
          </w:p>
        </w:tc>
        <w:tc>
          <w:tcPr>
            <w:tcW w:w="3035" w:type="pct"/>
            <w:tcBorders>
              <w:top w:val="outset" w:sz="6" w:space="0" w:color="auto"/>
              <w:left w:val="outset" w:sz="6" w:space="0" w:color="auto"/>
              <w:bottom w:val="outset" w:sz="6" w:space="0" w:color="auto"/>
              <w:right w:val="outset" w:sz="6" w:space="0" w:color="auto"/>
            </w:tcBorders>
            <w:vAlign w:val="center"/>
          </w:tcPr>
          <w:p w14:paraId="1CFEFDB5" w14:textId="278ACB71" w:rsidR="00954E97" w:rsidRPr="00954E97" w:rsidRDefault="00954E97" w:rsidP="00F644C1">
            <w:pPr>
              <w:spacing w:after="0" w:line="240" w:lineRule="auto"/>
              <w:jc w:val="both"/>
              <w:rPr>
                <w:rFonts w:ascii="Times New Roman" w:eastAsia="Times New Roman" w:hAnsi="Times New Roman" w:cs="Times New Roman"/>
                <w:b/>
                <w:bCs/>
                <w:iCs/>
                <w:color w:val="000000" w:themeColor="text1"/>
                <w:sz w:val="24"/>
                <w:szCs w:val="24"/>
                <w:lang w:eastAsia="lv-LV"/>
              </w:rPr>
            </w:pPr>
            <w:r w:rsidRPr="00F644C1">
              <w:rPr>
                <w:rFonts w:ascii="Times New Roman" w:eastAsia="Times New Roman" w:hAnsi="Times New Roman" w:cs="Times New Roman"/>
                <w:bCs/>
                <w:iCs/>
                <w:color w:val="000000" w:themeColor="text1"/>
                <w:sz w:val="24"/>
                <w:szCs w:val="24"/>
                <w:lang w:eastAsia="lv-LV"/>
              </w:rPr>
              <w:t xml:space="preserve">Līdz ar Nolīguma projektu tiek virzīti apstiprināšanai grozījumi Līgumā par Eiropas Stabilitātes mehānisma </w:t>
            </w:r>
            <w:r w:rsidRPr="00F644C1">
              <w:rPr>
                <w:rFonts w:ascii="Times New Roman" w:eastAsia="Times New Roman" w:hAnsi="Times New Roman" w:cs="Times New Roman"/>
                <w:bCs/>
                <w:iCs/>
                <w:color w:val="000000" w:themeColor="text1"/>
                <w:sz w:val="24"/>
                <w:szCs w:val="24"/>
                <w:lang w:eastAsia="lv-LV"/>
              </w:rPr>
              <w:lastRenderedPageBreak/>
              <w:t xml:space="preserve">dibināšanu. Grozījumi citu starpā paredz, ka </w:t>
            </w:r>
            <w:r w:rsidR="00F644C1" w:rsidRPr="00F644C1">
              <w:rPr>
                <w:rFonts w:ascii="Times New Roman" w:eastAsia="Times New Roman" w:hAnsi="Times New Roman" w:cs="Times New Roman"/>
                <w:bCs/>
                <w:iCs/>
                <w:color w:val="000000" w:themeColor="text1"/>
                <w:sz w:val="24"/>
                <w:szCs w:val="24"/>
                <w:lang w:eastAsia="lv-LV"/>
              </w:rPr>
              <w:t>ar tiem tiek nodrošināta</w:t>
            </w:r>
            <w:r w:rsidRPr="00F644C1">
              <w:rPr>
                <w:rFonts w:ascii="Times New Roman" w:eastAsia="Times New Roman" w:hAnsi="Times New Roman" w:cs="Times New Roman"/>
                <w:bCs/>
                <w:iCs/>
                <w:color w:val="000000" w:themeColor="text1"/>
                <w:sz w:val="24"/>
                <w:szCs w:val="24"/>
                <w:lang w:eastAsia="lv-LV"/>
              </w:rPr>
              <w:t xml:space="preserve"> kopīgā atbalsta mehānisma </w:t>
            </w:r>
            <w:r w:rsidR="00F644C1">
              <w:rPr>
                <w:rFonts w:ascii="Times New Roman" w:eastAsia="Times New Roman" w:hAnsi="Times New Roman" w:cs="Times New Roman"/>
                <w:bCs/>
                <w:iCs/>
                <w:color w:val="000000" w:themeColor="text1"/>
                <w:sz w:val="24"/>
                <w:szCs w:val="24"/>
                <w:lang w:eastAsia="lv-LV"/>
              </w:rPr>
              <w:t xml:space="preserve">VNF </w:t>
            </w:r>
            <w:r w:rsidRPr="00F644C1">
              <w:rPr>
                <w:rFonts w:ascii="Times New Roman" w:eastAsia="Times New Roman" w:hAnsi="Times New Roman" w:cs="Times New Roman"/>
                <w:bCs/>
                <w:iCs/>
                <w:color w:val="000000" w:themeColor="text1"/>
                <w:sz w:val="24"/>
                <w:szCs w:val="24"/>
                <w:lang w:eastAsia="lv-LV"/>
              </w:rPr>
              <w:t>ievie</w:t>
            </w:r>
            <w:r w:rsidR="00F644C1" w:rsidRPr="00F644C1">
              <w:rPr>
                <w:rFonts w:ascii="Times New Roman" w:eastAsia="Times New Roman" w:hAnsi="Times New Roman" w:cs="Times New Roman"/>
                <w:bCs/>
                <w:iCs/>
                <w:color w:val="000000" w:themeColor="text1"/>
                <w:sz w:val="24"/>
                <w:szCs w:val="24"/>
                <w:lang w:eastAsia="lv-LV"/>
              </w:rPr>
              <w:t>šana</w:t>
            </w:r>
            <w:r w:rsidRPr="00F644C1">
              <w:rPr>
                <w:rFonts w:ascii="Times New Roman" w:eastAsia="Times New Roman" w:hAnsi="Times New Roman" w:cs="Times New Roman"/>
                <w:bCs/>
                <w:iCs/>
                <w:color w:val="000000" w:themeColor="text1"/>
                <w:sz w:val="24"/>
                <w:szCs w:val="24"/>
                <w:lang w:eastAsia="lv-LV"/>
              </w:rPr>
              <w:t>.</w:t>
            </w:r>
            <w:r w:rsidR="00F644C1" w:rsidRPr="00F644C1">
              <w:rPr>
                <w:rFonts w:ascii="Times New Roman" w:eastAsia="Times New Roman" w:hAnsi="Times New Roman" w:cs="Times New Roman"/>
                <w:bCs/>
                <w:iCs/>
                <w:color w:val="000000" w:themeColor="text1"/>
                <w:sz w:val="24"/>
                <w:szCs w:val="24"/>
                <w:lang w:eastAsia="lv-LV"/>
              </w:rPr>
              <w:t xml:space="preserve"> </w:t>
            </w:r>
          </w:p>
        </w:tc>
      </w:tr>
      <w:tr w:rsidR="00954E97" w:rsidRPr="00DD0BF5" w14:paraId="4F7A5B32"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5C826B3" w14:textId="02741D9E"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lastRenderedPageBreak/>
              <w:t>2.</w:t>
            </w:r>
          </w:p>
        </w:tc>
        <w:tc>
          <w:tcPr>
            <w:tcW w:w="1618" w:type="pct"/>
            <w:tcBorders>
              <w:top w:val="outset" w:sz="6" w:space="0" w:color="auto"/>
              <w:left w:val="outset" w:sz="6" w:space="0" w:color="auto"/>
              <w:bottom w:val="outset" w:sz="6" w:space="0" w:color="auto"/>
              <w:right w:val="outset" w:sz="6" w:space="0" w:color="auto"/>
            </w:tcBorders>
            <w:vAlign w:val="center"/>
          </w:tcPr>
          <w:p w14:paraId="1A81A6A1" w14:textId="1C9BA764"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Atbildīgā institūcija</w:t>
            </w:r>
          </w:p>
        </w:tc>
        <w:tc>
          <w:tcPr>
            <w:tcW w:w="3035" w:type="pct"/>
            <w:tcBorders>
              <w:top w:val="outset" w:sz="6" w:space="0" w:color="auto"/>
              <w:left w:val="outset" w:sz="6" w:space="0" w:color="auto"/>
              <w:bottom w:val="outset" w:sz="6" w:space="0" w:color="auto"/>
              <w:right w:val="outset" w:sz="6" w:space="0" w:color="auto"/>
            </w:tcBorders>
            <w:vAlign w:val="center"/>
          </w:tcPr>
          <w:p w14:paraId="7AE21CDE" w14:textId="09DD6E90"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Finanšu ministrija</w:t>
            </w:r>
          </w:p>
        </w:tc>
      </w:tr>
      <w:tr w:rsidR="00954E97" w:rsidRPr="00DD0BF5" w14:paraId="37769A08"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432FF976" w14:textId="7172652B"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vAlign w:val="center"/>
          </w:tcPr>
          <w:p w14:paraId="2281F624" w14:textId="5BC8ED9D"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vAlign w:val="center"/>
          </w:tcPr>
          <w:p w14:paraId="6ECC877C" w14:textId="16F61F3D"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Nav.</w:t>
            </w:r>
          </w:p>
        </w:tc>
      </w:tr>
    </w:tbl>
    <w:p w14:paraId="793B78B9" w14:textId="27EE1D3A" w:rsidR="00E5323B" w:rsidRPr="00954E9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54E97">
        <w:rPr>
          <w:rFonts w:ascii="Times New Roman" w:eastAsia="Times New Roman" w:hAnsi="Times New Roman" w:cs="Times New Roman"/>
          <w:b/>
          <w:bCs/>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213BE4" w:rsidRPr="00DD0BF5" w14:paraId="1B007669" w14:textId="77777777" w:rsidTr="00213BE4">
        <w:trPr>
          <w:trHeight w:val="36"/>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F91DFF" w14:textId="77777777" w:rsidR="00213BE4" w:rsidRPr="00DD0BF5" w:rsidRDefault="00213BE4" w:rsidP="00213BE4">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 V. Tiesību akta projekta atbilstība Latvijas Republikas starptautiskajām saistībām</w:t>
            </w:r>
          </w:p>
        </w:tc>
      </w:tr>
      <w:tr w:rsidR="00213BE4" w:rsidRPr="00DD0BF5" w14:paraId="27CAD87B"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7BCB6B83"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1.</w:t>
            </w:r>
          </w:p>
        </w:tc>
        <w:tc>
          <w:tcPr>
            <w:tcW w:w="3230" w:type="dxa"/>
            <w:tcBorders>
              <w:top w:val="outset" w:sz="6" w:space="0" w:color="auto"/>
              <w:left w:val="outset" w:sz="6" w:space="0" w:color="auto"/>
              <w:bottom w:val="outset" w:sz="6" w:space="0" w:color="auto"/>
              <w:right w:val="outset" w:sz="6" w:space="0" w:color="auto"/>
            </w:tcBorders>
            <w:hideMark/>
          </w:tcPr>
          <w:p w14:paraId="45E88AD5"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Saistības pret Eiropas Savienību</w:t>
            </w:r>
          </w:p>
        </w:tc>
        <w:tc>
          <w:tcPr>
            <w:tcW w:w="5332" w:type="dxa"/>
            <w:tcBorders>
              <w:top w:val="outset" w:sz="6" w:space="0" w:color="auto"/>
              <w:left w:val="outset" w:sz="6" w:space="0" w:color="auto"/>
              <w:bottom w:val="outset" w:sz="6" w:space="0" w:color="auto"/>
              <w:right w:val="outset" w:sz="6" w:space="0" w:color="auto"/>
            </w:tcBorders>
            <w:hideMark/>
          </w:tcPr>
          <w:p w14:paraId="0522EC2B" w14:textId="7B1AF3AA" w:rsidR="00213BE4" w:rsidRPr="00DD0BF5" w:rsidRDefault="00FF18A2" w:rsidP="003459FA">
            <w:pPr>
              <w:spacing w:before="68" w:after="68"/>
              <w:jc w:val="both"/>
              <w:rPr>
                <w:rFonts w:ascii="Times New Roman" w:hAnsi="Times New Roman" w:cs="Times New Roman"/>
                <w:sz w:val="24"/>
                <w:szCs w:val="24"/>
                <w:lang w:eastAsia="lv-LV"/>
              </w:rPr>
            </w:pPr>
            <w:r w:rsidRPr="00DD0BF5">
              <w:rPr>
                <w:rFonts w:ascii="Times New Roman" w:hAnsi="Times New Roman" w:cs="Times New Roman"/>
                <w:sz w:val="24"/>
                <w:szCs w:val="24"/>
                <w:lang w:eastAsia="lv-LV"/>
              </w:rPr>
              <w:t>Ar projektu uzņemtās saistības nenonāk pretrunā starptautiskajām saistībām pret Eiropas Savienību.</w:t>
            </w:r>
          </w:p>
        </w:tc>
      </w:tr>
      <w:tr w:rsidR="00213BE4" w:rsidRPr="00DD0BF5" w14:paraId="4AE663AC"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2BDFBCA1"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2.</w:t>
            </w:r>
          </w:p>
        </w:tc>
        <w:tc>
          <w:tcPr>
            <w:tcW w:w="3230" w:type="dxa"/>
            <w:tcBorders>
              <w:top w:val="outset" w:sz="6" w:space="0" w:color="auto"/>
              <w:left w:val="outset" w:sz="6" w:space="0" w:color="auto"/>
              <w:bottom w:val="outset" w:sz="6" w:space="0" w:color="auto"/>
              <w:right w:val="outset" w:sz="6" w:space="0" w:color="auto"/>
            </w:tcBorders>
            <w:hideMark/>
          </w:tcPr>
          <w:p w14:paraId="41542D14"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Citas starptautiskās saistības</w:t>
            </w:r>
          </w:p>
        </w:tc>
        <w:tc>
          <w:tcPr>
            <w:tcW w:w="5332" w:type="dxa"/>
            <w:tcBorders>
              <w:top w:val="outset" w:sz="6" w:space="0" w:color="auto"/>
              <w:left w:val="outset" w:sz="6" w:space="0" w:color="auto"/>
              <w:bottom w:val="outset" w:sz="6" w:space="0" w:color="auto"/>
              <w:right w:val="outset" w:sz="6" w:space="0" w:color="auto"/>
            </w:tcBorders>
            <w:hideMark/>
          </w:tcPr>
          <w:p w14:paraId="555221C5" w14:textId="14C3FB5B" w:rsidR="00213BE4" w:rsidRPr="00DD0BF5" w:rsidRDefault="0068256A" w:rsidP="00CA0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r w:rsidR="00213BE4" w:rsidRPr="00DD0BF5" w14:paraId="79853278"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038AA6EA"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3.</w:t>
            </w:r>
          </w:p>
        </w:tc>
        <w:tc>
          <w:tcPr>
            <w:tcW w:w="3230" w:type="dxa"/>
            <w:tcBorders>
              <w:top w:val="outset" w:sz="6" w:space="0" w:color="auto"/>
              <w:left w:val="outset" w:sz="6" w:space="0" w:color="auto"/>
              <w:bottom w:val="outset" w:sz="6" w:space="0" w:color="auto"/>
              <w:right w:val="outset" w:sz="6" w:space="0" w:color="auto"/>
            </w:tcBorders>
            <w:hideMark/>
          </w:tcPr>
          <w:p w14:paraId="793201EC"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Cita informācija</w:t>
            </w:r>
          </w:p>
        </w:tc>
        <w:tc>
          <w:tcPr>
            <w:tcW w:w="5332" w:type="dxa"/>
            <w:tcBorders>
              <w:top w:val="outset" w:sz="6" w:space="0" w:color="auto"/>
              <w:left w:val="outset" w:sz="6" w:space="0" w:color="auto"/>
              <w:bottom w:val="outset" w:sz="6" w:space="0" w:color="auto"/>
              <w:right w:val="outset" w:sz="6" w:space="0" w:color="auto"/>
            </w:tcBorders>
            <w:hideMark/>
          </w:tcPr>
          <w:p w14:paraId="0E80AD4E" w14:textId="56911324" w:rsidR="00213BE4" w:rsidRPr="00DD0BF5" w:rsidRDefault="00FF18A2" w:rsidP="00FC344A">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Nav.</w:t>
            </w:r>
          </w:p>
        </w:tc>
      </w:tr>
    </w:tbl>
    <w:p w14:paraId="7CAFA518" w14:textId="1D2ADFD9"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0D22" w:rsidRPr="00DD0BF5" w14:paraId="0FE4310D" w14:textId="77777777" w:rsidTr="005C67A8">
        <w:trPr>
          <w:trHeight w:val="36"/>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CAE2593" w14:textId="73D8948E" w:rsidR="00CA0D22" w:rsidRPr="00DD0BF5" w:rsidRDefault="00CA0D22" w:rsidP="00CA0D22">
            <w:pPr>
              <w:spacing w:after="0" w:line="240" w:lineRule="auto"/>
              <w:jc w:val="center"/>
              <w:rPr>
                <w:rFonts w:ascii="Times New Roman" w:eastAsia="Times New Roman" w:hAnsi="Times New Roman" w:cs="Times New Roman"/>
                <w:b/>
                <w:bCs/>
                <w:iCs/>
                <w:color w:val="000000" w:themeColor="text1"/>
                <w:sz w:val="24"/>
                <w:szCs w:val="24"/>
                <w:lang w:eastAsia="lv-LV"/>
              </w:rPr>
            </w:pPr>
            <w:r w:rsidRPr="00CA0D22">
              <w:rPr>
                <w:rFonts w:ascii="Times New Roman" w:eastAsia="Times New Roman" w:hAnsi="Times New Roman" w:cs="Times New Roman"/>
                <w:b/>
                <w:bCs/>
                <w:iCs/>
                <w:color w:val="000000" w:themeColor="text1"/>
                <w:sz w:val="24"/>
                <w:szCs w:val="24"/>
                <w:lang w:eastAsia="lv-LV"/>
              </w:rPr>
              <w:t>1. tabula</w:t>
            </w:r>
            <w:r w:rsidRPr="00CA0D22">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CA0D22" w:rsidRPr="00DD0BF5" w14:paraId="353DB4DA" w14:textId="77777777" w:rsidTr="00CA0D22">
        <w:tblPrEx>
          <w:tblCellSpacing w:w="0" w:type="dxa"/>
          <w:tblCellMar>
            <w:top w:w="0" w:type="dxa"/>
            <w:left w:w="0" w:type="dxa"/>
            <w:bottom w:w="0" w:type="dxa"/>
            <w:right w:w="0" w:type="dxa"/>
          </w:tblCellMar>
        </w:tblPrEx>
        <w:trPr>
          <w:tblCellSpacing w:w="0" w:type="dxa"/>
        </w:trPr>
        <w:tc>
          <w:tcPr>
            <w:tcW w:w="8995" w:type="dxa"/>
            <w:tcBorders>
              <w:top w:val="outset" w:sz="6" w:space="0" w:color="auto"/>
              <w:left w:val="outset" w:sz="6" w:space="0" w:color="auto"/>
              <w:bottom w:val="outset" w:sz="6" w:space="0" w:color="auto"/>
              <w:right w:val="outset" w:sz="6" w:space="0" w:color="auto"/>
            </w:tcBorders>
            <w:hideMark/>
          </w:tcPr>
          <w:p w14:paraId="01EE7CFD" w14:textId="43B2AFCC" w:rsidR="00CA0D22" w:rsidRPr="00DD0BF5" w:rsidRDefault="00CA0D22" w:rsidP="00CA0D22">
            <w:pPr>
              <w:spacing w:before="68" w:after="68"/>
              <w:jc w:val="center"/>
              <w:rPr>
                <w:rFonts w:ascii="Times New Roman" w:hAnsi="Times New Roman" w:cs="Times New Roman"/>
                <w:sz w:val="24"/>
                <w:szCs w:val="24"/>
                <w:lang w:eastAsia="lv-LV"/>
              </w:rPr>
            </w:pPr>
            <w:r>
              <w:rPr>
                <w:rFonts w:ascii="Times New Roman" w:hAnsi="Times New Roman" w:cs="Times New Roman"/>
                <w:sz w:val="24"/>
                <w:szCs w:val="24"/>
                <w:lang w:eastAsia="lv-LV"/>
              </w:rPr>
              <w:t>Nav attiecināms.</w:t>
            </w:r>
          </w:p>
        </w:tc>
      </w:tr>
    </w:tbl>
    <w:p w14:paraId="10DA5516" w14:textId="1C47B801" w:rsidR="00CA0D22" w:rsidRDefault="00CA0D2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402"/>
        <w:gridCol w:w="3084"/>
        <w:gridCol w:w="3569"/>
      </w:tblGrid>
      <w:tr w:rsidR="00CA0D22" w:rsidRPr="00CA0D22" w14:paraId="0C472357" w14:textId="77777777" w:rsidTr="00CA0D2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88019"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A0D22">
              <w:rPr>
                <w:rFonts w:ascii="Times New Roman" w:eastAsia="Times New Roman" w:hAnsi="Times New Roman" w:cs="Times New Roman"/>
                <w:b/>
                <w:bCs/>
                <w:color w:val="414142"/>
                <w:sz w:val="24"/>
                <w:szCs w:val="24"/>
                <w:lang w:eastAsia="lv-LV"/>
              </w:rPr>
              <w:t>2. tabula</w:t>
            </w:r>
            <w:r w:rsidRPr="00CA0D22">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CA0D22">
              <w:rPr>
                <w:rFonts w:ascii="Times New Roman" w:eastAsia="Times New Roman" w:hAnsi="Times New Roman" w:cs="Times New Roman"/>
                <w:b/>
                <w:bCs/>
                <w:color w:val="414142"/>
                <w:sz w:val="24"/>
                <w:szCs w:val="24"/>
                <w:lang w:eastAsia="lv-LV"/>
              </w:rPr>
              <w:br/>
              <w:t>Pasākumi šo saistību izpildei</w:t>
            </w:r>
          </w:p>
        </w:tc>
      </w:tr>
      <w:tr w:rsidR="00CA0D22" w:rsidRPr="00CA0D22" w14:paraId="03FCA466"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2023756F"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Attiecīgā starptautiskā tiesību akta vai starptautiskas institūcijas vai organizācijas dokumenta (turpmāk – starptautiskais dokuments) datums, numurs un nosaukums</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5CD8FA" w14:textId="6A2EACD7" w:rsidR="00CA0D22" w:rsidRPr="00CA0D22" w:rsidRDefault="0068256A" w:rsidP="00CA0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Nolīguma projekta 1.pants.</w:t>
            </w:r>
          </w:p>
        </w:tc>
      </w:tr>
      <w:tr w:rsidR="00CA0D22" w:rsidRPr="00CA0D22" w14:paraId="4FF8F113"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B8BAA"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A</w:t>
            </w:r>
          </w:p>
        </w:tc>
        <w:tc>
          <w:tcPr>
            <w:tcW w:w="1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9AB7D"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B</w:t>
            </w:r>
          </w:p>
        </w:tc>
        <w:tc>
          <w:tcPr>
            <w:tcW w:w="19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48CC2"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C</w:t>
            </w:r>
          </w:p>
        </w:tc>
      </w:tr>
      <w:tr w:rsidR="00CA0D22" w:rsidRPr="00CA0D22" w14:paraId="66BE68C3"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1C4556D2"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Starptautiskās saistības (pēc būtības), kas izriet no norādītā starptautiskā dokumenta.</w:t>
            </w:r>
            <w:r w:rsidRPr="00CA0D22">
              <w:rPr>
                <w:rFonts w:ascii="Times New Roman" w:eastAsia="Times New Roman" w:hAnsi="Times New Roman" w:cs="Times New Roman"/>
                <w:color w:val="414142"/>
                <w:sz w:val="24"/>
                <w:szCs w:val="24"/>
                <w:lang w:eastAsia="lv-LV"/>
              </w:rPr>
              <w:br/>
              <w:t>Konkrēti veicamie pasākumi vai uzdevumi, kas nepieciešami šo starptautisko saistību izpildei</w:t>
            </w:r>
          </w:p>
        </w:tc>
        <w:tc>
          <w:tcPr>
            <w:tcW w:w="1703" w:type="pct"/>
            <w:tcBorders>
              <w:top w:val="outset" w:sz="6" w:space="0" w:color="414142"/>
              <w:left w:val="outset" w:sz="6" w:space="0" w:color="414142"/>
              <w:bottom w:val="outset" w:sz="6" w:space="0" w:color="414142"/>
              <w:right w:val="outset" w:sz="6" w:space="0" w:color="414142"/>
            </w:tcBorders>
            <w:shd w:val="clear" w:color="auto" w:fill="FFFFFF"/>
            <w:hideMark/>
          </w:tcPr>
          <w:p w14:paraId="2B2085DD"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0" w:type="pct"/>
            <w:tcBorders>
              <w:top w:val="outset" w:sz="6" w:space="0" w:color="414142"/>
              <w:left w:val="outset" w:sz="6" w:space="0" w:color="414142"/>
              <w:bottom w:val="outset" w:sz="6" w:space="0" w:color="414142"/>
              <w:right w:val="outset" w:sz="6" w:space="0" w:color="414142"/>
            </w:tcBorders>
            <w:shd w:val="clear" w:color="auto" w:fill="FFFFFF"/>
            <w:hideMark/>
          </w:tcPr>
          <w:p w14:paraId="19BC4561"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Informācija par to, vai starptautiskās saistības, kas minētas šīs tabulas A ailē, tiek izpildītas pilnībā vai daļēji.</w:t>
            </w:r>
            <w:r w:rsidRPr="00CA0D22">
              <w:rPr>
                <w:rFonts w:ascii="Times New Roman" w:eastAsia="Times New Roman" w:hAnsi="Times New Roman" w:cs="Times New Roman"/>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CA0D22">
              <w:rPr>
                <w:rFonts w:ascii="Times New Roman" w:eastAsia="Times New Roman" w:hAnsi="Times New Roman" w:cs="Times New Roman"/>
                <w:color w:val="414142"/>
                <w:sz w:val="24"/>
                <w:szCs w:val="24"/>
                <w:lang w:eastAsia="lv-LV"/>
              </w:rPr>
              <w:br/>
              <w:t>Norāda institūciju, kas ir atbildīga par šo saistību izpildi pilnībā</w:t>
            </w:r>
          </w:p>
        </w:tc>
      </w:tr>
      <w:tr w:rsidR="00CA0D22" w:rsidRPr="00CA0D22" w14:paraId="2626164F"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tcPr>
          <w:p w14:paraId="4D356C0C" w14:textId="5B87AC84" w:rsidR="00CA0D22" w:rsidRDefault="0068256A" w:rsidP="009044E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 xml:space="preserve">Nolīguma projekta 1.pants </w:t>
            </w:r>
            <w:r w:rsidR="00D01916">
              <w:rPr>
                <w:rFonts w:ascii="Times New Roman" w:hAnsi="Times New Roman" w:cs="Times New Roman"/>
                <w:sz w:val="24"/>
                <w:szCs w:val="24"/>
              </w:rPr>
              <w:t>paredz</w:t>
            </w:r>
            <w:r w:rsidR="00C44055">
              <w:rPr>
                <w:rFonts w:ascii="Times New Roman" w:hAnsi="Times New Roman" w:cs="Times New Roman"/>
                <w:sz w:val="24"/>
                <w:szCs w:val="24"/>
              </w:rPr>
              <w:t xml:space="preserve"> ātrāku</w:t>
            </w:r>
            <w:r w:rsidRPr="00DD0BF5">
              <w:rPr>
                <w:rFonts w:ascii="Times New Roman" w:hAnsi="Times New Roman" w:cs="Times New Roman"/>
                <w:sz w:val="24"/>
                <w:szCs w:val="24"/>
              </w:rPr>
              <w:t xml:space="preserve"> </w:t>
            </w:r>
            <w:proofErr w:type="spellStart"/>
            <w:r w:rsidRPr="00DD0BF5">
              <w:rPr>
                <w:rFonts w:ascii="Times New Roman" w:hAnsi="Times New Roman" w:cs="Times New Roman"/>
                <w:i/>
                <w:sz w:val="24"/>
                <w:szCs w:val="24"/>
              </w:rPr>
              <w:t>ex</w:t>
            </w:r>
            <w:proofErr w:type="spellEnd"/>
            <w:r w:rsidRPr="00DD0BF5">
              <w:rPr>
                <w:rFonts w:ascii="Times New Roman" w:hAnsi="Times New Roman" w:cs="Times New Roman"/>
                <w:i/>
                <w:sz w:val="24"/>
                <w:szCs w:val="24"/>
              </w:rPr>
              <w:t xml:space="preserve">-post </w:t>
            </w:r>
            <w:r w:rsidRPr="00DD0BF5">
              <w:rPr>
                <w:rFonts w:ascii="Times New Roman" w:hAnsi="Times New Roman" w:cs="Times New Roman"/>
                <w:sz w:val="24"/>
                <w:szCs w:val="24"/>
              </w:rPr>
              <w:t>iemaksu kopīgošana.</w:t>
            </w:r>
          </w:p>
          <w:p w14:paraId="31C5E878" w14:textId="4C460340" w:rsidR="00C44055" w:rsidRPr="00CA0D22" w:rsidRDefault="00D01916" w:rsidP="009044EC">
            <w:pPr>
              <w:spacing w:after="0" w:line="240" w:lineRule="auto"/>
              <w:jc w:val="both"/>
              <w:rPr>
                <w:rFonts w:ascii="Times New Roman" w:eastAsia="Times New Roman" w:hAnsi="Times New Roman" w:cs="Times New Roman"/>
                <w:color w:val="414142"/>
                <w:sz w:val="24"/>
                <w:szCs w:val="24"/>
                <w:lang w:eastAsia="lv-LV"/>
              </w:rPr>
            </w:pPr>
            <w:r w:rsidRPr="00DD0BF5">
              <w:rPr>
                <w:rFonts w:ascii="Times New Roman" w:eastAsia="Times New Roman" w:hAnsi="Times New Roman" w:cs="Times New Roman"/>
                <w:color w:val="000000" w:themeColor="text1"/>
                <w:sz w:val="24"/>
                <w:szCs w:val="24"/>
                <w:lang w:eastAsia="lv-LV"/>
              </w:rPr>
              <w:lastRenderedPageBreak/>
              <w:t>Nolīgumu par iemaksu pārskaitīšanu uz vienoto noregulējuma  fondu un to kopīgošanu</w:t>
            </w:r>
            <w:r>
              <w:rPr>
                <w:rFonts w:ascii="Times New Roman" w:hAnsi="Times New Roman" w:cs="Times New Roman"/>
                <w:sz w:val="24"/>
                <w:szCs w:val="24"/>
              </w:rPr>
              <w:t xml:space="preserve"> </w:t>
            </w:r>
            <w:r w:rsidR="00C44055">
              <w:rPr>
                <w:rFonts w:ascii="Times New Roman" w:hAnsi="Times New Roman" w:cs="Times New Roman"/>
                <w:sz w:val="24"/>
                <w:szCs w:val="24"/>
              </w:rPr>
              <w:t>nosaka</w:t>
            </w:r>
            <w:r w:rsidR="00C44055" w:rsidRPr="00C44055">
              <w:rPr>
                <w:rFonts w:ascii="Times New Roman" w:hAnsi="Times New Roman" w:cs="Times New Roman"/>
                <w:sz w:val="24"/>
                <w:szCs w:val="24"/>
              </w:rPr>
              <w:t xml:space="preserve"> </w:t>
            </w:r>
            <w:r>
              <w:rPr>
                <w:rFonts w:ascii="Times New Roman" w:hAnsi="Times New Roman" w:cs="Times New Roman"/>
                <w:sz w:val="24"/>
                <w:szCs w:val="24"/>
              </w:rPr>
              <w:t>l</w:t>
            </w:r>
            <w:r w:rsidR="00C44055" w:rsidRPr="00C44055">
              <w:rPr>
                <w:rFonts w:ascii="Times New Roman" w:hAnsi="Times New Roman" w:cs="Times New Roman"/>
                <w:sz w:val="24"/>
                <w:szCs w:val="24"/>
              </w:rPr>
              <w:t xml:space="preserve">īgumslēdzējpušu pienākumu nodrošināt iemaksu pārskaitīšanu </w:t>
            </w:r>
            <w:r w:rsidR="00C44055">
              <w:rPr>
                <w:rFonts w:ascii="Times New Roman" w:hAnsi="Times New Roman" w:cs="Times New Roman"/>
                <w:sz w:val="24"/>
                <w:szCs w:val="24"/>
              </w:rPr>
              <w:t>VNF</w:t>
            </w:r>
            <w:r w:rsidR="00353540">
              <w:rPr>
                <w:rFonts w:ascii="Times New Roman" w:hAnsi="Times New Roman" w:cs="Times New Roman"/>
                <w:sz w:val="24"/>
                <w:szCs w:val="24"/>
              </w:rPr>
              <w:t xml:space="preserve">, savukārt VNM regula </w:t>
            </w:r>
            <w:r w:rsidR="00C44055" w:rsidRPr="00C44055">
              <w:rPr>
                <w:rFonts w:ascii="Times New Roman" w:hAnsi="Times New Roman" w:cs="Times New Roman"/>
                <w:sz w:val="24"/>
                <w:szCs w:val="24"/>
              </w:rPr>
              <w:t>paredz, ka iemaksas, kas piesaistītas</w:t>
            </w:r>
            <w:r w:rsidR="00353540">
              <w:rPr>
                <w:rFonts w:ascii="Times New Roman" w:hAnsi="Times New Roman" w:cs="Times New Roman"/>
                <w:sz w:val="24"/>
                <w:szCs w:val="24"/>
              </w:rPr>
              <w:t xml:space="preserve"> no finanšu sektora saskaņā ar r</w:t>
            </w:r>
            <w:r w:rsidR="00C44055" w:rsidRPr="00C44055">
              <w:rPr>
                <w:rFonts w:ascii="Times New Roman" w:hAnsi="Times New Roman" w:cs="Times New Roman"/>
                <w:sz w:val="24"/>
                <w:szCs w:val="24"/>
              </w:rPr>
              <w:t xml:space="preserve">egulas noteikumiem, </w:t>
            </w:r>
            <w:r w:rsidR="00353540">
              <w:rPr>
                <w:rFonts w:ascii="Times New Roman" w:hAnsi="Times New Roman" w:cs="Times New Roman"/>
                <w:sz w:val="24"/>
                <w:szCs w:val="24"/>
              </w:rPr>
              <w:t>VNF</w:t>
            </w:r>
            <w:r w:rsidR="00C44055" w:rsidRPr="00C44055">
              <w:rPr>
                <w:rFonts w:ascii="Times New Roman" w:hAnsi="Times New Roman" w:cs="Times New Roman"/>
                <w:sz w:val="24"/>
                <w:szCs w:val="24"/>
              </w:rPr>
              <w:t xml:space="preserve"> pārskaita valstu noregulējuma iestāde. Latvijā finanšu sektora iemaksu iesaukšanu, administrēšanu valsts līmenī un pārskaitīšanu uz </w:t>
            </w:r>
            <w:r w:rsidR="00353540">
              <w:rPr>
                <w:rFonts w:ascii="Times New Roman" w:hAnsi="Times New Roman" w:cs="Times New Roman"/>
                <w:sz w:val="24"/>
                <w:szCs w:val="24"/>
              </w:rPr>
              <w:t>VNF veic</w:t>
            </w:r>
            <w:r w:rsidR="00C44055" w:rsidRPr="00C44055">
              <w:rPr>
                <w:rFonts w:ascii="Times New Roman" w:hAnsi="Times New Roman" w:cs="Times New Roman"/>
                <w:sz w:val="24"/>
                <w:szCs w:val="24"/>
              </w:rPr>
              <w:t xml:space="preserve"> Finanšu un kapitāla tirgus komisijai (FKTK).</w:t>
            </w:r>
          </w:p>
        </w:tc>
        <w:tc>
          <w:tcPr>
            <w:tcW w:w="1703" w:type="pct"/>
            <w:tcBorders>
              <w:top w:val="outset" w:sz="6" w:space="0" w:color="414142"/>
              <w:left w:val="outset" w:sz="6" w:space="0" w:color="414142"/>
              <w:bottom w:val="outset" w:sz="6" w:space="0" w:color="414142"/>
              <w:right w:val="outset" w:sz="6" w:space="0" w:color="414142"/>
            </w:tcBorders>
            <w:shd w:val="clear" w:color="auto" w:fill="FFFFFF"/>
          </w:tcPr>
          <w:p w14:paraId="1073FF17" w14:textId="0087559E" w:rsidR="00CA0D22" w:rsidRPr="00CA0D22" w:rsidRDefault="009044EC" w:rsidP="009044EC">
            <w:pPr>
              <w:spacing w:after="0" w:line="240" w:lineRule="auto"/>
              <w:jc w:val="both"/>
              <w:rPr>
                <w:rFonts w:ascii="Times New Roman" w:eastAsia="Times New Roman" w:hAnsi="Times New Roman" w:cs="Times New Roman"/>
                <w:color w:val="414142"/>
                <w:sz w:val="24"/>
                <w:szCs w:val="24"/>
                <w:lang w:eastAsia="lv-LV"/>
              </w:rPr>
            </w:pPr>
            <w:r w:rsidRPr="00DD0BF5">
              <w:rPr>
                <w:rFonts w:ascii="Times New Roman" w:eastAsia="Times New Roman" w:hAnsi="Times New Roman" w:cs="Times New Roman"/>
                <w:color w:val="000000" w:themeColor="text1"/>
                <w:sz w:val="24"/>
                <w:szCs w:val="24"/>
                <w:lang w:eastAsia="lv-LV"/>
              </w:rPr>
              <w:lastRenderedPageBreak/>
              <w:t>Nolīgumu par iemaksu pārskaitīšanu uz vienoto noregulējuma  fondu un to kopīgošanu</w:t>
            </w:r>
            <w:r>
              <w:rPr>
                <w:rFonts w:ascii="Times New Roman" w:hAnsi="Times New Roman" w:cs="Times New Roman"/>
                <w:sz w:val="24"/>
                <w:szCs w:val="24"/>
              </w:rPr>
              <w:t xml:space="preserve"> nosaka</w:t>
            </w:r>
            <w:r w:rsidRPr="00C44055">
              <w:rPr>
                <w:rFonts w:ascii="Times New Roman" w:hAnsi="Times New Roman" w:cs="Times New Roman"/>
                <w:sz w:val="24"/>
                <w:szCs w:val="24"/>
              </w:rPr>
              <w:t xml:space="preserve"> </w:t>
            </w:r>
            <w:r>
              <w:rPr>
                <w:rFonts w:ascii="Times New Roman" w:hAnsi="Times New Roman" w:cs="Times New Roman"/>
                <w:sz w:val="24"/>
                <w:szCs w:val="24"/>
              </w:rPr>
              <w:lastRenderedPageBreak/>
              <w:t>l</w:t>
            </w:r>
            <w:r w:rsidRPr="00C44055">
              <w:rPr>
                <w:rFonts w:ascii="Times New Roman" w:hAnsi="Times New Roman" w:cs="Times New Roman"/>
                <w:sz w:val="24"/>
                <w:szCs w:val="24"/>
              </w:rPr>
              <w:t xml:space="preserve">īgumslēdzējpušu pienākumu nodrošināt iemaksu pārskaitīšanu </w:t>
            </w:r>
            <w:r>
              <w:rPr>
                <w:rFonts w:ascii="Times New Roman" w:hAnsi="Times New Roman" w:cs="Times New Roman"/>
                <w:sz w:val="24"/>
                <w:szCs w:val="24"/>
              </w:rPr>
              <w:t xml:space="preserve">VNF, savukārt VNM regula </w:t>
            </w:r>
            <w:r w:rsidRPr="00C44055">
              <w:rPr>
                <w:rFonts w:ascii="Times New Roman" w:hAnsi="Times New Roman" w:cs="Times New Roman"/>
                <w:sz w:val="24"/>
                <w:szCs w:val="24"/>
              </w:rPr>
              <w:t>paredz, ka iemaksas, kas piesaistītas</w:t>
            </w:r>
            <w:r>
              <w:rPr>
                <w:rFonts w:ascii="Times New Roman" w:hAnsi="Times New Roman" w:cs="Times New Roman"/>
                <w:sz w:val="24"/>
                <w:szCs w:val="24"/>
              </w:rPr>
              <w:t xml:space="preserve"> no finanšu sektora saskaņā ar r</w:t>
            </w:r>
            <w:r w:rsidRPr="00C44055">
              <w:rPr>
                <w:rFonts w:ascii="Times New Roman" w:hAnsi="Times New Roman" w:cs="Times New Roman"/>
                <w:sz w:val="24"/>
                <w:szCs w:val="24"/>
              </w:rPr>
              <w:t xml:space="preserve">egulas noteikumiem, </w:t>
            </w:r>
            <w:r>
              <w:rPr>
                <w:rFonts w:ascii="Times New Roman" w:hAnsi="Times New Roman" w:cs="Times New Roman"/>
                <w:sz w:val="24"/>
                <w:szCs w:val="24"/>
              </w:rPr>
              <w:t>VNF</w:t>
            </w:r>
            <w:r w:rsidRPr="00C44055">
              <w:rPr>
                <w:rFonts w:ascii="Times New Roman" w:hAnsi="Times New Roman" w:cs="Times New Roman"/>
                <w:sz w:val="24"/>
                <w:szCs w:val="24"/>
              </w:rPr>
              <w:t xml:space="preserve"> pārskaita valstu noregulējuma iestāde. Latvijā finanšu sektora iemaksu iesaukšanu, administrēšanu valsts līmenī un pārskaitīšanu uz </w:t>
            </w:r>
            <w:r>
              <w:rPr>
                <w:rFonts w:ascii="Times New Roman" w:hAnsi="Times New Roman" w:cs="Times New Roman"/>
                <w:sz w:val="24"/>
                <w:szCs w:val="24"/>
              </w:rPr>
              <w:t>VNF veic</w:t>
            </w:r>
            <w:r w:rsidRPr="00C44055">
              <w:rPr>
                <w:rFonts w:ascii="Times New Roman" w:hAnsi="Times New Roman" w:cs="Times New Roman"/>
                <w:sz w:val="24"/>
                <w:szCs w:val="24"/>
              </w:rPr>
              <w:t xml:space="preserve"> Finanšu un kapitāla tirgus komisijai (FKTK).</w:t>
            </w:r>
          </w:p>
        </w:tc>
        <w:tc>
          <w:tcPr>
            <w:tcW w:w="1970" w:type="pct"/>
            <w:tcBorders>
              <w:top w:val="outset" w:sz="6" w:space="0" w:color="414142"/>
              <w:left w:val="outset" w:sz="6" w:space="0" w:color="414142"/>
              <w:bottom w:val="outset" w:sz="6" w:space="0" w:color="414142"/>
              <w:right w:val="outset" w:sz="6" w:space="0" w:color="414142"/>
            </w:tcBorders>
            <w:shd w:val="clear" w:color="auto" w:fill="FFFFFF"/>
          </w:tcPr>
          <w:p w14:paraId="0D9D30C2" w14:textId="7BBABCA3" w:rsidR="00CA0D22" w:rsidRDefault="00F53753" w:rsidP="00F5375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S</w:t>
            </w:r>
            <w:r w:rsidRPr="00CA0D22">
              <w:rPr>
                <w:rFonts w:ascii="Times New Roman" w:eastAsia="Times New Roman" w:hAnsi="Times New Roman" w:cs="Times New Roman"/>
                <w:color w:val="414142"/>
                <w:sz w:val="24"/>
                <w:szCs w:val="24"/>
                <w:lang w:eastAsia="lv-LV"/>
              </w:rPr>
              <w:t>tarptautiskās saistības, kas minētas šīs tabulas A ailē, tiek izpildītas pilnībā</w:t>
            </w:r>
            <w:r>
              <w:rPr>
                <w:rFonts w:ascii="Times New Roman" w:eastAsia="Times New Roman" w:hAnsi="Times New Roman" w:cs="Times New Roman"/>
                <w:color w:val="414142"/>
                <w:sz w:val="24"/>
                <w:szCs w:val="24"/>
                <w:lang w:eastAsia="lv-LV"/>
              </w:rPr>
              <w:t>.</w:t>
            </w:r>
          </w:p>
          <w:p w14:paraId="4D0DD15F" w14:textId="145B4CC7" w:rsidR="00F53753" w:rsidRPr="00CA0D22" w:rsidRDefault="00F53753" w:rsidP="00CA0D22">
            <w:pPr>
              <w:spacing w:after="0" w:line="240" w:lineRule="auto"/>
              <w:rPr>
                <w:rFonts w:ascii="Times New Roman" w:eastAsia="Times New Roman" w:hAnsi="Times New Roman" w:cs="Times New Roman"/>
                <w:color w:val="414142"/>
                <w:sz w:val="24"/>
                <w:szCs w:val="24"/>
                <w:lang w:eastAsia="lv-LV"/>
              </w:rPr>
            </w:pPr>
          </w:p>
        </w:tc>
      </w:tr>
      <w:tr w:rsidR="00CA0D22" w:rsidRPr="00CA0D22" w14:paraId="0522DFA9"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1E32A4A6"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Vai starptautiskajā dokumentā paredzētās saistības nav pretrunā ar jau esošajām Latvijas Republikas starptautiskajām saistībām</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E346E1" w14:textId="0798BFC3" w:rsidR="00CA0D22" w:rsidRPr="00CA0D22" w:rsidRDefault="00F53753" w:rsidP="00CA0D22">
            <w:pPr>
              <w:spacing w:after="0" w:line="240" w:lineRule="auto"/>
              <w:rPr>
                <w:rFonts w:ascii="Times New Roman" w:eastAsia="Times New Roman" w:hAnsi="Times New Roman" w:cs="Times New Roman"/>
                <w:color w:val="414142"/>
                <w:sz w:val="24"/>
                <w:szCs w:val="24"/>
                <w:lang w:eastAsia="lv-LV"/>
              </w:rPr>
            </w:pPr>
            <w:r w:rsidRPr="00DD0BF5">
              <w:rPr>
                <w:rFonts w:ascii="Times New Roman" w:hAnsi="Times New Roman" w:cs="Times New Roman"/>
                <w:sz w:val="24"/>
                <w:szCs w:val="24"/>
                <w:lang w:eastAsia="lv-LV"/>
              </w:rPr>
              <w:t xml:space="preserve">Ar projektu uzņemtās saistības nenonāk pretrunā </w:t>
            </w:r>
            <w:r w:rsidRPr="00CA0D22">
              <w:rPr>
                <w:rFonts w:ascii="Times New Roman" w:eastAsia="Times New Roman" w:hAnsi="Times New Roman" w:cs="Times New Roman"/>
                <w:color w:val="414142"/>
                <w:sz w:val="24"/>
                <w:szCs w:val="24"/>
                <w:lang w:eastAsia="lv-LV"/>
              </w:rPr>
              <w:t>ar jau esošajām Latvijas Republikas starptautiskajām saistībām</w:t>
            </w:r>
            <w:r>
              <w:rPr>
                <w:rFonts w:ascii="Times New Roman" w:eastAsia="Times New Roman" w:hAnsi="Times New Roman" w:cs="Times New Roman"/>
                <w:color w:val="414142"/>
                <w:sz w:val="24"/>
                <w:szCs w:val="24"/>
                <w:lang w:eastAsia="lv-LV"/>
              </w:rPr>
              <w:t>.</w:t>
            </w:r>
          </w:p>
        </w:tc>
      </w:tr>
      <w:tr w:rsidR="00CA0D22" w:rsidRPr="00CA0D22" w14:paraId="6186631C"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25EB1988"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Cita informācija</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3F46A8" w14:textId="5F61C8EF" w:rsidR="00CA0D22" w:rsidRPr="00CA0D22" w:rsidRDefault="00F53753" w:rsidP="00CA0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AB093CB" w14:textId="4899B6F9" w:rsidR="00CA0D22" w:rsidRPr="00DD0BF5" w:rsidRDefault="00CA0D22" w:rsidP="00E5323B">
      <w:pPr>
        <w:spacing w:after="0" w:line="240" w:lineRule="auto"/>
        <w:rPr>
          <w:rFonts w:ascii="Times New Roman" w:eastAsia="Times New Roman" w:hAnsi="Times New Roman" w:cs="Times New Roman"/>
          <w:iCs/>
          <w:color w:val="414142"/>
          <w:sz w:val="24"/>
          <w:szCs w:val="24"/>
          <w:lang w:eastAsia="lv-LV"/>
        </w:rPr>
      </w:pPr>
      <w:r w:rsidRPr="00CA0D22">
        <w:rPr>
          <w:rFonts w:ascii="Arial" w:eastAsia="Times New Roman" w:hAnsi="Arial" w:cs="Arial"/>
          <w:color w:val="414142"/>
          <w:sz w:val="27"/>
          <w:szCs w:val="27"/>
          <w:shd w:val="clear" w:color="auto" w:fill="FFFFFF"/>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D0BF5" w14:paraId="16893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77B"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13DBA" w:rsidRPr="00DD0BF5" w14:paraId="483F92C2"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F5F175"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3CE1C8"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9AE8C0C" w14:textId="75C8572C" w:rsidR="00E5323B" w:rsidRPr="00DD0BF5" w:rsidRDefault="003D614B" w:rsidP="003D614B">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Likumprojekta pakete būs pieejama sabiedrībai Ministru kabineta mājas lapā</w:t>
            </w:r>
            <w:r w:rsidR="003459FA" w:rsidRPr="00DD0BF5">
              <w:rPr>
                <w:rFonts w:ascii="Times New Roman" w:hAnsi="Times New Roman" w:cs="Times New Roman"/>
                <w:sz w:val="24"/>
                <w:szCs w:val="24"/>
                <w:lang w:eastAsia="lv-LV"/>
              </w:rPr>
              <w:t>.</w:t>
            </w:r>
          </w:p>
        </w:tc>
      </w:tr>
      <w:tr w:rsidR="003D614B" w:rsidRPr="00DD0BF5" w14:paraId="0A4A0BE3"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DF39E"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A7D7C1"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4237EE3" w14:textId="59581866" w:rsidR="009B5CDC" w:rsidRPr="00DD0BF5" w:rsidRDefault="009B5CDC" w:rsidP="009B5CDC">
            <w:pPr>
              <w:spacing w:after="0" w:line="240" w:lineRule="auto"/>
              <w:rPr>
                <w:rFonts w:ascii="Times New Roman" w:hAnsi="Times New Roman" w:cs="Times New Roman"/>
                <w:color w:val="000000" w:themeColor="text1"/>
                <w:sz w:val="24"/>
                <w:szCs w:val="24"/>
              </w:rPr>
            </w:pPr>
            <w:r w:rsidRPr="00DD0BF5">
              <w:rPr>
                <w:rFonts w:ascii="Times New Roman" w:hAnsi="Times New Roman" w:cs="Times New Roman"/>
                <w:sz w:val="24"/>
                <w:szCs w:val="24"/>
                <w:lang w:eastAsia="lv-LV"/>
              </w:rPr>
              <w:t xml:space="preserve">Nacionālā pozīcija, uz kuras pamata izstrādāts likumprojekts, skaņota ar Valsts kasi, Latvijas Banku, </w:t>
            </w:r>
            <w:r w:rsidRPr="00DD0BF5">
              <w:rPr>
                <w:rFonts w:ascii="Times New Roman" w:eastAsia="Calibri" w:hAnsi="Times New Roman" w:cs="Times New Roman"/>
                <w:color w:val="000000" w:themeColor="text1"/>
                <w:sz w:val="24"/>
                <w:szCs w:val="24"/>
              </w:rPr>
              <w:t xml:space="preserve">Finanšu nozares asociāciju un </w:t>
            </w:r>
            <w:r w:rsidRPr="00DD0BF5">
              <w:rPr>
                <w:rFonts w:ascii="Times New Roman" w:hAnsi="Times New Roman" w:cs="Times New Roman"/>
                <w:color w:val="000000" w:themeColor="text1"/>
                <w:sz w:val="24"/>
                <w:szCs w:val="24"/>
              </w:rPr>
              <w:t>Latvijas Darba devēju konfederāciju.</w:t>
            </w:r>
          </w:p>
          <w:p w14:paraId="6A0CDB68" w14:textId="18DA5D36" w:rsidR="003D614B" w:rsidRPr="00DD0BF5" w:rsidRDefault="009B5CDC" w:rsidP="00FF18A2">
            <w:pPr>
              <w:spacing w:after="0" w:line="240" w:lineRule="auto"/>
              <w:rPr>
                <w:rFonts w:ascii="Times New Roman" w:hAnsi="Times New Roman" w:cs="Times New Roman"/>
                <w:sz w:val="24"/>
                <w:szCs w:val="24"/>
                <w:lang w:eastAsia="lv-LV"/>
              </w:rPr>
            </w:pPr>
            <w:r w:rsidRPr="00DD0BF5">
              <w:rPr>
                <w:rFonts w:ascii="Times New Roman" w:hAnsi="Times New Roman" w:cs="Times New Roman"/>
                <w:color w:val="000000" w:themeColor="text1"/>
                <w:sz w:val="24"/>
                <w:szCs w:val="24"/>
              </w:rPr>
              <w:t xml:space="preserve">Likumprojekts saskaņots ar </w:t>
            </w:r>
            <w:r w:rsidRPr="00DD0BF5">
              <w:rPr>
                <w:rFonts w:ascii="Times New Roman" w:hAnsi="Times New Roman" w:cs="Times New Roman"/>
                <w:sz w:val="24"/>
                <w:szCs w:val="24"/>
                <w:lang w:eastAsia="lv-LV"/>
              </w:rPr>
              <w:t>Finanšu un kapitāla tirgus komisiju</w:t>
            </w:r>
            <w:r w:rsidRPr="00DD0BF5">
              <w:rPr>
                <w:rFonts w:ascii="Times New Roman" w:hAnsi="Times New Roman" w:cs="Times New Roman"/>
                <w:color w:val="000000" w:themeColor="text1"/>
                <w:sz w:val="24"/>
                <w:szCs w:val="24"/>
              </w:rPr>
              <w:t>.</w:t>
            </w:r>
          </w:p>
        </w:tc>
      </w:tr>
      <w:tr w:rsidR="003D614B" w:rsidRPr="00DD0BF5" w14:paraId="6CC40FD1"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6B48B"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39115C"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15BE098"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Projekts šo jomu neskar.</w:t>
            </w:r>
          </w:p>
        </w:tc>
      </w:tr>
      <w:tr w:rsidR="003D614B" w:rsidRPr="00DD0BF5" w14:paraId="62325A86"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FB4A5"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1F12F"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EE90B6"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Nav.</w:t>
            </w:r>
          </w:p>
        </w:tc>
      </w:tr>
    </w:tbl>
    <w:p w14:paraId="40C7C0AA" w14:textId="7319B24F"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D0BF5">
        <w:rPr>
          <w:rFonts w:ascii="Times New Roman" w:eastAsia="Times New Roman" w:hAnsi="Times New Roman" w:cs="Times New Roman"/>
          <w:iCs/>
          <w:color w:val="414142"/>
          <w:sz w:val="24"/>
          <w:szCs w:val="24"/>
          <w:lang w:val="en-US" w:eastAsia="lv-LV"/>
        </w:rPr>
        <w:t xml:space="preserve">  </w:t>
      </w:r>
    </w:p>
    <w:p w14:paraId="3BDA700B" w14:textId="46092CD7" w:rsidR="00FF575B" w:rsidRDefault="00FF575B" w:rsidP="00E5323B">
      <w:pPr>
        <w:spacing w:after="0" w:line="240" w:lineRule="auto"/>
        <w:rPr>
          <w:rFonts w:ascii="Times New Roman" w:eastAsia="Times New Roman" w:hAnsi="Times New Roman" w:cs="Times New Roman"/>
          <w:iCs/>
          <w:color w:val="414142"/>
          <w:sz w:val="24"/>
          <w:szCs w:val="24"/>
          <w:lang w:val="en-US" w:eastAsia="lv-LV"/>
        </w:rPr>
      </w:pPr>
    </w:p>
    <w:p w14:paraId="6909FB96" w14:textId="77777777" w:rsidR="00FF575B" w:rsidRPr="00DD0BF5" w:rsidRDefault="00FF575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D0BF5" w14:paraId="3C4E39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70882"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413DBA" w:rsidRPr="00DD0BF5" w14:paraId="549CC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CAD30"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CC794"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D15B00" w14:textId="371AADF5" w:rsidR="00E5323B" w:rsidRPr="00DD0BF5" w:rsidRDefault="00AA70AB"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Finanšu un kapitāla tirgus komisija.</w:t>
            </w:r>
          </w:p>
        </w:tc>
      </w:tr>
      <w:tr w:rsidR="00413DBA" w:rsidRPr="00DD0BF5" w14:paraId="7EE68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2B54"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10756"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D0BF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35591" w14:textId="0B0542BB" w:rsidR="00E5323B" w:rsidRPr="00DD0BF5"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sz w:val="24"/>
                <w:szCs w:val="24"/>
                <w:lang w:eastAsia="lv-LV"/>
              </w:rPr>
              <w:t>Likumprojekta izpilde neietekmē pārvaldes funkcijas un uzdevumus.</w:t>
            </w:r>
          </w:p>
        </w:tc>
      </w:tr>
      <w:tr w:rsidR="00413DBA" w:rsidRPr="00DD0BF5" w14:paraId="19BB7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1AAE"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57095"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CE936" w14:textId="3977123B" w:rsidR="00E5323B" w:rsidRPr="00DD0BF5"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rPr>
              <w:t xml:space="preserve">Likumprojekts tiks publicēts Latvijas Republikas oficiālajā izdevumā „Latvijas Vēstnesis”, kā arī bezmaksas normatīvo aktu bāzē </w:t>
            </w:r>
            <w:hyperlink r:id="rId8" w:history="1">
              <w:r w:rsidRPr="00DD0BF5">
                <w:rPr>
                  <w:rStyle w:val="Hipersaite"/>
                  <w:rFonts w:ascii="Times New Roman" w:hAnsi="Times New Roman" w:cs="Times New Roman"/>
                  <w:color w:val="auto"/>
                  <w:sz w:val="24"/>
                  <w:szCs w:val="24"/>
                  <w:u w:val="none"/>
                </w:rPr>
                <w:t>www.likumi.lv</w:t>
              </w:r>
            </w:hyperlink>
            <w:r w:rsidRPr="00DD0BF5">
              <w:rPr>
                <w:rFonts w:ascii="Times New Roman" w:hAnsi="Times New Roman" w:cs="Times New Roman"/>
                <w:sz w:val="24"/>
                <w:szCs w:val="24"/>
              </w:rPr>
              <w:t>.</w:t>
            </w:r>
          </w:p>
        </w:tc>
      </w:tr>
    </w:tbl>
    <w:p w14:paraId="5BDF170F" w14:textId="310E5746" w:rsidR="00680DF7"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0E36E7EF" w14:textId="6B6C6495" w:rsidR="00680DF7"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385BA124" w14:textId="77777777" w:rsidR="00680DF7" w:rsidRPr="00CA23A8"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18849329" w14:textId="77777777" w:rsidR="00680DF7" w:rsidRPr="00CA23A8" w:rsidRDefault="00680DF7"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02427F85" w14:textId="0BB7D3C8" w:rsidR="00894C55" w:rsidRPr="00DD0BF5" w:rsidRDefault="00894C55" w:rsidP="00894C55">
      <w:pPr>
        <w:tabs>
          <w:tab w:val="left" w:pos="6237"/>
        </w:tabs>
        <w:spacing w:after="0" w:line="240" w:lineRule="auto"/>
        <w:ind w:firstLine="720"/>
        <w:rPr>
          <w:rFonts w:ascii="Times New Roman" w:hAnsi="Times New Roman" w:cs="Times New Roman"/>
          <w:sz w:val="28"/>
          <w:szCs w:val="28"/>
        </w:rPr>
      </w:pPr>
    </w:p>
    <w:p w14:paraId="4C22C790" w14:textId="77777777" w:rsidR="00894C55" w:rsidRPr="00DD0BF5" w:rsidRDefault="00894C55" w:rsidP="00894C55">
      <w:pPr>
        <w:spacing w:after="0" w:line="240" w:lineRule="auto"/>
        <w:ind w:firstLine="720"/>
        <w:rPr>
          <w:rFonts w:ascii="Times New Roman" w:hAnsi="Times New Roman" w:cs="Times New Roman"/>
          <w:sz w:val="28"/>
          <w:szCs w:val="28"/>
        </w:rPr>
      </w:pPr>
    </w:p>
    <w:p w14:paraId="6D4ECCA2" w14:textId="77777777" w:rsidR="00894C55" w:rsidRPr="00DD0BF5" w:rsidRDefault="00894C55" w:rsidP="00894C55">
      <w:pPr>
        <w:spacing w:after="0" w:line="240" w:lineRule="auto"/>
        <w:ind w:firstLine="720"/>
        <w:rPr>
          <w:rFonts w:ascii="Times New Roman" w:hAnsi="Times New Roman" w:cs="Times New Roman"/>
          <w:sz w:val="28"/>
          <w:szCs w:val="28"/>
        </w:rPr>
      </w:pPr>
    </w:p>
    <w:p w14:paraId="089D93A0" w14:textId="578554D5" w:rsidR="00894C55" w:rsidRPr="00DD0BF5" w:rsidRDefault="005F2A43" w:rsidP="00894C55">
      <w:pPr>
        <w:tabs>
          <w:tab w:val="left" w:pos="6237"/>
        </w:tabs>
        <w:spacing w:after="0" w:line="240" w:lineRule="auto"/>
        <w:rPr>
          <w:rFonts w:ascii="Times New Roman" w:hAnsi="Times New Roman" w:cs="Times New Roman"/>
          <w:sz w:val="20"/>
          <w:szCs w:val="28"/>
        </w:rPr>
      </w:pPr>
      <w:proofErr w:type="spellStart"/>
      <w:r w:rsidRPr="00DD0BF5">
        <w:rPr>
          <w:rFonts w:ascii="Times New Roman" w:hAnsi="Times New Roman" w:cs="Times New Roman"/>
          <w:sz w:val="20"/>
          <w:szCs w:val="28"/>
        </w:rPr>
        <w:t>Trautmanis</w:t>
      </w:r>
      <w:proofErr w:type="spellEnd"/>
      <w:r w:rsidR="00D133F8" w:rsidRPr="00DD0BF5">
        <w:rPr>
          <w:rFonts w:ascii="Times New Roman" w:hAnsi="Times New Roman" w:cs="Times New Roman"/>
          <w:sz w:val="20"/>
          <w:szCs w:val="28"/>
        </w:rPr>
        <w:t xml:space="preserve"> </w:t>
      </w:r>
      <w:r w:rsidRPr="00DD0BF5">
        <w:rPr>
          <w:rFonts w:ascii="Times New Roman" w:hAnsi="Times New Roman" w:cs="Times New Roman"/>
          <w:sz w:val="20"/>
          <w:szCs w:val="28"/>
        </w:rPr>
        <w:t>67095409</w:t>
      </w:r>
    </w:p>
    <w:p w14:paraId="20350492" w14:textId="2718A2FB" w:rsidR="00894C55" w:rsidRDefault="005F2A43" w:rsidP="00AF38A4">
      <w:pPr>
        <w:tabs>
          <w:tab w:val="left" w:pos="6237"/>
        </w:tabs>
        <w:spacing w:after="0" w:line="240" w:lineRule="auto"/>
        <w:rPr>
          <w:rFonts w:ascii="Times New Roman" w:hAnsi="Times New Roman" w:cs="Times New Roman"/>
          <w:sz w:val="20"/>
          <w:szCs w:val="28"/>
        </w:rPr>
      </w:pPr>
      <w:r w:rsidRPr="00DD0BF5">
        <w:rPr>
          <w:rFonts w:ascii="Times New Roman" w:hAnsi="Times New Roman" w:cs="Times New Roman"/>
          <w:sz w:val="20"/>
          <w:szCs w:val="28"/>
        </w:rPr>
        <w:t>Martins</w:t>
      </w:r>
      <w:r w:rsidR="00AF38A4" w:rsidRPr="00DD0BF5">
        <w:rPr>
          <w:rFonts w:ascii="Times New Roman" w:hAnsi="Times New Roman" w:cs="Times New Roman"/>
          <w:sz w:val="20"/>
          <w:szCs w:val="28"/>
        </w:rPr>
        <w:t>.</w:t>
      </w:r>
      <w:r w:rsidRPr="00DD0BF5">
        <w:rPr>
          <w:rFonts w:ascii="Times New Roman" w:hAnsi="Times New Roman" w:cs="Times New Roman"/>
          <w:sz w:val="20"/>
          <w:szCs w:val="28"/>
        </w:rPr>
        <w:t>Trautmanis</w:t>
      </w:r>
      <w:r w:rsidR="00AF38A4" w:rsidRPr="00DD0BF5">
        <w:rPr>
          <w:rFonts w:ascii="Times New Roman" w:hAnsi="Times New Roman" w:cs="Times New Roman"/>
          <w:sz w:val="20"/>
          <w:szCs w:val="28"/>
        </w:rPr>
        <w:t>@fm.gov.lv</w:t>
      </w:r>
    </w:p>
    <w:p w14:paraId="773143AF" w14:textId="37FE7BDF" w:rsidR="00680DF7" w:rsidRDefault="00680DF7" w:rsidP="00680DF7">
      <w:pPr>
        <w:rPr>
          <w:rFonts w:ascii="Times New Roman" w:hAnsi="Times New Roman" w:cs="Times New Roman"/>
          <w:sz w:val="20"/>
          <w:szCs w:val="28"/>
        </w:rPr>
      </w:pPr>
    </w:p>
    <w:p w14:paraId="38E2F80C" w14:textId="0FBE042C" w:rsidR="00680DF7" w:rsidRPr="00680DF7" w:rsidRDefault="00680DF7" w:rsidP="00680DF7">
      <w:pPr>
        <w:rPr>
          <w:rFonts w:ascii="Times New Roman" w:hAnsi="Times New Roman" w:cs="Times New Roman"/>
          <w:sz w:val="20"/>
        </w:rPr>
      </w:pPr>
      <w:proofErr w:type="spellStart"/>
      <w:r w:rsidRPr="00680DF7">
        <w:rPr>
          <w:rFonts w:ascii="Times New Roman" w:hAnsi="Times New Roman" w:cs="Times New Roman"/>
          <w:sz w:val="20"/>
        </w:rPr>
        <w:t>v_sk</w:t>
      </w:r>
      <w:proofErr w:type="spellEnd"/>
      <w:r w:rsidRPr="00680DF7">
        <w:rPr>
          <w:rFonts w:ascii="Times New Roman" w:hAnsi="Times New Roman" w:cs="Times New Roman"/>
          <w:sz w:val="20"/>
        </w:rPr>
        <w:t xml:space="preserve"> = 1756</w:t>
      </w:r>
    </w:p>
    <w:sectPr w:rsidR="00680DF7" w:rsidRPr="00680DF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CC50" w14:textId="77777777" w:rsidR="006B47F7" w:rsidRDefault="006B47F7" w:rsidP="00894C55">
      <w:pPr>
        <w:spacing w:after="0" w:line="240" w:lineRule="auto"/>
      </w:pPr>
      <w:r>
        <w:separator/>
      </w:r>
    </w:p>
  </w:endnote>
  <w:endnote w:type="continuationSeparator" w:id="0">
    <w:p w14:paraId="304C1014" w14:textId="77777777" w:rsidR="006B47F7" w:rsidRDefault="006B47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325D" w14:textId="77777777" w:rsidR="006B47F7" w:rsidRDefault="006B47F7" w:rsidP="00AF38A4">
    <w:pPr>
      <w:pStyle w:val="Galvene"/>
    </w:pPr>
  </w:p>
  <w:p w14:paraId="4D6A2C89" w14:textId="23AEE5EB" w:rsidR="006B47F7" w:rsidRPr="009A2654" w:rsidRDefault="008B668A" w:rsidP="00F451FD">
    <w:pPr>
      <w:pStyle w:val="Kjene"/>
      <w:rPr>
        <w:rFonts w:ascii="Times New Roman" w:hAnsi="Times New Roman" w:cs="Times New Roman"/>
        <w:sz w:val="20"/>
        <w:szCs w:val="20"/>
      </w:rPr>
    </w:pPr>
    <w:r>
      <w:rPr>
        <w:rFonts w:ascii="Times New Roman" w:hAnsi="Times New Roman" w:cs="Times New Roman"/>
        <w:sz w:val="20"/>
        <w:szCs w:val="20"/>
      </w:rPr>
      <w:t>FMAnot_15</w:t>
    </w:r>
    <w:r w:rsidR="00BB4002" w:rsidRPr="00DD0BF5">
      <w:rPr>
        <w:rFonts w:ascii="Times New Roman" w:hAnsi="Times New Roman" w:cs="Times New Roman"/>
        <w:sz w:val="20"/>
        <w:szCs w:val="20"/>
      </w:rPr>
      <w:t>0121_IGA</w:t>
    </w:r>
    <w:r w:rsidR="00680DF7">
      <w:rPr>
        <w:rFonts w:ascii="Times New Roman" w:hAnsi="Times New Roman" w:cs="Times New Roman"/>
        <w:sz w:val="20"/>
        <w:szCs w:val="20"/>
      </w:rPr>
      <w:t xml:space="preserve"> </w:t>
    </w:r>
    <w:r w:rsidR="00680DF7">
      <w:rPr>
        <w:rFonts w:ascii="Times New Roman" w:hAnsi="Times New Roman" w:cs="Times New Roman"/>
        <w:sz w:val="20"/>
        <w:szCs w:val="20"/>
      </w:rPr>
      <w:t>(TA-110)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1131" w14:textId="10AE7504" w:rsidR="006B47F7" w:rsidRPr="009A2654" w:rsidRDefault="008B668A">
    <w:pPr>
      <w:pStyle w:val="Kjene"/>
      <w:rPr>
        <w:rFonts w:ascii="Times New Roman" w:hAnsi="Times New Roman" w:cs="Times New Roman"/>
        <w:sz w:val="20"/>
        <w:szCs w:val="20"/>
      </w:rPr>
    </w:pPr>
    <w:r>
      <w:rPr>
        <w:rFonts w:ascii="Times New Roman" w:hAnsi="Times New Roman" w:cs="Times New Roman"/>
        <w:sz w:val="20"/>
        <w:szCs w:val="20"/>
      </w:rPr>
      <w:t>FMAnot_15</w:t>
    </w:r>
    <w:r w:rsidR="00BB4002" w:rsidRPr="00DD0BF5">
      <w:rPr>
        <w:rFonts w:ascii="Times New Roman" w:hAnsi="Times New Roman" w:cs="Times New Roman"/>
        <w:sz w:val="20"/>
        <w:szCs w:val="20"/>
      </w:rPr>
      <w:t>0121_IGA</w:t>
    </w:r>
    <w:r w:rsidR="00680DF7">
      <w:rPr>
        <w:rFonts w:ascii="Times New Roman" w:hAnsi="Times New Roman" w:cs="Times New Roman"/>
        <w:sz w:val="20"/>
        <w:szCs w:val="20"/>
      </w:rPr>
      <w:t xml:space="preserve"> (TA-110)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5A81" w14:textId="77777777" w:rsidR="006B47F7" w:rsidRDefault="006B47F7" w:rsidP="00894C55">
      <w:pPr>
        <w:spacing w:after="0" w:line="240" w:lineRule="auto"/>
      </w:pPr>
      <w:r>
        <w:separator/>
      </w:r>
    </w:p>
  </w:footnote>
  <w:footnote w:type="continuationSeparator" w:id="0">
    <w:p w14:paraId="459C43C8" w14:textId="77777777" w:rsidR="006B47F7" w:rsidRDefault="006B47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BA998B" w14:textId="65061A15" w:rsidR="006B47F7" w:rsidRPr="00C25B49" w:rsidRDefault="006B47F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668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26AF"/>
    <w:multiLevelType w:val="hybridMultilevel"/>
    <w:tmpl w:val="06D0B11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 w15:restartNumberingAfterBreak="0">
    <w:nsid w:val="40F5314D"/>
    <w:multiLevelType w:val="hybridMultilevel"/>
    <w:tmpl w:val="196E17A4"/>
    <w:lvl w:ilvl="0" w:tplc="04260001">
      <w:start w:val="1"/>
      <w:numFmt w:val="bullet"/>
      <w:lvlText w:val=""/>
      <w:lvlJc w:val="left"/>
      <w:pPr>
        <w:ind w:left="1395" w:hanging="360"/>
      </w:pPr>
      <w:rPr>
        <w:rFonts w:ascii="Symbol" w:hAnsi="Symbol" w:hint="default"/>
      </w:rPr>
    </w:lvl>
    <w:lvl w:ilvl="1" w:tplc="04260003" w:tentative="1">
      <w:start w:val="1"/>
      <w:numFmt w:val="bullet"/>
      <w:lvlText w:val="o"/>
      <w:lvlJc w:val="left"/>
      <w:pPr>
        <w:ind w:left="2115" w:hanging="360"/>
      </w:pPr>
      <w:rPr>
        <w:rFonts w:ascii="Courier New" w:hAnsi="Courier New" w:cs="Courier New" w:hint="default"/>
      </w:rPr>
    </w:lvl>
    <w:lvl w:ilvl="2" w:tplc="04260005" w:tentative="1">
      <w:start w:val="1"/>
      <w:numFmt w:val="bullet"/>
      <w:lvlText w:val=""/>
      <w:lvlJc w:val="left"/>
      <w:pPr>
        <w:ind w:left="2835" w:hanging="360"/>
      </w:pPr>
      <w:rPr>
        <w:rFonts w:ascii="Wingdings" w:hAnsi="Wingdings" w:hint="default"/>
      </w:rPr>
    </w:lvl>
    <w:lvl w:ilvl="3" w:tplc="04260001" w:tentative="1">
      <w:start w:val="1"/>
      <w:numFmt w:val="bullet"/>
      <w:lvlText w:val=""/>
      <w:lvlJc w:val="left"/>
      <w:pPr>
        <w:ind w:left="3555" w:hanging="360"/>
      </w:pPr>
      <w:rPr>
        <w:rFonts w:ascii="Symbol" w:hAnsi="Symbol" w:hint="default"/>
      </w:rPr>
    </w:lvl>
    <w:lvl w:ilvl="4" w:tplc="04260003" w:tentative="1">
      <w:start w:val="1"/>
      <w:numFmt w:val="bullet"/>
      <w:lvlText w:val="o"/>
      <w:lvlJc w:val="left"/>
      <w:pPr>
        <w:ind w:left="4275" w:hanging="360"/>
      </w:pPr>
      <w:rPr>
        <w:rFonts w:ascii="Courier New" w:hAnsi="Courier New" w:cs="Courier New" w:hint="default"/>
      </w:rPr>
    </w:lvl>
    <w:lvl w:ilvl="5" w:tplc="04260005" w:tentative="1">
      <w:start w:val="1"/>
      <w:numFmt w:val="bullet"/>
      <w:lvlText w:val=""/>
      <w:lvlJc w:val="left"/>
      <w:pPr>
        <w:ind w:left="4995" w:hanging="360"/>
      </w:pPr>
      <w:rPr>
        <w:rFonts w:ascii="Wingdings" w:hAnsi="Wingdings" w:hint="default"/>
      </w:rPr>
    </w:lvl>
    <w:lvl w:ilvl="6" w:tplc="04260001" w:tentative="1">
      <w:start w:val="1"/>
      <w:numFmt w:val="bullet"/>
      <w:lvlText w:val=""/>
      <w:lvlJc w:val="left"/>
      <w:pPr>
        <w:ind w:left="5715" w:hanging="360"/>
      </w:pPr>
      <w:rPr>
        <w:rFonts w:ascii="Symbol" w:hAnsi="Symbol" w:hint="default"/>
      </w:rPr>
    </w:lvl>
    <w:lvl w:ilvl="7" w:tplc="04260003" w:tentative="1">
      <w:start w:val="1"/>
      <w:numFmt w:val="bullet"/>
      <w:lvlText w:val="o"/>
      <w:lvlJc w:val="left"/>
      <w:pPr>
        <w:ind w:left="6435" w:hanging="360"/>
      </w:pPr>
      <w:rPr>
        <w:rFonts w:ascii="Courier New" w:hAnsi="Courier New" w:cs="Courier New" w:hint="default"/>
      </w:rPr>
    </w:lvl>
    <w:lvl w:ilvl="8" w:tplc="04260005" w:tentative="1">
      <w:start w:val="1"/>
      <w:numFmt w:val="bullet"/>
      <w:lvlText w:val=""/>
      <w:lvlJc w:val="left"/>
      <w:pPr>
        <w:ind w:left="7155" w:hanging="360"/>
      </w:pPr>
      <w:rPr>
        <w:rFonts w:ascii="Wingdings" w:hAnsi="Wingdings" w:hint="default"/>
      </w:rPr>
    </w:lvl>
  </w:abstractNum>
  <w:abstractNum w:abstractNumId="3"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E0B71"/>
    <w:multiLevelType w:val="hybridMultilevel"/>
    <w:tmpl w:val="6C4AB8E2"/>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8209A3"/>
    <w:multiLevelType w:val="hybridMultilevel"/>
    <w:tmpl w:val="75B87BEC"/>
    <w:lvl w:ilvl="0" w:tplc="D42074DC">
      <w:numFmt w:val="bullet"/>
      <w:lvlText w:val="•"/>
      <w:lvlJc w:val="left"/>
      <w:pPr>
        <w:ind w:left="1440" w:hanging="765"/>
      </w:pPr>
      <w:rPr>
        <w:rFonts w:ascii="Times New Roman" w:eastAsiaTheme="minorHAnsi" w:hAnsi="Times New Roman" w:cs="Times New Roman"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6" w15:restartNumberingAfterBreak="0">
    <w:nsid w:val="726D2296"/>
    <w:multiLevelType w:val="hybridMultilevel"/>
    <w:tmpl w:val="2D00B9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043D23"/>
    <w:multiLevelType w:val="hybridMultilevel"/>
    <w:tmpl w:val="346ED05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3A71990"/>
    <w:multiLevelType w:val="hybridMultilevel"/>
    <w:tmpl w:val="A1D877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9" w15:restartNumberingAfterBreak="0">
    <w:nsid w:val="7576144C"/>
    <w:multiLevelType w:val="hybridMultilevel"/>
    <w:tmpl w:val="8C365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2"/>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hyphenationZone w:val="39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B2D"/>
    <w:rsid w:val="00031E76"/>
    <w:rsid w:val="00032DAD"/>
    <w:rsid w:val="00040E40"/>
    <w:rsid w:val="00046312"/>
    <w:rsid w:val="00063499"/>
    <w:rsid w:val="00070C65"/>
    <w:rsid w:val="0007422A"/>
    <w:rsid w:val="000808C4"/>
    <w:rsid w:val="000827AB"/>
    <w:rsid w:val="000A26CB"/>
    <w:rsid w:val="000A7A73"/>
    <w:rsid w:val="000B2F4C"/>
    <w:rsid w:val="000C1D07"/>
    <w:rsid w:val="000D49E3"/>
    <w:rsid w:val="000E456D"/>
    <w:rsid w:val="000F4200"/>
    <w:rsid w:val="000F5CD3"/>
    <w:rsid w:val="00100A5A"/>
    <w:rsid w:val="001140EF"/>
    <w:rsid w:val="00115191"/>
    <w:rsid w:val="00124EC8"/>
    <w:rsid w:val="001265D5"/>
    <w:rsid w:val="00143490"/>
    <w:rsid w:val="00152B2B"/>
    <w:rsid w:val="001569F0"/>
    <w:rsid w:val="00162EC7"/>
    <w:rsid w:val="001930B3"/>
    <w:rsid w:val="001A1A2A"/>
    <w:rsid w:val="001A282D"/>
    <w:rsid w:val="001A6D03"/>
    <w:rsid w:val="001B71F8"/>
    <w:rsid w:val="001C5DEC"/>
    <w:rsid w:val="001C6D47"/>
    <w:rsid w:val="001D6A60"/>
    <w:rsid w:val="001E00BD"/>
    <w:rsid w:val="00207B91"/>
    <w:rsid w:val="00213BE4"/>
    <w:rsid w:val="00215E7F"/>
    <w:rsid w:val="002215AD"/>
    <w:rsid w:val="002215F2"/>
    <w:rsid w:val="0023787F"/>
    <w:rsid w:val="00243426"/>
    <w:rsid w:val="00245168"/>
    <w:rsid w:val="002558A8"/>
    <w:rsid w:val="002626CF"/>
    <w:rsid w:val="002629BB"/>
    <w:rsid w:val="002643AD"/>
    <w:rsid w:val="00280806"/>
    <w:rsid w:val="002A3F16"/>
    <w:rsid w:val="002B0353"/>
    <w:rsid w:val="002B4C50"/>
    <w:rsid w:val="002B56DC"/>
    <w:rsid w:val="002C4BF3"/>
    <w:rsid w:val="002D37A8"/>
    <w:rsid w:val="002D6BA4"/>
    <w:rsid w:val="002E0EF2"/>
    <w:rsid w:val="002E1C05"/>
    <w:rsid w:val="002E1ED4"/>
    <w:rsid w:val="00302E47"/>
    <w:rsid w:val="00304D0A"/>
    <w:rsid w:val="0031558E"/>
    <w:rsid w:val="00331F6A"/>
    <w:rsid w:val="00335005"/>
    <w:rsid w:val="003459FA"/>
    <w:rsid w:val="003525A8"/>
    <w:rsid w:val="00353540"/>
    <w:rsid w:val="003617EF"/>
    <w:rsid w:val="00361C71"/>
    <w:rsid w:val="00361F69"/>
    <w:rsid w:val="00395181"/>
    <w:rsid w:val="003A0D84"/>
    <w:rsid w:val="003A0E74"/>
    <w:rsid w:val="003A16A5"/>
    <w:rsid w:val="003A1B44"/>
    <w:rsid w:val="003A50F5"/>
    <w:rsid w:val="003B0BF9"/>
    <w:rsid w:val="003C72A0"/>
    <w:rsid w:val="003D2059"/>
    <w:rsid w:val="003D39B1"/>
    <w:rsid w:val="003D52E1"/>
    <w:rsid w:val="003D614B"/>
    <w:rsid w:val="003E0791"/>
    <w:rsid w:val="003E4D93"/>
    <w:rsid w:val="003E50BD"/>
    <w:rsid w:val="003E62FE"/>
    <w:rsid w:val="003E708C"/>
    <w:rsid w:val="003F28AC"/>
    <w:rsid w:val="003F7EAF"/>
    <w:rsid w:val="0040141F"/>
    <w:rsid w:val="00403509"/>
    <w:rsid w:val="00413DBA"/>
    <w:rsid w:val="00414897"/>
    <w:rsid w:val="00421937"/>
    <w:rsid w:val="00421F15"/>
    <w:rsid w:val="00423B03"/>
    <w:rsid w:val="004316BD"/>
    <w:rsid w:val="004454FE"/>
    <w:rsid w:val="00445EDE"/>
    <w:rsid w:val="00456E40"/>
    <w:rsid w:val="004711C4"/>
    <w:rsid w:val="00471F27"/>
    <w:rsid w:val="004734C0"/>
    <w:rsid w:val="004804D2"/>
    <w:rsid w:val="0049033B"/>
    <w:rsid w:val="004A451C"/>
    <w:rsid w:val="004A4D48"/>
    <w:rsid w:val="004A74BA"/>
    <w:rsid w:val="004B5BA4"/>
    <w:rsid w:val="004B7BEF"/>
    <w:rsid w:val="004C76D1"/>
    <w:rsid w:val="004F25D9"/>
    <w:rsid w:val="0050178F"/>
    <w:rsid w:val="00506651"/>
    <w:rsid w:val="00511A1D"/>
    <w:rsid w:val="00525AD8"/>
    <w:rsid w:val="00530D33"/>
    <w:rsid w:val="0054010E"/>
    <w:rsid w:val="005500EF"/>
    <w:rsid w:val="00555F52"/>
    <w:rsid w:val="005740EC"/>
    <w:rsid w:val="005A2201"/>
    <w:rsid w:val="005B0E79"/>
    <w:rsid w:val="005C2552"/>
    <w:rsid w:val="005C7222"/>
    <w:rsid w:val="005E5FE2"/>
    <w:rsid w:val="005F139B"/>
    <w:rsid w:val="005F2A43"/>
    <w:rsid w:val="005F5CC5"/>
    <w:rsid w:val="00624165"/>
    <w:rsid w:val="006330FF"/>
    <w:rsid w:val="00655F2C"/>
    <w:rsid w:val="00662989"/>
    <w:rsid w:val="0066501D"/>
    <w:rsid w:val="00673D91"/>
    <w:rsid w:val="00680DF7"/>
    <w:rsid w:val="0068256A"/>
    <w:rsid w:val="00695757"/>
    <w:rsid w:val="006A6AA2"/>
    <w:rsid w:val="006B1AB9"/>
    <w:rsid w:val="006B47F7"/>
    <w:rsid w:val="006C3347"/>
    <w:rsid w:val="006C54E2"/>
    <w:rsid w:val="006E1081"/>
    <w:rsid w:val="006E116E"/>
    <w:rsid w:val="00702462"/>
    <w:rsid w:val="00712F96"/>
    <w:rsid w:val="007200AC"/>
    <w:rsid w:val="00720585"/>
    <w:rsid w:val="00722534"/>
    <w:rsid w:val="007236A7"/>
    <w:rsid w:val="00737250"/>
    <w:rsid w:val="00751483"/>
    <w:rsid w:val="007562B2"/>
    <w:rsid w:val="00764813"/>
    <w:rsid w:val="00773AF6"/>
    <w:rsid w:val="00777670"/>
    <w:rsid w:val="00785AB3"/>
    <w:rsid w:val="0078698E"/>
    <w:rsid w:val="00795F71"/>
    <w:rsid w:val="007A260C"/>
    <w:rsid w:val="007B1859"/>
    <w:rsid w:val="007E3C29"/>
    <w:rsid w:val="007E4447"/>
    <w:rsid w:val="007E5F7A"/>
    <w:rsid w:val="007E73AB"/>
    <w:rsid w:val="007F1AC2"/>
    <w:rsid w:val="007F2F66"/>
    <w:rsid w:val="007F6DA0"/>
    <w:rsid w:val="00807A7B"/>
    <w:rsid w:val="00816C11"/>
    <w:rsid w:val="00817454"/>
    <w:rsid w:val="00824FA7"/>
    <w:rsid w:val="0084501D"/>
    <w:rsid w:val="00856036"/>
    <w:rsid w:val="00862C24"/>
    <w:rsid w:val="00865A6C"/>
    <w:rsid w:val="008730A4"/>
    <w:rsid w:val="008772CA"/>
    <w:rsid w:val="00877F8B"/>
    <w:rsid w:val="008915DA"/>
    <w:rsid w:val="00894C55"/>
    <w:rsid w:val="008A523D"/>
    <w:rsid w:val="008B17FF"/>
    <w:rsid w:val="008B668A"/>
    <w:rsid w:val="008D04E0"/>
    <w:rsid w:val="008D7BF4"/>
    <w:rsid w:val="008E0714"/>
    <w:rsid w:val="008E57FD"/>
    <w:rsid w:val="008F3089"/>
    <w:rsid w:val="008F6BF0"/>
    <w:rsid w:val="009044EC"/>
    <w:rsid w:val="00906BD1"/>
    <w:rsid w:val="00912332"/>
    <w:rsid w:val="00915F90"/>
    <w:rsid w:val="00923200"/>
    <w:rsid w:val="00926C30"/>
    <w:rsid w:val="00935AAB"/>
    <w:rsid w:val="00954E97"/>
    <w:rsid w:val="00960B98"/>
    <w:rsid w:val="009628BF"/>
    <w:rsid w:val="009672AB"/>
    <w:rsid w:val="00967671"/>
    <w:rsid w:val="0097167B"/>
    <w:rsid w:val="009A1B85"/>
    <w:rsid w:val="009A2654"/>
    <w:rsid w:val="009B5CDC"/>
    <w:rsid w:val="009C1876"/>
    <w:rsid w:val="009D33F7"/>
    <w:rsid w:val="009E0014"/>
    <w:rsid w:val="009F6C3B"/>
    <w:rsid w:val="00A03046"/>
    <w:rsid w:val="00A0649A"/>
    <w:rsid w:val="00A10FC3"/>
    <w:rsid w:val="00A126A4"/>
    <w:rsid w:val="00A26E97"/>
    <w:rsid w:val="00A33D35"/>
    <w:rsid w:val="00A44568"/>
    <w:rsid w:val="00A44E2A"/>
    <w:rsid w:val="00A52331"/>
    <w:rsid w:val="00A527DC"/>
    <w:rsid w:val="00A56EA9"/>
    <w:rsid w:val="00A6073E"/>
    <w:rsid w:val="00A61F25"/>
    <w:rsid w:val="00A65CB6"/>
    <w:rsid w:val="00A679ED"/>
    <w:rsid w:val="00A81B6A"/>
    <w:rsid w:val="00A82779"/>
    <w:rsid w:val="00A906B1"/>
    <w:rsid w:val="00A94AAB"/>
    <w:rsid w:val="00AA70AB"/>
    <w:rsid w:val="00AB2F9F"/>
    <w:rsid w:val="00AC01C9"/>
    <w:rsid w:val="00AC4352"/>
    <w:rsid w:val="00AE5567"/>
    <w:rsid w:val="00AF1239"/>
    <w:rsid w:val="00AF38A4"/>
    <w:rsid w:val="00B071EA"/>
    <w:rsid w:val="00B07A43"/>
    <w:rsid w:val="00B16480"/>
    <w:rsid w:val="00B2165C"/>
    <w:rsid w:val="00B30617"/>
    <w:rsid w:val="00B51F0E"/>
    <w:rsid w:val="00B61C83"/>
    <w:rsid w:val="00B761FA"/>
    <w:rsid w:val="00B77896"/>
    <w:rsid w:val="00B81FA1"/>
    <w:rsid w:val="00B82605"/>
    <w:rsid w:val="00B85951"/>
    <w:rsid w:val="00B862DB"/>
    <w:rsid w:val="00B96DD3"/>
    <w:rsid w:val="00BA20AA"/>
    <w:rsid w:val="00BA33BF"/>
    <w:rsid w:val="00BB4002"/>
    <w:rsid w:val="00BD07AC"/>
    <w:rsid w:val="00BD4425"/>
    <w:rsid w:val="00C25B49"/>
    <w:rsid w:val="00C40FBA"/>
    <w:rsid w:val="00C43A98"/>
    <w:rsid w:val="00C44055"/>
    <w:rsid w:val="00C44924"/>
    <w:rsid w:val="00C61F3F"/>
    <w:rsid w:val="00C72750"/>
    <w:rsid w:val="00C72D8D"/>
    <w:rsid w:val="00C837F2"/>
    <w:rsid w:val="00C92FE8"/>
    <w:rsid w:val="00CA0D22"/>
    <w:rsid w:val="00CC0CC0"/>
    <w:rsid w:val="00CC0D2D"/>
    <w:rsid w:val="00CE2A7C"/>
    <w:rsid w:val="00CE5657"/>
    <w:rsid w:val="00D01916"/>
    <w:rsid w:val="00D02E71"/>
    <w:rsid w:val="00D07138"/>
    <w:rsid w:val="00D10205"/>
    <w:rsid w:val="00D10B55"/>
    <w:rsid w:val="00D133F8"/>
    <w:rsid w:val="00D14A3E"/>
    <w:rsid w:val="00D40C5D"/>
    <w:rsid w:val="00D47177"/>
    <w:rsid w:val="00D543D6"/>
    <w:rsid w:val="00D61D68"/>
    <w:rsid w:val="00D66394"/>
    <w:rsid w:val="00D67825"/>
    <w:rsid w:val="00D753D0"/>
    <w:rsid w:val="00D92B3B"/>
    <w:rsid w:val="00DA216D"/>
    <w:rsid w:val="00DA466F"/>
    <w:rsid w:val="00DD0BF5"/>
    <w:rsid w:val="00DD529A"/>
    <w:rsid w:val="00E0052E"/>
    <w:rsid w:val="00E051CB"/>
    <w:rsid w:val="00E11F35"/>
    <w:rsid w:val="00E260EA"/>
    <w:rsid w:val="00E3716B"/>
    <w:rsid w:val="00E5323B"/>
    <w:rsid w:val="00E56C08"/>
    <w:rsid w:val="00E76800"/>
    <w:rsid w:val="00E840F6"/>
    <w:rsid w:val="00E8679E"/>
    <w:rsid w:val="00E8749E"/>
    <w:rsid w:val="00E90C01"/>
    <w:rsid w:val="00EA486E"/>
    <w:rsid w:val="00EA4F0B"/>
    <w:rsid w:val="00EA6749"/>
    <w:rsid w:val="00EA6BC7"/>
    <w:rsid w:val="00EB149D"/>
    <w:rsid w:val="00EB6B9A"/>
    <w:rsid w:val="00EC5AFE"/>
    <w:rsid w:val="00ED6F56"/>
    <w:rsid w:val="00ED7ECC"/>
    <w:rsid w:val="00EE135B"/>
    <w:rsid w:val="00EE5DCB"/>
    <w:rsid w:val="00F327E4"/>
    <w:rsid w:val="00F328B3"/>
    <w:rsid w:val="00F370DE"/>
    <w:rsid w:val="00F451FD"/>
    <w:rsid w:val="00F46FB3"/>
    <w:rsid w:val="00F515F8"/>
    <w:rsid w:val="00F53753"/>
    <w:rsid w:val="00F559F2"/>
    <w:rsid w:val="00F57B0C"/>
    <w:rsid w:val="00F61D43"/>
    <w:rsid w:val="00F631CA"/>
    <w:rsid w:val="00F644C1"/>
    <w:rsid w:val="00F715EC"/>
    <w:rsid w:val="00FA0DE1"/>
    <w:rsid w:val="00FA1C92"/>
    <w:rsid w:val="00FA1F4D"/>
    <w:rsid w:val="00FA2939"/>
    <w:rsid w:val="00FA4E4C"/>
    <w:rsid w:val="00FC1B7D"/>
    <w:rsid w:val="00FC344A"/>
    <w:rsid w:val="00FE62BF"/>
    <w:rsid w:val="00FF18A2"/>
    <w:rsid w:val="00FF43F1"/>
    <w:rsid w:val="00FF575B"/>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2B6225"/>
  <w15:docId w15:val="{667B8FB0-23EE-4C0A-AA3C-2398CFC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paragraph" w:styleId="Virsraksts3">
    <w:name w:val="heading 3"/>
    <w:basedOn w:val="Parasts"/>
    <w:link w:val="Virsraksts3Rakstz"/>
    <w:uiPriority w:val="9"/>
    <w:qFormat/>
    <w:rsid w:val="000F420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1C6D47"/>
    <w:pPr>
      <w:spacing w:before="100" w:beforeAutospacing="1" w:after="100" w:afterAutospacing="1" w:line="240" w:lineRule="auto"/>
    </w:pPr>
    <w:rPr>
      <w:rFonts w:ascii="Verdana" w:eastAsia="Times New Roman" w:hAnsi="Verdana" w:cs="Times New Roman"/>
      <w:sz w:val="21"/>
      <w:szCs w:val="21"/>
      <w:lang w:val="en-US"/>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737250"/>
    <w:pPr>
      <w:ind w:left="720"/>
      <w:contextualSpacing/>
    </w:pPr>
  </w:style>
  <w:style w:type="paragraph" w:customStyle="1" w:styleId="naisf">
    <w:name w:val="naisf"/>
    <w:basedOn w:val="Parasts"/>
    <w:rsid w:val="00926C30"/>
    <w:pPr>
      <w:spacing w:before="75" w:after="75" w:line="240" w:lineRule="auto"/>
      <w:ind w:firstLine="375"/>
      <w:jc w:val="both"/>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906BD1"/>
    <w:rPr>
      <w:sz w:val="16"/>
      <w:szCs w:val="16"/>
    </w:rPr>
  </w:style>
  <w:style w:type="paragraph" w:styleId="Komentrateksts">
    <w:name w:val="annotation text"/>
    <w:basedOn w:val="Parasts"/>
    <w:link w:val="KomentratekstsRakstz"/>
    <w:uiPriority w:val="99"/>
    <w:semiHidden/>
    <w:unhideWhenUsed/>
    <w:rsid w:val="00906B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06BD1"/>
    <w:rPr>
      <w:sz w:val="20"/>
      <w:szCs w:val="20"/>
    </w:rPr>
  </w:style>
  <w:style w:type="paragraph" w:styleId="Komentratma">
    <w:name w:val="annotation subject"/>
    <w:basedOn w:val="Komentrateksts"/>
    <w:next w:val="Komentrateksts"/>
    <w:link w:val="KomentratmaRakstz"/>
    <w:uiPriority w:val="99"/>
    <w:semiHidden/>
    <w:unhideWhenUsed/>
    <w:rsid w:val="00906BD1"/>
    <w:rPr>
      <w:b/>
      <w:bCs/>
    </w:rPr>
  </w:style>
  <w:style w:type="character" w:customStyle="1" w:styleId="KomentratmaRakstz">
    <w:name w:val="Komentāra tēma Rakstz."/>
    <w:basedOn w:val="KomentratekstsRakstz"/>
    <w:link w:val="Komentratma"/>
    <w:uiPriority w:val="99"/>
    <w:semiHidden/>
    <w:rsid w:val="00906BD1"/>
    <w:rPr>
      <w:b/>
      <w:bCs/>
      <w:sz w:val="20"/>
      <w:szCs w:val="20"/>
    </w:rPr>
  </w:style>
  <w:style w:type="character" w:customStyle="1" w:styleId="tlid-translation">
    <w:name w:val="tlid-translation"/>
    <w:basedOn w:val="Noklusjumarindkopasfonts"/>
    <w:rsid w:val="00FA0DE1"/>
  </w:style>
  <w:style w:type="character" w:customStyle="1" w:styleId="jlqj4b">
    <w:name w:val="jlqj4b"/>
    <w:basedOn w:val="Noklusjumarindkopasfonts"/>
    <w:rsid w:val="00207B91"/>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ED6F56"/>
  </w:style>
  <w:style w:type="character" w:customStyle="1" w:styleId="Virsraksts3Rakstz">
    <w:name w:val="Virsraksts 3 Rakstz."/>
    <w:basedOn w:val="Noklusjumarindkopasfonts"/>
    <w:link w:val="Virsraksts3"/>
    <w:uiPriority w:val="9"/>
    <w:rsid w:val="000F4200"/>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3594">
      <w:bodyDiv w:val="1"/>
      <w:marLeft w:val="0"/>
      <w:marRight w:val="0"/>
      <w:marTop w:val="0"/>
      <w:marBottom w:val="0"/>
      <w:divBdr>
        <w:top w:val="none" w:sz="0" w:space="0" w:color="auto"/>
        <w:left w:val="none" w:sz="0" w:space="0" w:color="auto"/>
        <w:bottom w:val="none" w:sz="0" w:space="0" w:color="auto"/>
        <w:right w:val="none" w:sz="0" w:space="0" w:color="auto"/>
      </w:divBdr>
    </w:div>
    <w:div w:id="115681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182673">
      <w:bodyDiv w:val="1"/>
      <w:marLeft w:val="0"/>
      <w:marRight w:val="0"/>
      <w:marTop w:val="0"/>
      <w:marBottom w:val="0"/>
      <w:divBdr>
        <w:top w:val="none" w:sz="0" w:space="0" w:color="auto"/>
        <w:left w:val="none" w:sz="0" w:space="0" w:color="auto"/>
        <w:bottom w:val="none" w:sz="0" w:space="0" w:color="auto"/>
        <w:right w:val="none" w:sz="0" w:space="0" w:color="auto"/>
      </w:divBdr>
    </w:div>
    <w:div w:id="217131083">
      <w:bodyDiv w:val="1"/>
      <w:marLeft w:val="0"/>
      <w:marRight w:val="0"/>
      <w:marTop w:val="0"/>
      <w:marBottom w:val="0"/>
      <w:divBdr>
        <w:top w:val="none" w:sz="0" w:space="0" w:color="auto"/>
        <w:left w:val="none" w:sz="0" w:space="0" w:color="auto"/>
        <w:bottom w:val="none" w:sz="0" w:space="0" w:color="auto"/>
        <w:right w:val="none" w:sz="0" w:space="0" w:color="auto"/>
      </w:divBdr>
    </w:div>
    <w:div w:id="252131743">
      <w:bodyDiv w:val="1"/>
      <w:marLeft w:val="0"/>
      <w:marRight w:val="0"/>
      <w:marTop w:val="0"/>
      <w:marBottom w:val="0"/>
      <w:divBdr>
        <w:top w:val="none" w:sz="0" w:space="0" w:color="auto"/>
        <w:left w:val="none" w:sz="0" w:space="0" w:color="auto"/>
        <w:bottom w:val="none" w:sz="0" w:space="0" w:color="auto"/>
        <w:right w:val="none" w:sz="0" w:space="0" w:color="auto"/>
      </w:divBdr>
    </w:div>
    <w:div w:id="253169201">
      <w:bodyDiv w:val="1"/>
      <w:marLeft w:val="0"/>
      <w:marRight w:val="0"/>
      <w:marTop w:val="0"/>
      <w:marBottom w:val="0"/>
      <w:divBdr>
        <w:top w:val="none" w:sz="0" w:space="0" w:color="auto"/>
        <w:left w:val="none" w:sz="0" w:space="0" w:color="auto"/>
        <w:bottom w:val="none" w:sz="0" w:space="0" w:color="auto"/>
        <w:right w:val="none" w:sz="0" w:space="0" w:color="auto"/>
      </w:divBdr>
    </w:div>
    <w:div w:id="263080452">
      <w:bodyDiv w:val="1"/>
      <w:marLeft w:val="0"/>
      <w:marRight w:val="0"/>
      <w:marTop w:val="0"/>
      <w:marBottom w:val="0"/>
      <w:divBdr>
        <w:top w:val="none" w:sz="0" w:space="0" w:color="auto"/>
        <w:left w:val="none" w:sz="0" w:space="0" w:color="auto"/>
        <w:bottom w:val="none" w:sz="0" w:space="0" w:color="auto"/>
        <w:right w:val="none" w:sz="0" w:space="0" w:color="auto"/>
      </w:divBdr>
    </w:div>
    <w:div w:id="274169176">
      <w:bodyDiv w:val="1"/>
      <w:marLeft w:val="0"/>
      <w:marRight w:val="0"/>
      <w:marTop w:val="0"/>
      <w:marBottom w:val="0"/>
      <w:divBdr>
        <w:top w:val="none" w:sz="0" w:space="0" w:color="auto"/>
        <w:left w:val="none" w:sz="0" w:space="0" w:color="auto"/>
        <w:bottom w:val="none" w:sz="0" w:space="0" w:color="auto"/>
        <w:right w:val="none" w:sz="0" w:space="0" w:color="auto"/>
      </w:divBdr>
    </w:div>
    <w:div w:id="295257886">
      <w:bodyDiv w:val="1"/>
      <w:marLeft w:val="0"/>
      <w:marRight w:val="0"/>
      <w:marTop w:val="0"/>
      <w:marBottom w:val="0"/>
      <w:divBdr>
        <w:top w:val="none" w:sz="0" w:space="0" w:color="auto"/>
        <w:left w:val="none" w:sz="0" w:space="0" w:color="auto"/>
        <w:bottom w:val="none" w:sz="0" w:space="0" w:color="auto"/>
        <w:right w:val="none" w:sz="0" w:space="0" w:color="auto"/>
      </w:divBdr>
    </w:div>
    <w:div w:id="333384678">
      <w:bodyDiv w:val="1"/>
      <w:marLeft w:val="0"/>
      <w:marRight w:val="0"/>
      <w:marTop w:val="0"/>
      <w:marBottom w:val="0"/>
      <w:divBdr>
        <w:top w:val="none" w:sz="0" w:space="0" w:color="auto"/>
        <w:left w:val="none" w:sz="0" w:space="0" w:color="auto"/>
        <w:bottom w:val="none" w:sz="0" w:space="0" w:color="auto"/>
        <w:right w:val="none" w:sz="0" w:space="0" w:color="auto"/>
      </w:divBdr>
    </w:div>
    <w:div w:id="367488949">
      <w:bodyDiv w:val="1"/>
      <w:marLeft w:val="0"/>
      <w:marRight w:val="0"/>
      <w:marTop w:val="0"/>
      <w:marBottom w:val="0"/>
      <w:divBdr>
        <w:top w:val="none" w:sz="0" w:space="0" w:color="auto"/>
        <w:left w:val="none" w:sz="0" w:space="0" w:color="auto"/>
        <w:bottom w:val="none" w:sz="0" w:space="0" w:color="auto"/>
        <w:right w:val="none" w:sz="0" w:space="0" w:color="auto"/>
      </w:divBdr>
    </w:div>
    <w:div w:id="422730730">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44422793">
      <w:bodyDiv w:val="1"/>
      <w:marLeft w:val="0"/>
      <w:marRight w:val="0"/>
      <w:marTop w:val="0"/>
      <w:marBottom w:val="0"/>
      <w:divBdr>
        <w:top w:val="none" w:sz="0" w:space="0" w:color="auto"/>
        <w:left w:val="none" w:sz="0" w:space="0" w:color="auto"/>
        <w:bottom w:val="none" w:sz="0" w:space="0" w:color="auto"/>
        <w:right w:val="none" w:sz="0" w:space="0" w:color="auto"/>
      </w:divBdr>
    </w:div>
    <w:div w:id="546648322">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684088691">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32891055">
      <w:bodyDiv w:val="1"/>
      <w:marLeft w:val="0"/>
      <w:marRight w:val="0"/>
      <w:marTop w:val="0"/>
      <w:marBottom w:val="0"/>
      <w:divBdr>
        <w:top w:val="none" w:sz="0" w:space="0" w:color="auto"/>
        <w:left w:val="none" w:sz="0" w:space="0" w:color="auto"/>
        <w:bottom w:val="none" w:sz="0" w:space="0" w:color="auto"/>
        <w:right w:val="none" w:sz="0" w:space="0" w:color="auto"/>
      </w:divBdr>
    </w:div>
    <w:div w:id="828441774">
      <w:bodyDiv w:val="1"/>
      <w:marLeft w:val="0"/>
      <w:marRight w:val="0"/>
      <w:marTop w:val="0"/>
      <w:marBottom w:val="0"/>
      <w:divBdr>
        <w:top w:val="none" w:sz="0" w:space="0" w:color="auto"/>
        <w:left w:val="none" w:sz="0" w:space="0" w:color="auto"/>
        <w:bottom w:val="none" w:sz="0" w:space="0" w:color="auto"/>
        <w:right w:val="none" w:sz="0" w:space="0" w:color="auto"/>
      </w:divBdr>
    </w:div>
    <w:div w:id="916475281">
      <w:bodyDiv w:val="1"/>
      <w:marLeft w:val="0"/>
      <w:marRight w:val="0"/>
      <w:marTop w:val="0"/>
      <w:marBottom w:val="0"/>
      <w:divBdr>
        <w:top w:val="none" w:sz="0" w:space="0" w:color="auto"/>
        <w:left w:val="none" w:sz="0" w:space="0" w:color="auto"/>
        <w:bottom w:val="none" w:sz="0" w:space="0" w:color="auto"/>
        <w:right w:val="none" w:sz="0" w:space="0" w:color="auto"/>
      </w:divBdr>
    </w:div>
    <w:div w:id="949240041">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23752984">
      <w:bodyDiv w:val="1"/>
      <w:marLeft w:val="0"/>
      <w:marRight w:val="0"/>
      <w:marTop w:val="0"/>
      <w:marBottom w:val="0"/>
      <w:divBdr>
        <w:top w:val="none" w:sz="0" w:space="0" w:color="auto"/>
        <w:left w:val="none" w:sz="0" w:space="0" w:color="auto"/>
        <w:bottom w:val="none" w:sz="0" w:space="0" w:color="auto"/>
        <w:right w:val="none" w:sz="0" w:space="0" w:color="auto"/>
      </w:divBdr>
    </w:div>
    <w:div w:id="1027147631">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4470446">
      <w:bodyDiv w:val="1"/>
      <w:marLeft w:val="0"/>
      <w:marRight w:val="0"/>
      <w:marTop w:val="0"/>
      <w:marBottom w:val="0"/>
      <w:divBdr>
        <w:top w:val="none" w:sz="0" w:space="0" w:color="auto"/>
        <w:left w:val="none" w:sz="0" w:space="0" w:color="auto"/>
        <w:bottom w:val="none" w:sz="0" w:space="0" w:color="auto"/>
        <w:right w:val="none" w:sz="0" w:space="0" w:color="auto"/>
      </w:divBdr>
    </w:div>
    <w:div w:id="1315138274">
      <w:bodyDiv w:val="1"/>
      <w:marLeft w:val="0"/>
      <w:marRight w:val="0"/>
      <w:marTop w:val="0"/>
      <w:marBottom w:val="0"/>
      <w:divBdr>
        <w:top w:val="none" w:sz="0" w:space="0" w:color="auto"/>
        <w:left w:val="none" w:sz="0" w:space="0" w:color="auto"/>
        <w:bottom w:val="none" w:sz="0" w:space="0" w:color="auto"/>
        <w:right w:val="none" w:sz="0" w:space="0" w:color="auto"/>
      </w:divBdr>
    </w:div>
    <w:div w:id="1322008765">
      <w:bodyDiv w:val="1"/>
      <w:marLeft w:val="0"/>
      <w:marRight w:val="0"/>
      <w:marTop w:val="0"/>
      <w:marBottom w:val="0"/>
      <w:divBdr>
        <w:top w:val="none" w:sz="0" w:space="0" w:color="auto"/>
        <w:left w:val="none" w:sz="0" w:space="0" w:color="auto"/>
        <w:bottom w:val="none" w:sz="0" w:space="0" w:color="auto"/>
        <w:right w:val="none" w:sz="0" w:space="0" w:color="auto"/>
      </w:divBdr>
    </w:div>
    <w:div w:id="1352680292">
      <w:bodyDiv w:val="1"/>
      <w:marLeft w:val="0"/>
      <w:marRight w:val="0"/>
      <w:marTop w:val="0"/>
      <w:marBottom w:val="0"/>
      <w:divBdr>
        <w:top w:val="none" w:sz="0" w:space="0" w:color="auto"/>
        <w:left w:val="none" w:sz="0" w:space="0" w:color="auto"/>
        <w:bottom w:val="none" w:sz="0" w:space="0" w:color="auto"/>
        <w:right w:val="none" w:sz="0" w:space="0" w:color="auto"/>
      </w:divBdr>
    </w:div>
    <w:div w:id="1354309191">
      <w:bodyDiv w:val="1"/>
      <w:marLeft w:val="0"/>
      <w:marRight w:val="0"/>
      <w:marTop w:val="0"/>
      <w:marBottom w:val="0"/>
      <w:divBdr>
        <w:top w:val="none" w:sz="0" w:space="0" w:color="auto"/>
        <w:left w:val="none" w:sz="0" w:space="0" w:color="auto"/>
        <w:bottom w:val="none" w:sz="0" w:space="0" w:color="auto"/>
        <w:right w:val="none" w:sz="0" w:space="0" w:color="auto"/>
      </w:divBdr>
    </w:div>
    <w:div w:id="1355618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1298218">
      <w:bodyDiv w:val="1"/>
      <w:marLeft w:val="0"/>
      <w:marRight w:val="0"/>
      <w:marTop w:val="0"/>
      <w:marBottom w:val="0"/>
      <w:divBdr>
        <w:top w:val="none" w:sz="0" w:space="0" w:color="auto"/>
        <w:left w:val="none" w:sz="0" w:space="0" w:color="auto"/>
        <w:bottom w:val="none" w:sz="0" w:space="0" w:color="auto"/>
        <w:right w:val="none" w:sz="0" w:space="0" w:color="auto"/>
      </w:divBdr>
    </w:div>
    <w:div w:id="1429158923">
      <w:bodyDiv w:val="1"/>
      <w:marLeft w:val="0"/>
      <w:marRight w:val="0"/>
      <w:marTop w:val="0"/>
      <w:marBottom w:val="0"/>
      <w:divBdr>
        <w:top w:val="none" w:sz="0" w:space="0" w:color="auto"/>
        <w:left w:val="none" w:sz="0" w:space="0" w:color="auto"/>
        <w:bottom w:val="none" w:sz="0" w:space="0" w:color="auto"/>
        <w:right w:val="none" w:sz="0" w:space="0" w:color="auto"/>
      </w:divBdr>
    </w:div>
    <w:div w:id="1429889770">
      <w:bodyDiv w:val="1"/>
      <w:marLeft w:val="0"/>
      <w:marRight w:val="0"/>
      <w:marTop w:val="0"/>
      <w:marBottom w:val="0"/>
      <w:divBdr>
        <w:top w:val="none" w:sz="0" w:space="0" w:color="auto"/>
        <w:left w:val="none" w:sz="0" w:space="0" w:color="auto"/>
        <w:bottom w:val="none" w:sz="0" w:space="0" w:color="auto"/>
        <w:right w:val="none" w:sz="0" w:space="0" w:color="auto"/>
      </w:divBdr>
    </w:div>
    <w:div w:id="1485271669">
      <w:bodyDiv w:val="1"/>
      <w:marLeft w:val="0"/>
      <w:marRight w:val="0"/>
      <w:marTop w:val="0"/>
      <w:marBottom w:val="0"/>
      <w:divBdr>
        <w:top w:val="none" w:sz="0" w:space="0" w:color="auto"/>
        <w:left w:val="none" w:sz="0" w:space="0" w:color="auto"/>
        <w:bottom w:val="none" w:sz="0" w:space="0" w:color="auto"/>
        <w:right w:val="none" w:sz="0" w:space="0" w:color="auto"/>
      </w:divBdr>
    </w:div>
    <w:div w:id="1508211516">
      <w:bodyDiv w:val="1"/>
      <w:marLeft w:val="0"/>
      <w:marRight w:val="0"/>
      <w:marTop w:val="0"/>
      <w:marBottom w:val="0"/>
      <w:divBdr>
        <w:top w:val="none" w:sz="0" w:space="0" w:color="auto"/>
        <w:left w:val="none" w:sz="0" w:space="0" w:color="auto"/>
        <w:bottom w:val="none" w:sz="0" w:space="0" w:color="auto"/>
        <w:right w:val="none" w:sz="0" w:space="0" w:color="auto"/>
      </w:divBdr>
    </w:div>
    <w:div w:id="1512451027">
      <w:bodyDiv w:val="1"/>
      <w:marLeft w:val="0"/>
      <w:marRight w:val="0"/>
      <w:marTop w:val="0"/>
      <w:marBottom w:val="0"/>
      <w:divBdr>
        <w:top w:val="none" w:sz="0" w:space="0" w:color="auto"/>
        <w:left w:val="none" w:sz="0" w:space="0" w:color="auto"/>
        <w:bottom w:val="none" w:sz="0" w:space="0" w:color="auto"/>
        <w:right w:val="none" w:sz="0" w:space="0" w:color="auto"/>
      </w:divBdr>
    </w:div>
    <w:div w:id="1525097289">
      <w:bodyDiv w:val="1"/>
      <w:marLeft w:val="0"/>
      <w:marRight w:val="0"/>
      <w:marTop w:val="0"/>
      <w:marBottom w:val="0"/>
      <w:divBdr>
        <w:top w:val="none" w:sz="0" w:space="0" w:color="auto"/>
        <w:left w:val="none" w:sz="0" w:space="0" w:color="auto"/>
        <w:bottom w:val="none" w:sz="0" w:space="0" w:color="auto"/>
        <w:right w:val="none" w:sz="0" w:space="0" w:color="auto"/>
      </w:divBdr>
    </w:div>
    <w:div w:id="1540435004">
      <w:bodyDiv w:val="1"/>
      <w:marLeft w:val="0"/>
      <w:marRight w:val="0"/>
      <w:marTop w:val="0"/>
      <w:marBottom w:val="0"/>
      <w:divBdr>
        <w:top w:val="none" w:sz="0" w:space="0" w:color="auto"/>
        <w:left w:val="none" w:sz="0" w:space="0" w:color="auto"/>
        <w:bottom w:val="none" w:sz="0" w:space="0" w:color="auto"/>
        <w:right w:val="none" w:sz="0" w:space="0" w:color="auto"/>
      </w:divBdr>
    </w:div>
    <w:div w:id="1555581238">
      <w:bodyDiv w:val="1"/>
      <w:marLeft w:val="0"/>
      <w:marRight w:val="0"/>
      <w:marTop w:val="0"/>
      <w:marBottom w:val="0"/>
      <w:divBdr>
        <w:top w:val="none" w:sz="0" w:space="0" w:color="auto"/>
        <w:left w:val="none" w:sz="0" w:space="0" w:color="auto"/>
        <w:bottom w:val="none" w:sz="0" w:space="0" w:color="auto"/>
        <w:right w:val="none" w:sz="0" w:space="0" w:color="auto"/>
      </w:divBdr>
    </w:div>
    <w:div w:id="1688867309">
      <w:bodyDiv w:val="1"/>
      <w:marLeft w:val="0"/>
      <w:marRight w:val="0"/>
      <w:marTop w:val="0"/>
      <w:marBottom w:val="0"/>
      <w:divBdr>
        <w:top w:val="none" w:sz="0" w:space="0" w:color="auto"/>
        <w:left w:val="none" w:sz="0" w:space="0" w:color="auto"/>
        <w:bottom w:val="none" w:sz="0" w:space="0" w:color="auto"/>
        <w:right w:val="none" w:sz="0" w:space="0" w:color="auto"/>
      </w:divBdr>
    </w:div>
    <w:div w:id="1718159166">
      <w:bodyDiv w:val="1"/>
      <w:marLeft w:val="0"/>
      <w:marRight w:val="0"/>
      <w:marTop w:val="0"/>
      <w:marBottom w:val="0"/>
      <w:divBdr>
        <w:top w:val="none" w:sz="0" w:space="0" w:color="auto"/>
        <w:left w:val="none" w:sz="0" w:space="0" w:color="auto"/>
        <w:bottom w:val="none" w:sz="0" w:space="0" w:color="auto"/>
        <w:right w:val="none" w:sz="0" w:space="0" w:color="auto"/>
      </w:divBdr>
    </w:div>
    <w:div w:id="1803309159">
      <w:bodyDiv w:val="1"/>
      <w:marLeft w:val="0"/>
      <w:marRight w:val="0"/>
      <w:marTop w:val="0"/>
      <w:marBottom w:val="0"/>
      <w:divBdr>
        <w:top w:val="none" w:sz="0" w:space="0" w:color="auto"/>
        <w:left w:val="none" w:sz="0" w:space="0" w:color="auto"/>
        <w:bottom w:val="none" w:sz="0" w:space="0" w:color="auto"/>
        <w:right w:val="none" w:sz="0" w:space="0" w:color="auto"/>
      </w:divBdr>
    </w:div>
    <w:div w:id="1848400219">
      <w:bodyDiv w:val="1"/>
      <w:marLeft w:val="0"/>
      <w:marRight w:val="0"/>
      <w:marTop w:val="0"/>
      <w:marBottom w:val="0"/>
      <w:divBdr>
        <w:top w:val="none" w:sz="0" w:space="0" w:color="auto"/>
        <w:left w:val="none" w:sz="0" w:space="0" w:color="auto"/>
        <w:bottom w:val="none" w:sz="0" w:space="0" w:color="auto"/>
        <w:right w:val="none" w:sz="0" w:space="0" w:color="auto"/>
      </w:divBdr>
    </w:div>
    <w:div w:id="1853453985">
      <w:bodyDiv w:val="1"/>
      <w:marLeft w:val="0"/>
      <w:marRight w:val="0"/>
      <w:marTop w:val="0"/>
      <w:marBottom w:val="0"/>
      <w:divBdr>
        <w:top w:val="none" w:sz="0" w:space="0" w:color="auto"/>
        <w:left w:val="none" w:sz="0" w:space="0" w:color="auto"/>
        <w:bottom w:val="none" w:sz="0" w:space="0" w:color="auto"/>
        <w:right w:val="none" w:sz="0" w:space="0" w:color="auto"/>
      </w:divBdr>
    </w:div>
    <w:div w:id="1864055478">
      <w:bodyDiv w:val="1"/>
      <w:marLeft w:val="0"/>
      <w:marRight w:val="0"/>
      <w:marTop w:val="0"/>
      <w:marBottom w:val="0"/>
      <w:divBdr>
        <w:top w:val="none" w:sz="0" w:space="0" w:color="auto"/>
        <w:left w:val="none" w:sz="0" w:space="0" w:color="auto"/>
        <w:bottom w:val="none" w:sz="0" w:space="0" w:color="auto"/>
        <w:right w:val="none" w:sz="0" w:space="0" w:color="auto"/>
      </w:divBdr>
    </w:div>
    <w:div w:id="1903369375">
      <w:bodyDiv w:val="1"/>
      <w:marLeft w:val="0"/>
      <w:marRight w:val="0"/>
      <w:marTop w:val="0"/>
      <w:marBottom w:val="0"/>
      <w:divBdr>
        <w:top w:val="none" w:sz="0" w:space="0" w:color="auto"/>
        <w:left w:val="none" w:sz="0" w:space="0" w:color="auto"/>
        <w:bottom w:val="none" w:sz="0" w:space="0" w:color="auto"/>
        <w:right w:val="none" w:sz="0" w:space="0" w:color="auto"/>
      </w:divBdr>
    </w:div>
    <w:div w:id="1923175300">
      <w:bodyDiv w:val="1"/>
      <w:marLeft w:val="0"/>
      <w:marRight w:val="0"/>
      <w:marTop w:val="0"/>
      <w:marBottom w:val="0"/>
      <w:divBdr>
        <w:top w:val="none" w:sz="0" w:space="0" w:color="auto"/>
        <w:left w:val="none" w:sz="0" w:space="0" w:color="auto"/>
        <w:bottom w:val="none" w:sz="0" w:space="0" w:color="auto"/>
        <w:right w:val="none" w:sz="0" w:space="0" w:color="auto"/>
      </w:divBdr>
    </w:div>
    <w:div w:id="1928076756">
      <w:bodyDiv w:val="1"/>
      <w:marLeft w:val="0"/>
      <w:marRight w:val="0"/>
      <w:marTop w:val="0"/>
      <w:marBottom w:val="0"/>
      <w:divBdr>
        <w:top w:val="none" w:sz="0" w:space="0" w:color="auto"/>
        <w:left w:val="none" w:sz="0" w:space="0" w:color="auto"/>
        <w:bottom w:val="none" w:sz="0" w:space="0" w:color="auto"/>
        <w:right w:val="none" w:sz="0" w:space="0" w:color="auto"/>
      </w:divBdr>
    </w:div>
    <w:div w:id="1984653104">
      <w:bodyDiv w:val="1"/>
      <w:marLeft w:val="0"/>
      <w:marRight w:val="0"/>
      <w:marTop w:val="0"/>
      <w:marBottom w:val="0"/>
      <w:divBdr>
        <w:top w:val="none" w:sz="0" w:space="0" w:color="auto"/>
        <w:left w:val="none" w:sz="0" w:space="0" w:color="auto"/>
        <w:bottom w:val="none" w:sz="0" w:space="0" w:color="auto"/>
        <w:right w:val="none" w:sz="0" w:space="0" w:color="auto"/>
      </w:divBdr>
    </w:div>
    <w:div w:id="2049525317">
      <w:bodyDiv w:val="1"/>
      <w:marLeft w:val="0"/>
      <w:marRight w:val="0"/>
      <w:marTop w:val="0"/>
      <w:marBottom w:val="0"/>
      <w:divBdr>
        <w:top w:val="none" w:sz="0" w:space="0" w:color="auto"/>
        <w:left w:val="none" w:sz="0" w:space="0" w:color="auto"/>
        <w:bottom w:val="none" w:sz="0" w:space="0" w:color="auto"/>
        <w:right w:val="none" w:sz="0" w:space="0" w:color="auto"/>
      </w:divBdr>
    </w:div>
    <w:div w:id="2076388108">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122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58AD"/>
    <w:rsid w:val="00176E1C"/>
    <w:rsid w:val="00344186"/>
    <w:rsid w:val="00472F39"/>
    <w:rsid w:val="00523A63"/>
    <w:rsid w:val="00865FBF"/>
    <w:rsid w:val="0089777D"/>
    <w:rsid w:val="008B623B"/>
    <w:rsid w:val="008D39C9"/>
    <w:rsid w:val="009C1B4C"/>
    <w:rsid w:val="00AD4A2F"/>
    <w:rsid w:val="00B3767C"/>
    <w:rsid w:val="00B95D18"/>
    <w:rsid w:val="00C00671"/>
    <w:rsid w:val="00CB50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B503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FDC8-4B99-4EEF-B513-6BD07BD4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7</Pages>
  <Words>1628</Words>
  <Characters>12570</Characters>
  <Application>Microsoft Office Word</Application>
  <DocSecurity>0</DocSecurity>
  <Lines>322</Lines>
  <Paragraphs>80</Paragraphs>
  <ScaleCrop>false</ScaleCrop>
  <HeadingPairs>
    <vt:vector size="2" baseType="variant">
      <vt:variant>
        <vt:lpstr>Title</vt:lpstr>
      </vt:variant>
      <vt:variant>
        <vt:i4>1</vt:i4>
      </vt:variant>
    </vt:vector>
  </HeadingPairs>
  <TitlesOfParts>
    <vt:vector size="1" baseType="lpstr">
      <vt:lpstr>Likumprojekta “Par Nolīgumu, ar ko groza Nolīgumu par iemaksu pārskaitīšanu uz vienoto noregulējuma  fondu un to kopīgošanu” sākotnējās ietekmes novērtējuma ziņojums (anotācija)</vt:lpstr>
    </vt:vector>
  </TitlesOfParts>
  <Company>Finanšu ministrija</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Nolīgumu, ar ko groza Nolīgumu par iemaksu pārskaitīšanu uz vienoto noregulējuma  fondu un to kopīgošanu” sākotnējās ietekmes novērtējuma ziņojums (anotācija)</dc:title>
  <dc:subject>Anotācija</dc:subject>
  <dc:creator/>
  <dc:description>67095409, Martins.Trautmanis@fm.gov.lv</dc:description>
  <cp:lastModifiedBy>Anna Putāne</cp:lastModifiedBy>
  <cp:revision>175</cp:revision>
  <dcterms:created xsi:type="dcterms:W3CDTF">2020-10-07T06:53:00Z</dcterms:created>
  <dcterms:modified xsi:type="dcterms:W3CDTF">2021-01-20T08:16:00Z</dcterms:modified>
</cp:coreProperties>
</file>