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2DD43" w14:textId="77777777" w:rsidR="004F1910" w:rsidRDefault="004F1910" w:rsidP="009C2DAF">
      <w:pPr>
        <w:pStyle w:val="naislab"/>
        <w:spacing w:before="0" w:after="0"/>
        <w:ind w:firstLine="720"/>
      </w:pPr>
    </w:p>
    <w:p w14:paraId="7FA4CDD1" w14:textId="768E543F" w:rsidR="009C2DAF" w:rsidRPr="005A4D04" w:rsidRDefault="009C2DAF" w:rsidP="009C2DAF">
      <w:pPr>
        <w:pStyle w:val="naislab"/>
        <w:spacing w:before="0" w:after="0"/>
        <w:ind w:firstLine="720"/>
      </w:pPr>
      <w:r w:rsidRPr="005A4D04">
        <w:t>4.pielikums</w:t>
      </w:r>
    </w:p>
    <w:p w14:paraId="7078C522" w14:textId="77777777" w:rsidR="009C2DAF" w:rsidRPr="005A4D04" w:rsidRDefault="009C2DAF" w:rsidP="009C2DAF">
      <w:pPr>
        <w:pStyle w:val="naislab"/>
        <w:spacing w:before="0" w:after="0"/>
        <w:ind w:firstLine="720"/>
      </w:pPr>
      <w:r w:rsidRPr="005A4D04">
        <w:t>Ministru kabineta</w:t>
      </w:r>
    </w:p>
    <w:p w14:paraId="642F8D14" w14:textId="77777777" w:rsidR="009C2DAF" w:rsidRPr="005A4D04" w:rsidRDefault="009C2DAF" w:rsidP="009C2DAF">
      <w:pPr>
        <w:pStyle w:val="naislab"/>
        <w:spacing w:before="0" w:after="0"/>
        <w:ind w:firstLine="720"/>
      </w:pPr>
      <w:r w:rsidRPr="005A4D04">
        <w:t>2009.gada 7.aprīļa</w:t>
      </w:r>
    </w:p>
    <w:p w14:paraId="0F442F7B" w14:textId="77777777" w:rsidR="009C2DAF" w:rsidRPr="005A4D04" w:rsidRDefault="009C2DAF" w:rsidP="009C2DAF">
      <w:pPr>
        <w:pStyle w:val="naislab"/>
        <w:spacing w:before="0" w:after="0"/>
        <w:ind w:firstLine="720"/>
      </w:pPr>
      <w:r w:rsidRPr="005A4D04">
        <w:t>noteikumiem Nr.300</w:t>
      </w:r>
    </w:p>
    <w:p w14:paraId="45DE34C9" w14:textId="77777777" w:rsidR="009C2DAF" w:rsidRPr="00712B66" w:rsidRDefault="009C2DAF" w:rsidP="009C2DAF">
      <w:pPr>
        <w:pStyle w:val="naislab"/>
        <w:spacing w:before="0" w:after="0"/>
        <w:ind w:firstLine="720"/>
        <w:rPr>
          <w:sz w:val="28"/>
          <w:szCs w:val="28"/>
        </w:rPr>
      </w:pPr>
      <w:r w:rsidRPr="00712B66">
        <w:rPr>
          <w:sz w:val="28"/>
          <w:szCs w:val="28"/>
        </w:rPr>
        <w:t> </w:t>
      </w:r>
    </w:p>
    <w:p w14:paraId="0581D06F" w14:textId="77777777" w:rsidR="004F1910" w:rsidRDefault="004F1910" w:rsidP="009C2DAF">
      <w:pPr>
        <w:pStyle w:val="naisnod"/>
        <w:spacing w:before="0" w:after="0"/>
        <w:ind w:firstLine="720"/>
      </w:pPr>
    </w:p>
    <w:p w14:paraId="27A0B8F9" w14:textId="77777777" w:rsidR="004F1910" w:rsidRDefault="004F1910" w:rsidP="009C2DAF">
      <w:pPr>
        <w:pStyle w:val="naisnod"/>
        <w:spacing w:before="0" w:after="0"/>
        <w:ind w:firstLine="720"/>
      </w:pPr>
    </w:p>
    <w:p w14:paraId="2A0E3C00" w14:textId="77777777" w:rsidR="004F1910" w:rsidRDefault="004F1910" w:rsidP="009C2DAF">
      <w:pPr>
        <w:pStyle w:val="naisnod"/>
        <w:spacing w:before="0" w:after="0"/>
        <w:ind w:firstLine="720"/>
      </w:pPr>
    </w:p>
    <w:p w14:paraId="789BD836" w14:textId="40FFA29D" w:rsidR="009C2DAF" w:rsidRPr="00810B6F" w:rsidRDefault="009C2DAF" w:rsidP="009C2DAF">
      <w:pPr>
        <w:pStyle w:val="naisnod"/>
        <w:spacing w:before="0" w:after="0"/>
        <w:ind w:firstLine="720"/>
      </w:pPr>
      <w:r w:rsidRPr="00810B6F">
        <w:t>Izziņa par atzinumos sniegtajiem iebildumiem</w:t>
      </w:r>
    </w:p>
    <w:tbl>
      <w:tblPr>
        <w:tblW w:w="0" w:type="auto"/>
        <w:jc w:val="center"/>
        <w:tblLook w:val="00A0" w:firstRow="1" w:lastRow="0" w:firstColumn="1" w:lastColumn="0" w:noHBand="0" w:noVBand="0"/>
      </w:tblPr>
      <w:tblGrid>
        <w:gridCol w:w="12268"/>
      </w:tblGrid>
      <w:tr w:rsidR="009C2DAF" w:rsidRPr="00810B6F" w14:paraId="7959BC62" w14:textId="77777777" w:rsidTr="00557296">
        <w:trPr>
          <w:jc w:val="center"/>
        </w:trPr>
        <w:tc>
          <w:tcPr>
            <w:tcW w:w="12268" w:type="dxa"/>
            <w:tcBorders>
              <w:bottom w:val="single" w:sz="6" w:space="0" w:color="000000"/>
            </w:tcBorders>
          </w:tcPr>
          <w:p w14:paraId="001A7561" w14:textId="3D18B40A" w:rsidR="009009E1" w:rsidRPr="009009E1" w:rsidRDefault="00AB136B" w:rsidP="009009E1">
            <w:pPr>
              <w:shd w:val="clear" w:color="auto" w:fill="FFFFFF"/>
              <w:jc w:val="center"/>
              <w:rPr>
                <w:b/>
              </w:rPr>
            </w:pPr>
            <w:r>
              <w:rPr>
                <w:b/>
              </w:rPr>
              <w:t>Likum</w:t>
            </w:r>
            <w:r w:rsidR="009C2DAF">
              <w:rPr>
                <w:b/>
              </w:rPr>
              <w:t xml:space="preserve">projektam </w:t>
            </w:r>
            <w:r w:rsidR="009009E1" w:rsidRPr="00DC2ED8">
              <w:rPr>
                <w:b/>
                <w:sz w:val="22"/>
              </w:rPr>
              <w:t>“</w:t>
            </w:r>
            <w:r w:rsidRPr="00DC2ED8">
              <w:rPr>
                <w:b/>
                <w:sz w:val="22"/>
              </w:rPr>
              <w:t>Grozījumi</w:t>
            </w:r>
            <w:r w:rsidRPr="00DC2ED8">
              <w:rPr>
                <w:b/>
                <w:szCs w:val="26"/>
              </w:rPr>
              <w:t xml:space="preserve"> Kredītiestāžu un ieguldījumu brokeru sabiedrību darbības atjaunošanas un noregulējuma likumā</w:t>
            </w:r>
            <w:r w:rsidR="009009E1" w:rsidRPr="00DC2ED8">
              <w:rPr>
                <w:b/>
                <w:sz w:val="22"/>
              </w:rPr>
              <w:t>”</w:t>
            </w:r>
          </w:p>
          <w:p w14:paraId="0DC27D9E" w14:textId="1AD8895D" w:rsidR="009C2DAF" w:rsidRPr="00100123" w:rsidRDefault="009C2DAF" w:rsidP="009C2DAF">
            <w:pPr>
              <w:shd w:val="clear" w:color="auto" w:fill="FFFFFF"/>
              <w:jc w:val="center"/>
              <w:rPr>
                <w:b/>
                <w:bCs/>
              </w:rPr>
            </w:pPr>
          </w:p>
        </w:tc>
      </w:tr>
    </w:tbl>
    <w:p w14:paraId="029CFF54" w14:textId="77777777" w:rsidR="009C2DAF" w:rsidRPr="00712B66" w:rsidRDefault="009C2DAF" w:rsidP="006F121D">
      <w:pPr>
        <w:pStyle w:val="naisc"/>
        <w:spacing w:before="0" w:after="0"/>
      </w:pPr>
      <w:r w:rsidRPr="00712B66">
        <w:t>(dokumenta veids un nosaukums)</w:t>
      </w:r>
    </w:p>
    <w:p w14:paraId="5BFBF994" w14:textId="77777777" w:rsidR="009C2DAF" w:rsidRPr="00712B66" w:rsidRDefault="009C2DAF" w:rsidP="009C2DAF">
      <w:pPr>
        <w:pStyle w:val="naisf"/>
        <w:spacing w:before="0" w:after="0"/>
        <w:ind w:firstLine="0"/>
      </w:pPr>
    </w:p>
    <w:p w14:paraId="283FB631" w14:textId="77777777" w:rsidR="004F1910" w:rsidRDefault="004F1910" w:rsidP="009C2DAF">
      <w:pPr>
        <w:pStyle w:val="naisf"/>
        <w:spacing w:before="0" w:after="0"/>
        <w:ind w:firstLine="0"/>
        <w:rPr>
          <w:b/>
        </w:rPr>
      </w:pPr>
    </w:p>
    <w:p w14:paraId="2BE26F16" w14:textId="22EAE429" w:rsidR="009C2DAF" w:rsidRPr="00712B66" w:rsidRDefault="009C2DAF" w:rsidP="009C2DAF">
      <w:pPr>
        <w:pStyle w:val="naisf"/>
        <w:spacing w:before="0" w:after="0"/>
        <w:ind w:firstLine="0"/>
        <w:rPr>
          <w:b/>
        </w:rPr>
      </w:pPr>
      <w:r w:rsidRPr="00712B66">
        <w:rPr>
          <w:b/>
        </w:rPr>
        <w:t>Informācija par starpministriju (starpinstitūciju) sanāksmi vai elektronisko saskaņošanu</w:t>
      </w:r>
    </w:p>
    <w:p w14:paraId="28CC6FB1" w14:textId="77777777" w:rsidR="009C2DAF" w:rsidRPr="00712B66" w:rsidRDefault="009C2DAF" w:rsidP="009C2DAF">
      <w:pPr>
        <w:pStyle w:val="naisf"/>
        <w:spacing w:before="0" w:after="0"/>
        <w:ind w:firstLine="0"/>
        <w:rPr>
          <w:b/>
        </w:rPr>
      </w:pPr>
    </w:p>
    <w:tbl>
      <w:tblPr>
        <w:tblW w:w="12582" w:type="dxa"/>
        <w:tblLook w:val="00A0" w:firstRow="1" w:lastRow="0" w:firstColumn="1" w:lastColumn="0" w:noHBand="0" w:noVBand="0"/>
      </w:tblPr>
      <w:tblGrid>
        <w:gridCol w:w="6345"/>
        <w:gridCol w:w="363"/>
        <w:gridCol w:w="5874"/>
      </w:tblGrid>
      <w:tr w:rsidR="009C2DAF" w:rsidRPr="00712B66" w14:paraId="61C2C705" w14:textId="77777777" w:rsidTr="00557296">
        <w:tc>
          <w:tcPr>
            <w:tcW w:w="6345" w:type="dxa"/>
          </w:tcPr>
          <w:p w14:paraId="45E5A4D4" w14:textId="77777777" w:rsidR="009C2DAF" w:rsidRPr="00712B66" w:rsidRDefault="009C2DAF" w:rsidP="00557296">
            <w:pPr>
              <w:pStyle w:val="naisf"/>
              <w:spacing w:before="0" w:after="0"/>
              <w:ind w:firstLine="0"/>
            </w:pPr>
            <w:r w:rsidRPr="00712B66">
              <w:t>Datums</w:t>
            </w:r>
          </w:p>
        </w:tc>
        <w:tc>
          <w:tcPr>
            <w:tcW w:w="6237" w:type="dxa"/>
            <w:gridSpan w:val="2"/>
            <w:tcBorders>
              <w:bottom w:val="single" w:sz="4" w:space="0" w:color="auto"/>
            </w:tcBorders>
          </w:tcPr>
          <w:p w14:paraId="15F13674" w14:textId="0B495278" w:rsidR="009C2DAF" w:rsidRPr="00712B66" w:rsidRDefault="00AB136B" w:rsidP="00AB136B">
            <w:pPr>
              <w:pStyle w:val="NormalWeb"/>
              <w:spacing w:before="0" w:beforeAutospacing="0" w:after="0" w:afterAutospacing="0"/>
              <w:jc w:val="both"/>
            </w:pPr>
            <w:r>
              <w:rPr>
                <w:color w:val="000000" w:themeColor="text1"/>
              </w:rPr>
              <w:t>2020</w:t>
            </w:r>
            <w:r w:rsidR="009C2DAF" w:rsidRPr="00CE5808">
              <w:rPr>
                <w:color w:val="000000" w:themeColor="text1"/>
              </w:rPr>
              <w:t xml:space="preserve">.gada </w:t>
            </w:r>
            <w:r>
              <w:rPr>
                <w:color w:val="000000" w:themeColor="text1"/>
              </w:rPr>
              <w:t>5</w:t>
            </w:r>
            <w:r w:rsidR="009C2DAF" w:rsidRPr="00CE5808">
              <w:rPr>
                <w:color w:val="000000" w:themeColor="text1"/>
              </w:rPr>
              <w:t>.</w:t>
            </w:r>
            <w:r w:rsidR="002E045C">
              <w:rPr>
                <w:color w:val="000000" w:themeColor="text1"/>
              </w:rPr>
              <w:t>novembris</w:t>
            </w:r>
            <w:r w:rsidR="00A9339C">
              <w:rPr>
                <w:color w:val="000000" w:themeColor="text1"/>
              </w:rPr>
              <w:t xml:space="preserve"> </w:t>
            </w:r>
            <w:r w:rsidR="009C2DAF" w:rsidRPr="00CE5808">
              <w:rPr>
                <w:color w:val="000000" w:themeColor="text1"/>
              </w:rPr>
              <w:t>(elektroniskā saskaņošana pirms virzības saskaņošanai Ministru kabineta sēdē)</w:t>
            </w:r>
          </w:p>
        </w:tc>
      </w:tr>
      <w:tr w:rsidR="009C2DAF" w:rsidRPr="00712B66" w14:paraId="24BD5234" w14:textId="77777777" w:rsidTr="00557296">
        <w:tc>
          <w:tcPr>
            <w:tcW w:w="6345" w:type="dxa"/>
          </w:tcPr>
          <w:p w14:paraId="085A0494" w14:textId="77777777" w:rsidR="009C2DAF" w:rsidRPr="00712B66" w:rsidRDefault="009C2DAF" w:rsidP="00557296">
            <w:pPr>
              <w:pStyle w:val="naisf"/>
              <w:spacing w:before="0" w:after="0"/>
              <w:ind w:firstLine="0"/>
            </w:pPr>
          </w:p>
        </w:tc>
        <w:tc>
          <w:tcPr>
            <w:tcW w:w="6237" w:type="dxa"/>
            <w:gridSpan w:val="2"/>
            <w:tcBorders>
              <w:top w:val="single" w:sz="4" w:space="0" w:color="auto"/>
            </w:tcBorders>
          </w:tcPr>
          <w:p w14:paraId="006E5B9D" w14:textId="77777777" w:rsidR="009C2DAF" w:rsidRPr="00712B66" w:rsidRDefault="009C2DAF" w:rsidP="00557296">
            <w:pPr>
              <w:pStyle w:val="NormalWeb"/>
              <w:spacing w:before="0" w:beforeAutospacing="0" w:after="0" w:afterAutospacing="0"/>
            </w:pPr>
          </w:p>
        </w:tc>
      </w:tr>
      <w:tr w:rsidR="009C2DAF" w:rsidRPr="00712B66" w14:paraId="25362F9F" w14:textId="77777777" w:rsidTr="00557296">
        <w:tc>
          <w:tcPr>
            <w:tcW w:w="6345" w:type="dxa"/>
          </w:tcPr>
          <w:p w14:paraId="0E076944" w14:textId="092B2B53" w:rsidR="00BF3499" w:rsidRDefault="009C2DAF" w:rsidP="00557296">
            <w:pPr>
              <w:pStyle w:val="naiskr"/>
              <w:spacing w:before="0" w:after="0"/>
            </w:pPr>
            <w:r>
              <w:t>Saskaņošanas d</w:t>
            </w:r>
            <w:r w:rsidRPr="00712B66">
              <w:t>alībnieki</w:t>
            </w:r>
          </w:p>
          <w:p w14:paraId="53D67B6A" w14:textId="77777777" w:rsidR="00BF3499" w:rsidRPr="00BF3499" w:rsidRDefault="00BF3499" w:rsidP="00BF3499"/>
          <w:p w14:paraId="29CD6553" w14:textId="77777777" w:rsidR="00BF3499" w:rsidRPr="00BF3499" w:rsidRDefault="00BF3499" w:rsidP="00BF3499"/>
          <w:p w14:paraId="02B4EEFA" w14:textId="77777777" w:rsidR="00BF3499" w:rsidRPr="00BF3499" w:rsidRDefault="00BF3499" w:rsidP="00BF3499"/>
          <w:p w14:paraId="36D91830" w14:textId="77777777" w:rsidR="00BF3499" w:rsidRPr="00BF3499" w:rsidRDefault="00BF3499" w:rsidP="00BF3499"/>
          <w:p w14:paraId="26D4B301" w14:textId="77777777" w:rsidR="00BF3499" w:rsidRPr="00BF3499" w:rsidRDefault="00BF3499" w:rsidP="00BF3499"/>
          <w:p w14:paraId="6F0D7938" w14:textId="77777777" w:rsidR="00BF3499" w:rsidRPr="00BF3499" w:rsidRDefault="00BF3499" w:rsidP="00BF3499"/>
          <w:p w14:paraId="070A5FD1" w14:textId="77777777" w:rsidR="00BF3499" w:rsidRPr="00BF3499" w:rsidRDefault="00BF3499" w:rsidP="00BF3499"/>
          <w:p w14:paraId="15530FBF" w14:textId="77777777" w:rsidR="00BF3499" w:rsidRPr="00BF3499" w:rsidRDefault="00BF3499" w:rsidP="00BF3499"/>
          <w:p w14:paraId="5C44C55A" w14:textId="77777777" w:rsidR="00BF3499" w:rsidRPr="00BF3499" w:rsidRDefault="00BF3499" w:rsidP="00BF3499"/>
          <w:p w14:paraId="12951A07" w14:textId="77777777" w:rsidR="00BF3499" w:rsidRPr="00BF3499" w:rsidRDefault="00BF3499" w:rsidP="00BF3499"/>
          <w:p w14:paraId="5829CCD1" w14:textId="5552679F" w:rsidR="009C2DAF" w:rsidRPr="00BF3499" w:rsidRDefault="009C2DAF" w:rsidP="006B6081">
            <w:bookmarkStart w:id="0" w:name="_GoBack"/>
            <w:bookmarkEnd w:id="0"/>
          </w:p>
        </w:tc>
        <w:tc>
          <w:tcPr>
            <w:tcW w:w="6237" w:type="dxa"/>
            <w:gridSpan w:val="2"/>
          </w:tcPr>
          <w:p w14:paraId="216B1CA2" w14:textId="02EEBF8C" w:rsidR="009C2DAF" w:rsidRPr="00712B66" w:rsidRDefault="009C2DAF" w:rsidP="00371D00">
            <w:pPr>
              <w:jc w:val="both"/>
            </w:pPr>
            <w:r w:rsidRPr="007D6B81">
              <w:rPr>
                <w:bCs/>
              </w:rPr>
              <w:t>Tieslietu ministrija, Latvi</w:t>
            </w:r>
            <w:r w:rsidR="00AB136B">
              <w:rPr>
                <w:bCs/>
              </w:rPr>
              <w:t>jas Finanšu nozares asociācija.</w:t>
            </w:r>
          </w:p>
        </w:tc>
      </w:tr>
      <w:tr w:rsidR="009C2DAF" w:rsidRPr="00712B66" w14:paraId="05136AA8" w14:textId="77777777" w:rsidTr="00557296">
        <w:trPr>
          <w:trHeight w:val="465"/>
        </w:trPr>
        <w:tc>
          <w:tcPr>
            <w:tcW w:w="12582" w:type="dxa"/>
            <w:gridSpan w:val="3"/>
          </w:tcPr>
          <w:p w14:paraId="44F4F979" w14:textId="77777777" w:rsidR="009C2DAF" w:rsidRPr="00712B66" w:rsidRDefault="009C2DAF" w:rsidP="0011096C">
            <w:pPr>
              <w:spacing w:after="160" w:line="259" w:lineRule="auto"/>
            </w:pPr>
          </w:p>
        </w:tc>
      </w:tr>
      <w:tr w:rsidR="009C2DAF" w:rsidRPr="005F657B" w14:paraId="19601EF6" w14:textId="77777777" w:rsidTr="00557296">
        <w:tc>
          <w:tcPr>
            <w:tcW w:w="6708" w:type="dxa"/>
            <w:gridSpan w:val="2"/>
          </w:tcPr>
          <w:p w14:paraId="54EF5E63" w14:textId="698994B1" w:rsidR="009C2DAF" w:rsidRPr="005F657B" w:rsidRDefault="009C2DAF" w:rsidP="00557296">
            <w:pPr>
              <w:pStyle w:val="naiskr"/>
              <w:spacing w:before="0" w:after="0"/>
            </w:pPr>
            <w:r w:rsidRPr="005F657B">
              <w:t>Ministrijas (citas institūcijas), kuras nav ieradušās uz sanāksmi vai kuras nav atbildējušas uz uzaicinājumu piedalīties elektroniskajā saskaņošanā</w:t>
            </w:r>
          </w:p>
        </w:tc>
        <w:tc>
          <w:tcPr>
            <w:tcW w:w="5874" w:type="dxa"/>
          </w:tcPr>
          <w:p w14:paraId="7E04CE02" w14:textId="77777777" w:rsidR="009C2DAF" w:rsidRPr="005F657B" w:rsidRDefault="009C2DAF" w:rsidP="00557296">
            <w:pPr>
              <w:pStyle w:val="naiskr"/>
              <w:spacing w:before="0" w:after="0"/>
              <w:jc w:val="center"/>
            </w:pPr>
            <w:r w:rsidRPr="005F657B">
              <w:t>-</w:t>
            </w:r>
          </w:p>
        </w:tc>
      </w:tr>
    </w:tbl>
    <w:p w14:paraId="17907D24" w14:textId="77777777" w:rsidR="009C2DAF" w:rsidRPr="00712B66" w:rsidRDefault="009C2DAF" w:rsidP="009C2DAF">
      <w:pPr>
        <w:pStyle w:val="naisf"/>
        <w:spacing w:before="0" w:after="0"/>
        <w:ind w:firstLine="0"/>
      </w:pPr>
    </w:p>
    <w:p w14:paraId="739D1A4B" w14:textId="77777777" w:rsidR="004F1910" w:rsidRDefault="004F1910" w:rsidP="009C2DAF">
      <w:pPr>
        <w:pStyle w:val="naisf"/>
        <w:spacing w:before="0" w:after="0"/>
        <w:ind w:firstLine="0"/>
        <w:jc w:val="center"/>
        <w:rPr>
          <w:b/>
        </w:rPr>
      </w:pPr>
    </w:p>
    <w:p w14:paraId="1D1D8348" w14:textId="08926799" w:rsidR="009C2DAF" w:rsidRDefault="009C2DAF" w:rsidP="009C2DAF">
      <w:pPr>
        <w:pStyle w:val="naisf"/>
        <w:spacing w:before="0" w:after="0"/>
        <w:ind w:firstLine="0"/>
        <w:jc w:val="center"/>
        <w:rPr>
          <w:b/>
        </w:rPr>
      </w:pPr>
      <w:r w:rsidRPr="00712B66">
        <w:rPr>
          <w:b/>
        </w:rPr>
        <w:t>II. Jautājumi, par kuriem saskaņošanā vienošan</w:t>
      </w:r>
      <w:r>
        <w:rPr>
          <w:b/>
        </w:rPr>
        <w:t>ā</w:t>
      </w:r>
      <w:r w:rsidRPr="00712B66">
        <w:rPr>
          <w:b/>
        </w:rPr>
        <w:t>s ir panākta</w:t>
      </w:r>
    </w:p>
    <w:p w14:paraId="35B23A15" w14:textId="148C1B98" w:rsidR="005F657B" w:rsidRDefault="005F657B" w:rsidP="009C2DAF">
      <w:pPr>
        <w:pStyle w:val="naisf"/>
        <w:spacing w:before="0" w:after="0"/>
        <w:ind w:firstLine="0"/>
        <w:jc w:val="center"/>
        <w:rPr>
          <w:b/>
        </w:rPr>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0"/>
        <w:gridCol w:w="2551"/>
        <w:gridCol w:w="4111"/>
        <w:gridCol w:w="2067"/>
        <w:gridCol w:w="1592"/>
        <w:gridCol w:w="3428"/>
      </w:tblGrid>
      <w:tr w:rsidR="005F657B" w:rsidRPr="00104C26" w14:paraId="661D9845" w14:textId="77777777" w:rsidTr="00171644">
        <w:tc>
          <w:tcPr>
            <w:tcW w:w="560" w:type="dxa"/>
            <w:tcBorders>
              <w:top w:val="single" w:sz="6" w:space="0" w:color="000000"/>
              <w:left w:val="single" w:sz="6" w:space="0" w:color="000000"/>
              <w:bottom w:val="single" w:sz="6" w:space="0" w:color="000000"/>
              <w:right w:val="single" w:sz="6" w:space="0" w:color="000000"/>
            </w:tcBorders>
            <w:vAlign w:val="center"/>
          </w:tcPr>
          <w:p w14:paraId="1D4B4DEE" w14:textId="77777777" w:rsidR="005F657B" w:rsidRPr="00104C26" w:rsidRDefault="005F657B" w:rsidP="00D31DE2">
            <w:pPr>
              <w:pStyle w:val="naisc"/>
              <w:spacing w:before="0" w:after="0"/>
              <w:rPr>
                <w:sz w:val="20"/>
                <w:szCs w:val="20"/>
              </w:rPr>
            </w:pPr>
            <w:r w:rsidRPr="00104C26">
              <w:rPr>
                <w:sz w:val="20"/>
                <w:szCs w:val="20"/>
              </w:rPr>
              <w:t>Nr. p.k.</w:t>
            </w:r>
          </w:p>
        </w:tc>
        <w:tc>
          <w:tcPr>
            <w:tcW w:w="2551" w:type="dxa"/>
            <w:tcBorders>
              <w:top w:val="single" w:sz="6" w:space="0" w:color="000000"/>
              <w:left w:val="single" w:sz="6" w:space="0" w:color="000000"/>
              <w:bottom w:val="single" w:sz="6" w:space="0" w:color="000000"/>
              <w:right w:val="single" w:sz="6" w:space="0" w:color="000000"/>
            </w:tcBorders>
            <w:vAlign w:val="center"/>
          </w:tcPr>
          <w:p w14:paraId="6CF95ECD" w14:textId="77777777" w:rsidR="005F657B" w:rsidRPr="00104C26" w:rsidRDefault="005F657B" w:rsidP="00D31DE2">
            <w:pPr>
              <w:pStyle w:val="naisc"/>
              <w:spacing w:before="0" w:after="0"/>
              <w:ind w:firstLine="12"/>
              <w:rPr>
                <w:sz w:val="20"/>
                <w:szCs w:val="20"/>
              </w:rPr>
            </w:pPr>
            <w:r w:rsidRPr="00104C26">
              <w:rPr>
                <w:sz w:val="20"/>
                <w:szCs w:val="20"/>
              </w:rPr>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14:paraId="35B6D948" w14:textId="77777777" w:rsidR="005F657B" w:rsidRPr="00104C26" w:rsidRDefault="005F657B" w:rsidP="00D31DE2">
            <w:pPr>
              <w:pStyle w:val="naisc"/>
              <w:spacing w:before="0" w:after="0"/>
              <w:ind w:right="3"/>
              <w:rPr>
                <w:sz w:val="20"/>
                <w:szCs w:val="20"/>
              </w:rPr>
            </w:pPr>
            <w:r w:rsidRPr="00104C26">
              <w:rPr>
                <w:sz w:val="20"/>
                <w:szCs w:val="20"/>
              </w:rPr>
              <w:t>Atzinumā norādītais ministrijas (citas institūcijas) iebildums, kā arī saskaņošanā papildus izteiktais iebildums par projekta konkrēto punktu (pantu)</w:t>
            </w:r>
          </w:p>
        </w:tc>
        <w:tc>
          <w:tcPr>
            <w:tcW w:w="3659" w:type="dxa"/>
            <w:gridSpan w:val="2"/>
            <w:tcBorders>
              <w:top w:val="single" w:sz="6" w:space="0" w:color="000000"/>
              <w:left w:val="single" w:sz="6" w:space="0" w:color="000000"/>
              <w:bottom w:val="single" w:sz="6" w:space="0" w:color="000000"/>
              <w:right w:val="single" w:sz="6" w:space="0" w:color="000000"/>
            </w:tcBorders>
            <w:vAlign w:val="center"/>
          </w:tcPr>
          <w:p w14:paraId="42BA6DE8" w14:textId="77777777" w:rsidR="005F657B" w:rsidRPr="00104C26" w:rsidRDefault="005F657B" w:rsidP="00D31DE2">
            <w:pPr>
              <w:pStyle w:val="naisc"/>
              <w:spacing w:before="0" w:after="0"/>
              <w:ind w:firstLine="21"/>
              <w:rPr>
                <w:sz w:val="20"/>
                <w:szCs w:val="20"/>
              </w:rPr>
            </w:pPr>
            <w:r w:rsidRPr="00104C26">
              <w:rPr>
                <w:sz w:val="20"/>
                <w:szCs w:val="20"/>
              </w:rPr>
              <w:t>Atbildīgās ministrijas norāde par to, ka iebildums ir ņemts vērā, vai informācija par saskaņošanā panākto alternatīvo risinājumu</w:t>
            </w:r>
          </w:p>
        </w:tc>
        <w:tc>
          <w:tcPr>
            <w:tcW w:w="3428" w:type="dxa"/>
            <w:tcBorders>
              <w:top w:val="single" w:sz="4" w:space="0" w:color="auto"/>
              <w:left w:val="single" w:sz="4" w:space="0" w:color="auto"/>
              <w:bottom w:val="single" w:sz="4" w:space="0" w:color="auto"/>
            </w:tcBorders>
            <w:vAlign w:val="center"/>
          </w:tcPr>
          <w:p w14:paraId="05173374" w14:textId="77777777" w:rsidR="005F657B" w:rsidRPr="00104C26" w:rsidRDefault="005F657B" w:rsidP="00D31DE2">
            <w:pPr>
              <w:jc w:val="center"/>
              <w:rPr>
                <w:sz w:val="20"/>
                <w:szCs w:val="20"/>
              </w:rPr>
            </w:pPr>
            <w:r w:rsidRPr="00104C26">
              <w:rPr>
                <w:sz w:val="20"/>
                <w:szCs w:val="20"/>
              </w:rPr>
              <w:t>Projekta attiecīgā punkta (panta) galīgā redakcija</w:t>
            </w:r>
          </w:p>
        </w:tc>
      </w:tr>
      <w:tr w:rsidR="005F657B" w:rsidRPr="00104C26" w14:paraId="175A2AB8" w14:textId="77777777" w:rsidTr="00171644">
        <w:tc>
          <w:tcPr>
            <w:tcW w:w="560" w:type="dxa"/>
            <w:tcBorders>
              <w:top w:val="single" w:sz="6" w:space="0" w:color="000000"/>
              <w:left w:val="single" w:sz="6" w:space="0" w:color="000000"/>
              <w:bottom w:val="single" w:sz="6" w:space="0" w:color="000000"/>
              <w:right w:val="single" w:sz="6" w:space="0" w:color="000000"/>
            </w:tcBorders>
          </w:tcPr>
          <w:p w14:paraId="18677293" w14:textId="77777777" w:rsidR="005F657B" w:rsidRPr="00104C26" w:rsidRDefault="005F657B" w:rsidP="00D31DE2">
            <w:pPr>
              <w:pStyle w:val="naisc"/>
              <w:spacing w:before="0" w:after="0"/>
              <w:rPr>
                <w:sz w:val="20"/>
                <w:szCs w:val="20"/>
              </w:rPr>
            </w:pPr>
            <w:r w:rsidRPr="00104C26">
              <w:rPr>
                <w:sz w:val="20"/>
                <w:szCs w:val="20"/>
              </w:rPr>
              <w:t>1</w:t>
            </w:r>
          </w:p>
        </w:tc>
        <w:tc>
          <w:tcPr>
            <w:tcW w:w="2551" w:type="dxa"/>
            <w:tcBorders>
              <w:top w:val="single" w:sz="6" w:space="0" w:color="000000"/>
              <w:left w:val="single" w:sz="6" w:space="0" w:color="000000"/>
              <w:bottom w:val="single" w:sz="6" w:space="0" w:color="000000"/>
              <w:right w:val="single" w:sz="6" w:space="0" w:color="000000"/>
            </w:tcBorders>
          </w:tcPr>
          <w:p w14:paraId="53A32D45" w14:textId="77777777" w:rsidR="005F657B" w:rsidRPr="00104C26" w:rsidRDefault="005F657B" w:rsidP="00D31DE2">
            <w:pPr>
              <w:pStyle w:val="naisc"/>
              <w:spacing w:before="0" w:after="0"/>
              <w:ind w:firstLine="720"/>
              <w:rPr>
                <w:sz w:val="20"/>
                <w:szCs w:val="20"/>
              </w:rPr>
            </w:pPr>
            <w:r w:rsidRPr="00104C26">
              <w:rPr>
                <w:sz w:val="20"/>
                <w:szCs w:val="20"/>
              </w:rPr>
              <w:t>2</w:t>
            </w:r>
          </w:p>
        </w:tc>
        <w:tc>
          <w:tcPr>
            <w:tcW w:w="4111" w:type="dxa"/>
            <w:tcBorders>
              <w:top w:val="single" w:sz="6" w:space="0" w:color="000000"/>
              <w:left w:val="single" w:sz="6" w:space="0" w:color="000000"/>
              <w:bottom w:val="single" w:sz="6" w:space="0" w:color="000000"/>
              <w:right w:val="single" w:sz="6" w:space="0" w:color="000000"/>
            </w:tcBorders>
          </w:tcPr>
          <w:p w14:paraId="360C8EED" w14:textId="77777777" w:rsidR="005F657B" w:rsidRPr="00104C26" w:rsidRDefault="005F657B" w:rsidP="00D31DE2">
            <w:pPr>
              <w:pStyle w:val="naisc"/>
              <w:spacing w:before="0" w:after="0"/>
              <w:ind w:firstLine="720"/>
              <w:rPr>
                <w:sz w:val="20"/>
                <w:szCs w:val="20"/>
              </w:rPr>
            </w:pPr>
            <w:r w:rsidRPr="00104C26">
              <w:rPr>
                <w:sz w:val="20"/>
                <w:szCs w:val="20"/>
              </w:rPr>
              <w:t>3</w:t>
            </w:r>
          </w:p>
        </w:tc>
        <w:tc>
          <w:tcPr>
            <w:tcW w:w="3659" w:type="dxa"/>
            <w:gridSpan w:val="2"/>
            <w:tcBorders>
              <w:top w:val="single" w:sz="6" w:space="0" w:color="000000"/>
              <w:left w:val="single" w:sz="6" w:space="0" w:color="000000"/>
              <w:bottom w:val="single" w:sz="6" w:space="0" w:color="000000"/>
              <w:right w:val="single" w:sz="6" w:space="0" w:color="000000"/>
            </w:tcBorders>
          </w:tcPr>
          <w:p w14:paraId="1AD3F24A" w14:textId="77777777" w:rsidR="005F657B" w:rsidRPr="00104C26" w:rsidRDefault="005F657B" w:rsidP="00D31DE2">
            <w:pPr>
              <w:pStyle w:val="naisc"/>
              <w:spacing w:before="0" w:after="0"/>
              <w:ind w:firstLine="720"/>
              <w:rPr>
                <w:sz w:val="20"/>
                <w:szCs w:val="20"/>
              </w:rPr>
            </w:pPr>
            <w:r w:rsidRPr="00104C26">
              <w:rPr>
                <w:sz w:val="20"/>
                <w:szCs w:val="20"/>
              </w:rPr>
              <w:t>4</w:t>
            </w:r>
          </w:p>
        </w:tc>
        <w:tc>
          <w:tcPr>
            <w:tcW w:w="3428" w:type="dxa"/>
            <w:tcBorders>
              <w:top w:val="single" w:sz="4" w:space="0" w:color="auto"/>
              <w:left w:val="single" w:sz="4" w:space="0" w:color="auto"/>
              <w:bottom w:val="single" w:sz="4" w:space="0" w:color="auto"/>
            </w:tcBorders>
          </w:tcPr>
          <w:p w14:paraId="5002D2B4" w14:textId="77777777" w:rsidR="005F657B" w:rsidRPr="00104C26" w:rsidRDefault="005F657B" w:rsidP="00D31DE2">
            <w:pPr>
              <w:jc w:val="center"/>
              <w:rPr>
                <w:sz w:val="20"/>
                <w:szCs w:val="20"/>
              </w:rPr>
            </w:pPr>
            <w:r w:rsidRPr="00104C26">
              <w:rPr>
                <w:sz w:val="20"/>
                <w:szCs w:val="20"/>
              </w:rPr>
              <w:t>5</w:t>
            </w:r>
          </w:p>
        </w:tc>
      </w:tr>
      <w:tr w:rsidR="005F657B" w:rsidRPr="00F83FE0" w14:paraId="47AE0851" w14:textId="77777777" w:rsidTr="00171644">
        <w:tc>
          <w:tcPr>
            <w:tcW w:w="560" w:type="dxa"/>
            <w:tcBorders>
              <w:top w:val="single" w:sz="6" w:space="0" w:color="000000"/>
              <w:left w:val="single" w:sz="6" w:space="0" w:color="000000"/>
              <w:bottom w:val="single" w:sz="6" w:space="0" w:color="000000"/>
              <w:right w:val="single" w:sz="6" w:space="0" w:color="000000"/>
            </w:tcBorders>
          </w:tcPr>
          <w:p w14:paraId="79259AD3" w14:textId="77777777" w:rsidR="005F657B" w:rsidRDefault="005F657B" w:rsidP="005F657B">
            <w:pPr>
              <w:pStyle w:val="naisc"/>
              <w:spacing w:before="0" w:after="0"/>
              <w:rPr>
                <w:sz w:val="20"/>
                <w:szCs w:val="20"/>
              </w:rPr>
            </w:pPr>
            <w:r>
              <w:rPr>
                <w:sz w:val="20"/>
                <w:szCs w:val="20"/>
              </w:rPr>
              <w:t>1.</w:t>
            </w:r>
          </w:p>
        </w:tc>
        <w:tc>
          <w:tcPr>
            <w:tcW w:w="2551" w:type="dxa"/>
            <w:tcBorders>
              <w:top w:val="single" w:sz="6" w:space="0" w:color="000000"/>
              <w:left w:val="single" w:sz="6" w:space="0" w:color="000000"/>
              <w:bottom w:val="single" w:sz="6" w:space="0" w:color="000000"/>
              <w:right w:val="single" w:sz="6" w:space="0" w:color="000000"/>
            </w:tcBorders>
          </w:tcPr>
          <w:p w14:paraId="718035C5" w14:textId="3B9E6904" w:rsidR="005F657B" w:rsidRPr="00141121" w:rsidRDefault="00BC5089" w:rsidP="00894D8B">
            <w:pPr>
              <w:spacing w:before="120"/>
              <w:jc w:val="both"/>
              <w:rPr>
                <w:b/>
                <w:sz w:val="20"/>
                <w:szCs w:val="20"/>
              </w:rPr>
            </w:pPr>
            <w:r>
              <w:rPr>
                <w:sz w:val="20"/>
              </w:rPr>
              <w:t>Visā likumprojektā un anotācijā izmantots jēdziens „parastā maksātnespējas procedūra”.</w:t>
            </w:r>
          </w:p>
        </w:tc>
        <w:tc>
          <w:tcPr>
            <w:tcW w:w="4111" w:type="dxa"/>
            <w:tcBorders>
              <w:top w:val="single" w:sz="6" w:space="0" w:color="000000"/>
              <w:left w:val="single" w:sz="6" w:space="0" w:color="000000"/>
              <w:bottom w:val="single" w:sz="6" w:space="0" w:color="000000"/>
              <w:right w:val="single" w:sz="6" w:space="0" w:color="000000"/>
            </w:tcBorders>
          </w:tcPr>
          <w:p w14:paraId="5E9BC51E" w14:textId="77777777" w:rsidR="005F657B" w:rsidRPr="00AB136B" w:rsidRDefault="005F657B" w:rsidP="005F657B">
            <w:pPr>
              <w:jc w:val="center"/>
              <w:rPr>
                <w:b/>
                <w:sz w:val="20"/>
              </w:rPr>
            </w:pPr>
            <w:r w:rsidRPr="00AB136B">
              <w:rPr>
                <w:b/>
                <w:sz w:val="20"/>
              </w:rPr>
              <w:t>Tieslietu ministrija</w:t>
            </w:r>
          </w:p>
          <w:p w14:paraId="18E60829" w14:textId="77777777" w:rsidR="005F657B" w:rsidRDefault="005F657B" w:rsidP="005F657B">
            <w:pPr>
              <w:jc w:val="both"/>
              <w:rPr>
                <w:sz w:val="20"/>
              </w:rPr>
            </w:pPr>
          </w:p>
          <w:p w14:paraId="35B981AD" w14:textId="77777777" w:rsidR="00AB136B" w:rsidRPr="00AB136B" w:rsidRDefault="00AB136B" w:rsidP="00AB136B">
            <w:pPr>
              <w:jc w:val="both"/>
              <w:rPr>
                <w:sz w:val="20"/>
              </w:rPr>
            </w:pPr>
            <w:r w:rsidRPr="00AB136B">
              <w:rPr>
                <w:sz w:val="20"/>
              </w:rPr>
              <w:t>Visā likumprojektā (piemēram, likumprojekta 20. pantā ietvertā Kredītiestāžu un ieguldījumu brokeru sabiedrību darbības atjaunošanas un noregulējuma likuma 40.</w:t>
            </w:r>
            <w:r w:rsidRPr="00AB136B">
              <w:rPr>
                <w:sz w:val="20"/>
                <w:vertAlign w:val="superscript"/>
              </w:rPr>
              <w:t>1</w:t>
            </w:r>
            <w:r w:rsidRPr="00AB136B">
              <w:rPr>
                <w:sz w:val="20"/>
              </w:rPr>
              <w:t xml:space="preserve"> panta 11. daļā) un tā anotācijas I sadaļas 2. punktā vairākkārtīgi lietots jēdziens “parastā maksātnespējas procedūra”. Ir skaidrs, ka minētais jēdziens izriet no Eiropas Parlamenta un Padomes 2014. gada 15. maija Direktīvas 2014/59/ES, ar ko izveido kredītiestāžu un ieguldījumu brokeru sabiedrību atveseļošanas un noregulējuma režīmu un groza Padomes Direktīvu 82/891/EEK un Eiropas Parlamenta un Padomes Direktīvas 2001/24/EK, 2002/47/EK, 2004/25/EK, 2005/56/EK, 2007/36/EK, 2011/35/ES, 2012/30/ES un 2013/36/ES, un Eiropas Parlamenta un Padomes Regulas (ES) Nr. 1093/2010 un (ES) Nr. 648/2012 un tas arī netiek precizēts vai kā citādi īpaši izcelts ar Eiropas Parlamenta un Padomes 2019. gada 20. maija Direktīvu (ES) 2019/879, ar ko groza Direktīvu 2014/59/ES attiecībā uz zaudējumu absorbcijas un rekapitalizācijas spēju </w:t>
            </w:r>
            <w:r w:rsidRPr="00AB136B">
              <w:rPr>
                <w:sz w:val="20"/>
              </w:rPr>
              <w:lastRenderedPageBreak/>
              <w:t>kredītiestādēm un ieguldījumu brokeru sabiedrībām un Direktīvu 98/26/ES.</w:t>
            </w:r>
          </w:p>
          <w:p w14:paraId="4BD3D4D3" w14:textId="2E520E58" w:rsidR="005F657B" w:rsidRPr="00AB136B" w:rsidRDefault="00AB136B" w:rsidP="00DC2ED8">
            <w:pPr>
              <w:jc w:val="both"/>
              <w:rPr>
                <w:sz w:val="20"/>
              </w:rPr>
            </w:pPr>
            <w:r w:rsidRPr="00AB136B">
              <w:rPr>
                <w:sz w:val="20"/>
              </w:rPr>
              <w:t xml:space="preserve">Taču norādāms, ka, tāpat kā pirmās minētās direktīvas ieviešanas laikā, arī šobrīd Latvijas nacionālajos normatīvajos aktos nav atrodama jēdziena “parastā maksātnespējas procedūra” definīcija vai skaidrojums. Tādējādi, lai nodrošinātu vienveidīgu un skaidru izpratni par minētā jēdziena saturu, kā arī likumprojekta saskaņotību ar citiem nacionālajiem normatīvajiem aktiem, lūdzam visā likumprojektā un tā anotācijā precizēt jēdzienu “parastā maksātnespējas procedūra” vai arī papildināt likumprojektu un tā anotāciju ar tā definīciju. </w:t>
            </w:r>
          </w:p>
        </w:tc>
        <w:tc>
          <w:tcPr>
            <w:tcW w:w="3659" w:type="dxa"/>
            <w:gridSpan w:val="2"/>
            <w:tcBorders>
              <w:top w:val="single" w:sz="6" w:space="0" w:color="000000"/>
              <w:left w:val="single" w:sz="6" w:space="0" w:color="000000"/>
              <w:bottom w:val="single" w:sz="6" w:space="0" w:color="000000"/>
              <w:right w:val="single" w:sz="6" w:space="0" w:color="000000"/>
            </w:tcBorders>
          </w:tcPr>
          <w:p w14:paraId="18988AE1" w14:textId="77777777" w:rsidR="005F657B" w:rsidRDefault="005F657B" w:rsidP="005F657B">
            <w:pPr>
              <w:jc w:val="center"/>
              <w:rPr>
                <w:b/>
                <w:sz w:val="20"/>
              </w:rPr>
            </w:pPr>
            <w:r w:rsidRPr="007828A2">
              <w:rPr>
                <w:b/>
                <w:sz w:val="20"/>
              </w:rPr>
              <w:lastRenderedPageBreak/>
              <w:t>Iebildums ņemts vērā</w:t>
            </w:r>
          </w:p>
          <w:p w14:paraId="2F14A69E" w14:textId="77777777" w:rsidR="005F657B" w:rsidRDefault="005F657B" w:rsidP="005F657B">
            <w:pPr>
              <w:pStyle w:val="Default"/>
              <w:rPr>
                <w:rFonts w:eastAsia="Times New Roman"/>
                <w:color w:val="auto"/>
                <w:sz w:val="20"/>
                <w:lang w:eastAsia="lv-LV"/>
              </w:rPr>
            </w:pPr>
          </w:p>
          <w:p w14:paraId="3180A357" w14:textId="77777777" w:rsidR="009478C2" w:rsidRDefault="009478C2" w:rsidP="005F657B">
            <w:pPr>
              <w:pStyle w:val="Default"/>
              <w:jc w:val="both"/>
              <w:rPr>
                <w:rFonts w:eastAsia="Times New Roman"/>
                <w:color w:val="auto"/>
                <w:sz w:val="20"/>
                <w:lang w:eastAsia="lv-LV"/>
              </w:rPr>
            </w:pPr>
          </w:p>
          <w:p w14:paraId="0649EBC5" w14:textId="56424F37" w:rsidR="005F657B" w:rsidRPr="006B0A14" w:rsidRDefault="005F657B" w:rsidP="005F657B">
            <w:pPr>
              <w:jc w:val="both"/>
              <w:rPr>
                <w:sz w:val="20"/>
              </w:rPr>
            </w:pPr>
            <w:r>
              <w:rPr>
                <w:sz w:val="20"/>
              </w:rPr>
              <w:t xml:space="preserve"> </w:t>
            </w:r>
          </w:p>
        </w:tc>
        <w:tc>
          <w:tcPr>
            <w:tcW w:w="3428" w:type="dxa"/>
            <w:tcBorders>
              <w:top w:val="single" w:sz="4" w:space="0" w:color="auto"/>
              <w:left w:val="single" w:sz="4" w:space="0" w:color="auto"/>
              <w:bottom w:val="single" w:sz="4" w:space="0" w:color="auto"/>
            </w:tcBorders>
          </w:tcPr>
          <w:p w14:paraId="69D5BC84" w14:textId="7CCF0D3A" w:rsidR="005F657B" w:rsidRPr="00F83FE0" w:rsidRDefault="00AB136B" w:rsidP="00894D8B">
            <w:pPr>
              <w:pStyle w:val="NoSpacing"/>
              <w:spacing w:before="120"/>
              <w:jc w:val="both"/>
              <w:rPr>
                <w:rFonts w:ascii="Times New Roman" w:eastAsia="Times New Roman" w:hAnsi="Times New Roman"/>
                <w:sz w:val="20"/>
                <w:szCs w:val="24"/>
                <w:lang w:eastAsia="lv-LV"/>
              </w:rPr>
            </w:pPr>
            <w:r>
              <w:rPr>
                <w:rFonts w:ascii="Times New Roman" w:eastAsia="Times New Roman" w:hAnsi="Times New Roman"/>
                <w:sz w:val="20"/>
                <w:szCs w:val="24"/>
                <w:lang w:eastAsia="lv-LV"/>
              </w:rPr>
              <w:t>Visā likumprojektā un anotācijā jēdziens „parastā maksātnespējas procedūra” aizstāts ar jēdzienu „maksātnespējas process”.</w:t>
            </w:r>
          </w:p>
        </w:tc>
      </w:tr>
      <w:tr w:rsidR="00A16723" w14:paraId="7B3E8387" w14:textId="77777777" w:rsidTr="00171644">
        <w:tc>
          <w:tcPr>
            <w:tcW w:w="560" w:type="dxa"/>
            <w:tcBorders>
              <w:top w:val="single" w:sz="6" w:space="0" w:color="000000"/>
              <w:left w:val="single" w:sz="6" w:space="0" w:color="000000"/>
              <w:bottom w:val="single" w:sz="6" w:space="0" w:color="000000"/>
              <w:right w:val="single" w:sz="6" w:space="0" w:color="000000"/>
            </w:tcBorders>
          </w:tcPr>
          <w:p w14:paraId="7A81E8A2" w14:textId="77777777" w:rsidR="00A16723" w:rsidRDefault="00A16723" w:rsidP="00A16723">
            <w:pPr>
              <w:pStyle w:val="naisc"/>
              <w:spacing w:before="0" w:after="0"/>
              <w:rPr>
                <w:sz w:val="20"/>
                <w:szCs w:val="20"/>
              </w:rPr>
            </w:pPr>
            <w:r>
              <w:rPr>
                <w:sz w:val="20"/>
                <w:szCs w:val="20"/>
              </w:rPr>
              <w:t>2.</w:t>
            </w:r>
          </w:p>
        </w:tc>
        <w:tc>
          <w:tcPr>
            <w:tcW w:w="2551" w:type="dxa"/>
            <w:tcBorders>
              <w:top w:val="single" w:sz="6" w:space="0" w:color="000000"/>
              <w:left w:val="single" w:sz="6" w:space="0" w:color="000000"/>
              <w:bottom w:val="single" w:sz="6" w:space="0" w:color="000000"/>
              <w:right w:val="single" w:sz="6" w:space="0" w:color="000000"/>
            </w:tcBorders>
          </w:tcPr>
          <w:p w14:paraId="25078526" w14:textId="4D7BBC35" w:rsidR="00BC5089" w:rsidRDefault="00BC5089" w:rsidP="00BC5089">
            <w:pPr>
              <w:spacing w:before="120"/>
              <w:jc w:val="both"/>
              <w:rPr>
                <w:sz w:val="20"/>
                <w:szCs w:val="26"/>
              </w:rPr>
            </w:pPr>
            <w:r>
              <w:rPr>
                <w:sz w:val="20"/>
                <w:szCs w:val="26"/>
              </w:rPr>
              <w:t xml:space="preserve">Likumprojekta 20.pantā </w:t>
            </w:r>
            <w:r w:rsidRPr="00500B2A">
              <w:rPr>
                <w:sz w:val="20"/>
              </w:rPr>
              <w:t>ietvertā Kredītiestāžu un ieguldījumu brokeru sabiedrību darbības atjaunošanas un noregulējuma likuma 40.</w:t>
            </w:r>
            <w:r w:rsidRPr="00500B2A">
              <w:rPr>
                <w:sz w:val="20"/>
                <w:vertAlign w:val="superscript"/>
              </w:rPr>
              <w:t>1</w:t>
            </w:r>
            <w:r w:rsidRPr="00500B2A">
              <w:rPr>
                <w:sz w:val="20"/>
              </w:rPr>
              <w:t> panta</w:t>
            </w:r>
            <w:r>
              <w:rPr>
                <w:sz w:val="20"/>
              </w:rPr>
              <w:t xml:space="preserve"> sestā daļa:</w:t>
            </w:r>
          </w:p>
          <w:p w14:paraId="22672A14" w14:textId="5114D2A8" w:rsidR="00A16723" w:rsidRPr="00141121" w:rsidRDefault="008C3A83" w:rsidP="008C3A83">
            <w:pPr>
              <w:spacing w:before="120"/>
              <w:jc w:val="both"/>
              <w:rPr>
                <w:b/>
                <w:sz w:val="20"/>
                <w:szCs w:val="20"/>
              </w:rPr>
            </w:pPr>
            <w:r>
              <w:rPr>
                <w:sz w:val="20"/>
                <w:szCs w:val="26"/>
              </w:rPr>
              <w:t>„</w:t>
            </w:r>
            <w:r w:rsidR="00BC5089" w:rsidRPr="00BC5089">
              <w:rPr>
                <w:sz w:val="20"/>
                <w:szCs w:val="26"/>
              </w:rPr>
              <w:t xml:space="preserve">(6)   Īstenojot šā panta pirmajā daļā minētās tiesības, Finanšu un kapitāla tirgus komisija ņem vērā minēto tiesību īstenošanas iespējamo ietekmi uz finanšu tirgus pienācīgu darbību, kā arī uzraudzības un tiesu iestāžu tiesības, lai aizsargātu kreditoru tiesības un vienlīdzīgu attieksmi pret kreditoriem parastajā maksātnespējas procesā. Finanšu un kapitāla tirgus komisija jo īpaši ņem vērā maksātnespējas procedūras iespējamu piemērošanu </w:t>
            </w:r>
            <w:r w:rsidR="00BC5089" w:rsidRPr="00BC5089">
              <w:rPr>
                <w:sz w:val="20"/>
                <w:szCs w:val="26"/>
              </w:rPr>
              <w:lastRenderedPageBreak/>
              <w:t>iestādei vai finanšu sabiedrībai 39. panta pirmās daļas 3. punktā minētā konstatējuma rezultātā un veic pasākumus, kurus tās uzskata par piemērotiem, lai nodrošinātu pienācīgu koordināciju ar  administratīvajām vai tiesu iestādēm.</w:t>
            </w:r>
            <w:r>
              <w:rPr>
                <w:sz w:val="20"/>
                <w:szCs w:val="26"/>
              </w:rPr>
              <w:t>”</w:t>
            </w:r>
          </w:p>
        </w:tc>
        <w:tc>
          <w:tcPr>
            <w:tcW w:w="4111" w:type="dxa"/>
            <w:tcBorders>
              <w:top w:val="single" w:sz="6" w:space="0" w:color="000000"/>
              <w:left w:val="single" w:sz="6" w:space="0" w:color="000000"/>
              <w:bottom w:val="single" w:sz="6" w:space="0" w:color="000000"/>
              <w:right w:val="single" w:sz="6" w:space="0" w:color="000000"/>
            </w:tcBorders>
          </w:tcPr>
          <w:p w14:paraId="4C7EAA0F" w14:textId="2C1D50D0" w:rsidR="00A16723" w:rsidRPr="00A16723" w:rsidRDefault="00AB136B" w:rsidP="00A16723">
            <w:pPr>
              <w:autoSpaceDE w:val="0"/>
              <w:autoSpaceDN w:val="0"/>
              <w:adjustRightInd w:val="0"/>
              <w:jc w:val="center"/>
              <w:rPr>
                <w:rFonts w:eastAsiaTheme="minorHAnsi"/>
                <w:b/>
                <w:color w:val="000000"/>
                <w:sz w:val="20"/>
                <w:szCs w:val="23"/>
                <w:lang w:eastAsia="en-US"/>
              </w:rPr>
            </w:pPr>
            <w:r>
              <w:rPr>
                <w:rFonts w:eastAsiaTheme="minorHAnsi"/>
                <w:b/>
                <w:color w:val="000000"/>
                <w:sz w:val="20"/>
                <w:szCs w:val="23"/>
                <w:lang w:eastAsia="en-US"/>
              </w:rPr>
              <w:lastRenderedPageBreak/>
              <w:t>Tieslietu ministrija</w:t>
            </w:r>
          </w:p>
          <w:p w14:paraId="0146CDCF" w14:textId="77777777" w:rsidR="00500B2A" w:rsidRDefault="00500B2A" w:rsidP="00500B2A">
            <w:pPr>
              <w:jc w:val="both"/>
              <w:rPr>
                <w:bCs/>
                <w:sz w:val="20"/>
                <w:shd w:val="clear" w:color="auto" w:fill="FFFFFF"/>
              </w:rPr>
            </w:pPr>
          </w:p>
          <w:p w14:paraId="273606CA" w14:textId="41C6C380" w:rsidR="00500B2A" w:rsidRPr="00500B2A" w:rsidRDefault="00500B2A" w:rsidP="00500B2A">
            <w:pPr>
              <w:jc w:val="both"/>
              <w:rPr>
                <w:sz w:val="20"/>
              </w:rPr>
            </w:pPr>
            <w:r w:rsidRPr="00500B2A">
              <w:rPr>
                <w:bCs/>
                <w:sz w:val="20"/>
                <w:shd w:val="clear" w:color="auto" w:fill="FFFFFF"/>
              </w:rPr>
              <w:t xml:space="preserve">Ievērojot šā atzinuma 1. punktā norādīto, lūdzam arī pārskatīt </w:t>
            </w:r>
            <w:r w:rsidRPr="00500B2A">
              <w:rPr>
                <w:b/>
                <w:bCs/>
                <w:sz w:val="20"/>
              </w:rPr>
              <w:t>likumprojekta 20. pantā</w:t>
            </w:r>
            <w:r w:rsidRPr="00500B2A">
              <w:rPr>
                <w:sz w:val="20"/>
              </w:rPr>
              <w:t xml:space="preserve"> ietvertā Kredītiestāžu un ieguldījumu brokeru sabiedrību darbības atjaunošanas un noregulējuma likuma 40.</w:t>
            </w:r>
            <w:r w:rsidRPr="00500B2A">
              <w:rPr>
                <w:sz w:val="20"/>
                <w:vertAlign w:val="superscript"/>
              </w:rPr>
              <w:t>1</w:t>
            </w:r>
            <w:r w:rsidRPr="00500B2A">
              <w:rPr>
                <w:sz w:val="20"/>
              </w:rPr>
              <w:t> panta sestajā daļā ietvertā jēdziena “parastajā maksātnespējas procesā” lietojumu.</w:t>
            </w:r>
          </w:p>
          <w:p w14:paraId="50EEBC34" w14:textId="2EBB4568" w:rsidR="00A16723" w:rsidRPr="00500B2A" w:rsidRDefault="00500B2A" w:rsidP="00DC2ED8">
            <w:pPr>
              <w:jc w:val="both"/>
            </w:pPr>
            <w:r w:rsidRPr="00500B2A">
              <w:rPr>
                <w:sz w:val="20"/>
              </w:rPr>
              <w:t>Tāpat likumprojekta minētajā normā lūdzam arī pārskatīt jēdziena “maksātnespējas procedūra” lietojumu, ņemot vērā, ka šis jēdziens izriet no Eiropas Parlamenta un Padomes 2015. gada 20. maija Regulas (ES) 2015/848 par maksātnespējas procedūrām un netiek definēts Latvijas nacionālajos normatīvajos aktos, bet aptver jebkādas kolektīvas maksātnespējas procedūras, proti, ne tikai tādas, kas vērstas uz parādnieka likvidāciju (kā Maksātnespējas likumā regulētais juridiskās personas maksātnespējas process), bet arī tādas, kas vērstas uz parādnieka maksātspējas saglabāšanu vai atjaunošanu (kā Maksātnespējas likumā regulētais tiesiskās aizsardzības process).</w:t>
            </w:r>
          </w:p>
        </w:tc>
        <w:tc>
          <w:tcPr>
            <w:tcW w:w="3659" w:type="dxa"/>
            <w:gridSpan w:val="2"/>
            <w:tcBorders>
              <w:top w:val="single" w:sz="6" w:space="0" w:color="000000"/>
              <w:left w:val="single" w:sz="6" w:space="0" w:color="000000"/>
              <w:bottom w:val="single" w:sz="6" w:space="0" w:color="000000"/>
              <w:right w:val="single" w:sz="6" w:space="0" w:color="000000"/>
            </w:tcBorders>
          </w:tcPr>
          <w:p w14:paraId="71B70123" w14:textId="77777777" w:rsidR="00A16723" w:rsidRPr="00096140" w:rsidRDefault="00A16723" w:rsidP="00A16723">
            <w:pPr>
              <w:pStyle w:val="naisc"/>
              <w:spacing w:before="0" w:after="0"/>
              <w:rPr>
                <w:b/>
                <w:color w:val="000000" w:themeColor="text1"/>
                <w:sz w:val="20"/>
                <w:szCs w:val="20"/>
              </w:rPr>
            </w:pPr>
            <w:r>
              <w:rPr>
                <w:b/>
                <w:color w:val="000000" w:themeColor="text1"/>
                <w:sz w:val="20"/>
                <w:szCs w:val="20"/>
              </w:rPr>
              <w:t>Iebildums</w:t>
            </w:r>
            <w:r w:rsidRPr="00096140">
              <w:rPr>
                <w:b/>
                <w:color w:val="000000" w:themeColor="text1"/>
                <w:sz w:val="20"/>
                <w:szCs w:val="20"/>
              </w:rPr>
              <w:t xml:space="preserve"> ņemts vērā</w:t>
            </w:r>
          </w:p>
          <w:p w14:paraId="14B38B49" w14:textId="77777777" w:rsidR="00A16723" w:rsidRDefault="00A16723" w:rsidP="00A16723">
            <w:pPr>
              <w:pStyle w:val="naisc"/>
              <w:spacing w:before="0" w:after="0"/>
              <w:rPr>
                <w:b/>
                <w:color w:val="000000" w:themeColor="text1"/>
                <w:sz w:val="20"/>
                <w:szCs w:val="20"/>
              </w:rPr>
            </w:pPr>
          </w:p>
        </w:tc>
        <w:tc>
          <w:tcPr>
            <w:tcW w:w="3428" w:type="dxa"/>
            <w:tcBorders>
              <w:top w:val="single" w:sz="4" w:space="0" w:color="auto"/>
              <w:left w:val="single" w:sz="4" w:space="0" w:color="auto"/>
              <w:bottom w:val="single" w:sz="4" w:space="0" w:color="auto"/>
            </w:tcBorders>
          </w:tcPr>
          <w:p w14:paraId="764B3410" w14:textId="77777777" w:rsidR="00BC5089" w:rsidRDefault="00BC5089" w:rsidP="00BC5089">
            <w:pPr>
              <w:spacing w:before="120"/>
              <w:jc w:val="both"/>
              <w:rPr>
                <w:sz w:val="20"/>
                <w:szCs w:val="26"/>
              </w:rPr>
            </w:pPr>
            <w:r>
              <w:rPr>
                <w:sz w:val="20"/>
                <w:szCs w:val="26"/>
              </w:rPr>
              <w:t xml:space="preserve">Likumprojekta 20.pantā </w:t>
            </w:r>
            <w:r w:rsidRPr="00500B2A">
              <w:rPr>
                <w:sz w:val="20"/>
              </w:rPr>
              <w:t>ietvertā Kredītiestāžu un ieguldījumu brokeru sabiedrību darbības atjaunošanas un noregulējuma likuma 40.</w:t>
            </w:r>
            <w:r w:rsidRPr="00500B2A">
              <w:rPr>
                <w:sz w:val="20"/>
                <w:vertAlign w:val="superscript"/>
              </w:rPr>
              <w:t>1</w:t>
            </w:r>
            <w:r w:rsidRPr="00500B2A">
              <w:rPr>
                <w:sz w:val="20"/>
              </w:rPr>
              <w:t> panta</w:t>
            </w:r>
            <w:r>
              <w:rPr>
                <w:sz w:val="20"/>
              </w:rPr>
              <w:t xml:space="preserve"> sestā daļa:</w:t>
            </w:r>
          </w:p>
          <w:p w14:paraId="38E9C667" w14:textId="1778E8CC" w:rsidR="00500B2A" w:rsidRPr="00BC5089" w:rsidRDefault="008C3A83" w:rsidP="00BC5089">
            <w:pPr>
              <w:spacing w:before="120"/>
              <w:jc w:val="both"/>
              <w:rPr>
                <w:szCs w:val="26"/>
              </w:rPr>
            </w:pPr>
            <w:r>
              <w:rPr>
                <w:sz w:val="20"/>
                <w:szCs w:val="26"/>
              </w:rPr>
              <w:t>„</w:t>
            </w:r>
            <w:r w:rsidR="00500B2A" w:rsidRPr="00BC5089">
              <w:rPr>
                <w:sz w:val="20"/>
                <w:szCs w:val="26"/>
              </w:rPr>
              <w:t>(6)   Īstenojot šā panta pirmajā daļā minētās tiesības, Finanšu un kapitāla tirgus komisija ņem vērā minēto tiesību īstenošanas iespējamo ietekmi uz finanšu tirgus pienācīgu darbību, kā arī uzraudzības un tiesu iestāžu tiesības, lai aizsargātu kreditoru tiesības un vienlīdzīgu attieksmi pret kreditoriem maksātnespējas procesā. Finanšu un kapitāla tirgus komisija jo īpaši ņem vērā maksātnespējas procesa iespējamu piemērošanu iestādei vai finanšu sabiedrībai 39. panta pirmās daļas 3. punktā minētā konstatējuma rezultātā un veic pasākumus, kurus tās uzskata par piemērotiem, lai nodrošinātu pienācīgu koordināciju ar  administratīvajām vai tiesu iestādēm.</w:t>
            </w:r>
            <w:r>
              <w:rPr>
                <w:sz w:val="20"/>
                <w:szCs w:val="26"/>
              </w:rPr>
              <w:t>”</w:t>
            </w:r>
          </w:p>
          <w:p w14:paraId="46F334D4" w14:textId="16D9B462" w:rsidR="00A16723" w:rsidRDefault="00A16723" w:rsidP="00A16723">
            <w:pPr>
              <w:pStyle w:val="NoSpacing"/>
              <w:jc w:val="both"/>
              <w:rPr>
                <w:rFonts w:ascii="Times New Roman" w:hAnsi="Times New Roman"/>
                <w:sz w:val="20"/>
                <w:szCs w:val="20"/>
              </w:rPr>
            </w:pPr>
          </w:p>
        </w:tc>
      </w:tr>
      <w:tr w:rsidR="00A16723" w:rsidRPr="00251125" w14:paraId="310B140D" w14:textId="77777777" w:rsidTr="00171644">
        <w:tc>
          <w:tcPr>
            <w:tcW w:w="560" w:type="dxa"/>
            <w:tcBorders>
              <w:top w:val="single" w:sz="6" w:space="0" w:color="000000"/>
              <w:left w:val="single" w:sz="6" w:space="0" w:color="000000"/>
              <w:bottom w:val="single" w:sz="6" w:space="0" w:color="000000"/>
              <w:right w:val="single" w:sz="6" w:space="0" w:color="000000"/>
            </w:tcBorders>
          </w:tcPr>
          <w:p w14:paraId="2848BC11" w14:textId="77777777" w:rsidR="00A16723" w:rsidRPr="000B716F" w:rsidRDefault="00A16723" w:rsidP="00A16723">
            <w:pPr>
              <w:pStyle w:val="naisc"/>
              <w:spacing w:before="0" w:after="0"/>
              <w:rPr>
                <w:color w:val="FF0000"/>
                <w:sz w:val="20"/>
                <w:szCs w:val="20"/>
              </w:rPr>
            </w:pPr>
            <w:r>
              <w:rPr>
                <w:sz w:val="20"/>
                <w:szCs w:val="20"/>
              </w:rPr>
              <w:lastRenderedPageBreak/>
              <w:t>3.</w:t>
            </w:r>
          </w:p>
        </w:tc>
        <w:tc>
          <w:tcPr>
            <w:tcW w:w="2551" w:type="dxa"/>
            <w:tcBorders>
              <w:top w:val="single" w:sz="6" w:space="0" w:color="000000"/>
              <w:left w:val="single" w:sz="6" w:space="0" w:color="000000"/>
              <w:bottom w:val="single" w:sz="6" w:space="0" w:color="000000"/>
              <w:right w:val="single" w:sz="6" w:space="0" w:color="000000"/>
            </w:tcBorders>
          </w:tcPr>
          <w:p w14:paraId="05DED6A9" w14:textId="16FEFAF2" w:rsidR="00131FDA" w:rsidRPr="00D623CA" w:rsidRDefault="008C3A83" w:rsidP="00B47E29">
            <w:pPr>
              <w:shd w:val="clear" w:color="auto" w:fill="FFFFFF"/>
              <w:spacing w:before="120" w:after="120"/>
              <w:jc w:val="both"/>
              <w:rPr>
                <w:sz w:val="26"/>
                <w:szCs w:val="26"/>
              </w:rPr>
            </w:pPr>
            <w:r w:rsidRPr="00D623CA">
              <w:rPr>
                <w:bCs/>
                <w:sz w:val="20"/>
              </w:rPr>
              <w:t>L</w:t>
            </w:r>
            <w:r w:rsidR="00131FDA" w:rsidRPr="00D623CA">
              <w:rPr>
                <w:bCs/>
                <w:sz w:val="20"/>
              </w:rPr>
              <w:t>ikumprojekta 39. pantā</w:t>
            </w:r>
            <w:r w:rsidR="00131FDA" w:rsidRPr="00D623CA">
              <w:rPr>
                <w:sz w:val="20"/>
              </w:rPr>
              <w:t xml:space="preserve"> ietvert</w:t>
            </w:r>
            <w:r w:rsidR="00D623CA" w:rsidRPr="00D623CA">
              <w:rPr>
                <w:sz w:val="20"/>
              </w:rPr>
              <w:t>ā</w:t>
            </w:r>
            <w:r w:rsidR="00131FDA" w:rsidRPr="00D623CA">
              <w:rPr>
                <w:sz w:val="20"/>
              </w:rPr>
              <w:t xml:space="preserve"> Kredītiestāžu un ieguldījumu brokeru sabiedrību darbības atjaunošanas un noregulējuma likuma 59. panta trešās daļas </w:t>
            </w:r>
            <w:r w:rsidR="00D623CA" w:rsidRPr="00D623CA">
              <w:rPr>
                <w:sz w:val="20"/>
              </w:rPr>
              <w:t xml:space="preserve">ievaddaļa, </w:t>
            </w:r>
            <w:r w:rsidR="00131FDA" w:rsidRPr="00D623CA">
              <w:rPr>
                <w:sz w:val="20"/>
              </w:rPr>
              <w:t>1. </w:t>
            </w:r>
            <w:r w:rsidR="00D623CA" w:rsidRPr="00D623CA">
              <w:rPr>
                <w:sz w:val="20"/>
              </w:rPr>
              <w:t>un 2. punkts</w:t>
            </w:r>
            <w:r w:rsidR="00131FDA" w:rsidRPr="00D623CA">
              <w:rPr>
                <w:sz w:val="20"/>
              </w:rPr>
              <w:t>:</w:t>
            </w:r>
          </w:p>
          <w:p w14:paraId="52C19460" w14:textId="6324080B" w:rsidR="00D623CA" w:rsidRPr="00D623CA" w:rsidRDefault="00B47E29" w:rsidP="00B47E29">
            <w:pPr>
              <w:spacing w:after="120"/>
              <w:jc w:val="both"/>
              <w:rPr>
                <w:sz w:val="20"/>
              </w:rPr>
            </w:pPr>
            <w:r>
              <w:rPr>
                <w:sz w:val="20"/>
              </w:rPr>
              <w:t>„</w:t>
            </w:r>
            <w:r w:rsidR="00D623CA" w:rsidRPr="00D623CA">
              <w:rPr>
                <w:sz w:val="20"/>
              </w:rPr>
              <w:t>(3) Finanšu un kapitāla tirgus komisija atbrīvo hipotekāro kredītu iestādes, kuras tiek finansētas ar segtām obligācijām un kurām saskaņā ar Latvijas Republikas tiesību aktiem nav atļauts pieņemt noguldījumus, no minimālās pašu kapitāla un atbilstīgo saistību prasības, ja ir izpildīti visi turpmāk minētie nosacījumi:</w:t>
            </w:r>
          </w:p>
          <w:p w14:paraId="676605A8" w14:textId="77777777" w:rsidR="00D623CA" w:rsidRPr="00D623CA" w:rsidRDefault="00D623CA" w:rsidP="00B47E29">
            <w:pPr>
              <w:spacing w:after="120"/>
              <w:jc w:val="both"/>
              <w:rPr>
                <w:sz w:val="20"/>
              </w:rPr>
            </w:pPr>
            <w:r w:rsidRPr="00D623CA">
              <w:rPr>
                <w:sz w:val="20"/>
              </w:rPr>
              <w:t xml:space="preserve">1) minētās iestādes tiks likvidētas valsts maksātnespējas procedūrā vai cita veida procedūrā, kas minētajām iestādēm paredzēta un ko īsteno </w:t>
            </w:r>
            <w:r w:rsidRPr="00D623CA">
              <w:rPr>
                <w:sz w:val="20"/>
              </w:rPr>
              <w:lastRenderedPageBreak/>
              <w:t>saskaņā ar šā likuma 48., 50. vai 52. pantu; un</w:t>
            </w:r>
          </w:p>
          <w:p w14:paraId="2CE5D5A9" w14:textId="7F8D665F" w:rsidR="00A16723" w:rsidRPr="00B47E29" w:rsidRDefault="00D623CA" w:rsidP="00B47E29">
            <w:pPr>
              <w:jc w:val="both"/>
              <w:rPr>
                <w:sz w:val="20"/>
              </w:rPr>
            </w:pPr>
            <w:r w:rsidRPr="00D623CA">
              <w:rPr>
                <w:sz w:val="20"/>
              </w:rPr>
              <w:t>2) šā panta trešās daļas 1. punktā minētās procedūras nodrošina, ka minēto iestāžu kreditori, tostarp attiecīgajā gadījumā segto obligāciju turētāji, sedz zaudējumus tādā veidā, kas atbilst noregulējuma mērķiem.</w:t>
            </w:r>
            <w:r w:rsidR="00B47E29">
              <w:rPr>
                <w:sz w:val="20"/>
              </w:rPr>
              <w:t>”</w:t>
            </w:r>
          </w:p>
        </w:tc>
        <w:tc>
          <w:tcPr>
            <w:tcW w:w="4111" w:type="dxa"/>
            <w:tcBorders>
              <w:top w:val="single" w:sz="6" w:space="0" w:color="000000"/>
              <w:left w:val="single" w:sz="6" w:space="0" w:color="000000"/>
              <w:bottom w:val="single" w:sz="6" w:space="0" w:color="000000"/>
              <w:right w:val="single" w:sz="6" w:space="0" w:color="000000"/>
            </w:tcBorders>
          </w:tcPr>
          <w:p w14:paraId="08428C5D" w14:textId="2E1818A7" w:rsidR="00A16723" w:rsidRPr="00D623CA" w:rsidRDefault="00131FDA" w:rsidP="00A16723">
            <w:pPr>
              <w:jc w:val="center"/>
              <w:rPr>
                <w:b/>
                <w:bCs/>
                <w:sz w:val="20"/>
                <w:szCs w:val="20"/>
                <w:shd w:val="clear" w:color="auto" w:fill="FFFFFF"/>
              </w:rPr>
            </w:pPr>
            <w:r w:rsidRPr="00D623CA">
              <w:rPr>
                <w:b/>
                <w:bCs/>
                <w:sz w:val="20"/>
                <w:szCs w:val="20"/>
                <w:shd w:val="clear" w:color="auto" w:fill="FFFFFF"/>
              </w:rPr>
              <w:lastRenderedPageBreak/>
              <w:t>Tieslietu ministrija</w:t>
            </w:r>
          </w:p>
          <w:p w14:paraId="7C0F88B3" w14:textId="77777777" w:rsidR="00A16723" w:rsidRPr="00D623CA" w:rsidRDefault="00A16723" w:rsidP="00A16723">
            <w:pPr>
              <w:jc w:val="both"/>
              <w:rPr>
                <w:b/>
                <w:bCs/>
                <w:sz w:val="20"/>
                <w:szCs w:val="20"/>
                <w:shd w:val="clear" w:color="auto" w:fill="FFFFFF"/>
              </w:rPr>
            </w:pPr>
          </w:p>
          <w:p w14:paraId="019CCBB0" w14:textId="035EAAD8" w:rsidR="00A16723" w:rsidRPr="000B716F" w:rsidRDefault="00131FDA" w:rsidP="00A16723">
            <w:pPr>
              <w:jc w:val="both"/>
              <w:rPr>
                <w:color w:val="FF0000"/>
                <w:sz w:val="20"/>
                <w:highlight w:val="yellow"/>
              </w:rPr>
            </w:pPr>
            <w:r w:rsidRPr="00D623CA">
              <w:rPr>
                <w:sz w:val="20"/>
              </w:rPr>
              <w:t xml:space="preserve">Lūdzam pārskatīt </w:t>
            </w:r>
            <w:r w:rsidRPr="00D623CA">
              <w:rPr>
                <w:b/>
                <w:bCs/>
                <w:sz w:val="20"/>
              </w:rPr>
              <w:t>likumprojekta 39. pantā</w:t>
            </w:r>
            <w:r w:rsidRPr="00D623CA">
              <w:rPr>
                <w:sz w:val="20"/>
              </w:rPr>
              <w:t xml:space="preserve"> ietvertā Kredītiestāžu un ieguldījumu brokeru sabiedrību darbības atjaunošanas un noregulējuma likuma 59. panta trešās daļas 1. punktā lietoto jēdzienu “valsts maksātnespējas procedūrā” vai anotācijā skaidrot tā būtību.</w:t>
            </w:r>
          </w:p>
        </w:tc>
        <w:tc>
          <w:tcPr>
            <w:tcW w:w="3659" w:type="dxa"/>
            <w:gridSpan w:val="2"/>
            <w:tcBorders>
              <w:top w:val="single" w:sz="6" w:space="0" w:color="000000"/>
              <w:left w:val="single" w:sz="6" w:space="0" w:color="000000"/>
              <w:bottom w:val="single" w:sz="6" w:space="0" w:color="000000"/>
              <w:right w:val="single" w:sz="6" w:space="0" w:color="000000"/>
            </w:tcBorders>
          </w:tcPr>
          <w:p w14:paraId="773ED87B" w14:textId="77777777" w:rsidR="00A16723" w:rsidRPr="00B47E29" w:rsidRDefault="00A16723" w:rsidP="00A16723">
            <w:pPr>
              <w:pStyle w:val="naisc"/>
              <w:spacing w:before="0" w:after="0"/>
              <w:rPr>
                <w:b/>
                <w:color w:val="FF0000"/>
                <w:sz w:val="20"/>
                <w:szCs w:val="20"/>
              </w:rPr>
            </w:pPr>
            <w:r w:rsidRPr="00B47E29">
              <w:rPr>
                <w:b/>
                <w:sz w:val="20"/>
                <w:szCs w:val="20"/>
              </w:rPr>
              <w:t>Iebildums ņemts vērā</w:t>
            </w:r>
          </w:p>
          <w:p w14:paraId="4103D3B5" w14:textId="77777777" w:rsidR="00A16723" w:rsidRPr="000B716F" w:rsidRDefault="00A16723" w:rsidP="00A16723">
            <w:pPr>
              <w:pStyle w:val="naisc"/>
              <w:spacing w:before="0" w:after="0"/>
              <w:rPr>
                <w:b/>
                <w:color w:val="FF0000"/>
                <w:sz w:val="20"/>
                <w:szCs w:val="20"/>
                <w:highlight w:val="yellow"/>
              </w:rPr>
            </w:pPr>
          </w:p>
        </w:tc>
        <w:tc>
          <w:tcPr>
            <w:tcW w:w="3428" w:type="dxa"/>
            <w:tcBorders>
              <w:top w:val="single" w:sz="4" w:space="0" w:color="auto"/>
              <w:left w:val="single" w:sz="4" w:space="0" w:color="auto"/>
              <w:bottom w:val="single" w:sz="4" w:space="0" w:color="auto"/>
            </w:tcBorders>
          </w:tcPr>
          <w:p w14:paraId="211D5944" w14:textId="77777777" w:rsidR="00B47E29" w:rsidRPr="00D623CA" w:rsidRDefault="00B47E29" w:rsidP="00B47E29">
            <w:pPr>
              <w:shd w:val="clear" w:color="auto" w:fill="FFFFFF"/>
              <w:spacing w:before="120" w:after="120"/>
              <w:jc w:val="both"/>
              <w:rPr>
                <w:sz w:val="26"/>
                <w:szCs w:val="26"/>
              </w:rPr>
            </w:pPr>
            <w:r w:rsidRPr="00D623CA">
              <w:rPr>
                <w:bCs/>
                <w:sz w:val="20"/>
              </w:rPr>
              <w:t>Likumprojekta 39. pantā</w:t>
            </w:r>
            <w:r w:rsidRPr="00D623CA">
              <w:rPr>
                <w:sz w:val="20"/>
              </w:rPr>
              <w:t xml:space="preserve"> ietvertā Kredītiestāžu un ieguldījumu brokeru sabiedrību darbības atjaunošanas un noregulējuma likuma 59. panta trešās daļas ievaddaļa, 1. un 2. punkts:</w:t>
            </w:r>
          </w:p>
          <w:p w14:paraId="58FACE66" w14:textId="2DC69AF9" w:rsidR="00B47E29" w:rsidRPr="00B47E29" w:rsidRDefault="00B47E29" w:rsidP="00B47E29">
            <w:pPr>
              <w:spacing w:after="120"/>
              <w:jc w:val="both"/>
              <w:rPr>
                <w:sz w:val="20"/>
              </w:rPr>
            </w:pPr>
            <w:r>
              <w:rPr>
                <w:sz w:val="20"/>
              </w:rPr>
              <w:t>„</w:t>
            </w:r>
            <w:r w:rsidRPr="00B47E29">
              <w:rPr>
                <w:sz w:val="20"/>
              </w:rPr>
              <w:t>(3) Finanšu un kapitāla tirgus komisija atbrīvo hipotekāro kredītu iestādes, kuras tiek finansētas ar segtām obligācijām un kurām saskaņā ar Latvijas Republikas tiesību aktiem nav atļauts pieņemt noguldījumus, no minimālās pašu kapitāla un atbilstīgo saistību prasības, ja ir izpildīti turpmāk minētie nosacījumi:</w:t>
            </w:r>
          </w:p>
          <w:p w14:paraId="29290A72" w14:textId="4A4D461C" w:rsidR="00B47E29" w:rsidRDefault="00B47E29" w:rsidP="00B47E29">
            <w:pPr>
              <w:spacing w:after="120"/>
              <w:jc w:val="both"/>
              <w:rPr>
                <w:sz w:val="20"/>
              </w:rPr>
            </w:pPr>
            <w:r w:rsidRPr="00B47E29">
              <w:rPr>
                <w:sz w:val="20"/>
              </w:rPr>
              <w:t xml:space="preserve">1) iestādes tiks likvidētas </w:t>
            </w:r>
            <w:r>
              <w:rPr>
                <w:sz w:val="20"/>
              </w:rPr>
              <w:t>Kredītiestāžu likumā</w:t>
            </w:r>
            <w:r w:rsidRPr="00B47E29">
              <w:rPr>
                <w:sz w:val="20"/>
              </w:rPr>
              <w:t xml:space="preserve"> vai F</w:t>
            </w:r>
            <w:r>
              <w:rPr>
                <w:sz w:val="20"/>
              </w:rPr>
              <w:t>inanšu instrumentu tirgus likumā</w:t>
            </w:r>
            <w:r w:rsidRPr="00B47E29">
              <w:rPr>
                <w:sz w:val="20"/>
              </w:rPr>
              <w:t xml:space="preserve"> noteiktajā kārtībā, vai saskaņā ar šā likuma 48., 50. vai 52. pantā noteikto kārtību; </w:t>
            </w:r>
          </w:p>
          <w:p w14:paraId="28CD0FE6" w14:textId="562D1D2E" w:rsidR="00B47E29" w:rsidRPr="00B47E29" w:rsidRDefault="00B47E29" w:rsidP="00B47E29">
            <w:pPr>
              <w:jc w:val="both"/>
              <w:rPr>
                <w:sz w:val="20"/>
              </w:rPr>
            </w:pPr>
            <w:r w:rsidRPr="00B47E29">
              <w:rPr>
                <w:sz w:val="20"/>
              </w:rPr>
              <w:t>2) šā panta trešās daļas 1. punktā paredzētais nodrošina, ka iestāžu kreditori, tostarp segto obligāciju turētāji, sedz zaudējumus tādā apmērā, kas atbilst noregulējuma mērķiem.</w:t>
            </w:r>
            <w:r>
              <w:rPr>
                <w:sz w:val="20"/>
              </w:rPr>
              <w:t>”</w:t>
            </w:r>
          </w:p>
          <w:p w14:paraId="4ADD90DC" w14:textId="76D466C7" w:rsidR="00A16723" w:rsidRPr="000B716F" w:rsidRDefault="00A16723" w:rsidP="00A16723">
            <w:pPr>
              <w:pStyle w:val="NoSpacing"/>
              <w:jc w:val="both"/>
              <w:rPr>
                <w:rFonts w:ascii="Times New Roman" w:hAnsi="Times New Roman"/>
                <w:color w:val="FF0000"/>
                <w:sz w:val="20"/>
                <w:szCs w:val="20"/>
                <w:highlight w:val="yellow"/>
              </w:rPr>
            </w:pPr>
          </w:p>
        </w:tc>
      </w:tr>
      <w:tr w:rsidR="00A16723" w:rsidRPr="009A41F3" w14:paraId="074A5C30" w14:textId="77777777" w:rsidTr="00171644">
        <w:tc>
          <w:tcPr>
            <w:tcW w:w="560" w:type="dxa"/>
            <w:tcBorders>
              <w:top w:val="single" w:sz="6" w:space="0" w:color="000000"/>
              <w:left w:val="single" w:sz="6" w:space="0" w:color="000000"/>
              <w:bottom w:val="single" w:sz="6" w:space="0" w:color="000000"/>
              <w:right w:val="single" w:sz="6" w:space="0" w:color="000000"/>
            </w:tcBorders>
          </w:tcPr>
          <w:p w14:paraId="5597E29A" w14:textId="0B5BF754" w:rsidR="00A16723" w:rsidRDefault="00A16723" w:rsidP="00A16723">
            <w:pPr>
              <w:pStyle w:val="naisc"/>
              <w:spacing w:before="0" w:after="0"/>
              <w:rPr>
                <w:sz w:val="20"/>
                <w:szCs w:val="20"/>
              </w:rPr>
            </w:pPr>
            <w:r>
              <w:rPr>
                <w:sz w:val="20"/>
                <w:szCs w:val="20"/>
              </w:rPr>
              <w:t>4.</w:t>
            </w:r>
          </w:p>
        </w:tc>
        <w:tc>
          <w:tcPr>
            <w:tcW w:w="2551" w:type="dxa"/>
            <w:tcBorders>
              <w:top w:val="single" w:sz="6" w:space="0" w:color="000000"/>
              <w:left w:val="single" w:sz="6" w:space="0" w:color="000000"/>
              <w:bottom w:val="single" w:sz="6" w:space="0" w:color="000000"/>
              <w:right w:val="single" w:sz="6" w:space="0" w:color="000000"/>
            </w:tcBorders>
          </w:tcPr>
          <w:p w14:paraId="4A4AF40E" w14:textId="446E8F17" w:rsidR="00A16723" w:rsidRDefault="008C3A83" w:rsidP="00894D8B">
            <w:pPr>
              <w:shd w:val="clear" w:color="auto" w:fill="FFFFFF"/>
              <w:spacing w:before="120"/>
              <w:jc w:val="both"/>
              <w:rPr>
                <w:sz w:val="20"/>
              </w:rPr>
            </w:pPr>
            <w:r w:rsidRPr="008C3A83">
              <w:rPr>
                <w:bCs/>
                <w:sz w:val="20"/>
              </w:rPr>
              <w:t>Likumprojekta 40. pantā</w:t>
            </w:r>
            <w:r w:rsidRPr="008C3A83">
              <w:rPr>
                <w:sz w:val="20"/>
              </w:rPr>
              <w:t xml:space="preserve"> ietvertā Kredītiestāžu un ieguldījumu brokeru sabiedrību darbības atjaunošanas un noregulējuma likuma 59.</w:t>
            </w:r>
            <w:r w:rsidRPr="008C3A83">
              <w:rPr>
                <w:sz w:val="20"/>
                <w:vertAlign w:val="superscript"/>
              </w:rPr>
              <w:t>1</w:t>
            </w:r>
            <w:r>
              <w:rPr>
                <w:sz w:val="20"/>
              </w:rPr>
              <w:t> panta 12. daļas 1. punkts:</w:t>
            </w:r>
          </w:p>
          <w:p w14:paraId="301D9A6F" w14:textId="49A861D4" w:rsidR="008C3A83" w:rsidRPr="00894D8B" w:rsidRDefault="008C3A83" w:rsidP="00894D8B">
            <w:pPr>
              <w:shd w:val="clear" w:color="auto" w:fill="FFFFFF"/>
              <w:spacing w:before="120"/>
              <w:jc w:val="both"/>
              <w:rPr>
                <w:sz w:val="20"/>
                <w:szCs w:val="26"/>
              </w:rPr>
            </w:pPr>
            <w:r w:rsidRPr="00894D8B">
              <w:rPr>
                <w:sz w:val="14"/>
              </w:rPr>
              <w:t>„</w:t>
            </w:r>
            <w:r w:rsidR="00894D8B" w:rsidRPr="00894D8B">
              <w:rPr>
                <w:sz w:val="20"/>
                <w:szCs w:val="26"/>
              </w:rPr>
              <w:t>1) šā panta pirmajā, otrajā, trešajā, ceturtajā un piektajā daļā minētām nepakārtotām saistībām ir tāda pati prioritāte valsts maksātnespējas hierarhijā kā konkrētām saistībām, kas  izslēgtas no norakstīšanas un konvertācijas tiesību piemērošanas saskaņā ar šā likuma 54. panta pirmo vai ceturto daļu;</w:t>
            </w:r>
            <w:r w:rsidRPr="00894D8B">
              <w:rPr>
                <w:sz w:val="14"/>
              </w:rPr>
              <w:t>”</w:t>
            </w:r>
          </w:p>
        </w:tc>
        <w:tc>
          <w:tcPr>
            <w:tcW w:w="4111" w:type="dxa"/>
            <w:tcBorders>
              <w:top w:val="single" w:sz="6" w:space="0" w:color="000000"/>
              <w:left w:val="single" w:sz="6" w:space="0" w:color="000000"/>
              <w:bottom w:val="single" w:sz="6" w:space="0" w:color="000000"/>
              <w:right w:val="single" w:sz="6" w:space="0" w:color="000000"/>
            </w:tcBorders>
          </w:tcPr>
          <w:p w14:paraId="00D145F0" w14:textId="77777777" w:rsidR="00A16723" w:rsidRDefault="008C3A83" w:rsidP="008C3A83">
            <w:pPr>
              <w:jc w:val="center"/>
              <w:rPr>
                <w:b/>
                <w:bCs/>
                <w:color w:val="000000" w:themeColor="text1"/>
                <w:sz w:val="20"/>
                <w:szCs w:val="20"/>
                <w:shd w:val="clear" w:color="auto" w:fill="FFFFFF"/>
              </w:rPr>
            </w:pPr>
            <w:r>
              <w:rPr>
                <w:b/>
                <w:bCs/>
                <w:color w:val="000000" w:themeColor="text1"/>
                <w:sz w:val="20"/>
                <w:szCs w:val="20"/>
                <w:shd w:val="clear" w:color="auto" w:fill="FFFFFF"/>
              </w:rPr>
              <w:t>Tieslietu ministrija</w:t>
            </w:r>
          </w:p>
          <w:p w14:paraId="5247F1D7" w14:textId="77777777" w:rsidR="008C3A83" w:rsidRDefault="008C3A83" w:rsidP="00A16723">
            <w:pPr>
              <w:jc w:val="both"/>
              <w:rPr>
                <w:b/>
                <w:bCs/>
                <w:color w:val="000000" w:themeColor="text1"/>
                <w:sz w:val="20"/>
                <w:szCs w:val="20"/>
                <w:shd w:val="clear" w:color="auto" w:fill="FFFFFF"/>
              </w:rPr>
            </w:pPr>
          </w:p>
          <w:p w14:paraId="2D1594C1" w14:textId="7F4247C4" w:rsidR="008C3A83" w:rsidRPr="008C3A83" w:rsidRDefault="008C3A83" w:rsidP="008C3A83">
            <w:pPr>
              <w:jc w:val="both"/>
              <w:rPr>
                <w:sz w:val="20"/>
              </w:rPr>
            </w:pPr>
            <w:r w:rsidRPr="008C3A83">
              <w:rPr>
                <w:sz w:val="20"/>
              </w:rPr>
              <w:t xml:space="preserve">Lūdzam pārskatīt </w:t>
            </w:r>
            <w:r w:rsidRPr="008C3A83">
              <w:rPr>
                <w:b/>
                <w:bCs/>
                <w:sz w:val="20"/>
              </w:rPr>
              <w:t>likumprojekta 40. pantā</w:t>
            </w:r>
            <w:r w:rsidRPr="008C3A83">
              <w:rPr>
                <w:sz w:val="20"/>
              </w:rPr>
              <w:t xml:space="preserve"> ietvertā Kredītiestāžu un ieguldījumu brokeru sabiedrību darbības atjaunošanas un noregulējuma likuma 59.</w:t>
            </w:r>
            <w:r w:rsidRPr="008C3A83">
              <w:rPr>
                <w:sz w:val="20"/>
                <w:vertAlign w:val="superscript"/>
              </w:rPr>
              <w:t>1</w:t>
            </w:r>
            <w:r w:rsidRPr="008C3A83">
              <w:rPr>
                <w:sz w:val="20"/>
              </w:rPr>
              <w:t> panta 12. daļas 1. punktā ietverto norādi “prioritāte valsts maksātnespējas hierarhijā” vai attiecīgi anotācijā atklāt šīs norādes būtību, kas pašlaik ir neskaidra un izprotama daudzējādi.</w:t>
            </w:r>
          </w:p>
          <w:p w14:paraId="2C098A7F" w14:textId="5B9867C1" w:rsidR="008C3A83" w:rsidRPr="008C3A83" w:rsidRDefault="008C3A83" w:rsidP="00A16723">
            <w:pPr>
              <w:jc w:val="both"/>
              <w:rPr>
                <w:b/>
                <w:bCs/>
                <w:color w:val="000000" w:themeColor="text1"/>
                <w:sz w:val="20"/>
                <w:szCs w:val="20"/>
                <w:shd w:val="clear" w:color="auto" w:fill="FFFFFF"/>
              </w:rPr>
            </w:pPr>
          </w:p>
        </w:tc>
        <w:tc>
          <w:tcPr>
            <w:tcW w:w="3659" w:type="dxa"/>
            <w:gridSpan w:val="2"/>
            <w:tcBorders>
              <w:top w:val="single" w:sz="6" w:space="0" w:color="000000"/>
              <w:left w:val="single" w:sz="6" w:space="0" w:color="000000"/>
              <w:bottom w:val="single" w:sz="6" w:space="0" w:color="000000"/>
              <w:right w:val="single" w:sz="6" w:space="0" w:color="000000"/>
            </w:tcBorders>
          </w:tcPr>
          <w:p w14:paraId="42B52036" w14:textId="0ECF0DA5" w:rsidR="00A16723" w:rsidRPr="00894D8B" w:rsidRDefault="00894D8B" w:rsidP="00894D8B">
            <w:pPr>
              <w:pStyle w:val="naisc"/>
              <w:spacing w:before="0" w:after="0"/>
              <w:rPr>
                <w:b/>
                <w:bCs/>
                <w:color w:val="000000" w:themeColor="text1"/>
                <w:sz w:val="20"/>
                <w:szCs w:val="20"/>
                <w:shd w:val="clear" w:color="auto" w:fill="FFFFFF"/>
              </w:rPr>
            </w:pPr>
            <w:r w:rsidRPr="00894D8B">
              <w:rPr>
                <w:b/>
                <w:bCs/>
                <w:color w:val="000000" w:themeColor="text1"/>
                <w:sz w:val="20"/>
                <w:szCs w:val="20"/>
                <w:shd w:val="clear" w:color="auto" w:fill="FFFFFF"/>
              </w:rPr>
              <w:t>Iebildums ņemts vērā</w:t>
            </w:r>
          </w:p>
        </w:tc>
        <w:tc>
          <w:tcPr>
            <w:tcW w:w="3428" w:type="dxa"/>
            <w:tcBorders>
              <w:top w:val="single" w:sz="4" w:space="0" w:color="auto"/>
              <w:left w:val="single" w:sz="4" w:space="0" w:color="auto"/>
              <w:bottom w:val="single" w:sz="4" w:space="0" w:color="auto"/>
            </w:tcBorders>
          </w:tcPr>
          <w:p w14:paraId="2823D8EA" w14:textId="77777777" w:rsidR="008C3A83" w:rsidRDefault="008C3A83" w:rsidP="00894D8B">
            <w:pPr>
              <w:shd w:val="clear" w:color="auto" w:fill="FFFFFF"/>
              <w:spacing w:before="120"/>
              <w:jc w:val="both"/>
              <w:rPr>
                <w:sz w:val="20"/>
              </w:rPr>
            </w:pPr>
            <w:r w:rsidRPr="008C3A83">
              <w:rPr>
                <w:bCs/>
                <w:sz w:val="20"/>
              </w:rPr>
              <w:t>Likumprojekta 40. pantā</w:t>
            </w:r>
            <w:r w:rsidRPr="008C3A83">
              <w:rPr>
                <w:sz w:val="20"/>
              </w:rPr>
              <w:t xml:space="preserve"> ietvertā Kredītiestāžu un ieguldījumu brokeru sabiedrību darbības atjaunošanas un noregulējuma likuma 59.</w:t>
            </w:r>
            <w:r w:rsidRPr="008C3A83">
              <w:rPr>
                <w:sz w:val="20"/>
                <w:vertAlign w:val="superscript"/>
              </w:rPr>
              <w:t>1</w:t>
            </w:r>
            <w:r>
              <w:rPr>
                <w:sz w:val="20"/>
              </w:rPr>
              <w:t> panta 12. daļas 1. punkts:</w:t>
            </w:r>
          </w:p>
          <w:p w14:paraId="6238EE97" w14:textId="69DB208D" w:rsidR="008C3A83" w:rsidRPr="008C3A83" w:rsidRDefault="008C3A83" w:rsidP="008C3A83">
            <w:pPr>
              <w:shd w:val="clear" w:color="auto" w:fill="FFFFFF"/>
              <w:spacing w:before="120"/>
              <w:jc w:val="both"/>
              <w:rPr>
                <w:sz w:val="20"/>
                <w:szCs w:val="26"/>
              </w:rPr>
            </w:pPr>
            <w:r w:rsidRPr="008C3A83">
              <w:rPr>
                <w:sz w:val="20"/>
                <w:szCs w:val="26"/>
              </w:rPr>
              <w:t>„1) šā panta pirmajā, otrajā, trešajā, ceturtajā un piektajā daļā minētām nepakārtotām saistībām ir tāda pati kreditoru prasījumu apmierināšanas prioritāte maksātnespējas procesā kā konkrētām saistībām, kas  izslēgtas no norakstīšanas un konvertācijas tiesību piemērošanas saskaņā ar šā likuma 54. panta pirmo vai ceturto daļu;”</w:t>
            </w:r>
          </w:p>
          <w:p w14:paraId="39A197D3" w14:textId="26E25598" w:rsidR="00A16723" w:rsidRPr="009A41F3" w:rsidRDefault="00A16723" w:rsidP="00A16723">
            <w:pPr>
              <w:pStyle w:val="NoSpacing"/>
              <w:jc w:val="both"/>
              <w:rPr>
                <w:rFonts w:ascii="Times New Roman" w:eastAsia="Times New Roman" w:hAnsi="Times New Roman"/>
                <w:bCs/>
                <w:color w:val="000000" w:themeColor="text1"/>
                <w:sz w:val="20"/>
                <w:szCs w:val="20"/>
                <w:shd w:val="clear" w:color="auto" w:fill="FFFFFF"/>
                <w:lang w:eastAsia="lv-LV"/>
              </w:rPr>
            </w:pPr>
          </w:p>
        </w:tc>
      </w:tr>
      <w:tr w:rsidR="00D70AE0" w:rsidRPr="009A41F3" w14:paraId="6F0CE216" w14:textId="77777777" w:rsidTr="00171644">
        <w:tc>
          <w:tcPr>
            <w:tcW w:w="560" w:type="dxa"/>
            <w:tcBorders>
              <w:top w:val="single" w:sz="6" w:space="0" w:color="000000"/>
              <w:left w:val="single" w:sz="6" w:space="0" w:color="000000"/>
              <w:bottom w:val="single" w:sz="6" w:space="0" w:color="000000"/>
              <w:right w:val="single" w:sz="6" w:space="0" w:color="000000"/>
            </w:tcBorders>
          </w:tcPr>
          <w:p w14:paraId="46DF60FE" w14:textId="14B3DBD7" w:rsidR="00D70AE0" w:rsidRDefault="00D70AE0" w:rsidP="00A16723">
            <w:pPr>
              <w:pStyle w:val="naisc"/>
              <w:spacing w:before="0" w:after="0"/>
              <w:rPr>
                <w:sz w:val="20"/>
                <w:szCs w:val="20"/>
              </w:rPr>
            </w:pPr>
            <w:r>
              <w:rPr>
                <w:sz w:val="20"/>
                <w:szCs w:val="20"/>
              </w:rPr>
              <w:t xml:space="preserve">5. </w:t>
            </w:r>
          </w:p>
        </w:tc>
        <w:tc>
          <w:tcPr>
            <w:tcW w:w="2551" w:type="dxa"/>
            <w:tcBorders>
              <w:top w:val="single" w:sz="6" w:space="0" w:color="000000"/>
              <w:left w:val="single" w:sz="6" w:space="0" w:color="000000"/>
              <w:bottom w:val="single" w:sz="6" w:space="0" w:color="000000"/>
              <w:right w:val="single" w:sz="6" w:space="0" w:color="000000"/>
            </w:tcBorders>
          </w:tcPr>
          <w:p w14:paraId="0298D79B" w14:textId="27070560" w:rsidR="00D70AE0" w:rsidRPr="008C3A83" w:rsidRDefault="00D70AE0" w:rsidP="00894D8B">
            <w:pPr>
              <w:shd w:val="clear" w:color="auto" w:fill="FFFFFF"/>
              <w:spacing w:before="120"/>
              <w:jc w:val="both"/>
              <w:rPr>
                <w:bCs/>
                <w:sz w:val="20"/>
              </w:rPr>
            </w:pPr>
            <w:r>
              <w:rPr>
                <w:bCs/>
                <w:sz w:val="20"/>
              </w:rPr>
              <w:t>-</w:t>
            </w:r>
          </w:p>
        </w:tc>
        <w:tc>
          <w:tcPr>
            <w:tcW w:w="4111" w:type="dxa"/>
            <w:tcBorders>
              <w:top w:val="single" w:sz="6" w:space="0" w:color="000000"/>
              <w:left w:val="single" w:sz="6" w:space="0" w:color="000000"/>
              <w:bottom w:val="single" w:sz="6" w:space="0" w:color="000000"/>
              <w:right w:val="single" w:sz="6" w:space="0" w:color="000000"/>
            </w:tcBorders>
          </w:tcPr>
          <w:p w14:paraId="3B6BE25D" w14:textId="77777777" w:rsidR="00D70AE0" w:rsidRDefault="00D70AE0" w:rsidP="008C3A83">
            <w:pPr>
              <w:jc w:val="center"/>
              <w:rPr>
                <w:b/>
                <w:bCs/>
                <w:color w:val="000000" w:themeColor="text1"/>
                <w:sz w:val="20"/>
                <w:szCs w:val="20"/>
                <w:shd w:val="clear" w:color="auto" w:fill="FFFFFF"/>
              </w:rPr>
            </w:pPr>
            <w:r>
              <w:rPr>
                <w:b/>
                <w:bCs/>
                <w:color w:val="000000" w:themeColor="text1"/>
                <w:sz w:val="20"/>
                <w:szCs w:val="20"/>
                <w:shd w:val="clear" w:color="auto" w:fill="FFFFFF"/>
              </w:rPr>
              <w:t>Latvijas Finanšu nozares asociācija</w:t>
            </w:r>
          </w:p>
          <w:p w14:paraId="34D7DD8E" w14:textId="77777777" w:rsidR="00D70AE0" w:rsidRDefault="00D70AE0" w:rsidP="008C3A83">
            <w:pPr>
              <w:jc w:val="center"/>
              <w:rPr>
                <w:b/>
                <w:bCs/>
                <w:color w:val="000000" w:themeColor="text1"/>
                <w:sz w:val="20"/>
                <w:szCs w:val="20"/>
                <w:shd w:val="clear" w:color="auto" w:fill="FFFFFF"/>
              </w:rPr>
            </w:pPr>
          </w:p>
          <w:p w14:paraId="3C93F4EE" w14:textId="585B6D45" w:rsidR="00D70AE0" w:rsidRPr="00D70AE0" w:rsidRDefault="00D70AE0" w:rsidP="00D70AE0">
            <w:pPr>
              <w:jc w:val="both"/>
              <w:rPr>
                <w:b/>
                <w:bCs/>
                <w:color w:val="000000" w:themeColor="text1"/>
                <w:sz w:val="20"/>
                <w:szCs w:val="20"/>
                <w:shd w:val="clear" w:color="auto" w:fill="FFFFFF"/>
              </w:rPr>
            </w:pPr>
            <w:r w:rsidRPr="00D70AE0">
              <w:rPr>
                <w:sz w:val="20"/>
                <w:szCs w:val="26"/>
              </w:rPr>
              <w:t xml:space="preserve">Lai ikvienam būtu skaidra likumprojekta būtība un ietekme, ņemot vērā likumprojekta sarežģītību un to, ka daļa no likumprojekta šobrīd neskartu nevienu kredītiestādi, kas darbojas Latvijā, lūdzam papildināt anotāciju ar vienkāršu un ikvienam uztveramu informāciju (iespējams, </w:t>
            </w:r>
            <w:r w:rsidRPr="00D70AE0">
              <w:rPr>
                <w:sz w:val="20"/>
                <w:szCs w:val="26"/>
              </w:rPr>
              <w:lastRenderedPageBreak/>
              <w:t>ka to var veidot īsas tabulas veidā), kā likumprojekts, salīdzinot ar esošo situāciju (iepriekš bija šādi, plānots, ka būs šādi, proti, kādi jauni pienākumi rodas un kā mainās aprēķina metodika), attiecas un ietekmē Latvijā darbojošās kredītiestādes (arī tās, kuras netiek pakļautas likumprojektam), sadalot tās pa kredītiestāžu grupām, kuras šobrīd darbojas Latvijā.</w:t>
            </w:r>
          </w:p>
        </w:tc>
        <w:tc>
          <w:tcPr>
            <w:tcW w:w="3659" w:type="dxa"/>
            <w:gridSpan w:val="2"/>
            <w:tcBorders>
              <w:top w:val="single" w:sz="6" w:space="0" w:color="000000"/>
              <w:left w:val="single" w:sz="6" w:space="0" w:color="000000"/>
              <w:bottom w:val="single" w:sz="6" w:space="0" w:color="000000"/>
              <w:right w:val="single" w:sz="6" w:space="0" w:color="000000"/>
            </w:tcBorders>
          </w:tcPr>
          <w:p w14:paraId="13281AF8" w14:textId="1F1B366D" w:rsidR="00D70AE0" w:rsidRPr="00894D8B" w:rsidRDefault="00D70AE0" w:rsidP="00894D8B">
            <w:pPr>
              <w:pStyle w:val="naisc"/>
              <w:spacing w:before="0" w:after="0"/>
              <w:rPr>
                <w:b/>
                <w:bCs/>
                <w:color w:val="000000" w:themeColor="text1"/>
                <w:sz w:val="20"/>
                <w:szCs w:val="20"/>
                <w:shd w:val="clear" w:color="auto" w:fill="FFFFFF"/>
              </w:rPr>
            </w:pPr>
            <w:r>
              <w:rPr>
                <w:b/>
                <w:bCs/>
                <w:color w:val="000000" w:themeColor="text1"/>
                <w:sz w:val="20"/>
                <w:szCs w:val="20"/>
                <w:shd w:val="clear" w:color="auto" w:fill="FFFFFF"/>
              </w:rPr>
              <w:lastRenderedPageBreak/>
              <w:t>Iebildums ņemts vērā</w:t>
            </w:r>
          </w:p>
        </w:tc>
        <w:tc>
          <w:tcPr>
            <w:tcW w:w="3428" w:type="dxa"/>
            <w:tcBorders>
              <w:top w:val="single" w:sz="4" w:space="0" w:color="auto"/>
              <w:left w:val="single" w:sz="4" w:space="0" w:color="auto"/>
              <w:bottom w:val="single" w:sz="4" w:space="0" w:color="auto"/>
            </w:tcBorders>
          </w:tcPr>
          <w:p w14:paraId="16E151BD" w14:textId="5A2E67E7" w:rsidR="00D70AE0" w:rsidRDefault="0051230A" w:rsidP="00894D8B">
            <w:pPr>
              <w:shd w:val="clear" w:color="auto" w:fill="FFFFFF"/>
              <w:spacing w:before="120"/>
              <w:jc w:val="both"/>
              <w:rPr>
                <w:bCs/>
                <w:sz w:val="20"/>
              </w:rPr>
            </w:pPr>
            <w:r>
              <w:rPr>
                <w:bCs/>
                <w:sz w:val="20"/>
              </w:rPr>
              <w:t>Anotācijas I sadaļas 2.punkts papildinā</w:t>
            </w:r>
            <w:r w:rsidR="00096354">
              <w:rPr>
                <w:bCs/>
                <w:sz w:val="20"/>
              </w:rPr>
              <w:t>t</w:t>
            </w:r>
            <w:r>
              <w:rPr>
                <w:bCs/>
                <w:sz w:val="20"/>
              </w:rPr>
              <w:t>s ar šādu informāciju:</w:t>
            </w:r>
          </w:p>
          <w:p w14:paraId="5D096DF7" w14:textId="08789D9E" w:rsidR="0051230A" w:rsidRPr="0051230A" w:rsidRDefault="0051230A" w:rsidP="0051230A">
            <w:pPr>
              <w:pStyle w:val="Normal2"/>
              <w:shd w:val="clear" w:color="auto" w:fill="FFFFFF"/>
              <w:spacing w:before="120" w:beforeAutospacing="0" w:after="120" w:afterAutospacing="0"/>
              <w:jc w:val="both"/>
              <w:rPr>
                <w:bCs/>
                <w:sz w:val="20"/>
                <w:shd w:val="clear" w:color="auto" w:fill="FFFFFF"/>
              </w:rPr>
            </w:pPr>
            <w:r>
              <w:rPr>
                <w:bCs/>
                <w:sz w:val="20"/>
                <w:shd w:val="clear" w:color="auto" w:fill="FFFFFF"/>
              </w:rPr>
              <w:t>„</w:t>
            </w:r>
            <w:r w:rsidRPr="0051230A">
              <w:rPr>
                <w:bCs/>
                <w:sz w:val="20"/>
                <w:shd w:val="clear" w:color="auto" w:fill="FFFFFF"/>
              </w:rPr>
              <w:t>Direktīvas (ES) 2019/879 grozījumi skar vairākas noregulējuma jomas ar mērķi:</w:t>
            </w:r>
          </w:p>
          <w:p w14:paraId="4DCC804F" w14:textId="595FA283" w:rsidR="0051230A" w:rsidRPr="0051230A" w:rsidRDefault="0051230A" w:rsidP="0051230A">
            <w:pPr>
              <w:pStyle w:val="Normal2"/>
              <w:shd w:val="clear" w:color="auto" w:fill="FFFFFF"/>
              <w:spacing w:before="120" w:beforeAutospacing="0" w:after="120" w:afterAutospacing="0"/>
              <w:jc w:val="both"/>
              <w:rPr>
                <w:bCs/>
                <w:sz w:val="20"/>
                <w:shd w:val="clear" w:color="auto" w:fill="FFFFFF"/>
              </w:rPr>
            </w:pPr>
            <w:r>
              <w:rPr>
                <w:sz w:val="20"/>
              </w:rPr>
              <w:t xml:space="preserve">1) </w:t>
            </w:r>
            <w:r w:rsidRPr="0051230A">
              <w:rPr>
                <w:sz w:val="20"/>
              </w:rPr>
              <w:t xml:space="preserve">nodrošināt līdzsvaru starp piederības valstu un uzņēmēju valstu </w:t>
            </w:r>
            <w:r w:rsidRPr="0051230A">
              <w:rPr>
                <w:i/>
                <w:sz w:val="20"/>
              </w:rPr>
              <w:t>(home-host)</w:t>
            </w:r>
            <w:r w:rsidRPr="0051230A">
              <w:rPr>
                <w:sz w:val="20"/>
              </w:rPr>
              <w:t xml:space="preserve"> </w:t>
            </w:r>
            <w:r w:rsidRPr="0051230A">
              <w:rPr>
                <w:sz w:val="20"/>
              </w:rPr>
              <w:lastRenderedPageBreak/>
              <w:t xml:space="preserve">noregulējuma iestāžu pilnvarām pārrobežu grupās ietilpstošo iestāžu noregulējumā. Likuma grozījumi ir būtiski Latvijai, kā uzņēmēja valsts </w:t>
            </w:r>
            <w:r w:rsidRPr="0051230A">
              <w:rPr>
                <w:i/>
                <w:sz w:val="20"/>
              </w:rPr>
              <w:t>(host)</w:t>
            </w:r>
            <w:r w:rsidRPr="0051230A">
              <w:rPr>
                <w:sz w:val="20"/>
              </w:rPr>
              <w:t>, jo Latvijā būtisku daļu (63% no sektora kopējiem aktīviem) finanšu tirgū aizņem citu dalībvalstu meitasuzņēmumi un filiāles. Likuma grozījumos skaidri atrunāts  noregulējuma process noregulējamas grupas līmenī un meitasuzņēmuma līmenī, kas netiek definēts kā noregulējamā vienība konsolidētās noregulējamās grup</w:t>
            </w:r>
            <w:r>
              <w:rPr>
                <w:sz w:val="20"/>
              </w:rPr>
              <w:t>as ietvaros;</w:t>
            </w:r>
          </w:p>
          <w:p w14:paraId="39633FE6" w14:textId="5A01D895" w:rsidR="0051230A" w:rsidRPr="0051230A" w:rsidRDefault="0051230A" w:rsidP="0051230A">
            <w:pPr>
              <w:pStyle w:val="Normal2"/>
              <w:shd w:val="clear" w:color="auto" w:fill="FFFFFF"/>
              <w:spacing w:before="120" w:beforeAutospacing="0" w:after="120" w:afterAutospacing="0"/>
              <w:jc w:val="both"/>
              <w:rPr>
                <w:bCs/>
                <w:sz w:val="20"/>
                <w:shd w:val="clear" w:color="auto" w:fill="FFFFFF"/>
              </w:rPr>
            </w:pPr>
            <w:r>
              <w:rPr>
                <w:bCs/>
                <w:sz w:val="20"/>
                <w:shd w:val="clear" w:color="auto" w:fill="FFFFFF"/>
              </w:rPr>
              <w:t xml:space="preserve">2) </w:t>
            </w:r>
            <w:r w:rsidRPr="0051230A">
              <w:rPr>
                <w:bCs/>
                <w:sz w:val="20"/>
                <w:shd w:val="clear" w:color="auto" w:fill="FFFFFF"/>
              </w:rPr>
              <w:t>harmonizēt un stiprināt iestāžu spēju absorbēt zaudējumus un nodrošināt kapitāla atjaunošanu, minimāli ietekmējot nodokļu maksātājus un finanšu stabilitāti. Likuma grozījumi paredz harmonizētu pieeju minimālo prasību kapitāla un atbilstīgo saistību (</w:t>
            </w:r>
            <w:r w:rsidRPr="0051230A">
              <w:rPr>
                <w:bCs/>
                <w:i/>
                <w:sz w:val="20"/>
                <w:shd w:val="clear" w:color="auto" w:fill="FFFFFF"/>
              </w:rPr>
              <w:t>MREL</w:t>
            </w:r>
            <w:r w:rsidRPr="0051230A">
              <w:rPr>
                <w:bCs/>
                <w:sz w:val="20"/>
                <w:shd w:val="clear" w:color="auto" w:fill="FFFFFF"/>
              </w:rPr>
              <w:t xml:space="preserve">)  noteikšanai, izpildei un kontrolei kā lielām globāli sistēmiskām iestādēm, tā arī visam pārējām iestādēm, ņemot vērā proporcionalitātes principu.   MREL ir svarīgs iestādēm, kurām noregulējuma plānā ir paredzētas noregulējuma darbības, jo tas ir sabiedrības interesēs. Savukārt, ja noregulējuma darbības nav sabiedrības interesēs, iestāde jālikvidē un šajā gadījumā iestādei nav jānodrošina pilna MREL prasība. Likuma grozījumi paredz stingrākus nosacījumus iestādes saistībām, kas varētu būt izmantojami MREL prasību izpildei. Latvijas kontekstā, pilnais MREL regulējums ir tieši saistošs kredītiestādēm ar 61% tirgus daļu sektora kopējos aktīvos. Likuma grozījumos ir noteikta papildu </w:t>
            </w:r>
            <w:r w:rsidRPr="0051230A">
              <w:rPr>
                <w:bCs/>
                <w:sz w:val="20"/>
                <w:shd w:val="clear" w:color="auto" w:fill="FFFFFF"/>
              </w:rPr>
              <w:lastRenderedPageBreak/>
              <w:t>prasība iekšējā MREL uzturēšanai iestādēm (meitasuzņēmumiem), kas ietilpst konsolidētā noregulējamā grupā, bet kuras individuāli nav noregulējamā vienības, lai nodrošinātu efektīvu grupas noregulējumu un īpaši nodrošinātu, ka meitasuzņēmumu zaudējumi tiek novirzīti mātes sabiedrībai un mātes sabiedrība tos absorbē, neietekmējot meitas sabiedrības ārējos kreditorus un nezaudējot kontroli par meitas sabiedrību. Tadējādi, lai izpildītu iekšējo  MREL, meitasuzņēmumiem ir jāemitē mātes sabiedrībai vai tā  brīža akcionāram iekšējie instrumenti;</w:t>
            </w:r>
          </w:p>
          <w:p w14:paraId="2F97354B" w14:textId="61FB1618" w:rsidR="0051230A" w:rsidRPr="0051230A" w:rsidRDefault="0051230A" w:rsidP="0051230A">
            <w:pPr>
              <w:pStyle w:val="Normal2"/>
              <w:shd w:val="clear" w:color="auto" w:fill="FFFFFF"/>
              <w:spacing w:before="120" w:beforeAutospacing="0" w:after="120" w:afterAutospacing="0"/>
              <w:jc w:val="both"/>
              <w:rPr>
                <w:bCs/>
                <w:sz w:val="20"/>
                <w:shd w:val="clear" w:color="auto" w:fill="FFFFFF"/>
              </w:rPr>
            </w:pPr>
            <w:r>
              <w:rPr>
                <w:bCs/>
                <w:sz w:val="20"/>
                <w:shd w:val="clear" w:color="auto" w:fill="FFFFFF"/>
              </w:rPr>
              <w:t xml:space="preserve">3) </w:t>
            </w:r>
            <w:r w:rsidRPr="0051230A">
              <w:rPr>
                <w:bCs/>
                <w:sz w:val="20"/>
                <w:shd w:val="clear" w:color="auto" w:fill="FFFFFF"/>
              </w:rPr>
              <w:t>pasargāt mazos (</w:t>
            </w:r>
            <w:r w:rsidRPr="0051230A">
              <w:rPr>
                <w:bCs/>
                <w:i/>
                <w:sz w:val="20"/>
                <w:shd w:val="clear" w:color="auto" w:fill="FFFFFF"/>
              </w:rPr>
              <w:t>retail</w:t>
            </w:r>
            <w:r w:rsidRPr="0051230A">
              <w:rPr>
                <w:bCs/>
                <w:sz w:val="20"/>
                <w:shd w:val="clear" w:color="auto" w:fill="FFFFFF"/>
              </w:rPr>
              <w:t>) noguldītājus un ieguldītājus noregulējuma procesā, t.sk. a) ir paredzēta iespēja segtajiem noguldījumiem noteikt dienā pieejamu pienācīgu noguldījumu summu, ko noguldītāji varēs saņemt ja kredītiestādes noregulējuma procesā uz laiku tiek apturēta maksājumu pakalpojumu sniegšanu; b) ir paredzēti aizsardzības nosacījumi maziem privātiem ieguldītājiem iegadāties MREL izpildei iestādes izlaistos finanšu instrumentus, jo šādi instrumenti ir ar paaugstinātu risku un ieņem īpašu vietu kreditoru hierarhijā ar mērķi izmantot iestādes zaudējumu segšanai noregulējuma gadījumā;</w:t>
            </w:r>
          </w:p>
          <w:p w14:paraId="56E456CF" w14:textId="7C2D870E" w:rsidR="0051230A" w:rsidRPr="0051230A" w:rsidRDefault="0051230A" w:rsidP="0051230A">
            <w:pPr>
              <w:pStyle w:val="Normal2"/>
              <w:shd w:val="clear" w:color="auto" w:fill="FFFFFF"/>
              <w:spacing w:before="120" w:beforeAutospacing="0" w:after="120" w:afterAutospacing="0"/>
              <w:jc w:val="both"/>
              <w:rPr>
                <w:bCs/>
                <w:sz w:val="20"/>
                <w:shd w:val="clear" w:color="auto" w:fill="FFFFFF"/>
              </w:rPr>
            </w:pPr>
            <w:r>
              <w:rPr>
                <w:bCs/>
                <w:sz w:val="20"/>
                <w:shd w:val="clear" w:color="auto" w:fill="FFFFFF"/>
              </w:rPr>
              <w:t xml:space="preserve">4) </w:t>
            </w:r>
            <w:r w:rsidRPr="0051230A">
              <w:rPr>
                <w:bCs/>
                <w:sz w:val="20"/>
                <w:shd w:val="clear" w:color="auto" w:fill="FFFFFF"/>
              </w:rPr>
              <w:t xml:space="preserve">nodrošināt, ka noregulējuma iestādēm ir pieejama informācija par noregulējamo iestāžu finanšu datiem noregulējuma instrumentu piemērošanai un MREL izpildes kontrolei. Likuma grozījumi paredz attiecīgo pārskatu apjomu un iesniegšanas kārtību, ņemot </w:t>
            </w:r>
            <w:r w:rsidRPr="0051230A">
              <w:rPr>
                <w:bCs/>
                <w:sz w:val="20"/>
                <w:shd w:val="clear" w:color="auto" w:fill="FFFFFF"/>
              </w:rPr>
              <w:lastRenderedPageBreak/>
              <w:t>vērā proporcionalitātes principu, kā arī informācijas par MREL prasībām atklāšanu iestādes publiskos pārskatos;</w:t>
            </w:r>
          </w:p>
          <w:p w14:paraId="049F51AC" w14:textId="5753F29D" w:rsidR="0051230A" w:rsidRPr="0051230A" w:rsidRDefault="0051230A" w:rsidP="0051230A">
            <w:pPr>
              <w:pStyle w:val="Normal2"/>
              <w:shd w:val="clear" w:color="auto" w:fill="FFFFFF"/>
              <w:spacing w:before="120" w:beforeAutospacing="0" w:after="120" w:afterAutospacing="0"/>
              <w:jc w:val="both"/>
              <w:rPr>
                <w:bCs/>
                <w:sz w:val="20"/>
                <w:shd w:val="clear" w:color="auto" w:fill="FFFFFF"/>
              </w:rPr>
            </w:pPr>
            <w:r>
              <w:rPr>
                <w:bCs/>
                <w:sz w:val="20"/>
                <w:shd w:val="clear" w:color="auto" w:fill="FFFFFF"/>
              </w:rPr>
              <w:t xml:space="preserve">5) </w:t>
            </w:r>
            <w:r w:rsidRPr="0051230A">
              <w:rPr>
                <w:bCs/>
                <w:sz w:val="20"/>
                <w:shd w:val="clear" w:color="auto" w:fill="FFFFFF"/>
              </w:rPr>
              <w:t>nodrošināt noregulējuma iestādēm iespēju veikt preventīvos pasākumus gadījumos, ja iestāde neievēro prasības noregulējuma jomā. Likuma grozījumos ir paredzētas tiesības noregulējuma iestādēm piemērot arī sankcijas,  t.sk. aizliegt iestādēm izmaksāt dividendes akcionāriem MREL prasību neievērošanas gadījumā.</w:t>
            </w:r>
            <w:r>
              <w:rPr>
                <w:bCs/>
                <w:sz w:val="20"/>
                <w:shd w:val="clear" w:color="auto" w:fill="FFFFFF"/>
              </w:rPr>
              <w:t>”</w:t>
            </w:r>
          </w:p>
        </w:tc>
      </w:tr>
      <w:tr w:rsidR="00D70AE0" w:rsidRPr="009A41F3" w14:paraId="5DB2FDC2" w14:textId="77777777" w:rsidTr="00171644">
        <w:tc>
          <w:tcPr>
            <w:tcW w:w="560" w:type="dxa"/>
            <w:tcBorders>
              <w:top w:val="single" w:sz="6" w:space="0" w:color="000000"/>
              <w:left w:val="single" w:sz="6" w:space="0" w:color="000000"/>
              <w:bottom w:val="single" w:sz="6" w:space="0" w:color="000000"/>
              <w:right w:val="single" w:sz="6" w:space="0" w:color="000000"/>
            </w:tcBorders>
          </w:tcPr>
          <w:p w14:paraId="4BE78399" w14:textId="7203C771" w:rsidR="00D70AE0" w:rsidRDefault="00D70AE0" w:rsidP="00A16723">
            <w:pPr>
              <w:pStyle w:val="naisc"/>
              <w:spacing w:before="0" w:after="0"/>
              <w:rPr>
                <w:sz w:val="20"/>
                <w:szCs w:val="20"/>
              </w:rPr>
            </w:pPr>
            <w:r>
              <w:rPr>
                <w:sz w:val="20"/>
                <w:szCs w:val="20"/>
              </w:rPr>
              <w:lastRenderedPageBreak/>
              <w:t xml:space="preserve">6. </w:t>
            </w:r>
          </w:p>
        </w:tc>
        <w:tc>
          <w:tcPr>
            <w:tcW w:w="2551" w:type="dxa"/>
            <w:tcBorders>
              <w:top w:val="single" w:sz="6" w:space="0" w:color="000000"/>
              <w:left w:val="single" w:sz="6" w:space="0" w:color="000000"/>
              <w:bottom w:val="single" w:sz="6" w:space="0" w:color="000000"/>
              <w:right w:val="single" w:sz="6" w:space="0" w:color="000000"/>
            </w:tcBorders>
          </w:tcPr>
          <w:p w14:paraId="0BB0647E" w14:textId="6C983A71" w:rsidR="00D70AE0" w:rsidRPr="008C3A83" w:rsidRDefault="00D70AE0" w:rsidP="00894D8B">
            <w:pPr>
              <w:shd w:val="clear" w:color="auto" w:fill="FFFFFF"/>
              <w:spacing w:before="120"/>
              <w:jc w:val="both"/>
              <w:rPr>
                <w:bCs/>
                <w:sz w:val="20"/>
              </w:rPr>
            </w:pPr>
            <w:r>
              <w:rPr>
                <w:bCs/>
                <w:sz w:val="20"/>
              </w:rPr>
              <w:t>-</w:t>
            </w:r>
          </w:p>
        </w:tc>
        <w:tc>
          <w:tcPr>
            <w:tcW w:w="4111" w:type="dxa"/>
            <w:tcBorders>
              <w:top w:val="single" w:sz="6" w:space="0" w:color="000000"/>
              <w:left w:val="single" w:sz="6" w:space="0" w:color="000000"/>
              <w:bottom w:val="single" w:sz="6" w:space="0" w:color="000000"/>
              <w:right w:val="single" w:sz="6" w:space="0" w:color="000000"/>
            </w:tcBorders>
          </w:tcPr>
          <w:p w14:paraId="143C6E50" w14:textId="77777777" w:rsidR="00D70AE0" w:rsidRDefault="00D70AE0" w:rsidP="00D70AE0">
            <w:pPr>
              <w:jc w:val="center"/>
              <w:rPr>
                <w:b/>
                <w:bCs/>
                <w:color w:val="000000" w:themeColor="text1"/>
                <w:sz w:val="20"/>
                <w:szCs w:val="20"/>
                <w:shd w:val="clear" w:color="auto" w:fill="FFFFFF"/>
              </w:rPr>
            </w:pPr>
            <w:r>
              <w:rPr>
                <w:b/>
                <w:bCs/>
                <w:color w:val="000000" w:themeColor="text1"/>
                <w:sz w:val="20"/>
                <w:szCs w:val="20"/>
                <w:shd w:val="clear" w:color="auto" w:fill="FFFFFF"/>
              </w:rPr>
              <w:t>Latvijas Finanšu nozares asociācija</w:t>
            </w:r>
          </w:p>
          <w:p w14:paraId="13EEACAA" w14:textId="77777777" w:rsidR="00D70AE0" w:rsidRDefault="00D70AE0" w:rsidP="00D70AE0">
            <w:pPr>
              <w:jc w:val="center"/>
              <w:rPr>
                <w:b/>
                <w:bCs/>
                <w:color w:val="000000" w:themeColor="text1"/>
                <w:sz w:val="20"/>
                <w:szCs w:val="20"/>
                <w:shd w:val="clear" w:color="auto" w:fill="FFFFFF"/>
              </w:rPr>
            </w:pPr>
          </w:p>
          <w:p w14:paraId="090BFC6F" w14:textId="248C138F" w:rsidR="00D70AE0" w:rsidRDefault="00D70AE0" w:rsidP="00D70AE0">
            <w:pPr>
              <w:jc w:val="both"/>
              <w:rPr>
                <w:b/>
                <w:bCs/>
                <w:color w:val="000000" w:themeColor="text1"/>
                <w:sz w:val="20"/>
                <w:szCs w:val="20"/>
                <w:shd w:val="clear" w:color="auto" w:fill="FFFFFF"/>
              </w:rPr>
            </w:pPr>
            <w:r w:rsidRPr="00D70AE0">
              <w:rPr>
                <w:sz w:val="20"/>
                <w:szCs w:val="26"/>
              </w:rPr>
              <w:t>Likumprojekts veidots uz Direktīvas bāzes, dažkārt to transponējot tieši un burtiski. Piemēram, tas satur norādi uz valsts maksātnespējas regulējumu. Lūdzam izvērtēt, vai šis likumprojekts nerada nepieciešamību precizēt Kredītiestāžu likumu.</w:t>
            </w:r>
          </w:p>
        </w:tc>
        <w:tc>
          <w:tcPr>
            <w:tcW w:w="3659" w:type="dxa"/>
            <w:gridSpan w:val="2"/>
            <w:tcBorders>
              <w:top w:val="single" w:sz="6" w:space="0" w:color="000000"/>
              <w:left w:val="single" w:sz="6" w:space="0" w:color="000000"/>
              <w:bottom w:val="single" w:sz="6" w:space="0" w:color="000000"/>
              <w:right w:val="single" w:sz="6" w:space="0" w:color="000000"/>
            </w:tcBorders>
          </w:tcPr>
          <w:p w14:paraId="24C2985D" w14:textId="77777777" w:rsidR="00D70AE0" w:rsidRDefault="00D70AE0" w:rsidP="00894D8B">
            <w:pPr>
              <w:pStyle w:val="naisc"/>
              <w:spacing w:before="0" w:after="0"/>
              <w:rPr>
                <w:b/>
                <w:bCs/>
                <w:color w:val="000000" w:themeColor="text1"/>
                <w:sz w:val="20"/>
                <w:szCs w:val="20"/>
                <w:shd w:val="clear" w:color="auto" w:fill="FFFFFF"/>
              </w:rPr>
            </w:pPr>
            <w:r>
              <w:rPr>
                <w:b/>
                <w:bCs/>
                <w:color w:val="000000" w:themeColor="text1"/>
                <w:sz w:val="20"/>
                <w:szCs w:val="20"/>
                <w:shd w:val="clear" w:color="auto" w:fill="FFFFFF"/>
              </w:rPr>
              <w:t>Iebildums ņemts vērā</w:t>
            </w:r>
          </w:p>
          <w:p w14:paraId="585C0059" w14:textId="77777777" w:rsidR="00F1181B" w:rsidRDefault="00F1181B" w:rsidP="00894D8B">
            <w:pPr>
              <w:pStyle w:val="naisc"/>
              <w:spacing w:before="0" w:after="0"/>
              <w:rPr>
                <w:b/>
                <w:bCs/>
                <w:color w:val="000000" w:themeColor="text1"/>
                <w:sz w:val="20"/>
                <w:szCs w:val="20"/>
                <w:shd w:val="clear" w:color="auto" w:fill="FFFFFF"/>
              </w:rPr>
            </w:pPr>
          </w:p>
          <w:p w14:paraId="2BDFECD1" w14:textId="7A0BE793" w:rsidR="00F1181B" w:rsidRPr="000B716F" w:rsidRDefault="000B716F" w:rsidP="000B716F">
            <w:pPr>
              <w:pStyle w:val="naisc"/>
              <w:spacing w:before="0" w:after="0"/>
              <w:jc w:val="both"/>
              <w:rPr>
                <w:bCs/>
                <w:color w:val="000000" w:themeColor="text1"/>
                <w:sz w:val="20"/>
                <w:szCs w:val="20"/>
                <w:shd w:val="clear" w:color="auto" w:fill="FFFFFF"/>
              </w:rPr>
            </w:pPr>
            <w:r>
              <w:rPr>
                <w:bCs/>
                <w:color w:val="000000" w:themeColor="text1"/>
                <w:sz w:val="20"/>
                <w:szCs w:val="20"/>
                <w:shd w:val="clear" w:color="auto" w:fill="FFFFFF"/>
              </w:rPr>
              <w:t xml:space="preserve">Direktīvas ieviešanai nepieciešamie Kredītiestāžu likuma grozījumi ir </w:t>
            </w:r>
            <w:r w:rsidRPr="00B37190">
              <w:rPr>
                <w:bCs/>
                <w:color w:val="000000" w:themeColor="text1"/>
                <w:sz w:val="20"/>
                <w:szCs w:val="20"/>
                <w:shd w:val="clear" w:color="auto" w:fill="FFFFFF"/>
              </w:rPr>
              <w:t xml:space="preserve">izstrādāti un tiek virzīti izskatīšanai Ministru Kabinetā likumprojektā „Grozījumi Kredītiestāžu likumā”, kas </w:t>
            </w:r>
            <w:r w:rsidRPr="00B37190">
              <w:rPr>
                <w:color w:val="000000"/>
                <w:sz w:val="20"/>
                <w:szCs w:val="20"/>
              </w:rPr>
              <w:t xml:space="preserve">izstrādāts, lai pārņemtu Eiropas Parlamenta un </w:t>
            </w:r>
            <w:r w:rsidRPr="00B37190">
              <w:rPr>
                <w:bCs/>
                <w:color w:val="000000" w:themeColor="text1"/>
                <w:sz w:val="20"/>
                <w:szCs w:val="20"/>
                <w:shd w:val="clear" w:color="auto" w:fill="FFFFFF"/>
              </w:rPr>
              <w:t>Padomes 2019. gada 20. maija Direktīvu (ES) 2019/878, ar ko groza Direktīvu 2013/36/ES attiecībā uz atbrīvotajām sabiedrībām, finanšu pārvaldītājsabiedrībām</w:t>
            </w:r>
            <w:r w:rsidRPr="00B37190">
              <w:rPr>
                <w:color w:val="000000"/>
                <w:sz w:val="20"/>
                <w:szCs w:val="20"/>
              </w:rPr>
              <w:t>, jauktām finanšu pārvaldītājsabiedrībām, atalgojumu, uzraudzības pasākumiem un pilnvarām, kā arī kapitāla saglabāšanas pasākumiem.</w:t>
            </w:r>
            <w:r w:rsidRPr="000B716F">
              <w:rPr>
                <w:bCs/>
                <w:color w:val="000000" w:themeColor="text1"/>
                <w:sz w:val="16"/>
                <w:szCs w:val="20"/>
                <w:shd w:val="clear" w:color="auto" w:fill="FFFFFF"/>
              </w:rPr>
              <w:t xml:space="preserve"> </w:t>
            </w:r>
          </w:p>
        </w:tc>
        <w:tc>
          <w:tcPr>
            <w:tcW w:w="3428" w:type="dxa"/>
            <w:tcBorders>
              <w:top w:val="single" w:sz="4" w:space="0" w:color="auto"/>
              <w:left w:val="single" w:sz="4" w:space="0" w:color="auto"/>
              <w:bottom w:val="single" w:sz="4" w:space="0" w:color="auto"/>
            </w:tcBorders>
          </w:tcPr>
          <w:p w14:paraId="488CD422" w14:textId="39419A20" w:rsidR="00D70AE0" w:rsidRPr="008C3A83" w:rsidRDefault="00F1181B" w:rsidP="00894D8B">
            <w:pPr>
              <w:shd w:val="clear" w:color="auto" w:fill="FFFFFF"/>
              <w:spacing w:before="120"/>
              <w:jc w:val="both"/>
              <w:rPr>
                <w:bCs/>
                <w:sz w:val="20"/>
              </w:rPr>
            </w:pPr>
            <w:r>
              <w:rPr>
                <w:bCs/>
                <w:sz w:val="20"/>
              </w:rPr>
              <w:t>-</w:t>
            </w:r>
          </w:p>
        </w:tc>
      </w:tr>
      <w:tr w:rsidR="00D70AE0" w:rsidRPr="009A41F3" w14:paraId="6425AEE8" w14:textId="77777777" w:rsidTr="00171644">
        <w:tc>
          <w:tcPr>
            <w:tcW w:w="560" w:type="dxa"/>
            <w:tcBorders>
              <w:top w:val="single" w:sz="6" w:space="0" w:color="000000"/>
              <w:left w:val="single" w:sz="6" w:space="0" w:color="000000"/>
              <w:bottom w:val="single" w:sz="6" w:space="0" w:color="000000"/>
              <w:right w:val="single" w:sz="6" w:space="0" w:color="000000"/>
            </w:tcBorders>
          </w:tcPr>
          <w:p w14:paraId="1C9E3CB1" w14:textId="193A34C7" w:rsidR="00D70AE0" w:rsidRDefault="00D70AE0" w:rsidP="00A16723">
            <w:pPr>
              <w:pStyle w:val="naisc"/>
              <w:spacing w:before="0" w:after="0"/>
              <w:rPr>
                <w:sz w:val="20"/>
                <w:szCs w:val="20"/>
              </w:rPr>
            </w:pPr>
            <w:r>
              <w:rPr>
                <w:sz w:val="20"/>
                <w:szCs w:val="20"/>
              </w:rPr>
              <w:t>7.</w:t>
            </w:r>
          </w:p>
        </w:tc>
        <w:tc>
          <w:tcPr>
            <w:tcW w:w="2551" w:type="dxa"/>
            <w:tcBorders>
              <w:top w:val="single" w:sz="6" w:space="0" w:color="000000"/>
              <w:left w:val="single" w:sz="6" w:space="0" w:color="000000"/>
              <w:bottom w:val="single" w:sz="6" w:space="0" w:color="000000"/>
              <w:right w:val="single" w:sz="6" w:space="0" w:color="000000"/>
            </w:tcBorders>
          </w:tcPr>
          <w:p w14:paraId="7DCAF4C9" w14:textId="73F27A5A" w:rsidR="00F1181B" w:rsidRDefault="00F1181B" w:rsidP="00F1181B">
            <w:pPr>
              <w:spacing w:before="120"/>
              <w:jc w:val="both"/>
              <w:rPr>
                <w:sz w:val="20"/>
                <w:szCs w:val="26"/>
              </w:rPr>
            </w:pPr>
            <w:r>
              <w:rPr>
                <w:sz w:val="20"/>
                <w:szCs w:val="26"/>
              </w:rPr>
              <w:t xml:space="preserve">Likumprojekta 1.pantā </w:t>
            </w:r>
            <w:r w:rsidRPr="00500B2A">
              <w:rPr>
                <w:sz w:val="20"/>
              </w:rPr>
              <w:t>ietvertā Kredītiestāžu un ieguldījumu brokeru sabiedrību darbības atjauno</w:t>
            </w:r>
            <w:r>
              <w:rPr>
                <w:sz w:val="20"/>
              </w:rPr>
              <w:t>šanas un noregulējuma likuma 1.</w:t>
            </w:r>
            <w:r w:rsidRPr="00500B2A">
              <w:rPr>
                <w:sz w:val="20"/>
              </w:rPr>
              <w:t> panta</w:t>
            </w:r>
            <w:r>
              <w:rPr>
                <w:sz w:val="20"/>
              </w:rPr>
              <w:t xml:space="preserve"> </w:t>
            </w:r>
            <w:r w:rsidRPr="00D70AE0">
              <w:rPr>
                <w:sz w:val="20"/>
                <w:szCs w:val="26"/>
              </w:rPr>
              <w:t>48.</w:t>
            </w:r>
            <w:r w:rsidRPr="00D70AE0">
              <w:rPr>
                <w:sz w:val="20"/>
                <w:szCs w:val="26"/>
                <w:vertAlign w:val="superscript"/>
              </w:rPr>
              <w:t>1</w:t>
            </w:r>
            <w:r>
              <w:rPr>
                <w:sz w:val="20"/>
                <w:szCs w:val="26"/>
              </w:rPr>
              <w:t xml:space="preserve"> punkts</w:t>
            </w:r>
            <w:r>
              <w:rPr>
                <w:sz w:val="20"/>
              </w:rPr>
              <w:t>:</w:t>
            </w:r>
          </w:p>
          <w:p w14:paraId="7D8B1BE0" w14:textId="4637D135" w:rsidR="00D70AE0" w:rsidRPr="008C3A83" w:rsidRDefault="00F1181B" w:rsidP="00F1181B">
            <w:pPr>
              <w:shd w:val="clear" w:color="auto" w:fill="FFFFFF"/>
              <w:spacing w:before="120"/>
              <w:jc w:val="both"/>
              <w:rPr>
                <w:bCs/>
                <w:sz w:val="20"/>
              </w:rPr>
            </w:pPr>
            <w:r w:rsidRPr="00F1181B">
              <w:rPr>
                <w:bCs/>
                <w:sz w:val="14"/>
              </w:rPr>
              <w:t>„</w:t>
            </w:r>
            <w:r w:rsidRPr="00F1181B">
              <w:rPr>
                <w:sz w:val="20"/>
                <w:szCs w:val="26"/>
              </w:rPr>
              <w:t>48</w:t>
            </w:r>
            <w:r w:rsidRPr="00F1181B">
              <w:rPr>
                <w:sz w:val="20"/>
                <w:szCs w:val="26"/>
                <w:vertAlign w:val="superscript"/>
              </w:rPr>
              <w:t>1</w:t>
            </w:r>
            <w:r w:rsidRPr="00F1181B">
              <w:rPr>
                <w:sz w:val="20"/>
                <w:szCs w:val="26"/>
              </w:rPr>
              <w:t xml:space="preserve">) </w:t>
            </w:r>
            <w:r w:rsidRPr="00F1181B">
              <w:rPr>
                <w:b/>
                <w:sz w:val="20"/>
                <w:szCs w:val="26"/>
              </w:rPr>
              <w:t>subordinēti atbilstīgie instrumenti</w:t>
            </w:r>
            <w:r w:rsidRPr="00F1181B">
              <w:rPr>
                <w:sz w:val="20"/>
                <w:szCs w:val="26"/>
              </w:rPr>
              <w:t xml:space="preserve"> – instrumenti, kas atbilst visiem Regulas </w:t>
            </w:r>
            <w:r w:rsidRPr="00F1181B">
              <w:rPr>
                <w:sz w:val="20"/>
                <w:szCs w:val="26"/>
              </w:rPr>
              <w:lastRenderedPageBreak/>
              <w:t>Nr. 575/2013 72.a panta, izņemot 72.b panta 3., 4. un 5. punkta nosacījumiem;”</w:t>
            </w:r>
          </w:p>
        </w:tc>
        <w:tc>
          <w:tcPr>
            <w:tcW w:w="4111" w:type="dxa"/>
            <w:tcBorders>
              <w:top w:val="single" w:sz="6" w:space="0" w:color="000000"/>
              <w:left w:val="single" w:sz="6" w:space="0" w:color="000000"/>
              <w:bottom w:val="single" w:sz="6" w:space="0" w:color="000000"/>
              <w:right w:val="single" w:sz="6" w:space="0" w:color="000000"/>
            </w:tcBorders>
          </w:tcPr>
          <w:p w14:paraId="6D609D65" w14:textId="77777777" w:rsidR="00D70AE0" w:rsidRDefault="00D70AE0" w:rsidP="00D70AE0">
            <w:pPr>
              <w:jc w:val="center"/>
              <w:rPr>
                <w:b/>
                <w:bCs/>
                <w:color w:val="000000" w:themeColor="text1"/>
                <w:sz w:val="20"/>
                <w:szCs w:val="20"/>
                <w:shd w:val="clear" w:color="auto" w:fill="FFFFFF"/>
              </w:rPr>
            </w:pPr>
            <w:r>
              <w:rPr>
                <w:b/>
                <w:bCs/>
                <w:color w:val="000000" w:themeColor="text1"/>
                <w:sz w:val="20"/>
                <w:szCs w:val="20"/>
                <w:shd w:val="clear" w:color="auto" w:fill="FFFFFF"/>
              </w:rPr>
              <w:lastRenderedPageBreak/>
              <w:t>Latvijas Finanšu nozares asociācija</w:t>
            </w:r>
          </w:p>
          <w:p w14:paraId="1524D891" w14:textId="77777777" w:rsidR="00D70AE0" w:rsidRDefault="00D70AE0" w:rsidP="00D70AE0">
            <w:pPr>
              <w:jc w:val="center"/>
              <w:rPr>
                <w:b/>
                <w:bCs/>
                <w:color w:val="000000" w:themeColor="text1"/>
                <w:sz w:val="20"/>
                <w:szCs w:val="20"/>
                <w:shd w:val="clear" w:color="auto" w:fill="FFFFFF"/>
              </w:rPr>
            </w:pPr>
          </w:p>
          <w:p w14:paraId="56EDFDD1" w14:textId="74CF37D1" w:rsidR="00D70AE0" w:rsidRPr="00D70AE0" w:rsidRDefault="00D70AE0" w:rsidP="00D70AE0">
            <w:pPr>
              <w:pStyle w:val="NoSpacing"/>
              <w:jc w:val="both"/>
              <w:rPr>
                <w:rFonts w:ascii="Times New Roman" w:eastAsia="Times New Roman" w:hAnsi="Times New Roman"/>
                <w:sz w:val="20"/>
                <w:szCs w:val="26"/>
                <w:lang w:eastAsia="lv-LV"/>
              </w:rPr>
            </w:pPr>
            <w:r w:rsidRPr="00D70AE0">
              <w:rPr>
                <w:rFonts w:ascii="Times New Roman" w:eastAsia="Times New Roman" w:hAnsi="Times New Roman"/>
                <w:sz w:val="20"/>
                <w:szCs w:val="26"/>
                <w:lang w:eastAsia="lv-LV"/>
              </w:rPr>
              <w:t>Likumprojekta 1. pants tiek papildināts ar 48.</w:t>
            </w:r>
            <w:r w:rsidRPr="00D70AE0">
              <w:rPr>
                <w:rFonts w:ascii="Times New Roman" w:eastAsia="Times New Roman" w:hAnsi="Times New Roman"/>
                <w:sz w:val="20"/>
                <w:szCs w:val="26"/>
                <w:vertAlign w:val="superscript"/>
                <w:lang w:eastAsia="lv-LV"/>
              </w:rPr>
              <w:t>1</w:t>
            </w:r>
            <w:r w:rsidRPr="00D70AE0">
              <w:rPr>
                <w:rFonts w:ascii="Times New Roman" w:eastAsia="Times New Roman" w:hAnsi="Times New Roman"/>
                <w:sz w:val="20"/>
                <w:szCs w:val="26"/>
                <w:lang w:eastAsia="lv-LV"/>
              </w:rPr>
              <w:t xml:space="preserve"> punktu šādā redakcijā: subordinēti atbilstīgie instrumenti – instrumenti, kas atbilst visiem Regulas Nr. 575/2013 72.a panta, izņemot 72.b panta 3., 4. un 5. punkta nosacījumiem. </w:t>
            </w:r>
          </w:p>
          <w:p w14:paraId="032F1F09" w14:textId="77777777" w:rsidR="00D70AE0" w:rsidRPr="00D70AE0" w:rsidRDefault="00D70AE0" w:rsidP="00D70AE0">
            <w:pPr>
              <w:pStyle w:val="NoSpacing"/>
              <w:jc w:val="both"/>
              <w:rPr>
                <w:rFonts w:ascii="Times New Roman" w:eastAsia="Times New Roman" w:hAnsi="Times New Roman"/>
                <w:sz w:val="20"/>
                <w:szCs w:val="26"/>
                <w:lang w:eastAsia="lv-LV"/>
              </w:rPr>
            </w:pPr>
            <w:r w:rsidRPr="00D70AE0">
              <w:rPr>
                <w:rFonts w:ascii="Times New Roman" w:eastAsia="Times New Roman" w:hAnsi="Times New Roman"/>
                <w:sz w:val="20"/>
                <w:szCs w:val="26"/>
                <w:lang w:eastAsia="lv-LV"/>
              </w:rPr>
              <w:t xml:space="preserve">Regulas 72.b pants noteic kritērijus, kuriem ir jāatbilst attiecīgajām saistībām, lai tās tiktu kvalificētas kā subordinētie atbilstīgie instrumenti Regulas izpratnē. Atbilstoši Regulas </w:t>
            </w:r>
            <w:r w:rsidRPr="00D70AE0">
              <w:rPr>
                <w:rFonts w:ascii="Times New Roman" w:eastAsia="Times New Roman" w:hAnsi="Times New Roman"/>
                <w:sz w:val="20"/>
                <w:szCs w:val="26"/>
                <w:lang w:eastAsia="lv-LV"/>
              </w:rPr>
              <w:lastRenderedPageBreak/>
              <w:t>72.b panta otrās daļas a. punktam subordinētie atbilstīgie instrumenti ir definēti kā saistības, ko iestāde “ir tieši emitējusi vai – attiecīgā gadījumā – tieši piešķīrusi”. Tas nozīmē, ka šīs saistības pēc juridiskas formas var būt gan saistības, pamatojoties uz emitētajiem parāda vērtspapīriem (saistības, ko iestāde ir emitējusi), gan arī saistības aizdevuma līguma formā (saistības, ko iestāde ir piešķīrusi). Šādai interpretācijai pievienojas arī Eiropas Centrālā banka, tā tas arī ir definēts citos Eiropas Savienības tiesību aktos.</w:t>
            </w:r>
          </w:p>
          <w:p w14:paraId="41C64328" w14:textId="77777777" w:rsidR="00D70AE0" w:rsidRPr="00D70AE0" w:rsidRDefault="00D70AE0" w:rsidP="00D70AE0">
            <w:pPr>
              <w:pStyle w:val="NoSpacing"/>
              <w:jc w:val="both"/>
              <w:rPr>
                <w:rFonts w:ascii="Times New Roman" w:eastAsia="Times New Roman" w:hAnsi="Times New Roman"/>
                <w:sz w:val="20"/>
                <w:szCs w:val="26"/>
                <w:lang w:eastAsia="lv-LV"/>
              </w:rPr>
            </w:pPr>
            <w:r w:rsidRPr="00D70AE0">
              <w:rPr>
                <w:rFonts w:ascii="Times New Roman" w:eastAsia="Times New Roman" w:hAnsi="Times New Roman"/>
                <w:sz w:val="20"/>
                <w:szCs w:val="26"/>
                <w:lang w:eastAsia="lv-LV"/>
              </w:rPr>
              <w:t>Saistības var tikt uzskatītas par subordinētiem atbilstīgajiem instrumentiem, ja tās iestādes maksātnespējas gadījumā ierindojas attiecīgajā vietā kreditoru saistību hierarhijā atbilstoši maksātnespējas procesu regulējošajām normām. Kredītiestāžu maksātnespējas procesu regulē Kredītiestāžu likums un kredītiestādes kreditoru prasījumu hierarhija maksātnespējas procesā ir noteikta Kredītiestāžu likuma 139.</w:t>
            </w:r>
            <w:r w:rsidRPr="000B716F">
              <w:rPr>
                <w:rFonts w:ascii="Times New Roman" w:eastAsia="Times New Roman" w:hAnsi="Times New Roman"/>
                <w:sz w:val="20"/>
                <w:szCs w:val="26"/>
                <w:vertAlign w:val="superscript"/>
                <w:lang w:eastAsia="lv-LV"/>
              </w:rPr>
              <w:t>2</w:t>
            </w:r>
            <w:r w:rsidRPr="00D70AE0">
              <w:rPr>
                <w:rFonts w:ascii="Times New Roman" w:eastAsia="Times New Roman" w:hAnsi="Times New Roman"/>
                <w:sz w:val="20"/>
                <w:szCs w:val="26"/>
                <w:lang w:eastAsia="lv-LV"/>
              </w:rPr>
              <w:t xml:space="preserve">  un 139.</w:t>
            </w:r>
            <w:r w:rsidRPr="000B716F">
              <w:rPr>
                <w:rFonts w:ascii="Times New Roman" w:eastAsia="Times New Roman" w:hAnsi="Times New Roman"/>
                <w:sz w:val="20"/>
                <w:szCs w:val="26"/>
                <w:vertAlign w:val="superscript"/>
                <w:lang w:eastAsia="lv-LV"/>
              </w:rPr>
              <w:t>3</w:t>
            </w:r>
            <w:r w:rsidRPr="00D70AE0">
              <w:rPr>
                <w:rFonts w:ascii="Times New Roman" w:eastAsia="Times New Roman" w:hAnsi="Times New Roman"/>
                <w:sz w:val="20"/>
                <w:szCs w:val="26"/>
                <w:lang w:eastAsia="lv-LV"/>
              </w:rPr>
              <w:t xml:space="preserve"> pantos. Subordinēti atbilstīgie instrumenti šajā kreditoru prasījumu hierarhijā ir definēti 139.</w:t>
            </w:r>
            <w:r w:rsidRPr="000B716F">
              <w:rPr>
                <w:rFonts w:ascii="Times New Roman" w:eastAsia="Times New Roman" w:hAnsi="Times New Roman"/>
                <w:sz w:val="20"/>
                <w:szCs w:val="26"/>
                <w:vertAlign w:val="superscript"/>
                <w:lang w:eastAsia="lv-LV"/>
              </w:rPr>
              <w:t>3</w:t>
            </w:r>
            <w:r w:rsidRPr="00D70AE0">
              <w:rPr>
                <w:rFonts w:ascii="Times New Roman" w:eastAsia="Times New Roman" w:hAnsi="Times New Roman"/>
                <w:sz w:val="20"/>
                <w:szCs w:val="26"/>
                <w:lang w:eastAsia="lv-LV"/>
              </w:rPr>
              <w:t xml:space="preserve"> panta 3</w:t>
            </w:r>
            <w:r w:rsidRPr="009D32C7">
              <w:rPr>
                <w:rFonts w:ascii="Times New Roman" w:eastAsia="Times New Roman" w:hAnsi="Times New Roman"/>
                <w:sz w:val="20"/>
                <w:szCs w:val="26"/>
                <w:vertAlign w:val="superscript"/>
                <w:lang w:eastAsia="lv-LV"/>
              </w:rPr>
              <w:t>1</w:t>
            </w:r>
            <w:r w:rsidRPr="00D70AE0">
              <w:rPr>
                <w:rFonts w:ascii="Times New Roman" w:eastAsia="Times New Roman" w:hAnsi="Times New Roman"/>
                <w:sz w:val="20"/>
                <w:szCs w:val="26"/>
                <w:lang w:eastAsia="lv-LV"/>
              </w:rPr>
              <w:t>. punktā.</w:t>
            </w:r>
          </w:p>
          <w:p w14:paraId="6E0B39C9" w14:textId="77777777" w:rsidR="00D70AE0" w:rsidRPr="00D70AE0" w:rsidRDefault="00D70AE0" w:rsidP="00D70AE0">
            <w:pPr>
              <w:pStyle w:val="NoSpacing"/>
              <w:jc w:val="both"/>
              <w:rPr>
                <w:rFonts w:ascii="Times New Roman" w:eastAsia="Times New Roman" w:hAnsi="Times New Roman"/>
                <w:sz w:val="20"/>
                <w:szCs w:val="26"/>
                <w:lang w:eastAsia="lv-LV"/>
              </w:rPr>
            </w:pPr>
            <w:r w:rsidRPr="00D70AE0">
              <w:rPr>
                <w:rFonts w:ascii="Times New Roman" w:eastAsia="Times New Roman" w:hAnsi="Times New Roman"/>
                <w:sz w:val="20"/>
                <w:szCs w:val="26"/>
                <w:lang w:eastAsia="lv-LV"/>
              </w:rPr>
              <w:t>No Kredītiestāžu likuma 193.</w:t>
            </w:r>
            <w:r w:rsidRPr="000B716F">
              <w:rPr>
                <w:rFonts w:ascii="Times New Roman" w:eastAsia="Times New Roman" w:hAnsi="Times New Roman"/>
                <w:sz w:val="20"/>
                <w:szCs w:val="26"/>
                <w:vertAlign w:val="superscript"/>
                <w:lang w:eastAsia="lv-LV"/>
              </w:rPr>
              <w:t>3</w:t>
            </w:r>
            <w:r w:rsidRPr="00D70AE0">
              <w:rPr>
                <w:rFonts w:ascii="Times New Roman" w:eastAsia="Times New Roman" w:hAnsi="Times New Roman"/>
                <w:sz w:val="20"/>
                <w:szCs w:val="26"/>
                <w:lang w:eastAsia="lv-LV"/>
              </w:rPr>
              <w:t xml:space="preserve"> panta 3</w:t>
            </w:r>
            <w:r w:rsidRPr="009D32C7">
              <w:rPr>
                <w:rFonts w:ascii="Times New Roman" w:eastAsia="Times New Roman" w:hAnsi="Times New Roman"/>
                <w:sz w:val="20"/>
                <w:szCs w:val="26"/>
                <w:vertAlign w:val="superscript"/>
                <w:lang w:eastAsia="lv-LV"/>
              </w:rPr>
              <w:t>1</w:t>
            </w:r>
            <w:r w:rsidRPr="00D70AE0">
              <w:rPr>
                <w:rFonts w:ascii="Times New Roman" w:eastAsia="Times New Roman" w:hAnsi="Times New Roman"/>
                <w:sz w:val="20"/>
                <w:szCs w:val="26"/>
                <w:lang w:eastAsia="lv-LV"/>
              </w:rPr>
              <w:t>. punkta izriet, ka par subordinētiem atbilstīgajiem instrumentiem kredītiestāžu maksātnespējas procesu regulējošajā tiesību aktā atzīstamas tikai saistības, kas emitētas parāda vērtspapīru veida, aizdevumi šajā definīcijā nav iekļauti. Tas neatbilst Regulai un ierobežo Latvijas kredītiestāžu tiesības pildīt iekšējās MREL prasības, izmantojot aizdevumus kā subordinētus atbilstīgos instrumentus. Šis ierobežojums ir būtisks, jo ar vērtspapīru emisiju saistītās izmaksas ir daudz augtākas salīdzinājumā ar aizdevuma līguma sagatavošanas izmaksām, tādējādi Latvijas kredītiestādēm ir būtiski ierobežota MREL instrumentu izvēle.</w:t>
            </w:r>
          </w:p>
          <w:p w14:paraId="5CB96ED0" w14:textId="4C9D4363" w:rsidR="00D70AE0" w:rsidRPr="00D70AE0" w:rsidRDefault="00D70AE0" w:rsidP="00D70AE0">
            <w:pPr>
              <w:pStyle w:val="NoSpacing"/>
              <w:jc w:val="both"/>
              <w:rPr>
                <w:rFonts w:ascii="Times New Roman" w:eastAsia="Times New Roman" w:hAnsi="Times New Roman"/>
                <w:sz w:val="20"/>
                <w:szCs w:val="26"/>
                <w:lang w:eastAsia="lv-LV"/>
              </w:rPr>
            </w:pPr>
            <w:r w:rsidRPr="00D70AE0">
              <w:rPr>
                <w:rFonts w:ascii="Times New Roman" w:eastAsia="Times New Roman" w:hAnsi="Times New Roman"/>
                <w:sz w:val="20"/>
                <w:szCs w:val="26"/>
                <w:lang w:eastAsia="lv-LV"/>
              </w:rPr>
              <w:lastRenderedPageBreak/>
              <w:t xml:space="preserve">Asociācija, ņemot vērā, ka šāds ierobežojums neatbilst Regulas noteikumiem, lūdz veikt Kredītiestāžu likuma normu saskaņošanu ar Regulā noteikto subordinēto atbilstīgo instrumentu definīciju, tādējādi nodrošinot Latvijas kredītiestādēm iespēju MREL prasību izpildei izmantot visus Regulai atbilstošus MREL instrumentus. </w:t>
            </w:r>
          </w:p>
        </w:tc>
        <w:tc>
          <w:tcPr>
            <w:tcW w:w="3659" w:type="dxa"/>
            <w:gridSpan w:val="2"/>
            <w:tcBorders>
              <w:top w:val="single" w:sz="6" w:space="0" w:color="000000"/>
              <w:left w:val="single" w:sz="6" w:space="0" w:color="000000"/>
              <w:bottom w:val="single" w:sz="6" w:space="0" w:color="000000"/>
              <w:right w:val="single" w:sz="6" w:space="0" w:color="000000"/>
            </w:tcBorders>
          </w:tcPr>
          <w:p w14:paraId="5C864AFE" w14:textId="77777777" w:rsidR="00D70AE0" w:rsidRDefault="00D70AE0" w:rsidP="00894D8B">
            <w:pPr>
              <w:pStyle w:val="naisc"/>
              <w:spacing w:before="0" w:after="0"/>
              <w:rPr>
                <w:b/>
                <w:bCs/>
                <w:color w:val="000000" w:themeColor="text1"/>
                <w:sz w:val="20"/>
                <w:szCs w:val="20"/>
                <w:shd w:val="clear" w:color="auto" w:fill="FFFFFF"/>
              </w:rPr>
            </w:pPr>
            <w:r>
              <w:rPr>
                <w:b/>
                <w:bCs/>
                <w:color w:val="000000" w:themeColor="text1"/>
                <w:sz w:val="20"/>
                <w:szCs w:val="20"/>
                <w:shd w:val="clear" w:color="auto" w:fill="FFFFFF"/>
              </w:rPr>
              <w:lastRenderedPageBreak/>
              <w:t>Iebildums ņemts vērā</w:t>
            </w:r>
          </w:p>
          <w:p w14:paraId="26F7EB5C" w14:textId="77777777" w:rsidR="00F1181B" w:rsidRDefault="00F1181B" w:rsidP="00894D8B">
            <w:pPr>
              <w:pStyle w:val="naisc"/>
              <w:spacing w:before="0" w:after="0"/>
              <w:rPr>
                <w:b/>
                <w:bCs/>
                <w:color w:val="000000" w:themeColor="text1"/>
                <w:sz w:val="20"/>
                <w:szCs w:val="20"/>
                <w:shd w:val="clear" w:color="auto" w:fill="FFFFFF"/>
              </w:rPr>
            </w:pPr>
          </w:p>
          <w:p w14:paraId="47419967" w14:textId="1E46D4AD" w:rsidR="00F1181B" w:rsidRDefault="009B5A65" w:rsidP="009D32C7">
            <w:pPr>
              <w:pStyle w:val="naisc"/>
              <w:spacing w:before="0" w:after="0"/>
              <w:jc w:val="both"/>
              <w:rPr>
                <w:bCs/>
                <w:color w:val="000000" w:themeColor="text1"/>
                <w:sz w:val="20"/>
                <w:szCs w:val="20"/>
                <w:shd w:val="clear" w:color="auto" w:fill="FFFFFF"/>
              </w:rPr>
            </w:pPr>
            <w:r>
              <w:rPr>
                <w:bCs/>
                <w:color w:val="000000" w:themeColor="text1"/>
                <w:sz w:val="20"/>
                <w:szCs w:val="20"/>
                <w:shd w:val="clear" w:color="auto" w:fill="FFFFFF"/>
              </w:rPr>
              <w:t xml:space="preserve">1. </w:t>
            </w:r>
            <w:r w:rsidR="003664F0">
              <w:rPr>
                <w:bCs/>
                <w:color w:val="000000" w:themeColor="text1"/>
                <w:sz w:val="20"/>
                <w:szCs w:val="20"/>
                <w:shd w:val="clear" w:color="auto" w:fill="FFFFFF"/>
              </w:rPr>
              <w:t>Ar i</w:t>
            </w:r>
            <w:r w:rsidR="000B716F">
              <w:rPr>
                <w:bCs/>
                <w:color w:val="000000" w:themeColor="text1"/>
                <w:sz w:val="20"/>
                <w:szCs w:val="20"/>
                <w:shd w:val="clear" w:color="auto" w:fill="FFFFFF"/>
              </w:rPr>
              <w:t>zziņas 6.punktā minēt</w:t>
            </w:r>
            <w:r w:rsidR="003664F0">
              <w:rPr>
                <w:bCs/>
                <w:color w:val="000000" w:themeColor="text1"/>
                <w:sz w:val="20"/>
                <w:szCs w:val="20"/>
                <w:shd w:val="clear" w:color="auto" w:fill="FFFFFF"/>
              </w:rPr>
              <w:t>ā likumprojekta „Grozījumi Kredītiestāžu likumā” 57.pantu paredzēts precizēt Kredītiestāžu likuma 139.</w:t>
            </w:r>
            <w:r w:rsidR="003664F0" w:rsidRPr="003664F0">
              <w:rPr>
                <w:bCs/>
                <w:color w:val="000000" w:themeColor="text1"/>
                <w:sz w:val="20"/>
                <w:szCs w:val="20"/>
                <w:shd w:val="clear" w:color="auto" w:fill="FFFFFF"/>
                <w:vertAlign w:val="superscript"/>
              </w:rPr>
              <w:t>3</w:t>
            </w:r>
            <w:r w:rsidR="003664F0">
              <w:rPr>
                <w:bCs/>
                <w:color w:val="000000" w:themeColor="text1"/>
                <w:sz w:val="20"/>
                <w:szCs w:val="20"/>
                <w:shd w:val="clear" w:color="auto" w:fill="FFFFFF"/>
              </w:rPr>
              <w:t xml:space="preserve"> pantā noteikto kreditoru prasījumu apmierināšanas kārtību</w:t>
            </w:r>
            <w:r w:rsidR="009D32C7">
              <w:rPr>
                <w:bCs/>
                <w:color w:val="000000" w:themeColor="text1"/>
                <w:sz w:val="20"/>
                <w:szCs w:val="20"/>
                <w:shd w:val="clear" w:color="auto" w:fill="FFFFFF"/>
              </w:rPr>
              <w:t>:</w:t>
            </w:r>
          </w:p>
          <w:p w14:paraId="16AC2CC8" w14:textId="748D0C91" w:rsidR="009D32C7" w:rsidRDefault="009D32C7" w:rsidP="009D32C7">
            <w:pPr>
              <w:spacing w:before="120" w:after="120"/>
              <w:jc w:val="both"/>
              <w:rPr>
                <w:color w:val="000000"/>
                <w:sz w:val="20"/>
                <w:szCs w:val="27"/>
              </w:rPr>
            </w:pPr>
            <w:r>
              <w:rPr>
                <w:color w:val="000000"/>
                <w:sz w:val="20"/>
                <w:szCs w:val="27"/>
              </w:rPr>
              <w:t>„</w:t>
            </w:r>
            <w:r w:rsidR="003664F0" w:rsidRPr="003664F0">
              <w:rPr>
                <w:color w:val="000000"/>
                <w:sz w:val="20"/>
                <w:szCs w:val="27"/>
              </w:rPr>
              <w:t>57. 139.</w:t>
            </w:r>
            <w:r w:rsidR="003664F0" w:rsidRPr="003664F0">
              <w:rPr>
                <w:color w:val="000000"/>
                <w:sz w:val="20"/>
                <w:szCs w:val="27"/>
                <w:vertAlign w:val="superscript"/>
              </w:rPr>
              <w:t>3</w:t>
            </w:r>
            <w:r w:rsidR="003664F0" w:rsidRPr="003664F0">
              <w:rPr>
                <w:color w:val="000000"/>
                <w:sz w:val="20"/>
                <w:szCs w:val="27"/>
              </w:rPr>
              <w:t xml:space="preserve"> pant</w:t>
            </w:r>
            <w:r w:rsidR="003664F0">
              <w:rPr>
                <w:color w:val="000000"/>
                <w:sz w:val="20"/>
                <w:szCs w:val="27"/>
              </w:rPr>
              <w:t>ā</w:t>
            </w:r>
            <w:r>
              <w:rPr>
                <w:color w:val="000000"/>
                <w:sz w:val="20"/>
                <w:szCs w:val="27"/>
              </w:rPr>
              <w:t>:</w:t>
            </w:r>
          </w:p>
          <w:p w14:paraId="5006B2EB" w14:textId="663EC521" w:rsidR="003664F0" w:rsidRPr="003664F0" w:rsidRDefault="003664F0" w:rsidP="009D32C7">
            <w:pPr>
              <w:jc w:val="both"/>
              <w:rPr>
                <w:color w:val="000000"/>
                <w:sz w:val="20"/>
                <w:szCs w:val="27"/>
              </w:rPr>
            </w:pPr>
            <w:r w:rsidRPr="003664F0">
              <w:rPr>
                <w:color w:val="000000"/>
                <w:sz w:val="20"/>
                <w:szCs w:val="27"/>
              </w:rPr>
              <w:t>izteikt 3</w:t>
            </w:r>
            <w:r w:rsidRPr="003664F0">
              <w:rPr>
                <w:color w:val="000000"/>
                <w:sz w:val="20"/>
                <w:szCs w:val="27"/>
                <w:vertAlign w:val="superscript"/>
              </w:rPr>
              <w:t>1</w:t>
            </w:r>
            <w:r w:rsidRPr="003664F0">
              <w:rPr>
                <w:color w:val="000000"/>
                <w:sz w:val="20"/>
                <w:szCs w:val="27"/>
              </w:rPr>
              <w:t xml:space="preserve"> punktu šādā redakcijā:</w:t>
            </w:r>
          </w:p>
          <w:p w14:paraId="2C0AC22E" w14:textId="77777777" w:rsidR="003664F0" w:rsidRPr="003664F0" w:rsidRDefault="003664F0" w:rsidP="009D32C7">
            <w:pPr>
              <w:spacing w:before="120" w:after="120"/>
              <w:jc w:val="both"/>
              <w:rPr>
                <w:color w:val="000000"/>
                <w:sz w:val="20"/>
                <w:szCs w:val="27"/>
              </w:rPr>
            </w:pPr>
            <w:r w:rsidRPr="003664F0">
              <w:rPr>
                <w:color w:val="000000"/>
                <w:sz w:val="20"/>
                <w:szCs w:val="27"/>
              </w:rPr>
              <w:lastRenderedPageBreak/>
              <w:t>“3</w:t>
            </w:r>
            <w:r w:rsidRPr="003664F0">
              <w:rPr>
                <w:color w:val="000000"/>
                <w:sz w:val="20"/>
                <w:szCs w:val="27"/>
                <w:vertAlign w:val="superscript"/>
              </w:rPr>
              <w:t>1</w:t>
            </w:r>
            <w:r w:rsidRPr="003664F0">
              <w:rPr>
                <w:color w:val="000000"/>
                <w:sz w:val="20"/>
                <w:szCs w:val="27"/>
              </w:rPr>
              <w:t>) prasījumi, kas izriet no parāda instrumenta, kura sākotnējais dzēšanas termiņš saskaņā ar līgumu vai prospektu ir vismaz viens gads, kurš nav uzskatāms par atvasinātu finanšu instrumentu, kurā nav ietverts atvasināts finanšu instruments un attiecībā uz kuru līgumā vai prospektā ir noteikta zemāka prioritāte nekā tiem kreditoru prasījumiem, kuri ir līdzīgi šā likuma 139.</w:t>
            </w:r>
            <w:r w:rsidRPr="003664F0">
              <w:rPr>
                <w:color w:val="000000"/>
                <w:sz w:val="20"/>
                <w:szCs w:val="27"/>
                <w:vertAlign w:val="superscript"/>
              </w:rPr>
              <w:t>2</w:t>
            </w:r>
            <w:r w:rsidRPr="003664F0">
              <w:rPr>
                <w:color w:val="000000"/>
                <w:sz w:val="20"/>
                <w:szCs w:val="27"/>
              </w:rPr>
              <w:t xml:space="preserve"> pantā un šā panta 1. un 3. punktā noteiktajiem. Parāda instrumenta ar mainīgu procentu likmi, kas nosakāma, pamatojoties uz finanšu tirgū vispāratzīti lietotu bāzes procentu likmi, un parāda instrumenta, kas nav izteikts emitenta valsts valūtā, ar nosacījumu, ka pamatsumma, atmaksas summa un procentu likme ir izteikta vienā un tajā pašā valūtā, neuzskata par tādu parāda instrumentu, kurā ietverts atvasināts finanšu instruments tikai šajā teikumā minēto pazīmju dēļ;”;</w:t>
            </w:r>
          </w:p>
          <w:p w14:paraId="33C82C43" w14:textId="77777777" w:rsidR="003664F0" w:rsidRPr="003664F0" w:rsidRDefault="003664F0" w:rsidP="009D32C7">
            <w:pPr>
              <w:jc w:val="both"/>
              <w:rPr>
                <w:color w:val="000000"/>
                <w:sz w:val="20"/>
                <w:szCs w:val="27"/>
              </w:rPr>
            </w:pPr>
            <w:r w:rsidRPr="003664F0">
              <w:rPr>
                <w:color w:val="000000"/>
                <w:sz w:val="20"/>
                <w:szCs w:val="27"/>
              </w:rPr>
              <w:t>papildināt ar 3</w:t>
            </w:r>
            <w:r w:rsidRPr="003664F0">
              <w:rPr>
                <w:color w:val="000000"/>
                <w:sz w:val="20"/>
                <w:szCs w:val="27"/>
                <w:vertAlign w:val="superscript"/>
              </w:rPr>
              <w:t>2</w:t>
            </w:r>
            <w:r w:rsidRPr="003664F0">
              <w:rPr>
                <w:color w:val="000000"/>
                <w:sz w:val="20"/>
                <w:szCs w:val="27"/>
              </w:rPr>
              <w:t xml:space="preserve"> punktu šādā redakcijā:</w:t>
            </w:r>
          </w:p>
          <w:p w14:paraId="2156E01B" w14:textId="59BCFF6D" w:rsidR="003664F0" w:rsidRPr="003664F0" w:rsidRDefault="003664F0" w:rsidP="009D32C7">
            <w:pPr>
              <w:spacing w:before="120"/>
              <w:jc w:val="both"/>
              <w:rPr>
                <w:color w:val="000000"/>
                <w:sz w:val="20"/>
                <w:szCs w:val="27"/>
              </w:rPr>
            </w:pPr>
            <w:r w:rsidRPr="003664F0">
              <w:rPr>
                <w:color w:val="000000"/>
                <w:sz w:val="20"/>
                <w:szCs w:val="27"/>
              </w:rPr>
              <w:t>“3</w:t>
            </w:r>
            <w:r w:rsidRPr="003664F0">
              <w:rPr>
                <w:color w:val="000000"/>
                <w:sz w:val="20"/>
                <w:szCs w:val="27"/>
                <w:vertAlign w:val="superscript"/>
              </w:rPr>
              <w:t>2</w:t>
            </w:r>
            <w:r w:rsidRPr="003664F0">
              <w:rPr>
                <w:color w:val="000000"/>
                <w:sz w:val="20"/>
                <w:szCs w:val="27"/>
              </w:rPr>
              <w:t>) prasījumi, kas izriet no saistībām, kuras kredītiestāde, uz kuru attiecas Kredītiestāžu un ieguldījumu brokeru sabiedrību darbības atjaunošanas un noregulējuma likuma 61. pantā noteiktais, emitējusi noregulējamai vienībai un kuras noregulējamā vienība nopirkusi, tieši vai netieši ar citu tās pašas noregulējamās grupas vienību starpniecību, vai kuras kredītiestāde emitējusi tā brīža akcionāram, kurš neietilpst tajā pašā noregulējamā grupā, un kuras akcionārs ir nopircis;”.</w:t>
            </w:r>
            <w:r w:rsidR="009D32C7">
              <w:rPr>
                <w:color w:val="000000"/>
                <w:sz w:val="20"/>
                <w:szCs w:val="27"/>
              </w:rPr>
              <w:t>”</w:t>
            </w:r>
          </w:p>
          <w:p w14:paraId="0F7EF3DD" w14:textId="28140F58" w:rsidR="003664F0" w:rsidRDefault="009B5A65" w:rsidP="009B5A65">
            <w:pPr>
              <w:pStyle w:val="naisc"/>
              <w:spacing w:before="120" w:after="0"/>
              <w:jc w:val="left"/>
              <w:rPr>
                <w:sz w:val="20"/>
                <w:szCs w:val="26"/>
              </w:rPr>
            </w:pPr>
            <w:r>
              <w:rPr>
                <w:bCs/>
                <w:color w:val="000000" w:themeColor="text1"/>
                <w:sz w:val="20"/>
                <w:szCs w:val="20"/>
                <w:shd w:val="clear" w:color="auto" w:fill="FFFFFF"/>
              </w:rPr>
              <w:t xml:space="preserve">Ievērojot minēto, Likumprojekta </w:t>
            </w:r>
            <w:r>
              <w:rPr>
                <w:sz w:val="20"/>
                <w:szCs w:val="26"/>
              </w:rPr>
              <w:t xml:space="preserve">1.pantā </w:t>
            </w:r>
            <w:r w:rsidRPr="00500B2A">
              <w:rPr>
                <w:sz w:val="20"/>
              </w:rPr>
              <w:t>ietvertā Kredītiestāžu un ieguldījumu brokeru sabiedrību darbības atjauno</w:t>
            </w:r>
            <w:r>
              <w:rPr>
                <w:sz w:val="20"/>
              </w:rPr>
              <w:t xml:space="preserve">šanas </w:t>
            </w:r>
            <w:r>
              <w:rPr>
                <w:sz w:val="20"/>
              </w:rPr>
              <w:lastRenderedPageBreak/>
              <w:t>un noregulējuma likuma 1.</w:t>
            </w:r>
            <w:r w:rsidRPr="00500B2A">
              <w:rPr>
                <w:sz w:val="20"/>
              </w:rPr>
              <w:t> panta</w:t>
            </w:r>
            <w:r>
              <w:rPr>
                <w:sz w:val="20"/>
              </w:rPr>
              <w:t xml:space="preserve"> </w:t>
            </w:r>
            <w:r w:rsidRPr="00D70AE0">
              <w:rPr>
                <w:sz w:val="20"/>
                <w:szCs w:val="26"/>
              </w:rPr>
              <w:t>48.</w:t>
            </w:r>
            <w:r w:rsidRPr="00D70AE0">
              <w:rPr>
                <w:sz w:val="20"/>
                <w:szCs w:val="26"/>
                <w:vertAlign w:val="superscript"/>
              </w:rPr>
              <w:t>1</w:t>
            </w:r>
            <w:r>
              <w:rPr>
                <w:sz w:val="20"/>
                <w:szCs w:val="26"/>
              </w:rPr>
              <w:t xml:space="preserve"> punkts</w:t>
            </w:r>
            <w:r>
              <w:rPr>
                <w:sz w:val="20"/>
              </w:rPr>
              <w:t xml:space="preserve"> </w:t>
            </w:r>
            <w:r>
              <w:rPr>
                <w:sz w:val="20"/>
                <w:szCs w:val="26"/>
              </w:rPr>
              <w:t>tiek saglabāts līdzšinējā redakcijā.</w:t>
            </w:r>
          </w:p>
          <w:p w14:paraId="36CDD22F" w14:textId="77777777" w:rsidR="009B5A65" w:rsidRDefault="009B5A65" w:rsidP="006B6081">
            <w:pPr>
              <w:pStyle w:val="naisc"/>
              <w:spacing w:before="0" w:after="0"/>
              <w:jc w:val="left"/>
              <w:rPr>
                <w:bCs/>
                <w:color w:val="000000" w:themeColor="text1"/>
                <w:sz w:val="20"/>
                <w:szCs w:val="20"/>
                <w:shd w:val="clear" w:color="auto" w:fill="FFFFFF"/>
              </w:rPr>
            </w:pPr>
          </w:p>
          <w:p w14:paraId="50DD06F1" w14:textId="06FD39CD" w:rsidR="009B5A65" w:rsidRPr="000B716F" w:rsidRDefault="009B5A65" w:rsidP="006B6081">
            <w:pPr>
              <w:pStyle w:val="naisc"/>
              <w:spacing w:before="0" w:after="0"/>
              <w:jc w:val="both"/>
              <w:rPr>
                <w:bCs/>
                <w:color w:val="000000" w:themeColor="text1"/>
                <w:sz w:val="20"/>
                <w:szCs w:val="20"/>
                <w:shd w:val="clear" w:color="auto" w:fill="FFFFFF"/>
              </w:rPr>
            </w:pPr>
            <w:r>
              <w:rPr>
                <w:bCs/>
                <w:color w:val="000000" w:themeColor="text1"/>
                <w:sz w:val="20"/>
                <w:szCs w:val="20"/>
                <w:shd w:val="clear" w:color="auto" w:fill="FFFFFF"/>
              </w:rPr>
              <w:t xml:space="preserve">2. </w:t>
            </w:r>
            <w:r w:rsidR="00EC1DE5">
              <w:rPr>
                <w:bCs/>
                <w:color w:val="000000" w:themeColor="text1"/>
                <w:sz w:val="20"/>
                <w:szCs w:val="20"/>
                <w:shd w:val="clear" w:color="auto" w:fill="FFFFFF"/>
              </w:rPr>
              <w:t xml:space="preserve">Atkārtoti izvērtējot 1. punktā minētos precizējumus Kredītiestāžu likumā noteiktajā kreditoru prasījumu apmierināšanas kārtībā, tika secināts, ka nepieciešams precizēt ar to saistīto </w:t>
            </w:r>
            <w:r w:rsidR="00EC1DE5" w:rsidRPr="00500B2A">
              <w:rPr>
                <w:sz w:val="20"/>
              </w:rPr>
              <w:t>Kredītiestāžu un ieguldījumu brokeru sabiedrību darbības atjauno</w:t>
            </w:r>
            <w:r w:rsidR="00EC1DE5">
              <w:rPr>
                <w:sz w:val="20"/>
              </w:rPr>
              <w:t>šanas un noregulējuma likuma</w:t>
            </w:r>
            <w:r w:rsidR="00EC1DE5">
              <w:rPr>
                <w:sz w:val="20"/>
              </w:rPr>
              <w:t xml:space="preserve"> 78. panta regulējumu</w:t>
            </w:r>
            <w:r w:rsidR="006B6081">
              <w:rPr>
                <w:sz w:val="20"/>
              </w:rPr>
              <w:t>, to papildinot ar jaunu</w:t>
            </w:r>
            <w:r w:rsidR="00EC1DE5">
              <w:rPr>
                <w:sz w:val="20"/>
              </w:rPr>
              <w:t xml:space="preserve"> </w:t>
            </w:r>
            <w:r w:rsidR="006B6081" w:rsidRPr="009B5A65">
              <w:rPr>
                <w:sz w:val="20"/>
                <w:szCs w:val="26"/>
              </w:rPr>
              <w:t>1.</w:t>
            </w:r>
            <w:r w:rsidR="006B6081" w:rsidRPr="009B5A65">
              <w:rPr>
                <w:sz w:val="20"/>
                <w:szCs w:val="26"/>
                <w:vertAlign w:val="superscript"/>
              </w:rPr>
              <w:t>1</w:t>
            </w:r>
            <w:r w:rsidR="006B6081" w:rsidRPr="009B5A65">
              <w:rPr>
                <w:sz w:val="20"/>
                <w:szCs w:val="26"/>
              </w:rPr>
              <w:t xml:space="preserve"> daļ</w:t>
            </w:r>
            <w:r w:rsidR="006B6081">
              <w:rPr>
                <w:sz w:val="20"/>
                <w:szCs w:val="26"/>
              </w:rPr>
              <w:t xml:space="preserve">u. </w:t>
            </w:r>
          </w:p>
        </w:tc>
        <w:tc>
          <w:tcPr>
            <w:tcW w:w="3428" w:type="dxa"/>
            <w:tcBorders>
              <w:top w:val="single" w:sz="4" w:space="0" w:color="auto"/>
              <w:left w:val="single" w:sz="4" w:space="0" w:color="auto"/>
              <w:bottom w:val="single" w:sz="4" w:space="0" w:color="auto"/>
            </w:tcBorders>
          </w:tcPr>
          <w:p w14:paraId="576C7075" w14:textId="27EA2F90" w:rsidR="00F1181B" w:rsidRDefault="009B5A65" w:rsidP="00F1181B">
            <w:pPr>
              <w:spacing w:before="120"/>
              <w:jc w:val="both"/>
              <w:rPr>
                <w:sz w:val="20"/>
                <w:szCs w:val="26"/>
              </w:rPr>
            </w:pPr>
            <w:r>
              <w:rPr>
                <w:sz w:val="20"/>
                <w:szCs w:val="26"/>
              </w:rPr>
              <w:lastRenderedPageBreak/>
              <w:t xml:space="preserve">1. </w:t>
            </w:r>
            <w:r w:rsidR="00F1181B">
              <w:rPr>
                <w:sz w:val="20"/>
                <w:szCs w:val="26"/>
              </w:rPr>
              <w:t xml:space="preserve">Likumprojekta 1.pantā </w:t>
            </w:r>
            <w:r w:rsidR="00F1181B" w:rsidRPr="00500B2A">
              <w:rPr>
                <w:sz w:val="20"/>
              </w:rPr>
              <w:t>ietvertā Kredītiestāžu un ieguldījumu brokeru sabiedrību darbības atjauno</w:t>
            </w:r>
            <w:r w:rsidR="00F1181B">
              <w:rPr>
                <w:sz w:val="20"/>
              </w:rPr>
              <w:t>šanas un noregulējuma likuma 1.</w:t>
            </w:r>
            <w:r w:rsidR="00F1181B" w:rsidRPr="00500B2A">
              <w:rPr>
                <w:sz w:val="20"/>
              </w:rPr>
              <w:t> panta</w:t>
            </w:r>
            <w:r w:rsidR="00F1181B">
              <w:rPr>
                <w:sz w:val="20"/>
              </w:rPr>
              <w:t xml:space="preserve"> </w:t>
            </w:r>
            <w:r w:rsidR="00F1181B" w:rsidRPr="00D70AE0">
              <w:rPr>
                <w:sz w:val="20"/>
                <w:szCs w:val="26"/>
              </w:rPr>
              <w:t>48.</w:t>
            </w:r>
            <w:r w:rsidR="00F1181B" w:rsidRPr="00D70AE0">
              <w:rPr>
                <w:sz w:val="20"/>
                <w:szCs w:val="26"/>
                <w:vertAlign w:val="superscript"/>
              </w:rPr>
              <w:t>1</w:t>
            </w:r>
            <w:r w:rsidR="00F1181B">
              <w:rPr>
                <w:sz w:val="20"/>
                <w:szCs w:val="26"/>
              </w:rPr>
              <w:t xml:space="preserve"> punkts</w:t>
            </w:r>
            <w:r w:rsidR="00F1181B">
              <w:rPr>
                <w:sz w:val="20"/>
              </w:rPr>
              <w:t>:</w:t>
            </w:r>
          </w:p>
          <w:p w14:paraId="09968AAA" w14:textId="77777777" w:rsidR="00D70AE0" w:rsidRDefault="00F1181B" w:rsidP="00F1181B">
            <w:pPr>
              <w:shd w:val="clear" w:color="auto" w:fill="FFFFFF"/>
              <w:spacing w:before="120"/>
              <w:jc w:val="both"/>
              <w:rPr>
                <w:sz w:val="20"/>
                <w:szCs w:val="26"/>
              </w:rPr>
            </w:pPr>
            <w:r w:rsidRPr="00F1181B">
              <w:rPr>
                <w:bCs/>
                <w:sz w:val="14"/>
              </w:rPr>
              <w:t>„</w:t>
            </w:r>
            <w:r w:rsidRPr="00F1181B">
              <w:rPr>
                <w:sz w:val="20"/>
                <w:szCs w:val="26"/>
              </w:rPr>
              <w:t>48</w:t>
            </w:r>
            <w:r w:rsidRPr="00F1181B">
              <w:rPr>
                <w:sz w:val="20"/>
                <w:szCs w:val="26"/>
                <w:vertAlign w:val="superscript"/>
              </w:rPr>
              <w:t>1</w:t>
            </w:r>
            <w:r w:rsidRPr="00F1181B">
              <w:rPr>
                <w:sz w:val="20"/>
                <w:szCs w:val="26"/>
              </w:rPr>
              <w:t xml:space="preserve">) </w:t>
            </w:r>
            <w:r w:rsidRPr="00F1181B">
              <w:rPr>
                <w:b/>
                <w:sz w:val="20"/>
                <w:szCs w:val="26"/>
              </w:rPr>
              <w:t>subordinēti atbilstīgie instrumenti</w:t>
            </w:r>
            <w:r w:rsidRPr="00F1181B">
              <w:rPr>
                <w:sz w:val="20"/>
                <w:szCs w:val="26"/>
              </w:rPr>
              <w:t xml:space="preserve"> – instrumenti, kas atbilst visiem Regulas Nr. 575/2013 72.a panta, izņemot 72.b panta 3., 4. un 5. punkta nosacījumiem;”</w:t>
            </w:r>
          </w:p>
          <w:p w14:paraId="5E667D1F" w14:textId="168802EB" w:rsidR="009B5A65" w:rsidRPr="009B5A65" w:rsidRDefault="009B5A65" w:rsidP="009B5A65">
            <w:pPr>
              <w:shd w:val="clear" w:color="auto" w:fill="FFFFFF"/>
              <w:spacing w:before="120"/>
              <w:jc w:val="both"/>
              <w:rPr>
                <w:sz w:val="20"/>
                <w:szCs w:val="26"/>
              </w:rPr>
            </w:pPr>
            <w:r>
              <w:rPr>
                <w:bCs/>
                <w:sz w:val="20"/>
              </w:rPr>
              <w:lastRenderedPageBreak/>
              <w:t xml:space="preserve">2. </w:t>
            </w:r>
            <w:r w:rsidRPr="008C3A83">
              <w:rPr>
                <w:bCs/>
                <w:sz w:val="20"/>
              </w:rPr>
              <w:t xml:space="preserve">Likumprojekta </w:t>
            </w:r>
            <w:r>
              <w:rPr>
                <w:bCs/>
                <w:sz w:val="20"/>
              </w:rPr>
              <w:t>56</w:t>
            </w:r>
            <w:r w:rsidRPr="008C3A83">
              <w:rPr>
                <w:bCs/>
                <w:sz w:val="20"/>
              </w:rPr>
              <w:t>. pantā</w:t>
            </w:r>
            <w:r w:rsidRPr="008C3A83">
              <w:rPr>
                <w:sz w:val="20"/>
              </w:rPr>
              <w:t xml:space="preserve"> ietvertā Kredītiestāžu un ieguldījumu brokeru sabiedrību darbības atjaunošanas un noregulējuma likuma </w:t>
            </w:r>
            <w:r>
              <w:rPr>
                <w:sz w:val="20"/>
                <w:szCs w:val="26"/>
              </w:rPr>
              <w:t xml:space="preserve">78.panta </w:t>
            </w:r>
            <w:r w:rsidRPr="009B5A65">
              <w:rPr>
                <w:sz w:val="20"/>
                <w:szCs w:val="26"/>
              </w:rPr>
              <w:t xml:space="preserve"> 1.</w:t>
            </w:r>
            <w:r w:rsidRPr="009B5A65">
              <w:rPr>
                <w:sz w:val="20"/>
                <w:szCs w:val="26"/>
                <w:vertAlign w:val="superscript"/>
              </w:rPr>
              <w:t>1</w:t>
            </w:r>
            <w:r w:rsidRPr="009B5A65">
              <w:rPr>
                <w:sz w:val="20"/>
                <w:szCs w:val="26"/>
              </w:rPr>
              <w:t xml:space="preserve"> daļ</w:t>
            </w:r>
            <w:r>
              <w:rPr>
                <w:sz w:val="20"/>
                <w:szCs w:val="26"/>
              </w:rPr>
              <w:t>a:</w:t>
            </w:r>
          </w:p>
          <w:p w14:paraId="4A601C2C" w14:textId="1CDAF6CA" w:rsidR="009B5A65" w:rsidRPr="008C3A83" w:rsidRDefault="009B5A65" w:rsidP="009B5A65">
            <w:pPr>
              <w:shd w:val="clear" w:color="auto" w:fill="FFFFFF"/>
              <w:spacing w:before="120"/>
              <w:jc w:val="both"/>
              <w:rPr>
                <w:bCs/>
                <w:sz w:val="20"/>
              </w:rPr>
            </w:pPr>
            <w:r w:rsidRPr="009B5A65">
              <w:rPr>
                <w:sz w:val="20"/>
                <w:szCs w:val="26"/>
              </w:rPr>
              <w:t>“(1</w:t>
            </w:r>
            <w:r w:rsidRPr="009B5A65">
              <w:rPr>
                <w:sz w:val="20"/>
                <w:szCs w:val="26"/>
                <w:vertAlign w:val="superscript"/>
              </w:rPr>
              <w:t>1</w:t>
            </w:r>
            <w:r w:rsidRPr="009B5A65">
              <w:rPr>
                <w:sz w:val="20"/>
                <w:szCs w:val="26"/>
              </w:rPr>
              <w:t>) Īstenojot norakstīšanas vai konvertēšanas tiesības saskaņā ar šā likuma 77. panta 1.</w:t>
            </w:r>
            <w:r w:rsidRPr="009B5A65">
              <w:rPr>
                <w:sz w:val="20"/>
                <w:szCs w:val="26"/>
                <w:vertAlign w:val="superscript"/>
              </w:rPr>
              <w:t xml:space="preserve">2 </w:t>
            </w:r>
            <w:r w:rsidRPr="009B5A65">
              <w:rPr>
                <w:sz w:val="20"/>
                <w:szCs w:val="26"/>
              </w:rPr>
              <w:t>daļā noteikto, Finanšu un kapitāla tirgus komisija pārliecinās arī par noregulējuma grupas noregulējuma stratēģiju, lai veicot 77. panta 1.</w:t>
            </w:r>
            <w:r w:rsidRPr="009B5A65">
              <w:rPr>
                <w:sz w:val="20"/>
                <w:szCs w:val="26"/>
                <w:vertAlign w:val="superscript"/>
              </w:rPr>
              <w:t>2</w:t>
            </w:r>
            <w:r w:rsidRPr="009B5A65">
              <w:rPr>
                <w:sz w:val="20"/>
                <w:szCs w:val="26"/>
              </w:rPr>
              <w:t xml:space="preserve"> daļā minētas darbības neietekmētu noregulējuma vienības kontroli pār meitas sabiedrību.”</w:t>
            </w:r>
          </w:p>
        </w:tc>
      </w:tr>
      <w:tr w:rsidR="00D70AE0" w:rsidRPr="009A41F3" w14:paraId="7ABA306B" w14:textId="77777777" w:rsidTr="00171644">
        <w:tc>
          <w:tcPr>
            <w:tcW w:w="560" w:type="dxa"/>
            <w:tcBorders>
              <w:top w:val="single" w:sz="6" w:space="0" w:color="000000"/>
              <w:left w:val="single" w:sz="6" w:space="0" w:color="000000"/>
              <w:bottom w:val="single" w:sz="6" w:space="0" w:color="000000"/>
              <w:right w:val="single" w:sz="6" w:space="0" w:color="000000"/>
            </w:tcBorders>
          </w:tcPr>
          <w:p w14:paraId="3CF9B2A2" w14:textId="69077FDF" w:rsidR="00D70AE0" w:rsidRDefault="00D70AE0" w:rsidP="00A16723">
            <w:pPr>
              <w:pStyle w:val="naisc"/>
              <w:spacing w:before="0" w:after="0"/>
              <w:rPr>
                <w:sz w:val="20"/>
                <w:szCs w:val="20"/>
              </w:rPr>
            </w:pPr>
            <w:r>
              <w:rPr>
                <w:sz w:val="20"/>
                <w:szCs w:val="20"/>
              </w:rPr>
              <w:lastRenderedPageBreak/>
              <w:t>8.</w:t>
            </w:r>
          </w:p>
        </w:tc>
        <w:tc>
          <w:tcPr>
            <w:tcW w:w="2551" w:type="dxa"/>
            <w:tcBorders>
              <w:top w:val="single" w:sz="6" w:space="0" w:color="000000"/>
              <w:left w:val="single" w:sz="6" w:space="0" w:color="000000"/>
              <w:bottom w:val="single" w:sz="6" w:space="0" w:color="000000"/>
              <w:right w:val="single" w:sz="6" w:space="0" w:color="000000"/>
            </w:tcBorders>
          </w:tcPr>
          <w:p w14:paraId="071C6FE6" w14:textId="77777777" w:rsidR="00CF3EC9" w:rsidRPr="00CF3EC9" w:rsidRDefault="00CF3EC9" w:rsidP="00CF3EC9">
            <w:pPr>
              <w:spacing w:before="200"/>
              <w:jc w:val="both"/>
              <w:rPr>
                <w:sz w:val="20"/>
                <w:szCs w:val="26"/>
              </w:rPr>
            </w:pPr>
            <w:r w:rsidRPr="00CF3EC9">
              <w:rPr>
                <w:sz w:val="20"/>
                <w:szCs w:val="26"/>
              </w:rPr>
              <w:t>38. Papildināt likumu ar 58.</w:t>
            </w:r>
            <w:r w:rsidRPr="00CF3EC9">
              <w:rPr>
                <w:sz w:val="20"/>
                <w:szCs w:val="26"/>
                <w:vertAlign w:val="superscript"/>
              </w:rPr>
              <w:t>1</w:t>
            </w:r>
            <w:r w:rsidRPr="00CF3EC9">
              <w:rPr>
                <w:sz w:val="20"/>
                <w:szCs w:val="26"/>
              </w:rPr>
              <w:t xml:space="preserve"> pantu šādā redakcijā:</w:t>
            </w:r>
          </w:p>
          <w:p w14:paraId="68FD7BEE" w14:textId="77777777" w:rsidR="00CF3EC9" w:rsidRPr="00CF3EC9" w:rsidRDefault="00CF3EC9" w:rsidP="00CF3EC9">
            <w:pPr>
              <w:spacing w:before="120"/>
              <w:jc w:val="both"/>
              <w:rPr>
                <w:sz w:val="20"/>
                <w:szCs w:val="26"/>
              </w:rPr>
            </w:pPr>
            <w:r w:rsidRPr="00CF3EC9">
              <w:rPr>
                <w:sz w:val="20"/>
                <w:szCs w:val="26"/>
              </w:rPr>
              <w:t>“</w:t>
            </w:r>
            <w:r w:rsidRPr="00CF3EC9">
              <w:rPr>
                <w:b/>
                <w:sz w:val="20"/>
                <w:szCs w:val="26"/>
              </w:rPr>
              <w:t>58.</w:t>
            </w:r>
            <w:r w:rsidRPr="00CF3EC9">
              <w:rPr>
                <w:b/>
                <w:sz w:val="20"/>
                <w:szCs w:val="26"/>
                <w:vertAlign w:val="superscript"/>
              </w:rPr>
              <w:t>1</w:t>
            </w:r>
            <w:r w:rsidRPr="00CF3EC9">
              <w:rPr>
                <w:b/>
                <w:sz w:val="20"/>
                <w:szCs w:val="26"/>
              </w:rPr>
              <w:t xml:space="preserve"> pants.</w:t>
            </w:r>
            <w:r w:rsidRPr="00CF3EC9">
              <w:rPr>
                <w:sz w:val="20"/>
                <w:szCs w:val="26"/>
              </w:rPr>
              <w:t xml:space="preserve"> (1)   Atbilstīgo saistību, kuras atbilst visiem Regulas Nr. 575/2013 72.a pantā minētajiem nosacījumiem, izņemot attiecībā uz minētās regulas 72.a panta 1. punktu un 72.b panta 3., 4. un 5. punktu, pārdevējs šādas saistības pārdod privātam klientam, tikai tad, ja ir izpildīti visi turpmāk minētie nosacījumi:</w:t>
            </w:r>
          </w:p>
          <w:p w14:paraId="5F884E33" w14:textId="77777777" w:rsidR="00CF3EC9" w:rsidRPr="00CF3EC9" w:rsidRDefault="00CF3EC9" w:rsidP="00CF3EC9">
            <w:pPr>
              <w:spacing w:before="120"/>
              <w:jc w:val="both"/>
              <w:rPr>
                <w:sz w:val="20"/>
                <w:szCs w:val="26"/>
              </w:rPr>
            </w:pPr>
            <w:r w:rsidRPr="00CF3EC9">
              <w:rPr>
                <w:sz w:val="20"/>
                <w:szCs w:val="26"/>
              </w:rPr>
              <w:t>1) pārdevējs ir veicis piemērotības pārbaudi saskaņā ar Finanšu instrumentu tirgus likuma 126.</w:t>
            </w:r>
            <w:r w:rsidRPr="00CF3EC9">
              <w:rPr>
                <w:sz w:val="20"/>
                <w:szCs w:val="26"/>
                <w:vertAlign w:val="superscript"/>
              </w:rPr>
              <w:t>2</w:t>
            </w:r>
            <w:r w:rsidRPr="00CF3EC9">
              <w:rPr>
                <w:sz w:val="20"/>
                <w:szCs w:val="26"/>
              </w:rPr>
              <w:t xml:space="preserve"> pantu;</w:t>
            </w:r>
          </w:p>
          <w:p w14:paraId="0B2CD438" w14:textId="77777777" w:rsidR="00CF3EC9" w:rsidRPr="00CF3EC9" w:rsidRDefault="00CF3EC9" w:rsidP="00CF3EC9">
            <w:pPr>
              <w:spacing w:before="120"/>
              <w:jc w:val="both"/>
              <w:rPr>
                <w:sz w:val="20"/>
                <w:szCs w:val="26"/>
              </w:rPr>
            </w:pPr>
            <w:r w:rsidRPr="00CF3EC9">
              <w:rPr>
                <w:sz w:val="20"/>
                <w:szCs w:val="26"/>
              </w:rPr>
              <w:t>2) pārdevējs, pamatojoties uz šā panta 1. punktā minēto pārbaudi, ir pārliecinājies, ka šādas atbilstīgās saistības ir piemērotas minētajam privātajam klientam;</w:t>
            </w:r>
          </w:p>
          <w:p w14:paraId="51D62C14" w14:textId="77777777" w:rsidR="00CF3EC9" w:rsidRPr="00CF3EC9" w:rsidRDefault="00CF3EC9" w:rsidP="00CF3EC9">
            <w:pPr>
              <w:spacing w:before="120"/>
              <w:jc w:val="both"/>
              <w:rPr>
                <w:sz w:val="20"/>
                <w:szCs w:val="26"/>
              </w:rPr>
            </w:pPr>
            <w:r w:rsidRPr="00CF3EC9">
              <w:rPr>
                <w:sz w:val="20"/>
                <w:szCs w:val="26"/>
              </w:rPr>
              <w:lastRenderedPageBreak/>
              <w:t>3) pārdevējs piemērotību dokumentē saskaņā ar Finanšu instrumentu tirgus likuma 128. panta vienpadsmito, 11.</w:t>
            </w:r>
            <w:r w:rsidRPr="00CF3EC9">
              <w:rPr>
                <w:sz w:val="20"/>
                <w:szCs w:val="26"/>
                <w:vertAlign w:val="superscript"/>
              </w:rPr>
              <w:t>1</w:t>
            </w:r>
            <w:r w:rsidRPr="00CF3EC9">
              <w:rPr>
                <w:sz w:val="20"/>
                <w:szCs w:val="26"/>
              </w:rPr>
              <w:t xml:space="preserve"> un 11.</w:t>
            </w:r>
            <w:r w:rsidRPr="00CF3EC9">
              <w:rPr>
                <w:sz w:val="20"/>
                <w:szCs w:val="26"/>
                <w:vertAlign w:val="superscript"/>
              </w:rPr>
              <w:t>2</w:t>
            </w:r>
            <w:r w:rsidRPr="00CF3EC9">
              <w:rPr>
                <w:sz w:val="20"/>
                <w:szCs w:val="26"/>
              </w:rPr>
              <w:t xml:space="preserve"> daļu.</w:t>
            </w:r>
          </w:p>
          <w:p w14:paraId="2065DCE6" w14:textId="77777777" w:rsidR="00CF3EC9" w:rsidRPr="00CF3EC9" w:rsidRDefault="00CF3EC9" w:rsidP="00CF3EC9">
            <w:pPr>
              <w:spacing w:before="120"/>
              <w:jc w:val="both"/>
              <w:rPr>
                <w:sz w:val="20"/>
                <w:szCs w:val="26"/>
              </w:rPr>
            </w:pPr>
            <w:r w:rsidRPr="00CF3EC9">
              <w:rPr>
                <w:sz w:val="20"/>
                <w:szCs w:val="26"/>
              </w:rPr>
              <w:t>(2)  Ja šā panta pirmajā daļā izklāstītie nosacījumi ir izpildīti un minētā privātā klienta finanšu portfelis pirkuma brīdī nepārsniedz  500 000 euro, pārdevējs, pamatojoties uz informāciju, ko privātais klients sniedz saskaņā ar šā panta trešo daļu, nodrošina, ka iegādes laikā ir izpildīti abi šādi nosacījumi:</w:t>
            </w:r>
          </w:p>
          <w:p w14:paraId="7ED83107" w14:textId="77777777" w:rsidR="00CF3EC9" w:rsidRPr="00CF3EC9" w:rsidRDefault="00CF3EC9" w:rsidP="00CF3EC9">
            <w:pPr>
              <w:spacing w:before="120"/>
              <w:jc w:val="both"/>
              <w:rPr>
                <w:sz w:val="20"/>
                <w:szCs w:val="26"/>
              </w:rPr>
            </w:pPr>
            <w:r w:rsidRPr="00CF3EC9">
              <w:rPr>
                <w:sz w:val="20"/>
                <w:szCs w:val="26"/>
              </w:rPr>
              <w:t>1) privātais klients neiegulda kopējo summu, kas pārsniedz 10 procentus no minētā klienta finanšu instrumentu portfeļa saistībām, kas minētas šā panta pirmajā daļā;</w:t>
            </w:r>
          </w:p>
          <w:p w14:paraId="46DDD2B4" w14:textId="77777777" w:rsidR="00CF3EC9" w:rsidRPr="00CF3EC9" w:rsidRDefault="00CF3EC9" w:rsidP="00CF3EC9">
            <w:pPr>
              <w:spacing w:before="120"/>
              <w:jc w:val="both"/>
              <w:rPr>
                <w:sz w:val="20"/>
                <w:szCs w:val="26"/>
              </w:rPr>
            </w:pPr>
            <w:r w:rsidRPr="00CF3EC9">
              <w:rPr>
                <w:sz w:val="20"/>
                <w:szCs w:val="26"/>
              </w:rPr>
              <w:t>2) sākotnējo ieguldījumu apjoms, kas ieguldīts vienā vai vairākos saistību instrumentos, kuri minēti šī panta pirmajā daļā, ir vismaz 10 000 euro.</w:t>
            </w:r>
          </w:p>
          <w:p w14:paraId="46E9124A" w14:textId="77777777" w:rsidR="00CF3EC9" w:rsidRPr="00CF3EC9" w:rsidRDefault="00CF3EC9" w:rsidP="00CF3EC9">
            <w:pPr>
              <w:spacing w:before="120"/>
              <w:jc w:val="both"/>
              <w:rPr>
                <w:sz w:val="20"/>
                <w:szCs w:val="26"/>
              </w:rPr>
            </w:pPr>
            <w:r w:rsidRPr="00CF3EC9">
              <w:rPr>
                <w:sz w:val="20"/>
                <w:szCs w:val="26"/>
              </w:rPr>
              <w:t xml:space="preserve">(3) Privātais klients pārdevējam sniedz patiesu informāciju par privātā klienta finanšu instrumentu portfeli, tostarp jebkādiem šā panta pirmajā daļā </w:t>
            </w:r>
            <w:r w:rsidRPr="00CF3EC9">
              <w:rPr>
                <w:sz w:val="20"/>
                <w:szCs w:val="26"/>
              </w:rPr>
              <w:lastRenderedPageBreak/>
              <w:t>minētajiem ieguldījumiem saistībās.</w:t>
            </w:r>
          </w:p>
          <w:p w14:paraId="5246B7A8" w14:textId="2F4DAB2A" w:rsidR="00D70AE0" w:rsidRPr="00CF3EC9" w:rsidRDefault="00CF3EC9" w:rsidP="00CF3EC9">
            <w:pPr>
              <w:spacing w:before="120"/>
              <w:jc w:val="both"/>
              <w:rPr>
                <w:sz w:val="26"/>
                <w:szCs w:val="26"/>
              </w:rPr>
            </w:pPr>
            <w:r w:rsidRPr="00CF3EC9">
              <w:rPr>
                <w:sz w:val="20"/>
                <w:szCs w:val="26"/>
              </w:rPr>
              <w:t>(4) Šā panta otrās un trešās daļas noteikumiem atbilstošs privātā klienta finanšu instrumentu portfelis ietver skaidras naudas noguldījumus un finanšu instrumentus, bet tajā neietilpst nekādi finanšu instrumenti, kas kalpo kā nodrošinājums.”.</w:t>
            </w:r>
          </w:p>
        </w:tc>
        <w:tc>
          <w:tcPr>
            <w:tcW w:w="4111" w:type="dxa"/>
            <w:tcBorders>
              <w:top w:val="single" w:sz="6" w:space="0" w:color="000000"/>
              <w:left w:val="single" w:sz="6" w:space="0" w:color="000000"/>
              <w:bottom w:val="single" w:sz="6" w:space="0" w:color="000000"/>
              <w:right w:val="single" w:sz="6" w:space="0" w:color="000000"/>
            </w:tcBorders>
          </w:tcPr>
          <w:p w14:paraId="2E831D95" w14:textId="77777777" w:rsidR="00D70AE0" w:rsidRPr="00D70AE0" w:rsidRDefault="00D70AE0" w:rsidP="00D70AE0">
            <w:pPr>
              <w:jc w:val="center"/>
              <w:rPr>
                <w:sz w:val="20"/>
                <w:szCs w:val="26"/>
              </w:rPr>
            </w:pPr>
            <w:r w:rsidRPr="00D70AE0">
              <w:rPr>
                <w:b/>
                <w:sz w:val="20"/>
                <w:szCs w:val="26"/>
              </w:rPr>
              <w:lastRenderedPageBreak/>
              <w:t>Latvijas</w:t>
            </w:r>
            <w:r w:rsidRPr="00D70AE0">
              <w:rPr>
                <w:sz w:val="20"/>
                <w:szCs w:val="26"/>
              </w:rPr>
              <w:t xml:space="preserve"> </w:t>
            </w:r>
            <w:r w:rsidRPr="00D70AE0">
              <w:rPr>
                <w:b/>
                <w:sz w:val="20"/>
                <w:szCs w:val="26"/>
              </w:rPr>
              <w:t>Finanšu nozares asociācija</w:t>
            </w:r>
          </w:p>
          <w:p w14:paraId="3B49F803" w14:textId="77777777" w:rsidR="00D70AE0" w:rsidRDefault="00D70AE0" w:rsidP="00D70AE0">
            <w:pPr>
              <w:pStyle w:val="NoSpacing"/>
              <w:ind w:firstLine="709"/>
              <w:jc w:val="both"/>
              <w:rPr>
                <w:rFonts w:ascii="Times New Roman" w:eastAsia="Times New Roman" w:hAnsi="Times New Roman"/>
                <w:sz w:val="20"/>
                <w:szCs w:val="26"/>
                <w:lang w:eastAsia="lv-LV"/>
              </w:rPr>
            </w:pPr>
          </w:p>
          <w:p w14:paraId="2FBFE9E2" w14:textId="77777777" w:rsidR="00D70AE0" w:rsidRPr="00D70AE0" w:rsidRDefault="00D70AE0" w:rsidP="00D70AE0">
            <w:pPr>
              <w:pStyle w:val="NoSpacing"/>
              <w:jc w:val="both"/>
              <w:rPr>
                <w:rFonts w:ascii="Times New Roman" w:eastAsia="Times New Roman" w:hAnsi="Times New Roman"/>
                <w:sz w:val="20"/>
                <w:szCs w:val="26"/>
                <w:lang w:eastAsia="lv-LV"/>
              </w:rPr>
            </w:pPr>
            <w:r w:rsidRPr="00D70AE0">
              <w:rPr>
                <w:rFonts w:ascii="Times New Roman" w:eastAsia="Times New Roman" w:hAnsi="Times New Roman"/>
                <w:sz w:val="20"/>
                <w:szCs w:val="26"/>
                <w:lang w:eastAsia="lv-LV"/>
              </w:rPr>
              <w:t>Likumprojekts tiek papildināts ar 58.</w:t>
            </w:r>
            <w:r w:rsidRPr="00D70AE0">
              <w:rPr>
                <w:rFonts w:ascii="Times New Roman" w:eastAsia="Times New Roman" w:hAnsi="Times New Roman"/>
                <w:sz w:val="20"/>
                <w:szCs w:val="26"/>
                <w:vertAlign w:val="superscript"/>
                <w:lang w:eastAsia="lv-LV"/>
              </w:rPr>
              <w:t xml:space="preserve">1 </w:t>
            </w:r>
            <w:r w:rsidRPr="00D70AE0">
              <w:rPr>
                <w:rFonts w:ascii="Times New Roman" w:eastAsia="Times New Roman" w:hAnsi="Times New Roman"/>
                <w:sz w:val="20"/>
                <w:szCs w:val="26"/>
                <w:lang w:eastAsia="lv-LV"/>
              </w:rPr>
              <w:t xml:space="preserve">pantu, kurš noteic papildu ierobežojumus atbilstīgo saistību pārdošanai privātiem klientiem. Direktīvas 44.a panta piektā un sestā daļa noteic, ka dalībvalstij ir izvēles tiesības attiecībā uz šo ierobežojumu piemērošanu, likumdevējs, ieviešot Direktīvas prasības, ir izvēlējies neizmantot šīs izvēles tiesības. Asociācijas ieskatā šāda pieeja nav pamatota un neatbilst Latvijas kapitāla tirgus lielumam, kā arī ieguldītāju struktūrai. </w:t>
            </w:r>
          </w:p>
          <w:p w14:paraId="707C4FAD" w14:textId="2DE9E20B" w:rsidR="00D70AE0" w:rsidRPr="00D70AE0" w:rsidRDefault="00D70AE0" w:rsidP="00D70AE0">
            <w:pPr>
              <w:pStyle w:val="NoSpacing"/>
              <w:jc w:val="both"/>
              <w:rPr>
                <w:rFonts w:ascii="Times New Roman" w:eastAsia="Times New Roman" w:hAnsi="Times New Roman"/>
                <w:sz w:val="20"/>
                <w:szCs w:val="26"/>
                <w:lang w:eastAsia="lv-LV"/>
              </w:rPr>
            </w:pPr>
            <w:r w:rsidRPr="00D70AE0">
              <w:rPr>
                <w:rFonts w:ascii="Times New Roman" w:eastAsia="Times New Roman" w:hAnsi="Times New Roman"/>
                <w:sz w:val="20"/>
                <w:szCs w:val="26"/>
                <w:lang w:eastAsia="lv-LV"/>
              </w:rPr>
              <w:t>Asociācija lūdz precizēt likumprojektu, nosakot, ka tiek piemērots tikai Direktīvas 44.a panta otrās daļas b. punktā noteiktais kritērijs, ja iestādes kopējie aktīvi nepārsniedz 50 miljardus, kā to pieļauj Direktīvas 44.a panta sestā daļa. Šāda Direktīvā paredzētas izvēles iespējas izmantošana dotu iespēju atļaut klientam veikt ieguldījumu, ja attiecīgā ieguldījuma minimālā summa ir 10 000 euro, nepiemērojot 10% portfeļa vērtības ierobežojumu. Ievērojot, ka Latvijas ieguldītājiem ir raksturīgi nelieli portfeļu apjomi, šāda iespēja būtu Latvijas tirgum atbilstoša.</w:t>
            </w:r>
          </w:p>
          <w:p w14:paraId="6C09921C" w14:textId="3899E567" w:rsidR="00D70AE0" w:rsidRPr="00D70AE0" w:rsidRDefault="00D70AE0" w:rsidP="00D70AE0">
            <w:pPr>
              <w:pStyle w:val="NoSpacing"/>
              <w:jc w:val="both"/>
              <w:rPr>
                <w:rFonts w:ascii="Times New Roman" w:eastAsia="Times New Roman" w:hAnsi="Times New Roman"/>
                <w:sz w:val="20"/>
                <w:szCs w:val="26"/>
                <w:lang w:eastAsia="lv-LV"/>
              </w:rPr>
            </w:pPr>
            <w:r w:rsidRPr="00D70AE0">
              <w:rPr>
                <w:rFonts w:ascii="Times New Roman" w:eastAsia="Times New Roman" w:hAnsi="Times New Roman"/>
                <w:sz w:val="20"/>
                <w:szCs w:val="26"/>
                <w:lang w:eastAsia="lv-LV"/>
              </w:rPr>
              <w:t xml:space="preserve">Asociācija lūdz precizēt likumprojektu, aizstājot Direktīvas 44.a panta pirmās un otrās daļas kritērijus ar emitēto instrumentu minimālās </w:t>
            </w:r>
            <w:r w:rsidRPr="00D70AE0">
              <w:rPr>
                <w:rFonts w:ascii="Times New Roman" w:eastAsia="Times New Roman" w:hAnsi="Times New Roman"/>
                <w:sz w:val="20"/>
                <w:szCs w:val="26"/>
                <w:lang w:eastAsia="lv-LV"/>
              </w:rPr>
              <w:lastRenderedPageBreak/>
              <w:t xml:space="preserve">nominālvērtības kritēriju (minimālā nominālvērtība ir 50 000 euro), kā to pieļauj Direktīvas 44. panta sestā daļa. Asociācijas ieskatā šī iespēja arī ir novērtajam kā Latvijas tirgum atbilstoša, jo atļautu ieguldījumus arī investoriem ar mazāku portfeļa apjomu. </w:t>
            </w:r>
          </w:p>
          <w:p w14:paraId="7E009AD1" w14:textId="06F587E8" w:rsidR="00D70AE0" w:rsidRPr="00D70AE0" w:rsidRDefault="00D70AE0" w:rsidP="00CF3EC9">
            <w:pPr>
              <w:pStyle w:val="NoSpacing"/>
              <w:jc w:val="both"/>
              <w:rPr>
                <w:rFonts w:ascii="Times New Roman" w:eastAsia="Times New Roman" w:hAnsi="Times New Roman"/>
                <w:sz w:val="20"/>
                <w:szCs w:val="26"/>
                <w:lang w:eastAsia="lv-LV"/>
              </w:rPr>
            </w:pPr>
            <w:r w:rsidRPr="00D70AE0">
              <w:rPr>
                <w:rFonts w:ascii="Times New Roman" w:eastAsia="Times New Roman" w:hAnsi="Times New Roman"/>
                <w:sz w:val="20"/>
                <w:szCs w:val="26"/>
                <w:lang w:eastAsia="lv-LV"/>
              </w:rPr>
              <w:t xml:space="preserve">Papildus norādām, ka saskaņā ar mūsu rīcībā esošo informāciju Igaunija, ieviešot Direktīvas normas, ir izvēlējusies piemērot Direktīvas 44.a panta piektās un sestās daļas izvēles tiesības. Vienota pieeja Baltijas tirgū šo normu transponēšanā būtu ļoti atbalstāma un nepieciešama, jo nodrošināta, Baltijas valstu kopējā kapitāla tirgus konkurētspējas stiprināšanu, kā arī  veicina šī tirgus lielāku integrāciju un harmonizāciju. </w:t>
            </w:r>
          </w:p>
        </w:tc>
        <w:tc>
          <w:tcPr>
            <w:tcW w:w="3659" w:type="dxa"/>
            <w:gridSpan w:val="2"/>
            <w:tcBorders>
              <w:top w:val="single" w:sz="6" w:space="0" w:color="000000"/>
              <w:left w:val="single" w:sz="6" w:space="0" w:color="000000"/>
              <w:bottom w:val="single" w:sz="6" w:space="0" w:color="000000"/>
              <w:right w:val="single" w:sz="6" w:space="0" w:color="000000"/>
            </w:tcBorders>
          </w:tcPr>
          <w:p w14:paraId="38299DF5" w14:textId="77777777" w:rsidR="00D70AE0" w:rsidRDefault="00CF3EC9" w:rsidP="00894D8B">
            <w:pPr>
              <w:pStyle w:val="naisc"/>
              <w:spacing w:before="0" w:after="0"/>
              <w:rPr>
                <w:b/>
                <w:bCs/>
                <w:color w:val="000000" w:themeColor="text1"/>
                <w:sz w:val="20"/>
                <w:szCs w:val="20"/>
                <w:shd w:val="clear" w:color="auto" w:fill="FFFFFF"/>
              </w:rPr>
            </w:pPr>
            <w:r>
              <w:rPr>
                <w:b/>
                <w:bCs/>
                <w:color w:val="000000" w:themeColor="text1"/>
                <w:sz w:val="20"/>
                <w:szCs w:val="20"/>
                <w:shd w:val="clear" w:color="auto" w:fill="FFFFFF"/>
              </w:rPr>
              <w:lastRenderedPageBreak/>
              <w:t>Iebildums ņemts vērā daļēji</w:t>
            </w:r>
          </w:p>
          <w:p w14:paraId="2F9D8BAF" w14:textId="77777777" w:rsidR="00CF3EC9" w:rsidRDefault="00CF3EC9" w:rsidP="00894D8B">
            <w:pPr>
              <w:pStyle w:val="naisc"/>
              <w:spacing w:before="0" w:after="0"/>
              <w:rPr>
                <w:b/>
                <w:bCs/>
                <w:color w:val="000000" w:themeColor="text1"/>
                <w:sz w:val="20"/>
                <w:szCs w:val="20"/>
                <w:shd w:val="clear" w:color="auto" w:fill="FFFFFF"/>
              </w:rPr>
            </w:pPr>
          </w:p>
          <w:p w14:paraId="3802BCDD" w14:textId="08DE7B08" w:rsidR="00EB15FB" w:rsidRDefault="00645A10" w:rsidP="00645A10">
            <w:pPr>
              <w:pStyle w:val="naisc"/>
              <w:spacing w:before="0" w:after="0"/>
              <w:jc w:val="both"/>
              <w:rPr>
                <w:bCs/>
                <w:color w:val="000000" w:themeColor="text1"/>
                <w:sz w:val="20"/>
                <w:szCs w:val="20"/>
                <w:shd w:val="clear" w:color="auto" w:fill="FFFFFF"/>
              </w:rPr>
            </w:pPr>
            <w:r>
              <w:rPr>
                <w:bCs/>
                <w:color w:val="000000" w:themeColor="text1"/>
                <w:sz w:val="20"/>
                <w:szCs w:val="20"/>
                <w:shd w:val="clear" w:color="auto" w:fill="FFFFFF"/>
              </w:rPr>
              <w:t xml:space="preserve">Finanšu ministrija sadarbībā ar Finanšu un kapitāla tirgus komisiju ir atkārtoti izvērtējusi </w:t>
            </w:r>
            <w:r w:rsidRPr="00645A10">
              <w:rPr>
                <w:bCs/>
                <w:color w:val="000000" w:themeColor="text1"/>
                <w:sz w:val="20"/>
                <w:szCs w:val="20"/>
                <w:shd w:val="clear" w:color="auto" w:fill="FFFFFF"/>
              </w:rPr>
              <w:t>Direktīvas</w:t>
            </w:r>
            <w:r w:rsidR="00096354">
              <w:rPr>
                <w:bCs/>
                <w:color w:val="000000" w:themeColor="text1"/>
                <w:sz w:val="20"/>
                <w:szCs w:val="20"/>
                <w:shd w:val="clear" w:color="auto" w:fill="FFFFFF"/>
              </w:rPr>
              <w:t xml:space="preserve"> 44.a pantā</w:t>
            </w:r>
            <w:r w:rsidRPr="00645A10">
              <w:rPr>
                <w:bCs/>
                <w:color w:val="000000" w:themeColor="text1"/>
                <w:sz w:val="20"/>
                <w:szCs w:val="20"/>
                <w:shd w:val="clear" w:color="auto" w:fill="FFFFFF"/>
              </w:rPr>
              <w:t xml:space="preserve"> piedāvātās izvēles tiesības,</w:t>
            </w:r>
            <w:r>
              <w:rPr>
                <w:bCs/>
                <w:color w:val="000000" w:themeColor="text1"/>
                <w:sz w:val="20"/>
                <w:szCs w:val="20"/>
                <w:shd w:val="clear" w:color="auto" w:fill="FFFFFF"/>
              </w:rPr>
              <w:t xml:space="preserve"> un</w:t>
            </w:r>
            <w:r w:rsidR="00547815">
              <w:rPr>
                <w:bCs/>
                <w:color w:val="000000" w:themeColor="text1"/>
                <w:sz w:val="20"/>
                <w:szCs w:val="20"/>
                <w:shd w:val="clear" w:color="auto" w:fill="FFFFFF"/>
              </w:rPr>
              <w:t xml:space="preserve"> esam secinājuši, ka</w:t>
            </w:r>
            <w:r w:rsidR="009B694A">
              <w:rPr>
                <w:bCs/>
                <w:color w:val="000000" w:themeColor="text1"/>
                <w:sz w:val="20"/>
                <w:szCs w:val="20"/>
                <w:shd w:val="clear" w:color="auto" w:fill="FFFFFF"/>
              </w:rPr>
              <w:t xml:space="preserve"> Latvijas Finanšu nozares asociācijas piedāvātā</w:t>
            </w:r>
            <w:r w:rsidR="00EB15FB">
              <w:rPr>
                <w:bCs/>
                <w:color w:val="000000" w:themeColor="text1"/>
                <w:sz w:val="20"/>
                <w:szCs w:val="20"/>
                <w:shd w:val="clear" w:color="auto" w:fill="FFFFFF"/>
              </w:rPr>
              <w:t xml:space="preserve"> šā panta </w:t>
            </w:r>
            <w:r w:rsidR="001650B7">
              <w:rPr>
                <w:bCs/>
                <w:color w:val="000000" w:themeColor="text1"/>
                <w:sz w:val="20"/>
                <w:szCs w:val="20"/>
                <w:shd w:val="clear" w:color="auto" w:fill="FFFFFF"/>
              </w:rPr>
              <w:t>sestajā</w:t>
            </w:r>
            <w:r w:rsidR="00EB15FB">
              <w:rPr>
                <w:bCs/>
                <w:color w:val="000000" w:themeColor="text1"/>
                <w:sz w:val="20"/>
                <w:szCs w:val="20"/>
                <w:shd w:val="clear" w:color="auto" w:fill="FFFFFF"/>
              </w:rPr>
              <w:t xml:space="preserve"> daļā norādīt</w:t>
            </w:r>
            <w:r w:rsidR="00547815">
              <w:rPr>
                <w:bCs/>
                <w:color w:val="000000" w:themeColor="text1"/>
                <w:sz w:val="20"/>
                <w:szCs w:val="20"/>
                <w:shd w:val="clear" w:color="auto" w:fill="FFFFFF"/>
              </w:rPr>
              <w:t xml:space="preserve">ā </w:t>
            </w:r>
            <w:r w:rsidR="00EB15FB">
              <w:rPr>
                <w:bCs/>
                <w:color w:val="000000" w:themeColor="text1"/>
                <w:sz w:val="20"/>
                <w:szCs w:val="20"/>
                <w:shd w:val="clear" w:color="auto" w:fill="FFFFFF"/>
              </w:rPr>
              <w:t>opcija</w:t>
            </w:r>
            <w:r w:rsidR="00547815">
              <w:rPr>
                <w:bCs/>
                <w:color w:val="000000" w:themeColor="text1"/>
                <w:sz w:val="20"/>
                <w:szCs w:val="20"/>
                <w:shd w:val="clear" w:color="auto" w:fill="FFFFFF"/>
              </w:rPr>
              <w:t xml:space="preserve"> ir piemērota</w:t>
            </w:r>
            <w:r w:rsidR="00EB15FB">
              <w:rPr>
                <w:bCs/>
                <w:color w:val="000000" w:themeColor="text1"/>
                <w:sz w:val="20"/>
                <w:szCs w:val="20"/>
                <w:shd w:val="clear" w:color="auto" w:fill="FFFFFF"/>
              </w:rPr>
              <w:t xml:space="preserve"> Latvijas tirgum un vienlaikus veicinātu </w:t>
            </w:r>
            <w:r w:rsidR="006A62D7">
              <w:rPr>
                <w:bCs/>
                <w:color w:val="000000" w:themeColor="text1"/>
                <w:sz w:val="20"/>
                <w:szCs w:val="20"/>
                <w:shd w:val="clear" w:color="auto" w:fill="FFFFFF"/>
              </w:rPr>
              <w:t xml:space="preserve"> Baltijas </w:t>
            </w:r>
            <w:r w:rsidR="00547815">
              <w:rPr>
                <w:bCs/>
                <w:color w:val="000000" w:themeColor="text1"/>
                <w:sz w:val="20"/>
                <w:szCs w:val="20"/>
                <w:shd w:val="clear" w:color="auto" w:fill="FFFFFF"/>
              </w:rPr>
              <w:t xml:space="preserve"> valstu kapitāla </w:t>
            </w:r>
            <w:r w:rsidR="006A62D7">
              <w:rPr>
                <w:bCs/>
                <w:color w:val="000000" w:themeColor="text1"/>
                <w:sz w:val="20"/>
                <w:szCs w:val="20"/>
                <w:shd w:val="clear" w:color="auto" w:fill="FFFFFF"/>
              </w:rPr>
              <w:t>tirgu</w:t>
            </w:r>
            <w:r w:rsidR="00547815">
              <w:rPr>
                <w:bCs/>
                <w:color w:val="000000" w:themeColor="text1"/>
                <w:sz w:val="20"/>
                <w:szCs w:val="20"/>
                <w:shd w:val="clear" w:color="auto" w:fill="FFFFFF"/>
              </w:rPr>
              <w:t>s stiprināšanu.</w:t>
            </w:r>
          </w:p>
          <w:p w14:paraId="78404E9D" w14:textId="5D582EA1" w:rsidR="00CF3EC9" w:rsidRPr="00CF3EC9" w:rsidRDefault="00CF3EC9" w:rsidP="001650B7">
            <w:pPr>
              <w:pStyle w:val="naisc"/>
              <w:spacing w:before="0" w:after="0"/>
              <w:jc w:val="both"/>
              <w:rPr>
                <w:bCs/>
                <w:color w:val="000000" w:themeColor="text1"/>
                <w:sz w:val="20"/>
                <w:szCs w:val="20"/>
                <w:shd w:val="clear" w:color="auto" w:fill="FFFFFF"/>
              </w:rPr>
            </w:pPr>
            <w:r>
              <w:rPr>
                <w:bCs/>
                <w:color w:val="000000" w:themeColor="text1"/>
                <w:sz w:val="20"/>
                <w:szCs w:val="20"/>
                <w:shd w:val="clear" w:color="auto" w:fill="FFFFFF"/>
              </w:rPr>
              <w:t>Vienlaikus norādāms, ka Direktīvas 44.a panta piektajā un sestajā daļā norādītās opcijas nav izmantojamas vienlaic</w:t>
            </w:r>
            <w:r w:rsidR="00645A10">
              <w:rPr>
                <w:bCs/>
                <w:color w:val="000000" w:themeColor="text1"/>
                <w:sz w:val="20"/>
                <w:szCs w:val="20"/>
                <w:shd w:val="clear" w:color="auto" w:fill="FFFFFF"/>
              </w:rPr>
              <w:t>īgi. Tā kā ar likumprojektu paredzēts pārņemt</w:t>
            </w:r>
            <w:r>
              <w:rPr>
                <w:bCs/>
                <w:color w:val="000000" w:themeColor="text1"/>
                <w:sz w:val="20"/>
                <w:szCs w:val="20"/>
                <w:shd w:val="clear" w:color="auto" w:fill="FFFFFF"/>
              </w:rPr>
              <w:t xml:space="preserve"> </w:t>
            </w:r>
            <w:r w:rsidR="00645A10">
              <w:rPr>
                <w:bCs/>
                <w:color w:val="000000" w:themeColor="text1"/>
                <w:sz w:val="20"/>
                <w:szCs w:val="20"/>
                <w:shd w:val="clear" w:color="auto" w:fill="FFFFFF"/>
              </w:rPr>
              <w:t>Direktīvas</w:t>
            </w:r>
            <w:r w:rsidR="009B694A">
              <w:rPr>
                <w:bCs/>
                <w:color w:val="000000" w:themeColor="text1"/>
                <w:sz w:val="20"/>
                <w:szCs w:val="20"/>
                <w:shd w:val="clear" w:color="auto" w:fill="FFFFFF"/>
              </w:rPr>
              <w:t xml:space="preserve"> 44.a panta</w:t>
            </w:r>
            <w:r w:rsidR="001650B7">
              <w:rPr>
                <w:bCs/>
                <w:color w:val="000000" w:themeColor="text1"/>
                <w:sz w:val="20"/>
                <w:szCs w:val="20"/>
                <w:shd w:val="clear" w:color="auto" w:fill="FFFFFF"/>
              </w:rPr>
              <w:t xml:space="preserve"> sesto</w:t>
            </w:r>
            <w:r w:rsidR="00645A10">
              <w:rPr>
                <w:bCs/>
                <w:color w:val="000000" w:themeColor="text1"/>
                <w:sz w:val="20"/>
                <w:szCs w:val="20"/>
                <w:shd w:val="clear" w:color="auto" w:fill="FFFFFF"/>
              </w:rPr>
              <w:t xml:space="preserve"> daļu, </w:t>
            </w:r>
            <w:r>
              <w:rPr>
                <w:bCs/>
                <w:color w:val="000000" w:themeColor="text1"/>
                <w:sz w:val="20"/>
                <w:szCs w:val="20"/>
                <w:shd w:val="clear" w:color="auto" w:fill="FFFFFF"/>
              </w:rPr>
              <w:t xml:space="preserve"> </w:t>
            </w:r>
            <w:r w:rsidR="001650B7">
              <w:rPr>
                <w:bCs/>
                <w:color w:val="000000" w:themeColor="text1"/>
                <w:sz w:val="20"/>
                <w:szCs w:val="20"/>
                <w:shd w:val="clear" w:color="auto" w:fill="FFFFFF"/>
              </w:rPr>
              <w:t>piekta</w:t>
            </w:r>
            <w:r w:rsidR="00645A10">
              <w:rPr>
                <w:bCs/>
                <w:color w:val="000000" w:themeColor="text1"/>
                <w:sz w:val="20"/>
                <w:szCs w:val="20"/>
                <w:shd w:val="clear" w:color="auto" w:fill="FFFFFF"/>
              </w:rPr>
              <w:t>jā daļā norādīto kritēriju vienlaicīga pārņemšana nav iespējama.</w:t>
            </w:r>
          </w:p>
        </w:tc>
        <w:tc>
          <w:tcPr>
            <w:tcW w:w="3428" w:type="dxa"/>
            <w:tcBorders>
              <w:top w:val="single" w:sz="4" w:space="0" w:color="auto"/>
              <w:left w:val="single" w:sz="4" w:space="0" w:color="auto"/>
              <w:bottom w:val="single" w:sz="4" w:space="0" w:color="auto"/>
            </w:tcBorders>
          </w:tcPr>
          <w:p w14:paraId="0FCFC53B" w14:textId="77777777" w:rsidR="00CF3EC9" w:rsidRPr="00CF3EC9" w:rsidRDefault="00CF3EC9" w:rsidP="00CF3EC9">
            <w:pPr>
              <w:spacing w:before="200"/>
              <w:jc w:val="both"/>
              <w:rPr>
                <w:sz w:val="20"/>
                <w:szCs w:val="26"/>
              </w:rPr>
            </w:pPr>
            <w:r w:rsidRPr="00CF3EC9">
              <w:rPr>
                <w:sz w:val="20"/>
                <w:szCs w:val="26"/>
              </w:rPr>
              <w:t>38. Papildināt likumu ar 58.</w:t>
            </w:r>
            <w:r w:rsidRPr="00CF3EC9">
              <w:rPr>
                <w:sz w:val="20"/>
                <w:szCs w:val="26"/>
                <w:vertAlign w:val="superscript"/>
              </w:rPr>
              <w:t>1</w:t>
            </w:r>
            <w:r w:rsidRPr="00CF3EC9">
              <w:rPr>
                <w:sz w:val="20"/>
                <w:szCs w:val="26"/>
              </w:rPr>
              <w:t xml:space="preserve"> pantu šādā redakcijā:</w:t>
            </w:r>
          </w:p>
          <w:p w14:paraId="5A82AFA9" w14:textId="77777777" w:rsidR="001650B7" w:rsidRPr="001650B7" w:rsidRDefault="00CF3EC9" w:rsidP="001650B7">
            <w:pPr>
              <w:spacing w:before="120"/>
              <w:jc w:val="both"/>
              <w:rPr>
                <w:sz w:val="20"/>
                <w:szCs w:val="20"/>
              </w:rPr>
            </w:pPr>
            <w:r w:rsidRPr="001650B7">
              <w:rPr>
                <w:sz w:val="20"/>
                <w:szCs w:val="20"/>
              </w:rPr>
              <w:t>“</w:t>
            </w:r>
            <w:r w:rsidR="001650B7" w:rsidRPr="001650B7">
              <w:rPr>
                <w:b/>
                <w:sz w:val="20"/>
                <w:szCs w:val="20"/>
              </w:rPr>
              <w:t>58.</w:t>
            </w:r>
            <w:r w:rsidR="001650B7" w:rsidRPr="001650B7">
              <w:rPr>
                <w:b/>
                <w:sz w:val="20"/>
                <w:szCs w:val="20"/>
                <w:vertAlign w:val="superscript"/>
              </w:rPr>
              <w:t>1</w:t>
            </w:r>
            <w:r w:rsidR="001650B7" w:rsidRPr="001650B7">
              <w:rPr>
                <w:b/>
                <w:sz w:val="20"/>
                <w:szCs w:val="20"/>
              </w:rPr>
              <w:t xml:space="preserve"> pants.</w:t>
            </w:r>
            <w:r w:rsidR="001650B7" w:rsidRPr="001650B7">
              <w:rPr>
                <w:sz w:val="20"/>
                <w:szCs w:val="20"/>
              </w:rPr>
              <w:t xml:space="preserve"> (1)   Atbilstīgo saistību, kuras atbilst visiem Regulas Nr. 575/2013 72.a pantā minētajiem nosacījumiem, izņemot attiecībā uz minētās regulas 72.a panta 1. punktu un 72.b panta 3., 4. un 5. punktu, pārdevējs šādas saistības pārdod privātam klientam, tikai tad, ja ir izpildīti visi turpmāk minētie nosacījumi:</w:t>
            </w:r>
          </w:p>
          <w:p w14:paraId="6299C840" w14:textId="77777777" w:rsidR="001650B7" w:rsidRPr="001650B7" w:rsidRDefault="001650B7" w:rsidP="001650B7">
            <w:pPr>
              <w:spacing w:before="120"/>
              <w:jc w:val="both"/>
              <w:rPr>
                <w:sz w:val="20"/>
                <w:szCs w:val="20"/>
              </w:rPr>
            </w:pPr>
            <w:r w:rsidRPr="001650B7">
              <w:rPr>
                <w:sz w:val="20"/>
                <w:szCs w:val="20"/>
              </w:rPr>
              <w:t>1) pārdevējs ir veicis piemērotības pārbaudi saskaņā ar Finanšu instrumentu tirgus likuma 126.</w:t>
            </w:r>
            <w:r w:rsidRPr="001650B7">
              <w:rPr>
                <w:sz w:val="20"/>
                <w:szCs w:val="20"/>
                <w:vertAlign w:val="superscript"/>
              </w:rPr>
              <w:t>2</w:t>
            </w:r>
            <w:r w:rsidRPr="001650B7">
              <w:rPr>
                <w:sz w:val="20"/>
                <w:szCs w:val="20"/>
              </w:rPr>
              <w:t xml:space="preserve"> pantu;</w:t>
            </w:r>
          </w:p>
          <w:p w14:paraId="40A421A2" w14:textId="77777777" w:rsidR="001650B7" w:rsidRPr="001650B7" w:rsidRDefault="001650B7" w:rsidP="001650B7">
            <w:pPr>
              <w:spacing w:before="120"/>
              <w:jc w:val="both"/>
              <w:rPr>
                <w:sz w:val="20"/>
                <w:szCs w:val="20"/>
              </w:rPr>
            </w:pPr>
            <w:r w:rsidRPr="001650B7">
              <w:rPr>
                <w:sz w:val="20"/>
                <w:szCs w:val="20"/>
              </w:rPr>
              <w:t>2) pārdevējs, pamatojoties uz šā panta 1. punktā minēto pārbaudi, ir pārliecinājies, ka šādas atbilstīgās saistības ir piemērotas minētajam privātajam klientam;</w:t>
            </w:r>
          </w:p>
          <w:p w14:paraId="73AB0A48" w14:textId="77777777" w:rsidR="001650B7" w:rsidRPr="001650B7" w:rsidRDefault="001650B7" w:rsidP="001650B7">
            <w:pPr>
              <w:spacing w:before="120"/>
              <w:jc w:val="both"/>
              <w:rPr>
                <w:sz w:val="20"/>
                <w:szCs w:val="20"/>
              </w:rPr>
            </w:pPr>
            <w:r w:rsidRPr="001650B7">
              <w:rPr>
                <w:sz w:val="20"/>
                <w:szCs w:val="20"/>
              </w:rPr>
              <w:t>3) pārdevējs piemērotību dokumentē saskaņā ar Finanšu instrumentu tirgus likuma 128. panta vienpadsmito, 11.</w:t>
            </w:r>
            <w:r w:rsidRPr="001650B7">
              <w:rPr>
                <w:sz w:val="20"/>
                <w:szCs w:val="20"/>
                <w:vertAlign w:val="superscript"/>
              </w:rPr>
              <w:t>1</w:t>
            </w:r>
            <w:r w:rsidRPr="001650B7">
              <w:rPr>
                <w:sz w:val="20"/>
                <w:szCs w:val="20"/>
              </w:rPr>
              <w:t xml:space="preserve"> un 11.</w:t>
            </w:r>
            <w:r w:rsidRPr="001650B7">
              <w:rPr>
                <w:sz w:val="20"/>
                <w:szCs w:val="20"/>
                <w:vertAlign w:val="superscript"/>
              </w:rPr>
              <w:t>2</w:t>
            </w:r>
            <w:r w:rsidRPr="001650B7">
              <w:rPr>
                <w:sz w:val="20"/>
                <w:szCs w:val="20"/>
              </w:rPr>
              <w:t xml:space="preserve"> daļu.</w:t>
            </w:r>
          </w:p>
          <w:p w14:paraId="03B66279" w14:textId="77777777" w:rsidR="001650B7" w:rsidRPr="001650B7" w:rsidRDefault="001650B7" w:rsidP="001650B7">
            <w:pPr>
              <w:spacing w:before="120"/>
              <w:jc w:val="both"/>
              <w:rPr>
                <w:sz w:val="20"/>
                <w:szCs w:val="20"/>
              </w:rPr>
            </w:pPr>
            <w:r w:rsidRPr="001650B7">
              <w:rPr>
                <w:sz w:val="20"/>
                <w:szCs w:val="20"/>
              </w:rPr>
              <w:lastRenderedPageBreak/>
              <w:t xml:space="preserve">(2)  Ja šā panta pirmajā daļā izklāstītie nosacījumi ir izpildīti un minētā privātā klienta finanšu portfelis pirkuma brīdī nepārsniedz  500 000 </w:t>
            </w:r>
            <w:r w:rsidRPr="001650B7">
              <w:rPr>
                <w:i/>
                <w:sz w:val="20"/>
                <w:szCs w:val="20"/>
              </w:rPr>
              <w:t>euro</w:t>
            </w:r>
            <w:r w:rsidRPr="001650B7">
              <w:rPr>
                <w:sz w:val="20"/>
                <w:szCs w:val="20"/>
              </w:rPr>
              <w:t>, pārdevējs, pamatojoties uz informāciju, ko privātais klients sniedz saskaņā ar šā panta trešo daļu, nodrošina, ka iegādes laikā ir izpildīti abi šādi nosacījumi:</w:t>
            </w:r>
          </w:p>
          <w:p w14:paraId="06EC683E" w14:textId="77777777" w:rsidR="001650B7" w:rsidRPr="001650B7" w:rsidRDefault="001650B7" w:rsidP="001650B7">
            <w:pPr>
              <w:spacing w:before="120"/>
              <w:jc w:val="both"/>
              <w:rPr>
                <w:sz w:val="20"/>
                <w:szCs w:val="20"/>
              </w:rPr>
            </w:pPr>
            <w:r w:rsidRPr="001650B7">
              <w:rPr>
                <w:sz w:val="20"/>
                <w:szCs w:val="20"/>
              </w:rPr>
              <w:t>1) privātais klients neiegulda kopējo summu, kas pārsniedz 10 procentus no minētā klienta finanšu instrumentu portfeļa saistībām, kas minētas šā panta pirmajā daļā;</w:t>
            </w:r>
          </w:p>
          <w:p w14:paraId="3667D36A" w14:textId="77777777" w:rsidR="001650B7" w:rsidRPr="001650B7" w:rsidRDefault="001650B7" w:rsidP="001650B7">
            <w:pPr>
              <w:spacing w:before="120"/>
              <w:jc w:val="both"/>
              <w:rPr>
                <w:sz w:val="20"/>
                <w:szCs w:val="20"/>
              </w:rPr>
            </w:pPr>
            <w:r w:rsidRPr="001650B7">
              <w:rPr>
                <w:sz w:val="20"/>
                <w:szCs w:val="20"/>
              </w:rPr>
              <w:t xml:space="preserve">2) sākotnējo ieguldījumu apjoms, kas ieguldīts vienā vai vairākos saistību instrumentos, kuri minēti šī panta pirmajā daļā, ir vismaz 10 000 </w:t>
            </w:r>
            <w:r w:rsidRPr="001650B7">
              <w:rPr>
                <w:i/>
                <w:sz w:val="20"/>
                <w:szCs w:val="20"/>
              </w:rPr>
              <w:t>euro</w:t>
            </w:r>
            <w:r w:rsidRPr="001650B7">
              <w:rPr>
                <w:sz w:val="20"/>
                <w:szCs w:val="20"/>
              </w:rPr>
              <w:t>.</w:t>
            </w:r>
          </w:p>
          <w:p w14:paraId="48264886" w14:textId="77777777" w:rsidR="001650B7" w:rsidRPr="001650B7" w:rsidRDefault="001650B7" w:rsidP="001650B7">
            <w:pPr>
              <w:spacing w:before="120"/>
              <w:jc w:val="both"/>
              <w:rPr>
                <w:sz w:val="20"/>
                <w:szCs w:val="20"/>
              </w:rPr>
            </w:pPr>
            <w:r w:rsidRPr="001650B7">
              <w:rPr>
                <w:sz w:val="20"/>
                <w:szCs w:val="20"/>
              </w:rPr>
              <w:t>(3) Privātais klients pārdevējam sniedz patiesu informāciju par privātā klienta finanšu instrumentu portfeli, tostarp jebkādiem šā panta pirmajā daļā minētajiem ieguldījumiem saistībās.</w:t>
            </w:r>
          </w:p>
          <w:p w14:paraId="7FB90D4D" w14:textId="77777777" w:rsidR="001650B7" w:rsidRPr="001650B7" w:rsidRDefault="001650B7" w:rsidP="001650B7">
            <w:pPr>
              <w:spacing w:before="120"/>
              <w:jc w:val="both"/>
              <w:rPr>
                <w:sz w:val="20"/>
                <w:szCs w:val="20"/>
              </w:rPr>
            </w:pPr>
            <w:r w:rsidRPr="001650B7">
              <w:rPr>
                <w:sz w:val="20"/>
                <w:szCs w:val="20"/>
              </w:rPr>
              <w:t>(4) Šā panta otrās un trešās daļas noteikumiem atbilstošs privātā klienta finanšu instrumentu portfelis ietver skaidras naudas noguldījumus un finanšu instrumentus, bet tajā neietilpst nekādi finanšu instrumenti, kas kalpo kā nodrošinājums.</w:t>
            </w:r>
          </w:p>
          <w:p w14:paraId="79402DE4" w14:textId="77777777" w:rsidR="001650B7" w:rsidRPr="001650B7" w:rsidRDefault="001650B7" w:rsidP="001650B7">
            <w:pPr>
              <w:spacing w:before="120"/>
              <w:jc w:val="both"/>
              <w:rPr>
                <w:sz w:val="20"/>
                <w:szCs w:val="20"/>
              </w:rPr>
            </w:pPr>
            <w:r w:rsidRPr="001650B7">
              <w:rPr>
                <w:sz w:val="20"/>
                <w:szCs w:val="20"/>
              </w:rPr>
              <w:t>(5) Latvijas Republikā reģistrētas iestādes vai finanšu sabiedrības, uz kurām attiecas šā likuma 60.</w:t>
            </w:r>
            <w:r w:rsidRPr="001650B7">
              <w:rPr>
                <w:sz w:val="20"/>
                <w:szCs w:val="20"/>
                <w:vertAlign w:val="superscript"/>
              </w:rPr>
              <w:t>2</w:t>
            </w:r>
            <w:r w:rsidRPr="001650B7">
              <w:rPr>
                <w:sz w:val="20"/>
                <w:szCs w:val="20"/>
              </w:rPr>
              <w:t xml:space="preserve"> pantā minētā prasība, un tās kopējo aktīvu vērtība nepārsniedz 50 miljardus </w:t>
            </w:r>
            <w:r w:rsidRPr="001650B7">
              <w:rPr>
                <w:i/>
                <w:sz w:val="20"/>
                <w:szCs w:val="20"/>
              </w:rPr>
              <w:t>euro</w:t>
            </w:r>
            <w:r w:rsidRPr="001650B7">
              <w:rPr>
                <w:sz w:val="20"/>
                <w:szCs w:val="20"/>
              </w:rPr>
              <w:t>, ievēro tikai šā panta otrās daļas 2. punktā noteikto.”</w:t>
            </w:r>
          </w:p>
          <w:p w14:paraId="5614E5A1" w14:textId="7C6F0E9B" w:rsidR="00D70AE0" w:rsidRPr="008C3A83" w:rsidRDefault="00D70AE0" w:rsidP="001650B7">
            <w:pPr>
              <w:shd w:val="clear" w:color="auto" w:fill="FFFFFF"/>
              <w:spacing w:before="120"/>
              <w:jc w:val="both"/>
              <w:rPr>
                <w:bCs/>
                <w:sz w:val="20"/>
              </w:rPr>
            </w:pPr>
          </w:p>
        </w:tc>
      </w:tr>
      <w:tr w:rsidR="00A16723" w:rsidRPr="00104C26" w14:paraId="3089F769" w14:textId="77777777" w:rsidTr="004F1910">
        <w:tblPrEx>
          <w:tblBorders>
            <w:top w:val="none" w:sz="0" w:space="0" w:color="auto"/>
            <w:left w:val="none" w:sz="0" w:space="0" w:color="auto"/>
            <w:bottom w:val="none" w:sz="0" w:space="0" w:color="auto"/>
            <w:right w:val="none" w:sz="0" w:space="0" w:color="auto"/>
          </w:tblBorders>
        </w:tblPrEx>
        <w:trPr>
          <w:gridAfter w:val="2"/>
          <w:wAfter w:w="5020" w:type="dxa"/>
        </w:trPr>
        <w:tc>
          <w:tcPr>
            <w:tcW w:w="3111" w:type="dxa"/>
            <w:gridSpan w:val="2"/>
          </w:tcPr>
          <w:p w14:paraId="7D22BF18" w14:textId="7774AE19" w:rsidR="00A16723" w:rsidRPr="00104C26" w:rsidRDefault="00A16723" w:rsidP="00A16723">
            <w:pPr>
              <w:pStyle w:val="naiskr"/>
              <w:spacing w:before="0" w:after="0"/>
              <w:rPr>
                <w:sz w:val="20"/>
                <w:szCs w:val="20"/>
              </w:rPr>
            </w:pPr>
          </w:p>
          <w:p w14:paraId="3909EF55" w14:textId="77777777" w:rsidR="00A16723" w:rsidRPr="00104C26" w:rsidRDefault="00A16723" w:rsidP="00A16723">
            <w:pPr>
              <w:pStyle w:val="naiskr"/>
              <w:spacing w:before="0" w:after="0"/>
              <w:rPr>
                <w:sz w:val="20"/>
                <w:szCs w:val="20"/>
              </w:rPr>
            </w:pPr>
            <w:r w:rsidRPr="00104C26">
              <w:rPr>
                <w:sz w:val="20"/>
                <w:szCs w:val="20"/>
              </w:rPr>
              <w:t>Atbildīgā amatpersona</w:t>
            </w:r>
          </w:p>
        </w:tc>
        <w:tc>
          <w:tcPr>
            <w:tcW w:w="6178" w:type="dxa"/>
            <w:gridSpan w:val="2"/>
          </w:tcPr>
          <w:p w14:paraId="4D2F7435" w14:textId="77777777" w:rsidR="00A16723" w:rsidRPr="00104C26" w:rsidRDefault="00A16723" w:rsidP="00A16723">
            <w:pPr>
              <w:pStyle w:val="naiskr"/>
              <w:spacing w:before="0" w:after="0"/>
              <w:rPr>
                <w:sz w:val="20"/>
                <w:szCs w:val="20"/>
              </w:rPr>
            </w:pPr>
          </w:p>
        </w:tc>
      </w:tr>
      <w:tr w:rsidR="00A16723" w:rsidRPr="00104C26" w14:paraId="2A886D94" w14:textId="77777777" w:rsidTr="004F1910">
        <w:tblPrEx>
          <w:tblBorders>
            <w:top w:val="none" w:sz="0" w:space="0" w:color="auto"/>
            <w:left w:val="none" w:sz="0" w:space="0" w:color="auto"/>
            <w:bottom w:val="none" w:sz="0" w:space="0" w:color="auto"/>
            <w:right w:val="none" w:sz="0" w:space="0" w:color="auto"/>
          </w:tblBorders>
        </w:tblPrEx>
        <w:trPr>
          <w:gridAfter w:val="2"/>
          <w:wAfter w:w="5020" w:type="dxa"/>
        </w:trPr>
        <w:tc>
          <w:tcPr>
            <w:tcW w:w="3111" w:type="dxa"/>
            <w:gridSpan w:val="2"/>
          </w:tcPr>
          <w:p w14:paraId="37E54F09" w14:textId="77777777" w:rsidR="00A16723" w:rsidRPr="00104C26" w:rsidRDefault="00A16723" w:rsidP="00A16723">
            <w:pPr>
              <w:pStyle w:val="naiskr"/>
              <w:spacing w:before="0" w:after="0"/>
              <w:ind w:firstLine="720"/>
              <w:rPr>
                <w:sz w:val="20"/>
                <w:szCs w:val="20"/>
              </w:rPr>
            </w:pPr>
          </w:p>
        </w:tc>
        <w:tc>
          <w:tcPr>
            <w:tcW w:w="6178" w:type="dxa"/>
            <w:gridSpan w:val="2"/>
            <w:tcBorders>
              <w:top w:val="single" w:sz="6" w:space="0" w:color="000000"/>
            </w:tcBorders>
          </w:tcPr>
          <w:p w14:paraId="7315E894" w14:textId="77777777" w:rsidR="00A16723" w:rsidRPr="00104C26" w:rsidRDefault="00A16723" w:rsidP="00A16723">
            <w:pPr>
              <w:pStyle w:val="naisc"/>
              <w:spacing w:before="0" w:after="0"/>
              <w:ind w:firstLine="720"/>
              <w:rPr>
                <w:sz w:val="20"/>
                <w:szCs w:val="20"/>
              </w:rPr>
            </w:pPr>
            <w:r w:rsidRPr="00104C26">
              <w:rPr>
                <w:sz w:val="20"/>
                <w:szCs w:val="20"/>
              </w:rPr>
              <w:t>(paraksts)*</w:t>
            </w:r>
          </w:p>
        </w:tc>
      </w:tr>
      <w:tr w:rsidR="00A16723" w:rsidRPr="00104C26" w14:paraId="7B3BC15D" w14:textId="77777777" w:rsidTr="006B6081">
        <w:tblPrEx>
          <w:tblBorders>
            <w:top w:val="none" w:sz="0" w:space="0" w:color="auto"/>
            <w:left w:val="none" w:sz="0" w:space="0" w:color="auto"/>
            <w:bottom w:val="none" w:sz="0" w:space="0" w:color="auto"/>
            <w:right w:val="none" w:sz="0" w:space="0" w:color="auto"/>
          </w:tblBorders>
        </w:tblPrEx>
        <w:trPr>
          <w:gridAfter w:val="2"/>
          <w:wAfter w:w="5020" w:type="dxa"/>
          <w:trHeight w:val="68"/>
        </w:trPr>
        <w:tc>
          <w:tcPr>
            <w:tcW w:w="3111" w:type="dxa"/>
            <w:gridSpan w:val="2"/>
          </w:tcPr>
          <w:p w14:paraId="27BE1C1F" w14:textId="4BF37079" w:rsidR="00A16723" w:rsidRPr="00104C26" w:rsidRDefault="00A16723" w:rsidP="00A16723">
            <w:pPr>
              <w:pStyle w:val="naiskr"/>
              <w:spacing w:before="0" w:after="0"/>
              <w:rPr>
                <w:sz w:val="20"/>
                <w:szCs w:val="20"/>
              </w:rPr>
            </w:pPr>
          </w:p>
        </w:tc>
        <w:tc>
          <w:tcPr>
            <w:tcW w:w="6178" w:type="dxa"/>
            <w:gridSpan w:val="2"/>
          </w:tcPr>
          <w:p w14:paraId="4349A495" w14:textId="77777777" w:rsidR="00A16723" w:rsidRPr="00104C26" w:rsidRDefault="00A16723" w:rsidP="00A16723">
            <w:pPr>
              <w:pStyle w:val="naiskr"/>
              <w:spacing w:before="0" w:after="0"/>
              <w:rPr>
                <w:sz w:val="20"/>
                <w:szCs w:val="20"/>
              </w:rPr>
            </w:pPr>
          </w:p>
        </w:tc>
      </w:tr>
    </w:tbl>
    <w:p w14:paraId="51E14534" w14:textId="3B1A9F7C" w:rsidR="009C2DAF" w:rsidRDefault="009C2DAF" w:rsidP="009C2DAF">
      <w:pPr>
        <w:pStyle w:val="naisf"/>
        <w:spacing w:before="0" w:after="0"/>
        <w:ind w:firstLine="0"/>
      </w:pPr>
      <w:r>
        <w:t xml:space="preserve">Piezīme. </w:t>
      </w:r>
      <w:r w:rsidRPr="00712B66">
        <w:t xml:space="preserve">* 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07652467" w14:textId="77777777" w:rsidR="005F657B" w:rsidRDefault="005F657B" w:rsidP="009C2DAF">
      <w:pPr>
        <w:pStyle w:val="naisf"/>
        <w:spacing w:before="0" w:after="0"/>
        <w:ind w:firstLine="0"/>
      </w:pPr>
    </w:p>
    <w:p w14:paraId="005DE50F" w14:textId="64A3416B" w:rsidR="00AA5A16" w:rsidRPr="005F657B" w:rsidRDefault="004F1BA3" w:rsidP="009C2DAF">
      <w:r w:rsidRPr="005F657B">
        <w:t>Dina Buse</w:t>
      </w:r>
    </w:p>
    <w:tbl>
      <w:tblPr>
        <w:tblW w:w="0" w:type="auto"/>
        <w:tblLook w:val="00A0" w:firstRow="1" w:lastRow="0" w:firstColumn="1" w:lastColumn="0" w:noHBand="0" w:noVBand="0"/>
      </w:tblPr>
      <w:tblGrid>
        <w:gridCol w:w="8268"/>
      </w:tblGrid>
      <w:tr w:rsidR="009C2DAF" w:rsidRPr="005F657B" w14:paraId="43333DA6" w14:textId="77777777" w:rsidTr="00557296">
        <w:tc>
          <w:tcPr>
            <w:tcW w:w="8268" w:type="dxa"/>
            <w:tcBorders>
              <w:top w:val="single" w:sz="4" w:space="0" w:color="000000"/>
            </w:tcBorders>
          </w:tcPr>
          <w:p w14:paraId="1AB8EB9A" w14:textId="77777777" w:rsidR="009C2DAF" w:rsidRPr="005F657B" w:rsidRDefault="009C2DAF" w:rsidP="00557296">
            <w:pPr>
              <w:jc w:val="center"/>
            </w:pPr>
            <w:r w:rsidRPr="005F657B">
              <w:t>(par projektu atbildīgās amatpersonas vārds un uzvārds)</w:t>
            </w:r>
          </w:p>
        </w:tc>
      </w:tr>
      <w:tr w:rsidR="009C2DAF" w:rsidRPr="005F657B" w14:paraId="559E7A91" w14:textId="77777777" w:rsidTr="00557296">
        <w:tc>
          <w:tcPr>
            <w:tcW w:w="8268" w:type="dxa"/>
            <w:tcBorders>
              <w:bottom w:val="single" w:sz="4" w:space="0" w:color="000000"/>
            </w:tcBorders>
          </w:tcPr>
          <w:p w14:paraId="2C33ADC7" w14:textId="68CF2EBB" w:rsidR="009C2DAF" w:rsidRPr="005F657B" w:rsidRDefault="004F1BA3" w:rsidP="004F1BA3">
            <w:r w:rsidRPr="005F657B">
              <w:t>Finanšu tirgus politikas departamenta direktores vietniece, Kredītiestāžu un maksājumu pakalpojumu politikas nodaļas vadītāja</w:t>
            </w:r>
          </w:p>
        </w:tc>
      </w:tr>
      <w:tr w:rsidR="009C2DAF" w:rsidRPr="005F657B" w14:paraId="592ADBFC" w14:textId="77777777" w:rsidTr="00557296">
        <w:tc>
          <w:tcPr>
            <w:tcW w:w="8268" w:type="dxa"/>
            <w:tcBorders>
              <w:top w:val="single" w:sz="4" w:space="0" w:color="000000"/>
            </w:tcBorders>
          </w:tcPr>
          <w:p w14:paraId="3BD0ED42" w14:textId="77777777" w:rsidR="009C2DAF" w:rsidRPr="005F657B" w:rsidRDefault="009C2DAF" w:rsidP="00557296">
            <w:pPr>
              <w:jc w:val="center"/>
            </w:pPr>
            <w:r w:rsidRPr="005F657B">
              <w:t>(amats)</w:t>
            </w:r>
          </w:p>
        </w:tc>
      </w:tr>
      <w:tr w:rsidR="009C2DAF" w:rsidRPr="005F657B" w14:paraId="0CF90E6E" w14:textId="77777777" w:rsidTr="00557296">
        <w:tc>
          <w:tcPr>
            <w:tcW w:w="8268" w:type="dxa"/>
            <w:tcBorders>
              <w:bottom w:val="single" w:sz="4" w:space="0" w:color="000000"/>
            </w:tcBorders>
          </w:tcPr>
          <w:p w14:paraId="678C6C60" w14:textId="77777777" w:rsidR="00AA5A16" w:rsidRPr="005F657B" w:rsidRDefault="009C2DAF" w:rsidP="00557296">
            <w:r w:rsidRPr="005F657B">
              <w:t xml:space="preserve">Tālrunis: </w:t>
            </w:r>
          </w:p>
          <w:p w14:paraId="5C4638AC" w14:textId="446DE40A" w:rsidR="009C2DAF" w:rsidRPr="005F657B" w:rsidRDefault="00AA5A16" w:rsidP="004F1BA3">
            <w:r w:rsidRPr="005F657B">
              <w:rPr>
                <w:rFonts w:eastAsia="Calibri"/>
              </w:rPr>
              <w:t>67</w:t>
            </w:r>
            <w:r w:rsidR="004F1BA3" w:rsidRPr="005F657B">
              <w:rPr>
                <w:rFonts w:eastAsia="Calibri"/>
              </w:rPr>
              <w:t>095535</w:t>
            </w:r>
          </w:p>
        </w:tc>
      </w:tr>
      <w:tr w:rsidR="009C2DAF" w:rsidRPr="005F657B" w14:paraId="4CB5D2C9" w14:textId="77777777" w:rsidTr="00557296">
        <w:tc>
          <w:tcPr>
            <w:tcW w:w="8268" w:type="dxa"/>
            <w:tcBorders>
              <w:top w:val="single" w:sz="4" w:space="0" w:color="000000"/>
            </w:tcBorders>
          </w:tcPr>
          <w:p w14:paraId="49AB53AC" w14:textId="77777777" w:rsidR="009C2DAF" w:rsidRPr="005F657B" w:rsidRDefault="009C2DAF" w:rsidP="00557296">
            <w:pPr>
              <w:jc w:val="center"/>
            </w:pPr>
            <w:r w:rsidRPr="005F657B">
              <w:t>(tālruņa un faksa numurs)</w:t>
            </w:r>
          </w:p>
        </w:tc>
      </w:tr>
      <w:tr w:rsidR="009C2DAF" w:rsidRPr="00712B66" w14:paraId="02B89D51" w14:textId="77777777" w:rsidTr="00557296">
        <w:tc>
          <w:tcPr>
            <w:tcW w:w="8268" w:type="dxa"/>
            <w:tcBorders>
              <w:bottom w:val="single" w:sz="4" w:space="0" w:color="000000"/>
            </w:tcBorders>
          </w:tcPr>
          <w:p w14:paraId="76645909" w14:textId="14815FD6" w:rsidR="009C2DAF" w:rsidRPr="00AA5A16" w:rsidRDefault="004F1BA3" w:rsidP="00557296">
            <w:pPr>
              <w:rPr>
                <w:color w:val="0000FF"/>
                <w:u w:val="single"/>
              </w:rPr>
            </w:pPr>
            <w:r w:rsidRPr="005F657B">
              <w:rPr>
                <w:rStyle w:val="Hyperlink"/>
              </w:rPr>
              <w:t>Dina.Buse@fm.gov.lv</w:t>
            </w:r>
          </w:p>
        </w:tc>
      </w:tr>
      <w:tr w:rsidR="009C2DAF" w:rsidRPr="00712B66" w14:paraId="35F4E5A9" w14:textId="77777777" w:rsidTr="00557296">
        <w:tc>
          <w:tcPr>
            <w:tcW w:w="8268" w:type="dxa"/>
            <w:tcBorders>
              <w:top w:val="single" w:sz="4" w:space="0" w:color="000000"/>
            </w:tcBorders>
          </w:tcPr>
          <w:p w14:paraId="7F77E764" w14:textId="77777777" w:rsidR="009C2DAF" w:rsidRPr="00712B66" w:rsidRDefault="009C2DAF" w:rsidP="00557296">
            <w:pPr>
              <w:jc w:val="center"/>
            </w:pPr>
            <w:r>
              <w:t>(</w:t>
            </w:r>
            <w:r w:rsidRPr="00712B66">
              <w:t>e-pasta adrese</w:t>
            </w:r>
            <w:r>
              <w:t>)</w:t>
            </w:r>
          </w:p>
        </w:tc>
      </w:tr>
    </w:tbl>
    <w:p w14:paraId="7402A11B" w14:textId="797F0D72" w:rsidR="004F1BA3" w:rsidRDefault="00BF3499" w:rsidP="009C2DAF">
      <w:pPr>
        <w:jc w:val="both"/>
        <w:rPr>
          <w:rFonts w:eastAsia="Calibri"/>
          <w:sz w:val="20"/>
          <w:szCs w:val="20"/>
        </w:rPr>
      </w:pPr>
      <w:r>
        <w:rPr>
          <w:rFonts w:eastAsia="Calibri"/>
          <w:sz w:val="20"/>
          <w:szCs w:val="20"/>
        </w:rPr>
        <w:t>Čevers</w:t>
      </w:r>
      <w:r w:rsidR="009C2DAF">
        <w:rPr>
          <w:rFonts w:eastAsia="Calibri"/>
          <w:sz w:val="20"/>
          <w:szCs w:val="20"/>
        </w:rPr>
        <w:t>, 67</w:t>
      </w:r>
      <w:r>
        <w:rPr>
          <w:rFonts w:eastAsia="Calibri"/>
          <w:sz w:val="20"/>
          <w:szCs w:val="20"/>
        </w:rPr>
        <w:t>095490</w:t>
      </w:r>
    </w:p>
    <w:p w14:paraId="3DA3C414" w14:textId="760704DC" w:rsidR="00AE38BB" w:rsidRDefault="00BF3499" w:rsidP="004F1BA3">
      <w:pPr>
        <w:jc w:val="both"/>
      </w:pPr>
      <w:r>
        <w:rPr>
          <w:rFonts w:eastAsia="Calibri"/>
          <w:sz w:val="20"/>
          <w:szCs w:val="20"/>
        </w:rPr>
        <w:t>miks.cevers</w:t>
      </w:r>
      <w:r w:rsidR="004F1BA3">
        <w:rPr>
          <w:rFonts w:eastAsia="Calibri"/>
          <w:sz w:val="20"/>
          <w:szCs w:val="20"/>
        </w:rPr>
        <w:t>@fm.gov.lv</w:t>
      </w:r>
    </w:p>
    <w:sectPr w:rsidR="00AE38BB" w:rsidSect="009478C2">
      <w:headerReference w:type="even" r:id="rId7"/>
      <w:headerReference w:type="default" r:id="rId8"/>
      <w:footerReference w:type="default" r:id="rId9"/>
      <w:footerReference w:type="first" r:id="rId10"/>
      <w:pgSz w:w="16838" w:h="11906" w:orient="landscape" w:code="9"/>
      <w:pgMar w:top="1418" w:right="1134" w:bottom="1134" w:left="1701" w:header="709" w:footer="7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7FA91" w14:textId="77777777" w:rsidR="00462541" w:rsidRDefault="00462541" w:rsidP="009C2DAF">
      <w:r>
        <w:separator/>
      </w:r>
    </w:p>
  </w:endnote>
  <w:endnote w:type="continuationSeparator" w:id="0">
    <w:p w14:paraId="239808FE" w14:textId="77777777" w:rsidR="00462541" w:rsidRDefault="00462541" w:rsidP="009C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AE256" w14:textId="7FF70E66" w:rsidR="00954A6F" w:rsidRPr="007D6B81" w:rsidRDefault="006454DF" w:rsidP="007D6B81">
    <w:pPr>
      <w:pStyle w:val="Footer"/>
      <w:rPr>
        <w:sz w:val="20"/>
        <w:szCs w:val="20"/>
      </w:rPr>
    </w:pPr>
    <w:r>
      <w:rPr>
        <w:sz w:val="20"/>
        <w:szCs w:val="20"/>
      </w:rPr>
      <w:t>FMizz_</w:t>
    </w:r>
    <w:r w:rsidR="00AB136B">
      <w:rPr>
        <w:sz w:val="20"/>
        <w:szCs w:val="20"/>
      </w:rPr>
      <w:t>021220</w:t>
    </w:r>
    <w:r w:rsidR="008D375C">
      <w:rPr>
        <w:sz w:val="20"/>
        <w:szCs w:val="20"/>
      </w:rPr>
      <w:t>_</w:t>
    </w:r>
    <w:r w:rsidR="00AB136B">
      <w:rPr>
        <w:sz w:val="20"/>
        <w:szCs w:val="20"/>
      </w:rPr>
      <w:t>noregulejums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F54B0" w14:textId="4504A478" w:rsidR="00954A6F" w:rsidRPr="007642FE" w:rsidRDefault="00FB06C3" w:rsidP="00935D50">
    <w:pPr>
      <w:pStyle w:val="Footer"/>
      <w:rPr>
        <w:sz w:val="20"/>
        <w:szCs w:val="20"/>
      </w:rPr>
    </w:pPr>
    <w:r>
      <w:rPr>
        <w:sz w:val="20"/>
        <w:szCs w:val="20"/>
      </w:rPr>
      <w:t>FMizz_</w:t>
    </w:r>
    <w:r w:rsidR="00AB136B">
      <w:rPr>
        <w:sz w:val="20"/>
        <w:szCs w:val="20"/>
      </w:rPr>
      <w:t>021220</w:t>
    </w:r>
    <w:r w:rsidR="008D375C">
      <w:rPr>
        <w:sz w:val="20"/>
        <w:szCs w:val="20"/>
      </w:rPr>
      <w:t>_</w:t>
    </w:r>
    <w:r w:rsidR="00AB136B">
      <w:rPr>
        <w:sz w:val="20"/>
        <w:szCs w:val="20"/>
      </w:rPr>
      <w:t>noregulejums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A2A6A" w14:textId="77777777" w:rsidR="00462541" w:rsidRDefault="00462541" w:rsidP="009C2DAF">
      <w:r>
        <w:separator/>
      </w:r>
    </w:p>
  </w:footnote>
  <w:footnote w:type="continuationSeparator" w:id="0">
    <w:p w14:paraId="045A1A17" w14:textId="77777777" w:rsidR="00462541" w:rsidRDefault="00462541" w:rsidP="009C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5DFED" w14:textId="77777777" w:rsidR="00954A6F" w:rsidRDefault="008D375C" w:rsidP="00935D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EC5001" w14:textId="77777777" w:rsidR="00954A6F" w:rsidRDefault="00084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45E06" w14:textId="5684CE3A" w:rsidR="00954A6F" w:rsidRDefault="008D375C" w:rsidP="00935D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406D">
      <w:rPr>
        <w:rStyle w:val="PageNumber"/>
        <w:noProof/>
      </w:rPr>
      <w:t>11</w:t>
    </w:r>
    <w:r>
      <w:rPr>
        <w:rStyle w:val="PageNumber"/>
      </w:rPr>
      <w:fldChar w:fldCharType="end"/>
    </w:r>
  </w:p>
  <w:p w14:paraId="00F7D277" w14:textId="77777777" w:rsidR="00954A6F" w:rsidRDefault="00084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1CC"/>
    <w:multiLevelType w:val="multilevel"/>
    <w:tmpl w:val="D55602C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401A7E"/>
    <w:multiLevelType w:val="hybridMultilevel"/>
    <w:tmpl w:val="72163E28"/>
    <w:lvl w:ilvl="0" w:tplc="F9A260A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B32258"/>
    <w:multiLevelType w:val="multilevel"/>
    <w:tmpl w:val="604A816A"/>
    <w:lvl w:ilvl="0">
      <w:start w:val="2"/>
      <w:numFmt w:val="decimal"/>
      <w:lvlText w:val="%1."/>
      <w:lvlJc w:val="left"/>
      <w:pPr>
        <w:ind w:left="360" w:hanging="360"/>
      </w:pPr>
      <w:rPr>
        <w:rFonts w:eastAsia="Times New Roman" w:cs="Times New Roman" w:hint="default"/>
        <w:color w:val="000000" w:themeColor="text1"/>
      </w:rPr>
    </w:lvl>
    <w:lvl w:ilvl="1">
      <w:start w:val="1"/>
      <w:numFmt w:val="decimal"/>
      <w:lvlText w:val="%1.%2."/>
      <w:lvlJc w:val="left"/>
      <w:pPr>
        <w:ind w:left="660" w:hanging="360"/>
      </w:pPr>
      <w:rPr>
        <w:rFonts w:eastAsia="Times New Roman" w:cs="Times New Roman" w:hint="default"/>
        <w:color w:val="000000" w:themeColor="text1"/>
      </w:rPr>
    </w:lvl>
    <w:lvl w:ilvl="2">
      <w:start w:val="1"/>
      <w:numFmt w:val="decimal"/>
      <w:lvlText w:val="%1.%2.%3."/>
      <w:lvlJc w:val="left"/>
      <w:pPr>
        <w:ind w:left="1320" w:hanging="720"/>
      </w:pPr>
      <w:rPr>
        <w:rFonts w:eastAsia="Times New Roman" w:cs="Times New Roman" w:hint="default"/>
        <w:color w:val="000000" w:themeColor="text1"/>
      </w:rPr>
    </w:lvl>
    <w:lvl w:ilvl="3">
      <w:start w:val="1"/>
      <w:numFmt w:val="decimal"/>
      <w:lvlText w:val="%1.%2.%3.%4."/>
      <w:lvlJc w:val="left"/>
      <w:pPr>
        <w:ind w:left="1620" w:hanging="720"/>
      </w:pPr>
      <w:rPr>
        <w:rFonts w:eastAsia="Times New Roman" w:cs="Times New Roman" w:hint="default"/>
        <w:color w:val="000000" w:themeColor="text1"/>
      </w:rPr>
    </w:lvl>
    <w:lvl w:ilvl="4">
      <w:start w:val="1"/>
      <w:numFmt w:val="decimal"/>
      <w:lvlText w:val="%1.%2.%3.%4.%5."/>
      <w:lvlJc w:val="left"/>
      <w:pPr>
        <w:ind w:left="2280" w:hanging="1080"/>
      </w:pPr>
      <w:rPr>
        <w:rFonts w:eastAsia="Times New Roman" w:cs="Times New Roman" w:hint="default"/>
        <w:color w:val="000000" w:themeColor="text1"/>
      </w:rPr>
    </w:lvl>
    <w:lvl w:ilvl="5">
      <w:start w:val="1"/>
      <w:numFmt w:val="decimal"/>
      <w:lvlText w:val="%1.%2.%3.%4.%5.%6."/>
      <w:lvlJc w:val="left"/>
      <w:pPr>
        <w:ind w:left="2580" w:hanging="1080"/>
      </w:pPr>
      <w:rPr>
        <w:rFonts w:eastAsia="Times New Roman" w:cs="Times New Roman" w:hint="default"/>
        <w:color w:val="000000" w:themeColor="text1"/>
      </w:rPr>
    </w:lvl>
    <w:lvl w:ilvl="6">
      <w:start w:val="1"/>
      <w:numFmt w:val="decimal"/>
      <w:lvlText w:val="%1.%2.%3.%4.%5.%6.%7."/>
      <w:lvlJc w:val="left"/>
      <w:pPr>
        <w:ind w:left="2880" w:hanging="1080"/>
      </w:pPr>
      <w:rPr>
        <w:rFonts w:eastAsia="Times New Roman" w:cs="Times New Roman" w:hint="default"/>
        <w:color w:val="000000" w:themeColor="text1"/>
      </w:rPr>
    </w:lvl>
    <w:lvl w:ilvl="7">
      <w:start w:val="1"/>
      <w:numFmt w:val="decimal"/>
      <w:lvlText w:val="%1.%2.%3.%4.%5.%6.%7.%8."/>
      <w:lvlJc w:val="left"/>
      <w:pPr>
        <w:ind w:left="3540" w:hanging="1440"/>
      </w:pPr>
      <w:rPr>
        <w:rFonts w:eastAsia="Times New Roman" w:cs="Times New Roman" w:hint="default"/>
        <w:color w:val="000000" w:themeColor="text1"/>
      </w:rPr>
    </w:lvl>
    <w:lvl w:ilvl="8">
      <w:start w:val="1"/>
      <w:numFmt w:val="decimal"/>
      <w:lvlText w:val="%1.%2.%3.%4.%5.%6.%7.%8.%9."/>
      <w:lvlJc w:val="left"/>
      <w:pPr>
        <w:ind w:left="3840" w:hanging="1440"/>
      </w:pPr>
      <w:rPr>
        <w:rFonts w:eastAsia="Times New Roman" w:cs="Times New Roman" w:hint="default"/>
        <w:color w:val="000000" w:themeColor="text1"/>
      </w:rPr>
    </w:lvl>
  </w:abstractNum>
  <w:abstractNum w:abstractNumId="3" w15:restartNumberingAfterBreak="0">
    <w:nsid w:val="0F12584D"/>
    <w:multiLevelType w:val="multilevel"/>
    <w:tmpl w:val="72DE34C4"/>
    <w:lvl w:ilvl="0">
      <w:start w:val="2"/>
      <w:numFmt w:val="decimal"/>
      <w:lvlText w:val="%1."/>
      <w:lvlJc w:val="left"/>
      <w:pPr>
        <w:ind w:left="360" w:hanging="360"/>
      </w:pPr>
      <w:rPr>
        <w:rFonts w:eastAsia="Times New Roman" w:cs="Times New Roman" w:hint="default"/>
        <w:color w:val="000000" w:themeColor="text1"/>
        <w:sz w:val="24"/>
      </w:rPr>
    </w:lvl>
    <w:lvl w:ilvl="1">
      <w:start w:val="1"/>
      <w:numFmt w:val="decimal"/>
      <w:lvlText w:val="%1.%2."/>
      <w:lvlJc w:val="left"/>
      <w:pPr>
        <w:ind w:left="1020" w:hanging="720"/>
      </w:pPr>
      <w:rPr>
        <w:rFonts w:eastAsia="Times New Roman" w:cs="Times New Roman" w:hint="default"/>
        <w:color w:val="000000" w:themeColor="text1"/>
        <w:sz w:val="24"/>
      </w:rPr>
    </w:lvl>
    <w:lvl w:ilvl="2">
      <w:start w:val="1"/>
      <w:numFmt w:val="decimal"/>
      <w:lvlText w:val="%1.%2.%3."/>
      <w:lvlJc w:val="left"/>
      <w:pPr>
        <w:ind w:left="1320" w:hanging="720"/>
      </w:pPr>
      <w:rPr>
        <w:rFonts w:eastAsia="Times New Roman" w:cs="Times New Roman" w:hint="default"/>
        <w:color w:val="000000" w:themeColor="text1"/>
        <w:sz w:val="24"/>
      </w:rPr>
    </w:lvl>
    <w:lvl w:ilvl="3">
      <w:start w:val="1"/>
      <w:numFmt w:val="decimal"/>
      <w:lvlText w:val="%1.%2.%3.%4."/>
      <w:lvlJc w:val="left"/>
      <w:pPr>
        <w:ind w:left="1980" w:hanging="1080"/>
      </w:pPr>
      <w:rPr>
        <w:rFonts w:eastAsia="Times New Roman" w:cs="Times New Roman" w:hint="default"/>
        <w:color w:val="000000" w:themeColor="text1"/>
        <w:sz w:val="24"/>
      </w:rPr>
    </w:lvl>
    <w:lvl w:ilvl="4">
      <w:start w:val="1"/>
      <w:numFmt w:val="decimal"/>
      <w:lvlText w:val="%1.%2.%3.%4.%5."/>
      <w:lvlJc w:val="left"/>
      <w:pPr>
        <w:ind w:left="2280" w:hanging="1080"/>
      </w:pPr>
      <w:rPr>
        <w:rFonts w:eastAsia="Times New Roman" w:cs="Times New Roman" w:hint="default"/>
        <w:color w:val="000000" w:themeColor="text1"/>
        <w:sz w:val="24"/>
      </w:rPr>
    </w:lvl>
    <w:lvl w:ilvl="5">
      <w:start w:val="1"/>
      <w:numFmt w:val="decimal"/>
      <w:lvlText w:val="%1.%2.%3.%4.%5.%6."/>
      <w:lvlJc w:val="left"/>
      <w:pPr>
        <w:ind w:left="2940" w:hanging="1440"/>
      </w:pPr>
      <w:rPr>
        <w:rFonts w:eastAsia="Times New Roman" w:cs="Times New Roman" w:hint="default"/>
        <w:color w:val="000000" w:themeColor="text1"/>
        <w:sz w:val="24"/>
      </w:rPr>
    </w:lvl>
    <w:lvl w:ilvl="6">
      <w:start w:val="1"/>
      <w:numFmt w:val="decimal"/>
      <w:lvlText w:val="%1.%2.%3.%4.%5.%6.%7."/>
      <w:lvlJc w:val="left"/>
      <w:pPr>
        <w:ind w:left="3600" w:hanging="1800"/>
      </w:pPr>
      <w:rPr>
        <w:rFonts w:eastAsia="Times New Roman" w:cs="Times New Roman" w:hint="default"/>
        <w:color w:val="000000" w:themeColor="text1"/>
        <w:sz w:val="24"/>
      </w:rPr>
    </w:lvl>
    <w:lvl w:ilvl="7">
      <w:start w:val="1"/>
      <w:numFmt w:val="decimal"/>
      <w:lvlText w:val="%1.%2.%3.%4.%5.%6.%7.%8."/>
      <w:lvlJc w:val="left"/>
      <w:pPr>
        <w:ind w:left="3900" w:hanging="1800"/>
      </w:pPr>
      <w:rPr>
        <w:rFonts w:eastAsia="Times New Roman" w:cs="Times New Roman" w:hint="default"/>
        <w:color w:val="000000" w:themeColor="text1"/>
        <w:sz w:val="24"/>
      </w:rPr>
    </w:lvl>
    <w:lvl w:ilvl="8">
      <w:start w:val="1"/>
      <w:numFmt w:val="decimal"/>
      <w:lvlText w:val="%1.%2.%3.%4.%5.%6.%7.%8.%9."/>
      <w:lvlJc w:val="left"/>
      <w:pPr>
        <w:ind w:left="4560" w:hanging="2160"/>
      </w:pPr>
      <w:rPr>
        <w:rFonts w:eastAsia="Times New Roman" w:cs="Times New Roman" w:hint="default"/>
        <w:color w:val="000000" w:themeColor="text1"/>
        <w:sz w:val="24"/>
      </w:rPr>
    </w:lvl>
  </w:abstractNum>
  <w:abstractNum w:abstractNumId="4" w15:restartNumberingAfterBreak="0">
    <w:nsid w:val="192A04D8"/>
    <w:multiLevelType w:val="hybridMultilevel"/>
    <w:tmpl w:val="00B09E56"/>
    <w:lvl w:ilvl="0" w:tplc="4DCC1B56">
      <w:start w:val="2"/>
      <w:numFmt w:val="bullet"/>
      <w:lvlText w:val="-"/>
      <w:lvlJc w:val="left"/>
      <w:pPr>
        <w:ind w:left="720"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4735B16"/>
    <w:multiLevelType w:val="multilevel"/>
    <w:tmpl w:val="8B885EDA"/>
    <w:lvl w:ilvl="0">
      <w:start w:val="1"/>
      <w:numFmt w:val="decimal"/>
      <w:lvlText w:val="%1."/>
      <w:lvlJc w:val="left"/>
      <w:pPr>
        <w:ind w:left="2912"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6" w15:restartNumberingAfterBreak="0">
    <w:nsid w:val="4D7953BA"/>
    <w:multiLevelType w:val="multilevel"/>
    <w:tmpl w:val="AFDC37B4"/>
    <w:lvl w:ilvl="0">
      <w:start w:val="4"/>
      <w:numFmt w:val="decimal"/>
      <w:lvlText w:val="%1."/>
      <w:lvlJc w:val="left"/>
      <w:pPr>
        <w:ind w:left="360" w:hanging="360"/>
      </w:pPr>
      <w:rPr>
        <w:rFonts w:eastAsia="Times New Roman" w:cs="Times New Roman" w:hint="default"/>
        <w:color w:val="000000" w:themeColor="text1"/>
      </w:rPr>
    </w:lvl>
    <w:lvl w:ilvl="1">
      <w:start w:val="1"/>
      <w:numFmt w:val="decimal"/>
      <w:lvlText w:val="%1.%2."/>
      <w:lvlJc w:val="left"/>
      <w:pPr>
        <w:ind w:left="660" w:hanging="360"/>
      </w:pPr>
      <w:rPr>
        <w:rFonts w:eastAsia="Times New Roman" w:cs="Times New Roman" w:hint="default"/>
        <w:color w:val="000000" w:themeColor="text1"/>
      </w:rPr>
    </w:lvl>
    <w:lvl w:ilvl="2">
      <w:start w:val="1"/>
      <w:numFmt w:val="decimal"/>
      <w:lvlText w:val="%1.%2.%3."/>
      <w:lvlJc w:val="left"/>
      <w:pPr>
        <w:ind w:left="1320" w:hanging="720"/>
      </w:pPr>
      <w:rPr>
        <w:rFonts w:eastAsia="Times New Roman" w:cs="Times New Roman" w:hint="default"/>
        <w:color w:val="000000" w:themeColor="text1"/>
      </w:rPr>
    </w:lvl>
    <w:lvl w:ilvl="3">
      <w:start w:val="1"/>
      <w:numFmt w:val="decimal"/>
      <w:lvlText w:val="%1.%2.%3.%4."/>
      <w:lvlJc w:val="left"/>
      <w:pPr>
        <w:ind w:left="1620" w:hanging="720"/>
      </w:pPr>
      <w:rPr>
        <w:rFonts w:eastAsia="Times New Roman" w:cs="Times New Roman" w:hint="default"/>
        <w:color w:val="000000" w:themeColor="text1"/>
      </w:rPr>
    </w:lvl>
    <w:lvl w:ilvl="4">
      <w:start w:val="1"/>
      <w:numFmt w:val="decimal"/>
      <w:lvlText w:val="%1.%2.%3.%4.%5."/>
      <w:lvlJc w:val="left"/>
      <w:pPr>
        <w:ind w:left="2280" w:hanging="1080"/>
      </w:pPr>
      <w:rPr>
        <w:rFonts w:eastAsia="Times New Roman" w:cs="Times New Roman" w:hint="default"/>
        <w:color w:val="000000" w:themeColor="text1"/>
      </w:rPr>
    </w:lvl>
    <w:lvl w:ilvl="5">
      <w:start w:val="1"/>
      <w:numFmt w:val="decimal"/>
      <w:lvlText w:val="%1.%2.%3.%4.%5.%6."/>
      <w:lvlJc w:val="left"/>
      <w:pPr>
        <w:ind w:left="2580" w:hanging="1080"/>
      </w:pPr>
      <w:rPr>
        <w:rFonts w:eastAsia="Times New Roman" w:cs="Times New Roman" w:hint="default"/>
        <w:color w:val="000000" w:themeColor="text1"/>
      </w:rPr>
    </w:lvl>
    <w:lvl w:ilvl="6">
      <w:start w:val="1"/>
      <w:numFmt w:val="decimal"/>
      <w:lvlText w:val="%1.%2.%3.%4.%5.%6.%7."/>
      <w:lvlJc w:val="left"/>
      <w:pPr>
        <w:ind w:left="2880" w:hanging="1080"/>
      </w:pPr>
      <w:rPr>
        <w:rFonts w:eastAsia="Times New Roman" w:cs="Times New Roman" w:hint="default"/>
        <w:color w:val="000000" w:themeColor="text1"/>
      </w:rPr>
    </w:lvl>
    <w:lvl w:ilvl="7">
      <w:start w:val="1"/>
      <w:numFmt w:val="decimal"/>
      <w:lvlText w:val="%1.%2.%3.%4.%5.%6.%7.%8."/>
      <w:lvlJc w:val="left"/>
      <w:pPr>
        <w:ind w:left="3540" w:hanging="1440"/>
      </w:pPr>
      <w:rPr>
        <w:rFonts w:eastAsia="Times New Roman" w:cs="Times New Roman" w:hint="default"/>
        <w:color w:val="000000" w:themeColor="text1"/>
      </w:rPr>
    </w:lvl>
    <w:lvl w:ilvl="8">
      <w:start w:val="1"/>
      <w:numFmt w:val="decimal"/>
      <w:lvlText w:val="%1.%2.%3.%4.%5.%6.%7.%8.%9."/>
      <w:lvlJc w:val="left"/>
      <w:pPr>
        <w:ind w:left="3840" w:hanging="1440"/>
      </w:pPr>
      <w:rPr>
        <w:rFonts w:eastAsia="Times New Roman" w:cs="Times New Roman" w:hint="default"/>
        <w:color w:val="000000" w:themeColor="text1"/>
      </w:rPr>
    </w:lvl>
  </w:abstractNum>
  <w:abstractNum w:abstractNumId="7" w15:restartNumberingAfterBreak="0">
    <w:nsid w:val="509F1D0F"/>
    <w:multiLevelType w:val="hybridMultilevel"/>
    <w:tmpl w:val="72A23AC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64770F"/>
    <w:multiLevelType w:val="hybridMultilevel"/>
    <w:tmpl w:val="BB1EE8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5690D05"/>
    <w:multiLevelType w:val="hybridMultilevel"/>
    <w:tmpl w:val="BA3AD9A8"/>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9"/>
  </w:num>
  <w:num w:numId="6">
    <w:abstractNumId w:val="4"/>
  </w:num>
  <w:num w:numId="7">
    <w:abstractNumId w:val="2"/>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AF"/>
    <w:rsid w:val="00025354"/>
    <w:rsid w:val="00080D04"/>
    <w:rsid w:val="0008406D"/>
    <w:rsid w:val="00092CE2"/>
    <w:rsid w:val="00096140"/>
    <w:rsid w:val="00096354"/>
    <w:rsid w:val="000B716F"/>
    <w:rsid w:val="000C6125"/>
    <w:rsid w:val="000C7DC0"/>
    <w:rsid w:val="000D61E2"/>
    <w:rsid w:val="00100136"/>
    <w:rsid w:val="0011096C"/>
    <w:rsid w:val="00131FDA"/>
    <w:rsid w:val="00141121"/>
    <w:rsid w:val="001462DE"/>
    <w:rsid w:val="00152921"/>
    <w:rsid w:val="001650B7"/>
    <w:rsid w:val="00166815"/>
    <w:rsid w:val="00171644"/>
    <w:rsid w:val="001C17D6"/>
    <w:rsid w:val="0020788A"/>
    <w:rsid w:val="00212FBE"/>
    <w:rsid w:val="002149C5"/>
    <w:rsid w:val="00266775"/>
    <w:rsid w:val="002677B2"/>
    <w:rsid w:val="00273A41"/>
    <w:rsid w:val="0027749D"/>
    <w:rsid w:val="002E045C"/>
    <w:rsid w:val="00300AB3"/>
    <w:rsid w:val="003107A2"/>
    <w:rsid w:val="003160B3"/>
    <w:rsid w:val="0032556B"/>
    <w:rsid w:val="00362756"/>
    <w:rsid w:val="003664F0"/>
    <w:rsid w:val="00371D00"/>
    <w:rsid w:val="0037658A"/>
    <w:rsid w:val="00396E9E"/>
    <w:rsid w:val="003D7CDB"/>
    <w:rsid w:val="004229BA"/>
    <w:rsid w:val="00462541"/>
    <w:rsid w:val="004631DB"/>
    <w:rsid w:val="004F1910"/>
    <w:rsid w:val="004F1BA3"/>
    <w:rsid w:val="00500B2A"/>
    <w:rsid w:val="0051230A"/>
    <w:rsid w:val="00532CE3"/>
    <w:rsid w:val="00547815"/>
    <w:rsid w:val="005D7461"/>
    <w:rsid w:val="005E2845"/>
    <w:rsid w:val="005E4DCA"/>
    <w:rsid w:val="005F657B"/>
    <w:rsid w:val="006454DF"/>
    <w:rsid w:val="00645A10"/>
    <w:rsid w:val="006506A5"/>
    <w:rsid w:val="006A62D7"/>
    <w:rsid w:val="006B0D18"/>
    <w:rsid w:val="006B6081"/>
    <w:rsid w:val="006E1A1E"/>
    <w:rsid w:val="006F121D"/>
    <w:rsid w:val="006F4F55"/>
    <w:rsid w:val="00726AC2"/>
    <w:rsid w:val="00744AB1"/>
    <w:rsid w:val="007505A8"/>
    <w:rsid w:val="007B1253"/>
    <w:rsid w:val="007C5BBB"/>
    <w:rsid w:val="00822EF6"/>
    <w:rsid w:val="008246AF"/>
    <w:rsid w:val="00894D8B"/>
    <w:rsid w:val="008B048B"/>
    <w:rsid w:val="008C3A83"/>
    <w:rsid w:val="008D375C"/>
    <w:rsid w:val="008F6236"/>
    <w:rsid w:val="009009E1"/>
    <w:rsid w:val="009478C2"/>
    <w:rsid w:val="009559F7"/>
    <w:rsid w:val="009B5A65"/>
    <w:rsid w:val="009B694A"/>
    <w:rsid w:val="009C2DAF"/>
    <w:rsid w:val="009D32C7"/>
    <w:rsid w:val="00A16723"/>
    <w:rsid w:val="00A30960"/>
    <w:rsid w:val="00A72240"/>
    <w:rsid w:val="00A80BA8"/>
    <w:rsid w:val="00A9339C"/>
    <w:rsid w:val="00A94AD5"/>
    <w:rsid w:val="00AA5A16"/>
    <w:rsid w:val="00AB01DD"/>
    <w:rsid w:val="00AB136B"/>
    <w:rsid w:val="00B177B5"/>
    <w:rsid w:val="00B22E7F"/>
    <w:rsid w:val="00B37190"/>
    <w:rsid w:val="00B47E29"/>
    <w:rsid w:val="00B93F82"/>
    <w:rsid w:val="00BC5089"/>
    <w:rsid w:val="00BF3499"/>
    <w:rsid w:val="00C00F4B"/>
    <w:rsid w:val="00CF2176"/>
    <w:rsid w:val="00CF3EC9"/>
    <w:rsid w:val="00D37BD9"/>
    <w:rsid w:val="00D623CA"/>
    <w:rsid w:val="00D63857"/>
    <w:rsid w:val="00D70AE0"/>
    <w:rsid w:val="00DB7B0A"/>
    <w:rsid w:val="00DC2ED8"/>
    <w:rsid w:val="00DF2CD6"/>
    <w:rsid w:val="00DF6C95"/>
    <w:rsid w:val="00E10DEA"/>
    <w:rsid w:val="00E442B8"/>
    <w:rsid w:val="00E45FFB"/>
    <w:rsid w:val="00E926DF"/>
    <w:rsid w:val="00EB15FB"/>
    <w:rsid w:val="00EB1DC9"/>
    <w:rsid w:val="00EB3AEA"/>
    <w:rsid w:val="00EC1DE5"/>
    <w:rsid w:val="00F035E8"/>
    <w:rsid w:val="00F1181B"/>
    <w:rsid w:val="00FA4B68"/>
    <w:rsid w:val="00FB06C3"/>
    <w:rsid w:val="00FC66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B35215"/>
  <w15:docId w15:val="{D1681E78-07BF-40C2-A14A-850E010F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DA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C2DAF"/>
    <w:rPr>
      <w:rFonts w:cs="Times New Roman"/>
      <w:color w:val="0000FF"/>
      <w:u w:val="single"/>
    </w:rPr>
  </w:style>
  <w:style w:type="paragraph" w:styleId="NormalWeb">
    <w:name w:val="Normal (Web)"/>
    <w:basedOn w:val="Normal"/>
    <w:uiPriority w:val="99"/>
    <w:rsid w:val="009C2DAF"/>
    <w:pPr>
      <w:spacing w:before="100" w:beforeAutospacing="1" w:after="100" w:afterAutospacing="1"/>
    </w:pPr>
  </w:style>
  <w:style w:type="paragraph" w:customStyle="1" w:styleId="naisf">
    <w:name w:val="naisf"/>
    <w:basedOn w:val="Normal"/>
    <w:rsid w:val="009C2DAF"/>
    <w:pPr>
      <w:spacing w:before="75" w:after="75"/>
      <w:ind w:firstLine="375"/>
      <w:jc w:val="both"/>
    </w:pPr>
  </w:style>
  <w:style w:type="paragraph" w:customStyle="1" w:styleId="naisnod">
    <w:name w:val="naisnod"/>
    <w:basedOn w:val="Normal"/>
    <w:uiPriority w:val="99"/>
    <w:rsid w:val="009C2DAF"/>
    <w:pPr>
      <w:spacing w:before="150" w:after="150"/>
      <w:jc w:val="center"/>
    </w:pPr>
    <w:rPr>
      <w:b/>
      <w:bCs/>
    </w:rPr>
  </w:style>
  <w:style w:type="paragraph" w:customStyle="1" w:styleId="naislab">
    <w:name w:val="naislab"/>
    <w:basedOn w:val="Normal"/>
    <w:uiPriority w:val="99"/>
    <w:rsid w:val="009C2DAF"/>
    <w:pPr>
      <w:spacing w:before="75" w:after="75"/>
      <w:jc w:val="right"/>
    </w:pPr>
  </w:style>
  <w:style w:type="paragraph" w:customStyle="1" w:styleId="naiskr">
    <w:name w:val="naiskr"/>
    <w:basedOn w:val="Normal"/>
    <w:rsid w:val="009C2DAF"/>
    <w:pPr>
      <w:spacing w:before="75" w:after="75"/>
    </w:pPr>
  </w:style>
  <w:style w:type="paragraph" w:customStyle="1" w:styleId="naisc">
    <w:name w:val="naisc"/>
    <w:basedOn w:val="Normal"/>
    <w:rsid w:val="009C2DAF"/>
    <w:pPr>
      <w:spacing w:before="75" w:after="75"/>
      <w:jc w:val="center"/>
    </w:pPr>
  </w:style>
  <w:style w:type="paragraph" w:styleId="Header">
    <w:name w:val="header"/>
    <w:basedOn w:val="Normal"/>
    <w:link w:val="HeaderChar"/>
    <w:uiPriority w:val="99"/>
    <w:rsid w:val="009C2DAF"/>
    <w:pPr>
      <w:tabs>
        <w:tab w:val="center" w:pos="4153"/>
        <w:tab w:val="right" w:pos="8306"/>
      </w:tabs>
    </w:pPr>
  </w:style>
  <w:style w:type="character" w:customStyle="1" w:styleId="HeaderChar">
    <w:name w:val="Header Char"/>
    <w:basedOn w:val="DefaultParagraphFont"/>
    <w:link w:val="Header"/>
    <w:uiPriority w:val="99"/>
    <w:rsid w:val="009C2DAF"/>
    <w:rPr>
      <w:rFonts w:ascii="Times New Roman" w:eastAsia="Times New Roman" w:hAnsi="Times New Roman" w:cs="Times New Roman"/>
      <w:sz w:val="24"/>
      <w:szCs w:val="24"/>
      <w:lang w:eastAsia="lv-LV"/>
    </w:rPr>
  </w:style>
  <w:style w:type="character" w:styleId="PageNumber">
    <w:name w:val="page number"/>
    <w:uiPriority w:val="99"/>
    <w:rsid w:val="009C2DAF"/>
    <w:rPr>
      <w:rFonts w:cs="Times New Roman"/>
    </w:rPr>
  </w:style>
  <w:style w:type="paragraph" w:styleId="Footer">
    <w:name w:val="footer"/>
    <w:basedOn w:val="Normal"/>
    <w:link w:val="FooterChar"/>
    <w:uiPriority w:val="99"/>
    <w:rsid w:val="009C2DAF"/>
    <w:pPr>
      <w:tabs>
        <w:tab w:val="center" w:pos="4153"/>
        <w:tab w:val="right" w:pos="8306"/>
      </w:tabs>
    </w:pPr>
  </w:style>
  <w:style w:type="character" w:customStyle="1" w:styleId="FooterChar">
    <w:name w:val="Footer Char"/>
    <w:basedOn w:val="DefaultParagraphFont"/>
    <w:link w:val="Footer"/>
    <w:uiPriority w:val="99"/>
    <w:rsid w:val="009C2DAF"/>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C2DAF"/>
    <w:pPr>
      <w:ind w:left="720"/>
      <w:contextualSpacing/>
    </w:pPr>
  </w:style>
  <w:style w:type="paragraph" w:styleId="NoSpacing">
    <w:name w:val="No Spacing"/>
    <w:link w:val="NoSpacingChar"/>
    <w:uiPriority w:val="1"/>
    <w:qFormat/>
    <w:rsid w:val="009C2DAF"/>
    <w:pPr>
      <w:suppressAutoHyphens/>
      <w:autoSpaceDN w:val="0"/>
      <w:spacing w:after="0" w:line="240" w:lineRule="auto"/>
      <w:textAlignment w:val="baseline"/>
    </w:pPr>
    <w:rPr>
      <w:rFonts w:ascii="Calibri" w:eastAsia="Calibri" w:hAnsi="Calibri" w:cs="Times New Roman"/>
    </w:rPr>
  </w:style>
  <w:style w:type="paragraph" w:customStyle="1" w:styleId="tv213">
    <w:name w:val="tv213"/>
    <w:basedOn w:val="Normal"/>
    <w:rsid w:val="002149C5"/>
    <w:pPr>
      <w:spacing w:before="100" w:beforeAutospacing="1" w:after="100" w:afterAutospacing="1"/>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AA5A16"/>
    <w:rPr>
      <w:color w:val="605E5C"/>
      <w:shd w:val="clear" w:color="auto" w:fill="E1DFDD"/>
    </w:rPr>
  </w:style>
  <w:style w:type="paragraph" w:customStyle="1" w:styleId="Default">
    <w:name w:val="Default"/>
    <w:rsid w:val="005F657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C3A83"/>
    <w:rPr>
      <w:sz w:val="16"/>
      <w:szCs w:val="16"/>
    </w:rPr>
  </w:style>
  <w:style w:type="paragraph" w:styleId="CommentText">
    <w:name w:val="annotation text"/>
    <w:basedOn w:val="Normal"/>
    <w:link w:val="CommentTextChar"/>
    <w:uiPriority w:val="99"/>
    <w:unhideWhenUsed/>
    <w:rsid w:val="008C3A83"/>
    <w:pPr>
      <w:spacing w:after="160"/>
    </w:pPr>
    <w:rPr>
      <w:rFonts w:eastAsiaTheme="minorHAnsi"/>
      <w:sz w:val="20"/>
      <w:szCs w:val="20"/>
      <w:lang w:eastAsia="en-US"/>
    </w:rPr>
  </w:style>
  <w:style w:type="character" w:customStyle="1" w:styleId="CommentTextChar">
    <w:name w:val="Comment Text Char"/>
    <w:basedOn w:val="DefaultParagraphFont"/>
    <w:link w:val="CommentText"/>
    <w:uiPriority w:val="99"/>
    <w:rsid w:val="008C3A8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3A83"/>
    <w:rPr>
      <w:rFonts w:ascii="Tahoma" w:hAnsi="Tahoma" w:cs="Tahoma"/>
      <w:sz w:val="16"/>
      <w:szCs w:val="16"/>
    </w:rPr>
  </w:style>
  <w:style w:type="character" w:customStyle="1" w:styleId="BalloonTextChar">
    <w:name w:val="Balloon Text Char"/>
    <w:basedOn w:val="DefaultParagraphFont"/>
    <w:link w:val="BalloonText"/>
    <w:uiPriority w:val="99"/>
    <w:semiHidden/>
    <w:rsid w:val="008C3A83"/>
    <w:rPr>
      <w:rFonts w:ascii="Tahoma" w:eastAsia="Times New Roman" w:hAnsi="Tahoma" w:cs="Tahoma"/>
      <w:sz w:val="16"/>
      <w:szCs w:val="16"/>
      <w:lang w:eastAsia="lv-LV"/>
    </w:rPr>
  </w:style>
  <w:style w:type="character" w:customStyle="1" w:styleId="NoSpacingChar">
    <w:name w:val="No Spacing Char"/>
    <w:basedOn w:val="DefaultParagraphFont"/>
    <w:link w:val="NoSpacing"/>
    <w:uiPriority w:val="1"/>
    <w:rsid w:val="00D70AE0"/>
    <w:rPr>
      <w:rFonts w:ascii="Calibri" w:eastAsia="Calibri" w:hAnsi="Calibri" w:cs="Times New Roman"/>
    </w:rPr>
  </w:style>
  <w:style w:type="paragraph" w:customStyle="1" w:styleId="Normal2">
    <w:name w:val="Normal2"/>
    <w:basedOn w:val="Normal"/>
    <w:rsid w:val="005123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17390">
      <w:bodyDiv w:val="1"/>
      <w:marLeft w:val="0"/>
      <w:marRight w:val="0"/>
      <w:marTop w:val="0"/>
      <w:marBottom w:val="0"/>
      <w:divBdr>
        <w:top w:val="none" w:sz="0" w:space="0" w:color="auto"/>
        <w:left w:val="none" w:sz="0" w:space="0" w:color="auto"/>
        <w:bottom w:val="none" w:sz="0" w:space="0" w:color="auto"/>
        <w:right w:val="none" w:sz="0" w:space="0" w:color="auto"/>
      </w:divBdr>
    </w:div>
    <w:div w:id="248655855">
      <w:bodyDiv w:val="1"/>
      <w:marLeft w:val="0"/>
      <w:marRight w:val="0"/>
      <w:marTop w:val="0"/>
      <w:marBottom w:val="0"/>
      <w:divBdr>
        <w:top w:val="none" w:sz="0" w:space="0" w:color="auto"/>
        <w:left w:val="none" w:sz="0" w:space="0" w:color="auto"/>
        <w:bottom w:val="none" w:sz="0" w:space="0" w:color="auto"/>
        <w:right w:val="none" w:sz="0" w:space="0" w:color="auto"/>
      </w:divBdr>
    </w:div>
    <w:div w:id="349723530">
      <w:bodyDiv w:val="1"/>
      <w:marLeft w:val="0"/>
      <w:marRight w:val="0"/>
      <w:marTop w:val="0"/>
      <w:marBottom w:val="0"/>
      <w:divBdr>
        <w:top w:val="none" w:sz="0" w:space="0" w:color="auto"/>
        <w:left w:val="none" w:sz="0" w:space="0" w:color="auto"/>
        <w:bottom w:val="none" w:sz="0" w:space="0" w:color="auto"/>
        <w:right w:val="none" w:sz="0" w:space="0" w:color="auto"/>
      </w:divBdr>
    </w:div>
    <w:div w:id="617033474">
      <w:bodyDiv w:val="1"/>
      <w:marLeft w:val="0"/>
      <w:marRight w:val="0"/>
      <w:marTop w:val="0"/>
      <w:marBottom w:val="0"/>
      <w:divBdr>
        <w:top w:val="none" w:sz="0" w:space="0" w:color="auto"/>
        <w:left w:val="none" w:sz="0" w:space="0" w:color="auto"/>
        <w:bottom w:val="none" w:sz="0" w:space="0" w:color="auto"/>
        <w:right w:val="none" w:sz="0" w:space="0" w:color="auto"/>
      </w:divBdr>
    </w:div>
    <w:div w:id="653950027">
      <w:bodyDiv w:val="1"/>
      <w:marLeft w:val="0"/>
      <w:marRight w:val="0"/>
      <w:marTop w:val="0"/>
      <w:marBottom w:val="0"/>
      <w:divBdr>
        <w:top w:val="none" w:sz="0" w:space="0" w:color="auto"/>
        <w:left w:val="none" w:sz="0" w:space="0" w:color="auto"/>
        <w:bottom w:val="none" w:sz="0" w:space="0" w:color="auto"/>
        <w:right w:val="none" w:sz="0" w:space="0" w:color="auto"/>
      </w:divBdr>
    </w:div>
    <w:div w:id="1053582277">
      <w:bodyDiv w:val="1"/>
      <w:marLeft w:val="0"/>
      <w:marRight w:val="0"/>
      <w:marTop w:val="0"/>
      <w:marBottom w:val="0"/>
      <w:divBdr>
        <w:top w:val="none" w:sz="0" w:space="0" w:color="auto"/>
        <w:left w:val="none" w:sz="0" w:space="0" w:color="auto"/>
        <w:bottom w:val="none" w:sz="0" w:space="0" w:color="auto"/>
        <w:right w:val="none" w:sz="0" w:space="0" w:color="auto"/>
      </w:divBdr>
    </w:div>
    <w:div w:id="1059860097">
      <w:bodyDiv w:val="1"/>
      <w:marLeft w:val="0"/>
      <w:marRight w:val="0"/>
      <w:marTop w:val="0"/>
      <w:marBottom w:val="0"/>
      <w:divBdr>
        <w:top w:val="none" w:sz="0" w:space="0" w:color="auto"/>
        <w:left w:val="none" w:sz="0" w:space="0" w:color="auto"/>
        <w:bottom w:val="none" w:sz="0" w:space="0" w:color="auto"/>
        <w:right w:val="none" w:sz="0" w:space="0" w:color="auto"/>
      </w:divBdr>
    </w:div>
    <w:div w:id="1605188460">
      <w:bodyDiv w:val="1"/>
      <w:marLeft w:val="0"/>
      <w:marRight w:val="0"/>
      <w:marTop w:val="0"/>
      <w:marBottom w:val="0"/>
      <w:divBdr>
        <w:top w:val="none" w:sz="0" w:space="0" w:color="auto"/>
        <w:left w:val="none" w:sz="0" w:space="0" w:color="auto"/>
        <w:bottom w:val="none" w:sz="0" w:space="0" w:color="auto"/>
        <w:right w:val="none" w:sz="0" w:space="0" w:color="auto"/>
      </w:divBdr>
    </w:div>
    <w:div w:id="1747339660">
      <w:bodyDiv w:val="1"/>
      <w:marLeft w:val="0"/>
      <w:marRight w:val="0"/>
      <w:marTop w:val="0"/>
      <w:marBottom w:val="0"/>
      <w:divBdr>
        <w:top w:val="none" w:sz="0" w:space="0" w:color="auto"/>
        <w:left w:val="none" w:sz="0" w:space="0" w:color="auto"/>
        <w:bottom w:val="none" w:sz="0" w:space="0" w:color="auto"/>
        <w:right w:val="none" w:sz="0" w:space="0" w:color="auto"/>
      </w:divBdr>
    </w:div>
    <w:div w:id="1766270418">
      <w:bodyDiv w:val="1"/>
      <w:marLeft w:val="0"/>
      <w:marRight w:val="0"/>
      <w:marTop w:val="0"/>
      <w:marBottom w:val="0"/>
      <w:divBdr>
        <w:top w:val="none" w:sz="0" w:space="0" w:color="auto"/>
        <w:left w:val="none" w:sz="0" w:space="0" w:color="auto"/>
        <w:bottom w:val="none" w:sz="0" w:space="0" w:color="auto"/>
        <w:right w:val="none" w:sz="0" w:space="0" w:color="auto"/>
      </w:divBdr>
    </w:div>
    <w:div w:id="1875575005">
      <w:bodyDiv w:val="1"/>
      <w:marLeft w:val="0"/>
      <w:marRight w:val="0"/>
      <w:marTop w:val="0"/>
      <w:marBottom w:val="0"/>
      <w:divBdr>
        <w:top w:val="none" w:sz="0" w:space="0" w:color="auto"/>
        <w:left w:val="none" w:sz="0" w:space="0" w:color="auto"/>
        <w:bottom w:val="none" w:sz="0" w:space="0" w:color="auto"/>
        <w:right w:val="none" w:sz="0" w:space="0" w:color="auto"/>
      </w:divBdr>
    </w:div>
    <w:div w:id="202161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17090</Words>
  <Characters>9742</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Izziņa par atzinumos sniegtajiem iebildumiem likumprojektam "Grozījumi Kredītiestāžu un ieguldījumu brokeru sabiedrību darbības atjaunošanas un noregulējuma likumā"</vt:lpstr>
    </vt:vector>
  </TitlesOfParts>
  <Company>Finanšu ministrija</Company>
  <LinksUpToDate>false</LinksUpToDate>
  <CharactersWithSpaces>26779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likumprojektam "Grozījumi Kredītiestāžu un ieguldījumu brokeru sabiedrību darbības atjaunošanas un noregulējuma likumā"</dc:title>
  <dc:subject>Izziņa</dc:subject>
  <dc:creator>Miks Čevers</dc:creator>
  <dc:description>67095490, miks.cevers@fm.gov.lv</dc:description>
  <cp:lastModifiedBy>Miks Čevers</cp:lastModifiedBy>
  <cp:revision>2</cp:revision>
  <dcterms:created xsi:type="dcterms:W3CDTF">2020-12-03T16:20:00Z</dcterms:created>
  <dcterms:modified xsi:type="dcterms:W3CDTF">2020-12-03T16:20:00Z</dcterms:modified>
</cp:coreProperties>
</file>