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B701" w14:textId="7ED678D2" w:rsidR="0040143F" w:rsidRPr="0040143F" w:rsidRDefault="00251103" w:rsidP="00FC26BC">
      <w:pPr>
        <w:jc w:val="center"/>
        <w:rPr>
          <w:b/>
          <w:sz w:val="26"/>
          <w:szCs w:val="26"/>
        </w:rPr>
      </w:pPr>
      <w:r w:rsidRPr="00ED11D5">
        <w:rPr>
          <w:b/>
          <w:sz w:val="26"/>
          <w:szCs w:val="26"/>
        </w:rPr>
        <w:t>Izziņa par atzinum</w:t>
      </w:r>
      <w:r w:rsidR="003B075A">
        <w:rPr>
          <w:b/>
          <w:sz w:val="26"/>
          <w:szCs w:val="26"/>
        </w:rPr>
        <w:t>os</w:t>
      </w:r>
      <w:r w:rsidRPr="00ED11D5">
        <w:rPr>
          <w:b/>
          <w:sz w:val="26"/>
          <w:szCs w:val="26"/>
        </w:rPr>
        <w:t xml:space="preserve"> sniegtajiem iebildumiem </w:t>
      </w:r>
      <w:r w:rsidR="0040143F">
        <w:rPr>
          <w:b/>
          <w:sz w:val="26"/>
          <w:szCs w:val="26"/>
        </w:rPr>
        <w:t xml:space="preserve">par </w:t>
      </w:r>
      <w:r w:rsidR="00F57C0A">
        <w:rPr>
          <w:b/>
          <w:sz w:val="26"/>
          <w:szCs w:val="26"/>
        </w:rPr>
        <w:t>likumprojektu “</w:t>
      </w:r>
      <w:r w:rsidR="00FC26BC" w:rsidRPr="00FC26BC">
        <w:rPr>
          <w:b/>
          <w:sz w:val="26"/>
          <w:szCs w:val="26"/>
        </w:rPr>
        <w:t xml:space="preserve">Grozījumi </w:t>
      </w:r>
      <w:proofErr w:type="spellStart"/>
      <w:r w:rsidR="00FC26BC" w:rsidRPr="00FC26BC">
        <w:rPr>
          <w:b/>
          <w:sz w:val="26"/>
          <w:szCs w:val="26"/>
        </w:rPr>
        <w:t>Mikrouzņēmumu</w:t>
      </w:r>
      <w:proofErr w:type="spellEnd"/>
      <w:r w:rsidR="00FC26BC" w:rsidRPr="00FC26BC">
        <w:rPr>
          <w:b/>
          <w:sz w:val="26"/>
          <w:szCs w:val="26"/>
        </w:rPr>
        <w:t xml:space="preserve"> nodokļa likumā”</w:t>
      </w:r>
    </w:p>
    <w:p w14:paraId="27EB55B0" w14:textId="0824CB3B" w:rsidR="00ED11D5" w:rsidRPr="00ED11D5" w:rsidRDefault="00ED11D5" w:rsidP="00ED11D5">
      <w:pPr>
        <w:jc w:val="center"/>
        <w:rPr>
          <w:b/>
          <w:sz w:val="26"/>
          <w:szCs w:val="26"/>
        </w:rPr>
      </w:pPr>
    </w:p>
    <w:p w14:paraId="75E5BC9E" w14:textId="77777777" w:rsidR="00D84A47" w:rsidRDefault="00D84A47" w:rsidP="00B72143">
      <w:pPr>
        <w:pStyle w:val="naisf"/>
        <w:spacing w:before="0" w:after="0"/>
        <w:ind w:firstLine="0"/>
        <w:rPr>
          <w:sz w:val="28"/>
          <w:szCs w:val="28"/>
        </w:rPr>
      </w:pPr>
    </w:p>
    <w:p w14:paraId="0981ED2B" w14:textId="77777777" w:rsidR="003F20BA" w:rsidRPr="008543AF" w:rsidRDefault="003F20BA" w:rsidP="001A379E">
      <w:pPr>
        <w:pStyle w:val="naisf"/>
        <w:spacing w:before="0" w:after="0"/>
        <w:ind w:firstLine="0"/>
        <w:jc w:val="center"/>
        <w:rPr>
          <w:b/>
        </w:rPr>
      </w:pPr>
      <w:r w:rsidRPr="008543AF">
        <w:rPr>
          <w:b/>
        </w:rPr>
        <w:t>I. Jautājumi, par kuriem saskaņošanā vienošanās nav panākta</w:t>
      </w:r>
    </w:p>
    <w:p w14:paraId="58744716" w14:textId="77777777" w:rsidR="003F20BA" w:rsidRPr="00ED11D5" w:rsidRDefault="003F20BA" w:rsidP="00B72143">
      <w:pPr>
        <w:pStyle w:val="naisf"/>
        <w:spacing w:before="0" w:after="0"/>
        <w:ind w:firstLine="0"/>
        <w:rPr>
          <w:sz w:val="28"/>
          <w:szCs w:val="28"/>
        </w:rPr>
      </w:pPr>
    </w:p>
    <w:tbl>
      <w:tblPr>
        <w:tblpPr w:leftFromText="180" w:rightFromText="180" w:vertAnchor="text" w:tblpXSpec="center" w:tblpY="1"/>
        <w:tblOverlap w:val="neve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3260"/>
        <w:gridCol w:w="3261"/>
        <w:gridCol w:w="1842"/>
        <w:gridCol w:w="2694"/>
      </w:tblGrid>
      <w:tr w:rsidR="00010150" w:rsidRPr="00483752" w14:paraId="3E1CE299" w14:textId="77777777" w:rsidTr="00BE275F">
        <w:trPr>
          <w:jc w:val="center"/>
        </w:trPr>
        <w:tc>
          <w:tcPr>
            <w:tcW w:w="704" w:type="dxa"/>
            <w:vAlign w:val="center"/>
          </w:tcPr>
          <w:p w14:paraId="7FD8073B" w14:textId="77777777" w:rsidR="00C32161" w:rsidRPr="00554D72" w:rsidRDefault="00C32161" w:rsidP="00A662EA">
            <w:pPr>
              <w:jc w:val="center"/>
              <w:rPr>
                <w:sz w:val="24"/>
                <w:szCs w:val="24"/>
              </w:rPr>
            </w:pPr>
            <w:r w:rsidRPr="00554D72">
              <w:rPr>
                <w:sz w:val="24"/>
                <w:szCs w:val="24"/>
              </w:rPr>
              <w:t>Nr. p.k.</w:t>
            </w:r>
          </w:p>
        </w:tc>
        <w:tc>
          <w:tcPr>
            <w:tcW w:w="3402" w:type="dxa"/>
            <w:vAlign w:val="center"/>
          </w:tcPr>
          <w:p w14:paraId="1D9A6662" w14:textId="77777777" w:rsidR="00C32161" w:rsidRPr="009B03FA" w:rsidRDefault="00C32161" w:rsidP="00BE275F">
            <w:pPr>
              <w:pStyle w:val="naisc"/>
              <w:spacing w:before="0" w:after="0"/>
              <w:ind w:firstLine="12"/>
            </w:pPr>
            <w:r w:rsidRPr="009B03FA">
              <w:t>Saskaņošanai nosūtītā projekta redakcija (konkrēta punkta (panta) redakcija)</w:t>
            </w:r>
          </w:p>
        </w:tc>
        <w:tc>
          <w:tcPr>
            <w:tcW w:w="3260" w:type="dxa"/>
            <w:vAlign w:val="center"/>
          </w:tcPr>
          <w:p w14:paraId="4756927F" w14:textId="77777777" w:rsidR="00C32161" w:rsidRPr="009B03FA" w:rsidRDefault="00C32161" w:rsidP="00BE275F">
            <w:pPr>
              <w:pStyle w:val="naisc"/>
              <w:spacing w:before="0" w:after="0"/>
            </w:pPr>
            <w:r w:rsidRPr="009B03FA">
              <w:t>Atzinumā norādītais ministrijas (citas institūcijas) iebildums, kā arī saskaņošanā papildus izteiktais iebildums par projekta konkrēto punktu (pantu)</w:t>
            </w:r>
          </w:p>
        </w:tc>
        <w:tc>
          <w:tcPr>
            <w:tcW w:w="3261" w:type="dxa"/>
            <w:vAlign w:val="center"/>
          </w:tcPr>
          <w:p w14:paraId="5F3EE442" w14:textId="77777777" w:rsidR="00C32161" w:rsidRPr="009B03FA" w:rsidRDefault="00C32161" w:rsidP="00BE275F">
            <w:pPr>
              <w:pStyle w:val="naisc"/>
              <w:spacing w:before="0" w:after="0"/>
              <w:ind w:firstLine="21"/>
            </w:pPr>
            <w:r w:rsidRPr="009B03FA">
              <w:t xml:space="preserve">Atbildīgās ministrijas </w:t>
            </w:r>
            <w:r>
              <w:t>pamatojums</w:t>
            </w:r>
            <w:r w:rsidRPr="009B03FA">
              <w:t xml:space="preserve"> iebildum</w:t>
            </w:r>
            <w:r>
              <w:t>a</w:t>
            </w:r>
            <w:r w:rsidRPr="009B03FA">
              <w:t xml:space="preserve"> </w:t>
            </w:r>
            <w:r>
              <w:t>noraidījumam</w:t>
            </w:r>
          </w:p>
        </w:tc>
        <w:tc>
          <w:tcPr>
            <w:tcW w:w="1842" w:type="dxa"/>
            <w:vAlign w:val="center"/>
          </w:tcPr>
          <w:p w14:paraId="0AC794D1" w14:textId="77777777" w:rsidR="00C32161" w:rsidRPr="00483752" w:rsidRDefault="00C32161" w:rsidP="00BE275F">
            <w:pPr>
              <w:jc w:val="center"/>
              <w:rPr>
                <w:sz w:val="24"/>
                <w:szCs w:val="24"/>
              </w:rPr>
            </w:pPr>
            <w:r w:rsidRPr="00C32161">
              <w:rPr>
                <w:rFonts w:eastAsia="Times New Roman"/>
                <w:sz w:val="24"/>
                <w:szCs w:val="24"/>
                <w:lang w:eastAsia="lv-LV"/>
              </w:rPr>
              <w:t>Atzinuma sniedzēja uzturētais iebildums, ja tas atšķiras no atzinumā norādītā iebilduma pamatojuma</w:t>
            </w:r>
          </w:p>
        </w:tc>
        <w:tc>
          <w:tcPr>
            <w:tcW w:w="2694" w:type="dxa"/>
            <w:vAlign w:val="center"/>
          </w:tcPr>
          <w:p w14:paraId="25A4CB6D" w14:textId="77777777" w:rsidR="00C32161" w:rsidRPr="00483752" w:rsidRDefault="00C32161" w:rsidP="00BE275F">
            <w:pPr>
              <w:jc w:val="center"/>
              <w:rPr>
                <w:sz w:val="24"/>
                <w:szCs w:val="24"/>
              </w:rPr>
            </w:pPr>
            <w:r w:rsidRPr="00483752">
              <w:rPr>
                <w:sz w:val="24"/>
                <w:szCs w:val="24"/>
              </w:rPr>
              <w:t>Projekta attiecīgā punkta (panta) galīgā redakcija</w:t>
            </w:r>
          </w:p>
        </w:tc>
      </w:tr>
      <w:tr w:rsidR="00010150" w:rsidRPr="004701EA" w14:paraId="3E24BA51" w14:textId="77777777" w:rsidTr="00955A06">
        <w:trPr>
          <w:jc w:val="center"/>
        </w:trPr>
        <w:tc>
          <w:tcPr>
            <w:tcW w:w="704" w:type="dxa"/>
            <w:vAlign w:val="center"/>
          </w:tcPr>
          <w:p w14:paraId="752DE4CA" w14:textId="77777777" w:rsidR="00C32161" w:rsidRPr="00ED11D5" w:rsidRDefault="00C32161" w:rsidP="00A662EA">
            <w:pPr>
              <w:jc w:val="center"/>
              <w:rPr>
                <w:sz w:val="24"/>
                <w:szCs w:val="24"/>
              </w:rPr>
            </w:pPr>
            <w:r w:rsidRPr="00ED11D5">
              <w:rPr>
                <w:sz w:val="24"/>
                <w:szCs w:val="24"/>
              </w:rPr>
              <w:t>1</w:t>
            </w:r>
          </w:p>
        </w:tc>
        <w:tc>
          <w:tcPr>
            <w:tcW w:w="3402" w:type="dxa"/>
            <w:vAlign w:val="center"/>
          </w:tcPr>
          <w:p w14:paraId="7CAF1815" w14:textId="77777777" w:rsidR="00C32161" w:rsidRPr="00ED11D5" w:rsidRDefault="00C32161" w:rsidP="00A662EA">
            <w:pPr>
              <w:pStyle w:val="naisc"/>
              <w:spacing w:before="0" w:after="0"/>
              <w:ind w:firstLine="12"/>
            </w:pPr>
            <w:r w:rsidRPr="00ED11D5">
              <w:t>2</w:t>
            </w:r>
          </w:p>
        </w:tc>
        <w:tc>
          <w:tcPr>
            <w:tcW w:w="3260" w:type="dxa"/>
            <w:vAlign w:val="center"/>
          </w:tcPr>
          <w:p w14:paraId="643BE3D3" w14:textId="77777777" w:rsidR="00C32161" w:rsidRPr="00ED11D5" w:rsidRDefault="00C32161" w:rsidP="00A662EA">
            <w:pPr>
              <w:pStyle w:val="naisc"/>
              <w:spacing w:before="0" w:after="0"/>
              <w:ind w:right="3"/>
            </w:pPr>
            <w:r w:rsidRPr="00ED11D5">
              <w:t>3</w:t>
            </w:r>
          </w:p>
        </w:tc>
        <w:tc>
          <w:tcPr>
            <w:tcW w:w="3261" w:type="dxa"/>
            <w:vAlign w:val="center"/>
          </w:tcPr>
          <w:p w14:paraId="689FFBC7" w14:textId="77777777" w:rsidR="00C32161" w:rsidRPr="00ED11D5" w:rsidRDefault="00C32161" w:rsidP="00A662EA">
            <w:pPr>
              <w:pStyle w:val="naisc"/>
              <w:spacing w:before="0" w:after="0"/>
              <w:ind w:firstLine="21"/>
            </w:pPr>
            <w:r w:rsidRPr="00ED11D5">
              <w:t>4</w:t>
            </w:r>
          </w:p>
        </w:tc>
        <w:tc>
          <w:tcPr>
            <w:tcW w:w="1842" w:type="dxa"/>
          </w:tcPr>
          <w:p w14:paraId="5C8AF13C" w14:textId="77777777" w:rsidR="00C32161" w:rsidRPr="00ED11D5" w:rsidRDefault="00BE275F" w:rsidP="00A662EA">
            <w:pPr>
              <w:jc w:val="center"/>
              <w:rPr>
                <w:sz w:val="24"/>
                <w:szCs w:val="24"/>
              </w:rPr>
            </w:pPr>
            <w:r>
              <w:rPr>
                <w:sz w:val="24"/>
                <w:szCs w:val="24"/>
              </w:rPr>
              <w:t>5</w:t>
            </w:r>
          </w:p>
        </w:tc>
        <w:tc>
          <w:tcPr>
            <w:tcW w:w="2694" w:type="dxa"/>
            <w:vAlign w:val="center"/>
          </w:tcPr>
          <w:p w14:paraId="595572DF" w14:textId="77777777" w:rsidR="00C32161" w:rsidRPr="00ED11D5" w:rsidRDefault="00BE275F" w:rsidP="00A662EA">
            <w:pPr>
              <w:jc w:val="center"/>
              <w:rPr>
                <w:sz w:val="24"/>
                <w:szCs w:val="24"/>
              </w:rPr>
            </w:pPr>
            <w:r>
              <w:rPr>
                <w:sz w:val="24"/>
                <w:szCs w:val="24"/>
              </w:rPr>
              <w:t>6</w:t>
            </w:r>
          </w:p>
        </w:tc>
      </w:tr>
      <w:tr w:rsidR="00ED11D5" w:rsidRPr="004701EA" w14:paraId="78462485" w14:textId="77777777" w:rsidTr="00955A06">
        <w:trPr>
          <w:jc w:val="center"/>
        </w:trPr>
        <w:tc>
          <w:tcPr>
            <w:tcW w:w="704" w:type="dxa"/>
            <w:vAlign w:val="center"/>
          </w:tcPr>
          <w:p w14:paraId="220C7F15" w14:textId="77777777" w:rsidR="00ED11D5" w:rsidRPr="00ED11D5" w:rsidRDefault="00ED11D5" w:rsidP="00A662EA">
            <w:pPr>
              <w:jc w:val="center"/>
              <w:rPr>
                <w:sz w:val="24"/>
                <w:szCs w:val="24"/>
              </w:rPr>
            </w:pPr>
          </w:p>
        </w:tc>
        <w:tc>
          <w:tcPr>
            <w:tcW w:w="3402" w:type="dxa"/>
            <w:vAlign w:val="center"/>
          </w:tcPr>
          <w:p w14:paraId="5474114F" w14:textId="77777777" w:rsidR="00ED11D5" w:rsidRPr="00ED11D5" w:rsidRDefault="00ED11D5" w:rsidP="00A662EA">
            <w:pPr>
              <w:pStyle w:val="naisc"/>
              <w:spacing w:before="0" w:after="0"/>
              <w:ind w:firstLine="12"/>
            </w:pPr>
          </w:p>
        </w:tc>
        <w:tc>
          <w:tcPr>
            <w:tcW w:w="3260" w:type="dxa"/>
            <w:vAlign w:val="center"/>
          </w:tcPr>
          <w:p w14:paraId="03C8E4E3" w14:textId="77777777" w:rsidR="00ED11D5" w:rsidRPr="00ED11D5" w:rsidRDefault="00ED11D5" w:rsidP="00A662EA">
            <w:pPr>
              <w:pStyle w:val="naisc"/>
              <w:spacing w:before="0" w:after="0"/>
              <w:ind w:right="3"/>
            </w:pPr>
          </w:p>
        </w:tc>
        <w:tc>
          <w:tcPr>
            <w:tcW w:w="3261" w:type="dxa"/>
            <w:vAlign w:val="center"/>
          </w:tcPr>
          <w:p w14:paraId="4D017C21" w14:textId="77777777" w:rsidR="00ED11D5" w:rsidRPr="00ED11D5" w:rsidRDefault="00ED11D5" w:rsidP="00A662EA">
            <w:pPr>
              <w:pStyle w:val="naisc"/>
              <w:spacing w:before="0" w:after="0"/>
              <w:ind w:firstLine="21"/>
            </w:pPr>
          </w:p>
        </w:tc>
        <w:tc>
          <w:tcPr>
            <w:tcW w:w="1842" w:type="dxa"/>
          </w:tcPr>
          <w:p w14:paraId="4D03E983" w14:textId="77777777" w:rsidR="00ED11D5" w:rsidRPr="00ED11D5" w:rsidRDefault="00ED11D5" w:rsidP="00A662EA">
            <w:pPr>
              <w:jc w:val="center"/>
              <w:rPr>
                <w:sz w:val="24"/>
                <w:szCs w:val="24"/>
              </w:rPr>
            </w:pPr>
          </w:p>
        </w:tc>
        <w:tc>
          <w:tcPr>
            <w:tcW w:w="2694" w:type="dxa"/>
            <w:vAlign w:val="center"/>
          </w:tcPr>
          <w:p w14:paraId="2A22132B" w14:textId="77777777" w:rsidR="00ED11D5" w:rsidRPr="00ED11D5" w:rsidRDefault="00ED11D5" w:rsidP="00A662EA">
            <w:pPr>
              <w:jc w:val="center"/>
              <w:rPr>
                <w:sz w:val="24"/>
                <w:szCs w:val="24"/>
              </w:rPr>
            </w:pPr>
          </w:p>
        </w:tc>
      </w:tr>
    </w:tbl>
    <w:p w14:paraId="35F40298" w14:textId="77777777" w:rsidR="003335EE" w:rsidRDefault="003335EE" w:rsidP="003335EE">
      <w:pPr>
        <w:pStyle w:val="naisf"/>
        <w:spacing w:before="0" w:after="0"/>
        <w:ind w:firstLine="0"/>
        <w:rPr>
          <w:b/>
          <w:sz w:val="25"/>
          <w:szCs w:val="25"/>
        </w:rPr>
      </w:pPr>
    </w:p>
    <w:p w14:paraId="6D1459DB" w14:textId="6A35F556" w:rsidR="003335EE" w:rsidRDefault="003335EE" w:rsidP="003335EE">
      <w:pPr>
        <w:pStyle w:val="naisf"/>
        <w:spacing w:before="0" w:after="0"/>
        <w:ind w:firstLine="0"/>
        <w:rPr>
          <w:b/>
          <w:sz w:val="25"/>
          <w:szCs w:val="25"/>
        </w:rPr>
      </w:pPr>
      <w:r w:rsidRPr="00C14DC8">
        <w:rPr>
          <w:b/>
          <w:sz w:val="25"/>
          <w:szCs w:val="25"/>
        </w:rPr>
        <w:t xml:space="preserve">Informācija par </w:t>
      </w:r>
      <w:proofErr w:type="spellStart"/>
      <w:r w:rsidRPr="00C14DC8">
        <w:rPr>
          <w:b/>
          <w:sz w:val="25"/>
          <w:szCs w:val="25"/>
        </w:rPr>
        <w:t>starpministriju</w:t>
      </w:r>
      <w:proofErr w:type="spellEnd"/>
      <w:r w:rsidRPr="00C14DC8">
        <w:rPr>
          <w:b/>
          <w:sz w:val="25"/>
          <w:szCs w:val="25"/>
        </w:rPr>
        <w:t xml:space="preserve"> (starpinstitūciju) sanāksmi vai elektronisko saskaņošanu</w:t>
      </w:r>
    </w:p>
    <w:tbl>
      <w:tblPr>
        <w:tblpPr w:leftFromText="180" w:rightFromText="180" w:vertAnchor="text" w:tblpY="1"/>
        <w:tblOverlap w:val="never"/>
        <w:tblW w:w="12333" w:type="dxa"/>
        <w:tblLook w:val="00A0" w:firstRow="1" w:lastRow="0" w:firstColumn="1" w:lastColumn="0" w:noHBand="0" w:noVBand="0"/>
      </w:tblPr>
      <w:tblGrid>
        <w:gridCol w:w="6345"/>
        <w:gridCol w:w="236"/>
        <w:gridCol w:w="5643"/>
        <w:gridCol w:w="109"/>
      </w:tblGrid>
      <w:tr w:rsidR="00D84048" w:rsidRPr="00712B66" w14:paraId="6D193177" w14:textId="77777777" w:rsidTr="00F57C0A">
        <w:trPr>
          <w:gridAfter w:val="1"/>
          <w:wAfter w:w="109" w:type="dxa"/>
        </w:trPr>
        <w:tc>
          <w:tcPr>
            <w:tcW w:w="6345" w:type="dxa"/>
          </w:tcPr>
          <w:p w14:paraId="522BCF92" w14:textId="77777777" w:rsidR="00D84048" w:rsidRPr="00D84048" w:rsidRDefault="00D84048" w:rsidP="00D84048">
            <w:pPr>
              <w:pStyle w:val="naisf"/>
              <w:spacing w:before="0" w:after="0"/>
              <w:ind w:firstLine="0"/>
              <w:rPr>
                <w:sz w:val="25"/>
                <w:szCs w:val="25"/>
              </w:rPr>
            </w:pPr>
            <w:r w:rsidRPr="00D84048">
              <w:rPr>
                <w:sz w:val="25"/>
                <w:szCs w:val="25"/>
              </w:rPr>
              <w:t>Datums</w:t>
            </w:r>
          </w:p>
        </w:tc>
        <w:tc>
          <w:tcPr>
            <w:tcW w:w="5879" w:type="dxa"/>
            <w:gridSpan w:val="2"/>
            <w:tcBorders>
              <w:bottom w:val="single" w:sz="4" w:space="0" w:color="auto"/>
            </w:tcBorders>
          </w:tcPr>
          <w:p w14:paraId="75C6F7B1" w14:textId="2210910C" w:rsidR="00D84048" w:rsidRPr="00D84048" w:rsidRDefault="00346111" w:rsidP="00346111">
            <w:pPr>
              <w:pStyle w:val="NormalWeb"/>
              <w:spacing w:before="0" w:beforeAutospacing="0" w:after="0" w:afterAutospacing="0"/>
              <w:rPr>
                <w:sz w:val="25"/>
                <w:szCs w:val="25"/>
              </w:rPr>
            </w:pPr>
            <w:r>
              <w:rPr>
                <w:sz w:val="25"/>
                <w:szCs w:val="25"/>
              </w:rPr>
              <w:t>30.12.2020.; 18</w:t>
            </w:r>
            <w:r w:rsidR="00F57C0A" w:rsidRPr="00346111">
              <w:rPr>
                <w:sz w:val="25"/>
                <w:szCs w:val="25"/>
              </w:rPr>
              <w:t>.01.2021.</w:t>
            </w:r>
            <w:r w:rsidR="00F57C0A">
              <w:rPr>
                <w:sz w:val="25"/>
                <w:szCs w:val="25"/>
              </w:rPr>
              <w:t xml:space="preserve"> (elektroniskā saskaņošana)</w:t>
            </w:r>
          </w:p>
        </w:tc>
      </w:tr>
      <w:tr w:rsidR="003335EE" w:rsidRPr="00C14DC8" w14:paraId="514D6792" w14:textId="77777777" w:rsidTr="00F57C0A">
        <w:trPr>
          <w:gridAfter w:val="1"/>
          <w:wAfter w:w="109" w:type="dxa"/>
        </w:trPr>
        <w:tc>
          <w:tcPr>
            <w:tcW w:w="6345" w:type="dxa"/>
          </w:tcPr>
          <w:p w14:paraId="7F79B7DD" w14:textId="77777777" w:rsidR="003335EE" w:rsidRPr="00C14DC8" w:rsidRDefault="003335EE" w:rsidP="00D84048">
            <w:pPr>
              <w:pStyle w:val="naisf"/>
              <w:spacing w:before="0" w:after="0"/>
              <w:ind w:firstLine="0"/>
              <w:rPr>
                <w:sz w:val="25"/>
                <w:szCs w:val="25"/>
              </w:rPr>
            </w:pPr>
          </w:p>
        </w:tc>
        <w:tc>
          <w:tcPr>
            <w:tcW w:w="5879" w:type="dxa"/>
            <w:gridSpan w:val="2"/>
            <w:tcBorders>
              <w:top w:val="single" w:sz="4" w:space="0" w:color="auto"/>
            </w:tcBorders>
          </w:tcPr>
          <w:p w14:paraId="7B8FA8D8" w14:textId="77777777" w:rsidR="003335EE" w:rsidRPr="00C14DC8" w:rsidRDefault="003335EE" w:rsidP="00D84048">
            <w:pPr>
              <w:pStyle w:val="NormalWeb"/>
              <w:spacing w:before="0" w:beforeAutospacing="0" w:after="0" w:afterAutospacing="0"/>
              <w:ind w:firstLine="720"/>
              <w:rPr>
                <w:sz w:val="25"/>
                <w:szCs w:val="25"/>
              </w:rPr>
            </w:pPr>
          </w:p>
        </w:tc>
      </w:tr>
      <w:tr w:rsidR="003335EE" w:rsidRPr="00C14DC8" w14:paraId="2A84C949" w14:textId="77777777" w:rsidTr="00F57C0A">
        <w:trPr>
          <w:gridAfter w:val="1"/>
          <w:wAfter w:w="109" w:type="dxa"/>
        </w:trPr>
        <w:tc>
          <w:tcPr>
            <w:tcW w:w="6345" w:type="dxa"/>
          </w:tcPr>
          <w:p w14:paraId="218B24AE" w14:textId="77777777" w:rsidR="003335EE" w:rsidRPr="00C14DC8" w:rsidRDefault="003335EE" w:rsidP="00D84048">
            <w:pPr>
              <w:pStyle w:val="naiskr"/>
              <w:spacing w:before="0" w:after="0"/>
              <w:rPr>
                <w:sz w:val="25"/>
                <w:szCs w:val="25"/>
              </w:rPr>
            </w:pPr>
            <w:r w:rsidRPr="00C14DC8">
              <w:rPr>
                <w:sz w:val="25"/>
                <w:szCs w:val="25"/>
              </w:rPr>
              <w:t>Saskaņošanas dalībnieki</w:t>
            </w:r>
          </w:p>
        </w:tc>
        <w:tc>
          <w:tcPr>
            <w:tcW w:w="5879" w:type="dxa"/>
            <w:gridSpan w:val="2"/>
            <w:tcBorders>
              <w:bottom w:val="single" w:sz="4" w:space="0" w:color="auto"/>
            </w:tcBorders>
          </w:tcPr>
          <w:p w14:paraId="720AFC7A" w14:textId="1DE14DD1" w:rsidR="003335EE" w:rsidRPr="00C14DC8" w:rsidRDefault="003335EE" w:rsidP="00F57C0A">
            <w:pPr>
              <w:pStyle w:val="NormalWeb"/>
              <w:spacing w:before="0" w:beforeAutospacing="0" w:after="0" w:afterAutospacing="0"/>
              <w:jc w:val="both"/>
              <w:rPr>
                <w:sz w:val="25"/>
                <w:szCs w:val="25"/>
              </w:rPr>
            </w:pPr>
            <w:r w:rsidRPr="00C14DC8">
              <w:rPr>
                <w:sz w:val="25"/>
                <w:szCs w:val="25"/>
              </w:rPr>
              <w:t xml:space="preserve">Tieslietu ministrija, </w:t>
            </w:r>
            <w:r w:rsidR="00F57C0A">
              <w:rPr>
                <w:sz w:val="25"/>
                <w:szCs w:val="25"/>
              </w:rPr>
              <w:t>Labklājības ministrija, biedrība “Latvijas Finanšu nozares asociācija”</w:t>
            </w:r>
          </w:p>
        </w:tc>
      </w:tr>
      <w:tr w:rsidR="00D84048" w:rsidRPr="00C14DC8" w14:paraId="62CF7DB1" w14:textId="77777777" w:rsidTr="00F57C0A">
        <w:trPr>
          <w:gridAfter w:val="3"/>
          <w:wAfter w:w="5988" w:type="dxa"/>
        </w:trPr>
        <w:tc>
          <w:tcPr>
            <w:tcW w:w="6345" w:type="dxa"/>
          </w:tcPr>
          <w:p w14:paraId="432ABDD3" w14:textId="77777777" w:rsidR="00D84048" w:rsidRPr="00C14DC8" w:rsidRDefault="00D84048" w:rsidP="00D84048">
            <w:pPr>
              <w:pStyle w:val="naiskr"/>
              <w:spacing w:before="0" w:after="0"/>
              <w:ind w:firstLine="720"/>
              <w:rPr>
                <w:sz w:val="25"/>
                <w:szCs w:val="25"/>
              </w:rPr>
            </w:pPr>
            <w:r w:rsidRPr="00C14DC8">
              <w:rPr>
                <w:sz w:val="25"/>
                <w:szCs w:val="25"/>
              </w:rPr>
              <w:t>  </w:t>
            </w:r>
          </w:p>
        </w:tc>
      </w:tr>
      <w:tr w:rsidR="00D84048" w:rsidRPr="00C14DC8" w14:paraId="104EF659" w14:textId="77777777" w:rsidTr="00F57C0A">
        <w:trPr>
          <w:gridAfter w:val="1"/>
          <w:wAfter w:w="109" w:type="dxa"/>
        </w:trPr>
        <w:tc>
          <w:tcPr>
            <w:tcW w:w="6345" w:type="dxa"/>
          </w:tcPr>
          <w:p w14:paraId="65E1CCD6" w14:textId="30512701" w:rsidR="00D84048" w:rsidRPr="00C14DC8" w:rsidRDefault="00D84048" w:rsidP="00D84048">
            <w:pPr>
              <w:pStyle w:val="naiskr"/>
              <w:spacing w:before="0" w:after="0"/>
              <w:ind w:firstLine="720"/>
              <w:rPr>
                <w:sz w:val="25"/>
                <w:szCs w:val="25"/>
              </w:rPr>
            </w:pPr>
          </w:p>
        </w:tc>
        <w:tc>
          <w:tcPr>
            <w:tcW w:w="5879" w:type="dxa"/>
            <w:gridSpan w:val="2"/>
            <w:tcBorders>
              <w:top w:val="single" w:sz="4" w:space="0" w:color="auto"/>
            </w:tcBorders>
          </w:tcPr>
          <w:p w14:paraId="227C2973" w14:textId="77777777" w:rsidR="00D84048" w:rsidRPr="00C14DC8" w:rsidRDefault="00D84048" w:rsidP="00D84048">
            <w:pPr>
              <w:pStyle w:val="naiskr"/>
              <w:spacing w:before="0" w:after="0"/>
              <w:ind w:firstLine="720"/>
              <w:rPr>
                <w:sz w:val="25"/>
                <w:szCs w:val="25"/>
              </w:rPr>
            </w:pPr>
          </w:p>
        </w:tc>
      </w:tr>
      <w:tr w:rsidR="003335EE" w:rsidRPr="00C14DC8" w14:paraId="0D506417" w14:textId="77777777" w:rsidTr="00F57C0A">
        <w:trPr>
          <w:trHeight w:val="285"/>
        </w:trPr>
        <w:tc>
          <w:tcPr>
            <w:tcW w:w="6345" w:type="dxa"/>
          </w:tcPr>
          <w:p w14:paraId="4D15D8F3" w14:textId="77777777" w:rsidR="003335EE" w:rsidRPr="00C14DC8" w:rsidRDefault="003335EE" w:rsidP="00D84048">
            <w:pPr>
              <w:pStyle w:val="naiskr"/>
              <w:spacing w:before="0" w:after="0"/>
              <w:rPr>
                <w:sz w:val="25"/>
                <w:szCs w:val="25"/>
              </w:rPr>
            </w:pPr>
            <w:r w:rsidRPr="00C14DC8">
              <w:rPr>
                <w:sz w:val="25"/>
                <w:szCs w:val="25"/>
              </w:rPr>
              <w:t>Saskaņošanas dalībnieki izskatīja šādu ministriju (citu institūciju) iebildumus</w:t>
            </w:r>
          </w:p>
        </w:tc>
        <w:tc>
          <w:tcPr>
            <w:tcW w:w="236" w:type="dxa"/>
          </w:tcPr>
          <w:p w14:paraId="5A30C076" w14:textId="77777777" w:rsidR="003335EE" w:rsidRPr="00C14DC8" w:rsidRDefault="003335EE" w:rsidP="00D84048">
            <w:pPr>
              <w:pStyle w:val="naiskr"/>
              <w:spacing w:before="0" w:after="0"/>
              <w:ind w:firstLine="720"/>
              <w:jc w:val="both"/>
              <w:rPr>
                <w:sz w:val="25"/>
                <w:szCs w:val="25"/>
              </w:rPr>
            </w:pPr>
          </w:p>
        </w:tc>
        <w:tc>
          <w:tcPr>
            <w:tcW w:w="5752" w:type="dxa"/>
            <w:gridSpan w:val="2"/>
          </w:tcPr>
          <w:p w14:paraId="1B545512" w14:textId="71CBA78C" w:rsidR="003335EE" w:rsidRPr="00F57C0A" w:rsidRDefault="00F57C0A" w:rsidP="00FD6D26">
            <w:pPr>
              <w:pStyle w:val="naiskr"/>
              <w:tabs>
                <w:tab w:val="left" w:pos="-28"/>
              </w:tabs>
              <w:spacing w:before="0" w:after="0"/>
              <w:ind w:left="-170" w:firstLine="170"/>
              <w:jc w:val="both"/>
              <w:rPr>
                <w:sz w:val="25"/>
                <w:szCs w:val="25"/>
              </w:rPr>
            </w:pPr>
            <w:r w:rsidRPr="00F57C0A">
              <w:rPr>
                <w:sz w:val="25"/>
                <w:szCs w:val="25"/>
              </w:rPr>
              <w:t>Tieslietu ministrijas</w:t>
            </w:r>
          </w:p>
        </w:tc>
      </w:tr>
      <w:tr w:rsidR="003335EE" w:rsidRPr="00C14DC8" w14:paraId="082F4D5B" w14:textId="77777777" w:rsidTr="00F57C0A">
        <w:trPr>
          <w:gridAfter w:val="1"/>
          <w:wAfter w:w="109" w:type="dxa"/>
          <w:trHeight w:val="465"/>
        </w:trPr>
        <w:tc>
          <w:tcPr>
            <w:tcW w:w="6345" w:type="dxa"/>
          </w:tcPr>
          <w:p w14:paraId="601C83F2" w14:textId="77777777" w:rsidR="003335EE" w:rsidRPr="00C14DC8" w:rsidRDefault="003335EE" w:rsidP="00D84048">
            <w:pPr>
              <w:pStyle w:val="naiskr"/>
              <w:spacing w:before="0" w:after="0"/>
              <w:ind w:firstLine="720"/>
              <w:rPr>
                <w:sz w:val="25"/>
                <w:szCs w:val="25"/>
              </w:rPr>
            </w:pPr>
            <w:r w:rsidRPr="00C14DC8">
              <w:rPr>
                <w:sz w:val="25"/>
                <w:szCs w:val="25"/>
              </w:rPr>
              <w:t>  </w:t>
            </w:r>
          </w:p>
        </w:tc>
        <w:tc>
          <w:tcPr>
            <w:tcW w:w="5879" w:type="dxa"/>
            <w:gridSpan w:val="2"/>
            <w:tcBorders>
              <w:top w:val="single" w:sz="4" w:space="0" w:color="auto"/>
            </w:tcBorders>
          </w:tcPr>
          <w:p w14:paraId="40FEC098" w14:textId="77777777" w:rsidR="003335EE" w:rsidRPr="00C14DC8" w:rsidRDefault="003335EE" w:rsidP="00D84048">
            <w:pPr>
              <w:pStyle w:val="NormalWeb"/>
              <w:spacing w:before="0" w:beforeAutospacing="0" w:after="0" w:afterAutospacing="0"/>
              <w:ind w:firstLine="720"/>
              <w:rPr>
                <w:sz w:val="25"/>
                <w:szCs w:val="25"/>
              </w:rPr>
            </w:pPr>
          </w:p>
        </w:tc>
      </w:tr>
      <w:tr w:rsidR="003335EE" w:rsidRPr="00C14DC8" w14:paraId="52E47391" w14:textId="77777777" w:rsidTr="00F57C0A">
        <w:trPr>
          <w:gridAfter w:val="1"/>
          <w:wAfter w:w="109" w:type="dxa"/>
          <w:trHeight w:val="463"/>
        </w:trPr>
        <w:tc>
          <w:tcPr>
            <w:tcW w:w="6345" w:type="dxa"/>
          </w:tcPr>
          <w:p w14:paraId="19B75023" w14:textId="77777777" w:rsidR="003335EE" w:rsidRPr="00C14DC8" w:rsidRDefault="003335EE" w:rsidP="00D84048">
            <w:pPr>
              <w:pStyle w:val="naiskr"/>
              <w:spacing w:before="0" w:after="0"/>
              <w:rPr>
                <w:sz w:val="25"/>
                <w:szCs w:val="25"/>
              </w:rPr>
            </w:pPr>
            <w:r w:rsidRPr="00C14DC8">
              <w:rPr>
                <w:sz w:val="25"/>
                <w:szCs w:val="25"/>
              </w:rPr>
              <w:t>Ministrijas (citas institūcijas), kuras nav ieradušās uz sanāksmi vai kuras nav atbildējušas uz uzaicinājumu piedalīties elektroniskajā saskaņošanā</w:t>
            </w:r>
          </w:p>
        </w:tc>
        <w:tc>
          <w:tcPr>
            <w:tcW w:w="5879" w:type="dxa"/>
            <w:gridSpan w:val="2"/>
            <w:vAlign w:val="center"/>
          </w:tcPr>
          <w:p w14:paraId="288A0B69" w14:textId="6AE5DBDD" w:rsidR="003335EE" w:rsidRPr="00C14DC8" w:rsidRDefault="00F93BDC" w:rsidP="0040143F">
            <w:pPr>
              <w:pStyle w:val="naiskr"/>
              <w:spacing w:before="0" w:after="0"/>
              <w:rPr>
                <w:sz w:val="25"/>
                <w:szCs w:val="25"/>
              </w:rPr>
            </w:pPr>
            <w:r>
              <w:rPr>
                <w:sz w:val="25"/>
                <w:szCs w:val="25"/>
              </w:rPr>
              <w:t>Nav</w:t>
            </w:r>
          </w:p>
        </w:tc>
      </w:tr>
      <w:tr w:rsidR="003335EE" w:rsidRPr="00C14DC8" w14:paraId="65C94A16" w14:textId="77777777" w:rsidTr="00F57C0A">
        <w:trPr>
          <w:gridAfter w:val="1"/>
          <w:wAfter w:w="109" w:type="dxa"/>
          <w:trHeight w:val="148"/>
        </w:trPr>
        <w:tc>
          <w:tcPr>
            <w:tcW w:w="6345" w:type="dxa"/>
          </w:tcPr>
          <w:p w14:paraId="213252E6" w14:textId="77777777" w:rsidR="003335EE" w:rsidRPr="00C14DC8" w:rsidRDefault="003335EE" w:rsidP="00D84048">
            <w:pPr>
              <w:pStyle w:val="naiskr"/>
              <w:spacing w:before="0" w:after="0"/>
              <w:ind w:firstLine="720"/>
              <w:rPr>
                <w:sz w:val="25"/>
                <w:szCs w:val="25"/>
              </w:rPr>
            </w:pPr>
            <w:r w:rsidRPr="00C14DC8">
              <w:rPr>
                <w:sz w:val="25"/>
                <w:szCs w:val="25"/>
              </w:rPr>
              <w:t>  </w:t>
            </w:r>
          </w:p>
        </w:tc>
        <w:tc>
          <w:tcPr>
            <w:tcW w:w="5879" w:type="dxa"/>
            <w:gridSpan w:val="2"/>
            <w:tcBorders>
              <w:top w:val="single" w:sz="6" w:space="0" w:color="000000"/>
              <w:bottom w:val="single" w:sz="6" w:space="0" w:color="000000"/>
            </w:tcBorders>
          </w:tcPr>
          <w:p w14:paraId="22A31780" w14:textId="77777777" w:rsidR="003335EE" w:rsidRPr="00C14DC8" w:rsidRDefault="003335EE" w:rsidP="00D84048">
            <w:pPr>
              <w:pStyle w:val="naiskr"/>
              <w:spacing w:before="0" w:after="0"/>
              <w:ind w:firstLine="720"/>
              <w:rPr>
                <w:sz w:val="25"/>
                <w:szCs w:val="25"/>
              </w:rPr>
            </w:pPr>
          </w:p>
        </w:tc>
      </w:tr>
    </w:tbl>
    <w:p w14:paraId="762C1DDB" w14:textId="22529D8B" w:rsidR="000875AF" w:rsidRPr="000875AF" w:rsidRDefault="00D84048" w:rsidP="000875AF">
      <w:pPr>
        <w:rPr>
          <w:rFonts w:eastAsia="Times New Roman"/>
          <w:b/>
          <w:sz w:val="24"/>
          <w:szCs w:val="24"/>
          <w:lang w:eastAsia="lv-LV"/>
        </w:rPr>
      </w:pPr>
      <w:r>
        <w:rPr>
          <w:rFonts w:eastAsia="Times New Roman"/>
          <w:b/>
          <w:sz w:val="24"/>
          <w:szCs w:val="24"/>
          <w:lang w:eastAsia="lv-LV"/>
        </w:rPr>
        <w:br w:type="textWrapping" w:clear="all"/>
      </w:r>
      <w:bookmarkStart w:id="0" w:name="_GoBack"/>
      <w:bookmarkEnd w:id="0"/>
    </w:p>
    <w:p w14:paraId="15826208" w14:textId="77777777" w:rsidR="001E6ADF" w:rsidRDefault="001E6ADF" w:rsidP="00251103">
      <w:pPr>
        <w:pStyle w:val="naisf"/>
        <w:spacing w:before="0" w:after="0"/>
        <w:ind w:firstLine="0"/>
        <w:jc w:val="center"/>
        <w:rPr>
          <w:b/>
        </w:rPr>
      </w:pPr>
    </w:p>
    <w:p w14:paraId="45F78FF8" w14:textId="77777777" w:rsidR="00251103" w:rsidRPr="009B03FA" w:rsidRDefault="00251103" w:rsidP="00251103">
      <w:pPr>
        <w:pStyle w:val="naisf"/>
        <w:spacing w:before="0" w:after="0"/>
        <w:ind w:firstLine="0"/>
        <w:jc w:val="center"/>
        <w:rPr>
          <w:b/>
        </w:rPr>
      </w:pPr>
      <w:r w:rsidRPr="009B03FA">
        <w:rPr>
          <w:b/>
        </w:rPr>
        <w:t>II. Jautājumi, par kuriem saskaņošanā vienošanās ir panākta</w:t>
      </w:r>
    </w:p>
    <w:p w14:paraId="455AE660" w14:textId="77777777" w:rsidR="00251103" w:rsidRDefault="00251103"/>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402"/>
        <w:gridCol w:w="3969"/>
        <w:gridCol w:w="2977"/>
        <w:gridCol w:w="4394"/>
      </w:tblGrid>
      <w:tr w:rsidR="000C5C1F" w14:paraId="57987373" w14:textId="77777777" w:rsidTr="004659E6">
        <w:tc>
          <w:tcPr>
            <w:tcW w:w="710" w:type="dxa"/>
            <w:vAlign w:val="center"/>
          </w:tcPr>
          <w:p w14:paraId="4B44BD14" w14:textId="77777777" w:rsidR="000C5C1F" w:rsidRPr="009B03FA" w:rsidRDefault="000C5C1F" w:rsidP="00483752">
            <w:pPr>
              <w:pStyle w:val="naisc"/>
              <w:spacing w:before="0" w:after="0"/>
            </w:pPr>
            <w:r w:rsidRPr="009B03FA">
              <w:t>Nr. p.k.</w:t>
            </w:r>
          </w:p>
        </w:tc>
        <w:tc>
          <w:tcPr>
            <w:tcW w:w="3402" w:type="dxa"/>
            <w:vAlign w:val="center"/>
          </w:tcPr>
          <w:p w14:paraId="271677B1" w14:textId="77777777" w:rsidR="000C5C1F" w:rsidRPr="009B03FA" w:rsidRDefault="000C5C1F" w:rsidP="00483752">
            <w:pPr>
              <w:pStyle w:val="naisc"/>
              <w:spacing w:before="0" w:after="0"/>
              <w:ind w:firstLine="12"/>
            </w:pPr>
            <w:r w:rsidRPr="009B03FA">
              <w:t>Saskaņošanai nosūtītā projekta redakcija (konkrēta punkta (panta) redakcija)</w:t>
            </w:r>
          </w:p>
        </w:tc>
        <w:tc>
          <w:tcPr>
            <w:tcW w:w="3969" w:type="dxa"/>
            <w:vAlign w:val="center"/>
          </w:tcPr>
          <w:p w14:paraId="23FA8975" w14:textId="77777777" w:rsidR="000C5C1F" w:rsidRPr="009B03FA" w:rsidRDefault="000C5C1F" w:rsidP="00483752">
            <w:pPr>
              <w:pStyle w:val="naisc"/>
              <w:spacing w:before="0" w:after="0"/>
              <w:ind w:right="3"/>
            </w:pPr>
            <w:r w:rsidRPr="009B03FA">
              <w:t>Atzinumā norādītais ministrijas (citas institūcijas) iebildums, kā arī saskaņošanā papildus izteiktais iebildums par projekta konkrēto punktu (pantu)</w:t>
            </w:r>
          </w:p>
        </w:tc>
        <w:tc>
          <w:tcPr>
            <w:tcW w:w="2977" w:type="dxa"/>
            <w:vAlign w:val="center"/>
          </w:tcPr>
          <w:p w14:paraId="5D782445" w14:textId="77777777" w:rsidR="000C5C1F" w:rsidRPr="009B03FA" w:rsidRDefault="000C5C1F" w:rsidP="00483752">
            <w:pPr>
              <w:pStyle w:val="naisc"/>
              <w:spacing w:before="0" w:after="0"/>
              <w:ind w:firstLine="21"/>
            </w:pPr>
            <w:r w:rsidRPr="009B03FA">
              <w:t>Atbildīgās ministrijas norāde par to, ka iebildums ir ņemts vērā, vai informācija par saskaņošanā panākto alternatīvo risinājumu</w:t>
            </w:r>
          </w:p>
        </w:tc>
        <w:tc>
          <w:tcPr>
            <w:tcW w:w="4394" w:type="dxa"/>
            <w:vAlign w:val="center"/>
          </w:tcPr>
          <w:p w14:paraId="651451F1" w14:textId="77777777" w:rsidR="000C5C1F" w:rsidRPr="00483752" w:rsidRDefault="000C5C1F" w:rsidP="00483752">
            <w:pPr>
              <w:jc w:val="center"/>
              <w:rPr>
                <w:sz w:val="24"/>
                <w:szCs w:val="24"/>
              </w:rPr>
            </w:pPr>
            <w:r w:rsidRPr="00483752">
              <w:rPr>
                <w:sz w:val="24"/>
                <w:szCs w:val="24"/>
              </w:rPr>
              <w:t>Projekta attiecīgā punkta (panta) galīgā redakcija</w:t>
            </w:r>
          </w:p>
        </w:tc>
      </w:tr>
      <w:tr w:rsidR="004701EA" w14:paraId="0684F510" w14:textId="77777777" w:rsidTr="004659E6">
        <w:tc>
          <w:tcPr>
            <w:tcW w:w="710" w:type="dxa"/>
            <w:vAlign w:val="center"/>
          </w:tcPr>
          <w:p w14:paraId="0E91E802" w14:textId="77777777" w:rsidR="004701EA" w:rsidRPr="00BE275F" w:rsidRDefault="004701EA" w:rsidP="00483752">
            <w:pPr>
              <w:pStyle w:val="naisc"/>
              <w:spacing w:before="0" w:after="0"/>
            </w:pPr>
            <w:r w:rsidRPr="00BE275F">
              <w:t>1</w:t>
            </w:r>
          </w:p>
        </w:tc>
        <w:tc>
          <w:tcPr>
            <w:tcW w:w="3402" w:type="dxa"/>
            <w:tcBorders>
              <w:bottom w:val="single" w:sz="4" w:space="0" w:color="auto"/>
            </w:tcBorders>
            <w:vAlign w:val="center"/>
          </w:tcPr>
          <w:p w14:paraId="0E7E576B" w14:textId="77777777" w:rsidR="004701EA" w:rsidRPr="004659E6" w:rsidRDefault="004701EA" w:rsidP="00483752">
            <w:pPr>
              <w:pStyle w:val="naisc"/>
              <w:spacing w:before="0" w:after="0"/>
              <w:ind w:firstLine="12"/>
            </w:pPr>
            <w:r w:rsidRPr="004659E6">
              <w:t>2</w:t>
            </w:r>
          </w:p>
        </w:tc>
        <w:tc>
          <w:tcPr>
            <w:tcW w:w="3969" w:type="dxa"/>
            <w:vAlign w:val="center"/>
          </w:tcPr>
          <w:p w14:paraId="1FEC4A50" w14:textId="77777777" w:rsidR="004701EA" w:rsidRPr="00BE275F" w:rsidRDefault="004701EA" w:rsidP="00483752">
            <w:pPr>
              <w:pStyle w:val="naisc"/>
              <w:spacing w:before="0" w:after="0"/>
              <w:ind w:right="3"/>
            </w:pPr>
            <w:r w:rsidRPr="00BE275F">
              <w:t>3</w:t>
            </w:r>
          </w:p>
        </w:tc>
        <w:tc>
          <w:tcPr>
            <w:tcW w:w="2977" w:type="dxa"/>
            <w:tcBorders>
              <w:bottom w:val="single" w:sz="4" w:space="0" w:color="auto"/>
            </w:tcBorders>
            <w:vAlign w:val="center"/>
          </w:tcPr>
          <w:p w14:paraId="46EB9982" w14:textId="77777777" w:rsidR="004701EA" w:rsidRPr="00BE275F" w:rsidRDefault="004701EA" w:rsidP="00483752">
            <w:pPr>
              <w:pStyle w:val="naisc"/>
              <w:spacing w:before="0" w:after="0"/>
              <w:ind w:firstLine="21"/>
            </w:pPr>
            <w:r w:rsidRPr="00BE275F">
              <w:t>4</w:t>
            </w:r>
          </w:p>
        </w:tc>
        <w:tc>
          <w:tcPr>
            <w:tcW w:w="4394" w:type="dxa"/>
            <w:vAlign w:val="center"/>
          </w:tcPr>
          <w:p w14:paraId="576CDDC7" w14:textId="77777777" w:rsidR="004701EA" w:rsidRPr="00BE275F" w:rsidRDefault="004701EA" w:rsidP="00483752">
            <w:pPr>
              <w:jc w:val="center"/>
              <w:rPr>
                <w:sz w:val="24"/>
                <w:szCs w:val="24"/>
              </w:rPr>
            </w:pPr>
            <w:r w:rsidRPr="00BE275F">
              <w:rPr>
                <w:sz w:val="24"/>
                <w:szCs w:val="24"/>
              </w:rPr>
              <w:t>5</w:t>
            </w:r>
          </w:p>
        </w:tc>
      </w:tr>
      <w:tr w:rsidR="00673A8A" w14:paraId="370C3E58" w14:textId="77777777" w:rsidTr="004659E6">
        <w:trPr>
          <w:trHeight w:val="1196"/>
        </w:trPr>
        <w:tc>
          <w:tcPr>
            <w:tcW w:w="710" w:type="dxa"/>
            <w:tcBorders>
              <w:right w:val="single" w:sz="4" w:space="0" w:color="auto"/>
            </w:tcBorders>
          </w:tcPr>
          <w:p w14:paraId="35BA0B27" w14:textId="77777777" w:rsidR="00673A8A" w:rsidRPr="004701EA" w:rsidRDefault="00673A8A" w:rsidP="00254342">
            <w:pPr>
              <w:jc w:val="center"/>
              <w:rPr>
                <w:sz w:val="24"/>
                <w:szCs w:val="24"/>
              </w:rPr>
            </w:pPr>
            <w:r>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4D071EF" w14:textId="77777777" w:rsidR="00F57C0A" w:rsidRPr="004659E6" w:rsidRDefault="00F57C0A" w:rsidP="00F57C0A">
            <w:pPr>
              <w:pStyle w:val="ListParagraph"/>
              <w:numPr>
                <w:ilvl w:val="0"/>
                <w:numId w:val="28"/>
              </w:numPr>
              <w:tabs>
                <w:tab w:val="left" w:pos="322"/>
              </w:tabs>
              <w:ind w:left="0" w:firstLine="0"/>
              <w:jc w:val="both"/>
              <w:rPr>
                <w:rFonts w:eastAsia="Times New Roman"/>
                <w:sz w:val="24"/>
                <w:lang w:eastAsia="lv-LV"/>
              </w:rPr>
            </w:pPr>
            <w:r w:rsidRPr="004659E6">
              <w:rPr>
                <w:rFonts w:eastAsia="Times New Roman"/>
                <w:sz w:val="24"/>
                <w:lang w:eastAsia="lv-LV"/>
              </w:rPr>
              <w:t>Papildināt 4. panta piekto daļu ar otro teikumu šādā redakcijā:</w:t>
            </w:r>
          </w:p>
          <w:p w14:paraId="50204616" w14:textId="3BAFBF88" w:rsidR="00ED11D5" w:rsidRPr="004659E6" w:rsidRDefault="00F57C0A" w:rsidP="00F57C0A">
            <w:pPr>
              <w:jc w:val="both"/>
              <w:rPr>
                <w:bCs/>
                <w:iCs/>
                <w:sz w:val="22"/>
                <w:szCs w:val="24"/>
              </w:rPr>
            </w:pPr>
            <w:r w:rsidRPr="004659E6">
              <w:rPr>
                <w:rFonts w:eastAsia="Times New Roman"/>
                <w:sz w:val="24"/>
                <w:lang w:eastAsia="lv-LV"/>
              </w:rPr>
              <w:t xml:space="preserve">“Lēmumu par </w:t>
            </w:r>
            <w:proofErr w:type="spellStart"/>
            <w:r w:rsidRPr="004659E6">
              <w:rPr>
                <w:rFonts w:eastAsia="Times New Roman"/>
                <w:sz w:val="24"/>
                <w:lang w:eastAsia="lv-LV"/>
              </w:rPr>
              <w:t>mikrouzņēmuma</w:t>
            </w:r>
            <w:proofErr w:type="spellEnd"/>
            <w:r w:rsidRPr="004659E6">
              <w:rPr>
                <w:rFonts w:eastAsia="Times New Roman"/>
                <w:sz w:val="24"/>
                <w:lang w:eastAsia="lv-LV"/>
              </w:rPr>
              <w:t xml:space="preserve"> kā </w:t>
            </w:r>
            <w:proofErr w:type="spellStart"/>
            <w:r w:rsidRPr="004659E6">
              <w:rPr>
                <w:rFonts w:eastAsia="Times New Roman"/>
                <w:sz w:val="24"/>
                <w:lang w:eastAsia="lv-LV"/>
              </w:rPr>
              <w:t>mikrouzņēmumu</w:t>
            </w:r>
            <w:proofErr w:type="spellEnd"/>
            <w:r w:rsidRPr="004659E6">
              <w:rPr>
                <w:rFonts w:eastAsia="Times New Roman"/>
                <w:sz w:val="24"/>
                <w:lang w:eastAsia="lv-LV"/>
              </w:rPr>
              <w:t xml:space="preserve"> nodokļa maksātāja reģistrēšanu </w:t>
            </w:r>
            <w:proofErr w:type="spellStart"/>
            <w:r w:rsidRPr="004659E6">
              <w:rPr>
                <w:rFonts w:eastAsia="Times New Roman"/>
                <w:sz w:val="24"/>
                <w:lang w:eastAsia="lv-LV"/>
              </w:rPr>
              <w:t>rakstveidā</w:t>
            </w:r>
            <w:proofErr w:type="spellEnd"/>
            <w:r w:rsidRPr="004659E6">
              <w:rPr>
                <w:rFonts w:eastAsia="Times New Roman"/>
                <w:sz w:val="24"/>
                <w:lang w:eastAsia="lv-LV"/>
              </w:rPr>
              <w:t xml:space="preserve"> neizdod, bet lēmumu paziņo, informāciju publicējot Valsts ieņēmumu dienesta tīmekļvietnē. Šāds lēmums (administratīvais akts) stājas spēkā nākamajā darba dienā pēc informācijas publicēšanas.”</w:t>
            </w:r>
          </w:p>
          <w:p w14:paraId="012D9ABB" w14:textId="77777777" w:rsidR="00ED11D5" w:rsidRPr="004659E6" w:rsidRDefault="00ED11D5" w:rsidP="00ED11D5">
            <w:pPr>
              <w:rPr>
                <w:sz w:val="24"/>
                <w:szCs w:val="24"/>
              </w:rPr>
            </w:pPr>
          </w:p>
          <w:p w14:paraId="4D959827" w14:textId="77777777" w:rsidR="00ED11D5" w:rsidRPr="004659E6" w:rsidRDefault="00ED11D5" w:rsidP="00ED11D5">
            <w:pPr>
              <w:rPr>
                <w:sz w:val="24"/>
                <w:szCs w:val="24"/>
              </w:rPr>
            </w:pPr>
          </w:p>
          <w:p w14:paraId="7EFAEE0D" w14:textId="77777777" w:rsidR="00ED11D5" w:rsidRPr="004659E6" w:rsidRDefault="00ED11D5" w:rsidP="00ED11D5">
            <w:pPr>
              <w:rPr>
                <w:sz w:val="24"/>
                <w:szCs w:val="24"/>
              </w:rPr>
            </w:pPr>
          </w:p>
          <w:p w14:paraId="7B8B64E0" w14:textId="77777777" w:rsidR="00ED11D5" w:rsidRPr="004659E6" w:rsidRDefault="00ED11D5" w:rsidP="00ED11D5">
            <w:pPr>
              <w:rPr>
                <w:sz w:val="24"/>
                <w:szCs w:val="24"/>
              </w:rPr>
            </w:pPr>
          </w:p>
          <w:p w14:paraId="2DA9E4D4" w14:textId="77777777" w:rsidR="00ED11D5" w:rsidRPr="004659E6" w:rsidRDefault="00ED11D5" w:rsidP="00ED11D5">
            <w:pPr>
              <w:rPr>
                <w:sz w:val="24"/>
                <w:szCs w:val="24"/>
              </w:rPr>
            </w:pPr>
          </w:p>
          <w:p w14:paraId="69BC71CE" w14:textId="77777777" w:rsidR="00ED11D5" w:rsidRPr="004659E6" w:rsidRDefault="00ED11D5" w:rsidP="00ED11D5">
            <w:pPr>
              <w:rPr>
                <w:sz w:val="24"/>
                <w:szCs w:val="24"/>
              </w:rPr>
            </w:pPr>
          </w:p>
          <w:p w14:paraId="7D66CF0A" w14:textId="77777777" w:rsidR="00ED11D5" w:rsidRPr="004659E6" w:rsidRDefault="00ED11D5" w:rsidP="00ED11D5">
            <w:pPr>
              <w:rPr>
                <w:sz w:val="24"/>
                <w:szCs w:val="24"/>
              </w:rPr>
            </w:pPr>
          </w:p>
          <w:p w14:paraId="6C219F5A" w14:textId="77777777" w:rsidR="00ED11D5" w:rsidRPr="004659E6" w:rsidRDefault="00ED11D5" w:rsidP="00ED11D5">
            <w:pPr>
              <w:rPr>
                <w:sz w:val="24"/>
                <w:szCs w:val="24"/>
              </w:rPr>
            </w:pPr>
          </w:p>
          <w:p w14:paraId="60EB2F1D" w14:textId="77777777" w:rsidR="00ED11D5" w:rsidRPr="004659E6" w:rsidRDefault="00ED11D5" w:rsidP="00ED11D5">
            <w:pPr>
              <w:rPr>
                <w:sz w:val="24"/>
                <w:szCs w:val="24"/>
              </w:rPr>
            </w:pPr>
          </w:p>
          <w:p w14:paraId="397B4945" w14:textId="77777777" w:rsidR="00ED11D5" w:rsidRPr="004659E6" w:rsidRDefault="00ED11D5" w:rsidP="00ED11D5">
            <w:pPr>
              <w:rPr>
                <w:sz w:val="24"/>
                <w:szCs w:val="24"/>
              </w:rPr>
            </w:pPr>
          </w:p>
          <w:p w14:paraId="49B6BED2" w14:textId="77777777" w:rsidR="00ED11D5" w:rsidRPr="004659E6" w:rsidRDefault="00ED11D5" w:rsidP="00ED11D5">
            <w:pPr>
              <w:rPr>
                <w:sz w:val="24"/>
                <w:szCs w:val="24"/>
              </w:rPr>
            </w:pPr>
          </w:p>
          <w:p w14:paraId="02C36791" w14:textId="77777777" w:rsidR="00673A8A" w:rsidRPr="004659E6" w:rsidRDefault="00673A8A" w:rsidP="00ED11D5">
            <w:pPr>
              <w:ind w:firstLine="720"/>
              <w:rPr>
                <w:sz w:val="24"/>
                <w:szCs w:val="24"/>
              </w:rPr>
            </w:pPr>
          </w:p>
        </w:tc>
        <w:tc>
          <w:tcPr>
            <w:tcW w:w="3969" w:type="dxa"/>
            <w:tcBorders>
              <w:left w:val="single" w:sz="4" w:space="0" w:color="auto"/>
              <w:right w:val="single" w:sz="4" w:space="0" w:color="auto"/>
            </w:tcBorders>
          </w:tcPr>
          <w:p w14:paraId="1D68E105" w14:textId="77777777" w:rsidR="00673A8A" w:rsidRPr="00483752" w:rsidRDefault="00673A8A" w:rsidP="00F57C0A">
            <w:pPr>
              <w:pStyle w:val="BodyText"/>
              <w:spacing w:after="0"/>
              <w:jc w:val="center"/>
              <w:rPr>
                <w:b/>
              </w:rPr>
            </w:pPr>
            <w:r>
              <w:rPr>
                <w:b/>
              </w:rPr>
              <w:lastRenderedPageBreak/>
              <w:t>Tieslietu</w:t>
            </w:r>
            <w:r w:rsidRPr="00483752">
              <w:rPr>
                <w:b/>
              </w:rPr>
              <w:t xml:space="preserve"> ministrija</w:t>
            </w:r>
          </w:p>
          <w:p w14:paraId="6F6A67F7" w14:textId="77777777" w:rsidR="00F57C0A" w:rsidRPr="00F57C0A" w:rsidRDefault="00F57C0A" w:rsidP="00F57C0A">
            <w:pPr>
              <w:widowControl w:val="0"/>
              <w:jc w:val="both"/>
              <w:rPr>
                <w:sz w:val="24"/>
                <w:szCs w:val="28"/>
              </w:rPr>
            </w:pPr>
            <w:r w:rsidRPr="00F57C0A">
              <w:rPr>
                <w:sz w:val="24"/>
                <w:szCs w:val="28"/>
              </w:rPr>
              <w:t xml:space="preserve">Projekta 1. pantā ietvertais </w:t>
            </w:r>
            <w:proofErr w:type="spellStart"/>
            <w:r w:rsidRPr="00F57C0A">
              <w:rPr>
                <w:sz w:val="24"/>
                <w:szCs w:val="28"/>
              </w:rPr>
              <w:t>Mikrouzņēmumu</w:t>
            </w:r>
            <w:proofErr w:type="spellEnd"/>
            <w:r w:rsidRPr="00F57C0A">
              <w:rPr>
                <w:sz w:val="24"/>
                <w:szCs w:val="28"/>
              </w:rPr>
              <w:t xml:space="preserve"> nodokļa likuma (turpmāk – Likums) 4. panta piektās daļas trešais teikums dublē Paziņošanas likuma 11. panta piektajā daļā noteikto, ja ar to paredzēts regulēt brīdi, ar kuru uzskatāms par paziņotu Valsts ieņēmumu dienesta tīmekļvietnē publicēts lēmums. Ņemot vērā minēto, lūdzam izslēgt projekta 1. pantā ietverto Likuma 4. panta piektās daļas trešo teikumu.</w:t>
            </w:r>
          </w:p>
          <w:p w14:paraId="57735D04" w14:textId="4F2FF5B5" w:rsidR="00673A8A" w:rsidRPr="00F542E6" w:rsidRDefault="00673A8A" w:rsidP="00F542E6">
            <w:pPr>
              <w:pStyle w:val="ListParagraph"/>
              <w:tabs>
                <w:tab w:val="left" w:pos="709"/>
                <w:tab w:val="left" w:pos="1134"/>
              </w:tabs>
              <w:ind w:left="0" w:firstLine="323"/>
              <w:jc w:val="both"/>
              <w:rPr>
                <w:rFonts w:eastAsia="Times New Roman"/>
                <w:bCs/>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14:paraId="7FC44EF2" w14:textId="77777777" w:rsidR="00673A8A" w:rsidRDefault="00673A8A" w:rsidP="00F57C0A">
            <w:pPr>
              <w:jc w:val="center"/>
              <w:rPr>
                <w:b/>
                <w:sz w:val="24"/>
                <w:szCs w:val="24"/>
              </w:rPr>
            </w:pPr>
            <w:r w:rsidRPr="00635073">
              <w:rPr>
                <w:b/>
                <w:sz w:val="24"/>
                <w:szCs w:val="24"/>
              </w:rPr>
              <w:t>Ņemts vērā</w:t>
            </w:r>
          </w:p>
          <w:p w14:paraId="29159AB8" w14:textId="0CDD3EA8" w:rsidR="00673A8A" w:rsidRPr="0098733F" w:rsidRDefault="00635073" w:rsidP="000519D6">
            <w:pPr>
              <w:jc w:val="both"/>
              <w:rPr>
                <w:sz w:val="24"/>
                <w:szCs w:val="24"/>
              </w:rPr>
            </w:pPr>
            <w:r>
              <w:rPr>
                <w:sz w:val="24"/>
                <w:szCs w:val="24"/>
              </w:rPr>
              <w:t>N</w:t>
            </w:r>
            <w:r w:rsidR="000519D6">
              <w:rPr>
                <w:sz w:val="24"/>
                <w:szCs w:val="24"/>
              </w:rPr>
              <w:t>o likumprojekta 1.pantā</w:t>
            </w:r>
            <w:r>
              <w:rPr>
                <w:sz w:val="24"/>
                <w:szCs w:val="24"/>
              </w:rPr>
              <w:t xml:space="preserve"> ietvertā</w:t>
            </w:r>
            <w:r w:rsidR="000519D6">
              <w:rPr>
                <w:sz w:val="24"/>
                <w:szCs w:val="24"/>
              </w:rPr>
              <w:t>s</w:t>
            </w:r>
            <w:r>
              <w:rPr>
                <w:sz w:val="24"/>
                <w:szCs w:val="24"/>
              </w:rPr>
              <w:t xml:space="preserve"> </w:t>
            </w:r>
            <w:proofErr w:type="spellStart"/>
            <w:r>
              <w:rPr>
                <w:sz w:val="24"/>
                <w:szCs w:val="24"/>
              </w:rPr>
              <w:t>Mikrouzņēmumu</w:t>
            </w:r>
            <w:proofErr w:type="spellEnd"/>
            <w:r>
              <w:rPr>
                <w:sz w:val="24"/>
                <w:szCs w:val="24"/>
              </w:rPr>
              <w:t xml:space="preserve"> nodokļa likuma 4.panta piektās daļas izslēgts tre</w:t>
            </w:r>
            <w:r w:rsidR="000519D6">
              <w:rPr>
                <w:sz w:val="24"/>
                <w:szCs w:val="24"/>
              </w:rPr>
              <w:t>šais teikums un papildināts likumprojekta sākotnējās ietekmes novērtējuma ziņojuma (anotācijas) I. sadaļas 2.punkts ar šādu informāciju: s</w:t>
            </w:r>
            <w:r w:rsidR="000519D6" w:rsidRPr="000519D6">
              <w:rPr>
                <w:sz w:val="24"/>
                <w:szCs w:val="24"/>
              </w:rPr>
              <w:t>askaņā ar Paziņošanas likuma 11.panta piekto daļu šāds lēmums (administratīvais akts) stājas spēkā nākamajā darba dienā pēc informācijas publicēšanas.</w:t>
            </w:r>
          </w:p>
        </w:tc>
        <w:tc>
          <w:tcPr>
            <w:tcW w:w="4394" w:type="dxa"/>
            <w:tcBorders>
              <w:left w:val="single" w:sz="4" w:space="0" w:color="auto"/>
            </w:tcBorders>
          </w:tcPr>
          <w:p w14:paraId="4CD11CBB" w14:textId="77777777" w:rsidR="004659E6" w:rsidRPr="004659E6" w:rsidRDefault="004659E6" w:rsidP="004659E6">
            <w:pPr>
              <w:numPr>
                <w:ilvl w:val="0"/>
                <w:numId w:val="29"/>
              </w:numPr>
              <w:tabs>
                <w:tab w:val="left" w:pos="317"/>
              </w:tabs>
              <w:ind w:left="34" w:firstLine="0"/>
              <w:jc w:val="both"/>
              <w:rPr>
                <w:rFonts w:eastAsia="Times New Roman"/>
                <w:bCs/>
                <w:iCs/>
                <w:sz w:val="24"/>
                <w:szCs w:val="24"/>
                <w:lang w:eastAsia="lv-LV"/>
              </w:rPr>
            </w:pPr>
            <w:r w:rsidRPr="004659E6">
              <w:rPr>
                <w:rFonts w:eastAsia="Times New Roman"/>
                <w:bCs/>
                <w:iCs/>
                <w:sz w:val="24"/>
                <w:szCs w:val="24"/>
                <w:lang w:eastAsia="lv-LV"/>
              </w:rPr>
              <w:t>Papildināt 4. panta piekto daļu ar otro teikumu šādā redakcijā:</w:t>
            </w:r>
          </w:p>
          <w:p w14:paraId="7B6399B2" w14:textId="0D480ED9" w:rsidR="00673A8A" w:rsidRPr="000B5D1F" w:rsidRDefault="004659E6" w:rsidP="004659E6">
            <w:pPr>
              <w:tabs>
                <w:tab w:val="left" w:pos="496"/>
              </w:tabs>
              <w:jc w:val="both"/>
              <w:rPr>
                <w:rFonts w:eastAsia="Times New Roman"/>
                <w:bCs/>
                <w:iCs/>
                <w:sz w:val="24"/>
                <w:szCs w:val="24"/>
                <w:lang w:eastAsia="lv-LV"/>
              </w:rPr>
            </w:pPr>
            <w:r w:rsidRPr="004659E6">
              <w:rPr>
                <w:rFonts w:eastAsia="Times New Roman"/>
                <w:bCs/>
                <w:iCs/>
                <w:sz w:val="24"/>
                <w:szCs w:val="24"/>
                <w:lang w:eastAsia="lv-LV"/>
              </w:rPr>
              <w:t xml:space="preserve">“Lēmumu par </w:t>
            </w:r>
            <w:proofErr w:type="spellStart"/>
            <w:r w:rsidRPr="004659E6">
              <w:rPr>
                <w:rFonts w:eastAsia="Times New Roman"/>
                <w:bCs/>
                <w:iCs/>
                <w:sz w:val="24"/>
                <w:szCs w:val="24"/>
                <w:lang w:eastAsia="lv-LV"/>
              </w:rPr>
              <w:t>mikrouzņēmuma</w:t>
            </w:r>
            <w:proofErr w:type="spellEnd"/>
            <w:r w:rsidRPr="004659E6">
              <w:rPr>
                <w:rFonts w:eastAsia="Times New Roman"/>
                <w:bCs/>
                <w:iCs/>
                <w:sz w:val="24"/>
                <w:szCs w:val="24"/>
                <w:lang w:eastAsia="lv-LV"/>
              </w:rPr>
              <w:t xml:space="preserve"> kā </w:t>
            </w:r>
            <w:proofErr w:type="spellStart"/>
            <w:r w:rsidRPr="004659E6">
              <w:rPr>
                <w:rFonts w:eastAsia="Times New Roman"/>
                <w:bCs/>
                <w:iCs/>
                <w:sz w:val="24"/>
                <w:szCs w:val="24"/>
                <w:lang w:eastAsia="lv-LV"/>
              </w:rPr>
              <w:t>mikrouzņēmumu</w:t>
            </w:r>
            <w:proofErr w:type="spellEnd"/>
            <w:r w:rsidRPr="004659E6">
              <w:rPr>
                <w:rFonts w:eastAsia="Times New Roman"/>
                <w:bCs/>
                <w:iCs/>
                <w:sz w:val="24"/>
                <w:szCs w:val="24"/>
                <w:lang w:eastAsia="lv-LV"/>
              </w:rPr>
              <w:t xml:space="preserve"> nodokļa maksātāja reģistrēšanu </w:t>
            </w:r>
            <w:proofErr w:type="spellStart"/>
            <w:r w:rsidRPr="004659E6">
              <w:rPr>
                <w:rFonts w:eastAsia="Times New Roman"/>
                <w:bCs/>
                <w:iCs/>
                <w:sz w:val="24"/>
                <w:szCs w:val="24"/>
                <w:lang w:eastAsia="lv-LV"/>
              </w:rPr>
              <w:t>rakstveidā</w:t>
            </w:r>
            <w:proofErr w:type="spellEnd"/>
            <w:r w:rsidRPr="004659E6">
              <w:rPr>
                <w:rFonts w:eastAsia="Times New Roman"/>
                <w:bCs/>
                <w:iCs/>
                <w:sz w:val="24"/>
                <w:szCs w:val="24"/>
                <w:lang w:eastAsia="lv-LV"/>
              </w:rPr>
              <w:t xml:space="preserve"> neizdod, bet lēmumu paziņo, informāciju publicējot Valsts ieņēmumu dienesta tīmekļvietnē.</w:t>
            </w:r>
          </w:p>
        </w:tc>
      </w:tr>
      <w:tr w:rsidR="00F57C0A" w14:paraId="26AC5C87" w14:textId="77777777" w:rsidTr="004659E6">
        <w:trPr>
          <w:trHeight w:val="1196"/>
        </w:trPr>
        <w:tc>
          <w:tcPr>
            <w:tcW w:w="710" w:type="dxa"/>
            <w:tcBorders>
              <w:right w:val="single" w:sz="4" w:space="0" w:color="auto"/>
            </w:tcBorders>
          </w:tcPr>
          <w:p w14:paraId="1E86FFEC" w14:textId="7514D1B5" w:rsidR="00F57C0A" w:rsidRDefault="00F57C0A" w:rsidP="00254342">
            <w:pPr>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78FC64D9" w14:textId="77777777" w:rsidR="0060625D" w:rsidRPr="0060625D" w:rsidRDefault="0060625D" w:rsidP="004659E6">
            <w:pPr>
              <w:tabs>
                <w:tab w:val="left" w:pos="2127"/>
                <w:tab w:val="left" w:pos="6096"/>
              </w:tabs>
              <w:jc w:val="both"/>
              <w:rPr>
                <w:rFonts w:eastAsia="Times New Roman"/>
                <w:sz w:val="24"/>
                <w:szCs w:val="28"/>
                <w:lang w:eastAsia="lv-LV"/>
              </w:rPr>
            </w:pPr>
            <w:r w:rsidRPr="0060625D">
              <w:rPr>
                <w:rFonts w:eastAsia="Times New Roman"/>
                <w:szCs w:val="28"/>
                <w:lang w:eastAsia="lv-LV"/>
              </w:rPr>
              <w:t>(</w:t>
            </w:r>
            <w:r w:rsidRPr="0060625D">
              <w:rPr>
                <w:rFonts w:eastAsia="Times New Roman"/>
                <w:sz w:val="24"/>
                <w:szCs w:val="28"/>
                <w:lang w:eastAsia="lv-LV"/>
              </w:rPr>
              <w:t xml:space="preserve">7) Ja vienkāršotā nodokļa nomaksas risinājuma izmantošanas uzsākšanas datums ir noteikts, ievērojot šā panta trešās daļas 2.punktā noteikto, un saskaņā ar šā panta sesto daļu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maksātāja saimnieciskās darbības ieņēmumiem piemērojamā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likme ir 40 procenti vai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maksātājs saskaņā ar šā likuma 7.panta piekto un sesto daļu iesniedz precizētu taksācijas perioda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ceturkšņa deklarāciju pēc tam, kad kredītiestāde uz Valsts ieņēmumu dienesta sniegtās informācijas pamata ir ieskaitījusi vienotajā nodokļu kontā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nodokli:</w:t>
            </w:r>
          </w:p>
          <w:p w14:paraId="05B5C88E" w14:textId="77777777" w:rsidR="0060625D" w:rsidRPr="0060625D" w:rsidRDefault="0060625D" w:rsidP="00B12CBF">
            <w:pPr>
              <w:tabs>
                <w:tab w:val="left" w:pos="2127"/>
                <w:tab w:val="left" w:pos="6096"/>
              </w:tabs>
              <w:ind w:firstLine="322"/>
              <w:jc w:val="both"/>
              <w:rPr>
                <w:rFonts w:eastAsia="Times New Roman"/>
                <w:sz w:val="24"/>
                <w:szCs w:val="28"/>
                <w:lang w:eastAsia="lv-LV"/>
              </w:rPr>
            </w:pPr>
            <w:r w:rsidRPr="0060625D">
              <w:rPr>
                <w:rFonts w:eastAsia="Times New Roman"/>
                <w:sz w:val="24"/>
                <w:szCs w:val="28"/>
                <w:lang w:eastAsia="lv-LV"/>
              </w:rPr>
              <w:t xml:space="preserve">1) ja iesniegta precizētā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ceturkšņa deklarācija, Valsts ieņēmumu dienests veic pārrēķinu par tiem taksācijas perioda ceturkšņiem, kad </w:t>
            </w:r>
            <w:proofErr w:type="spellStart"/>
            <w:r w:rsidRPr="0060625D">
              <w:rPr>
                <w:rFonts w:eastAsia="Times New Roman"/>
                <w:sz w:val="24"/>
                <w:szCs w:val="28"/>
                <w:lang w:eastAsia="lv-LV"/>
              </w:rPr>
              <w:t>mikrouzņēmuma</w:t>
            </w:r>
            <w:proofErr w:type="spellEnd"/>
            <w:r w:rsidRPr="0060625D">
              <w:rPr>
                <w:rFonts w:eastAsia="Times New Roman"/>
                <w:sz w:val="24"/>
                <w:szCs w:val="28"/>
                <w:lang w:eastAsia="lv-LV"/>
              </w:rPr>
              <w:t xml:space="preserve"> apgrozījums </w:t>
            </w:r>
            <w:r w:rsidRPr="0060625D">
              <w:rPr>
                <w:rFonts w:eastAsia="Times New Roman"/>
                <w:sz w:val="24"/>
                <w:szCs w:val="28"/>
                <w:lang w:eastAsia="lv-LV"/>
              </w:rPr>
              <w:lastRenderedPageBreak/>
              <w:t xml:space="preserve">pārsniedz šā likuma 6.pantā noteikto slieksni un mainās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likme, informējot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maksātāju par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piemaksu, un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maksātājs līdz ceturksnim sekojošā mēneša 23.datumam iemaksā trūkstošo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nodokli vienotajā nodokļu kontā; </w:t>
            </w:r>
          </w:p>
          <w:p w14:paraId="3C14B868" w14:textId="71208B84" w:rsidR="00F57C0A" w:rsidRPr="0060625D" w:rsidRDefault="0060625D" w:rsidP="00B12CBF">
            <w:pPr>
              <w:tabs>
                <w:tab w:val="left" w:pos="2127"/>
                <w:tab w:val="left" w:pos="6096"/>
              </w:tabs>
              <w:ind w:firstLine="322"/>
              <w:jc w:val="both"/>
              <w:rPr>
                <w:rFonts w:eastAsia="Times New Roman"/>
                <w:color w:val="000000"/>
                <w:sz w:val="24"/>
                <w:szCs w:val="28"/>
                <w:lang w:eastAsia="lv-LV"/>
              </w:rPr>
            </w:pPr>
            <w:r w:rsidRPr="0060625D">
              <w:rPr>
                <w:rFonts w:eastAsia="Times New Roman"/>
                <w:sz w:val="24"/>
                <w:szCs w:val="28"/>
                <w:lang w:eastAsia="lv-LV"/>
              </w:rPr>
              <w:t xml:space="preserve">2) Valsts ieņēmumu dienests reizi ceturksnī vai pēc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maksātāja iesnieguma saņemšanas veic pārrēķinu, ja iesniegta šā likuma 7.panta otrajā daļā noteiktā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ceturkšņa deklarācija vai precizētā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ceturkšņa deklarācija, un informē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maksātāju par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pārmaksu. Valsts ieņēmumu dienests, pamatojoties uz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maksātāja iesniegumu, saskaņā ar likumā “Par nodokļiem un nodevām” noteikto veic pārmaksātā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atmaksu uz </w:t>
            </w:r>
            <w:proofErr w:type="spellStart"/>
            <w:r w:rsidRPr="0060625D">
              <w:rPr>
                <w:rFonts w:eastAsia="Times New Roman"/>
                <w:sz w:val="24"/>
                <w:szCs w:val="28"/>
                <w:lang w:eastAsia="lv-LV"/>
              </w:rPr>
              <w:t>mikrouzņēmumu</w:t>
            </w:r>
            <w:proofErr w:type="spellEnd"/>
            <w:r w:rsidRPr="0060625D">
              <w:rPr>
                <w:rFonts w:eastAsia="Times New Roman"/>
                <w:sz w:val="24"/>
                <w:szCs w:val="28"/>
                <w:lang w:eastAsia="lv-LV"/>
              </w:rPr>
              <w:t xml:space="preserve"> nodokļa </w:t>
            </w:r>
            <w:r w:rsidRPr="0060625D">
              <w:rPr>
                <w:rFonts w:eastAsia="Times New Roman"/>
                <w:sz w:val="24"/>
                <w:szCs w:val="28"/>
                <w:lang w:eastAsia="lv-LV"/>
              </w:rPr>
              <w:lastRenderedPageBreak/>
              <w:t>maksātāja maksājumu kontu, kas nav saimnieciskās darbības ieņēmumu konts.</w:t>
            </w:r>
          </w:p>
        </w:tc>
        <w:tc>
          <w:tcPr>
            <w:tcW w:w="3969" w:type="dxa"/>
            <w:tcBorders>
              <w:left w:val="single" w:sz="4" w:space="0" w:color="auto"/>
              <w:right w:val="single" w:sz="4" w:space="0" w:color="auto"/>
            </w:tcBorders>
          </w:tcPr>
          <w:p w14:paraId="16DBCDDF" w14:textId="77777777" w:rsidR="00F57C0A" w:rsidRPr="0060625D" w:rsidRDefault="00F57C0A" w:rsidP="00F57C0A">
            <w:pPr>
              <w:pStyle w:val="BodyText"/>
              <w:spacing w:after="0"/>
              <w:jc w:val="center"/>
              <w:rPr>
                <w:b/>
              </w:rPr>
            </w:pPr>
            <w:r w:rsidRPr="0060625D">
              <w:rPr>
                <w:b/>
              </w:rPr>
              <w:lastRenderedPageBreak/>
              <w:t>Tieslietu ministrija</w:t>
            </w:r>
          </w:p>
          <w:p w14:paraId="7BA3F316" w14:textId="77777777" w:rsidR="0060625D" w:rsidRPr="0060625D" w:rsidRDefault="0060625D" w:rsidP="0060625D">
            <w:pPr>
              <w:widowControl w:val="0"/>
              <w:jc w:val="both"/>
              <w:rPr>
                <w:rFonts w:eastAsia="Times New Roman"/>
                <w:color w:val="000000"/>
                <w:sz w:val="24"/>
                <w:szCs w:val="24"/>
                <w:lang w:eastAsia="lv-LV"/>
              </w:rPr>
            </w:pPr>
            <w:r w:rsidRPr="0060625D">
              <w:rPr>
                <w:sz w:val="24"/>
                <w:szCs w:val="24"/>
              </w:rPr>
              <w:t>Projekta 2. pantā izteiktajā Likuma 7.</w:t>
            </w:r>
            <w:r w:rsidRPr="0060625D">
              <w:rPr>
                <w:sz w:val="24"/>
                <w:szCs w:val="24"/>
                <w:vertAlign w:val="superscript"/>
              </w:rPr>
              <w:t xml:space="preserve">1 </w:t>
            </w:r>
            <w:r w:rsidRPr="0060625D">
              <w:rPr>
                <w:sz w:val="24"/>
                <w:szCs w:val="24"/>
              </w:rPr>
              <w:t>panta septītajā daļā paredzēts nosacījums: “</w:t>
            </w:r>
            <w:r w:rsidRPr="0060625D">
              <w:rPr>
                <w:rFonts w:eastAsia="Times New Roman"/>
                <w:color w:val="000000"/>
                <w:sz w:val="24"/>
                <w:szCs w:val="24"/>
                <w:lang w:eastAsia="lv-LV"/>
              </w:rPr>
              <w:t xml:space="preserve">vai </w:t>
            </w:r>
            <w:proofErr w:type="spellStart"/>
            <w:r w:rsidRPr="0060625D">
              <w:rPr>
                <w:rFonts w:eastAsia="Times New Roman"/>
                <w:color w:val="000000"/>
                <w:sz w:val="24"/>
                <w:szCs w:val="24"/>
                <w:lang w:eastAsia="lv-LV"/>
              </w:rPr>
              <w:t>mikrouzņēmumu</w:t>
            </w:r>
            <w:proofErr w:type="spellEnd"/>
            <w:r w:rsidRPr="0060625D">
              <w:rPr>
                <w:rFonts w:eastAsia="Times New Roman"/>
                <w:color w:val="000000"/>
                <w:sz w:val="24"/>
                <w:szCs w:val="24"/>
                <w:lang w:eastAsia="lv-LV"/>
              </w:rPr>
              <w:t xml:space="preserve"> nodokļa maksātājs saskaņā ar šā likuma 7. panta piekto un sesto daļu iesniedz precizētu taksācijas perioda </w:t>
            </w:r>
            <w:proofErr w:type="spellStart"/>
            <w:r w:rsidRPr="0060625D">
              <w:rPr>
                <w:rFonts w:eastAsia="Times New Roman"/>
                <w:color w:val="000000"/>
                <w:sz w:val="24"/>
                <w:szCs w:val="24"/>
                <w:lang w:eastAsia="lv-LV"/>
              </w:rPr>
              <w:t>mikrouzņēmumu</w:t>
            </w:r>
            <w:proofErr w:type="spellEnd"/>
            <w:r w:rsidRPr="0060625D">
              <w:rPr>
                <w:rFonts w:eastAsia="Times New Roman"/>
                <w:color w:val="000000"/>
                <w:sz w:val="24"/>
                <w:szCs w:val="24"/>
                <w:lang w:eastAsia="lv-LV"/>
              </w:rPr>
              <w:t xml:space="preserve"> nodokļa ceturkšņa deklarāciju pēc tam, kad kredītiestāde uz Valsts ieņēmumu dienesta sniegtās informācijas pamata ir ieskaitījusi vienotajā nodokļu kontā </w:t>
            </w:r>
            <w:proofErr w:type="spellStart"/>
            <w:r w:rsidRPr="0060625D">
              <w:rPr>
                <w:rFonts w:eastAsia="Times New Roman"/>
                <w:color w:val="000000"/>
                <w:sz w:val="24"/>
                <w:szCs w:val="24"/>
                <w:lang w:eastAsia="lv-LV"/>
              </w:rPr>
              <w:t>mikrouzņēmumu</w:t>
            </w:r>
            <w:proofErr w:type="spellEnd"/>
            <w:r w:rsidRPr="0060625D">
              <w:rPr>
                <w:rFonts w:eastAsia="Times New Roman"/>
                <w:color w:val="000000"/>
                <w:sz w:val="24"/>
                <w:szCs w:val="24"/>
                <w:lang w:eastAsia="lv-LV"/>
              </w:rPr>
              <w:t xml:space="preserve"> nodokli”. </w:t>
            </w:r>
          </w:p>
          <w:p w14:paraId="5BB18388" w14:textId="77777777" w:rsidR="0060625D" w:rsidRPr="0060625D" w:rsidRDefault="0060625D" w:rsidP="0060625D">
            <w:pPr>
              <w:widowControl w:val="0"/>
              <w:jc w:val="both"/>
              <w:rPr>
                <w:sz w:val="24"/>
                <w:szCs w:val="24"/>
              </w:rPr>
            </w:pPr>
            <w:r w:rsidRPr="0060625D">
              <w:rPr>
                <w:rFonts w:eastAsia="Times New Roman"/>
                <w:color w:val="000000"/>
                <w:sz w:val="24"/>
                <w:szCs w:val="24"/>
                <w:lang w:eastAsia="lv-LV"/>
              </w:rPr>
              <w:t xml:space="preserve">Tā kā saskaņā ar šajā pantā paredzēto </w:t>
            </w:r>
            <w:r w:rsidRPr="0060625D">
              <w:rPr>
                <w:sz w:val="24"/>
                <w:szCs w:val="24"/>
              </w:rPr>
              <w:t>Likuma 7.</w:t>
            </w:r>
            <w:r w:rsidRPr="0060625D">
              <w:rPr>
                <w:sz w:val="24"/>
                <w:szCs w:val="24"/>
                <w:vertAlign w:val="superscript"/>
              </w:rPr>
              <w:t xml:space="preserve">1 </w:t>
            </w:r>
            <w:r w:rsidRPr="0060625D">
              <w:rPr>
                <w:sz w:val="24"/>
                <w:szCs w:val="24"/>
              </w:rPr>
              <w:t xml:space="preserve">panta pirmo daļu </w:t>
            </w:r>
            <w:r w:rsidRPr="0060625D">
              <w:rPr>
                <w:rFonts w:eastAsia="Times New Roman"/>
                <w:bCs/>
                <w:sz w:val="24"/>
                <w:szCs w:val="24"/>
                <w:lang w:eastAsia="lv-LV"/>
              </w:rPr>
              <w:t xml:space="preserve">vienkāršotas nodokļa nomaksas risinājuma gadījumā ir tiesības nesniegt Likuma 7. pantā minēto </w:t>
            </w:r>
            <w:proofErr w:type="spellStart"/>
            <w:r w:rsidRPr="0060625D">
              <w:rPr>
                <w:rFonts w:eastAsia="Times New Roman"/>
                <w:bCs/>
                <w:sz w:val="24"/>
                <w:szCs w:val="24"/>
                <w:lang w:eastAsia="lv-LV"/>
              </w:rPr>
              <w:t>mikrouzņēmumu</w:t>
            </w:r>
            <w:proofErr w:type="spellEnd"/>
            <w:r w:rsidRPr="0060625D">
              <w:rPr>
                <w:rFonts w:eastAsia="Times New Roman"/>
                <w:bCs/>
                <w:sz w:val="24"/>
                <w:szCs w:val="24"/>
                <w:lang w:eastAsia="lv-LV"/>
              </w:rPr>
              <w:t xml:space="preserve"> nodokļa ceturkšņa deklarāciju un </w:t>
            </w:r>
            <w:proofErr w:type="spellStart"/>
            <w:r w:rsidRPr="0060625D">
              <w:rPr>
                <w:rFonts w:eastAsia="Times New Roman"/>
                <w:bCs/>
                <w:sz w:val="24"/>
                <w:szCs w:val="24"/>
                <w:lang w:eastAsia="lv-LV"/>
              </w:rPr>
              <w:t>mikrouzņēmumu</w:t>
            </w:r>
            <w:proofErr w:type="spellEnd"/>
            <w:r w:rsidRPr="0060625D">
              <w:rPr>
                <w:rFonts w:eastAsia="Times New Roman"/>
                <w:bCs/>
                <w:sz w:val="24"/>
                <w:szCs w:val="24"/>
                <w:lang w:eastAsia="lv-LV"/>
              </w:rPr>
              <w:t xml:space="preserve"> nodokļa samaksai nepiemērot šā likuma 7. pantā noteikto kārtību, nav saprotams, kā </w:t>
            </w:r>
            <w:r w:rsidRPr="0060625D">
              <w:rPr>
                <w:sz w:val="24"/>
                <w:szCs w:val="24"/>
              </w:rPr>
              <w:t>šis nosacījums, kā arī projektā izteiktais Likuma 7.</w:t>
            </w:r>
            <w:r w:rsidRPr="0060625D">
              <w:rPr>
                <w:sz w:val="24"/>
                <w:szCs w:val="24"/>
                <w:vertAlign w:val="superscript"/>
              </w:rPr>
              <w:t xml:space="preserve">1 </w:t>
            </w:r>
            <w:r w:rsidRPr="0060625D">
              <w:rPr>
                <w:sz w:val="24"/>
                <w:szCs w:val="24"/>
              </w:rPr>
              <w:t xml:space="preserve">panta septītās daļas 2. punkts attiecināms uz </w:t>
            </w:r>
            <w:r w:rsidRPr="0060625D">
              <w:rPr>
                <w:rFonts w:eastAsia="Times New Roman"/>
                <w:sz w:val="24"/>
                <w:szCs w:val="24"/>
                <w:lang w:eastAsia="lv-LV"/>
              </w:rPr>
              <w:t xml:space="preserve">vienkāršoto </w:t>
            </w:r>
            <w:proofErr w:type="spellStart"/>
            <w:r w:rsidRPr="0060625D">
              <w:rPr>
                <w:rFonts w:eastAsia="Times New Roman"/>
                <w:sz w:val="24"/>
                <w:szCs w:val="24"/>
                <w:lang w:eastAsia="lv-LV"/>
              </w:rPr>
              <w:t>mikrouzņēmumu</w:t>
            </w:r>
            <w:proofErr w:type="spellEnd"/>
            <w:r w:rsidRPr="0060625D">
              <w:rPr>
                <w:rFonts w:eastAsia="Times New Roman"/>
                <w:sz w:val="24"/>
                <w:szCs w:val="24"/>
                <w:lang w:eastAsia="lv-LV"/>
              </w:rPr>
              <w:t xml:space="preserve"> nodokļa aprēķināšanas un maksāšanas kārtību. Ievērojot minēto, lūdzam pārskatīt norādīto nosacījumu un </w:t>
            </w:r>
            <w:r w:rsidRPr="0060625D">
              <w:rPr>
                <w:rFonts w:eastAsia="Times New Roman"/>
                <w:sz w:val="24"/>
                <w:szCs w:val="24"/>
                <w:lang w:eastAsia="lv-LV"/>
              </w:rPr>
              <w:lastRenderedPageBreak/>
              <w:t xml:space="preserve">nepieciešamības gadījumā precizēt </w:t>
            </w:r>
            <w:r w:rsidRPr="0060625D">
              <w:rPr>
                <w:sz w:val="24"/>
                <w:szCs w:val="24"/>
              </w:rPr>
              <w:t>projekta 2. pantā izteikto Likuma 7.</w:t>
            </w:r>
            <w:r w:rsidRPr="0060625D">
              <w:rPr>
                <w:sz w:val="24"/>
                <w:szCs w:val="24"/>
                <w:vertAlign w:val="superscript"/>
              </w:rPr>
              <w:t xml:space="preserve">1 </w:t>
            </w:r>
            <w:r w:rsidRPr="0060625D">
              <w:rPr>
                <w:sz w:val="24"/>
                <w:szCs w:val="24"/>
              </w:rPr>
              <w:t xml:space="preserve">panta septīto daļu, šo regulējumu izsakot kā jaunu normu, kas neattiecas uz </w:t>
            </w:r>
            <w:r w:rsidRPr="0060625D">
              <w:rPr>
                <w:rFonts w:eastAsia="Times New Roman"/>
                <w:sz w:val="24"/>
                <w:szCs w:val="24"/>
                <w:lang w:eastAsia="lv-LV"/>
              </w:rPr>
              <w:t xml:space="preserve">vienkāršoto </w:t>
            </w:r>
            <w:proofErr w:type="spellStart"/>
            <w:r w:rsidRPr="0060625D">
              <w:rPr>
                <w:rFonts w:eastAsia="Times New Roman"/>
                <w:sz w:val="24"/>
                <w:szCs w:val="24"/>
                <w:lang w:eastAsia="lv-LV"/>
              </w:rPr>
              <w:t>mikrouzņēmumu</w:t>
            </w:r>
            <w:proofErr w:type="spellEnd"/>
            <w:r w:rsidRPr="0060625D">
              <w:rPr>
                <w:rFonts w:eastAsia="Times New Roman"/>
                <w:sz w:val="24"/>
                <w:szCs w:val="24"/>
                <w:lang w:eastAsia="lv-LV"/>
              </w:rPr>
              <w:t xml:space="preserve"> nodokļa aprēķināšanas un maksāšanas kārtību.</w:t>
            </w:r>
          </w:p>
          <w:p w14:paraId="01F3460D" w14:textId="77777777" w:rsidR="00F57C0A" w:rsidRPr="0060625D" w:rsidRDefault="00F57C0A" w:rsidP="0060625D">
            <w:pPr>
              <w:pStyle w:val="BodyText"/>
              <w:spacing w:after="0"/>
            </w:pPr>
          </w:p>
        </w:tc>
        <w:tc>
          <w:tcPr>
            <w:tcW w:w="2977" w:type="dxa"/>
            <w:tcBorders>
              <w:top w:val="single" w:sz="4" w:space="0" w:color="auto"/>
              <w:left w:val="single" w:sz="4" w:space="0" w:color="auto"/>
              <w:bottom w:val="single" w:sz="4" w:space="0" w:color="auto"/>
              <w:right w:val="single" w:sz="4" w:space="0" w:color="auto"/>
            </w:tcBorders>
          </w:tcPr>
          <w:p w14:paraId="71484D6E" w14:textId="4AFAE618" w:rsidR="0060625D" w:rsidRDefault="0060625D" w:rsidP="0060625D">
            <w:pPr>
              <w:jc w:val="center"/>
              <w:rPr>
                <w:b/>
                <w:sz w:val="24"/>
                <w:szCs w:val="24"/>
              </w:rPr>
            </w:pPr>
            <w:r w:rsidRPr="0060625D">
              <w:rPr>
                <w:b/>
                <w:sz w:val="24"/>
                <w:szCs w:val="24"/>
              </w:rPr>
              <w:lastRenderedPageBreak/>
              <w:t>Ņemts vērā</w:t>
            </w:r>
          </w:p>
          <w:p w14:paraId="165A1205" w14:textId="44BB8EFC" w:rsidR="0060625D" w:rsidRPr="0060625D" w:rsidRDefault="0060625D" w:rsidP="0060625D">
            <w:pPr>
              <w:jc w:val="both"/>
              <w:rPr>
                <w:sz w:val="24"/>
                <w:szCs w:val="24"/>
              </w:rPr>
            </w:pPr>
            <w:r>
              <w:rPr>
                <w:sz w:val="24"/>
                <w:szCs w:val="24"/>
              </w:rPr>
              <w:t xml:space="preserve">Finanšu ministrija ir pārskatījusi likumprojekta 2.pantā ietverto </w:t>
            </w:r>
            <w:proofErr w:type="spellStart"/>
            <w:r>
              <w:rPr>
                <w:sz w:val="24"/>
                <w:szCs w:val="24"/>
              </w:rPr>
              <w:t>Mikrouzņēmumu</w:t>
            </w:r>
            <w:proofErr w:type="spellEnd"/>
            <w:r>
              <w:rPr>
                <w:sz w:val="24"/>
                <w:szCs w:val="24"/>
              </w:rPr>
              <w:t xml:space="preserve"> nodokļa likuma </w:t>
            </w:r>
            <w:r w:rsidRPr="0060625D">
              <w:rPr>
                <w:sz w:val="24"/>
                <w:szCs w:val="24"/>
              </w:rPr>
              <w:t>7.</w:t>
            </w:r>
            <w:r w:rsidRPr="0060625D">
              <w:rPr>
                <w:sz w:val="24"/>
                <w:szCs w:val="24"/>
                <w:vertAlign w:val="superscript"/>
              </w:rPr>
              <w:t xml:space="preserve">1 </w:t>
            </w:r>
            <w:r w:rsidRPr="0060625D">
              <w:rPr>
                <w:sz w:val="24"/>
                <w:szCs w:val="24"/>
              </w:rPr>
              <w:t>panta septītajā daļā paredzēt</w:t>
            </w:r>
            <w:r>
              <w:rPr>
                <w:sz w:val="24"/>
                <w:szCs w:val="24"/>
              </w:rPr>
              <w:t>o</w:t>
            </w:r>
            <w:r w:rsidRPr="0060625D">
              <w:rPr>
                <w:sz w:val="24"/>
                <w:szCs w:val="24"/>
              </w:rPr>
              <w:t xml:space="preserve"> nosacījum</w:t>
            </w:r>
            <w:r>
              <w:rPr>
                <w:sz w:val="24"/>
                <w:szCs w:val="24"/>
              </w:rPr>
              <w:t xml:space="preserve">u par precizētās </w:t>
            </w:r>
            <w:proofErr w:type="spellStart"/>
            <w:r>
              <w:rPr>
                <w:sz w:val="24"/>
                <w:szCs w:val="24"/>
              </w:rPr>
              <w:t>mikrouzņēmumu</w:t>
            </w:r>
            <w:proofErr w:type="spellEnd"/>
            <w:r>
              <w:rPr>
                <w:sz w:val="24"/>
                <w:szCs w:val="24"/>
              </w:rPr>
              <w:t xml:space="preserve"> n</w:t>
            </w:r>
            <w:r w:rsidR="00626624">
              <w:rPr>
                <w:sz w:val="24"/>
                <w:szCs w:val="24"/>
              </w:rPr>
              <w:t xml:space="preserve">odokļa deklarācijas iesniegšanu, precizējusi un </w:t>
            </w:r>
            <w:r>
              <w:rPr>
                <w:sz w:val="24"/>
                <w:szCs w:val="24"/>
              </w:rPr>
              <w:t>papildinājusi likumprojekta sākotnējās ietekmes novērtējuma ziņojuma (anotācijas) I. sadaļas 2.punktu</w:t>
            </w:r>
            <w:r w:rsidR="00626624">
              <w:rPr>
                <w:sz w:val="24"/>
                <w:szCs w:val="24"/>
              </w:rPr>
              <w:t>.</w:t>
            </w:r>
          </w:p>
          <w:p w14:paraId="6CD31326" w14:textId="1923A060" w:rsidR="00F57C0A" w:rsidRPr="00F57C0A" w:rsidRDefault="00F57C0A" w:rsidP="00F57C0A">
            <w:pPr>
              <w:jc w:val="center"/>
              <w:rPr>
                <w:b/>
                <w:sz w:val="24"/>
                <w:szCs w:val="24"/>
                <w:highlight w:val="yellow"/>
              </w:rPr>
            </w:pPr>
          </w:p>
        </w:tc>
        <w:tc>
          <w:tcPr>
            <w:tcW w:w="4394" w:type="dxa"/>
            <w:tcBorders>
              <w:left w:val="single" w:sz="4" w:space="0" w:color="auto"/>
            </w:tcBorders>
          </w:tcPr>
          <w:p w14:paraId="1E0C7DC0" w14:textId="77777777" w:rsidR="0060625D" w:rsidRPr="0060625D" w:rsidRDefault="0060625D" w:rsidP="004659E6">
            <w:pPr>
              <w:tabs>
                <w:tab w:val="left" w:pos="6096"/>
              </w:tabs>
              <w:jc w:val="both"/>
              <w:rPr>
                <w:rFonts w:eastAsia="Times New Roman"/>
                <w:color w:val="000000"/>
                <w:sz w:val="24"/>
                <w:szCs w:val="28"/>
                <w:lang w:eastAsia="lv-LV"/>
              </w:rPr>
            </w:pPr>
            <w:r w:rsidRPr="0060625D">
              <w:rPr>
                <w:rFonts w:eastAsia="Times New Roman"/>
                <w:color w:val="000000"/>
                <w:sz w:val="24"/>
                <w:szCs w:val="28"/>
                <w:lang w:eastAsia="lv-LV"/>
              </w:rPr>
              <w:t xml:space="preserve">(7) Ja vienkāršotā nodokļa nomaksas risinājuma izmantošanas uzsākšanas datums ir noteikts, ievērojot šā panta trešās daļas 2.punktā noteikto, un saskaņā ar šā panta sesto daļu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maksātāja saimnieciskās darbības ieņēmumiem piemērojamā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likme ir 40 procenti vai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maksātājs saskaņā ar šā likuma 7.panta piekto un sesto daļu iesniedz precizētu taksācijas perioda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ceturkšņa deklarāciju pēc tam, kad kredītiestāde uz Valsts ieņēmumu dienesta sniegtās informācijas pamata ir ieskaitījusi vienotajā nodokļu kontā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nodokli:</w:t>
            </w:r>
          </w:p>
          <w:p w14:paraId="604101EB" w14:textId="493ED5B9" w:rsidR="0060625D" w:rsidRPr="0060625D" w:rsidRDefault="0060625D" w:rsidP="00B12CBF">
            <w:pPr>
              <w:tabs>
                <w:tab w:val="left" w:pos="6096"/>
              </w:tabs>
              <w:ind w:firstLine="176"/>
              <w:jc w:val="both"/>
              <w:rPr>
                <w:rFonts w:eastAsia="Times New Roman"/>
                <w:color w:val="000000"/>
                <w:sz w:val="24"/>
                <w:szCs w:val="28"/>
                <w:lang w:eastAsia="lv-LV"/>
              </w:rPr>
            </w:pPr>
            <w:r w:rsidRPr="0060625D">
              <w:rPr>
                <w:rFonts w:eastAsia="Times New Roman"/>
                <w:color w:val="000000"/>
                <w:sz w:val="24"/>
                <w:szCs w:val="28"/>
                <w:lang w:eastAsia="lv-LV"/>
              </w:rPr>
              <w:t>1) Valsts ieņēmumu dienests</w:t>
            </w:r>
            <w:r w:rsidR="00D913EE" w:rsidRPr="0060625D">
              <w:rPr>
                <w:rFonts w:eastAsia="Times New Roman"/>
                <w:color w:val="000000"/>
                <w:sz w:val="24"/>
                <w:szCs w:val="28"/>
                <w:lang w:eastAsia="lv-LV"/>
              </w:rPr>
              <w:t xml:space="preserve">, ja iesniegta precizētā </w:t>
            </w:r>
            <w:proofErr w:type="spellStart"/>
            <w:r w:rsidR="00D913EE" w:rsidRPr="0060625D">
              <w:rPr>
                <w:rFonts w:eastAsia="Times New Roman"/>
                <w:color w:val="000000"/>
                <w:sz w:val="24"/>
                <w:szCs w:val="28"/>
                <w:lang w:eastAsia="lv-LV"/>
              </w:rPr>
              <w:t>mikrouzņēmumu</w:t>
            </w:r>
            <w:proofErr w:type="spellEnd"/>
            <w:r w:rsidR="00D913EE" w:rsidRPr="0060625D">
              <w:rPr>
                <w:rFonts w:eastAsia="Times New Roman"/>
                <w:color w:val="000000"/>
                <w:sz w:val="24"/>
                <w:szCs w:val="28"/>
                <w:lang w:eastAsia="lv-LV"/>
              </w:rPr>
              <w:t xml:space="preserve"> nodokļa ceturkšņa deklarācija,</w:t>
            </w:r>
            <w:r w:rsidRPr="0060625D">
              <w:rPr>
                <w:rFonts w:eastAsia="Times New Roman"/>
                <w:color w:val="000000"/>
                <w:sz w:val="24"/>
                <w:szCs w:val="28"/>
                <w:lang w:eastAsia="lv-LV"/>
              </w:rPr>
              <w:t xml:space="preserve"> veic pārrēķinu par tiem taksācijas perioda ceturkšņiem, kad </w:t>
            </w:r>
            <w:proofErr w:type="spellStart"/>
            <w:r w:rsidRPr="0060625D">
              <w:rPr>
                <w:rFonts w:eastAsia="Times New Roman"/>
                <w:color w:val="000000"/>
                <w:sz w:val="24"/>
                <w:szCs w:val="28"/>
                <w:lang w:eastAsia="lv-LV"/>
              </w:rPr>
              <w:t>mikrouzņēmuma</w:t>
            </w:r>
            <w:proofErr w:type="spellEnd"/>
            <w:r w:rsidRPr="0060625D">
              <w:rPr>
                <w:rFonts w:eastAsia="Times New Roman"/>
                <w:color w:val="000000"/>
                <w:sz w:val="24"/>
                <w:szCs w:val="28"/>
                <w:lang w:eastAsia="lv-LV"/>
              </w:rPr>
              <w:t xml:space="preserve"> apgrozījums pārsniedz šā likuma 6.pantā noteikto slieksni un mainās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likme, informējot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maksātāju par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piemaksu, un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maksātājs līdz ceturksnim sekojošā mēneša 23.datumam </w:t>
            </w:r>
            <w:r w:rsidRPr="0060625D">
              <w:rPr>
                <w:rFonts w:eastAsia="Times New Roman"/>
                <w:color w:val="000000"/>
                <w:sz w:val="24"/>
                <w:szCs w:val="28"/>
                <w:lang w:eastAsia="lv-LV"/>
              </w:rPr>
              <w:lastRenderedPageBreak/>
              <w:t xml:space="preserve">iemaksā trūkstošo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nodokli vienotajā nodokļu kontā; </w:t>
            </w:r>
          </w:p>
          <w:p w14:paraId="38F3860A" w14:textId="77777777" w:rsidR="0060625D" w:rsidRPr="0060625D" w:rsidRDefault="0060625D" w:rsidP="00B12CBF">
            <w:pPr>
              <w:tabs>
                <w:tab w:val="left" w:pos="6096"/>
              </w:tabs>
              <w:ind w:firstLine="176"/>
              <w:jc w:val="both"/>
              <w:rPr>
                <w:rFonts w:eastAsia="Times New Roman"/>
                <w:color w:val="000000"/>
                <w:sz w:val="24"/>
                <w:szCs w:val="28"/>
                <w:lang w:eastAsia="lv-LV"/>
              </w:rPr>
            </w:pPr>
            <w:r w:rsidRPr="0060625D">
              <w:rPr>
                <w:rFonts w:eastAsia="Times New Roman"/>
                <w:color w:val="000000"/>
                <w:sz w:val="24"/>
                <w:szCs w:val="28"/>
                <w:lang w:eastAsia="lv-LV"/>
              </w:rPr>
              <w:t xml:space="preserve">2) Valsts ieņēmumu dienests reizi ceturksnī vai pēc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maksātāja iesnieguma saņemšanas veic pārrēķinu, ja iesniegta šā likuma 7.panta otrajā daļā noteiktā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ceturkšņa deklarācija vai precizētā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ceturkšņa deklarācija, un informē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maksātāju par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pārmaksu. Valsts ieņēmumu dienests, pamatojoties uz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maksātāja iesniegumu, saskaņā ar likumā “Par nodokļiem un nodevām” noteikto veic pārmaksātā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atmaksu uz </w:t>
            </w:r>
            <w:proofErr w:type="spellStart"/>
            <w:r w:rsidRPr="0060625D">
              <w:rPr>
                <w:rFonts w:eastAsia="Times New Roman"/>
                <w:color w:val="000000"/>
                <w:sz w:val="24"/>
                <w:szCs w:val="28"/>
                <w:lang w:eastAsia="lv-LV"/>
              </w:rPr>
              <w:t>mikrouzņēmumu</w:t>
            </w:r>
            <w:proofErr w:type="spellEnd"/>
            <w:r w:rsidRPr="0060625D">
              <w:rPr>
                <w:rFonts w:eastAsia="Times New Roman"/>
                <w:color w:val="000000"/>
                <w:sz w:val="24"/>
                <w:szCs w:val="28"/>
                <w:lang w:eastAsia="lv-LV"/>
              </w:rPr>
              <w:t xml:space="preserve"> nodokļa maksātāja maksājumu kontu, kas nav saimnieciskās darbības ieņēmumu konts.</w:t>
            </w:r>
          </w:p>
          <w:p w14:paraId="112880FB" w14:textId="77777777" w:rsidR="00F57C0A" w:rsidRDefault="00F57C0A" w:rsidP="00673A8A">
            <w:pPr>
              <w:tabs>
                <w:tab w:val="left" w:pos="496"/>
              </w:tabs>
              <w:spacing w:after="120"/>
              <w:jc w:val="both"/>
              <w:rPr>
                <w:rFonts w:eastAsia="Times New Roman"/>
                <w:bCs/>
                <w:iCs/>
                <w:sz w:val="24"/>
                <w:szCs w:val="24"/>
                <w:lang w:eastAsia="lv-LV"/>
              </w:rPr>
            </w:pPr>
          </w:p>
          <w:p w14:paraId="1E908DCC" w14:textId="74F983E0" w:rsidR="00C03E27" w:rsidRPr="00635073" w:rsidRDefault="00C03E27" w:rsidP="00C03E27">
            <w:pPr>
              <w:tabs>
                <w:tab w:val="left" w:pos="496"/>
              </w:tabs>
              <w:spacing w:after="120"/>
              <w:ind w:firstLine="317"/>
              <w:jc w:val="both"/>
              <w:rPr>
                <w:rFonts w:eastAsia="Times New Roman"/>
                <w:bCs/>
                <w:i/>
                <w:iCs/>
                <w:sz w:val="24"/>
                <w:szCs w:val="24"/>
                <w:lang w:eastAsia="lv-LV"/>
              </w:rPr>
            </w:pPr>
            <w:r w:rsidRPr="00635073">
              <w:rPr>
                <w:rFonts w:eastAsia="Times New Roman"/>
                <w:bCs/>
                <w:i/>
                <w:iCs/>
                <w:sz w:val="24"/>
                <w:szCs w:val="24"/>
                <w:lang w:eastAsia="lv-LV"/>
              </w:rPr>
              <w:t>Papildināts l</w:t>
            </w:r>
            <w:r w:rsidR="00B12CBF" w:rsidRPr="00635073">
              <w:rPr>
                <w:rFonts w:eastAsia="Times New Roman"/>
                <w:bCs/>
                <w:i/>
                <w:iCs/>
                <w:sz w:val="24"/>
                <w:szCs w:val="24"/>
                <w:lang w:eastAsia="lv-LV"/>
              </w:rPr>
              <w:t xml:space="preserve">ikumprojekta sākotnējās ietekmes novērtējuma ziņojuma </w:t>
            </w:r>
            <w:r w:rsidR="001243FC" w:rsidRPr="00635073">
              <w:rPr>
                <w:rFonts w:eastAsia="Times New Roman"/>
                <w:bCs/>
                <w:i/>
                <w:iCs/>
                <w:sz w:val="24"/>
                <w:szCs w:val="24"/>
                <w:lang w:eastAsia="lv-LV"/>
              </w:rPr>
              <w:t xml:space="preserve">(anotācijas) </w:t>
            </w:r>
            <w:r w:rsidR="00B12CBF" w:rsidRPr="00635073">
              <w:rPr>
                <w:rFonts w:eastAsia="Times New Roman"/>
                <w:bCs/>
                <w:i/>
                <w:iCs/>
                <w:sz w:val="24"/>
                <w:szCs w:val="24"/>
                <w:lang w:eastAsia="lv-LV"/>
              </w:rPr>
              <w:t>I. sadaļas 2.punkt</w:t>
            </w:r>
            <w:r w:rsidRPr="00635073">
              <w:rPr>
                <w:rFonts w:eastAsia="Times New Roman"/>
                <w:bCs/>
                <w:i/>
                <w:iCs/>
                <w:sz w:val="24"/>
                <w:szCs w:val="24"/>
                <w:lang w:eastAsia="lv-LV"/>
              </w:rPr>
              <w:t>s ar šādu informāciju:</w:t>
            </w:r>
          </w:p>
          <w:p w14:paraId="495A1672" w14:textId="77777777" w:rsidR="00C03E27" w:rsidRPr="00C03E27" w:rsidRDefault="00C03E27" w:rsidP="00C03E27">
            <w:pPr>
              <w:tabs>
                <w:tab w:val="left" w:pos="496"/>
              </w:tabs>
              <w:spacing w:after="120"/>
              <w:ind w:firstLine="317"/>
              <w:jc w:val="both"/>
              <w:rPr>
                <w:rFonts w:eastAsia="Times New Roman"/>
                <w:bCs/>
                <w:iCs/>
                <w:sz w:val="24"/>
                <w:szCs w:val="24"/>
                <w:lang w:eastAsia="lv-LV"/>
              </w:rPr>
            </w:pPr>
            <w:r>
              <w:rPr>
                <w:rFonts w:eastAsia="Times New Roman"/>
                <w:bCs/>
                <w:iCs/>
                <w:sz w:val="24"/>
                <w:szCs w:val="24"/>
                <w:lang w:eastAsia="lv-LV"/>
              </w:rPr>
              <w:t xml:space="preserve"> </w:t>
            </w:r>
            <w:r w:rsidR="00B12CBF">
              <w:rPr>
                <w:rFonts w:eastAsia="Times New Roman"/>
                <w:bCs/>
                <w:iCs/>
                <w:sz w:val="24"/>
                <w:szCs w:val="24"/>
                <w:lang w:eastAsia="lv-LV"/>
              </w:rPr>
              <w:t xml:space="preserve"> </w:t>
            </w:r>
            <w:r w:rsidRPr="00C03E27">
              <w:rPr>
                <w:rFonts w:eastAsia="Times New Roman"/>
                <w:bCs/>
                <w:iCs/>
                <w:sz w:val="24"/>
                <w:szCs w:val="24"/>
                <w:lang w:eastAsia="lv-LV"/>
              </w:rPr>
              <w:t xml:space="preserve">Ja MUN maksātājs, kas jau darbojas MUN režīmā, izvēlas uzsākt izmantot vienkāršoto nodokļa nomaksas risinājumu ar nākamā ceturkšņa 1.datumu, tad šim MUN maksātājam par tiem pārskata ceturkšņiem, līdz tiek uzsākts vienkāršotais nodokļa nomaksas risinājums, būs jāiesniedz taksācijas perioda MUN </w:t>
            </w:r>
            <w:r w:rsidRPr="00C03E27">
              <w:rPr>
                <w:rFonts w:eastAsia="Times New Roman"/>
                <w:bCs/>
                <w:iCs/>
                <w:sz w:val="24"/>
                <w:szCs w:val="24"/>
                <w:lang w:eastAsia="lv-LV"/>
              </w:rPr>
              <w:lastRenderedPageBreak/>
              <w:t xml:space="preserve">ceturkšņa deklarācija vispārējā, </w:t>
            </w:r>
            <w:proofErr w:type="spellStart"/>
            <w:r w:rsidRPr="00C03E27">
              <w:rPr>
                <w:rFonts w:eastAsia="Times New Roman"/>
                <w:bCs/>
                <w:iCs/>
                <w:sz w:val="24"/>
                <w:szCs w:val="24"/>
                <w:lang w:eastAsia="lv-LV"/>
              </w:rPr>
              <w:t>Mikrouzņēmumu</w:t>
            </w:r>
            <w:proofErr w:type="spellEnd"/>
            <w:r w:rsidRPr="00C03E27">
              <w:rPr>
                <w:rFonts w:eastAsia="Times New Roman"/>
                <w:bCs/>
                <w:iCs/>
                <w:sz w:val="24"/>
                <w:szCs w:val="24"/>
                <w:lang w:eastAsia="lv-LV"/>
              </w:rPr>
              <w:t xml:space="preserve"> nodokļa likumā noteiktajā, kārtībā. Piemēram, ja MUN maksātājs izvēlas uzsākt izmantot vienkāršoto nodokļa nomaksas risinājumu ar 4.ceturkšņa 1.datumu – 2021.gada 1.oktobri, tad MUN maksātājam par 2021.gada 3.ceturksni  būs jāiesniedz MUN deklarācija un jāmaksā MUN vispārējā, </w:t>
            </w:r>
            <w:proofErr w:type="spellStart"/>
            <w:r w:rsidRPr="00C03E27">
              <w:rPr>
                <w:rFonts w:eastAsia="Times New Roman"/>
                <w:bCs/>
                <w:iCs/>
                <w:sz w:val="24"/>
                <w:szCs w:val="24"/>
                <w:lang w:eastAsia="lv-LV"/>
              </w:rPr>
              <w:t>Mikrouzņēmumu</w:t>
            </w:r>
            <w:proofErr w:type="spellEnd"/>
            <w:r w:rsidRPr="00C03E27">
              <w:rPr>
                <w:rFonts w:eastAsia="Times New Roman"/>
                <w:bCs/>
                <w:iCs/>
                <w:sz w:val="24"/>
                <w:szCs w:val="24"/>
                <w:lang w:eastAsia="lv-LV"/>
              </w:rPr>
              <w:t xml:space="preserve"> nodokļa likumā noteiktajā, kārtībā, kā arī minētajam MUN maksātājam būs tiesības precizēt MUN deklarāciju vispārējā, </w:t>
            </w:r>
            <w:proofErr w:type="spellStart"/>
            <w:r w:rsidRPr="00C03E27">
              <w:rPr>
                <w:rFonts w:eastAsia="Times New Roman"/>
                <w:bCs/>
                <w:iCs/>
                <w:sz w:val="24"/>
                <w:szCs w:val="24"/>
                <w:lang w:eastAsia="lv-LV"/>
              </w:rPr>
              <w:t>Mikrouzņēmumu</w:t>
            </w:r>
            <w:proofErr w:type="spellEnd"/>
            <w:r w:rsidRPr="00C03E27">
              <w:rPr>
                <w:rFonts w:eastAsia="Times New Roman"/>
                <w:bCs/>
                <w:iCs/>
                <w:sz w:val="24"/>
                <w:szCs w:val="24"/>
                <w:lang w:eastAsia="lv-LV"/>
              </w:rPr>
              <w:t xml:space="preserve"> nodokļa likumā noteiktajā, kārtībā. </w:t>
            </w:r>
          </w:p>
          <w:p w14:paraId="6599403E" w14:textId="6FD57183" w:rsidR="00635073" w:rsidRPr="00635073" w:rsidRDefault="00635073" w:rsidP="00635073">
            <w:pPr>
              <w:tabs>
                <w:tab w:val="left" w:pos="496"/>
              </w:tabs>
              <w:spacing w:after="120"/>
              <w:ind w:firstLine="317"/>
              <w:jc w:val="both"/>
              <w:rPr>
                <w:rFonts w:eastAsia="Times New Roman"/>
                <w:bCs/>
                <w:i/>
                <w:iCs/>
                <w:sz w:val="24"/>
                <w:szCs w:val="24"/>
                <w:lang w:eastAsia="lv-LV"/>
              </w:rPr>
            </w:pPr>
            <w:r w:rsidRPr="00635073">
              <w:rPr>
                <w:rFonts w:eastAsia="Times New Roman"/>
                <w:bCs/>
                <w:i/>
                <w:iCs/>
                <w:sz w:val="24"/>
                <w:szCs w:val="24"/>
                <w:lang w:eastAsia="lv-LV"/>
              </w:rPr>
              <w:t>Savukārt likumprojekta sākotnējās ietekmes novērtējuma ziņojuma (anotācijas) I. sadaļas 2.punktā ietvertā informācija par šo normu precizēta šādi:</w:t>
            </w:r>
          </w:p>
          <w:p w14:paraId="1E458C44" w14:textId="77777777" w:rsidR="00635073" w:rsidRPr="00635073" w:rsidRDefault="00635073" w:rsidP="00635073">
            <w:pPr>
              <w:ind w:firstLine="317"/>
              <w:jc w:val="both"/>
              <w:rPr>
                <w:rFonts w:eastAsia="Times New Roman"/>
                <w:bCs/>
                <w:iCs/>
                <w:sz w:val="24"/>
                <w:szCs w:val="24"/>
                <w:lang w:eastAsia="lv-LV"/>
              </w:rPr>
            </w:pPr>
            <w:r w:rsidRPr="00635073">
              <w:rPr>
                <w:rFonts w:eastAsia="Times New Roman"/>
                <w:bCs/>
                <w:iCs/>
                <w:sz w:val="24"/>
                <w:szCs w:val="24"/>
                <w:lang w:eastAsia="lv-LV"/>
              </w:rPr>
              <w:t xml:space="preserve">Atbilstoši </w:t>
            </w:r>
            <w:proofErr w:type="spellStart"/>
            <w:r w:rsidRPr="00635073">
              <w:rPr>
                <w:rFonts w:eastAsia="Times New Roman"/>
                <w:bCs/>
                <w:iCs/>
                <w:sz w:val="24"/>
                <w:szCs w:val="24"/>
                <w:lang w:eastAsia="lv-LV"/>
              </w:rPr>
              <w:t>Mikrouzņēmumu</w:t>
            </w:r>
            <w:proofErr w:type="spellEnd"/>
            <w:r w:rsidRPr="00635073">
              <w:rPr>
                <w:rFonts w:eastAsia="Times New Roman"/>
                <w:bCs/>
                <w:iCs/>
                <w:sz w:val="24"/>
                <w:szCs w:val="24"/>
                <w:lang w:eastAsia="lv-LV"/>
              </w:rPr>
              <w:t xml:space="preserve"> nodokļa likuma 7.panta otrajā daļā noteiktajam, </w:t>
            </w:r>
            <w:proofErr w:type="spellStart"/>
            <w:r w:rsidRPr="00635073">
              <w:rPr>
                <w:rFonts w:eastAsia="Times New Roman"/>
                <w:bCs/>
                <w:iCs/>
                <w:sz w:val="24"/>
                <w:szCs w:val="24"/>
                <w:lang w:eastAsia="lv-LV"/>
              </w:rPr>
              <w:t>mikrouzņēmums</w:t>
            </w:r>
            <w:proofErr w:type="spellEnd"/>
            <w:r w:rsidRPr="00635073">
              <w:rPr>
                <w:rFonts w:eastAsia="Times New Roman"/>
                <w:bCs/>
                <w:iCs/>
                <w:sz w:val="24"/>
                <w:szCs w:val="24"/>
                <w:lang w:eastAsia="lv-LV"/>
              </w:rPr>
              <w:t xml:space="preserve"> iesniedz VID MUN ceturkšņa deklarāciju līdz ceturksnim sekojošā mēneša piecpadsmitajam datumam.</w:t>
            </w:r>
          </w:p>
          <w:p w14:paraId="6D22D528" w14:textId="77777777" w:rsidR="00635073" w:rsidRPr="00635073" w:rsidRDefault="00635073" w:rsidP="00635073">
            <w:pPr>
              <w:tabs>
                <w:tab w:val="left" w:pos="496"/>
              </w:tabs>
              <w:ind w:firstLine="317"/>
              <w:jc w:val="both"/>
              <w:rPr>
                <w:rFonts w:eastAsia="Times New Roman"/>
                <w:bCs/>
                <w:iCs/>
                <w:sz w:val="24"/>
                <w:szCs w:val="24"/>
                <w:lang w:eastAsia="lv-LV"/>
              </w:rPr>
            </w:pPr>
            <w:r w:rsidRPr="00635073">
              <w:rPr>
                <w:rFonts w:eastAsia="Times New Roman"/>
                <w:bCs/>
                <w:iCs/>
                <w:sz w:val="24"/>
                <w:szCs w:val="24"/>
                <w:lang w:eastAsia="lv-LV"/>
              </w:rPr>
              <w:t xml:space="preserve">Saskaņā ar </w:t>
            </w:r>
            <w:proofErr w:type="spellStart"/>
            <w:r w:rsidRPr="00635073">
              <w:rPr>
                <w:rFonts w:eastAsia="Times New Roman"/>
                <w:bCs/>
                <w:iCs/>
                <w:sz w:val="24"/>
                <w:szCs w:val="24"/>
                <w:lang w:eastAsia="lv-LV"/>
              </w:rPr>
              <w:t>Mikrouzņēmumu</w:t>
            </w:r>
            <w:proofErr w:type="spellEnd"/>
            <w:r w:rsidRPr="00635073">
              <w:rPr>
                <w:rFonts w:eastAsia="Times New Roman"/>
                <w:bCs/>
                <w:iCs/>
                <w:sz w:val="24"/>
                <w:szCs w:val="24"/>
                <w:lang w:eastAsia="lv-LV"/>
              </w:rPr>
              <w:t xml:space="preserve"> nodokļa likuma 7.panta piekto daļu </w:t>
            </w:r>
            <w:proofErr w:type="spellStart"/>
            <w:r w:rsidRPr="00635073">
              <w:rPr>
                <w:rFonts w:eastAsia="Times New Roman"/>
                <w:bCs/>
                <w:iCs/>
                <w:sz w:val="24"/>
                <w:szCs w:val="24"/>
                <w:lang w:eastAsia="lv-LV"/>
              </w:rPr>
              <w:t>mikrouzņēmumam</w:t>
            </w:r>
            <w:proofErr w:type="spellEnd"/>
            <w:r w:rsidRPr="00635073">
              <w:rPr>
                <w:rFonts w:eastAsia="Times New Roman"/>
                <w:bCs/>
                <w:iCs/>
                <w:sz w:val="24"/>
                <w:szCs w:val="24"/>
                <w:lang w:eastAsia="lv-LV"/>
              </w:rPr>
              <w:t xml:space="preserve"> ir tiesības ne vairāk kā divas reizes precizēt MUN deklarāciju par pārskata ceturksni mēneša laikā pēc MUN ceturkšņa deklarācijas iesniegšanas dienas, kas noteikta </w:t>
            </w:r>
            <w:proofErr w:type="spellStart"/>
            <w:r w:rsidRPr="00635073">
              <w:rPr>
                <w:rFonts w:eastAsia="Times New Roman"/>
                <w:bCs/>
                <w:iCs/>
                <w:sz w:val="24"/>
                <w:szCs w:val="24"/>
                <w:lang w:eastAsia="lv-LV"/>
              </w:rPr>
              <w:t>Mikrouzņēmumu</w:t>
            </w:r>
            <w:proofErr w:type="spellEnd"/>
            <w:r w:rsidRPr="00635073">
              <w:rPr>
                <w:rFonts w:eastAsia="Times New Roman"/>
                <w:bCs/>
                <w:iCs/>
                <w:sz w:val="24"/>
                <w:szCs w:val="24"/>
                <w:lang w:eastAsia="lv-LV"/>
              </w:rPr>
              <w:t xml:space="preserve"> nodokļa likuma 7.panta otrajā daļā. Savukārt atbilstoši </w:t>
            </w:r>
            <w:proofErr w:type="spellStart"/>
            <w:r w:rsidRPr="00635073">
              <w:rPr>
                <w:rFonts w:eastAsia="Times New Roman"/>
                <w:bCs/>
                <w:iCs/>
                <w:sz w:val="24"/>
                <w:szCs w:val="24"/>
                <w:lang w:eastAsia="lv-LV"/>
              </w:rPr>
              <w:t>Mikrouzņēmumu</w:t>
            </w:r>
            <w:proofErr w:type="spellEnd"/>
            <w:r w:rsidRPr="00635073">
              <w:rPr>
                <w:rFonts w:eastAsia="Times New Roman"/>
                <w:bCs/>
                <w:iCs/>
                <w:sz w:val="24"/>
                <w:szCs w:val="24"/>
                <w:lang w:eastAsia="lv-LV"/>
              </w:rPr>
              <w:t xml:space="preserve"> nodokļa likuma </w:t>
            </w:r>
            <w:r w:rsidRPr="00635073">
              <w:rPr>
                <w:rFonts w:eastAsia="Times New Roman"/>
                <w:bCs/>
                <w:iCs/>
                <w:sz w:val="24"/>
                <w:szCs w:val="24"/>
                <w:lang w:eastAsia="lv-LV"/>
              </w:rPr>
              <w:lastRenderedPageBreak/>
              <w:t xml:space="preserve">7.panta sestajai daļai  pēc </w:t>
            </w:r>
            <w:proofErr w:type="spellStart"/>
            <w:r w:rsidRPr="00635073">
              <w:rPr>
                <w:rFonts w:eastAsia="Times New Roman"/>
                <w:bCs/>
                <w:iCs/>
                <w:sz w:val="24"/>
                <w:szCs w:val="24"/>
                <w:lang w:eastAsia="lv-LV"/>
              </w:rPr>
              <w:t>Mikrouzņēmumu</w:t>
            </w:r>
            <w:proofErr w:type="spellEnd"/>
            <w:r w:rsidRPr="00635073">
              <w:rPr>
                <w:rFonts w:eastAsia="Times New Roman"/>
                <w:bCs/>
                <w:iCs/>
                <w:sz w:val="24"/>
                <w:szCs w:val="24"/>
                <w:lang w:eastAsia="lv-LV"/>
              </w:rPr>
              <w:t xml:space="preserve"> nodokļa likuma 7.panta piektajā daļā noteiktā termiņa beigām </w:t>
            </w:r>
            <w:proofErr w:type="spellStart"/>
            <w:r w:rsidRPr="00635073">
              <w:rPr>
                <w:rFonts w:eastAsia="Times New Roman"/>
                <w:bCs/>
                <w:iCs/>
                <w:sz w:val="24"/>
                <w:szCs w:val="24"/>
                <w:lang w:eastAsia="lv-LV"/>
              </w:rPr>
              <w:t>mikrouzņēmumam</w:t>
            </w:r>
            <w:proofErr w:type="spellEnd"/>
            <w:r w:rsidRPr="00635073">
              <w:rPr>
                <w:rFonts w:eastAsia="Times New Roman"/>
                <w:bCs/>
                <w:iCs/>
                <w:sz w:val="24"/>
                <w:szCs w:val="24"/>
                <w:lang w:eastAsia="lv-LV"/>
              </w:rPr>
              <w:t xml:space="preserve"> ir tiesības iesniegt tikai tādus MUN deklarācijas precizējumus, kuri palielina maksājamā nodokļa apmēru. Tādējādi MUN maksātājam mēneša laikā pēc MUN ceturkšņa deklarācijas iesniegšanas dienas (ceturksnim sekojošā mēneša piecpadsmitā datuma) ir tiesības iesniegt precizēto MUN deklarāciju un palielināt vai samazināt MUN deklarācijā norādīto </w:t>
            </w:r>
            <w:proofErr w:type="spellStart"/>
            <w:r w:rsidRPr="00635073">
              <w:rPr>
                <w:rFonts w:eastAsia="Times New Roman"/>
                <w:bCs/>
                <w:iCs/>
                <w:sz w:val="24"/>
                <w:szCs w:val="24"/>
                <w:lang w:eastAsia="lv-LV"/>
              </w:rPr>
              <w:t>mikrouzņēmuma</w:t>
            </w:r>
            <w:proofErr w:type="spellEnd"/>
            <w:r w:rsidRPr="00635073">
              <w:rPr>
                <w:rFonts w:eastAsia="Times New Roman"/>
                <w:bCs/>
                <w:iCs/>
                <w:sz w:val="24"/>
                <w:szCs w:val="24"/>
                <w:lang w:eastAsia="lv-LV"/>
              </w:rPr>
              <w:t xml:space="preserve"> apgrozījumu un aprēķināto MUN. Savukārt pēc tam,  kad ir pagājis minētais termiņš, MUN maksātājam ir tiesības iesniegt tikai tādus MUN deklarācijas precizējumus, kas palielina maksājamā MUN apmēru. </w:t>
            </w:r>
          </w:p>
          <w:p w14:paraId="6C58522B" w14:textId="01174881" w:rsidR="00635073" w:rsidRPr="00635073" w:rsidRDefault="00635073" w:rsidP="00635073">
            <w:pPr>
              <w:tabs>
                <w:tab w:val="left" w:pos="496"/>
              </w:tabs>
              <w:ind w:firstLine="317"/>
              <w:jc w:val="both"/>
              <w:rPr>
                <w:rFonts w:eastAsia="Times New Roman"/>
                <w:bCs/>
                <w:iCs/>
                <w:sz w:val="24"/>
                <w:szCs w:val="24"/>
                <w:lang w:eastAsia="lv-LV"/>
              </w:rPr>
            </w:pPr>
            <w:r w:rsidRPr="00635073">
              <w:rPr>
                <w:rFonts w:eastAsia="Times New Roman"/>
                <w:bCs/>
                <w:iCs/>
                <w:sz w:val="24"/>
                <w:szCs w:val="24"/>
                <w:lang w:eastAsia="lv-LV"/>
              </w:rPr>
              <w:t xml:space="preserve">Tādējādi MUN maksātājam, kurš jau darbojas MUN režīmā un izvēlas uzsākt izmantot vienkāršoto nodokļa nomaksas risinājumu ar taksācijas perioda nākamā ceturkšņa 1.datumu (piemēram, ar 4.ceturkšņa 1.datumu – 2021.gada 1.oktobri), ir tiesības iesniegt precizēto MUN deklarāciju  par iepriekšējiem ceturkšņiem (kad MUN maksātājs piemēroja MUN vispārējā kārtībā) un precizēt deklarācijā norādīto </w:t>
            </w:r>
            <w:proofErr w:type="spellStart"/>
            <w:r w:rsidRPr="00635073">
              <w:rPr>
                <w:rFonts w:eastAsia="Times New Roman"/>
                <w:bCs/>
                <w:iCs/>
                <w:sz w:val="24"/>
                <w:szCs w:val="24"/>
                <w:lang w:eastAsia="lv-LV"/>
              </w:rPr>
              <w:t>mikrouzņēmuma</w:t>
            </w:r>
            <w:proofErr w:type="spellEnd"/>
            <w:r w:rsidRPr="00635073">
              <w:rPr>
                <w:rFonts w:eastAsia="Times New Roman"/>
                <w:bCs/>
                <w:iCs/>
                <w:sz w:val="24"/>
                <w:szCs w:val="24"/>
                <w:lang w:eastAsia="lv-LV"/>
              </w:rPr>
              <w:t xml:space="preserve"> apgrozījumu un aprēķināto MUN. </w:t>
            </w:r>
            <w:r>
              <w:rPr>
                <w:rFonts w:eastAsia="Times New Roman"/>
                <w:bCs/>
                <w:iCs/>
                <w:sz w:val="24"/>
                <w:szCs w:val="24"/>
                <w:lang w:eastAsia="lv-LV"/>
              </w:rPr>
              <w:t>Līdz ar to</w:t>
            </w:r>
            <w:r w:rsidRPr="00635073">
              <w:rPr>
                <w:rFonts w:eastAsia="Times New Roman"/>
                <w:bCs/>
                <w:iCs/>
                <w:sz w:val="24"/>
                <w:szCs w:val="24"/>
                <w:lang w:eastAsia="lv-LV"/>
              </w:rPr>
              <w:t xml:space="preserve"> varētu rasties situācija, ka, iesniedzot precizēto MUN deklarāciju, tiek palielināts vai samazināts </w:t>
            </w:r>
            <w:proofErr w:type="spellStart"/>
            <w:r w:rsidRPr="00635073">
              <w:rPr>
                <w:rFonts w:eastAsia="Times New Roman"/>
                <w:bCs/>
                <w:iCs/>
                <w:sz w:val="24"/>
                <w:szCs w:val="24"/>
                <w:lang w:eastAsia="lv-LV"/>
              </w:rPr>
              <w:t>mikrouzņēmuma</w:t>
            </w:r>
            <w:proofErr w:type="spellEnd"/>
            <w:r w:rsidRPr="00635073">
              <w:rPr>
                <w:rFonts w:eastAsia="Times New Roman"/>
                <w:bCs/>
                <w:iCs/>
                <w:sz w:val="24"/>
                <w:szCs w:val="24"/>
                <w:lang w:eastAsia="lv-LV"/>
              </w:rPr>
              <w:t xml:space="preserve">  taksācijas perioda apgrozījums, kā rezultātā no SDI kontā </w:t>
            </w:r>
            <w:r w:rsidRPr="00635073">
              <w:rPr>
                <w:rFonts w:eastAsia="Times New Roman"/>
                <w:bCs/>
                <w:iCs/>
                <w:sz w:val="24"/>
                <w:szCs w:val="24"/>
                <w:lang w:eastAsia="lv-LV"/>
              </w:rPr>
              <w:lastRenderedPageBreak/>
              <w:t xml:space="preserve">ienākošajiem maksājumiem ir samaksāts lielāks vai mazāks MUN, un MUN maksātājam rodas MUN piemaksa vai pārmaksa (piemēram, MUN maksātājs, kas jau darbojas MUN režīmā, uzsāk izmantot vienkāršoto nodokļa nomaksas risinājumu ar 4. ceturksni – 2021.gada 1.oktobri, tas 2021.gada 5.oktobrī iesniedz MUN deklarāciju par 3.ceturksni, bet 2021.gada 10.novembrī iesniedz precizēto MUN deklarāciju par 3.ceturksni, ar kuru palielina vai samazina deklarācijā norādīto apgrozījumu, kā rezultātā no SDI kontā ienākošajiem maksājumiem ir piemērots lielāks vai mazāks MUN).  </w:t>
            </w:r>
          </w:p>
          <w:p w14:paraId="13553888" w14:textId="77777777" w:rsidR="00635073" w:rsidRPr="00635073" w:rsidRDefault="00635073" w:rsidP="00635073">
            <w:pPr>
              <w:tabs>
                <w:tab w:val="left" w:pos="496"/>
              </w:tabs>
              <w:ind w:firstLine="317"/>
              <w:jc w:val="both"/>
              <w:rPr>
                <w:rFonts w:eastAsia="Times New Roman"/>
                <w:bCs/>
                <w:iCs/>
                <w:sz w:val="24"/>
                <w:szCs w:val="24"/>
                <w:lang w:eastAsia="lv-LV"/>
              </w:rPr>
            </w:pPr>
            <w:r w:rsidRPr="00635073">
              <w:rPr>
                <w:rFonts w:eastAsia="Times New Roman"/>
                <w:bCs/>
                <w:iCs/>
                <w:sz w:val="24"/>
                <w:szCs w:val="24"/>
                <w:lang w:eastAsia="lv-LV"/>
              </w:rPr>
              <w:t xml:space="preserve">Līdz ar to ir nepieciešams paredzēt regulējumu, kas nosaka VID un MUN maksātāja darbības, ja rodas minētā situācija. </w:t>
            </w:r>
          </w:p>
          <w:p w14:paraId="47666517" w14:textId="77777777" w:rsidR="00635073" w:rsidRPr="00635073" w:rsidRDefault="00635073" w:rsidP="00635073">
            <w:pPr>
              <w:tabs>
                <w:tab w:val="left" w:pos="496"/>
              </w:tabs>
              <w:ind w:firstLine="317"/>
              <w:jc w:val="both"/>
              <w:rPr>
                <w:rFonts w:eastAsia="Times New Roman"/>
                <w:bCs/>
                <w:iCs/>
                <w:sz w:val="24"/>
                <w:szCs w:val="24"/>
                <w:lang w:eastAsia="lv-LV"/>
              </w:rPr>
            </w:pPr>
            <w:r w:rsidRPr="00635073">
              <w:rPr>
                <w:rFonts w:eastAsia="Times New Roman"/>
                <w:bCs/>
                <w:iCs/>
                <w:sz w:val="24"/>
                <w:szCs w:val="24"/>
                <w:lang w:eastAsia="lv-LV"/>
              </w:rPr>
              <w:t>Tādējādi likumprojekts paredz, ka, ja  MUN maksātājs, kas jau darbojas MUN režīmā, izvēlas izmantot vienkāršoto nodokļa nomaksas risinājumu ar taksācijas perioda (kalendāra gada) nākamā ceturkšņa 1. datumu un iesniedz precizētu taksācijas perioda MUN ceturkšņa deklarāciju, pēc tam, kad kredītiestāde uz VID sniegtās informācijas pamata ir ieskaitījusi vienotajā nodokļu kontā MUN:</w:t>
            </w:r>
          </w:p>
          <w:p w14:paraId="3E40F939" w14:textId="77777777" w:rsidR="00635073" w:rsidRPr="00635073" w:rsidRDefault="00635073" w:rsidP="00635073">
            <w:pPr>
              <w:tabs>
                <w:tab w:val="left" w:pos="496"/>
              </w:tabs>
              <w:ind w:firstLine="176"/>
              <w:jc w:val="both"/>
              <w:rPr>
                <w:rFonts w:eastAsia="Times New Roman"/>
                <w:bCs/>
                <w:iCs/>
                <w:sz w:val="24"/>
                <w:szCs w:val="24"/>
                <w:lang w:eastAsia="lv-LV"/>
              </w:rPr>
            </w:pPr>
            <w:r w:rsidRPr="00635073">
              <w:rPr>
                <w:rFonts w:eastAsia="Times New Roman"/>
                <w:bCs/>
                <w:iCs/>
                <w:sz w:val="24"/>
                <w:szCs w:val="24"/>
                <w:lang w:eastAsia="lv-LV"/>
              </w:rPr>
              <w:t xml:space="preserve">1) VID veiks pārrēķinu par tiem taksācijas perioda ceturkšņiem, kad </w:t>
            </w:r>
            <w:proofErr w:type="spellStart"/>
            <w:r w:rsidRPr="00635073">
              <w:rPr>
                <w:rFonts w:eastAsia="Times New Roman"/>
                <w:bCs/>
                <w:iCs/>
                <w:sz w:val="24"/>
                <w:szCs w:val="24"/>
                <w:lang w:eastAsia="lv-LV"/>
              </w:rPr>
              <w:t>mikrouzņēmuma</w:t>
            </w:r>
            <w:proofErr w:type="spellEnd"/>
            <w:r w:rsidRPr="00635073">
              <w:rPr>
                <w:rFonts w:eastAsia="Times New Roman"/>
                <w:bCs/>
                <w:iCs/>
                <w:sz w:val="24"/>
                <w:szCs w:val="24"/>
                <w:lang w:eastAsia="lv-LV"/>
              </w:rPr>
              <w:t xml:space="preserve"> apgrozījums pārsniedz </w:t>
            </w:r>
            <w:proofErr w:type="spellStart"/>
            <w:r w:rsidRPr="00635073">
              <w:rPr>
                <w:rFonts w:eastAsia="Times New Roman"/>
                <w:bCs/>
                <w:iCs/>
                <w:sz w:val="24"/>
                <w:szCs w:val="24"/>
                <w:lang w:eastAsia="lv-LV"/>
              </w:rPr>
              <w:t>Mikrouzņēmumu</w:t>
            </w:r>
            <w:proofErr w:type="spellEnd"/>
            <w:r w:rsidRPr="00635073">
              <w:rPr>
                <w:rFonts w:eastAsia="Times New Roman"/>
                <w:bCs/>
                <w:iCs/>
                <w:sz w:val="24"/>
                <w:szCs w:val="24"/>
                <w:lang w:eastAsia="lv-LV"/>
              </w:rPr>
              <w:t xml:space="preserve"> nodokļa likuma 6.pantā noteikto slieksni un mainās MUN likme, informējot MUN </w:t>
            </w:r>
            <w:r w:rsidRPr="00635073">
              <w:rPr>
                <w:rFonts w:eastAsia="Times New Roman"/>
                <w:bCs/>
                <w:iCs/>
                <w:sz w:val="24"/>
                <w:szCs w:val="24"/>
                <w:lang w:eastAsia="lv-LV"/>
              </w:rPr>
              <w:lastRenderedPageBreak/>
              <w:t xml:space="preserve">maksātāju par MUN piemaksu, un MUN maksātājs līdz ceturksnim sekojošā mēneša 23.datumam iemaksās trūkstošo MUN vienotajā nodokļu kontā; </w:t>
            </w:r>
          </w:p>
          <w:p w14:paraId="78927C02" w14:textId="6F65CAAC" w:rsidR="00B12CBF" w:rsidRPr="000B5D1F" w:rsidRDefault="00635073" w:rsidP="004659E6">
            <w:pPr>
              <w:tabs>
                <w:tab w:val="left" w:pos="496"/>
              </w:tabs>
              <w:ind w:firstLine="176"/>
              <w:jc w:val="both"/>
              <w:rPr>
                <w:rFonts w:eastAsia="Times New Roman"/>
                <w:bCs/>
                <w:iCs/>
                <w:sz w:val="24"/>
                <w:szCs w:val="24"/>
                <w:lang w:eastAsia="lv-LV"/>
              </w:rPr>
            </w:pPr>
            <w:r w:rsidRPr="00635073">
              <w:rPr>
                <w:rFonts w:eastAsia="Times New Roman"/>
                <w:bCs/>
                <w:iCs/>
                <w:sz w:val="24"/>
                <w:szCs w:val="24"/>
                <w:lang w:eastAsia="lv-LV"/>
              </w:rPr>
              <w:t>2) VID reizi ceturksnī vai pēc MUN maksātāja iesnieguma saņemšanas veiks pārrēķinu un informēs MUN maksātāju par MUN pārmaksu. VID, pamatojoties uz MUN maksātāja iesniegumu, saskaņā ar likumā “Par nodokļiem un nodevām” noteikto veiks pārmaksātā MUN atmaksu uz MUN maksātāja maksājumu kontu, kas nav SDI konts.</w:t>
            </w:r>
          </w:p>
        </w:tc>
      </w:tr>
    </w:tbl>
    <w:p w14:paraId="5420EB04" w14:textId="77777777" w:rsidR="0031105E" w:rsidRPr="009100E6" w:rsidRDefault="0031105E">
      <w:pPr>
        <w:rPr>
          <w:sz w:val="24"/>
          <w:szCs w:val="24"/>
        </w:rPr>
      </w:pPr>
    </w:p>
    <w:p w14:paraId="0DE4D957" w14:textId="77777777" w:rsidR="00532898" w:rsidRDefault="00532898" w:rsidP="002849DE">
      <w:pPr>
        <w:rPr>
          <w:sz w:val="24"/>
          <w:szCs w:val="24"/>
        </w:rPr>
      </w:pPr>
    </w:p>
    <w:p w14:paraId="1F728CC3" w14:textId="77777777" w:rsidR="002849DE" w:rsidRPr="009100E6" w:rsidRDefault="002849DE" w:rsidP="002849DE">
      <w:pPr>
        <w:rPr>
          <w:sz w:val="24"/>
          <w:szCs w:val="24"/>
        </w:rPr>
      </w:pPr>
      <w:r w:rsidRPr="009100E6">
        <w:rPr>
          <w:sz w:val="24"/>
          <w:szCs w:val="24"/>
        </w:rPr>
        <w:t xml:space="preserve">Atbildīgā </w:t>
      </w:r>
      <w:r w:rsidR="00E07D1B" w:rsidRPr="009100E6">
        <w:rPr>
          <w:sz w:val="24"/>
          <w:szCs w:val="24"/>
        </w:rPr>
        <w:t>amat</w:t>
      </w:r>
      <w:r w:rsidRPr="009100E6">
        <w:rPr>
          <w:sz w:val="24"/>
          <w:szCs w:val="24"/>
        </w:rPr>
        <w:t>persona:_______________________________________/</w:t>
      </w:r>
      <w:proofErr w:type="spellStart"/>
      <w:r w:rsidR="00092A11">
        <w:rPr>
          <w:sz w:val="24"/>
          <w:szCs w:val="24"/>
        </w:rPr>
        <w:t>L.Matveja</w:t>
      </w:r>
      <w:proofErr w:type="spellEnd"/>
      <w:r w:rsidRPr="009100E6">
        <w:rPr>
          <w:sz w:val="24"/>
          <w:szCs w:val="24"/>
        </w:rPr>
        <w:t>/</w:t>
      </w:r>
    </w:p>
    <w:p w14:paraId="088EEA7D" w14:textId="77777777" w:rsidR="0077472B" w:rsidRPr="009100E6" w:rsidRDefault="002849DE" w:rsidP="009100E6">
      <w:pPr>
        <w:tabs>
          <w:tab w:val="left" w:pos="1843"/>
          <w:tab w:val="left" w:pos="3261"/>
        </w:tabs>
        <w:rPr>
          <w:sz w:val="24"/>
          <w:szCs w:val="24"/>
        </w:rPr>
      </w:pPr>
      <w:r w:rsidRPr="009100E6">
        <w:rPr>
          <w:sz w:val="24"/>
          <w:szCs w:val="24"/>
        </w:rPr>
        <w:tab/>
      </w:r>
      <w:r w:rsidRPr="009100E6">
        <w:rPr>
          <w:sz w:val="24"/>
          <w:szCs w:val="24"/>
        </w:rPr>
        <w:tab/>
      </w:r>
      <w:r w:rsidRPr="009100E6">
        <w:rPr>
          <w:sz w:val="24"/>
          <w:szCs w:val="24"/>
        </w:rPr>
        <w:tab/>
      </w:r>
      <w:r w:rsidRPr="009100E6">
        <w:rPr>
          <w:sz w:val="24"/>
          <w:szCs w:val="24"/>
        </w:rPr>
        <w:tab/>
      </w:r>
      <w:r w:rsidR="009100E6">
        <w:rPr>
          <w:sz w:val="24"/>
          <w:szCs w:val="24"/>
        </w:rPr>
        <w:t>(</w:t>
      </w:r>
      <w:r w:rsidRPr="009100E6">
        <w:rPr>
          <w:sz w:val="24"/>
          <w:szCs w:val="24"/>
        </w:rPr>
        <w:t>paraksts</w:t>
      </w:r>
      <w:r w:rsidR="009100E6">
        <w:rPr>
          <w:sz w:val="24"/>
          <w:szCs w:val="24"/>
        </w:rPr>
        <w:t>)</w:t>
      </w:r>
    </w:p>
    <w:p w14:paraId="6DC6621F" w14:textId="77777777" w:rsidR="00794DA5" w:rsidRDefault="00794DA5" w:rsidP="007072FD">
      <w:pPr>
        <w:rPr>
          <w:rFonts w:eastAsia="Times New Roman"/>
          <w:color w:val="000000" w:themeColor="text1"/>
          <w:sz w:val="20"/>
          <w:szCs w:val="20"/>
          <w:lang w:eastAsia="lv-LV"/>
        </w:rPr>
      </w:pPr>
    </w:p>
    <w:p w14:paraId="6EAF3F9D" w14:textId="176F151E" w:rsidR="00CC3C13" w:rsidRDefault="00CC3C13" w:rsidP="007072FD">
      <w:pPr>
        <w:rPr>
          <w:rFonts w:eastAsia="Times New Roman"/>
          <w:color w:val="000000" w:themeColor="text1"/>
          <w:sz w:val="20"/>
          <w:szCs w:val="20"/>
          <w:lang w:eastAsia="lv-LV"/>
        </w:rPr>
      </w:pPr>
    </w:p>
    <w:p w14:paraId="1B89DB05" w14:textId="4C4E1E8F" w:rsidR="008D110B" w:rsidRPr="008D110B" w:rsidRDefault="008D110B" w:rsidP="008D110B">
      <w:pPr>
        <w:ind w:left="2880" w:firstLine="720"/>
        <w:rPr>
          <w:rFonts w:eastAsia="Times New Roman"/>
          <w:color w:val="000000" w:themeColor="text1"/>
          <w:sz w:val="24"/>
          <w:szCs w:val="28"/>
          <w:lang w:eastAsia="lv-LV"/>
        </w:rPr>
      </w:pPr>
      <w:r w:rsidRPr="008D110B">
        <w:rPr>
          <w:rFonts w:eastAsia="Times New Roman"/>
          <w:color w:val="000000" w:themeColor="text1"/>
          <w:sz w:val="24"/>
          <w:szCs w:val="28"/>
          <w:lang w:eastAsia="lv-LV"/>
        </w:rPr>
        <w:t>Līva Matveja</w:t>
      </w:r>
    </w:p>
    <w:tbl>
      <w:tblPr>
        <w:tblW w:w="0" w:type="auto"/>
        <w:tblLook w:val="00A0" w:firstRow="1" w:lastRow="0" w:firstColumn="1" w:lastColumn="0" w:noHBand="0" w:noVBand="0"/>
      </w:tblPr>
      <w:tblGrid>
        <w:gridCol w:w="8268"/>
      </w:tblGrid>
      <w:tr w:rsidR="008D110B" w:rsidRPr="008D110B" w14:paraId="1903E409" w14:textId="77777777" w:rsidTr="005F0E7D">
        <w:tc>
          <w:tcPr>
            <w:tcW w:w="8268" w:type="dxa"/>
            <w:tcBorders>
              <w:top w:val="single" w:sz="4" w:space="0" w:color="000000"/>
            </w:tcBorders>
          </w:tcPr>
          <w:p w14:paraId="49992454" w14:textId="77777777" w:rsidR="008D110B" w:rsidRDefault="008D110B" w:rsidP="005F0E7D">
            <w:pPr>
              <w:jc w:val="center"/>
              <w:rPr>
                <w:sz w:val="24"/>
              </w:rPr>
            </w:pPr>
            <w:r w:rsidRPr="008D110B">
              <w:rPr>
                <w:sz w:val="24"/>
              </w:rPr>
              <w:t>(par projektu atbildīgās amatpersonas vārds un uzvārds)</w:t>
            </w:r>
          </w:p>
          <w:p w14:paraId="347F76F8" w14:textId="2756D795" w:rsidR="009959AF" w:rsidRPr="008D110B" w:rsidRDefault="009959AF" w:rsidP="005F0E7D">
            <w:pPr>
              <w:jc w:val="center"/>
              <w:rPr>
                <w:sz w:val="24"/>
              </w:rPr>
            </w:pPr>
          </w:p>
        </w:tc>
      </w:tr>
      <w:tr w:rsidR="008D110B" w:rsidRPr="008D110B" w14:paraId="23B2F977" w14:textId="77777777" w:rsidTr="005F0E7D">
        <w:tc>
          <w:tcPr>
            <w:tcW w:w="8268" w:type="dxa"/>
            <w:tcBorders>
              <w:bottom w:val="single" w:sz="4" w:space="0" w:color="000000"/>
            </w:tcBorders>
          </w:tcPr>
          <w:p w14:paraId="454FDBE0" w14:textId="683ECE68" w:rsidR="008D110B" w:rsidRPr="008D110B" w:rsidRDefault="008D110B" w:rsidP="0060625D">
            <w:pPr>
              <w:jc w:val="center"/>
              <w:rPr>
                <w:sz w:val="24"/>
              </w:rPr>
            </w:pPr>
            <w:r w:rsidRPr="008D110B">
              <w:rPr>
                <w:sz w:val="24"/>
              </w:rPr>
              <w:t xml:space="preserve">Finanšu ministrijas Tiešo nodokļu departamenta Īpašuma un iedzīvotāju ienākuma nodokļu nodaļas vecākā </w:t>
            </w:r>
            <w:r w:rsidR="0060625D">
              <w:rPr>
                <w:sz w:val="24"/>
              </w:rPr>
              <w:t>eksperte</w:t>
            </w:r>
          </w:p>
        </w:tc>
      </w:tr>
      <w:tr w:rsidR="008D110B" w:rsidRPr="008D110B" w14:paraId="735E7A26" w14:textId="77777777" w:rsidTr="005F0E7D">
        <w:tc>
          <w:tcPr>
            <w:tcW w:w="8268" w:type="dxa"/>
            <w:tcBorders>
              <w:top w:val="single" w:sz="4" w:space="0" w:color="000000"/>
            </w:tcBorders>
          </w:tcPr>
          <w:p w14:paraId="241922F3" w14:textId="77777777" w:rsidR="008D110B" w:rsidRPr="008D110B" w:rsidRDefault="008D110B" w:rsidP="005F0E7D">
            <w:pPr>
              <w:jc w:val="center"/>
              <w:rPr>
                <w:sz w:val="24"/>
              </w:rPr>
            </w:pPr>
            <w:r w:rsidRPr="008D110B">
              <w:rPr>
                <w:sz w:val="24"/>
              </w:rPr>
              <w:t>(amats)</w:t>
            </w:r>
          </w:p>
        </w:tc>
      </w:tr>
      <w:tr w:rsidR="008D110B" w:rsidRPr="008D110B" w14:paraId="10364D10" w14:textId="77777777" w:rsidTr="005F0E7D">
        <w:tc>
          <w:tcPr>
            <w:tcW w:w="8268" w:type="dxa"/>
            <w:tcBorders>
              <w:bottom w:val="single" w:sz="4" w:space="0" w:color="000000"/>
            </w:tcBorders>
          </w:tcPr>
          <w:p w14:paraId="0A80F4A6" w14:textId="53C9365C" w:rsidR="008D110B" w:rsidRPr="008D110B" w:rsidRDefault="008D110B" w:rsidP="009959AF">
            <w:pPr>
              <w:jc w:val="center"/>
              <w:rPr>
                <w:sz w:val="24"/>
              </w:rPr>
            </w:pPr>
            <w:r w:rsidRPr="008D110B">
              <w:rPr>
                <w:sz w:val="24"/>
              </w:rPr>
              <w:t>670</w:t>
            </w:r>
            <w:r w:rsidR="009959AF">
              <w:rPr>
                <w:sz w:val="24"/>
              </w:rPr>
              <w:t>95492</w:t>
            </w:r>
          </w:p>
        </w:tc>
      </w:tr>
      <w:tr w:rsidR="008D110B" w:rsidRPr="008D110B" w14:paraId="73EA79DA" w14:textId="77777777" w:rsidTr="005F0E7D">
        <w:tc>
          <w:tcPr>
            <w:tcW w:w="8268" w:type="dxa"/>
            <w:tcBorders>
              <w:top w:val="single" w:sz="4" w:space="0" w:color="000000"/>
            </w:tcBorders>
          </w:tcPr>
          <w:p w14:paraId="0E37209A" w14:textId="77777777" w:rsidR="008D110B" w:rsidRPr="008D110B" w:rsidRDefault="008D110B" w:rsidP="005F0E7D">
            <w:pPr>
              <w:jc w:val="center"/>
              <w:rPr>
                <w:sz w:val="24"/>
              </w:rPr>
            </w:pPr>
            <w:r w:rsidRPr="008D110B">
              <w:rPr>
                <w:sz w:val="24"/>
              </w:rPr>
              <w:t>(tālruņa un faksa numurs)</w:t>
            </w:r>
          </w:p>
        </w:tc>
      </w:tr>
      <w:tr w:rsidR="008D110B" w:rsidRPr="008D110B" w14:paraId="24783DC7" w14:textId="77777777" w:rsidTr="005F0E7D">
        <w:tc>
          <w:tcPr>
            <w:tcW w:w="8268" w:type="dxa"/>
            <w:tcBorders>
              <w:bottom w:val="single" w:sz="4" w:space="0" w:color="000000"/>
            </w:tcBorders>
          </w:tcPr>
          <w:p w14:paraId="05518C19" w14:textId="439CC689" w:rsidR="008D110B" w:rsidRPr="008D110B" w:rsidRDefault="009959AF" w:rsidP="008D110B">
            <w:pPr>
              <w:jc w:val="center"/>
              <w:rPr>
                <w:sz w:val="24"/>
              </w:rPr>
            </w:pPr>
            <w:r>
              <w:rPr>
                <w:sz w:val="24"/>
              </w:rPr>
              <w:t>Liva.M</w:t>
            </w:r>
            <w:r w:rsidR="008D110B" w:rsidRPr="008D110B">
              <w:rPr>
                <w:sz w:val="24"/>
              </w:rPr>
              <w:t>atveja@fm.gov.lv</w:t>
            </w:r>
          </w:p>
        </w:tc>
      </w:tr>
      <w:tr w:rsidR="008D110B" w:rsidRPr="008D110B" w14:paraId="345E26A5" w14:textId="77777777" w:rsidTr="005F0E7D">
        <w:tc>
          <w:tcPr>
            <w:tcW w:w="8268" w:type="dxa"/>
            <w:tcBorders>
              <w:top w:val="single" w:sz="4" w:space="0" w:color="000000"/>
            </w:tcBorders>
          </w:tcPr>
          <w:p w14:paraId="33E6B297" w14:textId="77777777" w:rsidR="008D110B" w:rsidRPr="008D110B" w:rsidRDefault="008D110B" w:rsidP="005F0E7D">
            <w:pPr>
              <w:jc w:val="center"/>
              <w:rPr>
                <w:sz w:val="24"/>
              </w:rPr>
            </w:pPr>
            <w:r w:rsidRPr="008D110B">
              <w:rPr>
                <w:sz w:val="24"/>
              </w:rPr>
              <w:t>(e-pasta adrese)</w:t>
            </w:r>
          </w:p>
        </w:tc>
      </w:tr>
    </w:tbl>
    <w:p w14:paraId="5C849915" w14:textId="77777777" w:rsidR="008D110B" w:rsidRDefault="008D110B" w:rsidP="007072FD">
      <w:pPr>
        <w:rPr>
          <w:rFonts w:eastAsia="Times New Roman"/>
          <w:color w:val="000000" w:themeColor="text1"/>
          <w:sz w:val="20"/>
          <w:szCs w:val="20"/>
          <w:lang w:eastAsia="lv-LV"/>
        </w:rPr>
      </w:pPr>
    </w:p>
    <w:p w14:paraId="41255B17" w14:textId="77777777" w:rsidR="007072FD" w:rsidRPr="00FB6B7E" w:rsidRDefault="007072FD" w:rsidP="007072FD">
      <w:pPr>
        <w:jc w:val="both"/>
        <w:rPr>
          <w:sz w:val="22"/>
        </w:rPr>
      </w:pPr>
    </w:p>
    <w:sectPr w:rsidR="007072FD" w:rsidRPr="00FB6B7E" w:rsidSect="00A662EA">
      <w:headerReference w:type="default" r:id="rId8"/>
      <w:footerReference w:type="default" r:id="rId9"/>
      <w:footerReference w:type="first" r:id="rId10"/>
      <w:pgSz w:w="16838" w:h="11906" w:orient="landscape" w:code="9"/>
      <w:pgMar w:top="1135" w:right="1418" w:bottom="1134" w:left="1134" w:header="709" w:footer="30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AF6E" w14:textId="77777777" w:rsidR="00774F9E" w:rsidRDefault="00774F9E" w:rsidP="00F42251">
      <w:r>
        <w:separator/>
      </w:r>
    </w:p>
  </w:endnote>
  <w:endnote w:type="continuationSeparator" w:id="0">
    <w:p w14:paraId="030A30BB" w14:textId="77777777" w:rsidR="00774F9E" w:rsidRDefault="00774F9E" w:rsidP="00F4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64D3" w14:textId="71F629D5" w:rsidR="000A322A" w:rsidRPr="00607402" w:rsidRDefault="00F42251" w:rsidP="000A322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8B54D7">
      <w:rPr>
        <w:noProof/>
        <w:sz w:val="20"/>
        <w:szCs w:val="20"/>
      </w:rPr>
      <w:t>FMizz_180121_MUN.docx</w:t>
    </w:r>
    <w:r>
      <w:rPr>
        <w:sz w:val="20"/>
        <w:szCs w:val="20"/>
      </w:rPr>
      <w:fldChar w:fldCharType="end"/>
    </w:r>
    <w:r>
      <w:rPr>
        <w:sz w:val="20"/>
        <w:szCs w:val="20"/>
      </w:rPr>
      <w:t xml:space="preserve">; </w:t>
    </w:r>
  </w:p>
  <w:p w14:paraId="7154AFCB" w14:textId="77777777" w:rsidR="00F42251" w:rsidRPr="00F42251" w:rsidRDefault="00F42251" w:rsidP="00F42251">
    <w:pP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B5C0" w14:textId="5E81B44B" w:rsidR="002955BB" w:rsidRPr="00607402" w:rsidRDefault="000A322A" w:rsidP="00607402">
    <w:pPr>
      <w:pStyle w:val="Footer"/>
    </w:pPr>
    <w:r>
      <w:rPr>
        <w:sz w:val="20"/>
        <w:lang w:val="en-US"/>
      </w:rPr>
      <w:fldChar w:fldCharType="begin"/>
    </w:r>
    <w:r>
      <w:rPr>
        <w:sz w:val="20"/>
        <w:lang w:val="en-US"/>
      </w:rPr>
      <w:instrText xml:space="preserve"> FILENAME </w:instrText>
    </w:r>
    <w:r>
      <w:rPr>
        <w:sz w:val="20"/>
        <w:lang w:val="en-US"/>
      </w:rPr>
      <w:fldChar w:fldCharType="separate"/>
    </w:r>
    <w:r w:rsidR="008B54D7">
      <w:rPr>
        <w:noProof/>
        <w:sz w:val="20"/>
        <w:lang w:val="en-US"/>
      </w:rPr>
      <w:t>FMizz_180121_MUN.docx</w:t>
    </w:r>
    <w:r>
      <w:rPr>
        <w:sz w:val="20"/>
        <w:lang w:val="en-US"/>
      </w:rPr>
      <w:fldChar w:fldCharType="end"/>
    </w:r>
    <w:r w:rsidR="00607402" w:rsidRPr="0060740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2A87" w14:textId="77777777" w:rsidR="00774F9E" w:rsidRDefault="00774F9E" w:rsidP="00F42251">
      <w:r>
        <w:separator/>
      </w:r>
    </w:p>
  </w:footnote>
  <w:footnote w:type="continuationSeparator" w:id="0">
    <w:p w14:paraId="62CE0CDE" w14:textId="77777777" w:rsidR="00774F9E" w:rsidRDefault="00774F9E" w:rsidP="00F4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9A31" w14:textId="11D72CC4" w:rsidR="002955BB" w:rsidRPr="000546E4" w:rsidRDefault="002955BB">
    <w:pPr>
      <w:pStyle w:val="Header"/>
      <w:jc w:val="center"/>
      <w:rPr>
        <w:sz w:val="24"/>
        <w:szCs w:val="24"/>
      </w:rPr>
    </w:pPr>
    <w:r w:rsidRPr="000546E4">
      <w:rPr>
        <w:sz w:val="24"/>
        <w:szCs w:val="24"/>
      </w:rPr>
      <w:fldChar w:fldCharType="begin"/>
    </w:r>
    <w:r w:rsidRPr="000546E4">
      <w:rPr>
        <w:sz w:val="24"/>
        <w:szCs w:val="24"/>
      </w:rPr>
      <w:instrText xml:space="preserve"> PAGE   \* MERGEFORMAT </w:instrText>
    </w:r>
    <w:r w:rsidRPr="000546E4">
      <w:rPr>
        <w:sz w:val="24"/>
        <w:szCs w:val="24"/>
      </w:rPr>
      <w:fldChar w:fldCharType="separate"/>
    </w:r>
    <w:r w:rsidR="008B54D7">
      <w:rPr>
        <w:noProof/>
        <w:sz w:val="24"/>
        <w:szCs w:val="24"/>
      </w:rPr>
      <w:t>7</w:t>
    </w:r>
    <w:r w:rsidRPr="000546E4">
      <w:rPr>
        <w:sz w:val="24"/>
        <w:szCs w:val="24"/>
      </w:rPr>
      <w:fldChar w:fldCharType="end"/>
    </w:r>
  </w:p>
  <w:p w14:paraId="230D188D" w14:textId="77777777" w:rsidR="002955BB" w:rsidRDefault="00295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F2"/>
    <w:multiLevelType w:val="hybridMultilevel"/>
    <w:tmpl w:val="4836922E"/>
    <w:lvl w:ilvl="0" w:tplc="92C89734">
      <w:start w:val="1"/>
      <w:numFmt w:val="decimal"/>
      <w:lvlText w:val="%1."/>
      <w:lvlJc w:val="left"/>
      <w:pPr>
        <w:ind w:left="1800" w:hanging="360"/>
      </w:pPr>
      <w:rPr>
        <w:rFonts w:ascii="Times New Roman" w:hAnsi="Times New Roman" w:cs="Times New Roman" w:hint="default"/>
        <w:color w:val="000000"/>
        <w:sz w:val="24"/>
      </w:rPr>
    </w:lvl>
    <w:lvl w:ilvl="1" w:tplc="04260019">
      <w:start w:val="1"/>
      <w:numFmt w:val="decimal"/>
      <w:lvlText w:val="%2."/>
      <w:lvlJc w:val="left"/>
      <w:pPr>
        <w:tabs>
          <w:tab w:val="num" w:pos="2160"/>
        </w:tabs>
        <w:ind w:left="2160" w:hanging="360"/>
      </w:pPr>
    </w:lvl>
    <w:lvl w:ilvl="2" w:tplc="0426001B">
      <w:start w:val="1"/>
      <w:numFmt w:val="decimal"/>
      <w:lvlText w:val="%3."/>
      <w:lvlJc w:val="left"/>
      <w:pPr>
        <w:tabs>
          <w:tab w:val="num" w:pos="2880"/>
        </w:tabs>
        <w:ind w:left="2880" w:hanging="360"/>
      </w:pPr>
    </w:lvl>
    <w:lvl w:ilvl="3" w:tplc="0426000F">
      <w:start w:val="1"/>
      <w:numFmt w:val="decimal"/>
      <w:lvlText w:val="%4."/>
      <w:lvlJc w:val="left"/>
      <w:pPr>
        <w:tabs>
          <w:tab w:val="num" w:pos="3600"/>
        </w:tabs>
        <w:ind w:left="3600" w:hanging="360"/>
      </w:pPr>
    </w:lvl>
    <w:lvl w:ilvl="4" w:tplc="04260019">
      <w:start w:val="1"/>
      <w:numFmt w:val="decimal"/>
      <w:lvlText w:val="%5."/>
      <w:lvlJc w:val="left"/>
      <w:pPr>
        <w:tabs>
          <w:tab w:val="num" w:pos="4320"/>
        </w:tabs>
        <w:ind w:left="4320" w:hanging="360"/>
      </w:pPr>
    </w:lvl>
    <w:lvl w:ilvl="5" w:tplc="0426001B">
      <w:start w:val="1"/>
      <w:numFmt w:val="decimal"/>
      <w:lvlText w:val="%6."/>
      <w:lvlJc w:val="left"/>
      <w:pPr>
        <w:tabs>
          <w:tab w:val="num" w:pos="5040"/>
        </w:tabs>
        <w:ind w:left="5040" w:hanging="360"/>
      </w:pPr>
    </w:lvl>
    <w:lvl w:ilvl="6" w:tplc="0426000F">
      <w:start w:val="1"/>
      <w:numFmt w:val="decimal"/>
      <w:lvlText w:val="%7."/>
      <w:lvlJc w:val="left"/>
      <w:pPr>
        <w:tabs>
          <w:tab w:val="num" w:pos="5760"/>
        </w:tabs>
        <w:ind w:left="5760" w:hanging="360"/>
      </w:pPr>
    </w:lvl>
    <w:lvl w:ilvl="7" w:tplc="04260019">
      <w:start w:val="1"/>
      <w:numFmt w:val="decimal"/>
      <w:lvlText w:val="%8."/>
      <w:lvlJc w:val="left"/>
      <w:pPr>
        <w:tabs>
          <w:tab w:val="num" w:pos="6480"/>
        </w:tabs>
        <w:ind w:left="6480" w:hanging="360"/>
      </w:pPr>
    </w:lvl>
    <w:lvl w:ilvl="8" w:tplc="0426001B">
      <w:start w:val="1"/>
      <w:numFmt w:val="decimal"/>
      <w:lvlText w:val="%9."/>
      <w:lvlJc w:val="left"/>
      <w:pPr>
        <w:tabs>
          <w:tab w:val="num" w:pos="7200"/>
        </w:tabs>
        <w:ind w:left="7200" w:hanging="360"/>
      </w:pPr>
    </w:lvl>
  </w:abstractNum>
  <w:abstractNum w:abstractNumId="1" w15:restartNumberingAfterBreak="0">
    <w:nsid w:val="01803F6E"/>
    <w:multiLevelType w:val="hybridMultilevel"/>
    <w:tmpl w:val="132A8CB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73C99"/>
    <w:multiLevelType w:val="multilevel"/>
    <w:tmpl w:val="449A5DE2"/>
    <w:lvl w:ilvl="0">
      <w:start w:val="1"/>
      <w:numFmt w:val="decimal"/>
      <w:lvlText w:val="%1."/>
      <w:lvlJc w:val="left"/>
      <w:pPr>
        <w:ind w:left="1069" w:hanging="360"/>
      </w:pPr>
      <w:rPr>
        <w:rFonts w:eastAsia="Calibri"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 w15:restartNumberingAfterBreak="0">
    <w:nsid w:val="0B4D2E49"/>
    <w:multiLevelType w:val="hybridMultilevel"/>
    <w:tmpl w:val="B780459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6E4417"/>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17C4A35"/>
    <w:multiLevelType w:val="hybridMultilevel"/>
    <w:tmpl w:val="6584FC98"/>
    <w:lvl w:ilvl="0" w:tplc="226024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57DE1"/>
    <w:multiLevelType w:val="hybridMultilevel"/>
    <w:tmpl w:val="C4A0A88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A50DCF"/>
    <w:multiLevelType w:val="hybridMultilevel"/>
    <w:tmpl w:val="2292B208"/>
    <w:lvl w:ilvl="0" w:tplc="F8440842">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C893884"/>
    <w:multiLevelType w:val="multilevel"/>
    <w:tmpl w:val="A41E94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D209AE"/>
    <w:multiLevelType w:val="multilevel"/>
    <w:tmpl w:val="171841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14819"/>
    <w:multiLevelType w:val="hybridMultilevel"/>
    <w:tmpl w:val="ADB8032A"/>
    <w:lvl w:ilvl="0" w:tplc="55F86100">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BC4173B"/>
    <w:multiLevelType w:val="hybridMultilevel"/>
    <w:tmpl w:val="F710AAF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3C356E55"/>
    <w:multiLevelType w:val="multilevel"/>
    <w:tmpl w:val="52E0E0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D506D63"/>
    <w:multiLevelType w:val="hybridMultilevel"/>
    <w:tmpl w:val="C7AA7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30489C"/>
    <w:multiLevelType w:val="hybridMultilevel"/>
    <w:tmpl w:val="2B70B3D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4801017C"/>
    <w:multiLevelType w:val="hybridMultilevel"/>
    <w:tmpl w:val="21621BB4"/>
    <w:lvl w:ilvl="0" w:tplc="F6B2BD64">
      <w:start w:val="1"/>
      <w:numFmt w:val="bullet"/>
      <w:lvlText w:val=""/>
      <w:lvlJc w:val="left"/>
      <w:pPr>
        <w:tabs>
          <w:tab w:val="num" w:pos="2230"/>
        </w:tabs>
        <w:ind w:left="2230" w:hanging="360"/>
      </w:pPr>
      <w:rPr>
        <w:rFonts w:ascii="Symbol" w:hAnsi="Symbol" w:hint="default"/>
        <w:sz w:val="24"/>
        <w:szCs w:val="24"/>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A9D2D41"/>
    <w:multiLevelType w:val="hybridMultilevel"/>
    <w:tmpl w:val="3BB022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4B3538"/>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8" w15:restartNumberingAfterBreak="0">
    <w:nsid w:val="501D2714"/>
    <w:multiLevelType w:val="multilevel"/>
    <w:tmpl w:val="449A5DE2"/>
    <w:lvl w:ilvl="0">
      <w:start w:val="1"/>
      <w:numFmt w:val="decimal"/>
      <w:lvlText w:val="%1."/>
      <w:lvlJc w:val="left"/>
      <w:pPr>
        <w:ind w:left="1069" w:hanging="360"/>
      </w:pPr>
      <w:rPr>
        <w:rFonts w:eastAsia="Calibri"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9" w15:restartNumberingAfterBreak="0">
    <w:nsid w:val="511C6BC7"/>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20" w15:restartNumberingAfterBreak="0">
    <w:nsid w:val="5EAB0610"/>
    <w:multiLevelType w:val="hybridMultilevel"/>
    <w:tmpl w:val="391EBA0A"/>
    <w:lvl w:ilvl="0" w:tplc="5D00618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21" w15:restartNumberingAfterBreak="0">
    <w:nsid w:val="5F0215C0"/>
    <w:multiLevelType w:val="multilevel"/>
    <w:tmpl w:val="449A5DE2"/>
    <w:lvl w:ilvl="0">
      <w:start w:val="1"/>
      <w:numFmt w:val="decimal"/>
      <w:lvlText w:val="%1."/>
      <w:lvlJc w:val="left"/>
      <w:pPr>
        <w:ind w:left="1069" w:hanging="360"/>
      </w:pPr>
      <w:rPr>
        <w:rFonts w:eastAsia="Calibri"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2" w15:restartNumberingAfterBreak="0">
    <w:nsid w:val="6335301C"/>
    <w:multiLevelType w:val="hybridMultilevel"/>
    <w:tmpl w:val="3E7C807E"/>
    <w:lvl w:ilvl="0" w:tplc="3C7257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8748AE"/>
    <w:multiLevelType w:val="hybridMultilevel"/>
    <w:tmpl w:val="F79E2982"/>
    <w:lvl w:ilvl="0" w:tplc="EED4BDD4">
      <w:start w:val="1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36D5A59"/>
    <w:multiLevelType w:val="hybridMultilevel"/>
    <w:tmpl w:val="B780459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E16148"/>
    <w:multiLevelType w:val="multilevel"/>
    <w:tmpl w:val="449A5DE2"/>
    <w:lvl w:ilvl="0">
      <w:start w:val="1"/>
      <w:numFmt w:val="decimal"/>
      <w:lvlText w:val="%1."/>
      <w:lvlJc w:val="left"/>
      <w:pPr>
        <w:ind w:left="1069" w:hanging="360"/>
      </w:pPr>
      <w:rPr>
        <w:rFonts w:eastAsia="Calibri"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6" w15:restartNumberingAfterBreak="0">
    <w:nsid w:val="74BB0634"/>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27" w15:restartNumberingAfterBreak="0">
    <w:nsid w:val="7A9334C6"/>
    <w:multiLevelType w:val="hybridMultilevel"/>
    <w:tmpl w:val="CB60A6B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2"/>
  </w:num>
  <w:num w:numId="9">
    <w:abstractNumId w:val="9"/>
  </w:num>
  <w:num w:numId="10">
    <w:abstractNumId w:val="6"/>
  </w:num>
  <w:num w:numId="11">
    <w:abstractNumId w:val="27"/>
  </w:num>
  <w:num w:numId="12">
    <w:abstractNumId w:val="14"/>
  </w:num>
  <w:num w:numId="13">
    <w:abstractNumId w:val="3"/>
  </w:num>
  <w:num w:numId="14">
    <w:abstractNumId w:val="16"/>
  </w:num>
  <w:num w:numId="15">
    <w:abstractNumId w:val="13"/>
  </w:num>
  <w:num w:numId="16">
    <w:abstractNumId w:val="24"/>
  </w:num>
  <w:num w:numId="17">
    <w:abstractNumId w:val="1"/>
  </w:num>
  <w:num w:numId="18">
    <w:abstractNumId w:val="20"/>
  </w:num>
  <w:num w:numId="19">
    <w:abstractNumId w:val="8"/>
  </w:num>
  <w:num w:numId="20">
    <w:abstractNumId w:val="17"/>
  </w:num>
  <w:num w:numId="21">
    <w:abstractNumId w:val="18"/>
  </w:num>
  <w:num w:numId="22">
    <w:abstractNumId w:val="10"/>
  </w:num>
  <w:num w:numId="23">
    <w:abstractNumId w:val="26"/>
  </w:num>
  <w:num w:numId="24">
    <w:abstractNumId w:val="25"/>
  </w:num>
  <w:num w:numId="25">
    <w:abstractNumId w:val="21"/>
  </w:num>
  <w:num w:numId="26">
    <w:abstractNumId w:val="2"/>
  </w:num>
  <w:num w:numId="27">
    <w:abstractNumId w:val="19"/>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40"/>
  <w:drawingGridVerticalSpacing w:val="381"/>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03"/>
    <w:rsid w:val="0000245B"/>
    <w:rsid w:val="00003337"/>
    <w:rsid w:val="00004438"/>
    <w:rsid w:val="00005923"/>
    <w:rsid w:val="00006B82"/>
    <w:rsid w:val="00010150"/>
    <w:rsid w:val="000171BD"/>
    <w:rsid w:val="000172B0"/>
    <w:rsid w:val="000174D9"/>
    <w:rsid w:val="00017AF7"/>
    <w:rsid w:val="00023E1D"/>
    <w:rsid w:val="00023EE8"/>
    <w:rsid w:val="00033EDF"/>
    <w:rsid w:val="000347C9"/>
    <w:rsid w:val="00035FDF"/>
    <w:rsid w:val="00041A0C"/>
    <w:rsid w:val="00044BE2"/>
    <w:rsid w:val="000478C1"/>
    <w:rsid w:val="000519D6"/>
    <w:rsid w:val="000546E4"/>
    <w:rsid w:val="0005776D"/>
    <w:rsid w:val="00066D46"/>
    <w:rsid w:val="000714DE"/>
    <w:rsid w:val="00076E37"/>
    <w:rsid w:val="00077D5B"/>
    <w:rsid w:val="000803B0"/>
    <w:rsid w:val="0008063C"/>
    <w:rsid w:val="00080837"/>
    <w:rsid w:val="00080E3D"/>
    <w:rsid w:val="00081A75"/>
    <w:rsid w:val="00086F0E"/>
    <w:rsid w:val="00086FF5"/>
    <w:rsid w:val="000875AF"/>
    <w:rsid w:val="00092A11"/>
    <w:rsid w:val="00096D97"/>
    <w:rsid w:val="000A322A"/>
    <w:rsid w:val="000B5CB0"/>
    <w:rsid w:val="000B5D1F"/>
    <w:rsid w:val="000C5C1F"/>
    <w:rsid w:val="000C69F9"/>
    <w:rsid w:val="000D1D76"/>
    <w:rsid w:val="000E4979"/>
    <w:rsid w:val="000E660D"/>
    <w:rsid w:val="000F0FCA"/>
    <w:rsid w:val="000F4951"/>
    <w:rsid w:val="00100085"/>
    <w:rsid w:val="00100C7F"/>
    <w:rsid w:val="001144E7"/>
    <w:rsid w:val="00114799"/>
    <w:rsid w:val="0012057C"/>
    <w:rsid w:val="00120EAE"/>
    <w:rsid w:val="00122D50"/>
    <w:rsid w:val="00123545"/>
    <w:rsid w:val="001243FC"/>
    <w:rsid w:val="001322B6"/>
    <w:rsid w:val="00132517"/>
    <w:rsid w:val="001409FB"/>
    <w:rsid w:val="001415D6"/>
    <w:rsid w:val="00141971"/>
    <w:rsid w:val="0014395B"/>
    <w:rsid w:val="00151268"/>
    <w:rsid w:val="001548BF"/>
    <w:rsid w:val="00161521"/>
    <w:rsid w:val="00162B33"/>
    <w:rsid w:val="00171160"/>
    <w:rsid w:val="001846E9"/>
    <w:rsid w:val="00187133"/>
    <w:rsid w:val="00191879"/>
    <w:rsid w:val="00192D45"/>
    <w:rsid w:val="00193762"/>
    <w:rsid w:val="0019509B"/>
    <w:rsid w:val="001A265E"/>
    <w:rsid w:val="001A2EE7"/>
    <w:rsid w:val="001A379E"/>
    <w:rsid w:val="001B7102"/>
    <w:rsid w:val="001B7249"/>
    <w:rsid w:val="001C0737"/>
    <w:rsid w:val="001C5A47"/>
    <w:rsid w:val="001C78B8"/>
    <w:rsid w:val="001D1620"/>
    <w:rsid w:val="001E6ADF"/>
    <w:rsid w:val="001F3417"/>
    <w:rsid w:val="00203BA9"/>
    <w:rsid w:val="00210CF5"/>
    <w:rsid w:val="00210EFB"/>
    <w:rsid w:val="00227633"/>
    <w:rsid w:val="002301E4"/>
    <w:rsid w:val="0023060C"/>
    <w:rsid w:val="002348C5"/>
    <w:rsid w:val="0024307E"/>
    <w:rsid w:val="00251103"/>
    <w:rsid w:val="00254342"/>
    <w:rsid w:val="00262A68"/>
    <w:rsid w:val="00265625"/>
    <w:rsid w:val="002803E5"/>
    <w:rsid w:val="00281D45"/>
    <w:rsid w:val="002849DE"/>
    <w:rsid w:val="0028796C"/>
    <w:rsid w:val="002927D6"/>
    <w:rsid w:val="00293F47"/>
    <w:rsid w:val="002955BB"/>
    <w:rsid w:val="00296907"/>
    <w:rsid w:val="002978AE"/>
    <w:rsid w:val="002A1EF4"/>
    <w:rsid w:val="002A4253"/>
    <w:rsid w:val="002A4881"/>
    <w:rsid w:val="002B13B8"/>
    <w:rsid w:val="002B220F"/>
    <w:rsid w:val="002B3D42"/>
    <w:rsid w:val="002B4FD7"/>
    <w:rsid w:val="002C398C"/>
    <w:rsid w:val="002D0931"/>
    <w:rsid w:val="002D3A51"/>
    <w:rsid w:val="002F7970"/>
    <w:rsid w:val="003018AB"/>
    <w:rsid w:val="00304038"/>
    <w:rsid w:val="0030509D"/>
    <w:rsid w:val="0031105E"/>
    <w:rsid w:val="00317607"/>
    <w:rsid w:val="00317E82"/>
    <w:rsid w:val="003236B7"/>
    <w:rsid w:val="00325A7C"/>
    <w:rsid w:val="0033344C"/>
    <w:rsid w:val="003335EE"/>
    <w:rsid w:val="003358A3"/>
    <w:rsid w:val="0034256A"/>
    <w:rsid w:val="00346111"/>
    <w:rsid w:val="0035338E"/>
    <w:rsid w:val="00357535"/>
    <w:rsid w:val="0036346B"/>
    <w:rsid w:val="00391053"/>
    <w:rsid w:val="003931C2"/>
    <w:rsid w:val="00395701"/>
    <w:rsid w:val="003A5C2C"/>
    <w:rsid w:val="003A6FF3"/>
    <w:rsid w:val="003B075A"/>
    <w:rsid w:val="003B7C63"/>
    <w:rsid w:val="003C09B8"/>
    <w:rsid w:val="003D40D2"/>
    <w:rsid w:val="003D55F4"/>
    <w:rsid w:val="003E0583"/>
    <w:rsid w:val="003E26B6"/>
    <w:rsid w:val="003E77EF"/>
    <w:rsid w:val="003F20BA"/>
    <w:rsid w:val="003F270F"/>
    <w:rsid w:val="003F6F35"/>
    <w:rsid w:val="0040143F"/>
    <w:rsid w:val="004052FE"/>
    <w:rsid w:val="00413EE5"/>
    <w:rsid w:val="00417D93"/>
    <w:rsid w:val="0044221E"/>
    <w:rsid w:val="004454AB"/>
    <w:rsid w:val="0044574F"/>
    <w:rsid w:val="00446686"/>
    <w:rsid w:val="00446D37"/>
    <w:rsid w:val="00455A1A"/>
    <w:rsid w:val="00457E50"/>
    <w:rsid w:val="00461A23"/>
    <w:rsid w:val="004659E6"/>
    <w:rsid w:val="004701EA"/>
    <w:rsid w:val="00470856"/>
    <w:rsid w:val="004735D7"/>
    <w:rsid w:val="00474380"/>
    <w:rsid w:val="004775A3"/>
    <w:rsid w:val="00483752"/>
    <w:rsid w:val="0049124C"/>
    <w:rsid w:val="004A58FA"/>
    <w:rsid w:val="004C481A"/>
    <w:rsid w:val="004D3B22"/>
    <w:rsid w:val="004E0685"/>
    <w:rsid w:val="004E2E2A"/>
    <w:rsid w:val="004F2156"/>
    <w:rsid w:val="004F26B1"/>
    <w:rsid w:val="004F5D32"/>
    <w:rsid w:val="00500962"/>
    <w:rsid w:val="005013EF"/>
    <w:rsid w:val="005016EF"/>
    <w:rsid w:val="00502CCB"/>
    <w:rsid w:val="00505132"/>
    <w:rsid w:val="00510145"/>
    <w:rsid w:val="00521E26"/>
    <w:rsid w:val="00526544"/>
    <w:rsid w:val="005317FD"/>
    <w:rsid w:val="00532898"/>
    <w:rsid w:val="00533354"/>
    <w:rsid w:val="005361D0"/>
    <w:rsid w:val="005425F3"/>
    <w:rsid w:val="005458F1"/>
    <w:rsid w:val="005461B2"/>
    <w:rsid w:val="00554D72"/>
    <w:rsid w:val="00554E63"/>
    <w:rsid w:val="00574417"/>
    <w:rsid w:val="005770B8"/>
    <w:rsid w:val="005777B5"/>
    <w:rsid w:val="00597E9C"/>
    <w:rsid w:val="005A0DAE"/>
    <w:rsid w:val="005A3DA8"/>
    <w:rsid w:val="005A76E5"/>
    <w:rsid w:val="005B7925"/>
    <w:rsid w:val="005C666C"/>
    <w:rsid w:val="005D1D43"/>
    <w:rsid w:val="005E5E08"/>
    <w:rsid w:val="005E67D0"/>
    <w:rsid w:val="005F3F41"/>
    <w:rsid w:val="005F4FFD"/>
    <w:rsid w:val="005F7E64"/>
    <w:rsid w:val="0060625D"/>
    <w:rsid w:val="00607402"/>
    <w:rsid w:val="0061535F"/>
    <w:rsid w:val="00616298"/>
    <w:rsid w:val="006174E9"/>
    <w:rsid w:val="0062105E"/>
    <w:rsid w:val="00622B9E"/>
    <w:rsid w:val="00626624"/>
    <w:rsid w:val="006328BE"/>
    <w:rsid w:val="006347C9"/>
    <w:rsid w:val="00635073"/>
    <w:rsid w:val="0063617E"/>
    <w:rsid w:val="00640ACA"/>
    <w:rsid w:val="00642B19"/>
    <w:rsid w:val="006529B2"/>
    <w:rsid w:val="00662C48"/>
    <w:rsid w:val="00666E40"/>
    <w:rsid w:val="00667A10"/>
    <w:rsid w:val="00673A8A"/>
    <w:rsid w:val="00680EF8"/>
    <w:rsid w:val="006911CD"/>
    <w:rsid w:val="006A3F13"/>
    <w:rsid w:val="006A5B81"/>
    <w:rsid w:val="006A7290"/>
    <w:rsid w:val="006B31F7"/>
    <w:rsid w:val="006C06EA"/>
    <w:rsid w:val="006C14F0"/>
    <w:rsid w:val="006C2A30"/>
    <w:rsid w:val="006C47A0"/>
    <w:rsid w:val="006C59D5"/>
    <w:rsid w:val="006D4633"/>
    <w:rsid w:val="006D5E1C"/>
    <w:rsid w:val="006D7FFA"/>
    <w:rsid w:val="006E16BD"/>
    <w:rsid w:val="006E7A21"/>
    <w:rsid w:val="006F17DB"/>
    <w:rsid w:val="006F3EC8"/>
    <w:rsid w:val="00700CB8"/>
    <w:rsid w:val="0070556E"/>
    <w:rsid w:val="007072FD"/>
    <w:rsid w:val="007135B4"/>
    <w:rsid w:val="00717770"/>
    <w:rsid w:val="0072269A"/>
    <w:rsid w:val="00726075"/>
    <w:rsid w:val="00727ED4"/>
    <w:rsid w:val="00737529"/>
    <w:rsid w:val="0073787C"/>
    <w:rsid w:val="00750C21"/>
    <w:rsid w:val="0075751D"/>
    <w:rsid w:val="00762BAB"/>
    <w:rsid w:val="00765CF2"/>
    <w:rsid w:val="00767B89"/>
    <w:rsid w:val="0077472B"/>
    <w:rsid w:val="00774F9E"/>
    <w:rsid w:val="007777E7"/>
    <w:rsid w:val="007818AF"/>
    <w:rsid w:val="00791D17"/>
    <w:rsid w:val="0079273B"/>
    <w:rsid w:val="00794DA5"/>
    <w:rsid w:val="007953A3"/>
    <w:rsid w:val="0079792D"/>
    <w:rsid w:val="007A2385"/>
    <w:rsid w:val="007A3F17"/>
    <w:rsid w:val="007A4223"/>
    <w:rsid w:val="007A63F7"/>
    <w:rsid w:val="007A67C0"/>
    <w:rsid w:val="007A6B9C"/>
    <w:rsid w:val="007B35DD"/>
    <w:rsid w:val="007D5D70"/>
    <w:rsid w:val="007E3C79"/>
    <w:rsid w:val="007E5C40"/>
    <w:rsid w:val="007F123D"/>
    <w:rsid w:val="007F1880"/>
    <w:rsid w:val="007F72B9"/>
    <w:rsid w:val="00801C61"/>
    <w:rsid w:val="00811A36"/>
    <w:rsid w:val="0081383D"/>
    <w:rsid w:val="00813AE3"/>
    <w:rsid w:val="00822FAF"/>
    <w:rsid w:val="00836AFC"/>
    <w:rsid w:val="00846305"/>
    <w:rsid w:val="008543AF"/>
    <w:rsid w:val="00861094"/>
    <w:rsid w:val="008637DA"/>
    <w:rsid w:val="00865B27"/>
    <w:rsid w:val="008679C7"/>
    <w:rsid w:val="00871C6F"/>
    <w:rsid w:val="00874A6E"/>
    <w:rsid w:val="00883092"/>
    <w:rsid w:val="008903DA"/>
    <w:rsid w:val="0089538C"/>
    <w:rsid w:val="008A18F2"/>
    <w:rsid w:val="008A512B"/>
    <w:rsid w:val="008A6FF6"/>
    <w:rsid w:val="008B098E"/>
    <w:rsid w:val="008B102B"/>
    <w:rsid w:val="008B313E"/>
    <w:rsid w:val="008B324B"/>
    <w:rsid w:val="008B54D7"/>
    <w:rsid w:val="008C0171"/>
    <w:rsid w:val="008D110B"/>
    <w:rsid w:val="008D23FF"/>
    <w:rsid w:val="008D762D"/>
    <w:rsid w:val="008E0BF9"/>
    <w:rsid w:val="008E6F60"/>
    <w:rsid w:val="008E7B6C"/>
    <w:rsid w:val="009100E6"/>
    <w:rsid w:val="0091192F"/>
    <w:rsid w:val="00911E88"/>
    <w:rsid w:val="009357BA"/>
    <w:rsid w:val="00953C9B"/>
    <w:rsid w:val="00955A06"/>
    <w:rsid w:val="00961A6D"/>
    <w:rsid w:val="00964C33"/>
    <w:rsid w:val="00964D64"/>
    <w:rsid w:val="0097650B"/>
    <w:rsid w:val="00977B44"/>
    <w:rsid w:val="00981A54"/>
    <w:rsid w:val="0098733F"/>
    <w:rsid w:val="00991B8D"/>
    <w:rsid w:val="0099590E"/>
    <w:rsid w:val="009959AF"/>
    <w:rsid w:val="00997AF8"/>
    <w:rsid w:val="009A753C"/>
    <w:rsid w:val="009A7B92"/>
    <w:rsid w:val="009B79C3"/>
    <w:rsid w:val="009C0E24"/>
    <w:rsid w:val="009C496A"/>
    <w:rsid w:val="009C5927"/>
    <w:rsid w:val="009C6F82"/>
    <w:rsid w:val="009D41CB"/>
    <w:rsid w:val="009F49A6"/>
    <w:rsid w:val="009F5147"/>
    <w:rsid w:val="00A041F9"/>
    <w:rsid w:val="00A16C23"/>
    <w:rsid w:val="00A2483F"/>
    <w:rsid w:val="00A479D3"/>
    <w:rsid w:val="00A51F20"/>
    <w:rsid w:val="00A662EA"/>
    <w:rsid w:val="00A676C2"/>
    <w:rsid w:val="00A82B60"/>
    <w:rsid w:val="00A82C25"/>
    <w:rsid w:val="00A852D3"/>
    <w:rsid w:val="00A95903"/>
    <w:rsid w:val="00AA13FD"/>
    <w:rsid w:val="00AA147D"/>
    <w:rsid w:val="00AA2DF2"/>
    <w:rsid w:val="00AA35CE"/>
    <w:rsid w:val="00AB07C0"/>
    <w:rsid w:val="00AB47A2"/>
    <w:rsid w:val="00AC57AC"/>
    <w:rsid w:val="00AD1AF3"/>
    <w:rsid w:val="00AE45F4"/>
    <w:rsid w:val="00AE5297"/>
    <w:rsid w:val="00AF7F1A"/>
    <w:rsid w:val="00B079C0"/>
    <w:rsid w:val="00B11C99"/>
    <w:rsid w:val="00B12CBF"/>
    <w:rsid w:val="00B275F8"/>
    <w:rsid w:val="00B405B3"/>
    <w:rsid w:val="00B529AD"/>
    <w:rsid w:val="00B533FD"/>
    <w:rsid w:val="00B551A8"/>
    <w:rsid w:val="00B72143"/>
    <w:rsid w:val="00B7475A"/>
    <w:rsid w:val="00B80403"/>
    <w:rsid w:val="00B812B3"/>
    <w:rsid w:val="00B85C69"/>
    <w:rsid w:val="00B87529"/>
    <w:rsid w:val="00B917C8"/>
    <w:rsid w:val="00B94202"/>
    <w:rsid w:val="00B943B5"/>
    <w:rsid w:val="00B97993"/>
    <w:rsid w:val="00BA4A17"/>
    <w:rsid w:val="00BA7BF9"/>
    <w:rsid w:val="00BA7DA1"/>
    <w:rsid w:val="00BB00D5"/>
    <w:rsid w:val="00BB594D"/>
    <w:rsid w:val="00BC0581"/>
    <w:rsid w:val="00BC0CE7"/>
    <w:rsid w:val="00BC2B23"/>
    <w:rsid w:val="00BE275F"/>
    <w:rsid w:val="00BF5B04"/>
    <w:rsid w:val="00C00637"/>
    <w:rsid w:val="00C00734"/>
    <w:rsid w:val="00C0076D"/>
    <w:rsid w:val="00C03E27"/>
    <w:rsid w:val="00C05FD2"/>
    <w:rsid w:val="00C10D15"/>
    <w:rsid w:val="00C13B81"/>
    <w:rsid w:val="00C17C65"/>
    <w:rsid w:val="00C244DB"/>
    <w:rsid w:val="00C32161"/>
    <w:rsid w:val="00C35B45"/>
    <w:rsid w:val="00C41A56"/>
    <w:rsid w:val="00C5113A"/>
    <w:rsid w:val="00C5147C"/>
    <w:rsid w:val="00C72FF0"/>
    <w:rsid w:val="00C75049"/>
    <w:rsid w:val="00C83163"/>
    <w:rsid w:val="00C970BF"/>
    <w:rsid w:val="00CA52F9"/>
    <w:rsid w:val="00CA63E5"/>
    <w:rsid w:val="00CA7B1F"/>
    <w:rsid w:val="00CB2EDA"/>
    <w:rsid w:val="00CB3ECB"/>
    <w:rsid w:val="00CB642C"/>
    <w:rsid w:val="00CC3C13"/>
    <w:rsid w:val="00CC4454"/>
    <w:rsid w:val="00CC57CB"/>
    <w:rsid w:val="00CC6E72"/>
    <w:rsid w:val="00CD41D6"/>
    <w:rsid w:val="00CF7A70"/>
    <w:rsid w:val="00D128EB"/>
    <w:rsid w:val="00D15479"/>
    <w:rsid w:val="00D3177B"/>
    <w:rsid w:val="00D34E2E"/>
    <w:rsid w:val="00D37583"/>
    <w:rsid w:val="00D41CFE"/>
    <w:rsid w:val="00D43AEB"/>
    <w:rsid w:val="00D518A5"/>
    <w:rsid w:val="00D51BE1"/>
    <w:rsid w:val="00D569B1"/>
    <w:rsid w:val="00D64980"/>
    <w:rsid w:val="00D6637B"/>
    <w:rsid w:val="00D738B2"/>
    <w:rsid w:val="00D73D24"/>
    <w:rsid w:val="00D751A6"/>
    <w:rsid w:val="00D84048"/>
    <w:rsid w:val="00D84A47"/>
    <w:rsid w:val="00D84C53"/>
    <w:rsid w:val="00D86333"/>
    <w:rsid w:val="00D91101"/>
    <w:rsid w:val="00D913EE"/>
    <w:rsid w:val="00DA0283"/>
    <w:rsid w:val="00DA11B9"/>
    <w:rsid w:val="00DA2C73"/>
    <w:rsid w:val="00DA3A5E"/>
    <w:rsid w:val="00DA4CDB"/>
    <w:rsid w:val="00DB736E"/>
    <w:rsid w:val="00DD4616"/>
    <w:rsid w:val="00DE0EA1"/>
    <w:rsid w:val="00DE3034"/>
    <w:rsid w:val="00DF0E3D"/>
    <w:rsid w:val="00DF70A4"/>
    <w:rsid w:val="00E036D9"/>
    <w:rsid w:val="00E07D1B"/>
    <w:rsid w:val="00E10186"/>
    <w:rsid w:val="00E27A30"/>
    <w:rsid w:val="00E3364D"/>
    <w:rsid w:val="00E36F30"/>
    <w:rsid w:val="00E43826"/>
    <w:rsid w:val="00E43959"/>
    <w:rsid w:val="00E4687D"/>
    <w:rsid w:val="00E56677"/>
    <w:rsid w:val="00E65305"/>
    <w:rsid w:val="00E7023A"/>
    <w:rsid w:val="00E71043"/>
    <w:rsid w:val="00E72555"/>
    <w:rsid w:val="00E75411"/>
    <w:rsid w:val="00E824A5"/>
    <w:rsid w:val="00E944E6"/>
    <w:rsid w:val="00EA1B6F"/>
    <w:rsid w:val="00EA3461"/>
    <w:rsid w:val="00EB7DD9"/>
    <w:rsid w:val="00EC2226"/>
    <w:rsid w:val="00ED11D5"/>
    <w:rsid w:val="00ED6741"/>
    <w:rsid w:val="00EE4865"/>
    <w:rsid w:val="00F02FC8"/>
    <w:rsid w:val="00F07EEC"/>
    <w:rsid w:val="00F12EA8"/>
    <w:rsid w:val="00F138E2"/>
    <w:rsid w:val="00F23235"/>
    <w:rsid w:val="00F25CB9"/>
    <w:rsid w:val="00F25FE6"/>
    <w:rsid w:val="00F27C05"/>
    <w:rsid w:val="00F27F45"/>
    <w:rsid w:val="00F33D9C"/>
    <w:rsid w:val="00F42251"/>
    <w:rsid w:val="00F449F9"/>
    <w:rsid w:val="00F45C3F"/>
    <w:rsid w:val="00F527A1"/>
    <w:rsid w:val="00F542E6"/>
    <w:rsid w:val="00F57C0A"/>
    <w:rsid w:val="00F62FDB"/>
    <w:rsid w:val="00F63262"/>
    <w:rsid w:val="00F671B2"/>
    <w:rsid w:val="00F7367F"/>
    <w:rsid w:val="00F73963"/>
    <w:rsid w:val="00F73C7B"/>
    <w:rsid w:val="00F80FBD"/>
    <w:rsid w:val="00F87FD1"/>
    <w:rsid w:val="00F93BDC"/>
    <w:rsid w:val="00FA1765"/>
    <w:rsid w:val="00FB59C7"/>
    <w:rsid w:val="00FB6B7E"/>
    <w:rsid w:val="00FB6D09"/>
    <w:rsid w:val="00FC26BC"/>
    <w:rsid w:val="00FC6B2A"/>
    <w:rsid w:val="00FD5982"/>
    <w:rsid w:val="00FD6D26"/>
    <w:rsid w:val="00FF5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D9908C"/>
  <w15:chartTrackingRefBased/>
  <w15:docId w15:val="{BEE04E5F-95DF-4446-98DE-9928428A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F2"/>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251103"/>
    <w:pPr>
      <w:ind w:left="720"/>
      <w:contextualSpacing/>
    </w:pPr>
  </w:style>
  <w:style w:type="table" w:styleId="TableGrid">
    <w:name w:val="Table Grid"/>
    <w:basedOn w:val="TableNormal"/>
    <w:uiPriority w:val="59"/>
    <w:rsid w:val="00251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rsid w:val="00251103"/>
    <w:pPr>
      <w:spacing w:before="75" w:after="75"/>
      <w:jc w:val="center"/>
    </w:pPr>
    <w:rPr>
      <w:rFonts w:eastAsia="Times New Roman"/>
      <w:sz w:val="24"/>
      <w:szCs w:val="24"/>
      <w:lang w:eastAsia="lv-LV"/>
    </w:rPr>
  </w:style>
  <w:style w:type="paragraph" w:styleId="NormalWeb">
    <w:name w:val="Normal (Web)"/>
    <w:basedOn w:val="Normal"/>
    <w:uiPriority w:val="99"/>
    <w:rsid w:val="00251103"/>
    <w:pPr>
      <w:spacing w:before="100" w:beforeAutospacing="1" w:after="100" w:afterAutospacing="1"/>
    </w:pPr>
    <w:rPr>
      <w:rFonts w:eastAsia="Times New Roman"/>
      <w:sz w:val="24"/>
      <w:szCs w:val="24"/>
      <w:lang w:eastAsia="lv-LV"/>
    </w:rPr>
  </w:style>
  <w:style w:type="paragraph" w:customStyle="1" w:styleId="naisf">
    <w:name w:val="naisf"/>
    <w:basedOn w:val="Normal"/>
    <w:rsid w:val="00251103"/>
    <w:pPr>
      <w:spacing w:before="75" w:after="75"/>
      <w:ind w:firstLine="375"/>
      <w:jc w:val="both"/>
    </w:pPr>
    <w:rPr>
      <w:rFonts w:eastAsia="Times New Roman"/>
      <w:sz w:val="24"/>
      <w:szCs w:val="24"/>
      <w:lang w:eastAsia="lv-LV"/>
    </w:rPr>
  </w:style>
  <w:style w:type="paragraph" w:customStyle="1" w:styleId="naiskr">
    <w:name w:val="naiskr"/>
    <w:basedOn w:val="Normal"/>
    <w:rsid w:val="00251103"/>
    <w:pPr>
      <w:spacing w:before="75" w:after="75"/>
    </w:pPr>
    <w:rPr>
      <w:rFonts w:eastAsia="Times New Roman"/>
      <w:sz w:val="24"/>
      <w:szCs w:val="24"/>
      <w:lang w:eastAsia="lv-LV"/>
    </w:rPr>
  </w:style>
  <w:style w:type="paragraph" w:styleId="BodyText">
    <w:name w:val="Body Text"/>
    <w:basedOn w:val="Normal"/>
    <w:link w:val="BodyTextChar"/>
    <w:rsid w:val="00251103"/>
    <w:pPr>
      <w:spacing w:after="120"/>
    </w:pPr>
    <w:rPr>
      <w:rFonts w:eastAsia="Times New Roman"/>
      <w:sz w:val="24"/>
      <w:szCs w:val="24"/>
      <w:lang w:eastAsia="lv-LV"/>
    </w:rPr>
  </w:style>
  <w:style w:type="character" w:customStyle="1" w:styleId="BodyTextChar">
    <w:name w:val="Body Text Char"/>
    <w:link w:val="BodyText"/>
    <w:rsid w:val="00251103"/>
    <w:rPr>
      <w:rFonts w:eastAsia="Times New Roman" w:cs="Times New Roman"/>
      <w:sz w:val="24"/>
      <w:szCs w:val="24"/>
      <w:lang w:eastAsia="lv-LV"/>
    </w:rPr>
  </w:style>
  <w:style w:type="paragraph" w:styleId="Header">
    <w:name w:val="header"/>
    <w:basedOn w:val="Normal"/>
    <w:link w:val="HeaderChar"/>
    <w:uiPriority w:val="99"/>
    <w:unhideWhenUsed/>
    <w:rsid w:val="00FC6B2A"/>
    <w:pPr>
      <w:tabs>
        <w:tab w:val="center" w:pos="4153"/>
        <w:tab w:val="right" w:pos="8306"/>
      </w:tabs>
    </w:pPr>
  </w:style>
  <w:style w:type="character" w:customStyle="1" w:styleId="HeaderChar">
    <w:name w:val="Header Char"/>
    <w:link w:val="Header"/>
    <w:uiPriority w:val="99"/>
    <w:rsid w:val="00FC6B2A"/>
    <w:rPr>
      <w:sz w:val="28"/>
      <w:szCs w:val="22"/>
      <w:lang w:eastAsia="en-US"/>
    </w:rPr>
  </w:style>
  <w:style w:type="character" w:styleId="Hyperlink">
    <w:name w:val="Hyperlink"/>
    <w:uiPriority w:val="99"/>
    <w:unhideWhenUsed/>
    <w:rsid w:val="00FC6B2A"/>
    <w:rPr>
      <w:color w:val="0000FF"/>
      <w:u w:val="single"/>
    </w:rPr>
  </w:style>
  <w:style w:type="paragraph" w:customStyle="1" w:styleId="naislab">
    <w:name w:val="naislab"/>
    <w:basedOn w:val="Normal"/>
    <w:rsid w:val="00FC6B2A"/>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styleId="BodyTextIndent2">
    <w:name w:val="Body Text Indent 2"/>
    <w:basedOn w:val="Normal"/>
    <w:link w:val="BodyTextIndent2Char"/>
    <w:uiPriority w:val="99"/>
    <w:unhideWhenUsed/>
    <w:rsid w:val="005F4FFD"/>
    <w:pPr>
      <w:spacing w:after="120" w:line="480" w:lineRule="auto"/>
      <w:ind w:left="283"/>
    </w:pPr>
  </w:style>
  <w:style w:type="character" w:customStyle="1" w:styleId="BodyTextIndent2Char">
    <w:name w:val="Body Text Indent 2 Char"/>
    <w:link w:val="BodyTextIndent2"/>
    <w:uiPriority w:val="99"/>
    <w:rsid w:val="005F4FFD"/>
    <w:rPr>
      <w:sz w:val="28"/>
      <w:szCs w:val="22"/>
      <w:lang w:eastAsia="en-US"/>
    </w:rPr>
  </w:style>
  <w:style w:type="paragraph" w:styleId="BodyTextIndent">
    <w:name w:val="Body Text Indent"/>
    <w:basedOn w:val="Normal"/>
    <w:link w:val="BodyTextIndentChar"/>
    <w:uiPriority w:val="99"/>
    <w:unhideWhenUsed/>
    <w:rsid w:val="005F4FFD"/>
    <w:pPr>
      <w:spacing w:after="120"/>
      <w:ind w:left="283"/>
    </w:pPr>
  </w:style>
  <w:style w:type="character" w:customStyle="1" w:styleId="BodyTextIndentChar">
    <w:name w:val="Body Text Indent Char"/>
    <w:link w:val="BodyTextIndent"/>
    <w:uiPriority w:val="99"/>
    <w:rsid w:val="005F4FFD"/>
    <w:rPr>
      <w:sz w:val="28"/>
      <w:szCs w:val="22"/>
      <w:lang w:eastAsia="en-US"/>
    </w:rPr>
  </w:style>
  <w:style w:type="paragraph" w:styleId="Footer">
    <w:name w:val="footer"/>
    <w:basedOn w:val="Normal"/>
    <w:link w:val="FooterChar"/>
    <w:unhideWhenUsed/>
    <w:rsid w:val="007A6B9C"/>
    <w:pPr>
      <w:tabs>
        <w:tab w:val="center" w:pos="4153"/>
        <w:tab w:val="right" w:pos="8306"/>
      </w:tabs>
    </w:pPr>
  </w:style>
  <w:style w:type="character" w:customStyle="1" w:styleId="FooterChar">
    <w:name w:val="Footer Char"/>
    <w:link w:val="Footer"/>
    <w:rsid w:val="007A6B9C"/>
    <w:rPr>
      <w:sz w:val="28"/>
      <w:szCs w:val="22"/>
      <w:lang w:eastAsia="en-US"/>
    </w:rPr>
  </w:style>
  <w:style w:type="paragraph" w:styleId="BalloonText">
    <w:name w:val="Balloon Text"/>
    <w:basedOn w:val="Normal"/>
    <w:link w:val="BalloonTextChar"/>
    <w:uiPriority w:val="99"/>
    <w:semiHidden/>
    <w:unhideWhenUsed/>
    <w:rsid w:val="00005923"/>
    <w:rPr>
      <w:rFonts w:ascii="Tahoma" w:hAnsi="Tahoma" w:cs="Tahoma"/>
      <w:sz w:val="16"/>
      <w:szCs w:val="16"/>
    </w:rPr>
  </w:style>
  <w:style w:type="character" w:customStyle="1" w:styleId="BalloonTextChar">
    <w:name w:val="Balloon Text Char"/>
    <w:link w:val="BalloonText"/>
    <w:uiPriority w:val="99"/>
    <w:semiHidden/>
    <w:rsid w:val="00005923"/>
    <w:rPr>
      <w:rFonts w:ascii="Tahoma" w:hAnsi="Tahoma" w:cs="Tahoma"/>
      <w:sz w:val="16"/>
      <w:szCs w:val="16"/>
      <w:lang w:eastAsia="en-US"/>
    </w:rPr>
  </w:style>
  <w:style w:type="table" w:customStyle="1" w:styleId="TableGrid1">
    <w:name w:val="Table Grid1"/>
    <w:basedOn w:val="TableNormal"/>
    <w:next w:val="TableGrid"/>
    <w:rsid w:val="000875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D72"/>
    <w:rPr>
      <w:sz w:val="28"/>
      <w:szCs w:val="22"/>
      <w:lang w:eastAsia="en-US"/>
    </w:rPr>
  </w:style>
  <w:style w:type="character" w:customStyle="1" w:styleId="ListParagraphChar">
    <w:name w:val="List Paragraph Char"/>
    <w:aliases w:val="2 Char,Akapit z listą BS Char,H&amp;P List Paragraph Char,Strip Char"/>
    <w:link w:val="ListParagraph"/>
    <w:uiPriority w:val="34"/>
    <w:rsid w:val="00953C9B"/>
    <w:rPr>
      <w:sz w:val="28"/>
      <w:szCs w:val="22"/>
      <w:lang w:eastAsia="en-US"/>
    </w:rPr>
  </w:style>
  <w:style w:type="character" w:styleId="CommentReference">
    <w:name w:val="annotation reference"/>
    <w:basedOn w:val="DefaultParagraphFont"/>
    <w:uiPriority w:val="99"/>
    <w:semiHidden/>
    <w:unhideWhenUsed/>
    <w:rsid w:val="003F20BA"/>
    <w:rPr>
      <w:sz w:val="16"/>
      <w:szCs w:val="16"/>
    </w:rPr>
  </w:style>
  <w:style w:type="paragraph" w:styleId="CommentText">
    <w:name w:val="annotation text"/>
    <w:basedOn w:val="Normal"/>
    <w:link w:val="CommentTextChar"/>
    <w:uiPriority w:val="99"/>
    <w:unhideWhenUsed/>
    <w:rsid w:val="003F20BA"/>
    <w:rPr>
      <w:sz w:val="20"/>
      <w:szCs w:val="20"/>
    </w:rPr>
  </w:style>
  <w:style w:type="character" w:customStyle="1" w:styleId="CommentTextChar">
    <w:name w:val="Comment Text Char"/>
    <w:basedOn w:val="DefaultParagraphFont"/>
    <w:link w:val="CommentText"/>
    <w:uiPriority w:val="99"/>
    <w:rsid w:val="003F20BA"/>
    <w:rPr>
      <w:lang w:eastAsia="en-US"/>
    </w:rPr>
  </w:style>
  <w:style w:type="paragraph" w:styleId="CommentSubject">
    <w:name w:val="annotation subject"/>
    <w:basedOn w:val="CommentText"/>
    <w:next w:val="CommentText"/>
    <w:link w:val="CommentSubjectChar"/>
    <w:uiPriority w:val="99"/>
    <w:semiHidden/>
    <w:unhideWhenUsed/>
    <w:rsid w:val="003F20BA"/>
    <w:rPr>
      <w:b/>
      <w:bCs/>
    </w:rPr>
  </w:style>
  <w:style w:type="character" w:customStyle="1" w:styleId="CommentSubjectChar">
    <w:name w:val="Comment Subject Char"/>
    <w:basedOn w:val="CommentTextChar"/>
    <w:link w:val="CommentSubject"/>
    <w:uiPriority w:val="99"/>
    <w:semiHidden/>
    <w:rsid w:val="003F20B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89343">
      <w:bodyDiv w:val="1"/>
      <w:marLeft w:val="0"/>
      <w:marRight w:val="0"/>
      <w:marTop w:val="0"/>
      <w:marBottom w:val="0"/>
      <w:divBdr>
        <w:top w:val="none" w:sz="0" w:space="0" w:color="auto"/>
        <w:left w:val="none" w:sz="0" w:space="0" w:color="auto"/>
        <w:bottom w:val="none" w:sz="0" w:space="0" w:color="auto"/>
        <w:right w:val="none" w:sz="0" w:space="0" w:color="auto"/>
      </w:divBdr>
    </w:div>
    <w:div w:id="1006443754">
      <w:bodyDiv w:val="1"/>
      <w:marLeft w:val="0"/>
      <w:marRight w:val="0"/>
      <w:marTop w:val="0"/>
      <w:marBottom w:val="0"/>
      <w:divBdr>
        <w:top w:val="none" w:sz="0" w:space="0" w:color="auto"/>
        <w:left w:val="none" w:sz="0" w:space="0" w:color="auto"/>
        <w:bottom w:val="none" w:sz="0" w:space="0" w:color="auto"/>
        <w:right w:val="none" w:sz="0" w:space="0" w:color="auto"/>
      </w:divBdr>
    </w:div>
    <w:div w:id="1429739615">
      <w:bodyDiv w:val="1"/>
      <w:marLeft w:val="0"/>
      <w:marRight w:val="0"/>
      <w:marTop w:val="0"/>
      <w:marBottom w:val="0"/>
      <w:divBdr>
        <w:top w:val="none" w:sz="0" w:space="0" w:color="auto"/>
        <w:left w:val="none" w:sz="0" w:space="0" w:color="auto"/>
        <w:bottom w:val="none" w:sz="0" w:space="0" w:color="auto"/>
        <w:right w:val="none" w:sz="0" w:space="0" w:color="auto"/>
      </w:divBdr>
    </w:div>
    <w:div w:id="1467627900">
      <w:bodyDiv w:val="1"/>
      <w:marLeft w:val="0"/>
      <w:marRight w:val="0"/>
      <w:marTop w:val="0"/>
      <w:marBottom w:val="0"/>
      <w:divBdr>
        <w:top w:val="none" w:sz="0" w:space="0" w:color="auto"/>
        <w:left w:val="none" w:sz="0" w:space="0" w:color="auto"/>
        <w:bottom w:val="none" w:sz="0" w:space="0" w:color="auto"/>
        <w:right w:val="none" w:sz="0" w:space="0" w:color="auto"/>
      </w:divBdr>
    </w:div>
    <w:div w:id="17553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3F32-B7E4-4276-B7F5-1C55E29F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8305</Words>
  <Characters>4735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Mikrouzņēmumu nodokļa likumā"</vt:lpstr>
    </vt:vector>
  </TitlesOfParts>
  <Company>Finanšu ministrija</Company>
  <LinksUpToDate>false</LinksUpToDate>
  <CharactersWithSpaces>13014</CharactersWithSpaces>
  <SharedDoc>false</SharedDoc>
  <HLinks>
    <vt:vector size="6" baseType="variant">
      <vt:variant>
        <vt:i4>196644</vt:i4>
      </vt:variant>
      <vt:variant>
        <vt:i4>3</vt:i4>
      </vt:variant>
      <vt:variant>
        <vt:i4>0</vt:i4>
      </vt:variant>
      <vt:variant>
        <vt:i4>5</vt:i4>
      </vt:variant>
      <vt:variant>
        <vt:lpwstr>mailto:Agrita.Ozolina@fm.gov.lv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Mikrouzņēmumu nodokļa likumā"</dc:title>
  <dc:subject>Izziņa par atzinumos sniegtajiem iebildumiem</dc:subject>
  <dc:creator>Līva Matveja</dc:creator>
  <cp:keywords/>
  <dc:description>Liva.Matveja@fm.gov.lv_x000d_
67095492</dc:description>
  <cp:lastModifiedBy>Līva Matveja</cp:lastModifiedBy>
  <cp:revision>16</cp:revision>
  <cp:lastPrinted>2015-12-16T12:21:00Z</cp:lastPrinted>
  <dcterms:created xsi:type="dcterms:W3CDTF">2018-02-06T07:28:00Z</dcterms:created>
  <dcterms:modified xsi:type="dcterms:W3CDTF">2021-01-19T14:31:00Z</dcterms:modified>
</cp:coreProperties>
</file>