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FA17" w14:textId="77777777" w:rsidR="00022A62" w:rsidRPr="00F9152F"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bookmarkStart w:id="7" w:name="_GoBack"/>
      <w:bookmarkEnd w:id="7"/>
      <w:r w:rsidRPr="00F9152F">
        <w:rPr>
          <w:rFonts w:ascii="Times New Roman" w:eastAsia="Times New Roman" w:hAnsi="Times New Roman" w:cs="Times New Roman"/>
          <w:sz w:val="20"/>
          <w:lang w:eastAsia="lv-LV"/>
        </w:rPr>
        <w:t>Izziņa par atzinumos sniegtajiem iebildumiem</w:t>
      </w:r>
      <w:bookmarkEnd w:id="0"/>
      <w:bookmarkEnd w:id="1"/>
    </w:p>
    <w:p w14:paraId="0E1202B3" w14:textId="77777777" w:rsidR="00022A62" w:rsidRPr="00F9152F"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F9152F" w14:paraId="2CB55E43"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63FE454C" w14:textId="77777777" w:rsidR="00022A62" w:rsidRPr="00F9152F" w:rsidRDefault="00AB400A" w:rsidP="00DA470C">
            <w:pPr>
              <w:spacing w:after="0" w:line="240" w:lineRule="auto"/>
              <w:jc w:val="center"/>
              <w:rPr>
                <w:rFonts w:ascii="Times New Roman" w:eastAsia="Times New Roman" w:hAnsi="Times New Roman" w:cs="Times New Roman"/>
                <w:sz w:val="20"/>
                <w:lang w:eastAsia="lv-LV"/>
              </w:rPr>
            </w:pPr>
            <w:r w:rsidRPr="00F9152F">
              <w:rPr>
                <w:rFonts w:ascii="Times New Roman" w:hAnsi="Times New Roman"/>
                <w:iCs/>
                <w:sz w:val="20"/>
                <w:szCs w:val="24"/>
                <w:lang w:eastAsia="lv-LV"/>
              </w:rPr>
              <w:t>Likum</w:t>
            </w:r>
            <w:r w:rsidR="007D7E64" w:rsidRPr="00F9152F">
              <w:rPr>
                <w:rFonts w:ascii="Times New Roman" w:hAnsi="Times New Roman"/>
                <w:iCs/>
                <w:sz w:val="20"/>
                <w:szCs w:val="24"/>
                <w:lang w:eastAsia="lv-LV"/>
              </w:rPr>
              <w:t>projekts "</w:t>
            </w:r>
            <w:r w:rsidR="00DA470C" w:rsidRPr="00F9152F">
              <w:rPr>
                <w:rFonts w:ascii="Times New Roman" w:hAnsi="Times New Roman"/>
                <w:iCs/>
                <w:sz w:val="20"/>
                <w:szCs w:val="24"/>
                <w:lang w:eastAsia="lv-LV"/>
              </w:rPr>
              <w:t>Izslēdzošā ieskaita piemērošanas kvalificētajiem finanšu darījumiem likums</w:t>
            </w:r>
            <w:r w:rsidR="007D7E64" w:rsidRPr="00F9152F">
              <w:rPr>
                <w:rFonts w:ascii="Times New Roman" w:hAnsi="Times New Roman"/>
                <w:iCs/>
                <w:sz w:val="20"/>
                <w:szCs w:val="24"/>
                <w:lang w:eastAsia="lv-LV"/>
              </w:rPr>
              <w:t>"  (VSS-</w:t>
            </w:r>
            <w:r w:rsidR="00EB3E93" w:rsidRPr="00F9152F">
              <w:rPr>
                <w:rFonts w:ascii="Times New Roman" w:hAnsi="Times New Roman"/>
                <w:iCs/>
                <w:sz w:val="20"/>
                <w:szCs w:val="24"/>
                <w:lang w:eastAsia="lv-LV"/>
              </w:rPr>
              <w:t>4</w:t>
            </w:r>
            <w:r w:rsidR="00DA470C" w:rsidRPr="00F9152F">
              <w:rPr>
                <w:rFonts w:ascii="Times New Roman" w:hAnsi="Times New Roman"/>
                <w:iCs/>
                <w:sz w:val="20"/>
                <w:szCs w:val="24"/>
                <w:lang w:eastAsia="lv-LV"/>
              </w:rPr>
              <w:t>20</w:t>
            </w:r>
            <w:r w:rsidR="007D7E64" w:rsidRPr="00F9152F">
              <w:rPr>
                <w:rFonts w:ascii="Times New Roman" w:hAnsi="Times New Roman"/>
                <w:iCs/>
                <w:sz w:val="20"/>
                <w:szCs w:val="24"/>
                <w:lang w:eastAsia="lv-LV"/>
              </w:rPr>
              <w:t>)</w:t>
            </w:r>
          </w:p>
        </w:tc>
      </w:tr>
    </w:tbl>
    <w:bookmarkEnd w:id="5"/>
    <w:bookmarkEnd w:id="6"/>
    <w:p w14:paraId="44EDE829" w14:textId="1C999367" w:rsidR="00022A62" w:rsidRDefault="00022A62" w:rsidP="00D60CB6">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(dokumenta veids un nosaukums)</w:t>
      </w:r>
    </w:p>
    <w:p w14:paraId="4AB88A6B" w14:textId="77777777" w:rsidR="00AF08B2" w:rsidRPr="00F9152F" w:rsidRDefault="00AF08B2" w:rsidP="00D60CB6">
      <w:pPr>
        <w:spacing w:after="0" w:line="240" w:lineRule="auto"/>
        <w:jc w:val="center"/>
        <w:rPr>
          <w:rFonts w:ascii="Times New Roman" w:eastAsia="Times New Roman" w:hAnsi="Times New Roman" w:cs="Times New Roman"/>
          <w:sz w:val="20"/>
          <w:lang w:eastAsia="lv-LV"/>
        </w:rPr>
      </w:pPr>
    </w:p>
    <w:p w14:paraId="40460D1A" w14:textId="77777777" w:rsidR="00AF08B2" w:rsidRPr="00136A24" w:rsidRDefault="00AF08B2" w:rsidP="00AF08B2">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F08B2" w:rsidRPr="00136A24" w14:paraId="6F29EE98" w14:textId="77777777" w:rsidTr="00CE721D">
        <w:tc>
          <w:tcPr>
            <w:tcW w:w="816" w:type="dxa"/>
            <w:tcBorders>
              <w:top w:val="single" w:sz="6" w:space="0" w:color="000000"/>
              <w:left w:val="single" w:sz="6" w:space="0" w:color="000000"/>
              <w:bottom w:val="single" w:sz="6" w:space="0" w:color="000000"/>
              <w:right w:val="single" w:sz="6" w:space="0" w:color="000000"/>
            </w:tcBorders>
            <w:vAlign w:val="center"/>
          </w:tcPr>
          <w:p w14:paraId="5A716481" w14:textId="77777777" w:rsidR="00AF08B2" w:rsidRPr="00136A24" w:rsidRDefault="00AF08B2" w:rsidP="00CE721D">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4B297C55" w14:textId="77777777" w:rsidR="00AF08B2" w:rsidRPr="00136A24" w:rsidRDefault="00AF08B2" w:rsidP="00CE721D">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193B00F" w14:textId="77777777" w:rsidR="00AF08B2" w:rsidRPr="00136A24" w:rsidRDefault="00AF08B2" w:rsidP="00CE721D">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D5E77E" w14:textId="77777777" w:rsidR="00AF08B2" w:rsidRPr="00136A24" w:rsidRDefault="00AF08B2" w:rsidP="00CE721D">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4E1EC7E1" w14:textId="77777777" w:rsidR="00AF08B2" w:rsidRPr="00136A24" w:rsidRDefault="00AF08B2" w:rsidP="00CE721D">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0DE6ED4A" w14:textId="77777777" w:rsidR="00AF08B2" w:rsidRPr="00136A24" w:rsidRDefault="00AF08B2" w:rsidP="00CE721D">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AF08B2" w:rsidRPr="00136A24" w14:paraId="157907B6" w14:textId="77777777" w:rsidTr="00CE721D">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36B33EB2" w14:textId="77777777" w:rsidR="00AF08B2" w:rsidRPr="00136A24" w:rsidRDefault="00AF08B2" w:rsidP="00CE721D">
            <w:pPr>
              <w:spacing w:after="0" w:line="240" w:lineRule="auto"/>
              <w:jc w:val="center"/>
              <w:rPr>
                <w:rFonts w:ascii="Times New Roman" w:eastAsia="Times New Roman" w:hAnsi="Times New Roman" w:cs="Times New Roman"/>
                <w:color w:val="000000"/>
                <w:sz w:val="20"/>
                <w:lang w:eastAsia="lv-LV"/>
              </w:rPr>
            </w:pPr>
            <w:r w:rsidRPr="00136A24">
              <w:rPr>
                <w:rFonts w:ascii="Times New Roman" w:eastAsia="Times New Roman" w:hAnsi="Times New Roman" w:cs="Times New Roman"/>
                <w:color w:val="000000"/>
                <w:sz w:val="20"/>
                <w:lang w:eastAsia="lv-LV"/>
              </w:rPr>
              <w:t>Nav nesaskaņotu iebildumu</w:t>
            </w:r>
          </w:p>
        </w:tc>
      </w:tr>
    </w:tbl>
    <w:p w14:paraId="75F05318" w14:textId="77777777" w:rsidR="00022A62" w:rsidRPr="00F9152F" w:rsidRDefault="00022A62" w:rsidP="00D60CB6">
      <w:pPr>
        <w:spacing w:after="0" w:line="240" w:lineRule="auto"/>
        <w:jc w:val="both"/>
        <w:rPr>
          <w:rFonts w:ascii="Times New Roman" w:eastAsia="Times New Roman" w:hAnsi="Times New Roman" w:cs="Times New Roman"/>
          <w:sz w:val="20"/>
          <w:lang w:eastAsia="lv-LV"/>
        </w:rPr>
      </w:pPr>
    </w:p>
    <w:p w14:paraId="1FB0B6A2" w14:textId="77777777" w:rsidR="00022A62" w:rsidRPr="00F9152F" w:rsidRDefault="00022A62" w:rsidP="00D60CB6">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Informācija par starpministriju (starpinstitūciju) sanāksmi vai elektronisko saskaņošanu</w:t>
      </w:r>
    </w:p>
    <w:p w14:paraId="595B2284" w14:textId="77777777" w:rsidR="00022A62" w:rsidRPr="00F9152F"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F9152F" w14:paraId="7DBCF0D0" w14:textId="77777777" w:rsidTr="0001655E">
        <w:trPr>
          <w:gridAfter w:val="1"/>
          <w:wAfter w:w="1425" w:type="dxa"/>
        </w:trPr>
        <w:tc>
          <w:tcPr>
            <w:tcW w:w="8505" w:type="dxa"/>
            <w:hideMark/>
          </w:tcPr>
          <w:p w14:paraId="18480E9A" w14:textId="77777777" w:rsidR="00022A62" w:rsidRPr="00F9152F" w:rsidRDefault="00022A62" w:rsidP="00D60CB6">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1F64EBF6" w14:textId="77777777" w:rsidR="00022A62" w:rsidRPr="00F9152F" w:rsidRDefault="002217A5" w:rsidP="00C150ED">
            <w:pPr>
              <w:spacing w:after="0" w:line="240" w:lineRule="auto"/>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w:t>
            </w:r>
            <w:r w:rsidR="009C2762" w:rsidRPr="00F9152F">
              <w:rPr>
                <w:rFonts w:ascii="Times New Roman" w:eastAsia="Times New Roman" w:hAnsi="Times New Roman" w:cs="Times New Roman"/>
                <w:sz w:val="20"/>
                <w:lang w:eastAsia="lv-LV"/>
              </w:rPr>
              <w:t xml:space="preserve">VSS </w:t>
            </w:r>
            <w:r w:rsidR="00A071FF" w:rsidRPr="00F9152F">
              <w:rPr>
                <w:rFonts w:ascii="Times New Roman" w:eastAsia="Times New Roman" w:hAnsi="Times New Roman" w:cs="Times New Roman"/>
                <w:sz w:val="20"/>
                <w:lang w:eastAsia="lv-LV"/>
              </w:rPr>
              <w:t>2</w:t>
            </w:r>
            <w:r w:rsidR="00DA470C" w:rsidRPr="00F9152F">
              <w:rPr>
                <w:rFonts w:ascii="Times New Roman" w:eastAsia="Times New Roman" w:hAnsi="Times New Roman" w:cs="Times New Roman"/>
                <w:sz w:val="20"/>
                <w:lang w:eastAsia="lv-LV"/>
              </w:rPr>
              <w:t>8</w:t>
            </w:r>
            <w:r w:rsidR="00AB400A" w:rsidRPr="00F9152F">
              <w:rPr>
                <w:rFonts w:ascii="Times New Roman" w:eastAsia="Times New Roman" w:hAnsi="Times New Roman" w:cs="Times New Roman"/>
                <w:sz w:val="20"/>
                <w:lang w:eastAsia="lv-LV"/>
              </w:rPr>
              <w:t>.05.2020</w:t>
            </w:r>
            <w:r w:rsidR="000F5839" w:rsidRPr="00F9152F">
              <w:rPr>
                <w:rFonts w:ascii="Times New Roman" w:eastAsia="Times New Roman" w:hAnsi="Times New Roman" w:cs="Times New Roman"/>
                <w:sz w:val="20"/>
                <w:lang w:eastAsia="lv-LV"/>
              </w:rPr>
              <w:t xml:space="preserve">, saskaņošana </w:t>
            </w:r>
            <w:r w:rsidR="00C150ED">
              <w:rPr>
                <w:rFonts w:ascii="Times New Roman" w:eastAsia="Times New Roman" w:hAnsi="Times New Roman" w:cs="Times New Roman"/>
                <w:sz w:val="20"/>
                <w:lang w:eastAsia="lv-LV"/>
              </w:rPr>
              <w:t>26</w:t>
            </w:r>
            <w:r w:rsidR="000F5839" w:rsidRPr="00F9152F">
              <w:rPr>
                <w:rFonts w:ascii="Times New Roman" w:eastAsia="Times New Roman" w:hAnsi="Times New Roman" w:cs="Times New Roman"/>
                <w:sz w:val="20"/>
                <w:lang w:eastAsia="lv-LV"/>
              </w:rPr>
              <w:t>.</w:t>
            </w:r>
            <w:r w:rsidR="00AB400A" w:rsidRPr="00F9152F">
              <w:rPr>
                <w:rFonts w:ascii="Times New Roman" w:eastAsia="Times New Roman" w:hAnsi="Times New Roman" w:cs="Times New Roman"/>
                <w:sz w:val="20"/>
                <w:lang w:eastAsia="lv-LV"/>
              </w:rPr>
              <w:t>0</w:t>
            </w:r>
            <w:r w:rsidR="00DA470C" w:rsidRPr="00F9152F">
              <w:rPr>
                <w:rFonts w:ascii="Times New Roman" w:eastAsia="Times New Roman" w:hAnsi="Times New Roman" w:cs="Times New Roman"/>
                <w:sz w:val="20"/>
                <w:lang w:eastAsia="lv-LV"/>
              </w:rPr>
              <w:t>8</w:t>
            </w:r>
            <w:r w:rsidR="000F5839" w:rsidRPr="00F9152F">
              <w:rPr>
                <w:rFonts w:ascii="Times New Roman" w:eastAsia="Times New Roman" w:hAnsi="Times New Roman" w:cs="Times New Roman"/>
                <w:sz w:val="20"/>
                <w:lang w:eastAsia="lv-LV"/>
              </w:rPr>
              <w:t>.20</w:t>
            </w:r>
            <w:r w:rsidR="00AB400A" w:rsidRPr="00F9152F">
              <w:rPr>
                <w:rFonts w:ascii="Times New Roman" w:eastAsia="Times New Roman" w:hAnsi="Times New Roman" w:cs="Times New Roman"/>
                <w:sz w:val="20"/>
                <w:lang w:eastAsia="lv-LV"/>
              </w:rPr>
              <w:t>20</w:t>
            </w:r>
            <w:r w:rsidR="00CE3DC0">
              <w:rPr>
                <w:rFonts w:ascii="Times New Roman" w:eastAsia="Times New Roman" w:hAnsi="Times New Roman" w:cs="Times New Roman"/>
                <w:sz w:val="20"/>
                <w:lang w:eastAsia="lv-LV"/>
              </w:rPr>
              <w:t>, 30.09.2020</w:t>
            </w:r>
            <w:r w:rsidR="00D27532" w:rsidRPr="00F9152F">
              <w:rPr>
                <w:rFonts w:ascii="Times New Roman" w:eastAsia="Times New Roman" w:hAnsi="Times New Roman" w:cs="Times New Roman"/>
                <w:sz w:val="20"/>
                <w:lang w:eastAsia="lv-LV"/>
              </w:rPr>
              <w:t>)</w:t>
            </w:r>
          </w:p>
        </w:tc>
      </w:tr>
      <w:tr w:rsidR="00022A62" w:rsidRPr="00F9152F" w14:paraId="60299D53" w14:textId="77777777" w:rsidTr="0001655E">
        <w:trPr>
          <w:gridAfter w:val="1"/>
          <w:wAfter w:w="1425" w:type="dxa"/>
        </w:trPr>
        <w:tc>
          <w:tcPr>
            <w:tcW w:w="8505" w:type="dxa"/>
          </w:tcPr>
          <w:p w14:paraId="546F6175" w14:textId="77777777" w:rsidR="00022A62" w:rsidRPr="00F9152F"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4FFAB61F" w14:textId="77777777" w:rsidR="00022A62" w:rsidRPr="00F9152F" w:rsidRDefault="00022A62" w:rsidP="00D60CB6">
            <w:pPr>
              <w:spacing w:after="0" w:line="240" w:lineRule="auto"/>
              <w:rPr>
                <w:rFonts w:ascii="Times New Roman" w:eastAsia="Times New Roman" w:hAnsi="Times New Roman" w:cs="Times New Roman"/>
                <w:sz w:val="20"/>
                <w:lang w:eastAsia="lv-LV"/>
              </w:rPr>
            </w:pPr>
          </w:p>
        </w:tc>
      </w:tr>
      <w:tr w:rsidR="00022A62" w:rsidRPr="00F9152F" w14:paraId="780C8DB7" w14:textId="77777777" w:rsidTr="0001655E">
        <w:trPr>
          <w:gridAfter w:val="1"/>
          <w:wAfter w:w="1425" w:type="dxa"/>
        </w:trPr>
        <w:tc>
          <w:tcPr>
            <w:tcW w:w="8505" w:type="dxa"/>
            <w:hideMark/>
          </w:tcPr>
          <w:p w14:paraId="37855FBB" w14:textId="77777777" w:rsidR="00022A62" w:rsidRPr="00F9152F" w:rsidRDefault="00022A62" w:rsidP="00D60CB6">
            <w:pPr>
              <w:spacing w:after="0" w:line="240" w:lineRule="auto"/>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Saskaņošanas dalībnieki</w:t>
            </w:r>
          </w:p>
        </w:tc>
        <w:tc>
          <w:tcPr>
            <w:tcW w:w="5401" w:type="dxa"/>
            <w:gridSpan w:val="2"/>
            <w:hideMark/>
          </w:tcPr>
          <w:p w14:paraId="12B655F7" w14:textId="77777777" w:rsidR="00022A62" w:rsidRPr="00F9152F" w:rsidRDefault="009A1FED" w:rsidP="00C103A1">
            <w:pPr>
              <w:spacing w:after="0" w:line="240" w:lineRule="auto"/>
              <w:jc w:val="both"/>
              <w:rPr>
                <w:rFonts w:ascii="Times New Roman" w:hAnsi="Times New Roman" w:cs="Times New Roman"/>
                <w:sz w:val="20"/>
                <w:highlight w:val="yellow"/>
              </w:rPr>
            </w:pPr>
            <w:r w:rsidRPr="00F9152F">
              <w:rPr>
                <w:rFonts w:ascii="Times New Roman" w:eastAsia="Times New Roman" w:hAnsi="Times New Roman" w:cs="Times New Roman"/>
                <w:sz w:val="20"/>
                <w:lang w:eastAsia="lv-LV"/>
              </w:rPr>
              <w:t>Tieslietu ministrij</w:t>
            </w:r>
            <w:r w:rsidR="00AB400A" w:rsidRPr="00F9152F">
              <w:rPr>
                <w:rFonts w:ascii="Times New Roman" w:eastAsia="Times New Roman" w:hAnsi="Times New Roman" w:cs="Times New Roman"/>
                <w:sz w:val="20"/>
                <w:lang w:eastAsia="lv-LV"/>
              </w:rPr>
              <w:t>a</w:t>
            </w:r>
            <w:r w:rsidR="008C4EFC" w:rsidRPr="00F9152F">
              <w:rPr>
                <w:rFonts w:ascii="Times New Roman" w:eastAsia="Times New Roman" w:hAnsi="Times New Roman" w:cs="Times New Roman"/>
                <w:sz w:val="20"/>
                <w:lang w:eastAsia="lv-LV"/>
              </w:rPr>
              <w:t xml:space="preserve">, Finanšu un kapitāla tirgus </w:t>
            </w:r>
            <w:r w:rsidR="00C103A1">
              <w:rPr>
                <w:rFonts w:ascii="Times New Roman" w:eastAsia="Times New Roman" w:hAnsi="Times New Roman" w:cs="Times New Roman"/>
                <w:sz w:val="20"/>
                <w:lang w:eastAsia="lv-LV"/>
              </w:rPr>
              <w:t>komisija</w:t>
            </w:r>
            <w:r w:rsidR="008C4EFC" w:rsidRPr="00F9152F">
              <w:rPr>
                <w:rFonts w:ascii="Times New Roman" w:eastAsia="Times New Roman" w:hAnsi="Times New Roman" w:cs="Times New Roman"/>
                <w:sz w:val="20"/>
                <w:lang w:eastAsia="lv-LV"/>
              </w:rPr>
              <w:t>, Latvijas Banka, Valsts kase</w:t>
            </w:r>
          </w:p>
        </w:tc>
      </w:tr>
      <w:tr w:rsidR="00022A62" w:rsidRPr="00F9152F" w14:paraId="0990F118" w14:textId="77777777" w:rsidTr="0001655E">
        <w:trPr>
          <w:trHeight w:val="80"/>
        </w:trPr>
        <w:tc>
          <w:tcPr>
            <w:tcW w:w="8505" w:type="dxa"/>
          </w:tcPr>
          <w:p w14:paraId="14A58D09" w14:textId="77777777" w:rsidR="00022A62" w:rsidRPr="00F9152F"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2E2046F2" w14:textId="77777777" w:rsidR="00022A62" w:rsidRPr="00F9152F"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274E7FFE" w14:textId="77777777" w:rsidR="00022A62" w:rsidRPr="00F9152F" w:rsidRDefault="00022A62" w:rsidP="00D60CB6">
            <w:pPr>
              <w:spacing w:after="0" w:line="240" w:lineRule="auto"/>
              <w:jc w:val="both"/>
              <w:rPr>
                <w:rFonts w:ascii="Times New Roman" w:eastAsia="Times New Roman" w:hAnsi="Times New Roman" w:cs="Times New Roman"/>
                <w:sz w:val="20"/>
                <w:lang w:eastAsia="lv-LV"/>
              </w:rPr>
            </w:pPr>
          </w:p>
        </w:tc>
      </w:tr>
      <w:tr w:rsidR="00022A62" w:rsidRPr="00F9152F" w14:paraId="072C0A5F" w14:textId="77777777" w:rsidTr="0001655E">
        <w:trPr>
          <w:trHeight w:val="501"/>
        </w:trPr>
        <w:tc>
          <w:tcPr>
            <w:tcW w:w="8505" w:type="dxa"/>
            <w:hideMark/>
          </w:tcPr>
          <w:p w14:paraId="187DD394" w14:textId="77777777" w:rsidR="00022A62" w:rsidRPr="00F9152F" w:rsidRDefault="00022A62" w:rsidP="00D60CB6">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2E2A8E89" w14:textId="77777777" w:rsidR="00022A62" w:rsidRPr="00F9152F"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31AAF955" w14:textId="77777777" w:rsidR="00022A62" w:rsidRPr="00F9152F"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F9152F" w14:paraId="707B928B" w14:textId="77777777" w:rsidTr="003B1A15">
        <w:trPr>
          <w:gridAfter w:val="1"/>
          <w:wAfter w:w="1425" w:type="dxa"/>
          <w:trHeight w:val="679"/>
        </w:trPr>
        <w:tc>
          <w:tcPr>
            <w:tcW w:w="8505" w:type="dxa"/>
            <w:hideMark/>
          </w:tcPr>
          <w:p w14:paraId="3F96A5D8" w14:textId="77777777" w:rsidR="00114194" w:rsidRPr="00F9152F" w:rsidRDefault="00022A62" w:rsidP="00D60CB6">
            <w:pPr>
              <w:spacing w:after="0" w:line="240" w:lineRule="auto"/>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11652650" w14:textId="77777777" w:rsidR="00022A62" w:rsidRPr="00F9152F" w:rsidRDefault="004D66B7" w:rsidP="00D60CB6">
            <w:pPr>
              <w:spacing w:after="0" w:line="240" w:lineRule="auto"/>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w:t>
            </w:r>
          </w:p>
        </w:tc>
      </w:tr>
    </w:tbl>
    <w:p w14:paraId="4FB1C346" w14:textId="77777777" w:rsidR="00022A62" w:rsidRPr="00F9152F" w:rsidRDefault="00A33F1F" w:rsidP="00D60CB6">
      <w:pPr>
        <w:pStyle w:val="naisf"/>
        <w:spacing w:before="0" w:after="0"/>
        <w:ind w:left="360" w:firstLine="0"/>
        <w:jc w:val="center"/>
        <w:rPr>
          <w:sz w:val="20"/>
          <w:szCs w:val="22"/>
        </w:rPr>
      </w:pPr>
      <w:r w:rsidRPr="00F9152F">
        <w:rPr>
          <w:sz w:val="20"/>
          <w:szCs w:val="22"/>
        </w:rPr>
        <w:t xml:space="preserve">II </w:t>
      </w:r>
      <w:r w:rsidR="00022A62" w:rsidRPr="00F9152F">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243"/>
        <w:gridCol w:w="1023"/>
        <w:gridCol w:w="3496"/>
        <w:gridCol w:w="2620"/>
        <w:gridCol w:w="401"/>
        <w:gridCol w:w="3220"/>
      </w:tblGrid>
      <w:tr w:rsidR="001A4587" w:rsidRPr="00F9152F" w14:paraId="20DDC21A"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719D3A1B" w14:textId="77777777" w:rsidR="000239F9" w:rsidRPr="00F9152F" w:rsidRDefault="000239F9" w:rsidP="00D60CB6">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37CB0A4E" w14:textId="77777777" w:rsidR="000239F9" w:rsidRPr="00F9152F" w:rsidRDefault="000239F9" w:rsidP="002C1589">
            <w:pPr>
              <w:spacing w:after="0" w:line="240" w:lineRule="auto"/>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Saskaņošanai nosūtītā projekta redakcija (konkrēta punkta (panta) redakcija)</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03572CC7" w14:textId="77777777" w:rsidR="000239F9" w:rsidRPr="00F9152F" w:rsidRDefault="000239F9" w:rsidP="00D60CB6">
            <w:pPr>
              <w:spacing w:after="0" w:line="240" w:lineRule="auto"/>
              <w:ind w:right="3"/>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1228" w:type="pct"/>
            <w:gridSpan w:val="2"/>
            <w:tcBorders>
              <w:top w:val="single" w:sz="6" w:space="0" w:color="000000"/>
              <w:left w:val="single" w:sz="6" w:space="0" w:color="000000"/>
              <w:bottom w:val="single" w:sz="6" w:space="0" w:color="000000"/>
              <w:right w:val="single" w:sz="6" w:space="0" w:color="000000"/>
            </w:tcBorders>
            <w:vAlign w:val="center"/>
            <w:hideMark/>
          </w:tcPr>
          <w:p w14:paraId="425D8AFC" w14:textId="77777777" w:rsidR="000239F9" w:rsidRPr="00F9152F" w:rsidRDefault="000239F9" w:rsidP="00D60CB6">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712" w:type="pct"/>
            <w:tcBorders>
              <w:top w:val="single" w:sz="4" w:space="0" w:color="auto"/>
              <w:left w:val="single" w:sz="4" w:space="0" w:color="auto"/>
              <w:bottom w:val="single" w:sz="4" w:space="0" w:color="auto"/>
              <w:right w:val="single" w:sz="4" w:space="0" w:color="auto"/>
            </w:tcBorders>
            <w:vAlign w:val="center"/>
            <w:hideMark/>
          </w:tcPr>
          <w:p w14:paraId="19A9C455" w14:textId="77777777" w:rsidR="000239F9" w:rsidRPr="00F9152F" w:rsidRDefault="000239F9" w:rsidP="00D60CB6">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Projekta attiecīgā punkta (panta) galīgā redakcija</w:t>
            </w:r>
          </w:p>
        </w:tc>
      </w:tr>
      <w:tr w:rsidR="001A4587" w:rsidRPr="00F9152F" w14:paraId="44156299"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766C3563" w14:textId="77777777" w:rsidR="000239F9" w:rsidRPr="00F9152F" w:rsidRDefault="000239F9" w:rsidP="00D60CB6">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3048FDEB" w14:textId="77777777" w:rsidR="000239F9" w:rsidRPr="00F9152F" w:rsidRDefault="000239F9" w:rsidP="002C1589">
            <w:pPr>
              <w:spacing w:after="0" w:line="240" w:lineRule="auto"/>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2</w:t>
            </w:r>
          </w:p>
        </w:tc>
        <w:tc>
          <w:tcPr>
            <w:tcW w:w="1153" w:type="pct"/>
            <w:tcBorders>
              <w:top w:val="single" w:sz="6" w:space="0" w:color="000000"/>
              <w:left w:val="single" w:sz="6" w:space="0" w:color="000000"/>
              <w:bottom w:val="single" w:sz="6" w:space="0" w:color="000000"/>
              <w:right w:val="single" w:sz="6" w:space="0" w:color="000000"/>
            </w:tcBorders>
            <w:hideMark/>
          </w:tcPr>
          <w:p w14:paraId="7B41EA06" w14:textId="77777777" w:rsidR="000239F9" w:rsidRPr="00F9152F" w:rsidRDefault="000239F9" w:rsidP="00D60CB6">
            <w:pPr>
              <w:spacing w:after="0" w:line="240" w:lineRule="auto"/>
              <w:jc w:val="center"/>
              <w:rPr>
                <w:rFonts w:ascii="Times New Roman" w:eastAsia="Times New Roman" w:hAnsi="Times New Roman" w:cs="Times New Roman"/>
                <w:sz w:val="20"/>
                <w:szCs w:val="20"/>
                <w:lang w:eastAsia="lv-LV"/>
              </w:rPr>
            </w:pPr>
            <w:r w:rsidRPr="00F9152F">
              <w:rPr>
                <w:rFonts w:ascii="Times New Roman" w:eastAsia="Times New Roman" w:hAnsi="Times New Roman" w:cs="Times New Roman"/>
                <w:sz w:val="20"/>
                <w:szCs w:val="20"/>
                <w:lang w:eastAsia="lv-LV"/>
              </w:rPr>
              <w:t>3</w:t>
            </w:r>
          </w:p>
        </w:tc>
        <w:tc>
          <w:tcPr>
            <w:tcW w:w="1228" w:type="pct"/>
            <w:gridSpan w:val="2"/>
            <w:tcBorders>
              <w:top w:val="single" w:sz="6" w:space="0" w:color="000000"/>
              <w:left w:val="single" w:sz="6" w:space="0" w:color="000000"/>
              <w:bottom w:val="single" w:sz="6" w:space="0" w:color="000000"/>
              <w:right w:val="single" w:sz="6" w:space="0" w:color="000000"/>
            </w:tcBorders>
            <w:hideMark/>
          </w:tcPr>
          <w:p w14:paraId="2ABBD73A" w14:textId="77777777" w:rsidR="000239F9" w:rsidRPr="00F9152F" w:rsidRDefault="000239F9" w:rsidP="00D60CB6">
            <w:pPr>
              <w:spacing w:after="0" w:line="240" w:lineRule="auto"/>
              <w:jc w:val="center"/>
              <w:rPr>
                <w:rFonts w:ascii="Times New Roman" w:eastAsia="Times New Roman" w:hAnsi="Times New Roman" w:cs="Times New Roman"/>
                <w:sz w:val="20"/>
                <w:szCs w:val="20"/>
                <w:lang w:eastAsia="lv-LV"/>
              </w:rPr>
            </w:pPr>
            <w:r w:rsidRPr="00F9152F">
              <w:rPr>
                <w:rFonts w:ascii="Times New Roman" w:eastAsia="Times New Roman" w:hAnsi="Times New Roman" w:cs="Times New Roman"/>
                <w:sz w:val="20"/>
                <w:szCs w:val="20"/>
                <w:lang w:eastAsia="lv-LV"/>
              </w:rPr>
              <w:t>4</w:t>
            </w:r>
          </w:p>
        </w:tc>
        <w:tc>
          <w:tcPr>
            <w:tcW w:w="712" w:type="pct"/>
            <w:tcBorders>
              <w:top w:val="single" w:sz="4" w:space="0" w:color="auto"/>
              <w:left w:val="single" w:sz="4" w:space="0" w:color="auto"/>
              <w:bottom w:val="single" w:sz="4" w:space="0" w:color="auto"/>
              <w:right w:val="single" w:sz="4" w:space="0" w:color="auto"/>
            </w:tcBorders>
            <w:hideMark/>
          </w:tcPr>
          <w:p w14:paraId="033C870B" w14:textId="77777777" w:rsidR="000239F9" w:rsidRPr="00F9152F" w:rsidRDefault="000239F9" w:rsidP="00D60CB6">
            <w:pPr>
              <w:spacing w:after="0" w:line="240" w:lineRule="auto"/>
              <w:jc w:val="center"/>
              <w:rPr>
                <w:rFonts w:ascii="Times New Roman" w:eastAsia="Times New Roman" w:hAnsi="Times New Roman" w:cs="Times New Roman"/>
                <w:sz w:val="20"/>
                <w:szCs w:val="20"/>
                <w:lang w:eastAsia="lv-LV"/>
              </w:rPr>
            </w:pPr>
            <w:r w:rsidRPr="00F9152F">
              <w:rPr>
                <w:rFonts w:ascii="Times New Roman" w:eastAsia="Times New Roman" w:hAnsi="Times New Roman" w:cs="Times New Roman"/>
                <w:sz w:val="20"/>
                <w:szCs w:val="20"/>
                <w:lang w:eastAsia="lv-LV"/>
              </w:rPr>
              <w:t>5</w:t>
            </w:r>
          </w:p>
        </w:tc>
      </w:tr>
      <w:tr w:rsidR="00651536" w:rsidRPr="00F9152F" w14:paraId="2434849E" w14:textId="77777777" w:rsidTr="00651536">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03746ADE" w14:textId="77777777" w:rsidR="00651536" w:rsidRPr="00F9152F" w:rsidRDefault="00651536" w:rsidP="00A15096">
            <w:pPr>
              <w:spacing w:after="0" w:line="240" w:lineRule="auto"/>
              <w:jc w:val="center"/>
              <w:rPr>
                <w:rFonts w:ascii="Times New Roman" w:eastAsia="Times New Roman" w:hAnsi="Times New Roman" w:cs="Times New Roman"/>
                <w:sz w:val="20"/>
                <w:lang w:eastAsia="lv-LV"/>
              </w:rPr>
            </w:pPr>
            <w:r w:rsidRPr="00F9152F">
              <w:rPr>
                <w:rFonts w:ascii="Times New Roman" w:hAnsi="Times New Roman" w:cs="Times New Roman"/>
                <w:b/>
                <w:sz w:val="20"/>
              </w:rPr>
              <w:t xml:space="preserve">Tieslietu ministrijas </w:t>
            </w:r>
            <w:r w:rsidR="00A15096" w:rsidRPr="00F9152F">
              <w:rPr>
                <w:rFonts w:ascii="Times New Roman" w:hAnsi="Times New Roman" w:cs="Times New Roman"/>
                <w:b/>
                <w:sz w:val="20"/>
              </w:rPr>
              <w:t>20.07</w:t>
            </w:r>
            <w:r w:rsidRPr="00F9152F">
              <w:rPr>
                <w:rFonts w:ascii="Times New Roman" w:hAnsi="Times New Roman" w:cs="Times New Roman"/>
                <w:b/>
                <w:sz w:val="20"/>
              </w:rPr>
              <w:t xml:space="preserve">.2020. </w:t>
            </w:r>
            <w:r w:rsidR="00DA470C" w:rsidRPr="00F9152F">
              <w:rPr>
                <w:rFonts w:ascii="Times New Roman" w:hAnsi="Times New Roman" w:cs="Times New Roman"/>
                <w:b/>
                <w:sz w:val="20"/>
              </w:rPr>
              <w:t xml:space="preserve">atzinumā </w:t>
            </w:r>
            <w:r w:rsidR="00A15096" w:rsidRPr="00F9152F">
              <w:rPr>
                <w:rFonts w:ascii="Times New Roman" w:hAnsi="Times New Roman" w:cs="Times New Roman"/>
                <w:b/>
                <w:sz w:val="20"/>
              </w:rPr>
              <w:t>Nr. 1-9.1/766</w:t>
            </w:r>
            <w:r w:rsidRPr="00F9152F">
              <w:rPr>
                <w:rFonts w:ascii="Times New Roman" w:hAnsi="Times New Roman" w:cs="Times New Roman"/>
                <w:b/>
                <w:sz w:val="20"/>
              </w:rPr>
              <w:t xml:space="preserve"> izteiktie iebildumi</w:t>
            </w:r>
          </w:p>
        </w:tc>
      </w:tr>
      <w:tr w:rsidR="00222054" w:rsidRPr="00F9152F" w14:paraId="6EE5DCEC"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DD05D32" w14:textId="77777777" w:rsidR="00B62DF8" w:rsidRPr="00F9152F" w:rsidRDefault="00B62DF8" w:rsidP="00D60CB6">
            <w:pPr>
              <w:pStyle w:val="ListParagraph"/>
              <w:numPr>
                <w:ilvl w:val="0"/>
                <w:numId w:val="4"/>
              </w:numPr>
              <w:spacing w:after="0" w:line="240" w:lineRule="auto"/>
              <w:ind w:firstLine="0"/>
              <w:rPr>
                <w:rFonts w:ascii="Times New Roman" w:hAnsi="Times New Roman" w:cs="Times New Roman"/>
                <w:lang w:eastAsia="lv-LV"/>
              </w:rPr>
            </w:pPr>
          </w:p>
          <w:p w14:paraId="0D93F8B2" w14:textId="77777777" w:rsidR="00EF3ECF" w:rsidRPr="00F9152F" w:rsidRDefault="00EF3ECF"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0B87A9E" w14:textId="77777777" w:rsidR="00DA470C" w:rsidRPr="00F9152F" w:rsidRDefault="00DA470C" w:rsidP="00E11749">
            <w:pPr>
              <w:spacing w:after="0" w:line="240" w:lineRule="auto"/>
              <w:jc w:val="both"/>
              <w:rPr>
                <w:rFonts w:ascii="Times New Roman" w:hAnsi="Times New Roman"/>
                <w:b/>
                <w:bCs/>
                <w:color w:val="000000" w:themeColor="text1"/>
                <w:sz w:val="20"/>
                <w:szCs w:val="20"/>
              </w:rPr>
            </w:pPr>
            <w:r w:rsidRPr="00F9152F">
              <w:rPr>
                <w:rFonts w:ascii="Times New Roman" w:hAnsi="Times New Roman"/>
                <w:b/>
                <w:bCs/>
                <w:color w:val="000000" w:themeColor="text1"/>
                <w:sz w:val="20"/>
                <w:szCs w:val="20"/>
              </w:rPr>
              <w:t>3. pants. Likuma darbības joma</w:t>
            </w:r>
          </w:p>
          <w:p w14:paraId="4044AA7C" w14:textId="77777777" w:rsidR="00DA470C" w:rsidRPr="00F9152F" w:rsidRDefault="00DA470C" w:rsidP="00E11749">
            <w:pPr>
              <w:pStyle w:val="ListParagraph"/>
              <w:tabs>
                <w:tab w:val="left" w:pos="216"/>
              </w:tabs>
              <w:spacing w:after="0" w:line="240" w:lineRule="auto"/>
              <w:ind w:left="0"/>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 xml:space="preserve">(1) Izņemot 9.pantā noteikto, izslēdzošajam ieskaitam attiecībā uz 7.pantā minētajiem darījumiem piemēro šo likumu tiktāl, ciktāl speciālajās tiesību normās citos likumos, kas regulē izslēdzošo ieskaitu, </w:t>
            </w:r>
            <w:r w:rsidRPr="00F9152F">
              <w:rPr>
                <w:rFonts w:ascii="Times New Roman" w:eastAsia="Times New Roman" w:hAnsi="Times New Roman"/>
                <w:color w:val="000000" w:themeColor="text1"/>
                <w:sz w:val="20"/>
                <w:szCs w:val="20"/>
              </w:rPr>
              <w:lastRenderedPageBreak/>
              <w:t>tajā skaitā Kredītiestāžu likumā, Kredītiestāžu un ieguldījumu brokeru sabiedrību darbības atjaunošanas un noregulējuma likumā un Apdrošināšanas un pārapdrošināšanas likumā nav noteikts citādi.</w:t>
            </w:r>
          </w:p>
          <w:p w14:paraId="254D1B89" w14:textId="77777777" w:rsidR="00DA470C" w:rsidRPr="00F9152F" w:rsidRDefault="00DA470C" w:rsidP="00E11749">
            <w:pPr>
              <w:pStyle w:val="ListParagraph"/>
              <w:tabs>
                <w:tab w:val="left" w:pos="216"/>
              </w:tabs>
              <w:spacing w:after="0" w:line="240" w:lineRule="auto"/>
              <w:ind w:left="0"/>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(2) Attiecībā uz finanšu nodrošinājuma līgumiem, tai skaitā finanšu instrumentu pirkuma līgumiem ar atpakaļpirkuma vai atpakaļpārdevuma nosacījumiem Finanšu nodrošinājuma likuma izpratnē tiek piemērotas Finanšu nodrošinājuma likuma normas.</w:t>
            </w:r>
          </w:p>
          <w:p w14:paraId="1A261676" w14:textId="77777777" w:rsidR="00DA470C" w:rsidRPr="00F9152F" w:rsidRDefault="00DA470C" w:rsidP="00E11749">
            <w:pPr>
              <w:pStyle w:val="ListParagraph"/>
              <w:tabs>
                <w:tab w:val="left" w:pos="216"/>
              </w:tabs>
              <w:spacing w:after="0" w:line="240" w:lineRule="auto"/>
              <w:ind w:left="0"/>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(3) Šis likums neattiecas uz:</w:t>
            </w:r>
          </w:p>
          <w:p w14:paraId="42386F7B" w14:textId="77777777" w:rsidR="00DA470C" w:rsidRPr="00F9152F" w:rsidRDefault="00DA470C" w:rsidP="00E11749">
            <w:pPr>
              <w:pStyle w:val="ListParagraph"/>
              <w:numPr>
                <w:ilvl w:val="0"/>
                <w:numId w:val="15"/>
              </w:numPr>
              <w:tabs>
                <w:tab w:val="left" w:pos="216"/>
              </w:tabs>
              <w:spacing w:after="0" w:line="240" w:lineRule="auto"/>
              <w:ind w:left="0" w:firstLine="0"/>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sistēmām, kuru darbību nodrošina Latvijas Banka vai kuras Finanšu un kapitāla tirgus komisija pēc šo sistēmu noteikumu izskatīšanas noteikusi par sistēmām un par šo lēmumu informējusi Eiropas Vērtspapīru un tirgu iestādi likuma "Par norēķinu galīgumu maksājumu un finanšu instrumentu norēķinu sistēmās" izpratnē;</w:t>
            </w:r>
          </w:p>
          <w:p w14:paraId="0A198785" w14:textId="77777777" w:rsidR="00DA470C" w:rsidRPr="00F9152F" w:rsidRDefault="00DA470C" w:rsidP="00E11749">
            <w:pPr>
              <w:pStyle w:val="ListParagraph"/>
              <w:numPr>
                <w:ilvl w:val="0"/>
                <w:numId w:val="15"/>
              </w:numPr>
              <w:tabs>
                <w:tab w:val="left" w:pos="216"/>
              </w:tabs>
              <w:spacing w:after="0" w:line="240" w:lineRule="auto"/>
              <w:ind w:left="0" w:firstLine="0"/>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visiem šā panta trešās daļas 1.punktā minēto sistēmu dalībniekiem;</w:t>
            </w:r>
          </w:p>
          <w:p w14:paraId="1070B7E2" w14:textId="77777777" w:rsidR="00DA470C" w:rsidRPr="00F9152F" w:rsidRDefault="00DA470C" w:rsidP="00E11749">
            <w:pPr>
              <w:pStyle w:val="ListParagraph"/>
              <w:numPr>
                <w:ilvl w:val="0"/>
                <w:numId w:val="15"/>
              </w:numPr>
              <w:tabs>
                <w:tab w:val="left" w:pos="216"/>
              </w:tabs>
              <w:spacing w:after="0" w:line="240" w:lineRule="auto"/>
              <w:ind w:left="0" w:firstLine="0"/>
              <w:jc w:val="both"/>
              <w:rPr>
                <w:rFonts w:ascii="Times New Roman" w:eastAsia="Times New Roman" w:hAnsi="Times New Roman"/>
                <w:color w:val="000000" w:themeColor="text1"/>
                <w:sz w:val="24"/>
                <w:szCs w:val="24"/>
              </w:rPr>
            </w:pPr>
            <w:r w:rsidRPr="00F9152F">
              <w:rPr>
                <w:rFonts w:ascii="Times New Roman" w:eastAsia="Times New Roman" w:hAnsi="Times New Roman"/>
                <w:color w:val="000000" w:themeColor="text1"/>
                <w:sz w:val="20"/>
                <w:szCs w:val="20"/>
              </w:rPr>
              <w:t xml:space="preserve">nodrošinājumu, kas sniegts par dalību šā panta trešās daļas 1.punktā minētajās sistēmās vai ko centrālā banka izmanto </w:t>
            </w:r>
            <w:r w:rsidRPr="00F9152F">
              <w:rPr>
                <w:rFonts w:ascii="Times New Roman" w:eastAsia="Times New Roman" w:hAnsi="Times New Roman"/>
                <w:color w:val="000000" w:themeColor="text1"/>
                <w:sz w:val="20"/>
                <w:szCs w:val="20"/>
              </w:rPr>
              <w:lastRenderedPageBreak/>
              <w:t>darījumos, pildot centrālās bankas funkcijas.</w:t>
            </w:r>
          </w:p>
          <w:p w14:paraId="4F4B2647" w14:textId="77777777" w:rsidR="00AC4D0C" w:rsidRPr="00F9152F" w:rsidRDefault="00AC4D0C" w:rsidP="00AC4D0C">
            <w:pPr>
              <w:tabs>
                <w:tab w:val="left" w:pos="216"/>
              </w:tabs>
              <w:spacing w:after="0" w:line="240" w:lineRule="auto"/>
              <w:jc w:val="both"/>
              <w:rPr>
                <w:rFonts w:ascii="Times New Roman" w:eastAsia="Times New Roman" w:hAnsi="Times New Roman"/>
                <w:color w:val="000000" w:themeColor="text1"/>
                <w:sz w:val="24"/>
                <w:szCs w:val="24"/>
              </w:rPr>
            </w:pPr>
          </w:p>
          <w:p w14:paraId="11084F15" w14:textId="77777777" w:rsidR="00AC4D0C" w:rsidRPr="00F9152F" w:rsidRDefault="00AC4D0C" w:rsidP="00AC4D0C">
            <w:pPr>
              <w:spacing w:after="0" w:line="240" w:lineRule="auto"/>
              <w:jc w:val="both"/>
              <w:rPr>
                <w:rFonts w:ascii="Times New Roman" w:hAnsi="Times New Roman"/>
                <w:color w:val="000000" w:themeColor="text1"/>
                <w:sz w:val="20"/>
                <w:szCs w:val="20"/>
              </w:rPr>
            </w:pPr>
            <w:r w:rsidRPr="00F9152F">
              <w:rPr>
                <w:rFonts w:ascii="Times New Roman" w:hAnsi="Times New Roman"/>
                <w:b/>
                <w:color w:val="000000" w:themeColor="text1"/>
                <w:sz w:val="20"/>
                <w:szCs w:val="20"/>
              </w:rPr>
              <w:t>7. pants. Kvalificētie finanšu darījumi</w:t>
            </w:r>
          </w:p>
          <w:p w14:paraId="06CE9194" w14:textId="77777777" w:rsidR="00AC4D0C" w:rsidRPr="00F9152F" w:rsidRDefault="00AC4D0C" w:rsidP="00AC4D0C">
            <w:pPr>
              <w:spacing w:after="0" w:line="240" w:lineRule="auto"/>
              <w:jc w:val="both"/>
              <w:rPr>
                <w:rFonts w:ascii="Times New Roman" w:hAnsi="Times New Roman"/>
                <w:b/>
                <w:color w:val="000000" w:themeColor="text1"/>
                <w:sz w:val="20"/>
                <w:szCs w:val="20"/>
              </w:rPr>
            </w:pPr>
            <w:r w:rsidRPr="00F9152F">
              <w:rPr>
                <w:rFonts w:ascii="Times New Roman" w:eastAsia="Times New Roman" w:hAnsi="Times New Roman"/>
                <w:color w:val="000000" w:themeColor="text1"/>
                <w:sz w:val="20"/>
                <w:szCs w:val="20"/>
              </w:rPr>
              <w:t>(1) Kvalificētie finanšu darījumi ir šādas finanšu vienošanās, līgumi vai darījumi, saskaņā ar kuriem saistību izpildes pienākums iestājas noteiktā laikā vai laika periodā ar vai bez nosacījumiem:</w:t>
            </w:r>
          </w:p>
          <w:p w14:paraId="3DB3900A" w14:textId="77777777" w:rsidR="00AC4D0C" w:rsidRPr="00F9152F" w:rsidRDefault="00AC4D0C" w:rsidP="00AC4D0C">
            <w:pPr>
              <w:spacing w:after="0" w:line="240" w:lineRule="auto"/>
              <w:jc w:val="both"/>
              <w:rPr>
                <w:rFonts w:ascii="Times New Roman" w:hAnsi="Times New Roman"/>
                <w:b/>
                <w:color w:val="000000" w:themeColor="text1"/>
                <w:sz w:val="20"/>
                <w:szCs w:val="20"/>
              </w:rPr>
            </w:pPr>
            <w:r w:rsidRPr="00F9152F">
              <w:rPr>
                <w:rFonts w:ascii="Times New Roman" w:eastAsia="Times New Roman" w:hAnsi="Times New Roman"/>
                <w:color w:val="000000" w:themeColor="text1"/>
                <w:sz w:val="20"/>
                <w:szCs w:val="20"/>
              </w:rPr>
              <w:t>1) darījumi attiecībā uz Finanšu instrumentu tirgus likuma 3.panta otrās daļas 4. līdz 10. punktā norādītajiem finanšu instrumentiem;</w:t>
            </w:r>
          </w:p>
          <w:p w14:paraId="2CA9AF18" w14:textId="77777777" w:rsidR="00AC4D0C" w:rsidRPr="00F9152F" w:rsidRDefault="00AC4D0C" w:rsidP="00AC4D0C">
            <w:pPr>
              <w:spacing w:after="0" w:line="240" w:lineRule="auto"/>
              <w:jc w:val="both"/>
              <w:rPr>
                <w:rFonts w:ascii="Times New Roman" w:hAnsi="Times New Roman"/>
                <w:b/>
                <w:color w:val="000000" w:themeColor="text1"/>
                <w:sz w:val="20"/>
                <w:szCs w:val="20"/>
              </w:rPr>
            </w:pPr>
            <w:r w:rsidRPr="00F9152F">
              <w:rPr>
                <w:rFonts w:ascii="Times New Roman" w:hAnsi="Times New Roman"/>
                <w:sz w:val="20"/>
                <w:szCs w:val="20"/>
              </w:rPr>
              <w:t>2) tūlītējie (</w:t>
            </w:r>
            <w:r w:rsidRPr="00F9152F">
              <w:rPr>
                <w:rFonts w:ascii="Times New Roman" w:hAnsi="Times New Roman"/>
                <w:i/>
                <w:iCs/>
                <w:sz w:val="20"/>
                <w:szCs w:val="20"/>
              </w:rPr>
              <w:t>spot</w:t>
            </w:r>
            <w:r w:rsidRPr="00F9152F">
              <w:rPr>
                <w:rFonts w:ascii="Times New Roman" w:hAnsi="Times New Roman"/>
                <w:iCs/>
                <w:sz w:val="20"/>
                <w:szCs w:val="20"/>
              </w:rPr>
              <w:t>)</w:t>
            </w:r>
            <w:r w:rsidRPr="00F9152F">
              <w:rPr>
                <w:rFonts w:ascii="Times New Roman" w:hAnsi="Times New Roman"/>
                <w:i/>
                <w:iCs/>
                <w:sz w:val="20"/>
                <w:szCs w:val="20"/>
              </w:rPr>
              <w:t xml:space="preserve"> </w:t>
            </w:r>
            <w:r w:rsidRPr="00F9152F">
              <w:rPr>
                <w:rFonts w:ascii="Times New Roman" w:hAnsi="Times New Roman"/>
                <w:iCs/>
                <w:sz w:val="20"/>
                <w:szCs w:val="20"/>
              </w:rPr>
              <w:t>darījumi</w:t>
            </w:r>
            <w:r w:rsidRPr="00F9152F">
              <w:rPr>
                <w:rFonts w:ascii="Times New Roman" w:hAnsi="Times New Roman"/>
                <w:color w:val="000000"/>
                <w:sz w:val="20"/>
                <w:szCs w:val="20"/>
              </w:rPr>
              <w:t xml:space="preserve"> attiecībā uz valūtu, vērtspapīriem vai precēm</w:t>
            </w:r>
            <w:r w:rsidRPr="00F9152F">
              <w:rPr>
                <w:rFonts w:ascii="Times New Roman" w:hAnsi="Times New Roman"/>
                <w:sz w:val="20"/>
                <w:szCs w:val="20"/>
              </w:rPr>
              <w:t>.</w:t>
            </w:r>
          </w:p>
          <w:p w14:paraId="04AEEEEF" w14:textId="77777777" w:rsidR="00AC4D0C" w:rsidRPr="00F9152F" w:rsidRDefault="00AC4D0C" w:rsidP="00AC4D0C">
            <w:pPr>
              <w:spacing w:after="0" w:line="240" w:lineRule="auto"/>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(2) Finanšu un kapitāla tirgus komisijai ir tiesības izdot noteikumus, nosakot kādu darījuma veidu par kvalificēto finanšu darījumu papildus šā panta pirmajā daļā minētajiem.</w:t>
            </w:r>
          </w:p>
          <w:p w14:paraId="4610F7AD" w14:textId="77777777" w:rsidR="00AC4D0C" w:rsidRPr="00F9152F" w:rsidRDefault="00AC4D0C" w:rsidP="00AC4D0C">
            <w:pPr>
              <w:tabs>
                <w:tab w:val="left" w:pos="216"/>
              </w:tabs>
              <w:spacing w:after="0" w:line="240" w:lineRule="auto"/>
              <w:jc w:val="both"/>
              <w:rPr>
                <w:rFonts w:ascii="Times New Roman" w:eastAsia="Times New Roman" w:hAnsi="Times New Roman"/>
                <w:color w:val="000000" w:themeColor="text1"/>
                <w:sz w:val="24"/>
                <w:szCs w:val="24"/>
              </w:rPr>
            </w:pPr>
          </w:p>
          <w:p w14:paraId="13FA922D" w14:textId="77777777" w:rsidR="006649AD" w:rsidRPr="00F9152F" w:rsidRDefault="006649AD" w:rsidP="006649AD">
            <w:pPr>
              <w:tabs>
                <w:tab w:val="left" w:pos="1650"/>
              </w:tabs>
              <w:rPr>
                <w:rFonts w:ascii="Times New Roman" w:eastAsia="Times New Roman" w:hAnsi="Times New Roman" w:cs="Times New Roman"/>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0EC67229" w14:textId="77777777" w:rsidR="00DA470C" w:rsidRPr="00F9152F" w:rsidRDefault="00DA470C" w:rsidP="003F4963">
            <w:pPr>
              <w:pStyle w:val="NormalWeb"/>
              <w:spacing w:before="0" w:after="0"/>
              <w:ind w:right="13" w:firstLine="330"/>
              <w:jc w:val="both"/>
              <w:rPr>
                <w:sz w:val="20"/>
                <w:szCs w:val="20"/>
              </w:rPr>
            </w:pPr>
            <w:r w:rsidRPr="00F9152F">
              <w:rPr>
                <w:sz w:val="20"/>
                <w:szCs w:val="20"/>
              </w:rPr>
              <w:lastRenderedPageBreak/>
              <w:t>Likumprojekta 3. pants regulē ārējo normatīvo aktu piemērošanas principus.</w:t>
            </w:r>
          </w:p>
          <w:p w14:paraId="6E165001" w14:textId="77777777" w:rsidR="00DA470C" w:rsidRPr="00F9152F" w:rsidRDefault="00DA470C" w:rsidP="003F4963">
            <w:pPr>
              <w:pStyle w:val="NormalWeb"/>
              <w:spacing w:before="0" w:after="0"/>
              <w:ind w:right="13" w:firstLine="330"/>
              <w:jc w:val="both"/>
              <w:rPr>
                <w:sz w:val="20"/>
                <w:szCs w:val="20"/>
              </w:rPr>
            </w:pPr>
            <w:r w:rsidRPr="00F9152F">
              <w:rPr>
                <w:sz w:val="20"/>
                <w:szCs w:val="20"/>
              </w:rPr>
              <w:t xml:space="preserve">Vēršam uzmanību, ka Likumprojekta 3. panta pirmā daļa no vienas puses atkārto vispār zināmus principus, kādi ir iekļauti Oficiālo publikāciju un tiesiskās informācijas likuma (Publikāciju likums) 9. pantā, no otras puses var radīt domstarpības par tiesību normu savstarpējo mijiedarbību, ņemot vērā, ka tajā minētajos likumos ir paredzēts iekļaut </w:t>
            </w:r>
            <w:r w:rsidRPr="00F9152F">
              <w:rPr>
                <w:sz w:val="20"/>
                <w:szCs w:val="20"/>
              </w:rPr>
              <w:lastRenderedPageBreak/>
              <w:t xml:space="preserve">identiskas norādes normas, kas dod atsauci uz šī Likumprojekta piemērošanu. </w:t>
            </w:r>
          </w:p>
          <w:p w14:paraId="690830A5" w14:textId="77777777" w:rsidR="00DA470C" w:rsidRPr="00F9152F" w:rsidRDefault="00DA470C" w:rsidP="003F4963">
            <w:pPr>
              <w:pStyle w:val="NormalWeb"/>
              <w:spacing w:before="0" w:after="0"/>
              <w:ind w:right="13" w:firstLine="330"/>
              <w:jc w:val="both"/>
              <w:rPr>
                <w:sz w:val="20"/>
                <w:szCs w:val="20"/>
              </w:rPr>
            </w:pPr>
            <w:r w:rsidRPr="00F9152F">
              <w:rPr>
                <w:sz w:val="20"/>
                <w:szCs w:val="20"/>
              </w:rPr>
              <w:t xml:space="preserve">Kā izriet no 3. panta pirmās daļas, tā būtība ir pateikt, ka Likumprojekta 9. pants ir piemērojams visiem izslēdzošā ieskaita piemērošanas gadījumiem. Savukārt attiecībā uz Likumprojekta piemērošanas jomu (kvalificētajiem finanšu darījumiem) to piemēro tiktāl, ciktāl speciālajos likumos nav noteikts citādi. Vienlaikus, piemēram, saistītajā likumprojektā (Grozījumi Kredītiestāžu likumā, VSS-421) ir paredzēta norādes norma, ka attiecībā uz kredītiestādes noslēgtiem finanšu nodrošinājuma darījumiem un noslēgtajiem atvasinātajiem finanšu instrumentu darījumiem ir piemērojams Kredītiestāžu likums, ciktāl Likumprojektā nav noteikts citādi. Tā kā Likumprojekts neregulē izslēdzošā ieskaita piemērošanu finanšu nodrošinājuma darījumiem un atvasinātajiem finanšu instrumentu darījumiem, nav skaidrības, kādas tiesību normas šādos gadījumos ir piemērojamas. T.i., abi likumi paredzētu atgriezenisko saiti viens uz otru, turklāt abās saitēs ir minētas tiesiskas attiecības, kuras attiecīgi norādītie likumi neregulē. </w:t>
            </w:r>
          </w:p>
          <w:p w14:paraId="7A3F1490" w14:textId="77777777" w:rsidR="00DA470C" w:rsidRPr="00F9152F" w:rsidRDefault="00DA470C" w:rsidP="003F4963">
            <w:pPr>
              <w:pStyle w:val="NormalWeb"/>
              <w:spacing w:before="0" w:after="0"/>
              <w:ind w:right="13" w:firstLine="330"/>
              <w:jc w:val="both"/>
              <w:rPr>
                <w:sz w:val="20"/>
                <w:szCs w:val="20"/>
              </w:rPr>
            </w:pPr>
            <w:r w:rsidRPr="00F9152F">
              <w:rPr>
                <w:sz w:val="20"/>
                <w:szCs w:val="20"/>
              </w:rPr>
              <w:t xml:space="preserve">Attiecībā uz Likumprojekta 3. panta otro daļu vēršam uzmanību, ka tā pēc būtības ir deklaratīva un lieka. Tā kā Likumprojekts neregulē izslēdzošā ieskaita piemērošanu finanšu nodrošinājuma līgumiem, nav skaidrs, kādēļ likumā ir jāietver norādes norma, ka attiecīgajiem darījumiem ir piemērojams likums, kurā ir noteikta izslēdzošā ieskata piemērošana šādiem darījumiem. </w:t>
            </w:r>
          </w:p>
          <w:p w14:paraId="6104C45B" w14:textId="77777777" w:rsidR="00DA470C" w:rsidRPr="00F9152F" w:rsidRDefault="00DA470C" w:rsidP="003F4963">
            <w:pPr>
              <w:pStyle w:val="NormalWeb"/>
              <w:spacing w:before="0" w:after="0"/>
              <w:ind w:right="13" w:firstLine="330"/>
              <w:jc w:val="both"/>
              <w:rPr>
                <w:sz w:val="20"/>
                <w:szCs w:val="20"/>
              </w:rPr>
            </w:pPr>
            <w:r w:rsidRPr="00F9152F">
              <w:rPr>
                <w:sz w:val="20"/>
                <w:szCs w:val="20"/>
              </w:rPr>
              <w:t xml:space="preserve">Vienlaikus pastāv iespēja, ka šīs neskaidrības izriet no dažādās terminoloģijas, kas tiek lietota, lai apzīmētu dažādus darījumu veidus. T.i., Kvalificēto finanšu darījumu jomā ietilpst, piemēram, arī finanšu nodrošinājuma darījumi vai atvasinātie finanšu instrumentu darījumi. Tomēr šāda situācija neizriet nedz no lietotās terminoloģijas, nedz normatīvajos aktos noteiktajām definīcijām, kā arī šādu savstarpējo </w:t>
            </w:r>
            <w:r w:rsidRPr="00F9152F">
              <w:rPr>
                <w:sz w:val="20"/>
                <w:szCs w:val="20"/>
              </w:rPr>
              <w:lastRenderedPageBreak/>
              <w:t xml:space="preserve">sakarību saikne nav atainota Likumprojekta anotācijā. </w:t>
            </w:r>
          </w:p>
          <w:p w14:paraId="0EEDD491" w14:textId="77777777" w:rsidR="00DA470C" w:rsidRPr="00F9152F" w:rsidRDefault="00DA470C" w:rsidP="003F4963">
            <w:pPr>
              <w:pStyle w:val="NormalWeb"/>
              <w:spacing w:before="0" w:after="0"/>
              <w:ind w:right="13" w:firstLine="330"/>
              <w:jc w:val="both"/>
              <w:rPr>
                <w:sz w:val="20"/>
                <w:szCs w:val="20"/>
              </w:rPr>
            </w:pPr>
            <w:r w:rsidRPr="00F9152F">
              <w:rPr>
                <w:sz w:val="20"/>
                <w:szCs w:val="20"/>
              </w:rPr>
              <w:t>Tieslietu ministrijas ieskatā regulējumam ir jābūt tik pietiekami skaidram, lai, piemērojot tiesību teoriju un Publikāciju likuma 9. pantā nostiprinātos principus, tiktu piemērota pareizā norma.</w:t>
            </w:r>
          </w:p>
          <w:p w14:paraId="55007BAB" w14:textId="77777777" w:rsidR="00DA470C" w:rsidRPr="00F9152F" w:rsidRDefault="00DA470C" w:rsidP="003F4963">
            <w:pPr>
              <w:pStyle w:val="NormalWeb"/>
              <w:spacing w:before="0" w:after="0"/>
              <w:ind w:right="13" w:firstLine="330"/>
              <w:jc w:val="both"/>
              <w:rPr>
                <w:sz w:val="20"/>
                <w:szCs w:val="20"/>
              </w:rPr>
            </w:pPr>
            <w:r w:rsidRPr="00F9152F">
              <w:rPr>
                <w:sz w:val="20"/>
                <w:szCs w:val="20"/>
              </w:rPr>
              <w:t xml:space="preserve">Kā izriet no Likumprojekta anotācijas, Likumprojekts ir paredzēts, kā vispārējais izslēdzošā ieskaita regulējums finanšu tirgu nozarē, kura piemērošanā var būt atsevišķas nianses konkrētiem nozarē ietilpstošiem dalībniekiem vai darījumu veidiem. Šādā situācija Tieslietu ministrijas ieskatā būtu apsverama Likumprojekta piemērošanas jomas paplašināšana, skaidri paredzot, ka Likumprojekts attiecas ne tikai uz kvalificētiem finanšu darījumiem, bet arī citos likumos noteiktiem gadījumiem, kuros ir paredzēta izslēdzošā ieskaita piemērošana. To varētu veikt precizējot Likumprojekta 7. pantu un iekļaujot tajā jaunu daļu, kas noteiktu tā piemērošanu arī citos likumos noteiktos gadījumos. Tas nostiprinātu izpratni, ka Likumprojekts ir vispārējais regulējums visai finanšu nozarei. Tad arī nebūtu problēmu ar Publikāciju likumā noteikto kolīziju piemērošanu, jo vispārējais regulējums būtu piemērojams tiktāl, ciktāl speciālās tiesību normas konkrētu nozaru normatīvajos aktos neparedzētu citādi. Minētais prasītu arī precizēt Likumprojekta nosaukumu, norādot tā sasaisti ar finanšu tirgus jomu vai kādu citu vienojošu terminu, kas saista regulēt paredzētās tiesiskās attiecības. </w:t>
            </w:r>
          </w:p>
          <w:p w14:paraId="0E95236B" w14:textId="77777777" w:rsidR="00DA470C" w:rsidRPr="00F9152F" w:rsidRDefault="00DA470C" w:rsidP="003F4963">
            <w:pPr>
              <w:pStyle w:val="NormalWeb"/>
              <w:spacing w:before="0" w:after="0"/>
              <w:ind w:right="13" w:firstLine="330"/>
              <w:jc w:val="both"/>
              <w:rPr>
                <w:sz w:val="20"/>
                <w:szCs w:val="20"/>
              </w:rPr>
            </w:pPr>
            <w:r w:rsidRPr="00F9152F">
              <w:rPr>
                <w:sz w:val="20"/>
                <w:szCs w:val="20"/>
              </w:rPr>
              <w:t xml:space="preserve">Ievērojot minēto, </w:t>
            </w:r>
            <w:r w:rsidRPr="00F9152F">
              <w:rPr>
                <w:sz w:val="20"/>
                <w:szCs w:val="20"/>
                <w:u w:val="single"/>
              </w:rPr>
              <w:t>lūdzam izvērtēt Likumprojekta 3. panta nepieciešamību, Likumprojekta paredzēto piemērošanas jomu un savstarpējās kolīzijas, atbilstoši papildināt Likumprojekta anotāciju un, nepieciešamības gadījumā, precizēt Likumprojektu.</w:t>
            </w:r>
            <w:r w:rsidRPr="00F9152F">
              <w:rPr>
                <w:sz w:val="20"/>
                <w:szCs w:val="20"/>
              </w:rPr>
              <w:t xml:space="preserve"> </w:t>
            </w:r>
          </w:p>
          <w:p w14:paraId="0A7C809D" w14:textId="77777777" w:rsidR="000E106B" w:rsidRPr="00F9152F" w:rsidRDefault="000E106B" w:rsidP="00DA470C">
            <w:pPr>
              <w:suppressAutoHyphens/>
              <w:spacing w:after="0" w:line="240" w:lineRule="auto"/>
              <w:jc w:val="both"/>
              <w:rPr>
                <w:rFonts w:ascii="Times New Roman" w:hAnsi="Times New Roman" w:cs="Times New Roman"/>
                <w:iCs/>
                <w:sz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655EB81C" w14:textId="77777777" w:rsidR="00BB5BE0" w:rsidRPr="00F9152F" w:rsidRDefault="00985F33" w:rsidP="00FC73EF">
            <w:pPr>
              <w:spacing w:after="0" w:line="240" w:lineRule="auto"/>
              <w:jc w:val="both"/>
              <w:rPr>
                <w:rFonts w:ascii="Times New Roman" w:eastAsia="Times New Roman" w:hAnsi="Times New Roman" w:cs="Times New Roman"/>
                <w:b/>
                <w:sz w:val="20"/>
                <w:szCs w:val="20"/>
                <w:lang w:eastAsia="lv-LV"/>
              </w:rPr>
            </w:pPr>
            <w:r w:rsidRPr="00F9152F">
              <w:rPr>
                <w:rFonts w:ascii="Times New Roman" w:eastAsia="Times New Roman" w:hAnsi="Times New Roman" w:cs="Times New Roman"/>
                <w:b/>
                <w:sz w:val="20"/>
                <w:szCs w:val="20"/>
                <w:lang w:eastAsia="lv-LV"/>
              </w:rPr>
              <w:lastRenderedPageBreak/>
              <w:t>Iebi</w:t>
            </w:r>
            <w:r w:rsidR="00E11749" w:rsidRPr="00F9152F">
              <w:rPr>
                <w:rFonts w:ascii="Times New Roman" w:eastAsia="Times New Roman" w:hAnsi="Times New Roman" w:cs="Times New Roman"/>
                <w:b/>
                <w:sz w:val="20"/>
                <w:szCs w:val="20"/>
                <w:lang w:eastAsia="lv-LV"/>
              </w:rPr>
              <w:t>ldums daļēji ņemts vērā.</w:t>
            </w:r>
          </w:p>
          <w:p w14:paraId="7DCA0966" w14:textId="77777777" w:rsidR="00E11749" w:rsidRPr="00F9152F" w:rsidRDefault="00D771BA" w:rsidP="003F4963">
            <w:pPr>
              <w:pStyle w:val="NormalWeb"/>
              <w:spacing w:before="0" w:after="0"/>
              <w:ind w:right="13" w:firstLine="341"/>
              <w:jc w:val="both"/>
              <w:rPr>
                <w:sz w:val="20"/>
                <w:szCs w:val="20"/>
              </w:rPr>
            </w:pPr>
            <w:r>
              <w:rPr>
                <w:b/>
                <w:sz w:val="20"/>
                <w:szCs w:val="20"/>
              </w:rPr>
              <w:t>1</w:t>
            </w:r>
            <w:r w:rsidR="00E11749" w:rsidRPr="00F9152F">
              <w:rPr>
                <w:b/>
                <w:sz w:val="20"/>
                <w:szCs w:val="20"/>
              </w:rPr>
              <w:t>.1.</w:t>
            </w:r>
            <w:r w:rsidR="00E11749" w:rsidRPr="00F9152F">
              <w:rPr>
                <w:sz w:val="20"/>
                <w:szCs w:val="20"/>
              </w:rPr>
              <w:t xml:space="preserve"> Ar Likumprojektu nav paredzēts visaptveroši regulēt izslēdzošā ieskaita piemērošanu visiem gadījumiem, bet gan tikai vienam specifiskam gadījumam, kad līdzēju starpā tiek slēgti tā saucamie kvalificētie finanšu darījumi, t.i., darījumi ar atvasinātajiem finanšu instrumentiem un spot darījumi. Turklāt tikai tiktāl, ciktāl šie darījumi nav nodrošināti ar finanšu nodrošinājumu, no kura </w:t>
            </w:r>
            <w:r w:rsidR="00E11749" w:rsidRPr="00F9152F">
              <w:rPr>
                <w:sz w:val="20"/>
                <w:szCs w:val="20"/>
              </w:rPr>
              <w:lastRenderedPageBreak/>
              <w:t>izrietošās tiesiskās attiecības regulē Finanšu nodrošinājuma likuma normas.</w:t>
            </w:r>
          </w:p>
          <w:p w14:paraId="4AD7783A" w14:textId="77777777" w:rsidR="00E11749" w:rsidRPr="00F9152F" w:rsidRDefault="00E11749" w:rsidP="003F4963">
            <w:pPr>
              <w:pStyle w:val="NormalWeb"/>
              <w:spacing w:before="0" w:after="0"/>
              <w:ind w:right="13" w:firstLine="341"/>
              <w:jc w:val="both"/>
              <w:rPr>
                <w:rFonts w:eastAsia="Calibri"/>
                <w:sz w:val="20"/>
                <w:szCs w:val="20"/>
                <w:shd w:val="clear" w:color="auto" w:fill="FFFFFF"/>
              </w:rPr>
            </w:pPr>
            <w:r w:rsidRPr="00F9152F">
              <w:rPr>
                <w:sz w:val="20"/>
                <w:szCs w:val="20"/>
              </w:rPr>
              <w:t>Pastāvošais tiesiskais regulējums attiecībā uz izslēdzošo ieskaitu, kas ir iekļauts citos likumos (Finanšu nodrošinājuma likums, likums „</w:t>
            </w:r>
            <w:r w:rsidRPr="00F9152F">
              <w:rPr>
                <w:sz w:val="20"/>
                <w:szCs w:val="20"/>
                <w:shd w:val="clear" w:color="auto" w:fill="FFFFFF"/>
              </w:rPr>
              <w:t xml:space="preserve">Par norēķinu galīgumu maksājumu un finanšu instrumentu norēķinu sistēmās”, Kredītiestāžu likums, </w:t>
            </w:r>
            <w:r w:rsidRPr="00F9152F">
              <w:rPr>
                <w:rFonts w:eastAsia="Calibri"/>
                <w:sz w:val="20"/>
                <w:szCs w:val="20"/>
                <w:shd w:val="clear" w:color="auto" w:fill="FFFFFF"/>
              </w:rPr>
              <w:t>Kredītiestāžu un ieguldījumu brokeru sabiedrību darbības atjaunošanas un noregulējuma likums, Apdrošināšanas un pārapdrošināšanas likums) jau ir pilnībā saskaņots ar Eiropas Savienības tiesību aktiem. Paplašinot Likumprojekta darbības jomu, lai visaptveroši vienā likumā regulētu visus jautājumus, kas saistīti ar izslēdzošā ieskaita piemērošanu, tiktu izjaukta citu tiesību aktu struktūra. Apjomīgi tiesību aktu grozījumi varētu ietekmēt finanšu tirgus dalībnieku tiesisko noteiktību un paredzamību, ņemot vērā to, ka fundamentāli grozījumi virknē tiesību aktu nevarēs pilnībā garantēt to, ka jaunais regulējums būs skaidrāks vai ka no tā būs kādi praktiski ieguvumi.</w:t>
            </w:r>
          </w:p>
          <w:p w14:paraId="472C31BF" w14:textId="77777777" w:rsidR="00E11749" w:rsidRPr="00F9152F" w:rsidRDefault="00E11749" w:rsidP="003F4963">
            <w:pPr>
              <w:pStyle w:val="NormalWeb"/>
              <w:spacing w:before="0" w:after="0"/>
              <w:ind w:right="13" w:firstLine="341"/>
              <w:jc w:val="both"/>
              <w:rPr>
                <w:rFonts w:eastAsia="Calibri"/>
                <w:sz w:val="20"/>
                <w:szCs w:val="20"/>
                <w:shd w:val="clear" w:color="auto" w:fill="FFFFFF"/>
              </w:rPr>
            </w:pPr>
            <w:r w:rsidRPr="00F9152F">
              <w:rPr>
                <w:rFonts w:eastAsia="Calibri"/>
                <w:sz w:val="20"/>
                <w:szCs w:val="20"/>
                <w:shd w:val="clear" w:color="auto" w:fill="FFFFFF"/>
              </w:rPr>
              <w:t>Kā izriet no atzinuma, tad ne tikai atvasināto finanšu instrumentu un spot darījumi būtu jāuzskata kvalificētajiem finanšu darījumiem, bet arī finanšu nodrošinājuma darījumi ir tādiem pieskaitāmi. Taču tam nevar piekrist, jo finanšu nodrošinājums vienmēr ir saistīts ar kādu darījumu, kas var būt gan kvalificētais finanšu darījums Likumprojekta 7.panta izpratnē, gan arī jebkāda cita veida darījums, par ko tiek sniegts finanšu nodrošinājums. Līdz ar to Likumprojekta regulējuma paplašināta attiecināšana uz visiem gadījumiem, kad tiek sniegts finanšu nodrošinājums, nebūtu pieļaujama.</w:t>
            </w:r>
          </w:p>
          <w:p w14:paraId="057D3CB7" w14:textId="77777777" w:rsidR="00E11749" w:rsidRPr="00F9152F" w:rsidRDefault="00E11749" w:rsidP="003F4963">
            <w:pPr>
              <w:pStyle w:val="NormalWeb"/>
              <w:spacing w:before="0" w:after="0"/>
              <w:ind w:right="13" w:firstLine="341"/>
              <w:jc w:val="both"/>
              <w:rPr>
                <w:rFonts w:eastAsia="Calibri"/>
                <w:sz w:val="20"/>
                <w:szCs w:val="20"/>
                <w:shd w:val="clear" w:color="auto" w:fill="FFFFFF"/>
              </w:rPr>
            </w:pPr>
            <w:r w:rsidRPr="00F9152F">
              <w:rPr>
                <w:rFonts w:eastAsia="Calibri"/>
                <w:sz w:val="20"/>
                <w:szCs w:val="20"/>
                <w:shd w:val="clear" w:color="auto" w:fill="FFFFFF"/>
              </w:rPr>
              <w:t>Papildus norādām</w:t>
            </w:r>
            <w:r w:rsidR="00767ED5">
              <w:rPr>
                <w:rFonts w:eastAsia="Calibri"/>
                <w:sz w:val="20"/>
                <w:szCs w:val="20"/>
                <w:shd w:val="clear" w:color="auto" w:fill="FFFFFF"/>
              </w:rPr>
              <w:t>s</w:t>
            </w:r>
            <w:r w:rsidRPr="00F9152F">
              <w:rPr>
                <w:rFonts w:eastAsia="Calibri"/>
                <w:sz w:val="20"/>
                <w:szCs w:val="20"/>
                <w:shd w:val="clear" w:color="auto" w:fill="FFFFFF"/>
              </w:rPr>
              <w:t xml:space="preserve">, ka redakcionāli </w:t>
            </w:r>
            <w:r w:rsidR="00767ED5">
              <w:rPr>
                <w:rFonts w:eastAsia="Calibri"/>
                <w:sz w:val="20"/>
                <w:szCs w:val="20"/>
                <w:shd w:val="clear" w:color="auto" w:fill="FFFFFF"/>
              </w:rPr>
              <w:t>ir</w:t>
            </w:r>
            <w:r w:rsidRPr="00F9152F">
              <w:rPr>
                <w:rFonts w:eastAsia="Calibri"/>
                <w:sz w:val="20"/>
                <w:szCs w:val="20"/>
                <w:shd w:val="clear" w:color="auto" w:fill="FFFFFF"/>
              </w:rPr>
              <w:t xml:space="preserve"> labots</w:t>
            </w:r>
            <w:r w:rsidR="00767ED5">
              <w:rPr>
                <w:rFonts w:eastAsia="Calibri"/>
                <w:sz w:val="20"/>
                <w:szCs w:val="20"/>
                <w:shd w:val="clear" w:color="auto" w:fill="FFFFFF"/>
              </w:rPr>
              <w:t xml:space="preserve"> Likumprojekta</w:t>
            </w:r>
            <w:r w:rsidRPr="00F9152F">
              <w:rPr>
                <w:rFonts w:eastAsia="Calibri"/>
                <w:sz w:val="20"/>
                <w:szCs w:val="20"/>
                <w:shd w:val="clear" w:color="auto" w:fill="FFFFFF"/>
              </w:rPr>
              <w:t xml:space="preserve"> 7.panta pirmās daļas 2.punkts, precizējot to, kādi darījumi uzskatāmi par spot darījumiem, proti, tādi, kas noteikti Eiropas </w:t>
            </w:r>
            <w:r w:rsidRPr="00F9152F">
              <w:rPr>
                <w:sz w:val="20"/>
                <w:szCs w:val="20"/>
              </w:rPr>
              <w:t xml:space="preserve">Komisijas 2016.gada 25.aprīļa deleģētās regulas (ES) 2017/565 (ES) 2017/565 ar ko papildina Eiropas Parlamenta un Padomes direktīvu 2014/65/ES attiecībā uz ieguldījumu brokeru sabiedrību organizatoriskām prasībām un darbības nosacījumiem un jēdzienu definīcijām minētās direktīvas mērķiem 7.panta </w:t>
            </w:r>
            <w:r w:rsidRPr="00F9152F">
              <w:rPr>
                <w:sz w:val="20"/>
                <w:szCs w:val="20"/>
              </w:rPr>
              <w:lastRenderedPageBreak/>
              <w:t xml:space="preserve">2.punktā. Atbilstoši minētās regulas 7.panta 2.punktam spot darījumi ir tādi darījumi, saskaņā ar kuriem piegāde nepārsniedz divas tirdzniecības dienas vai laikposmu, kas vispārpieņemts tirgū kā preces, aktīva vai tiesību parastais piegādes termiņš. </w:t>
            </w:r>
          </w:p>
          <w:p w14:paraId="308EE12B" w14:textId="77777777" w:rsidR="00E11749" w:rsidRPr="00F9152F" w:rsidRDefault="00E11749" w:rsidP="003F4963">
            <w:pPr>
              <w:pStyle w:val="NormalWeb"/>
              <w:spacing w:before="0" w:after="0"/>
              <w:ind w:right="13" w:firstLine="341"/>
              <w:jc w:val="both"/>
              <w:rPr>
                <w:sz w:val="20"/>
                <w:szCs w:val="20"/>
              </w:rPr>
            </w:pPr>
            <w:r w:rsidRPr="00F9152F">
              <w:rPr>
                <w:rFonts w:eastAsia="Calibri"/>
                <w:sz w:val="20"/>
                <w:szCs w:val="20"/>
                <w:shd w:val="clear" w:color="auto" w:fill="FFFFFF"/>
              </w:rPr>
              <w:t xml:space="preserve">Atzinumā paustais viedoklis, ka </w:t>
            </w:r>
            <w:r w:rsidRPr="00F9152F">
              <w:rPr>
                <w:sz w:val="20"/>
                <w:szCs w:val="20"/>
              </w:rPr>
              <w:t>„</w:t>
            </w:r>
            <w:r w:rsidRPr="00F9152F">
              <w:rPr>
                <w:i/>
                <w:sz w:val="20"/>
                <w:szCs w:val="20"/>
              </w:rPr>
              <w:t>būtu apsverama Likumprojekta piemērošanas jomas paplašināšana, skaidri paredzot, ka Likumprojekts attiecas ne tikai uz kvalificētiem finanšu darījumiem, bet arī citos likumos noteiktiem gadījumiem, kuros ir paredzēta izslēdzošā ieskaita piemērošana”</w:t>
            </w:r>
            <w:r w:rsidRPr="00F9152F">
              <w:rPr>
                <w:sz w:val="20"/>
                <w:szCs w:val="20"/>
              </w:rPr>
              <w:t xml:space="preserve"> ir pretējs arī citu Likumprojekta izstrādē iesaistīto pušu paustajiem viedokļiem. Piemēram, Latvijas Banka 2020.gada 16.janvāra vēstulē ir aicinājusi Finanšu ministriju </w:t>
            </w:r>
            <w:r w:rsidRPr="00F9152F">
              <w:rPr>
                <w:rFonts w:eastAsia="Calibri"/>
                <w:sz w:val="20"/>
                <w:szCs w:val="20"/>
                <w:lang w:eastAsia="en-US"/>
              </w:rPr>
              <w:t>L</w:t>
            </w:r>
            <w:r w:rsidRPr="00F9152F">
              <w:rPr>
                <w:sz w:val="20"/>
                <w:szCs w:val="20"/>
              </w:rPr>
              <w:t>ikumprojektā tieši noteikt, ka tā regulējums nav attiecināms uz maksājumu un finanšu instrumentu norēķinu sistēmām un to dalībniekiem, kas tiek regulēts ar likumu „Par norēķinu galīgumu maksājumu un finanšu instrumentu norēķinu sistēmās”. Maksājumu sistēmu gadījumā pastāvošais regulējums attiecībā uz izslēdzošā ieskaita piemērošanu jau pastāv un ir pilnīgs. Minētais Latvijas Bankas viedoklis ir ņemts vērā, izstrādājot Likumprojekta 3.panta redakciju.</w:t>
            </w:r>
          </w:p>
          <w:p w14:paraId="7460FA4C" w14:textId="77777777" w:rsidR="00E11749" w:rsidRPr="00F9152F" w:rsidRDefault="00E11749" w:rsidP="003F4963">
            <w:pPr>
              <w:pStyle w:val="NormalWeb"/>
              <w:spacing w:before="0" w:after="0"/>
              <w:ind w:right="13" w:firstLine="341"/>
              <w:jc w:val="both"/>
              <w:rPr>
                <w:rFonts w:eastAsia="Calibri"/>
                <w:sz w:val="20"/>
                <w:szCs w:val="20"/>
                <w:shd w:val="clear" w:color="auto" w:fill="FFFFFF"/>
              </w:rPr>
            </w:pPr>
            <w:r w:rsidRPr="00F9152F">
              <w:rPr>
                <w:rFonts w:eastAsia="Calibri"/>
                <w:sz w:val="20"/>
                <w:szCs w:val="20"/>
                <w:shd w:val="clear" w:color="auto" w:fill="FFFFFF"/>
              </w:rPr>
              <w:t xml:space="preserve">Lai novērstu terminoloģiskas atšķirības un tādējādi veicinātu kopējo izpratni par izslēdzošā ieskaita vietu Latvijas tiesību sistēmā, vienlaikus ar šo Likumprojektu ir izstrādāti grozījumi </w:t>
            </w:r>
            <w:r w:rsidRPr="00F9152F">
              <w:rPr>
                <w:sz w:val="20"/>
                <w:szCs w:val="20"/>
                <w:shd w:val="clear" w:color="auto" w:fill="FFFFFF"/>
              </w:rPr>
              <w:t xml:space="preserve">Kredītiestāžu likumā, </w:t>
            </w:r>
            <w:r w:rsidRPr="00F9152F">
              <w:rPr>
                <w:rFonts w:eastAsia="Calibri"/>
                <w:sz w:val="20"/>
                <w:szCs w:val="20"/>
                <w:shd w:val="clear" w:color="auto" w:fill="FFFFFF"/>
              </w:rPr>
              <w:t xml:space="preserve">Kredītiestāžu un ieguldījumu brokeru sabiedrību darbības atjaunošanas un noregulējuma likumā, kā arī Apdrošināšanas un pārapdrošināšanas likumā. Šo grozījumu mērķis citos tiesību aktos ir novērst terminoloģiskas nekonsekvences, kā arī </w:t>
            </w:r>
            <w:r w:rsidR="008B79AF" w:rsidRPr="00F9152F">
              <w:rPr>
                <w:rFonts w:eastAsia="Calibri"/>
                <w:sz w:val="20"/>
                <w:szCs w:val="20"/>
                <w:shd w:val="clear" w:color="auto" w:fill="FFFFFF"/>
              </w:rPr>
              <w:t xml:space="preserve">grozījumi </w:t>
            </w:r>
            <w:r w:rsidRPr="00F9152F">
              <w:rPr>
                <w:rFonts w:eastAsia="Calibri"/>
                <w:sz w:val="20"/>
                <w:szCs w:val="20"/>
                <w:shd w:val="clear" w:color="auto" w:fill="FFFFFF"/>
              </w:rPr>
              <w:t>satur kolīziju normas, kas skaidro spēkā esošo tiesību aktu savstarpējo mijiedarbību un precizē katra likuma piemērošanas jomas.</w:t>
            </w:r>
          </w:p>
          <w:p w14:paraId="476F20FB" w14:textId="79BF50B2" w:rsidR="00E11749" w:rsidRDefault="00E11749" w:rsidP="003F4963">
            <w:pPr>
              <w:pStyle w:val="NormalWeb"/>
              <w:spacing w:before="0" w:after="0"/>
              <w:ind w:right="13" w:firstLine="341"/>
              <w:jc w:val="both"/>
              <w:rPr>
                <w:sz w:val="20"/>
                <w:szCs w:val="20"/>
                <w:shd w:val="clear" w:color="auto" w:fill="FFFFFF"/>
              </w:rPr>
            </w:pPr>
            <w:r w:rsidRPr="00F9152F">
              <w:rPr>
                <w:rFonts w:eastAsia="Calibri"/>
                <w:sz w:val="20"/>
                <w:szCs w:val="20"/>
                <w:shd w:val="clear" w:color="auto" w:fill="FFFFFF"/>
              </w:rPr>
              <w:t xml:space="preserve">Likumprojekta izstrādes gaitā tika secināts, ka grozījumi nav nepieciešami Finanšu nodrošinājuma likumā, kurā lietotā terminoloģija un definīcijas kopumā atbilst Likumprojektā lietotajai. Tāpat grozījumi nav paredzēti </w:t>
            </w:r>
            <w:r w:rsidRPr="00F9152F">
              <w:rPr>
                <w:sz w:val="20"/>
                <w:szCs w:val="20"/>
              </w:rPr>
              <w:t>likumā „</w:t>
            </w:r>
            <w:r w:rsidRPr="00F9152F">
              <w:rPr>
                <w:sz w:val="20"/>
                <w:szCs w:val="20"/>
                <w:shd w:val="clear" w:color="auto" w:fill="FFFFFF"/>
              </w:rPr>
              <w:t xml:space="preserve">Par norēķinu galīgumu maksājumu un finanšu instrumentu </w:t>
            </w:r>
            <w:r w:rsidRPr="00F9152F">
              <w:rPr>
                <w:sz w:val="20"/>
                <w:szCs w:val="20"/>
                <w:shd w:val="clear" w:color="auto" w:fill="FFFFFF"/>
              </w:rPr>
              <w:lastRenderedPageBreak/>
              <w:t xml:space="preserve">norēķinu sistēmās”, kurā ir lietots termins </w:t>
            </w:r>
            <w:r w:rsidRPr="00F9152F">
              <w:rPr>
                <w:sz w:val="20"/>
                <w:szCs w:val="20"/>
              </w:rPr>
              <w:t>„</w:t>
            </w:r>
            <w:r w:rsidRPr="00F9152F">
              <w:rPr>
                <w:sz w:val="20"/>
                <w:szCs w:val="20"/>
                <w:shd w:val="clear" w:color="auto" w:fill="FFFFFF"/>
              </w:rPr>
              <w:t>ieskaits”. Atbilstoši minētā likuma regulējumam sistēmas dalībnieki ieskaitu un pārved</w:t>
            </w:r>
            <w:r w:rsidR="00F56D64">
              <w:rPr>
                <w:sz w:val="20"/>
                <w:szCs w:val="20"/>
                <w:shd w:val="clear" w:color="auto" w:fill="FFFFFF"/>
              </w:rPr>
              <w:t>u</w:t>
            </w:r>
            <w:r w:rsidRPr="00F9152F">
              <w:rPr>
                <w:sz w:val="20"/>
                <w:szCs w:val="20"/>
                <w:shd w:val="clear" w:color="auto" w:fill="FFFFFF"/>
              </w:rPr>
              <w:t xml:space="preserve">mu rīkojumus veic regulāri ikdienas darbā, ne tikai kāda sistēmas dalībnieka maksātnespējas gadījumā, tāpēc šajos gadījumos tiek lietots termins </w:t>
            </w:r>
            <w:r w:rsidRPr="00F9152F">
              <w:rPr>
                <w:sz w:val="20"/>
                <w:szCs w:val="20"/>
              </w:rPr>
              <w:t>„</w:t>
            </w:r>
            <w:r w:rsidRPr="00F9152F">
              <w:rPr>
                <w:sz w:val="20"/>
                <w:szCs w:val="20"/>
                <w:shd w:val="clear" w:color="auto" w:fill="FFFFFF"/>
              </w:rPr>
              <w:t xml:space="preserve">ieskaits”. Ievērojot to, ka visiem attiecīgo sistēmu dalībniekiem regulējums ir skaidrs, saprotams, tā piemērošana praksē nerada problēmas un tas ir saskaņots ar Eiropas Savienības direktīvām, kuras Latvija ir pārņēmusi šajā likumā, tad nekādi grozījumi </w:t>
            </w:r>
            <w:r w:rsidRPr="00F9152F">
              <w:rPr>
                <w:sz w:val="20"/>
                <w:szCs w:val="20"/>
              </w:rPr>
              <w:t>likumā „</w:t>
            </w:r>
            <w:r w:rsidRPr="00F9152F">
              <w:rPr>
                <w:sz w:val="20"/>
                <w:szCs w:val="20"/>
                <w:shd w:val="clear" w:color="auto" w:fill="FFFFFF"/>
              </w:rPr>
              <w:t>Par norēķinu galīgumu maksājumu un finanšu instrumentu norēķinu sistēmās” nav nepieciešami.</w:t>
            </w:r>
          </w:p>
          <w:p w14:paraId="0D512244" w14:textId="77777777" w:rsidR="006926CD" w:rsidRDefault="004E60BE" w:rsidP="003F4963">
            <w:pPr>
              <w:pStyle w:val="NormalWeb"/>
              <w:spacing w:before="0" w:after="0"/>
              <w:ind w:right="13" w:firstLine="341"/>
              <w:jc w:val="both"/>
              <w:rPr>
                <w:sz w:val="20"/>
                <w:szCs w:val="20"/>
              </w:rPr>
            </w:pPr>
            <w:r>
              <w:rPr>
                <w:sz w:val="20"/>
                <w:szCs w:val="20"/>
                <w:shd w:val="clear" w:color="auto" w:fill="FFFFFF"/>
              </w:rPr>
              <w:t xml:space="preserve">Precizētā Likumprojekta 4.panta pirmā daļa ir papildināta ar 5.punktu, kas noteic, ka izslēdzošā ieskaita līguma puse ir </w:t>
            </w:r>
            <w:r w:rsidR="009F0020">
              <w:rPr>
                <w:sz w:val="20"/>
                <w:szCs w:val="20"/>
                <w:shd w:val="clear" w:color="auto" w:fill="FFFFFF"/>
              </w:rPr>
              <w:t xml:space="preserve">dalībvalstī reģistrēts </w:t>
            </w:r>
            <w:r>
              <w:rPr>
                <w:sz w:val="20"/>
                <w:szCs w:val="20"/>
                <w:shd w:val="clear" w:color="auto" w:fill="FFFFFF"/>
              </w:rPr>
              <w:t xml:space="preserve">centrālais darījumu partneris. Likumprojekta izstrādes gaitā </w:t>
            </w:r>
            <w:r w:rsidR="00461FCB">
              <w:rPr>
                <w:sz w:val="20"/>
                <w:szCs w:val="20"/>
                <w:shd w:val="clear" w:color="auto" w:fill="FFFFFF"/>
              </w:rPr>
              <w:t xml:space="preserve">sākotnēji jau </w:t>
            </w:r>
            <w:r w:rsidR="006926CD">
              <w:rPr>
                <w:sz w:val="20"/>
                <w:szCs w:val="20"/>
                <w:shd w:val="clear" w:color="auto" w:fill="FFFFFF"/>
              </w:rPr>
              <w:t xml:space="preserve">bija </w:t>
            </w:r>
            <w:r w:rsidR="00461FCB">
              <w:rPr>
                <w:sz w:val="20"/>
                <w:szCs w:val="20"/>
                <w:shd w:val="clear" w:color="auto" w:fill="FFFFFF"/>
              </w:rPr>
              <w:t>paredzēts noteikt</w:t>
            </w:r>
            <w:r w:rsidR="006926CD">
              <w:rPr>
                <w:sz w:val="20"/>
                <w:szCs w:val="20"/>
                <w:shd w:val="clear" w:color="auto" w:fill="FFFFFF"/>
              </w:rPr>
              <w:t>, ka likuma su</w:t>
            </w:r>
            <w:r>
              <w:rPr>
                <w:sz w:val="20"/>
                <w:szCs w:val="20"/>
                <w:shd w:val="clear" w:color="auto" w:fill="FFFFFF"/>
              </w:rPr>
              <w:t xml:space="preserve">bjekts ir </w:t>
            </w:r>
            <w:r w:rsidRPr="004E60BE">
              <w:rPr>
                <w:sz w:val="20"/>
                <w:szCs w:val="20"/>
                <w:shd w:val="clear" w:color="auto" w:fill="FFFFFF"/>
              </w:rPr>
              <w:t>centrālais vērtspapīru depozitārijs, centrālais darījumu starpnieks vai norēķinu aģents</w:t>
            </w:r>
            <w:r>
              <w:rPr>
                <w:sz w:val="20"/>
                <w:szCs w:val="20"/>
                <w:shd w:val="clear" w:color="auto" w:fill="FFFFFF"/>
              </w:rPr>
              <w:t xml:space="preserve"> līdzīgi kā to paredz Finanšu nodrošinājuma likuma 3.panta pirmās daļas 5.punkts. Taču, precizējot likuma piemērošan</w:t>
            </w:r>
            <w:r w:rsidR="00767ED5">
              <w:rPr>
                <w:sz w:val="20"/>
                <w:szCs w:val="20"/>
                <w:shd w:val="clear" w:color="auto" w:fill="FFFFFF"/>
              </w:rPr>
              <w:t>a</w:t>
            </w:r>
            <w:r>
              <w:rPr>
                <w:sz w:val="20"/>
                <w:szCs w:val="20"/>
                <w:shd w:val="clear" w:color="auto" w:fill="FFFFFF"/>
              </w:rPr>
              <w:t xml:space="preserve">s jomu un nosakot, ka Likumprojekta </w:t>
            </w:r>
            <w:r w:rsidRPr="00F9152F">
              <w:rPr>
                <w:sz w:val="20"/>
                <w:szCs w:val="20"/>
              </w:rPr>
              <w:t>regulējums nav attiecināms uz maksājumu un finanšu instrumentu norēķinu sistēmām un to dalībniekiem, kas tiek regulēts ar likumu „Par norēķinu galīgumu maksājumu un finanšu instrumentu norēķinu sistēmās”</w:t>
            </w:r>
            <w:r>
              <w:rPr>
                <w:sz w:val="20"/>
                <w:szCs w:val="20"/>
              </w:rPr>
              <w:t>, minētie subjekti tika izslēgti arī no Likumprojekta 4.panta pirmās da</w:t>
            </w:r>
            <w:r w:rsidR="00122FD9">
              <w:rPr>
                <w:sz w:val="20"/>
                <w:szCs w:val="20"/>
              </w:rPr>
              <w:t>ļas.</w:t>
            </w:r>
          </w:p>
          <w:p w14:paraId="7C9C3F73" w14:textId="77777777" w:rsidR="006926CD" w:rsidRPr="00767ED5" w:rsidRDefault="00122FD9" w:rsidP="00767ED5">
            <w:pPr>
              <w:pStyle w:val="NormalWeb"/>
              <w:spacing w:before="0" w:after="0"/>
              <w:ind w:right="13" w:firstLine="341"/>
              <w:jc w:val="both"/>
              <w:rPr>
                <w:sz w:val="20"/>
                <w:szCs w:val="20"/>
                <w:shd w:val="clear" w:color="auto" w:fill="FFFFFF"/>
              </w:rPr>
            </w:pPr>
            <w:r>
              <w:rPr>
                <w:sz w:val="20"/>
                <w:szCs w:val="20"/>
              </w:rPr>
              <w:t xml:space="preserve">Konsultējoties ar projekta ekspertiem, tika secināts, ka centrālais darījumu partneris tomēr būtu saglabājams likuma subjektu lokā. </w:t>
            </w:r>
            <w:r w:rsidR="006926CD">
              <w:rPr>
                <w:sz w:val="20"/>
                <w:szCs w:val="20"/>
              </w:rPr>
              <w:t xml:space="preserve">Saskaņā ar EMIR regulu (Eiropas Parlamenta un Padomes 2012.gada 4.jūlija regula (ES) Nr. 648/2012 par ārpusbiržas atvasinātajiem instrumentiem, centrālajiem darījumu partneriem un darījumu reģistriem) centrālais darījumu </w:t>
            </w:r>
            <w:r w:rsidR="006926CD" w:rsidRPr="006926CD">
              <w:rPr>
                <w:sz w:val="20"/>
                <w:szCs w:val="20"/>
              </w:rPr>
              <w:t xml:space="preserve">partneris </w:t>
            </w:r>
            <w:r w:rsidR="006926CD" w:rsidRPr="006926CD">
              <w:rPr>
                <w:sz w:val="20"/>
                <w:szCs w:val="20"/>
                <w:shd w:val="clear" w:color="auto" w:fill="FFFFFF"/>
              </w:rPr>
              <w:t xml:space="preserve">piedalās ārpusbiržas atvasināto instrumentu darījumos kā pircējs katram pārdevējam un pārdevējs katram pircējam. EMIR regula regulē visa veida ārpusbiržas atvasināto instrumentu darījumus, kas ir plašāks tvērums nekā darījumi finanšu instrumentu norēķinu sistēmās. Līdz ar to </w:t>
            </w:r>
            <w:r w:rsidR="006926CD" w:rsidRPr="006926CD">
              <w:rPr>
                <w:sz w:val="20"/>
                <w:szCs w:val="20"/>
                <w:shd w:val="clear" w:color="auto" w:fill="FFFFFF"/>
              </w:rPr>
              <w:lastRenderedPageBreak/>
              <w:t>precizētajā Likumprojektā centrālie darījumu partneri ir saglabāti Likumprojekta 4.panta pirmajā daļā noteikt</w:t>
            </w:r>
            <w:r w:rsidR="00AD100D">
              <w:rPr>
                <w:sz w:val="20"/>
                <w:szCs w:val="20"/>
                <w:shd w:val="clear" w:color="auto" w:fill="FFFFFF"/>
              </w:rPr>
              <w:t>o</w:t>
            </w:r>
            <w:r w:rsidR="006926CD" w:rsidRPr="006926CD">
              <w:rPr>
                <w:sz w:val="20"/>
                <w:szCs w:val="20"/>
                <w:shd w:val="clear" w:color="auto" w:fill="FFFFFF"/>
              </w:rPr>
              <w:t xml:space="preserve"> subjektu uzskaitījumā.</w:t>
            </w:r>
            <w:r w:rsidR="00767ED5">
              <w:rPr>
                <w:sz w:val="20"/>
                <w:szCs w:val="20"/>
                <w:shd w:val="clear" w:color="auto" w:fill="FFFFFF"/>
              </w:rPr>
              <w:t xml:space="preserve"> </w:t>
            </w:r>
            <w:r w:rsidR="00F07534">
              <w:rPr>
                <w:sz w:val="20"/>
                <w:szCs w:val="20"/>
                <w:shd w:val="clear" w:color="auto" w:fill="FFFFFF"/>
              </w:rPr>
              <w:t xml:space="preserve">Termins </w:t>
            </w:r>
            <w:r w:rsidR="00461FCB" w:rsidRPr="00F9152F">
              <w:rPr>
                <w:sz w:val="20"/>
                <w:szCs w:val="20"/>
              </w:rPr>
              <w:t>„</w:t>
            </w:r>
            <w:r w:rsidR="00F07534">
              <w:rPr>
                <w:sz w:val="20"/>
                <w:szCs w:val="20"/>
                <w:shd w:val="clear" w:color="auto" w:fill="FFFFFF"/>
              </w:rPr>
              <w:t xml:space="preserve">centrālais darījumu partneris” </w:t>
            </w:r>
            <w:r>
              <w:rPr>
                <w:sz w:val="20"/>
                <w:szCs w:val="20"/>
                <w:shd w:val="clear" w:color="auto" w:fill="FFFFFF"/>
              </w:rPr>
              <w:t xml:space="preserve">jau </w:t>
            </w:r>
            <w:r w:rsidR="00F07534">
              <w:rPr>
                <w:sz w:val="20"/>
                <w:szCs w:val="20"/>
                <w:shd w:val="clear" w:color="auto" w:fill="FFFFFF"/>
              </w:rPr>
              <w:t xml:space="preserve">ir </w:t>
            </w:r>
            <w:r w:rsidR="00F07534" w:rsidRPr="00461FCB">
              <w:rPr>
                <w:sz w:val="20"/>
                <w:szCs w:val="20"/>
                <w:shd w:val="clear" w:color="auto" w:fill="FFFFFF"/>
              </w:rPr>
              <w:t xml:space="preserve">definēts </w:t>
            </w:r>
            <w:r w:rsidR="00461FCB" w:rsidRPr="00461FCB">
              <w:rPr>
                <w:sz w:val="20"/>
                <w:szCs w:val="20"/>
                <w:shd w:val="clear" w:color="auto" w:fill="FFFFFF"/>
              </w:rPr>
              <w:t>Finanšu instrumentu tirgus likum</w:t>
            </w:r>
            <w:r>
              <w:rPr>
                <w:sz w:val="20"/>
                <w:szCs w:val="20"/>
                <w:shd w:val="clear" w:color="auto" w:fill="FFFFFF"/>
              </w:rPr>
              <w:t>a</w:t>
            </w:r>
            <w:r w:rsidR="00461FCB" w:rsidRPr="00461FCB">
              <w:rPr>
                <w:sz w:val="20"/>
                <w:szCs w:val="20"/>
                <w:shd w:val="clear" w:color="auto" w:fill="FFFFFF"/>
              </w:rPr>
              <w:t xml:space="preserve"> 1.panta pirmās daļas 91.punkt</w:t>
            </w:r>
            <w:r>
              <w:rPr>
                <w:sz w:val="20"/>
                <w:szCs w:val="20"/>
                <w:shd w:val="clear" w:color="auto" w:fill="FFFFFF"/>
              </w:rPr>
              <w:t>ā, tāpēc Likumprojektā nav sniegts šī termina skaidrojums.</w:t>
            </w:r>
          </w:p>
          <w:p w14:paraId="113B1A30" w14:textId="77777777" w:rsidR="00E11749" w:rsidRPr="00F9152F" w:rsidRDefault="00D771BA" w:rsidP="003F4963">
            <w:pPr>
              <w:pStyle w:val="NormalWeb"/>
              <w:spacing w:before="0" w:after="0"/>
              <w:ind w:right="13" w:firstLine="341"/>
              <w:jc w:val="both"/>
              <w:rPr>
                <w:sz w:val="20"/>
                <w:szCs w:val="20"/>
              </w:rPr>
            </w:pPr>
            <w:r>
              <w:rPr>
                <w:b/>
                <w:sz w:val="20"/>
                <w:szCs w:val="20"/>
              </w:rPr>
              <w:t>1</w:t>
            </w:r>
            <w:r w:rsidR="00E11749" w:rsidRPr="00F9152F">
              <w:rPr>
                <w:b/>
                <w:sz w:val="20"/>
                <w:szCs w:val="20"/>
              </w:rPr>
              <w:t>.2.</w:t>
            </w:r>
            <w:r w:rsidR="00E11749" w:rsidRPr="00F9152F">
              <w:rPr>
                <w:sz w:val="20"/>
                <w:szCs w:val="20"/>
              </w:rPr>
              <w:t xml:space="preserve"> Attiecībā uz norādi par Likumprojekta 3.panta pirmās daļas, kas satur atsauci uz Likumprojekta 9.pantu, formulējumu un tā izpratni, paskaidrojams, ka normas būtība bija iecerēta tāda, ka Likumprojektu piemēro atvasināto finanšu instrumentu darījumiem tiktāl, ciktāl citos tiesību aktos, kas regulē izslēdzošo ieskaitu, nav noteikts citādi. Tā kā citi tiesību akti ir arī, piemēram, Maksātnespējas likums, kas pašlaik nepieļauj ieskaita (un līdz ar to arī izslēdzošā ieskaita) piemērošanu, tad panta ievads satur atrunu „izņemot 9.pantā noteikto”. Šāda norāde uz 9.pantu tika iekļauta, lai nodrošinātu izslēdzošā ieskaita izpildāmību (enforceability of close-out netting) </w:t>
            </w:r>
            <w:r w:rsidR="00E11749" w:rsidRPr="00F9152F">
              <w:rPr>
                <w:bCs/>
                <w:color w:val="000000" w:themeColor="text1"/>
                <w:sz w:val="20"/>
                <w:szCs w:val="20"/>
              </w:rPr>
              <w:t xml:space="preserve">tādos gadījumos, kad citos tiesību aktos ir noteikts ieskaita aizliegums vai maksātnespējas </w:t>
            </w:r>
            <w:r w:rsidR="00AB3397" w:rsidRPr="00F9152F">
              <w:rPr>
                <w:bCs/>
                <w:color w:val="000000" w:themeColor="text1"/>
                <w:sz w:val="20"/>
                <w:szCs w:val="20"/>
              </w:rPr>
              <w:t xml:space="preserve">procesa </w:t>
            </w:r>
            <w:r w:rsidR="00E11749" w:rsidRPr="00F9152F">
              <w:rPr>
                <w:bCs/>
                <w:color w:val="000000" w:themeColor="text1"/>
                <w:sz w:val="20"/>
                <w:szCs w:val="20"/>
              </w:rPr>
              <w:t>administratoram ir tiesības vienpusēji atkāpties no līguma.</w:t>
            </w:r>
          </w:p>
          <w:p w14:paraId="23685D36" w14:textId="77777777" w:rsidR="00E11749" w:rsidRPr="00F9152F" w:rsidRDefault="00E11749" w:rsidP="003F4963">
            <w:pPr>
              <w:pStyle w:val="NormalWeb"/>
              <w:spacing w:before="0" w:after="0"/>
              <w:ind w:right="13" w:firstLine="341"/>
              <w:jc w:val="both"/>
              <w:rPr>
                <w:color w:val="000000" w:themeColor="text1"/>
                <w:sz w:val="20"/>
                <w:szCs w:val="20"/>
              </w:rPr>
            </w:pPr>
            <w:r w:rsidRPr="00F9152F">
              <w:rPr>
                <w:sz w:val="20"/>
                <w:szCs w:val="20"/>
              </w:rPr>
              <w:t xml:space="preserve">Ņemot vērā atzinumā izteiktos iebildumus un lai novērstu nepareizu interpretāciju, ka Likumprojekts vispārīgi regulē izslēdzošā ieskaita piemērošanu visai finanšu nozarei kopumā, ir ticis grozīts Likumprojekta nosaukums uz „Izslēdzošā ieskaita piemērošanas </w:t>
            </w:r>
            <w:r w:rsidR="009B73DF">
              <w:rPr>
                <w:sz w:val="20"/>
                <w:szCs w:val="20"/>
              </w:rPr>
              <w:t>kvalificētajiem</w:t>
            </w:r>
            <w:r w:rsidRPr="00F9152F">
              <w:rPr>
                <w:sz w:val="20"/>
                <w:szCs w:val="20"/>
              </w:rPr>
              <w:t xml:space="preserve"> finanšu darījumiem likums”. Tāpat ir tikusi papildināta 1.panta pirmā daļa ar 3.punktu, kurā ir sniegts termina „kvalificētais finanšu darījums” skaidrojums, t.i., </w:t>
            </w:r>
            <w:r w:rsidRPr="00F9152F">
              <w:rPr>
                <w:i/>
                <w:sz w:val="20"/>
                <w:szCs w:val="20"/>
              </w:rPr>
              <w:t>„</w:t>
            </w:r>
            <w:r w:rsidRPr="00F9152F">
              <w:rPr>
                <w:i/>
                <w:color w:val="000000" w:themeColor="text1"/>
                <w:sz w:val="20"/>
                <w:szCs w:val="20"/>
              </w:rPr>
              <w:t>tāds darījums, kas ir minēts šā likuma 7.pantā”</w:t>
            </w:r>
            <w:r w:rsidRPr="00F9152F">
              <w:rPr>
                <w:color w:val="000000" w:themeColor="text1"/>
                <w:sz w:val="20"/>
                <w:szCs w:val="20"/>
              </w:rPr>
              <w:t xml:space="preserve">. Arī </w:t>
            </w:r>
            <w:r w:rsidRPr="00F9152F">
              <w:rPr>
                <w:sz w:val="20"/>
                <w:szCs w:val="20"/>
              </w:rPr>
              <w:t>3.panta pirmā daļa ir izteik</w:t>
            </w:r>
            <w:r w:rsidR="00F9152F">
              <w:rPr>
                <w:sz w:val="20"/>
                <w:szCs w:val="20"/>
              </w:rPr>
              <w:t>t</w:t>
            </w:r>
            <w:r w:rsidRPr="00F9152F">
              <w:rPr>
                <w:sz w:val="20"/>
                <w:szCs w:val="20"/>
              </w:rPr>
              <w:t>a jaunā redakcijā, kas noteic, ka „</w:t>
            </w:r>
            <w:r w:rsidRPr="00F9152F">
              <w:rPr>
                <w:i/>
                <w:color w:val="000000" w:themeColor="text1"/>
                <w:sz w:val="20"/>
                <w:szCs w:val="20"/>
              </w:rPr>
              <w:t xml:space="preserve">Šis </w:t>
            </w:r>
            <w:r w:rsidRPr="00F9152F">
              <w:rPr>
                <w:i/>
                <w:sz w:val="20"/>
                <w:szCs w:val="20"/>
              </w:rPr>
              <w:t>l</w:t>
            </w:r>
            <w:r w:rsidRPr="00F9152F">
              <w:rPr>
                <w:i/>
                <w:sz w:val="20"/>
                <w:szCs w:val="20"/>
                <w:shd w:val="clear" w:color="auto" w:fill="FFFFFF"/>
              </w:rPr>
              <w:t>ikums nosaka izslēdzošā ieskaita piemērošanu kvalificētajiem finanšu darījumiem</w:t>
            </w:r>
            <w:r w:rsidRPr="00F9152F">
              <w:rPr>
                <w:i/>
                <w:color w:val="000000" w:themeColor="text1"/>
                <w:sz w:val="20"/>
                <w:szCs w:val="20"/>
              </w:rPr>
              <w:t>”</w:t>
            </w:r>
            <w:r w:rsidRPr="00F9152F">
              <w:rPr>
                <w:color w:val="000000" w:themeColor="text1"/>
                <w:sz w:val="20"/>
                <w:szCs w:val="20"/>
              </w:rPr>
              <w:t>. Likumprojekta 1.panta pirmās daļas papildināšana ar termina „kvalificētais finanšu darījums” skaidrojumu ir bijusi par pamatu vārdu „šā likuma 7.panta izpratnē” izslēgšanai no precizētā Likumprojekta 5.panta 1.punkta un 6.panta otrās daļas.</w:t>
            </w:r>
          </w:p>
          <w:p w14:paraId="75CC95D0" w14:textId="77777777" w:rsidR="00E11749" w:rsidRPr="00F9152F" w:rsidRDefault="00D771BA" w:rsidP="003F4963">
            <w:pPr>
              <w:pStyle w:val="NormalWeb"/>
              <w:spacing w:before="0" w:after="0"/>
              <w:ind w:right="13" w:firstLine="341"/>
              <w:jc w:val="both"/>
              <w:rPr>
                <w:sz w:val="20"/>
                <w:szCs w:val="20"/>
                <w:shd w:val="clear" w:color="auto" w:fill="FFFFFF"/>
              </w:rPr>
            </w:pPr>
            <w:r>
              <w:rPr>
                <w:b/>
                <w:color w:val="000000" w:themeColor="text1"/>
                <w:sz w:val="20"/>
                <w:szCs w:val="20"/>
              </w:rPr>
              <w:lastRenderedPageBreak/>
              <w:t>1</w:t>
            </w:r>
            <w:r w:rsidR="00E11749" w:rsidRPr="00F9152F">
              <w:rPr>
                <w:b/>
                <w:color w:val="000000" w:themeColor="text1"/>
                <w:sz w:val="20"/>
                <w:szCs w:val="20"/>
              </w:rPr>
              <w:t>.3.</w:t>
            </w:r>
            <w:r w:rsidR="00E11749" w:rsidRPr="00F9152F">
              <w:rPr>
                <w:color w:val="000000" w:themeColor="text1"/>
                <w:sz w:val="20"/>
                <w:szCs w:val="20"/>
              </w:rPr>
              <w:t xml:space="preserve"> Tāpat precizēta ir Likumprojekta 3.panta otrā daļa, kas regulē Likumprojekta mijiedarbību ar Finanšu nodrošinājuma likumu, nosakot, ka: </w:t>
            </w:r>
            <w:r w:rsidR="00E11749" w:rsidRPr="00954CAD">
              <w:rPr>
                <w:i/>
                <w:sz w:val="20"/>
                <w:szCs w:val="20"/>
              </w:rPr>
              <w:t>„</w:t>
            </w:r>
            <w:r w:rsidR="00E11749" w:rsidRPr="00F9152F">
              <w:rPr>
                <w:i/>
                <w:sz w:val="20"/>
                <w:szCs w:val="20"/>
                <w:shd w:val="clear" w:color="auto" w:fill="FFFFFF"/>
              </w:rPr>
              <w:t>Ar finanšu nodrošinājumu saistītās tiesiskās attiecības regulē Finanšu nodrošinājuma likums”</w:t>
            </w:r>
            <w:r w:rsidR="00E11749" w:rsidRPr="00F9152F">
              <w:rPr>
                <w:sz w:val="20"/>
                <w:szCs w:val="20"/>
                <w:shd w:val="clear" w:color="auto" w:fill="FFFFFF"/>
              </w:rPr>
              <w:t xml:space="preserve">. Lai gan atzinumā ir norādīts, ka tiesību kolīzijas risināmas saskaņā ar Oficiālo publikāciju un tiesiskās informācijas likuma 9.pantu, Likumprojektā </w:t>
            </w:r>
            <w:r w:rsidR="00806D1C" w:rsidRPr="00F9152F">
              <w:rPr>
                <w:sz w:val="20"/>
                <w:szCs w:val="20"/>
                <w:shd w:val="clear" w:color="auto" w:fill="FFFFFF"/>
              </w:rPr>
              <w:t>šād</w:t>
            </w:r>
            <w:r w:rsidR="00806D1C">
              <w:rPr>
                <w:sz w:val="20"/>
                <w:szCs w:val="20"/>
                <w:shd w:val="clear" w:color="auto" w:fill="FFFFFF"/>
              </w:rPr>
              <w:t>a</w:t>
            </w:r>
            <w:r w:rsidR="00806D1C" w:rsidRPr="00F9152F">
              <w:rPr>
                <w:sz w:val="20"/>
                <w:szCs w:val="20"/>
                <w:shd w:val="clear" w:color="auto" w:fill="FFFFFF"/>
              </w:rPr>
              <w:t xml:space="preserve"> norm</w:t>
            </w:r>
            <w:r w:rsidR="00806D1C">
              <w:rPr>
                <w:sz w:val="20"/>
                <w:szCs w:val="20"/>
                <w:shd w:val="clear" w:color="auto" w:fill="FFFFFF"/>
              </w:rPr>
              <w:t>a</w:t>
            </w:r>
            <w:r w:rsidR="00806D1C" w:rsidRPr="00F9152F">
              <w:rPr>
                <w:sz w:val="20"/>
                <w:szCs w:val="20"/>
                <w:shd w:val="clear" w:color="auto" w:fill="FFFFFF"/>
              </w:rPr>
              <w:t xml:space="preserve"> </w:t>
            </w:r>
            <w:r w:rsidR="00806D1C">
              <w:rPr>
                <w:sz w:val="20"/>
                <w:szCs w:val="20"/>
                <w:shd w:val="clear" w:color="auto" w:fill="FFFFFF"/>
              </w:rPr>
              <w:t>ir saglabāta</w:t>
            </w:r>
            <w:r w:rsidR="00E11749" w:rsidRPr="00F9152F">
              <w:rPr>
                <w:sz w:val="20"/>
                <w:szCs w:val="20"/>
                <w:shd w:val="clear" w:color="auto" w:fill="FFFFFF"/>
              </w:rPr>
              <w:t xml:space="preserve">, ņemot vērā to, ka praksē darījumi ar atvasinātajiem finanšu instrumentiem var būt cieši saistīti ar finanšu nodrošinājuma sniegšanu. Tā saucamajam jumta līgumam (Master Agreement) </w:t>
            </w:r>
            <w:r w:rsidR="00E11749" w:rsidRPr="00F9152F">
              <w:rPr>
                <w:sz w:val="20"/>
                <w:szCs w:val="20"/>
              </w:rPr>
              <w:t xml:space="preserve">ISDA ir izstrādājusi pielikumu Credit Support Annex (CSA), kas var tikt pievienots Master Agreement noteikumiem un kas ļauj līdzējiem mazināt kredītrisku, sniedzot finanšu nodrošinājumu, piemēram, finanšu līdzekļus vai valsts parāda vērtspapīrus (obligācijas). Finanšu nodrošinājuma likuma regulējums ir veidots tādējādi, ka tas pieļauj arī iespēju, ka finanšu nodrošinājuma līgums tiek slēgts kā atsevišķs līgums, kas nav saistīts ar kādiem citiem vispārējiem darījumu noteikumiem, kas iekļauti kādā jumta līgumā (Master Agreement). Taču praksē līdzēji bieži vienojas jumta līgumā regulēt gan jautājumus, kas saistīti ar izslēdzošā ieskaita piemērošanu attiecībā uz abpusējām tiesībām un saistībām, kas izriet no </w:t>
            </w:r>
            <w:r w:rsidR="00806D1C">
              <w:rPr>
                <w:sz w:val="20"/>
                <w:szCs w:val="20"/>
              </w:rPr>
              <w:t xml:space="preserve">darījumiem ar </w:t>
            </w:r>
            <w:r w:rsidR="00E11749" w:rsidRPr="00F9152F">
              <w:rPr>
                <w:sz w:val="20"/>
                <w:szCs w:val="20"/>
              </w:rPr>
              <w:t>atvasinātajiem finanšu instrumentiem, gan arī attiecībā uz izslēdzošā ieskaita piemērošanu gadījumos, kad sniegts finanšu nodrošinājums ar īpašumtiesību pāreju (repo)</w:t>
            </w:r>
            <w:r w:rsidR="00E11749" w:rsidRPr="00F9152F">
              <w:rPr>
                <w:sz w:val="20"/>
                <w:szCs w:val="20"/>
                <w:shd w:val="clear" w:color="auto" w:fill="FFFFFF"/>
              </w:rPr>
              <w:t>. Tā kā tiesiskās attiecības, kas izriet no atvasināto finanšu darījumiem un ko regulē šis Likumprojekts, var būt cieši saistītas ar finanšu nodrošinājumu, tad attiecīgi, lai nodrošinātu skaidrību par abu tiesību aktu mijiedarbību, 3.pantā ir saglabāta norma, kas paskaidro Likumprojekta un Finanšu nodrošinājuma likuma darbības jomu. Minētā norma ir redakcionāli precizēta, salāgojot to ar Kredītiestāžu likuma 10.</w:t>
            </w:r>
            <w:r w:rsidR="00E11749" w:rsidRPr="00F9152F">
              <w:rPr>
                <w:sz w:val="20"/>
                <w:szCs w:val="20"/>
                <w:shd w:val="clear" w:color="auto" w:fill="FFFFFF"/>
                <w:vertAlign w:val="superscript"/>
              </w:rPr>
              <w:t>2</w:t>
            </w:r>
            <w:r w:rsidR="00E11749" w:rsidRPr="00F9152F">
              <w:rPr>
                <w:sz w:val="20"/>
                <w:szCs w:val="20"/>
                <w:shd w:val="clear" w:color="auto" w:fill="FFFFFF"/>
              </w:rPr>
              <w:t>pantu.</w:t>
            </w:r>
          </w:p>
          <w:p w14:paraId="449C4B6B" w14:textId="3B87BFA4" w:rsidR="00E11749" w:rsidRPr="00F9152F" w:rsidRDefault="00D771BA" w:rsidP="00D771BA">
            <w:pPr>
              <w:pStyle w:val="ListParagraph"/>
              <w:spacing w:after="0" w:line="240" w:lineRule="auto"/>
              <w:ind w:left="0" w:firstLine="326"/>
              <w:contextualSpacing w:val="0"/>
              <w:jc w:val="both"/>
              <w:rPr>
                <w:rFonts w:ascii="Times New Roman" w:eastAsia="Times New Roman" w:hAnsi="Times New Roman"/>
                <w:color w:val="000000" w:themeColor="text1"/>
                <w:sz w:val="24"/>
                <w:szCs w:val="24"/>
              </w:rPr>
            </w:pPr>
            <w:r>
              <w:rPr>
                <w:rFonts w:ascii="Times New Roman" w:hAnsi="Times New Roman" w:cs="Times New Roman"/>
                <w:b/>
                <w:sz w:val="20"/>
                <w:szCs w:val="20"/>
              </w:rPr>
              <w:t>1</w:t>
            </w:r>
            <w:r w:rsidR="00E11749" w:rsidRPr="00F9152F">
              <w:rPr>
                <w:rFonts w:ascii="Times New Roman" w:hAnsi="Times New Roman" w:cs="Times New Roman"/>
                <w:b/>
                <w:sz w:val="20"/>
                <w:szCs w:val="20"/>
              </w:rPr>
              <w:t>.4.</w:t>
            </w:r>
            <w:r w:rsidR="00E11749" w:rsidRPr="00F9152F">
              <w:rPr>
                <w:sz w:val="20"/>
                <w:szCs w:val="20"/>
              </w:rPr>
              <w:t xml:space="preserve"> </w:t>
            </w:r>
            <w:r w:rsidR="00E11749" w:rsidRPr="00F9152F">
              <w:rPr>
                <w:rFonts w:ascii="Times New Roman" w:hAnsi="Times New Roman" w:cs="Times New Roman"/>
                <w:sz w:val="20"/>
                <w:szCs w:val="20"/>
              </w:rPr>
              <w:t xml:space="preserve">Precizētajā Likumprojektā ir skaidrāk noteikta Likumprojekta mijiedarbība ar </w:t>
            </w:r>
            <w:r w:rsidR="00E11749" w:rsidRPr="00F9152F">
              <w:rPr>
                <w:rFonts w:ascii="Times New Roman" w:hAnsi="Times New Roman" w:cs="Times New Roman"/>
                <w:bCs/>
                <w:sz w:val="20"/>
                <w:szCs w:val="20"/>
                <w:shd w:val="clear" w:color="auto" w:fill="FFFFFF"/>
              </w:rPr>
              <w:t xml:space="preserve">Kredītiestāžu un ieguldījumu brokeru sabiedrību darbības </w:t>
            </w:r>
            <w:r w:rsidR="00E11749" w:rsidRPr="00F9152F">
              <w:rPr>
                <w:rFonts w:ascii="Times New Roman" w:hAnsi="Times New Roman" w:cs="Times New Roman"/>
                <w:bCs/>
                <w:sz w:val="20"/>
                <w:szCs w:val="20"/>
                <w:shd w:val="clear" w:color="auto" w:fill="FFFFFF"/>
              </w:rPr>
              <w:lastRenderedPageBreak/>
              <w:t xml:space="preserve">atjaunošanas un noregulējuma likumu. Proti, Likumprojekta 3.panta trešā daļa ir izteikta jaunā redakcijā, kas noteic, ka </w:t>
            </w:r>
            <w:r w:rsidR="00E11749" w:rsidRPr="00F9152F">
              <w:rPr>
                <w:rFonts w:ascii="Times New Roman" w:hAnsi="Times New Roman" w:cs="Times New Roman"/>
                <w:i/>
                <w:sz w:val="20"/>
                <w:szCs w:val="20"/>
              </w:rPr>
              <w:t>„</w:t>
            </w:r>
            <w:r w:rsidR="00D8772E" w:rsidRPr="00F9152F">
              <w:rPr>
                <w:rFonts w:ascii="Times New Roman" w:eastAsia="Times New Roman" w:hAnsi="Times New Roman" w:cs="Times New Roman"/>
                <w:i/>
                <w:color w:val="000000" w:themeColor="text1"/>
                <w:sz w:val="20"/>
                <w:szCs w:val="20"/>
              </w:rPr>
              <w:t xml:space="preserve">Krīzes novēršanas pasākuma </w:t>
            </w:r>
            <w:r w:rsidR="009F0020">
              <w:rPr>
                <w:rFonts w:ascii="Times New Roman" w:eastAsia="Times New Roman" w:hAnsi="Times New Roman" w:cs="Times New Roman"/>
                <w:i/>
                <w:color w:val="000000" w:themeColor="text1"/>
                <w:sz w:val="20"/>
                <w:szCs w:val="20"/>
              </w:rPr>
              <w:t>vai</w:t>
            </w:r>
            <w:r w:rsidR="009F0020" w:rsidRPr="00F9152F">
              <w:rPr>
                <w:rFonts w:ascii="Times New Roman" w:eastAsia="Times New Roman" w:hAnsi="Times New Roman" w:cs="Times New Roman"/>
                <w:i/>
                <w:color w:val="000000" w:themeColor="text1"/>
                <w:sz w:val="20"/>
                <w:szCs w:val="20"/>
              </w:rPr>
              <w:t xml:space="preserve"> </w:t>
            </w:r>
            <w:r w:rsidR="00D8772E" w:rsidRPr="00F9152F">
              <w:rPr>
                <w:rFonts w:ascii="Times New Roman" w:eastAsia="Times New Roman" w:hAnsi="Times New Roman" w:cs="Times New Roman"/>
                <w:i/>
                <w:color w:val="000000" w:themeColor="text1"/>
                <w:sz w:val="20"/>
                <w:szCs w:val="20"/>
              </w:rPr>
              <w:t xml:space="preserve">krīzes vadības pasākuma piemērošanas gadījumā </w:t>
            </w:r>
            <w:r w:rsidR="00D8772E" w:rsidRPr="00F9152F">
              <w:rPr>
                <w:rFonts w:ascii="Times New Roman" w:hAnsi="Times New Roman" w:cs="Times New Roman"/>
                <w:i/>
                <w:sz w:val="20"/>
                <w:szCs w:val="20"/>
                <w:shd w:val="clear" w:color="auto" w:fill="FFFFFF"/>
              </w:rPr>
              <w:t xml:space="preserve">vai jebkura notikuma, kas ir tieši saistīts ar šāda pasākuma piemērošanu, gadījumā šo likumu piemēro tiktāl, ciktāl </w:t>
            </w:r>
            <w:r w:rsidR="00D8772E" w:rsidRPr="00F9152F">
              <w:rPr>
                <w:rFonts w:ascii="Times New Roman" w:hAnsi="Times New Roman" w:cs="Times New Roman"/>
                <w:bCs/>
                <w:i/>
                <w:sz w:val="20"/>
                <w:szCs w:val="20"/>
                <w:shd w:val="clear" w:color="auto" w:fill="FFFFFF"/>
              </w:rPr>
              <w:t>Kredītiestāžu un ieguldījumu brokeru sabiedrību darbības atjaunošanas un noregulējuma likumā nav noteikts citādi</w:t>
            </w:r>
            <w:r w:rsidR="00E11749" w:rsidRPr="00F9152F">
              <w:rPr>
                <w:rFonts w:ascii="Times New Roman" w:hAnsi="Times New Roman" w:cs="Times New Roman"/>
                <w:bCs/>
                <w:i/>
                <w:sz w:val="20"/>
                <w:szCs w:val="20"/>
                <w:shd w:val="clear" w:color="auto" w:fill="FFFFFF"/>
              </w:rPr>
              <w:t>.”</w:t>
            </w:r>
          </w:p>
          <w:p w14:paraId="3B060F47" w14:textId="77777777" w:rsidR="00E11749" w:rsidRPr="00F9152F" w:rsidRDefault="00E11749" w:rsidP="00D771BA">
            <w:pPr>
              <w:pStyle w:val="NormalWeb"/>
              <w:spacing w:before="0" w:after="0"/>
              <w:ind w:right="13" w:firstLine="341"/>
              <w:jc w:val="both"/>
              <w:rPr>
                <w:sz w:val="20"/>
                <w:szCs w:val="20"/>
                <w:shd w:val="clear" w:color="auto" w:fill="FFFFFF"/>
              </w:rPr>
            </w:pPr>
            <w:r w:rsidRPr="00F9152F">
              <w:rPr>
                <w:rFonts w:eastAsia="Calibri"/>
                <w:sz w:val="20"/>
                <w:szCs w:val="20"/>
                <w:shd w:val="clear" w:color="auto" w:fill="FFFFFF"/>
              </w:rPr>
              <w:t xml:space="preserve">Kredītiestāžu un ieguldījumu brokeru sabiedrību darbības atjaunošanas un noregulējuma likumā ir iekļautas vairākas normas, kas paredz ierobežojumus izslēdzošā ieskaita piemērošanai. </w:t>
            </w:r>
            <w:r w:rsidRPr="00F9152F">
              <w:rPr>
                <w:bCs/>
                <w:sz w:val="20"/>
                <w:szCs w:val="20"/>
                <w:shd w:val="clear" w:color="auto" w:fill="FFFFFF"/>
              </w:rPr>
              <w:t xml:space="preserve">Piemēram, 90.panta trešā daļa noteic, ka </w:t>
            </w:r>
            <w:r w:rsidRPr="00F9152F">
              <w:rPr>
                <w:sz w:val="20"/>
                <w:szCs w:val="20"/>
              </w:rPr>
              <w:t>„</w:t>
            </w:r>
            <w:r w:rsidRPr="00F9152F">
              <w:rPr>
                <w:i/>
                <w:sz w:val="20"/>
                <w:szCs w:val="20"/>
              </w:rPr>
              <w:t>Krīzes novēršanas pasākums un krīzes vadības pasākums, kā arī jebkurš notikums, kas ir tieši saistīts ar šāda pasākuma piemērošanu, nav pamats, lai: 1) īstenotu jebkādas līguma izbeigšanas, apturēšanas, grozīšanas, savstarpēja ieskaita vai savstarpējas dzēšanas tiesības, tai skaitā attiecībā uz līgumiem, kurus noslēgusi meitas iestāde vai finanšu sabiedrība un kuru izpildi garantē vai kuru izpildē finansiāli piedalās grupas sabiedrība”</w:t>
            </w:r>
            <w:r w:rsidRPr="00F9152F">
              <w:rPr>
                <w:sz w:val="20"/>
                <w:szCs w:val="20"/>
              </w:rPr>
              <w:t>. Minētā likuma 98.panta pirmās daļas 3. un 4.punkts paredz īpašus noteikumus, ka: „</w:t>
            </w:r>
            <w:r w:rsidRPr="00F9152F">
              <w:rPr>
                <w:i/>
                <w:sz w:val="20"/>
                <w:szCs w:val="20"/>
              </w:rPr>
              <w:t xml:space="preserve">Ja Finanšu un kapitāla tirgus komisija, izmantojot noregulējuma instrumentu, nodod citai sabiedrībai vai pagaidu iestādei aktīvu pārvaldes sabiedrības daļu, bet ne visus noregulējamās iestādes aktīvus, tiesības vai saistības vai ja Finanšu un kapitāla tirgus komisija atceļ vai groza tāda līguma noteikumus, kurā noregulējamā iestāde ir puse, vai rīkojas tās vārdā, Finanšu un kapitāla tirgus komisija nodrošina šajā likumā noteiktos aizsardzības pasākumus un piemēro šā likuma 90., 91., 92. un 93.panta ierobežojumus šādiem vienošanās veidiem: [..] 3) savstarpējā ieskaita līgumiem, saskaņā ar kuriem divus vai vairākus prasījumus vai saistības starp noregulējamo iestādi un līgumslēdzēju pusi (darījuma partneri) var savstarpēji dzēst; 4) savstarpējā ieskaita līgumiem, saskaņā ar kuriem vairākus prasījumus var pārveidot par vienu neto prasījumu, ja, iestājoties līguma izpildes notikumam, tiek pieprasīta saistību tūlītēja </w:t>
            </w:r>
            <w:r w:rsidRPr="00F9152F">
              <w:rPr>
                <w:i/>
                <w:sz w:val="20"/>
                <w:szCs w:val="20"/>
              </w:rPr>
              <w:lastRenderedPageBreak/>
              <w:t xml:space="preserve">izpilde un katrā no gadījumiem prasījumi tiek konvertēti vienā neto prasījumā vai aizstāti ar to.” </w:t>
            </w:r>
            <w:r w:rsidRPr="00F9152F">
              <w:rPr>
                <w:bCs/>
                <w:sz w:val="20"/>
                <w:szCs w:val="20"/>
                <w:shd w:val="clear" w:color="auto" w:fill="FFFFFF"/>
              </w:rPr>
              <w:t xml:space="preserve">Tāpat arī 99.panta pirmā daļa noteic, ka </w:t>
            </w:r>
            <w:r w:rsidRPr="00F9152F">
              <w:rPr>
                <w:sz w:val="20"/>
                <w:szCs w:val="20"/>
              </w:rPr>
              <w:t>„</w:t>
            </w:r>
            <w:r w:rsidRPr="00F9152F">
              <w:rPr>
                <w:i/>
                <w:sz w:val="20"/>
                <w:szCs w:val="20"/>
                <w:shd w:val="clear" w:color="auto" w:fill="FFFFFF"/>
              </w:rPr>
              <w:t>Nododot līgumus par finanšu nodrošinājumu ar īpašumtiesību pāreju un savstarpējā ieskaita līgumus, Finanšu un kapitāla tirgus komisija nodrošina, ka tiek nodotas visas ar minētajiem noregulējamās iestādes un citu personu noslēgtajiem līgumiem aizsargātās tiesības un pienākumi, kā arī neveic ar minētajiem līgumiem aizsargāto tiesību un saistību grozīšanu vai izbeigšanu, izmantojot šajā likumā Finanšu un kapitāla tirgus komisijai noteiktās noregulējuma tiesības.”</w:t>
            </w:r>
          </w:p>
          <w:p w14:paraId="7284F49A" w14:textId="77777777" w:rsidR="00E11749" w:rsidRPr="00F9152F" w:rsidRDefault="00E11749" w:rsidP="003F4963">
            <w:pPr>
              <w:shd w:val="clear" w:color="auto" w:fill="FFFFFF"/>
              <w:spacing w:after="0" w:line="240" w:lineRule="auto"/>
              <w:ind w:firstLine="341"/>
              <w:jc w:val="both"/>
              <w:rPr>
                <w:rFonts w:ascii="Times New Roman" w:hAnsi="Times New Roman" w:cs="Times New Roman"/>
                <w:bCs/>
                <w:sz w:val="20"/>
                <w:szCs w:val="20"/>
                <w:shd w:val="clear" w:color="auto" w:fill="FFFFFF"/>
              </w:rPr>
            </w:pPr>
            <w:r w:rsidRPr="00F9152F">
              <w:rPr>
                <w:rFonts w:ascii="Times New Roman" w:hAnsi="Times New Roman" w:cs="Times New Roman"/>
                <w:sz w:val="20"/>
                <w:szCs w:val="20"/>
                <w:shd w:val="clear" w:color="auto" w:fill="FFFFFF"/>
              </w:rPr>
              <w:t xml:space="preserve">Tā kā </w:t>
            </w:r>
            <w:r w:rsidRPr="00F9152F">
              <w:rPr>
                <w:rFonts w:ascii="Times New Roman" w:hAnsi="Times New Roman" w:cs="Times New Roman"/>
                <w:bCs/>
                <w:sz w:val="20"/>
                <w:szCs w:val="20"/>
                <w:shd w:val="clear" w:color="auto" w:fill="FFFFFF"/>
              </w:rPr>
              <w:t xml:space="preserve">Kredītiestāžu un ieguldījumu brokeru sabiedrību darbības atjaunošanas un noregulējuma likums attiecībā uz izslēdzošā ieskaita piemērošanu paredz speciālas normas, kas ir saskaņotas ar Eiropas Parlamenta un Padomes 2011.gada 4.aprīļa direktīvu 2001/24/EK </w:t>
            </w:r>
            <w:r w:rsidRPr="00F9152F">
              <w:rPr>
                <w:rFonts w:ascii="Times New Roman" w:eastAsia="Times New Roman" w:hAnsi="Times New Roman" w:cs="Times New Roman"/>
                <w:sz w:val="20"/>
                <w:szCs w:val="20"/>
              </w:rPr>
              <w:t xml:space="preserve">par kredītiestāžu reorganizāciju un likvidāciju, </w:t>
            </w:r>
            <w:r w:rsidRPr="00F9152F">
              <w:rPr>
                <w:rFonts w:ascii="Times New Roman" w:hAnsi="Times New Roman" w:cs="Times New Roman"/>
                <w:bCs/>
                <w:sz w:val="20"/>
                <w:szCs w:val="20"/>
                <w:shd w:val="clear" w:color="auto" w:fill="FFFFFF"/>
              </w:rPr>
              <w:t xml:space="preserve">tad Likumprojekta 3.pantā </w:t>
            </w:r>
            <w:r w:rsidR="00277164" w:rsidRPr="00F9152F">
              <w:rPr>
                <w:rFonts w:ascii="Times New Roman" w:hAnsi="Times New Roman" w:cs="Times New Roman"/>
                <w:bCs/>
                <w:sz w:val="20"/>
                <w:szCs w:val="20"/>
                <w:shd w:val="clear" w:color="auto" w:fill="FFFFFF"/>
              </w:rPr>
              <w:t>ir atspoguļota šo divu likumu savstarpējā mijiedarbība</w:t>
            </w:r>
            <w:r w:rsidRPr="00F9152F">
              <w:rPr>
                <w:rFonts w:ascii="Times New Roman" w:hAnsi="Times New Roman" w:cs="Times New Roman"/>
                <w:bCs/>
                <w:sz w:val="20"/>
                <w:szCs w:val="20"/>
                <w:shd w:val="clear" w:color="auto" w:fill="FFFFFF"/>
              </w:rPr>
              <w:t>.</w:t>
            </w:r>
          </w:p>
          <w:p w14:paraId="71A8A1AB" w14:textId="77777777" w:rsidR="005B7940" w:rsidRPr="00F9152F" w:rsidRDefault="005B7940" w:rsidP="003F4963">
            <w:pPr>
              <w:shd w:val="clear" w:color="auto" w:fill="FFFFFF"/>
              <w:spacing w:after="0" w:line="240" w:lineRule="auto"/>
              <w:ind w:firstLine="341"/>
              <w:jc w:val="both"/>
              <w:rPr>
                <w:rFonts w:ascii="Times New Roman" w:hAnsi="Times New Roman" w:cs="Times New Roman"/>
                <w:bCs/>
                <w:sz w:val="20"/>
                <w:szCs w:val="20"/>
                <w:shd w:val="clear" w:color="auto" w:fill="FFFFFF"/>
              </w:rPr>
            </w:pPr>
            <w:r w:rsidRPr="00F9152F">
              <w:rPr>
                <w:rFonts w:ascii="Times New Roman" w:hAnsi="Times New Roman" w:cs="Times New Roman"/>
                <w:bCs/>
                <w:sz w:val="20"/>
                <w:szCs w:val="20"/>
                <w:shd w:val="clear" w:color="auto" w:fill="FFFFFF"/>
              </w:rPr>
              <w:t xml:space="preserve">Papildus atzīmējams, ka ir paredzēti arī grozījumi Kredītiestāžu un ieguldījumu brokeru sabiedrību darbības atjaunošanas un noregulējuma likuma 90.panta pirmajā daļā, kas šobrīd nodrošina minētā likuma normu saskaņotību ar Finanšu nodrošinājuma likumu un likumu </w:t>
            </w:r>
            <w:r w:rsidRPr="00F9152F">
              <w:rPr>
                <w:rFonts w:ascii="Times New Roman" w:hAnsi="Times New Roman" w:cs="Times New Roman"/>
                <w:sz w:val="20"/>
                <w:szCs w:val="20"/>
              </w:rPr>
              <w:t>„</w:t>
            </w:r>
            <w:r w:rsidRPr="00F9152F">
              <w:rPr>
                <w:rFonts w:ascii="Times New Roman" w:hAnsi="Times New Roman" w:cs="Times New Roman"/>
                <w:bCs/>
                <w:sz w:val="20"/>
                <w:szCs w:val="20"/>
                <w:shd w:val="clear" w:color="auto" w:fill="FFFFFF"/>
              </w:rPr>
              <w:t xml:space="preserve">Par norēķinu galīgumu maksājumu un finanšu instrumentu norēķinu sistēmās”. Minētā likuma 90.panta pirmā daļa noteic, ka: </w:t>
            </w:r>
            <w:r w:rsidRPr="00F9152F">
              <w:rPr>
                <w:rFonts w:ascii="Times New Roman" w:hAnsi="Times New Roman" w:cs="Times New Roman"/>
                <w:sz w:val="20"/>
                <w:szCs w:val="20"/>
              </w:rPr>
              <w:t>„</w:t>
            </w:r>
            <w:r w:rsidRPr="00F9152F">
              <w:rPr>
                <w:rFonts w:ascii="Times New Roman" w:hAnsi="Times New Roman" w:cs="Times New Roman"/>
                <w:i/>
                <w:sz w:val="20"/>
                <w:szCs w:val="20"/>
                <w:shd w:val="clear" w:color="auto" w:fill="FFFFFF"/>
              </w:rPr>
              <w:t>Krīzes novēršanas pasākums un krīzes vadības pasākums, kas ir veikts attiecībā uz iestādi vai finanšu sabiedrību saskaņā ar šo likumu, un jebkurš notikums, kas ir tieši saistīts ar šāda pasākuma piemērošanu, saskaņā ar iestādes vai finanšu sabiedrības noslēgtu līgumu nav uzskatāms par izpildes notikumu finanšu nodrošinājumu reglamentējošo normatīvo aktu izpratnē vai par maksātnespējas procedūru norēķinu galīguma maksājumu un vērtspapīru norēķinu sistēmu reglamentējošo normatīvo aktu izpratnē [..].”</w:t>
            </w:r>
            <w:r w:rsidRPr="00F9152F">
              <w:rPr>
                <w:rFonts w:ascii="Times New Roman" w:hAnsi="Times New Roman" w:cs="Times New Roman"/>
                <w:sz w:val="20"/>
                <w:szCs w:val="20"/>
                <w:shd w:val="clear" w:color="auto" w:fill="FFFFFF"/>
              </w:rPr>
              <w:t xml:space="preserve"> Ar likumprojektu </w:t>
            </w:r>
            <w:r w:rsidRPr="00F9152F">
              <w:rPr>
                <w:rFonts w:ascii="Times New Roman" w:hAnsi="Times New Roman" w:cs="Times New Roman"/>
                <w:sz w:val="20"/>
                <w:szCs w:val="20"/>
              </w:rPr>
              <w:t>„</w:t>
            </w:r>
            <w:r w:rsidRPr="00F9152F">
              <w:rPr>
                <w:rFonts w:ascii="Times New Roman" w:hAnsi="Times New Roman" w:cs="Times New Roman"/>
                <w:sz w:val="20"/>
                <w:szCs w:val="20"/>
                <w:shd w:val="clear" w:color="auto" w:fill="FFFFFF"/>
              </w:rPr>
              <w:t xml:space="preserve">Grozījumi </w:t>
            </w:r>
            <w:r w:rsidRPr="00F9152F">
              <w:rPr>
                <w:rFonts w:ascii="Times New Roman" w:hAnsi="Times New Roman" w:cs="Times New Roman"/>
                <w:bCs/>
                <w:sz w:val="20"/>
                <w:szCs w:val="20"/>
                <w:shd w:val="clear" w:color="auto" w:fill="FFFFFF"/>
              </w:rPr>
              <w:t xml:space="preserve">Kredītiestāžu un ieguldījumu brokeru sabiedrību darbības atjaunošanas un noregulējuma likumā” ir plānots </w:t>
            </w:r>
            <w:r w:rsidRPr="00F9152F">
              <w:rPr>
                <w:rFonts w:ascii="Times New Roman" w:eastAsia="Times New Roman" w:hAnsi="Times New Roman" w:cs="Times New Roman"/>
                <w:sz w:val="20"/>
                <w:szCs w:val="20"/>
              </w:rPr>
              <w:t xml:space="preserve">papildināt </w:t>
            </w:r>
            <w:r w:rsidRPr="00F9152F">
              <w:rPr>
                <w:rFonts w:ascii="Times New Roman" w:eastAsia="Times New Roman" w:hAnsi="Times New Roman" w:cs="Times New Roman"/>
                <w:sz w:val="20"/>
                <w:szCs w:val="20"/>
              </w:rPr>
              <w:lastRenderedPageBreak/>
              <w:t>90.panta pirmo daļu pēc vārdiem „izpildes notikumu” ar vārdiem „Izslēdzošā ieskaita piemērošanas kvalificētajiem finanšu darījumiem likuma izpratnē,”.</w:t>
            </w:r>
          </w:p>
          <w:p w14:paraId="6D4F0259" w14:textId="77777777" w:rsidR="00E11749" w:rsidRPr="00F9152F" w:rsidRDefault="00D771BA" w:rsidP="003F4963">
            <w:pPr>
              <w:shd w:val="clear" w:color="auto" w:fill="FFFFFF"/>
              <w:spacing w:after="0" w:line="240" w:lineRule="auto"/>
              <w:ind w:firstLine="341"/>
              <w:jc w:val="both"/>
              <w:rPr>
                <w:rFonts w:ascii="Times New Roman" w:hAnsi="Times New Roman" w:cs="Times New Roman"/>
                <w:bCs/>
                <w:sz w:val="20"/>
                <w:szCs w:val="20"/>
                <w:shd w:val="clear" w:color="auto" w:fill="FFFFFF"/>
              </w:rPr>
            </w:pPr>
            <w:r>
              <w:rPr>
                <w:rFonts w:ascii="Times New Roman" w:hAnsi="Times New Roman" w:cs="Times New Roman"/>
                <w:b/>
                <w:bCs/>
                <w:sz w:val="20"/>
                <w:szCs w:val="20"/>
                <w:shd w:val="clear" w:color="auto" w:fill="FFFFFF"/>
              </w:rPr>
              <w:t>1</w:t>
            </w:r>
            <w:r w:rsidR="00E11749" w:rsidRPr="00F9152F">
              <w:rPr>
                <w:rFonts w:ascii="Times New Roman" w:hAnsi="Times New Roman" w:cs="Times New Roman"/>
                <w:b/>
                <w:bCs/>
                <w:sz w:val="20"/>
                <w:szCs w:val="20"/>
                <w:shd w:val="clear" w:color="auto" w:fill="FFFFFF"/>
              </w:rPr>
              <w:t>.5.</w:t>
            </w:r>
            <w:r w:rsidR="00E11749" w:rsidRPr="00F9152F">
              <w:rPr>
                <w:rFonts w:ascii="Times New Roman" w:hAnsi="Times New Roman" w:cs="Times New Roman"/>
                <w:bCs/>
                <w:sz w:val="20"/>
                <w:szCs w:val="20"/>
                <w:shd w:val="clear" w:color="auto" w:fill="FFFFFF"/>
              </w:rPr>
              <w:t xml:space="preserve"> Precizētajā Likumprojekta </w:t>
            </w:r>
            <w:r w:rsidR="00465D4C" w:rsidRPr="00F9152F">
              <w:rPr>
                <w:rFonts w:ascii="Times New Roman" w:hAnsi="Times New Roman" w:cs="Times New Roman"/>
                <w:bCs/>
                <w:sz w:val="20"/>
                <w:szCs w:val="20"/>
                <w:shd w:val="clear" w:color="auto" w:fill="FFFFFF"/>
              </w:rPr>
              <w:t xml:space="preserve">3.panta </w:t>
            </w:r>
            <w:r w:rsidR="00E11749" w:rsidRPr="00F9152F">
              <w:rPr>
                <w:rFonts w:ascii="Times New Roman" w:hAnsi="Times New Roman" w:cs="Times New Roman"/>
                <w:bCs/>
                <w:sz w:val="20"/>
                <w:szCs w:val="20"/>
                <w:shd w:val="clear" w:color="auto" w:fill="FFFFFF"/>
              </w:rPr>
              <w:t>redakcijā vairs nav iekļautas atgriezeniskās saites uz Apdrošināšanas un pārapdrošināšanas likumu.</w:t>
            </w:r>
          </w:p>
          <w:p w14:paraId="0B19F976" w14:textId="77777777" w:rsidR="00E11749" w:rsidRPr="00F9152F" w:rsidRDefault="00E11749" w:rsidP="003F4963">
            <w:pPr>
              <w:spacing w:after="0" w:line="240" w:lineRule="auto"/>
              <w:ind w:firstLine="341"/>
              <w:jc w:val="both"/>
              <w:rPr>
                <w:rFonts w:ascii="Times New Roman" w:hAnsi="Times New Roman" w:cs="Times New Roman"/>
                <w:sz w:val="20"/>
                <w:szCs w:val="20"/>
                <w:shd w:val="clear" w:color="auto" w:fill="FFFFFF"/>
              </w:rPr>
            </w:pPr>
            <w:r w:rsidRPr="00F9152F">
              <w:rPr>
                <w:rFonts w:ascii="Times New Roman" w:hAnsi="Times New Roman" w:cs="Times New Roman"/>
                <w:sz w:val="20"/>
                <w:szCs w:val="20"/>
                <w:shd w:val="clear" w:color="auto" w:fill="FFFFFF"/>
              </w:rPr>
              <w:t xml:space="preserve">Izslēdzošā ieskaita piemērošana attiecībā uz apdrošināšanas sabiedrībām ir pieļaujama gadījumos, kad ir sniegts finanšu nodrošinājums, jo </w:t>
            </w:r>
            <w:r w:rsidRPr="00F9152F">
              <w:rPr>
                <w:rFonts w:ascii="Times New Roman" w:hAnsi="Times New Roman" w:cs="Times New Roman"/>
                <w:sz w:val="20"/>
                <w:szCs w:val="20"/>
              </w:rPr>
              <w:t>Finanšu nodrošinājuma likuma 3.panta pirmās daļas 4.punkta c) apakšpunktā apdrošināšanas sabiedrības ir minētas kā šā likuma subjekti. Apdrošināšanas un pārapdrošināšanas likumā nav iekļautas nekādas atsauces normas, kas paskaidrotu šā likuma mijiedarbību ar Maksātnespējas likumu vai Finanšu nodrošinājuma likumu. Taču Finanšu nodrošinājuma likuma 9.panta trešās daļas 1.punkts noteic, ka „</w:t>
            </w:r>
            <w:r w:rsidRPr="00F9152F">
              <w:rPr>
                <w:rFonts w:ascii="Times New Roman" w:hAnsi="Times New Roman" w:cs="Times New Roman"/>
                <w:i/>
                <w:sz w:val="20"/>
                <w:szCs w:val="20"/>
              </w:rPr>
              <w:t>Izslēdzošo ieskaitu var piemērot un tā izpildi neietekmē: finanšu nodrošinājuma devēja vai finanšu nodrošinājuma ņēmēja likvidācijas process vai maksātnespējas procesa pasākumi”</w:t>
            </w:r>
            <w:r w:rsidRPr="00F9152F">
              <w:rPr>
                <w:rFonts w:ascii="Times New Roman" w:hAnsi="Times New Roman" w:cs="Times New Roman"/>
                <w:sz w:val="20"/>
                <w:szCs w:val="20"/>
              </w:rPr>
              <w:t xml:space="preserve">, kā arī šā likuma 10.pants regulē </w:t>
            </w:r>
            <w:r w:rsidRPr="00F9152F">
              <w:rPr>
                <w:rFonts w:ascii="Times New Roman" w:hAnsi="Times New Roman" w:cs="Times New Roman"/>
                <w:bCs/>
                <w:sz w:val="20"/>
                <w:szCs w:val="20"/>
              </w:rPr>
              <w:t xml:space="preserve">atsevišķu likvidācijas procesu un maksātnespējas procesa pasākumus regulējošo tiesību normu nepiemērošanu. </w:t>
            </w:r>
            <w:r w:rsidRPr="00F9152F">
              <w:rPr>
                <w:rFonts w:ascii="Times New Roman" w:hAnsi="Times New Roman" w:cs="Times New Roman"/>
                <w:sz w:val="20"/>
                <w:szCs w:val="20"/>
              </w:rPr>
              <w:t xml:space="preserve">Līdz ar to apdrošināšanas sabiedrības maksātnespējas procesā izslēdzošais ieskaits ir piemērojams, ja ir sniegts finanšu nodrošinājums. </w:t>
            </w:r>
          </w:p>
          <w:p w14:paraId="7E83D158" w14:textId="77777777" w:rsidR="00E11749" w:rsidRPr="00F9152F" w:rsidRDefault="00E11749" w:rsidP="003F4963">
            <w:pPr>
              <w:shd w:val="clear" w:color="auto" w:fill="FFFFFF"/>
              <w:spacing w:after="0" w:line="240" w:lineRule="auto"/>
              <w:ind w:firstLine="341"/>
              <w:jc w:val="both"/>
              <w:rPr>
                <w:rFonts w:ascii="Times New Roman" w:hAnsi="Times New Roman" w:cs="Times New Roman"/>
                <w:sz w:val="20"/>
                <w:szCs w:val="20"/>
                <w:shd w:val="clear" w:color="auto" w:fill="FFFFFF"/>
              </w:rPr>
            </w:pPr>
            <w:r w:rsidRPr="00F9152F">
              <w:rPr>
                <w:rFonts w:ascii="Times New Roman" w:hAnsi="Times New Roman" w:cs="Times New Roman"/>
                <w:bCs/>
                <w:sz w:val="20"/>
                <w:szCs w:val="20"/>
                <w:shd w:val="clear" w:color="auto" w:fill="FFFFFF"/>
              </w:rPr>
              <w:t xml:space="preserve">Apdrošināšanas un pārapdrošināšanas likuma 273.panta pirmā daļa noteic, ka </w:t>
            </w:r>
            <w:r w:rsidRPr="00F9152F">
              <w:rPr>
                <w:rFonts w:ascii="Times New Roman" w:hAnsi="Times New Roman" w:cs="Times New Roman"/>
                <w:sz w:val="20"/>
                <w:szCs w:val="20"/>
              </w:rPr>
              <w:t>„</w:t>
            </w:r>
            <w:r w:rsidRPr="00F9152F">
              <w:rPr>
                <w:rFonts w:ascii="Times New Roman" w:hAnsi="Times New Roman" w:cs="Times New Roman"/>
                <w:i/>
                <w:sz w:val="20"/>
                <w:szCs w:val="20"/>
                <w:shd w:val="clear" w:color="auto" w:fill="FFFFFF"/>
              </w:rPr>
              <w:t>Reorganizācijas pasākumu vai likvidācijas veikšana attiecībā uz apdrošināšanas sabiedrību neietekmē kreditoru tiesības prasīt savu un apdrošināšanas sabiedrību prasījumu un saistību neto ieskaitu, prasījumu un saistību dzēšanu vai citu tiesisko seku ziņā līdzīgu darbību izpildi, ja šādas darbības pieļauj likums, kas piemērojams attiecīgajiem prasījumiem.”</w:t>
            </w:r>
            <w:r w:rsidRPr="00F9152F">
              <w:rPr>
                <w:rFonts w:ascii="Times New Roman" w:hAnsi="Times New Roman" w:cs="Times New Roman"/>
                <w:sz w:val="20"/>
                <w:szCs w:val="20"/>
                <w:shd w:val="clear" w:color="auto" w:fill="FFFFFF"/>
              </w:rPr>
              <w:t xml:space="preserve"> Faktiski tā ir atsauces norma uz citiem likumiem, kurā ir pateikts tikai tas, ka reorganizācijas pasākumu vai likvidācijas gadījumā izslēdzošais ieskaits ir piemērojams, ja šādas darbības pieļauj likums. Pašlaik likums to pieļauj, ja ir sniegts finanšu nodrošinājums. Tāpat šī norma pieļaus izslēdzošā ieskaita piemērošanu </w:t>
            </w:r>
            <w:r w:rsidRPr="00F9152F">
              <w:rPr>
                <w:rFonts w:ascii="Times New Roman" w:hAnsi="Times New Roman" w:cs="Times New Roman"/>
                <w:sz w:val="20"/>
                <w:szCs w:val="20"/>
                <w:shd w:val="clear" w:color="auto" w:fill="FFFFFF"/>
              </w:rPr>
              <w:lastRenderedPageBreak/>
              <w:t>attiecībā uz tā saucamajiem kvalificētajiem finanšu darījumiem, ja tiks pieņemts šis Likumprojekts.</w:t>
            </w:r>
          </w:p>
          <w:p w14:paraId="220326FD" w14:textId="77777777" w:rsidR="00E11749" w:rsidRPr="00F9152F" w:rsidRDefault="00E11749" w:rsidP="003F4963">
            <w:pPr>
              <w:shd w:val="clear" w:color="auto" w:fill="FFFFFF"/>
              <w:spacing w:after="0" w:line="240" w:lineRule="auto"/>
              <w:ind w:firstLine="341"/>
              <w:jc w:val="both"/>
              <w:rPr>
                <w:rFonts w:ascii="Times New Roman" w:hAnsi="Times New Roman" w:cs="Times New Roman"/>
                <w:sz w:val="20"/>
                <w:szCs w:val="20"/>
                <w:shd w:val="clear" w:color="auto" w:fill="FFFFFF"/>
              </w:rPr>
            </w:pPr>
            <w:r w:rsidRPr="00F9152F">
              <w:rPr>
                <w:rFonts w:ascii="Times New Roman" w:hAnsi="Times New Roman" w:cs="Times New Roman"/>
                <w:sz w:val="20"/>
                <w:szCs w:val="20"/>
                <w:shd w:val="clear" w:color="auto" w:fill="FFFFFF"/>
              </w:rPr>
              <w:t xml:space="preserve">Precizētā Likumprojekta 3.pantā ir izslēgta atsauces norma uz Apdrošināšanas un pārapdrošināšanas likumu, jo abu likumu piemērošanas jomas jau pietiekami skaidri ir noteiktas ar Likumprojekta 8.panta pirmo un otro daļu, kā arī 9.pantu. Tāpat precizētajā likumprojektā </w:t>
            </w:r>
            <w:r w:rsidRPr="00F9152F">
              <w:rPr>
                <w:rFonts w:ascii="Times New Roman" w:hAnsi="Times New Roman" w:cs="Times New Roman"/>
                <w:sz w:val="20"/>
                <w:szCs w:val="20"/>
              </w:rPr>
              <w:t>„</w:t>
            </w:r>
            <w:r w:rsidRPr="00F9152F">
              <w:rPr>
                <w:rFonts w:ascii="Times New Roman" w:hAnsi="Times New Roman" w:cs="Times New Roman"/>
                <w:sz w:val="20"/>
                <w:szCs w:val="20"/>
                <w:shd w:val="clear" w:color="auto" w:fill="FFFFFF"/>
              </w:rPr>
              <w:t>Grozījumi Apdrošināšanas un pārapdrošināšanas likumā” ir izslēgts 2.pants, kas savukārt paredzēja atgriezenisko saiti uz Likumprojektu. Vienīgi Maksātnespējas likuma 2.pantā ir paredzēti grozījumi, kas saturēs atsauces normu uz šo Likumprojektu.</w:t>
            </w:r>
          </w:p>
          <w:p w14:paraId="6DFB81DD" w14:textId="77777777" w:rsidR="00E11749" w:rsidRPr="00F9152F" w:rsidRDefault="00D771BA" w:rsidP="003F4963">
            <w:pPr>
              <w:shd w:val="clear" w:color="auto" w:fill="FFFFFF"/>
              <w:spacing w:after="0" w:line="240" w:lineRule="auto"/>
              <w:ind w:firstLine="341"/>
              <w:jc w:val="both"/>
              <w:rPr>
                <w:rFonts w:ascii="Times New Roman" w:hAnsi="Times New Roman" w:cs="Times New Roman"/>
                <w:bCs/>
                <w:sz w:val="20"/>
                <w:szCs w:val="20"/>
                <w:shd w:val="clear" w:color="auto" w:fill="FFFFFF"/>
              </w:rPr>
            </w:pPr>
            <w:r>
              <w:rPr>
                <w:rFonts w:ascii="Times New Roman" w:hAnsi="Times New Roman" w:cs="Times New Roman"/>
                <w:b/>
                <w:bCs/>
                <w:sz w:val="20"/>
                <w:szCs w:val="20"/>
                <w:shd w:val="clear" w:color="auto" w:fill="FFFFFF"/>
              </w:rPr>
              <w:t>1</w:t>
            </w:r>
            <w:r w:rsidR="00E11749" w:rsidRPr="00F9152F">
              <w:rPr>
                <w:rFonts w:ascii="Times New Roman" w:hAnsi="Times New Roman" w:cs="Times New Roman"/>
                <w:b/>
                <w:bCs/>
                <w:sz w:val="20"/>
                <w:szCs w:val="20"/>
                <w:shd w:val="clear" w:color="auto" w:fill="FFFFFF"/>
              </w:rPr>
              <w:t>.6.</w:t>
            </w:r>
            <w:r w:rsidR="00E11749" w:rsidRPr="00F9152F">
              <w:rPr>
                <w:rFonts w:ascii="Times New Roman" w:hAnsi="Times New Roman" w:cs="Times New Roman"/>
                <w:bCs/>
                <w:sz w:val="20"/>
                <w:szCs w:val="20"/>
                <w:shd w:val="clear" w:color="auto" w:fill="FFFFFF"/>
              </w:rPr>
              <w:t xml:space="preserve"> Attiecībā uz Likumprojekta mijiedarbību ar Kredītiestāžu likuma 158.pantu plašāks skaidrojums ir sniegts tālāk </w:t>
            </w:r>
            <w:r w:rsidR="005B752E">
              <w:rPr>
                <w:rFonts w:ascii="Times New Roman" w:hAnsi="Times New Roman" w:cs="Times New Roman"/>
                <w:bCs/>
                <w:sz w:val="20"/>
                <w:szCs w:val="20"/>
                <w:shd w:val="clear" w:color="auto" w:fill="FFFFFF"/>
              </w:rPr>
              <w:t>2</w:t>
            </w:r>
            <w:r w:rsidR="00E11749" w:rsidRPr="00F9152F">
              <w:rPr>
                <w:rFonts w:ascii="Times New Roman" w:hAnsi="Times New Roman" w:cs="Times New Roman"/>
                <w:bCs/>
                <w:sz w:val="20"/>
                <w:szCs w:val="20"/>
                <w:shd w:val="clear" w:color="auto" w:fill="FFFFFF"/>
              </w:rPr>
              <w:t>.2.punktā.</w:t>
            </w:r>
          </w:p>
          <w:p w14:paraId="64B1DFD6" w14:textId="77777777" w:rsidR="00E11749" w:rsidRPr="00F9152F" w:rsidRDefault="00E11749" w:rsidP="003F4963">
            <w:pPr>
              <w:shd w:val="clear" w:color="auto" w:fill="FFFFFF"/>
              <w:spacing w:after="0" w:line="240" w:lineRule="auto"/>
              <w:ind w:firstLine="341"/>
              <w:jc w:val="both"/>
              <w:rPr>
                <w:rFonts w:ascii="Times New Roman" w:hAnsi="Times New Roman" w:cs="Times New Roman"/>
                <w:sz w:val="20"/>
                <w:szCs w:val="20"/>
                <w:shd w:val="clear" w:color="auto" w:fill="FFFFFF"/>
              </w:rPr>
            </w:pPr>
            <w:r w:rsidRPr="00F9152F">
              <w:rPr>
                <w:rFonts w:ascii="Times New Roman" w:hAnsi="Times New Roman" w:cs="Times New Roman"/>
                <w:bCs/>
                <w:sz w:val="20"/>
                <w:szCs w:val="20"/>
                <w:shd w:val="clear" w:color="auto" w:fill="FFFFFF"/>
              </w:rPr>
              <w:t xml:space="preserve">Pašlaik tiesiskais pamats kredītiestādēm piemērot izslēdzošo ieskaitu izriet no Finanšu nodrošinājuma likuma un </w:t>
            </w:r>
            <w:r w:rsidRPr="00F9152F">
              <w:rPr>
                <w:rFonts w:ascii="Times New Roman" w:hAnsi="Times New Roman" w:cs="Times New Roman"/>
                <w:sz w:val="20"/>
                <w:szCs w:val="20"/>
                <w:shd w:val="clear" w:color="auto" w:fill="FFFFFF"/>
              </w:rPr>
              <w:t xml:space="preserve">likuma „Par norēķinu galīgumu maksājumu un finanšu instrumentu norēķinu sistēmās”. Lai šajos likumos ietvertās normas būtu saskaņotas ar Kredītiestāžu likumu, likumdevējs ir iekļāvis divas atsauces normas. Proti, Kredītiestāžu likuma 2.panta trešā daļa noteic, ka </w:t>
            </w:r>
            <w:r w:rsidRPr="004D79A6">
              <w:rPr>
                <w:rFonts w:ascii="Times New Roman" w:hAnsi="Times New Roman" w:cs="Times New Roman"/>
                <w:i/>
                <w:sz w:val="20"/>
                <w:szCs w:val="20"/>
              </w:rPr>
              <w:t>„</w:t>
            </w:r>
            <w:r w:rsidRPr="00F9152F">
              <w:rPr>
                <w:rFonts w:ascii="Times New Roman" w:hAnsi="Times New Roman" w:cs="Times New Roman"/>
                <w:i/>
                <w:sz w:val="20"/>
                <w:szCs w:val="20"/>
                <w:shd w:val="clear" w:color="auto" w:fill="FFFFFF"/>
              </w:rPr>
              <w:t>Ja kredītiestāde saskaņā ar likumu „Par norēķinu galīgumu maksājumu un finanšu instrumentu norēķinu sistēmās” ir sistēmas dalībnieks, kredītiestādes maksātnespējas procesā, kā arī tad, ja Finanšu un kapitāla tirgus komisija kredītiestādei daļēji vai pilnīgi apturējusi finanšu pakalpojumu sniegšanu, attiecībā uz norēķinu galīguma nodrošināšanu maksājumu un finanšu instrumentu norēķinu sistēmā piemēro likumu „Par norēķinu galīgumu maksājumu un finanšu instrumentu norēķinu sistēmās</w:t>
            </w:r>
            <w:r w:rsidRPr="004D79A6">
              <w:rPr>
                <w:rFonts w:ascii="Times New Roman" w:hAnsi="Times New Roman" w:cs="Times New Roman"/>
                <w:i/>
                <w:sz w:val="20"/>
                <w:szCs w:val="20"/>
                <w:shd w:val="clear" w:color="auto" w:fill="FFFFFF"/>
              </w:rPr>
              <w:t>”</w:t>
            </w:r>
            <w:r w:rsidRPr="00F9152F">
              <w:rPr>
                <w:rFonts w:ascii="Times New Roman" w:hAnsi="Times New Roman" w:cs="Times New Roman"/>
                <w:sz w:val="20"/>
                <w:szCs w:val="20"/>
                <w:shd w:val="clear" w:color="auto" w:fill="FFFFFF"/>
              </w:rPr>
              <w:t>. Tāpat arī Kredītiestāžu likuma 10.</w:t>
            </w:r>
            <w:r w:rsidRPr="00F9152F">
              <w:rPr>
                <w:rFonts w:ascii="Times New Roman" w:hAnsi="Times New Roman" w:cs="Times New Roman"/>
                <w:sz w:val="20"/>
                <w:szCs w:val="20"/>
                <w:shd w:val="clear" w:color="auto" w:fill="FFFFFF"/>
                <w:vertAlign w:val="superscript"/>
              </w:rPr>
              <w:t>2</w:t>
            </w:r>
            <w:r w:rsidRPr="00F9152F">
              <w:rPr>
                <w:rFonts w:ascii="Times New Roman" w:hAnsi="Times New Roman" w:cs="Times New Roman"/>
                <w:sz w:val="20"/>
                <w:szCs w:val="20"/>
                <w:shd w:val="clear" w:color="auto" w:fill="FFFFFF"/>
              </w:rPr>
              <w:t xml:space="preserve">pants noteic, ka </w:t>
            </w:r>
            <w:r w:rsidRPr="00185B39">
              <w:rPr>
                <w:rFonts w:ascii="Times New Roman" w:hAnsi="Times New Roman" w:cs="Times New Roman"/>
                <w:i/>
                <w:sz w:val="20"/>
                <w:szCs w:val="20"/>
              </w:rPr>
              <w:t>„</w:t>
            </w:r>
            <w:r w:rsidRPr="00F9152F">
              <w:rPr>
                <w:rFonts w:ascii="Times New Roman" w:hAnsi="Times New Roman" w:cs="Times New Roman"/>
                <w:i/>
                <w:sz w:val="20"/>
                <w:szCs w:val="20"/>
                <w:shd w:val="clear" w:color="auto" w:fill="FFFFFF"/>
              </w:rPr>
              <w:t xml:space="preserve">Ar finanšu nodrošinājumu saistītās tiesiskās attiecības regulē atsevišķs likums”. </w:t>
            </w:r>
            <w:r w:rsidRPr="00F9152F">
              <w:rPr>
                <w:rFonts w:ascii="Times New Roman" w:hAnsi="Times New Roman" w:cs="Times New Roman"/>
                <w:sz w:val="20"/>
                <w:szCs w:val="20"/>
                <w:shd w:val="clear" w:color="auto" w:fill="FFFFFF"/>
              </w:rPr>
              <w:t xml:space="preserve">Papildus arī Finanšu nodrošinājuma likumā ir iekļautas normas, kas nodrošina izslēdzošā ieskaita piemērošanu, ja iestājas kāda likumā minētā subjekta maksātnespēja vai likvidācija, proti, </w:t>
            </w:r>
            <w:r w:rsidRPr="00F9152F">
              <w:rPr>
                <w:rFonts w:ascii="Times New Roman" w:hAnsi="Times New Roman" w:cs="Times New Roman"/>
                <w:sz w:val="20"/>
                <w:szCs w:val="20"/>
              </w:rPr>
              <w:t>9.panta trešās daļas 1.punkts un 10.pants.</w:t>
            </w:r>
          </w:p>
          <w:p w14:paraId="16E50BF5" w14:textId="77777777" w:rsidR="00E11749" w:rsidRPr="00F9152F" w:rsidRDefault="00E11749" w:rsidP="003F4963">
            <w:pPr>
              <w:shd w:val="clear" w:color="auto" w:fill="FFFFFF"/>
              <w:spacing w:after="0" w:line="240" w:lineRule="auto"/>
              <w:ind w:firstLine="341"/>
              <w:jc w:val="both"/>
              <w:rPr>
                <w:rFonts w:ascii="Times New Roman" w:hAnsi="Times New Roman" w:cs="Times New Roman"/>
                <w:sz w:val="20"/>
                <w:szCs w:val="20"/>
                <w:shd w:val="clear" w:color="auto" w:fill="FFFFFF"/>
              </w:rPr>
            </w:pPr>
            <w:r w:rsidRPr="00F9152F">
              <w:rPr>
                <w:rFonts w:ascii="Times New Roman" w:hAnsi="Times New Roman" w:cs="Times New Roman"/>
                <w:sz w:val="20"/>
                <w:szCs w:val="20"/>
                <w:shd w:val="clear" w:color="auto" w:fill="FFFFFF"/>
              </w:rPr>
              <w:lastRenderedPageBreak/>
              <w:t xml:space="preserve">Lai nodrošinātu Likumprojekta normu saskaņotību ar Kredītiestāžu likumu, precizētajā likumprojektā </w:t>
            </w:r>
            <w:r w:rsidRPr="00F9152F">
              <w:rPr>
                <w:rFonts w:ascii="Times New Roman" w:hAnsi="Times New Roman" w:cs="Times New Roman"/>
                <w:sz w:val="20"/>
                <w:szCs w:val="20"/>
              </w:rPr>
              <w:t>„</w:t>
            </w:r>
            <w:r w:rsidRPr="00F9152F">
              <w:rPr>
                <w:rFonts w:ascii="Times New Roman" w:hAnsi="Times New Roman" w:cs="Times New Roman"/>
                <w:sz w:val="20"/>
                <w:szCs w:val="20"/>
                <w:shd w:val="clear" w:color="auto" w:fill="FFFFFF"/>
              </w:rPr>
              <w:t>Grozījumi Kredītiestāžu likumā” jaunā redakcijā ir izteikts 2.pants, kas paredz likumu papildināt ar 10.</w:t>
            </w:r>
            <w:r w:rsidRPr="00F9152F">
              <w:rPr>
                <w:rFonts w:ascii="Times New Roman" w:hAnsi="Times New Roman" w:cs="Times New Roman"/>
                <w:sz w:val="20"/>
                <w:szCs w:val="20"/>
                <w:shd w:val="clear" w:color="auto" w:fill="FFFFFF"/>
                <w:vertAlign w:val="superscript"/>
              </w:rPr>
              <w:t>3</w:t>
            </w:r>
            <w:r w:rsidRPr="00F9152F">
              <w:rPr>
                <w:rFonts w:ascii="Times New Roman" w:hAnsi="Times New Roman" w:cs="Times New Roman"/>
                <w:sz w:val="20"/>
                <w:szCs w:val="20"/>
                <w:shd w:val="clear" w:color="auto" w:fill="FFFFFF"/>
              </w:rPr>
              <w:t xml:space="preserve">pantu un kas noteic, ka </w:t>
            </w:r>
            <w:r w:rsidRPr="00185B39">
              <w:rPr>
                <w:rFonts w:ascii="Times New Roman" w:hAnsi="Times New Roman" w:cs="Times New Roman"/>
                <w:i/>
                <w:sz w:val="20"/>
                <w:szCs w:val="20"/>
              </w:rPr>
              <w:t>„</w:t>
            </w:r>
            <w:r w:rsidRPr="00F9152F">
              <w:rPr>
                <w:rFonts w:ascii="Times New Roman" w:hAnsi="Times New Roman" w:cs="Times New Roman"/>
                <w:i/>
                <w:sz w:val="20"/>
                <w:szCs w:val="20"/>
                <w:shd w:val="clear" w:color="auto" w:fill="FFFFFF"/>
              </w:rPr>
              <w:t>Izslēdzošā ieskaita piemērošanu kvalificētajiem finanšu darījumiem regulē Izslēdzošā ieskaita piemērošanas kvalificētajiem finanšu darījumiem likums”</w:t>
            </w:r>
            <w:r w:rsidRPr="00F9152F">
              <w:rPr>
                <w:rFonts w:ascii="Times New Roman" w:hAnsi="Times New Roman" w:cs="Times New Roman"/>
                <w:sz w:val="20"/>
                <w:szCs w:val="20"/>
                <w:shd w:val="clear" w:color="auto" w:fill="FFFFFF"/>
              </w:rPr>
              <w:t>. Lai gan pašā Kredītiestāžu likumā termins kvalificētie finanšu darījumi nav definēts, taču šo darījumu uzskaitījums ir sniegts Likumprojektā, līdz ar to praksē nevarētu rasties problēmas ar šī termina lietojumu. Šāda atsauces norma Kredītiestāžu likuma 10.</w:t>
            </w:r>
            <w:r w:rsidRPr="00F9152F">
              <w:rPr>
                <w:rFonts w:ascii="Times New Roman" w:hAnsi="Times New Roman" w:cs="Times New Roman"/>
                <w:sz w:val="20"/>
                <w:szCs w:val="20"/>
                <w:shd w:val="clear" w:color="auto" w:fill="FFFFFF"/>
                <w:vertAlign w:val="superscript"/>
              </w:rPr>
              <w:t>3</w:t>
            </w:r>
            <w:r w:rsidRPr="00F9152F">
              <w:rPr>
                <w:rFonts w:ascii="Times New Roman" w:hAnsi="Times New Roman" w:cs="Times New Roman"/>
                <w:sz w:val="20"/>
                <w:szCs w:val="20"/>
                <w:shd w:val="clear" w:color="auto" w:fill="FFFFFF"/>
              </w:rPr>
              <w:t>pantā ir nepieciešama, ņemot vērā to, ka likumprojekts „Grozījum</w:t>
            </w:r>
            <w:r w:rsidR="006036B7">
              <w:rPr>
                <w:rFonts w:ascii="Times New Roman" w:hAnsi="Times New Roman" w:cs="Times New Roman"/>
                <w:sz w:val="20"/>
                <w:szCs w:val="20"/>
                <w:shd w:val="clear" w:color="auto" w:fill="FFFFFF"/>
              </w:rPr>
              <w:t>s</w:t>
            </w:r>
            <w:r w:rsidRPr="00F9152F">
              <w:rPr>
                <w:rFonts w:ascii="Times New Roman" w:hAnsi="Times New Roman" w:cs="Times New Roman"/>
                <w:sz w:val="20"/>
                <w:szCs w:val="20"/>
                <w:shd w:val="clear" w:color="auto" w:fill="FFFFFF"/>
              </w:rPr>
              <w:t xml:space="preserve"> Maksātnespējas likumā” paredz papildināt 2</w:t>
            </w:r>
            <w:r w:rsidRPr="00F9152F">
              <w:rPr>
                <w:rFonts w:ascii="Times New Roman" w:hAnsi="Times New Roman" w:cs="Times New Roman"/>
                <w:color w:val="000000"/>
                <w:sz w:val="20"/>
                <w:szCs w:val="20"/>
                <w:shd w:val="clear" w:color="auto" w:fill="FFFFFF"/>
              </w:rPr>
              <w:t xml:space="preserve">.pantu ar sesto daļu, taču </w:t>
            </w:r>
            <w:r w:rsidRPr="00F9152F">
              <w:rPr>
                <w:rFonts w:ascii="Times New Roman" w:hAnsi="Times New Roman" w:cs="Times New Roman"/>
                <w:sz w:val="20"/>
                <w:szCs w:val="20"/>
                <w:shd w:val="clear" w:color="auto" w:fill="FFFFFF"/>
              </w:rPr>
              <w:t>Maksātnespējas likums neregulē kredītiestāžu maksātnespējas procesu.</w:t>
            </w:r>
          </w:p>
          <w:p w14:paraId="6C08691A" w14:textId="77777777" w:rsidR="00E11749" w:rsidRPr="00F9152F" w:rsidRDefault="00D771BA" w:rsidP="003F4963">
            <w:pPr>
              <w:shd w:val="clear" w:color="auto" w:fill="FFFFFF"/>
              <w:spacing w:after="0" w:line="240" w:lineRule="auto"/>
              <w:ind w:firstLine="341"/>
              <w:jc w:val="both"/>
              <w:rPr>
                <w:rFonts w:ascii="Times New Roman" w:eastAsia="Times New Roman" w:hAnsi="Times New Roman" w:cs="Times New Roman"/>
                <w:sz w:val="20"/>
                <w:lang w:eastAsia="lv-LV"/>
              </w:rPr>
            </w:pPr>
            <w:r>
              <w:rPr>
                <w:rFonts w:ascii="Times New Roman" w:hAnsi="Times New Roman" w:cs="Times New Roman"/>
                <w:b/>
                <w:sz w:val="20"/>
                <w:szCs w:val="20"/>
                <w:shd w:val="clear" w:color="auto" w:fill="FFFFFF"/>
              </w:rPr>
              <w:t>1</w:t>
            </w:r>
            <w:r w:rsidR="00E11749" w:rsidRPr="00F9152F">
              <w:rPr>
                <w:rFonts w:ascii="Times New Roman" w:hAnsi="Times New Roman" w:cs="Times New Roman"/>
                <w:b/>
                <w:sz w:val="20"/>
                <w:szCs w:val="20"/>
                <w:shd w:val="clear" w:color="auto" w:fill="FFFFFF"/>
              </w:rPr>
              <w:t xml:space="preserve">.7. </w:t>
            </w:r>
            <w:r w:rsidR="00E11749" w:rsidRPr="00F9152F">
              <w:rPr>
                <w:rFonts w:ascii="Times New Roman" w:hAnsi="Times New Roman" w:cs="Times New Roman"/>
                <w:sz w:val="20"/>
                <w:szCs w:val="20"/>
                <w:shd w:val="clear" w:color="auto" w:fill="FFFFFF"/>
              </w:rPr>
              <w:t>Likumprojektā nemainīgā redakcijā ir saglabāta norma, kas skaidro Likumprojekta mijiedarbību ar likumu „Par norēķinu galīgumu maksājumu un finanšu instrumentu norēķinu sistēmās”. Mainīta ir tikai 3.panta daļu numerācija. Likumā „Par norēķinu galīgumu maksājumu un finanšu instrumentu norēķinu sistēmās” ir šaurāks subjektu (sistēmas dalībnieku) loks, nekā Likumprojektā. Līdz ar to gadījumos, kad līdzēji ir maksājumu un finanšu norēķinu sistēmas dalībnieki</w:t>
            </w:r>
            <w:r w:rsidR="00E11749" w:rsidRPr="00F9152F">
              <w:rPr>
                <w:rFonts w:ascii="Times New Roman" w:eastAsia="Times New Roman" w:hAnsi="Times New Roman" w:cs="Times New Roman"/>
                <w:color w:val="000000" w:themeColor="text1"/>
                <w:sz w:val="20"/>
                <w:szCs w:val="20"/>
              </w:rPr>
              <w:t>, kuriem jāievēro šajā likumā noteiktais par norēķinu un ieskaita veikšanu, Likumprojekts neskar jau pastāvošo izslēdzošā ieskaita piemērošanas kārtību</w:t>
            </w:r>
            <w:r w:rsidR="00E11749" w:rsidRPr="00F9152F">
              <w:rPr>
                <w:rFonts w:ascii="Times New Roman" w:hAnsi="Times New Roman" w:cs="Times New Roman"/>
                <w:sz w:val="20"/>
                <w:szCs w:val="20"/>
                <w:shd w:val="clear" w:color="auto" w:fill="FFFFFF"/>
              </w:rPr>
              <w:t>. Šāda pieeja arī pilnībā atbilst Kredītiestāžu likuma 2.panta trešajā daļā noteiktajam.</w:t>
            </w:r>
          </w:p>
        </w:tc>
        <w:tc>
          <w:tcPr>
            <w:tcW w:w="712" w:type="pct"/>
            <w:tcBorders>
              <w:top w:val="single" w:sz="4" w:space="0" w:color="auto"/>
              <w:left w:val="single" w:sz="4" w:space="0" w:color="auto"/>
              <w:bottom w:val="single" w:sz="4" w:space="0" w:color="auto"/>
              <w:right w:val="single" w:sz="4" w:space="0" w:color="auto"/>
            </w:tcBorders>
          </w:tcPr>
          <w:p w14:paraId="19B50601" w14:textId="77777777" w:rsidR="00E11749" w:rsidRPr="00F9152F" w:rsidRDefault="00E11749" w:rsidP="00DA470C">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lastRenderedPageBreak/>
              <w:t>Likumprojekta nosaukums grozīts uz likumprojekts „Izslēdzošā ieskaita piemērošanas kvalificētajiem finanšu darījumiem likums”</w:t>
            </w:r>
            <w:r w:rsidR="00330CF9" w:rsidRPr="00F9152F">
              <w:rPr>
                <w:rFonts w:ascii="Times New Roman" w:eastAsia="Times New Roman" w:hAnsi="Times New Roman" w:cs="Times New Roman"/>
                <w:sz w:val="20"/>
                <w:lang w:eastAsia="lv-LV"/>
              </w:rPr>
              <w:t>.</w:t>
            </w:r>
          </w:p>
          <w:p w14:paraId="50B41C12" w14:textId="77777777" w:rsidR="00E11749" w:rsidRPr="00F9152F" w:rsidRDefault="00E11749" w:rsidP="00DA470C">
            <w:pPr>
              <w:spacing w:after="0" w:line="240" w:lineRule="auto"/>
              <w:jc w:val="both"/>
              <w:rPr>
                <w:rFonts w:ascii="Times New Roman" w:eastAsia="Times New Roman" w:hAnsi="Times New Roman" w:cs="Times New Roman"/>
                <w:sz w:val="20"/>
                <w:lang w:eastAsia="lv-LV"/>
              </w:rPr>
            </w:pPr>
          </w:p>
          <w:p w14:paraId="28A5B1DC" w14:textId="77777777" w:rsidR="00E11749" w:rsidRPr="00F9152F" w:rsidRDefault="00E11749" w:rsidP="00E11749">
            <w:pPr>
              <w:spacing w:before="120" w:after="120" w:line="240" w:lineRule="auto"/>
              <w:jc w:val="both"/>
              <w:rPr>
                <w:rFonts w:ascii="Times New Roman" w:hAnsi="Times New Roman"/>
                <w:color w:val="000000" w:themeColor="text1"/>
                <w:sz w:val="20"/>
                <w:szCs w:val="20"/>
              </w:rPr>
            </w:pPr>
            <w:r w:rsidRPr="00F9152F">
              <w:rPr>
                <w:rFonts w:ascii="Times New Roman" w:eastAsia="Times New Roman" w:hAnsi="Times New Roman" w:cs="Times New Roman"/>
                <w:sz w:val="20"/>
                <w:lang w:eastAsia="lv-LV"/>
              </w:rPr>
              <w:t xml:space="preserve">Likumprojekta 1.panta pirmā daļa papildināta ar 3.punktu, kas noteic: </w:t>
            </w:r>
            <w:r w:rsidRPr="00F9152F">
              <w:rPr>
                <w:rFonts w:ascii="Times New Roman" w:eastAsia="Times New Roman" w:hAnsi="Times New Roman" w:cs="Times New Roman"/>
                <w:i/>
                <w:sz w:val="20"/>
                <w:szCs w:val="20"/>
                <w:lang w:eastAsia="lv-LV"/>
              </w:rPr>
              <w:t>„</w:t>
            </w:r>
            <w:r w:rsidRPr="00F9152F">
              <w:rPr>
                <w:rFonts w:ascii="Times New Roman" w:hAnsi="Times New Roman"/>
                <w:i/>
                <w:color w:val="000000" w:themeColor="text1"/>
                <w:sz w:val="20"/>
                <w:szCs w:val="20"/>
              </w:rPr>
              <w:t xml:space="preserve">3) </w:t>
            </w:r>
            <w:r w:rsidRPr="00F9152F">
              <w:rPr>
                <w:rFonts w:ascii="Times New Roman" w:hAnsi="Times New Roman"/>
                <w:b/>
                <w:i/>
                <w:color w:val="000000" w:themeColor="text1"/>
                <w:sz w:val="20"/>
                <w:szCs w:val="20"/>
              </w:rPr>
              <w:t xml:space="preserve">kvalificētais </w:t>
            </w:r>
            <w:r w:rsidRPr="00F9152F">
              <w:rPr>
                <w:rFonts w:ascii="Times New Roman" w:hAnsi="Times New Roman"/>
                <w:b/>
                <w:i/>
                <w:color w:val="000000" w:themeColor="text1"/>
                <w:sz w:val="20"/>
                <w:szCs w:val="20"/>
              </w:rPr>
              <w:lastRenderedPageBreak/>
              <w:t>finanšu darījums</w:t>
            </w:r>
            <w:r w:rsidRPr="00F9152F">
              <w:rPr>
                <w:rFonts w:ascii="Times New Roman" w:hAnsi="Times New Roman"/>
                <w:i/>
                <w:color w:val="000000" w:themeColor="text1"/>
                <w:sz w:val="20"/>
                <w:szCs w:val="20"/>
              </w:rPr>
              <w:t xml:space="preserve"> – tāds darījums, kas ir minēts šā likuma 7.pantā.”</w:t>
            </w:r>
          </w:p>
          <w:p w14:paraId="77A51E29" w14:textId="77777777" w:rsidR="00E11749" w:rsidRPr="00F9152F" w:rsidRDefault="00E11749" w:rsidP="00DA470C">
            <w:pPr>
              <w:spacing w:after="0" w:line="240" w:lineRule="auto"/>
              <w:jc w:val="both"/>
              <w:rPr>
                <w:rFonts w:ascii="Times New Roman" w:eastAsia="Times New Roman" w:hAnsi="Times New Roman" w:cs="Times New Roman"/>
                <w:sz w:val="20"/>
                <w:lang w:eastAsia="lv-LV"/>
              </w:rPr>
            </w:pPr>
          </w:p>
          <w:p w14:paraId="1482F18D" w14:textId="77777777" w:rsidR="00222054" w:rsidRPr="00F9152F" w:rsidRDefault="00E11749" w:rsidP="00DA470C">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Likumprojekta 3.pants izteiks šādā redakcijā:</w:t>
            </w:r>
          </w:p>
          <w:p w14:paraId="7E795C00" w14:textId="77777777" w:rsidR="00E11749" w:rsidRPr="00F9152F" w:rsidRDefault="00E11749" w:rsidP="00E11749">
            <w:pPr>
              <w:tabs>
                <w:tab w:val="left" w:pos="252"/>
              </w:tabs>
              <w:spacing w:after="0" w:line="240" w:lineRule="auto"/>
              <w:jc w:val="both"/>
              <w:rPr>
                <w:rFonts w:ascii="Times New Roman" w:hAnsi="Times New Roman"/>
                <w:b/>
                <w:bCs/>
                <w:i/>
                <w:color w:val="000000" w:themeColor="text1"/>
                <w:sz w:val="20"/>
                <w:szCs w:val="20"/>
              </w:rPr>
            </w:pPr>
            <w:r w:rsidRPr="00F9152F">
              <w:rPr>
                <w:rFonts w:ascii="Times New Roman" w:hAnsi="Times New Roman"/>
                <w:bCs/>
                <w:i/>
                <w:color w:val="000000" w:themeColor="text1"/>
                <w:sz w:val="20"/>
                <w:szCs w:val="20"/>
              </w:rPr>
              <w:t>„</w:t>
            </w:r>
            <w:r w:rsidRPr="00F9152F">
              <w:rPr>
                <w:rFonts w:ascii="Times New Roman" w:hAnsi="Times New Roman"/>
                <w:b/>
                <w:bCs/>
                <w:i/>
                <w:color w:val="000000" w:themeColor="text1"/>
                <w:sz w:val="20"/>
                <w:szCs w:val="20"/>
              </w:rPr>
              <w:t>3. pants. Likuma darbības joma</w:t>
            </w:r>
          </w:p>
          <w:p w14:paraId="10CB6B88" w14:textId="77777777" w:rsidR="00E11749" w:rsidRPr="00F9152F" w:rsidRDefault="00E11749" w:rsidP="00E11749">
            <w:pPr>
              <w:pStyle w:val="ListParagraph"/>
              <w:tabs>
                <w:tab w:val="left" w:pos="252"/>
              </w:tabs>
              <w:spacing w:after="0" w:line="240" w:lineRule="auto"/>
              <w:ind w:left="0"/>
              <w:jc w:val="both"/>
              <w:rPr>
                <w:rFonts w:ascii="Times New Roman" w:eastAsia="Times New Roman" w:hAnsi="Times New Roman"/>
                <w:i/>
                <w:color w:val="000000" w:themeColor="text1"/>
                <w:sz w:val="20"/>
                <w:szCs w:val="20"/>
              </w:rPr>
            </w:pPr>
            <w:r w:rsidRPr="00F9152F">
              <w:rPr>
                <w:rFonts w:ascii="Times New Roman" w:eastAsia="Times New Roman" w:hAnsi="Times New Roman"/>
                <w:i/>
                <w:color w:val="000000" w:themeColor="text1"/>
                <w:sz w:val="20"/>
                <w:szCs w:val="20"/>
              </w:rPr>
              <w:t>(1)</w:t>
            </w:r>
            <w:r w:rsidR="00D8772E" w:rsidRPr="00F9152F">
              <w:rPr>
                <w:rFonts w:ascii="Times New Roman" w:eastAsia="Times New Roman" w:hAnsi="Times New Roman"/>
                <w:i/>
                <w:color w:val="000000" w:themeColor="text1"/>
                <w:sz w:val="20"/>
                <w:szCs w:val="20"/>
              </w:rPr>
              <w:t> </w:t>
            </w:r>
            <w:r w:rsidRPr="00F9152F">
              <w:rPr>
                <w:rFonts w:ascii="Times New Roman" w:hAnsi="Times New Roman"/>
                <w:i/>
                <w:color w:val="000000" w:themeColor="text1"/>
                <w:sz w:val="20"/>
                <w:szCs w:val="20"/>
              </w:rPr>
              <w:t xml:space="preserve">Šis </w:t>
            </w:r>
            <w:r w:rsidRPr="00F9152F">
              <w:rPr>
                <w:rFonts w:ascii="Times New Roman" w:hAnsi="Times New Roman"/>
                <w:i/>
                <w:sz w:val="20"/>
                <w:szCs w:val="20"/>
              </w:rPr>
              <w:t>l</w:t>
            </w:r>
            <w:r w:rsidRPr="00F9152F">
              <w:rPr>
                <w:rFonts w:ascii="Times New Roman" w:hAnsi="Times New Roman"/>
                <w:i/>
                <w:sz w:val="20"/>
                <w:szCs w:val="20"/>
                <w:shd w:val="clear" w:color="auto" w:fill="FFFFFF"/>
              </w:rPr>
              <w:t>ikums nosaka izslēdzošā ieskaita piemērošanu kvalificētajiem finanšu darījumiem.</w:t>
            </w:r>
          </w:p>
          <w:p w14:paraId="66E8F9E0" w14:textId="77777777" w:rsidR="00E11749" w:rsidRPr="00F9152F" w:rsidRDefault="00E11749" w:rsidP="00E11749">
            <w:pPr>
              <w:pStyle w:val="ListParagraph"/>
              <w:tabs>
                <w:tab w:val="left" w:pos="252"/>
              </w:tabs>
              <w:spacing w:after="0" w:line="240" w:lineRule="auto"/>
              <w:ind w:left="0"/>
              <w:jc w:val="both"/>
              <w:rPr>
                <w:rFonts w:ascii="Times New Roman" w:eastAsia="Times New Roman" w:hAnsi="Times New Roman"/>
                <w:i/>
                <w:color w:val="000000" w:themeColor="text1"/>
                <w:sz w:val="20"/>
                <w:szCs w:val="20"/>
              </w:rPr>
            </w:pPr>
            <w:r w:rsidRPr="00F9152F">
              <w:rPr>
                <w:rFonts w:ascii="Times New Roman" w:eastAsia="Times New Roman" w:hAnsi="Times New Roman"/>
                <w:i/>
                <w:color w:val="000000" w:themeColor="text1"/>
                <w:sz w:val="20"/>
                <w:szCs w:val="20"/>
              </w:rPr>
              <w:t>(2)</w:t>
            </w:r>
            <w:r w:rsidR="00D8772E" w:rsidRPr="00F9152F">
              <w:rPr>
                <w:rFonts w:ascii="Times New Roman" w:eastAsia="Times New Roman" w:hAnsi="Times New Roman"/>
                <w:i/>
                <w:color w:val="000000" w:themeColor="text1"/>
                <w:sz w:val="20"/>
                <w:szCs w:val="20"/>
              </w:rPr>
              <w:t> </w:t>
            </w:r>
            <w:r w:rsidRPr="00F9152F">
              <w:rPr>
                <w:rFonts w:ascii="Times New Roman" w:hAnsi="Times New Roman"/>
                <w:i/>
                <w:sz w:val="20"/>
                <w:szCs w:val="20"/>
                <w:shd w:val="clear" w:color="auto" w:fill="FFFFFF"/>
              </w:rPr>
              <w:t>Ar finanšu nodrošinājumu saistītās tiesiskās attiecības regulē Finanšu nodrošinājuma likums.</w:t>
            </w:r>
            <w:r w:rsidRPr="00F9152F">
              <w:rPr>
                <w:rFonts w:ascii="Times New Roman" w:eastAsia="Times New Roman" w:hAnsi="Times New Roman"/>
                <w:i/>
                <w:color w:val="000000" w:themeColor="text1"/>
                <w:sz w:val="20"/>
                <w:szCs w:val="20"/>
              </w:rPr>
              <w:t xml:space="preserve"> </w:t>
            </w:r>
          </w:p>
          <w:p w14:paraId="12C6EC6E" w14:textId="61CFBD89" w:rsidR="00E11749" w:rsidRPr="00F9152F" w:rsidRDefault="00E11749" w:rsidP="00E11749">
            <w:pPr>
              <w:pStyle w:val="ListParagraph"/>
              <w:tabs>
                <w:tab w:val="left" w:pos="252"/>
              </w:tabs>
              <w:spacing w:after="0" w:line="240" w:lineRule="auto"/>
              <w:ind w:left="0"/>
              <w:jc w:val="both"/>
              <w:rPr>
                <w:rFonts w:ascii="Times New Roman" w:hAnsi="Times New Roman"/>
                <w:bCs/>
                <w:i/>
                <w:sz w:val="20"/>
                <w:szCs w:val="20"/>
                <w:shd w:val="clear" w:color="auto" w:fill="FFFFFF"/>
              </w:rPr>
            </w:pPr>
            <w:r w:rsidRPr="00F9152F">
              <w:rPr>
                <w:rFonts w:ascii="Times New Roman" w:eastAsia="Times New Roman" w:hAnsi="Times New Roman"/>
                <w:i/>
                <w:color w:val="000000" w:themeColor="text1"/>
                <w:sz w:val="20"/>
                <w:szCs w:val="20"/>
              </w:rPr>
              <w:t>(3)</w:t>
            </w:r>
            <w:r w:rsidR="00D8772E" w:rsidRPr="00F9152F">
              <w:rPr>
                <w:rFonts w:ascii="Times New Roman" w:eastAsia="Times New Roman" w:hAnsi="Times New Roman"/>
                <w:i/>
                <w:color w:val="000000" w:themeColor="text1"/>
                <w:sz w:val="20"/>
                <w:szCs w:val="20"/>
              </w:rPr>
              <w:t> </w:t>
            </w:r>
            <w:r w:rsidR="00D8772E" w:rsidRPr="00F9152F">
              <w:rPr>
                <w:rFonts w:ascii="Times New Roman" w:eastAsia="Times New Roman" w:hAnsi="Times New Roman" w:cs="Times New Roman"/>
                <w:i/>
                <w:color w:val="000000" w:themeColor="text1"/>
                <w:sz w:val="20"/>
                <w:szCs w:val="20"/>
              </w:rPr>
              <w:t xml:space="preserve">Krīzes novēršanas pasākuma </w:t>
            </w:r>
            <w:r w:rsidR="009F0020">
              <w:rPr>
                <w:rFonts w:ascii="Times New Roman" w:eastAsia="Times New Roman" w:hAnsi="Times New Roman" w:cs="Times New Roman"/>
                <w:i/>
                <w:color w:val="000000" w:themeColor="text1"/>
                <w:sz w:val="20"/>
                <w:szCs w:val="20"/>
              </w:rPr>
              <w:t>vai</w:t>
            </w:r>
            <w:r w:rsidR="009F0020" w:rsidRPr="00F9152F">
              <w:rPr>
                <w:rFonts w:ascii="Times New Roman" w:eastAsia="Times New Roman" w:hAnsi="Times New Roman" w:cs="Times New Roman"/>
                <w:i/>
                <w:color w:val="000000" w:themeColor="text1"/>
                <w:sz w:val="20"/>
                <w:szCs w:val="20"/>
              </w:rPr>
              <w:t xml:space="preserve"> </w:t>
            </w:r>
            <w:r w:rsidR="00D8772E" w:rsidRPr="00F9152F">
              <w:rPr>
                <w:rFonts w:ascii="Times New Roman" w:eastAsia="Times New Roman" w:hAnsi="Times New Roman" w:cs="Times New Roman"/>
                <w:i/>
                <w:color w:val="000000" w:themeColor="text1"/>
                <w:sz w:val="20"/>
                <w:szCs w:val="20"/>
              </w:rPr>
              <w:t xml:space="preserve">krīzes vadības pasākuma piemērošanas gadījumā </w:t>
            </w:r>
            <w:r w:rsidR="00D8772E" w:rsidRPr="00F9152F">
              <w:rPr>
                <w:rFonts w:ascii="Times New Roman" w:hAnsi="Times New Roman" w:cs="Times New Roman"/>
                <w:i/>
                <w:sz w:val="20"/>
                <w:szCs w:val="20"/>
                <w:shd w:val="clear" w:color="auto" w:fill="FFFFFF"/>
              </w:rPr>
              <w:t xml:space="preserve">vai jebkura notikuma, kas ir tieši saistīts ar šāda pasākuma piemērošanu, gadījumā šo likumu piemēro tiktāl, ciktāl </w:t>
            </w:r>
            <w:r w:rsidR="00D8772E" w:rsidRPr="00F9152F">
              <w:rPr>
                <w:rFonts w:ascii="Times New Roman" w:hAnsi="Times New Roman" w:cs="Times New Roman"/>
                <w:bCs/>
                <w:i/>
                <w:sz w:val="20"/>
                <w:szCs w:val="20"/>
                <w:shd w:val="clear" w:color="auto" w:fill="FFFFFF"/>
              </w:rPr>
              <w:t>Kredītiestāžu un ieguldījumu brokeru sabiedrību darbības atjaunošanas un noregulējuma likumā nav noteikts citādi</w:t>
            </w:r>
            <w:r w:rsidR="008A0B27" w:rsidRPr="00F9152F">
              <w:rPr>
                <w:rFonts w:ascii="Times New Roman" w:hAnsi="Times New Roman" w:cs="Times New Roman"/>
                <w:bCs/>
                <w:i/>
                <w:sz w:val="20"/>
                <w:szCs w:val="20"/>
                <w:shd w:val="clear" w:color="auto" w:fill="FFFFFF"/>
              </w:rPr>
              <w:t>.</w:t>
            </w:r>
          </w:p>
          <w:p w14:paraId="7468FA92" w14:textId="77777777" w:rsidR="00E11749" w:rsidRPr="00F9152F" w:rsidRDefault="00E11749" w:rsidP="00E11749">
            <w:pPr>
              <w:pStyle w:val="ListParagraph"/>
              <w:tabs>
                <w:tab w:val="left" w:pos="252"/>
              </w:tabs>
              <w:spacing w:after="0" w:line="240" w:lineRule="auto"/>
              <w:ind w:left="0"/>
              <w:jc w:val="both"/>
              <w:rPr>
                <w:rFonts w:ascii="Times New Roman" w:eastAsia="Times New Roman" w:hAnsi="Times New Roman"/>
                <w:i/>
                <w:color w:val="000000" w:themeColor="text1"/>
                <w:sz w:val="20"/>
                <w:szCs w:val="20"/>
              </w:rPr>
            </w:pPr>
            <w:r w:rsidRPr="00F9152F">
              <w:rPr>
                <w:rFonts w:ascii="Times New Roman" w:eastAsia="Times New Roman" w:hAnsi="Times New Roman"/>
                <w:i/>
                <w:color w:val="000000" w:themeColor="text1"/>
                <w:sz w:val="20"/>
                <w:szCs w:val="20"/>
              </w:rPr>
              <w:t>(4)</w:t>
            </w:r>
            <w:r w:rsidR="00D8772E" w:rsidRPr="00F9152F">
              <w:rPr>
                <w:rFonts w:ascii="Times New Roman" w:eastAsia="Times New Roman" w:hAnsi="Times New Roman"/>
                <w:i/>
                <w:color w:val="000000" w:themeColor="text1"/>
                <w:sz w:val="20"/>
                <w:szCs w:val="20"/>
              </w:rPr>
              <w:t> </w:t>
            </w:r>
            <w:r w:rsidRPr="00F9152F">
              <w:rPr>
                <w:rFonts w:ascii="Times New Roman" w:eastAsia="Times New Roman" w:hAnsi="Times New Roman"/>
                <w:i/>
                <w:color w:val="000000" w:themeColor="text1"/>
                <w:sz w:val="20"/>
                <w:szCs w:val="20"/>
              </w:rPr>
              <w:t>Šis likums neattiecas uz:</w:t>
            </w:r>
          </w:p>
          <w:p w14:paraId="7A619F3B" w14:textId="77777777" w:rsidR="00E11749" w:rsidRPr="00F9152F" w:rsidRDefault="00E11749" w:rsidP="00E11749">
            <w:pPr>
              <w:pStyle w:val="ListParagraph"/>
              <w:numPr>
                <w:ilvl w:val="0"/>
                <w:numId w:val="16"/>
              </w:numPr>
              <w:tabs>
                <w:tab w:val="left" w:pos="252"/>
              </w:tabs>
              <w:spacing w:after="0" w:line="240" w:lineRule="auto"/>
              <w:ind w:left="0" w:firstLine="0"/>
              <w:jc w:val="both"/>
              <w:rPr>
                <w:rFonts w:ascii="Times New Roman" w:eastAsia="Times New Roman" w:hAnsi="Times New Roman"/>
                <w:i/>
                <w:color w:val="000000" w:themeColor="text1"/>
                <w:sz w:val="20"/>
                <w:szCs w:val="20"/>
              </w:rPr>
            </w:pPr>
            <w:r w:rsidRPr="00F9152F">
              <w:rPr>
                <w:rFonts w:ascii="Times New Roman" w:eastAsia="Times New Roman" w:hAnsi="Times New Roman"/>
                <w:i/>
                <w:color w:val="000000" w:themeColor="text1"/>
                <w:sz w:val="20"/>
                <w:szCs w:val="20"/>
              </w:rPr>
              <w:t xml:space="preserve">sistēmām, kuru darbību nodrošina Latvijas Banka vai kuras Finanšu un kapitāla tirgus komisija pēc šo sistēmu noteikumu izskatīšanas noteikusi par sistēmām un par šo lēmumu informējusi Eiropas Vērtspapīru un tirgu iestādi likuma "Par norēķinu galīgumu maksājumu un </w:t>
            </w:r>
            <w:r w:rsidRPr="00F9152F">
              <w:rPr>
                <w:rFonts w:ascii="Times New Roman" w:eastAsia="Times New Roman" w:hAnsi="Times New Roman"/>
                <w:i/>
                <w:color w:val="000000" w:themeColor="text1"/>
                <w:sz w:val="20"/>
                <w:szCs w:val="20"/>
              </w:rPr>
              <w:lastRenderedPageBreak/>
              <w:t>finanšu instrumentu norēķinu sistēmās" izpratnē;</w:t>
            </w:r>
          </w:p>
          <w:p w14:paraId="0E26A5BB" w14:textId="77777777" w:rsidR="00E11749" w:rsidRPr="00F9152F" w:rsidRDefault="00E11749" w:rsidP="00E11749">
            <w:pPr>
              <w:pStyle w:val="ListParagraph"/>
              <w:numPr>
                <w:ilvl w:val="0"/>
                <w:numId w:val="16"/>
              </w:numPr>
              <w:tabs>
                <w:tab w:val="left" w:pos="252"/>
              </w:tabs>
              <w:spacing w:after="0" w:line="240" w:lineRule="auto"/>
              <w:ind w:left="0" w:firstLine="0"/>
              <w:jc w:val="both"/>
              <w:rPr>
                <w:rFonts w:ascii="Times New Roman" w:eastAsia="Times New Roman" w:hAnsi="Times New Roman"/>
                <w:i/>
                <w:color w:val="000000" w:themeColor="text1"/>
                <w:sz w:val="20"/>
                <w:szCs w:val="20"/>
              </w:rPr>
            </w:pPr>
            <w:r w:rsidRPr="00F9152F">
              <w:rPr>
                <w:rFonts w:ascii="Times New Roman" w:eastAsia="Times New Roman" w:hAnsi="Times New Roman"/>
                <w:i/>
                <w:color w:val="000000" w:themeColor="text1"/>
                <w:sz w:val="20"/>
                <w:szCs w:val="20"/>
              </w:rPr>
              <w:t xml:space="preserve">visiem šā panta </w:t>
            </w:r>
            <w:r w:rsidR="00191D88" w:rsidRPr="00F9152F">
              <w:rPr>
                <w:rFonts w:ascii="Times New Roman" w:eastAsia="Times New Roman" w:hAnsi="Times New Roman"/>
                <w:i/>
                <w:color w:val="000000" w:themeColor="text1"/>
                <w:sz w:val="20"/>
                <w:szCs w:val="20"/>
              </w:rPr>
              <w:t>ceturtās</w:t>
            </w:r>
            <w:r w:rsidRPr="00F9152F">
              <w:rPr>
                <w:rFonts w:ascii="Times New Roman" w:eastAsia="Times New Roman" w:hAnsi="Times New Roman"/>
                <w:i/>
                <w:color w:val="000000" w:themeColor="text1"/>
                <w:sz w:val="20"/>
                <w:szCs w:val="20"/>
              </w:rPr>
              <w:t xml:space="preserve"> daļas 1.punktā minēto sistēmu dalībniekiem;</w:t>
            </w:r>
          </w:p>
          <w:p w14:paraId="7BB09DD1" w14:textId="77777777" w:rsidR="00E11749" w:rsidRPr="00F9152F" w:rsidRDefault="00E11749" w:rsidP="00E11749">
            <w:pPr>
              <w:pStyle w:val="ListParagraph"/>
              <w:numPr>
                <w:ilvl w:val="0"/>
                <w:numId w:val="16"/>
              </w:numPr>
              <w:tabs>
                <w:tab w:val="left" w:pos="252"/>
              </w:tabs>
              <w:spacing w:after="0" w:line="240" w:lineRule="auto"/>
              <w:ind w:left="0" w:firstLine="0"/>
              <w:jc w:val="both"/>
              <w:rPr>
                <w:rFonts w:ascii="Times New Roman" w:eastAsia="Times New Roman" w:hAnsi="Times New Roman"/>
                <w:i/>
                <w:color w:val="000000" w:themeColor="text1"/>
                <w:sz w:val="20"/>
                <w:szCs w:val="20"/>
              </w:rPr>
            </w:pPr>
            <w:r w:rsidRPr="00F9152F">
              <w:rPr>
                <w:rFonts w:ascii="Times New Roman" w:eastAsia="Times New Roman" w:hAnsi="Times New Roman"/>
                <w:i/>
                <w:color w:val="000000" w:themeColor="text1"/>
                <w:sz w:val="20"/>
                <w:szCs w:val="20"/>
              </w:rPr>
              <w:t xml:space="preserve">nodrošinājumu, kas sniegts par dalību šā panta </w:t>
            </w:r>
            <w:r w:rsidR="00191D88" w:rsidRPr="00F9152F">
              <w:rPr>
                <w:rFonts w:ascii="Times New Roman" w:eastAsia="Times New Roman" w:hAnsi="Times New Roman"/>
                <w:i/>
                <w:color w:val="000000" w:themeColor="text1"/>
                <w:sz w:val="20"/>
                <w:szCs w:val="20"/>
              </w:rPr>
              <w:t>ceturtās</w:t>
            </w:r>
            <w:r w:rsidRPr="00F9152F">
              <w:rPr>
                <w:rFonts w:ascii="Times New Roman" w:eastAsia="Times New Roman" w:hAnsi="Times New Roman"/>
                <w:i/>
                <w:color w:val="000000" w:themeColor="text1"/>
                <w:sz w:val="20"/>
                <w:szCs w:val="20"/>
              </w:rPr>
              <w:t xml:space="preserve"> daļas 1.punktā minētajās sistēmās vai ko centrālā banka izmanto darījumos, pildot centrālās bankas funkcijas.”</w:t>
            </w:r>
          </w:p>
          <w:p w14:paraId="41A3658B" w14:textId="77777777" w:rsidR="00E11749" w:rsidRPr="00F9152F" w:rsidRDefault="00E11749" w:rsidP="00E11749">
            <w:pPr>
              <w:tabs>
                <w:tab w:val="left" w:pos="252"/>
              </w:tabs>
              <w:spacing w:after="0" w:line="240" w:lineRule="auto"/>
              <w:jc w:val="both"/>
              <w:rPr>
                <w:rFonts w:ascii="Times New Roman" w:eastAsia="Times New Roman" w:hAnsi="Times New Roman"/>
                <w:color w:val="000000" w:themeColor="text1"/>
                <w:sz w:val="20"/>
                <w:szCs w:val="20"/>
              </w:rPr>
            </w:pPr>
          </w:p>
          <w:p w14:paraId="347B60D6" w14:textId="77777777" w:rsidR="00E11749" w:rsidRPr="00F9152F" w:rsidRDefault="00E11749" w:rsidP="00330CF9">
            <w:pPr>
              <w:spacing w:after="0" w:line="240" w:lineRule="auto"/>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Likumprojekta 5.panta 1.punktā un 6.panta otrajā daļā svītroti vārdi „šā likuma 7.panta izpratnē”.</w:t>
            </w:r>
          </w:p>
          <w:p w14:paraId="7C3EB553" w14:textId="77777777" w:rsidR="00E11749" w:rsidRDefault="00E11749" w:rsidP="00DA470C">
            <w:pPr>
              <w:spacing w:after="0" w:line="240" w:lineRule="auto"/>
              <w:jc w:val="both"/>
              <w:rPr>
                <w:rFonts w:ascii="Times New Roman" w:eastAsia="Times New Roman" w:hAnsi="Times New Roman" w:cs="Times New Roman"/>
                <w:sz w:val="20"/>
                <w:lang w:eastAsia="lv-LV"/>
              </w:rPr>
            </w:pPr>
          </w:p>
          <w:p w14:paraId="0CBF2B37" w14:textId="77777777" w:rsidR="004F7390" w:rsidRDefault="004F7390" w:rsidP="00DA470C">
            <w:pPr>
              <w:spacing w:after="0" w:line="240" w:lineRule="auto"/>
              <w:jc w:val="both"/>
              <w:rPr>
                <w:rFonts w:ascii="Times New Roman" w:eastAsia="Times New Roman" w:hAnsi="Times New Roman" w:cs="Times New Roman"/>
                <w:sz w:val="20"/>
                <w:szCs w:val="20"/>
                <w:lang w:eastAsia="lv-LV"/>
              </w:rPr>
            </w:pPr>
            <w:r w:rsidRPr="00F9152F">
              <w:rPr>
                <w:rFonts w:ascii="Times New Roman" w:eastAsia="Times New Roman" w:hAnsi="Times New Roman" w:cs="Times New Roman"/>
                <w:sz w:val="20"/>
                <w:szCs w:val="20"/>
                <w:lang w:eastAsia="lv-LV"/>
              </w:rPr>
              <w:t>Likumprojekta</w:t>
            </w:r>
            <w:r>
              <w:rPr>
                <w:rFonts w:ascii="Times New Roman" w:eastAsia="Times New Roman" w:hAnsi="Times New Roman" w:cs="Times New Roman"/>
                <w:sz w:val="20"/>
                <w:szCs w:val="20"/>
                <w:lang w:eastAsia="lv-LV"/>
              </w:rPr>
              <w:t xml:space="preserve"> 4.panta pirmā daļa papildināta ar 5.punktu šādā redakcijā:</w:t>
            </w:r>
          </w:p>
          <w:p w14:paraId="1CE98C6A" w14:textId="77777777" w:rsidR="004F7390" w:rsidRPr="004F7390" w:rsidRDefault="00F07534" w:rsidP="004F7390">
            <w:pPr>
              <w:tabs>
                <w:tab w:val="left" w:pos="1080"/>
              </w:tabs>
              <w:spacing w:before="120" w:after="120" w:line="240" w:lineRule="auto"/>
              <w:jc w:val="both"/>
              <w:rPr>
                <w:rFonts w:ascii="Times New Roman" w:eastAsia="Times New Roman" w:hAnsi="Times New Roman"/>
                <w:i/>
                <w:sz w:val="20"/>
                <w:szCs w:val="20"/>
              </w:rPr>
            </w:pPr>
            <w:r w:rsidRPr="00F07534">
              <w:rPr>
                <w:rFonts w:ascii="Times New Roman" w:eastAsia="Times New Roman" w:hAnsi="Times New Roman" w:cs="Times New Roman"/>
                <w:i/>
                <w:sz w:val="20"/>
                <w:lang w:eastAsia="lv-LV"/>
              </w:rPr>
              <w:t>„</w:t>
            </w:r>
            <w:r w:rsidR="004F7390" w:rsidRPr="004F7390">
              <w:rPr>
                <w:rFonts w:ascii="Times New Roman" w:eastAsia="Times New Roman" w:hAnsi="Times New Roman"/>
                <w:i/>
                <w:sz w:val="20"/>
                <w:szCs w:val="20"/>
              </w:rPr>
              <w:t>5) centrālais darījumu partneris.”</w:t>
            </w:r>
          </w:p>
          <w:p w14:paraId="46BC7129" w14:textId="77777777" w:rsidR="004F7390" w:rsidRPr="00F9152F" w:rsidRDefault="004F7390" w:rsidP="00DA470C">
            <w:pPr>
              <w:spacing w:after="0" w:line="240" w:lineRule="auto"/>
              <w:jc w:val="both"/>
              <w:rPr>
                <w:rFonts w:ascii="Times New Roman" w:eastAsia="Times New Roman" w:hAnsi="Times New Roman" w:cs="Times New Roman"/>
                <w:sz w:val="20"/>
                <w:lang w:eastAsia="lv-LV"/>
              </w:rPr>
            </w:pPr>
          </w:p>
          <w:p w14:paraId="464E03A4" w14:textId="77777777" w:rsidR="00AC4D0C" w:rsidRPr="00F9152F" w:rsidRDefault="00AC4D0C" w:rsidP="00AC4D0C">
            <w:pPr>
              <w:spacing w:after="0" w:line="240" w:lineRule="auto"/>
              <w:jc w:val="both"/>
              <w:rPr>
                <w:rFonts w:ascii="Times New Roman" w:eastAsia="Times New Roman" w:hAnsi="Times New Roman" w:cs="Times New Roman"/>
                <w:sz w:val="20"/>
                <w:szCs w:val="20"/>
                <w:lang w:eastAsia="lv-LV"/>
              </w:rPr>
            </w:pPr>
            <w:r w:rsidRPr="00F9152F">
              <w:rPr>
                <w:rFonts w:ascii="Times New Roman" w:eastAsia="Times New Roman" w:hAnsi="Times New Roman" w:cs="Times New Roman"/>
                <w:sz w:val="20"/>
                <w:szCs w:val="20"/>
                <w:lang w:eastAsia="lv-LV"/>
              </w:rPr>
              <w:t>Likumprojekta 7.panta pirmās daļas 2.punkts izteikts šādā redakcijā:</w:t>
            </w:r>
          </w:p>
          <w:p w14:paraId="39EE8AF0" w14:textId="77777777" w:rsidR="00AC4D0C" w:rsidRPr="00F9152F" w:rsidRDefault="00AC4D0C" w:rsidP="00985F33">
            <w:pPr>
              <w:spacing w:after="0" w:line="240" w:lineRule="auto"/>
              <w:jc w:val="both"/>
              <w:rPr>
                <w:rFonts w:ascii="Times New Roman" w:hAnsi="Times New Roman"/>
                <w:i/>
                <w:color w:val="000000" w:themeColor="text1"/>
                <w:sz w:val="20"/>
                <w:szCs w:val="20"/>
              </w:rPr>
            </w:pPr>
            <w:r w:rsidRPr="00F9152F">
              <w:rPr>
                <w:rFonts w:ascii="Times New Roman" w:hAnsi="Times New Roman"/>
                <w:i/>
                <w:color w:val="000000" w:themeColor="text1"/>
                <w:sz w:val="20"/>
                <w:szCs w:val="20"/>
              </w:rPr>
              <w:t>„</w:t>
            </w:r>
            <w:r w:rsidRPr="00F9152F">
              <w:rPr>
                <w:rFonts w:ascii="Times New Roman" w:hAnsi="Times New Roman"/>
                <w:b/>
                <w:i/>
                <w:color w:val="000000" w:themeColor="text1"/>
                <w:sz w:val="20"/>
                <w:szCs w:val="20"/>
              </w:rPr>
              <w:t>7. pants. Kvalificētie finanšu darījumi</w:t>
            </w:r>
          </w:p>
          <w:p w14:paraId="0F54E34B" w14:textId="77777777" w:rsidR="00AC4D0C" w:rsidRPr="00F9152F" w:rsidRDefault="00AC4D0C" w:rsidP="00985F33">
            <w:pPr>
              <w:spacing w:after="0" w:line="240" w:lineRule="auto"/>
              <w:jc w:val="both"/>
              <w:rPr>
                <w:rFonts w:ascii="Times New Roman" w:hAnsi="Times New Roman"/>
                <w:b/>
                <w:i/>
                <w:color w:val="000000" w:themeColor="text1"/>
                <w:sz w:val="20"/>
                <w:szCs w:val="20"/>
              </w:rPr>
            </w:pPr>
            <w:r w:rsidRPr="00F9152F">
              <w:rPr>
                <w:rFonts w:ascii="Times New Roman" w:eastAsia="Times New Roman" w:hAnsi="Times New Roman"/>
                <w:i/>
                <w:color w:val="000000" w:themeColor="text1"/>
                <w:sz w:val="20"/>
                <w:szCs w:val="20"/>
              </w:rPr>
              <w:t>(1) Kvalificētie finanšu darījumi ir šādas finanšu vienošanās, līgumi vai darījumi, saskaņā ar kuriem saistību izpildes pienākums iestājas noteiktā laikā vai laika periodā ar vai bez nosacījumiem:</w:t>
            </w:r>
          </w:p>
          <w:p w14:paraId="46A08060" w14:textId="77777777" w:rsidR="00AC4D0C" w:rsidRPr="00F9152F" w:rsidRDefault="00AC4D0C" w:rsidP="00985F33">
            <w:pPr>
              <w:spacing w:after="0" w:line="240" w:lineRule="auto"/>
              <w:jc w:val="both"/>
              <w:rPr>
                <w:rFonts w:ascii="Times New Roman" w:hAnsi="Times New Roman"/>
                <w:b/>
                <w:i/>
                <w:color w:val="000000" w:themeColor="text1"/>
                <w:sz w:val="20"/>
                <w:szCs w:val="20"/>
              </w:rPr>
            </w:pPr>
            <w:r w:rsidRPr="00F9152F">
              <w:rPr>
                <w:rFonts w:ascii="Times New Roman" w:hAnsi="Times New Roman"/>
                <w:i/>
                <w:sz w:val="20"/>
                <w:szCs w:val="20"/>
              </w:rPr>
              <w:t>2) tūlītējie (</w:t>
            </w:r>
            <w:r w:rsidRPr="00F9152F">
              <w:rPr>
                <w:rFonts w:ascii="Times New Roman" w:hAnsi="Times New Roman"/>
                <w:i/>
                <w:iCs/>
                <w:sz w:val="20"/>
                <w:szCs w:val="20"/>
              </w:rPr>
              <w:t>spot) darījumi</w:t>
            </w:r>
            <w:r w:rsidRPr="00F9152F">
              <w:rPr>
                <w:rFonts w:ascii="Times New Roman" w:hAnsi="Times New Roman"/>
                <w:i/>
                <w:color w:val="000000"/>
                <w:sz w:val="20"/>
                <w:szCs w:val="20"/>
              </w:rPr>
              <w:t xml:space="preserve"> attiecībā uz valūtu, vērtspapīriem vai precēm, kas minēti Eiropas </w:t>
            </w:r>
            <w:r w:rsidRPr="00F9152F">
              <w:rPr>
                <w:rFonts w:ascii="Times New Roman" w:hAnsi="Times New Roman"/>
                <w:i/>
                <w:sz w:val="20"/>
                <w:szCs w:val="20"/>
              </w:rPr>
              <w:t xml:space="preserve">Komisijas </w:t>
            </w:r>
            <w:r w:rsidRPr="00F9152F">
              <w:rPr>
                <w:rFonts w:ascii="Times New Roman" w:hAnsi="Times New Roman"/>
                <w:i/>
                <w:sz w:val="20"/>
                <w:szCs w:val="20"/>
              </w:rPr>
              <w:lastRenderedPageBreak/>
              <w:t>2016.gada 25.aprīļa deleģētās regulas (ES) 2017/565 ar ko papildina Eiropas Parlamenta un Padomes direktīvu 2014/65/ES attiecībā uz ieguldījumu brokeru sabiedrību organizatoriskām prasībām un darbības nosacījumiem un jēdzienu definīcijām minētās direktīvas mērķiem 7.panta 2.punktā.”</w:t>
            </w:r>
          </w:p>
          <w:p w14:paraId="1669AB55" w14:textId="77777777" w:rsidR="00985F33" w:rsidRPr="00F9152F" w:rsidRDefault="00985F33" w:rsidP="00DA470C">
            <w:pPr>
              <w:spacing w:after="0" w:line="240" w:lineRule="auto"/>
              <w:jc w:val="both"/>
              <w:rPr>
                <w:rFonts w:ascii="Times New Roman" w:eastAsia="Times New Roman" w:hAnsi="Times New Roman" w:cs="Times New Roman"/>
                <w:sz w:val="20"/>
                <w:lang w:eastAsia="lv-LV"/>
              </w:rPr>
            </w:pPr>
          </w:p>
          <w:p w14:paraId="6EDEA827" w14:textId="77777777" w:rsidR="005B7940" w:rsidRPr="00F9152F" w:rsidRDefault="00985F33" w:rsidP="00F72395">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Tāpat attiecīgi precizēts ir likumprojekts „Grozījumi Kredītiestāžu likumā”, likumprojekts „Grozījumi Kredītiestāžu un ieguldī</w:t>
            </w:r>
            <w:r w:rsidR="00F9152F">
              <w:rPr>
                <w:rFonts w:ascii="Times New Roman" w:eastAsia="Times New Roman" w:hAnsi="Times New Roman" w:cs="Times New Roman"/>
                <w:sz w:val="20"/>
                <w:lang w:eastAsia="lv-LV"/>
              </w:rPr>
              <w:t>j</w:t>
            </w:r>
            <w:r w:rsidRPr="00F9152F">
              <w:rPr>
                <w:rFonts w:ascii="Times New Roman" w:eastAsia="Times New Roman" w:hAnsi="Times New Roman" w:cs="Times New Roman"/>
                <w:sz w:val="20"/>
                <w:lang w:eastAsia="lv-LV"/>
              </w:rPr>
              <w:t>umu brokeru sabiedrību darbības atjaunošanas un noregulējuma likumā”, likumprojekts „Grozījumi Apdrošināšanas un pārapdrošināšanas likumā” un likumprojekts „Grozījum</w:t>
            </w:r>
            <w:r w:rsidR="00F72395">
              <w:rPr>
                <w:rFonts w:ascii="Times New Roman" w:eastAsia="Times New Roman" w:hAnsi="Times New Roman" w:cs="Times New Roman"/>
                <w:sz w:val="20"/>
                <w:lang w:eastAsia="lv-LV"/>
              </w:rPr>
              <w:t>s</w:t>
            </w:r>
            <w:r w:rsidRPr="00F9152F">
              <w:rPr>
                <w:rFonts w:ascii="Times New Roman" w:eastAsia="Times New Roman" w:hAnsi="Times New Roman" w:cs="Times New Roman"/>
                <w:sz w:val="20"/>
                <w:lang w:eastAsia="lv-LV"/>
              </w:rPr>
              <w:t xml:space="preserve"> Maksātnespējas likumā”</w:t>
            </w:r>
            <w:r w:rsidR="0097594C" w:rsidRPr="00F9152F">
              <w:rPr>
                <w:rFonts w:ascii="Times New Roman" w:eastAsia="Times New Roman" w:hAnsi="Times New Roman" w:cs="Times New Roman"/>
                <w:sz w:val="20"/>
                <w:lang w:eastAsia="lv-LV"/>
              </w:rPr>
              <w:t>, kā arī šo likumprojektu anotācijas</w:t>
            </w:r>
            <w:r w:rsidRPr="00F9152F">
              <w:rPr>
                <w:rFonts w:ascii="Times New Roman" w:eastAsia="Times New Roman" w:hAnsi="Times New Roman" w:cs="Times New Roman"/>
                <w:sz w:val="20"/>
                <w:lang w:eastAsia="lv-LV"/>
              </w:rPr>
              <w:t>.</w:t>
            </w:r>
          </w:p>
        </w:tc>
      </w:tr>
      <w:tr w:rsidR="000E106B" w:rsidRPr="00F9152F" w14:paraId="5511225D"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3593436" w14:textId="77777777" w:rsidR="000E106B" w:rsidRPr="00F9152F" w:rsidRDefault="000E106B"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034B371" w14:textId="77777777" w:rsidR="002E2F03" w:rsidRPr="00F9152F" w:rsidRDefault="002E2F03" w:rsidP="002E2F03">
            <w:pPr>
              <w:spacing w:after="0" w:line="240" w:lineRule="auto"/>
              <w:jc w:val="both"/>
              <w:rPr>
                <w:rFonts w:ascii="Times New Roman" w:hAnsi="Times New Roman"/>
                <w:b/>
                <w:bCs/>
                <w:color w:val="000000" w:themeColor="text1"/>
                <w:sz w:val="20"/>
                <w:szCs w:val="20"/>
              </w:rPr>
            </w:pPr>
            <w:r w:rsidRPr="00F9152F">
              <w:rPr>
                <w:rFonts w:ascii="Times New Roman" w:hAnsi="Times New Roman"/>
                <w:b/>
                <w:bCs/>
                <w:color w:val="000000" w:themeColor="text1"/>
                <w:sz w:val="20"/>
                <w:szCs w:val="20"/>
              </w:rPr>
              <w:t>9. pants. Atsevišķu tiesiskās aizsardzības, maksātnespējas un likvidācijas procesu regulējošo tiesību normu nepiemērošana</w:t>
            </w:r>
          </w:p>
          <w:p w14:paraId="50D4B5E4" w14:textId="77777777" w:rsidR="002E2F03" w:rsidRPr="00F9152F" w:rsidRDefault="002E2F03" w:rsidP="002E2F03">
            <w:pPr>
              <w:spacing w:after="0" w:line="240" w:lineRule="auto"/>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 xml:space="preserve">(2) Izslēdzošā ieskaita līguma noteikumu tiesisko spēku neietekmē </w:t>
            </w:r>
            <w:r w:rsidRPr="00F9152F">
              <w:rPr>
                <w:rFonts w:ascii="Times New Roman" w:eastAsia="Times New Roman" w:hAnsi="Times New Roman"/>
                <w:color w:val="000000" w:themeColor="text1"/>
                <w:sz w:val="20"/>
                <w:szCs w:val="20"/>
              </w:rPr>
              <w:lastRenderedPageBreak/>
              <w:t>Maksātnespējas likumā un Kredītiestāžu likumā noteiktie ieskaita ierobežojumi.</w:t>
            </w:r>
          </w:p>
          <w:p w14:paraId="0B52BC61" w14:textId="77777777" w:rsidR="000E106B" w:rsidRPr="00F9152F" w:rsidRDefault="000E106B"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001192D5" w14:textId="77777777" w:rsidR="00691047" w:rsidRPr="00F9152F" w:rsidRDefault="00691047" w:rsidP="003F4963">
            <w:pPr>
              <w:pStyle w:val="NormalWeb"/>
              <w:spacing w:before="0" w:after="0"/>
              <w:ind w:right="13" w:firstLine="330"/>
              <w:jc w:val="both"/>
              <w:rPr>
                <w:sz w:val="20"/>
                <w:szCs w:val="20"/>
              </w:rPr>
            </w:pPr>
            <w:r w:rsidRPr="00F9152F">
              <w:rPr>
                <w:sz w:val="20"/>
                <w:szCs w:val="20"/>
              </w:rPr>
              <w:lastRenderedPageBreak/>
              <w:t>Attiecībā uz Likumprojekta iespējamām kolīzijām, vēršam uzmanību, ka no Likumprojekta anotācijas nav skaidra tajā paredzētā regulējuma mijiedarbība ar citos likumos ietverto noteikumu piemērošanu. Minētais ir svarīgi, lai saprastu Likumprojekta mērķus un to sasniegšanas iespēju.</w:t>
            </w:r>
          </w:p>
          <w:p w14:paraId="3D3AB4B2" w14:textId="77777777" w:rsidR="00691047" w:rsidRPr="00F9152F" w:rsidRDefault="00691047" w:rsidP="003F4963">
            <w:pPr>
              <w:pStyle w:val="NormalWeb"/>
              <w:spacing w:before="0" w:after="0"/>
              <w:ind w:right="13" w:firstLine="330"/>
              <w:jc w:val="both"/>
              <w:rPr>
                <w:sz w:val="20"/>
                <w:szCs w:val="20"/>
              </w:rPr>
            </w:pPr>
            <w:r w:rsidRPr="00F9152F">
              <w:rPr>
                <w:sz w:val="20"/>
                <w:szCs w:val="20"/>
              </w:rPr>
              <w:t xml:space="preserve">Kā izriet no Likumprojekta anotācijas, tajā ietvertais instruments ir paredzēts, lai mazinātu sistēmisko risku, kad viena darījuma neizpilde </w:t>
            </w:r>
            <w:r w:rsidRPr="00F9152F">
              <w:rPr>
                <w:sz w:val="20"/>
                <w:szCs w:val="20"/>
              </w:rPr>
              <w:lastRenderedPageBreak/>
              <w:t>izraisa domino efektu visā sistēmā. Saskaņā ar Likumprojektu izslēdzošais ieskaits ir tiesisks instruments, kas paredz iespēju pusēm rakstiski vienoties, ka:</w:t>
            </w:r>
          </w:p>
          <w:p w14:paraId="1032D6CD" w14:textId="77777777" w:rsidR="00691047" w:rsidRPr="00F9152F" w:rsidRDefault="00691047" w:rsidP="00691047">
            <w:pPr>
              <w:pStyle w:val="NormalWeb"/>
              <w:spacing w:before="0" w:after="0"/>
              <w:ind w:right="13" w:firstLine="567"/>
              <w:jc w:val="both"/>
              <w:rPr>
                <w:sz w:val="20"/>
                <w:szCs w:val="20"/>
              </w:rPr>
            </w:pPr>
            <w:r w:rsidRPr="00F9152F">
              <w:rPr>
                <w:sz w:val="20"/>
                <w:szCs w:val="20"/>
              </w:rPr>
              <w:t>- iestājoties noteiktam notikumam;</w:t>
            </w:r>
          </w:p>
          <w:p w14:paraId="09673830" w14:textId="77777777" w:rsidR="00691047" w:rsidRPr="00F9152F" w:rsidRDefault="00691047" w:rsidP="00691047">
            <w:pPr>
              <w:pStyle w:val="NormalWeb"/>
              <w:spacing w:before="0" w:after="0"/>
              <w:ind w:right="13" w:firstLine="567"/>
              <w:jc w:val="both"/>
              <w:rPr>
                <w:sz w:val="20"/>
                <w:szCs w:val="20"/>
              </w:rPr>
            </w:pPr>
            <w:r w:rsidRPr="00F9152F">
              <w:rPr>
                <w:sz w:val="20"/>
                <w:szCs w:val="20"/>
              </w:rPr>
              <w:t>- atbilstoši pušu paredzētai metodikai;</w:t>
            </w:r>
          </w:p>
          <w:p w14:paraId="57E34860" w14:textId="77777777" w:rsidR="00691047" w:rsidRPr="00F9152F" w:rsidRDefault="00691047" w:rsidP="00691047">
            <w:pPr>
              <w:pStyle w:val="NormalWeb"/>
              <w:spacing w:before="0" w:after="0"/>
              <w:ind w:right="13" w:firstLine="567"/>
              <w:jc w:val="both"/>
              <w:rPr>
                <w:sz w:val="20"/>
                <w:szCs w:val="20"/>
              </w:rPr>
            </w:pPr>
            <w:r w:rsidRPr="00F9152F">
              <w:rPr>
                <w:sz w:val="20"/>
                <w:szCs w:val="20"/>
              </w:rPr>
              <w:t>- visi pušu savstarpējie prasījumi tiek konvertēti vienā šķirā;</w:t>
            </w:r>
          </w:p>
          <w:p w14:paraId="455C7AE5" w14:textId="77777777" w:rsidR="00691047" w:rsidRPr="00F9152F" w:rsidRDefault="00691047" w:rsidP="00691047">
            <w:pPr>
              <w:pStyle w:val="NormalWeb"/>
              <w:spacing w:before="0" w:after="0"/>
              <w:ind w:right="13" w:firstLine="567"/>
              <w:jc w:val="both"/>
              <w:rPr>
                <w:sz w:val="20"/>
                <w:szCs w:val="20"/>
              </w:rPr>
            </w:pPr>
            <w:r w:rsidRPr="00F9152F">
              <w:rPr>
                <w:sz w:val="20"/>
                <w:szCs w:val="20"/>
              </w:rPr>
              <w:t>- uzskatot, ka prasījumu termiņi ir iestājušies;</w:t>
            </w:r>
          </w:p>
          <w:p w14:paraId="07E36BE0" w14:textId="77777777" w:rsidR="00691047" w:rsidRPr="00F9152F" w:rsidRDefault="00691047" w:rsidP="00691047">
            <w:pPr>
              <w:pStyle w:val="NormalWeb"/>
              <w:spacing w:before="0" w:after="0"/>
              <w:ind w:right="13" w:firstLine="567"/>
              <w:jc w:val="both"/>
              <w:rPr>
                <w:sz w:val="20"/>
                <w:szCs w:val="20"/>
              </w:rPr>
            </w:pPr>
            <w:r w:rsidRPr="00F9152F">
              <w:rPr>
                <w:sz w:val="20"/>
                <w:szCs w:val="20"/>
              </w:rPr>
              <w:t>- tiek noteikts prasījumu kopējais apmērs;</w:t>
            </w:r>
          </w:p>
          <w:p w14:paraId="3AAE2B32" w14:textId="77777777" w:rsidR="00691047" w:rsidRPr="00F9152F" w:rsidRDefault="00691047" w:rsidP="00691047">
            <w:pPr>
              <w:pStyle w:val="NormalWeb"/>
              <w:spacing w:before="0" w:after="0"/>
              <w:ind w:right="13" w:firstLine="567"/>
              <w:jc w:val="both"/>
              <w:rPr>
                <w:sz w:val="20"/>
                <w:szCs w:val="20"/>
              </w:rPr>
            </w:pPr>
            <w:r w:rsidRPr="00F9152F">
              <w:rPr>
                <w:sz w:val="20"/>
                <w:szCs w:val="20"/>
              </w:rPr>
              <w:t>- puse, kuras saistības ir lielākas, samaksā otrai pusei maksājamās summas pārsniegumu.</w:t>
            </w:r>
          </w:p>
          <w:p w14:paraId="46BBE731" w14:textId="77777777" w:rsidR="00691047" w:rsidRPr="00F9152F" w:rsidRDefault="00691047" w:rsidP="003F4963">
            <w:pPr>
              <w:pStyle w:val="NormalWeb"/>
              <w:spacing w:before="0" w:after="0"/>
              <w:ind w:right="13" w:firstLine="330"/>
              <w:jc w:val="both"/>
              <w:rPr>
                <w:sz w:val="20"/>
                <w:szCs w:val="20"/>
              </w:rPr>
            </w:pPr>
            <w:r w:rsidRPr="00F9152F">
              <w:rPr>
                <w:sz w:val="20"/>
                <w:szCs w:val="20"/>
              </w:rPr>
              <w:t>Tādējādi šāda instrumenta piemērošana var pasargāt puses no sistēmisko risku iestāšanās, ka otra puse neizpildīs savas saistības, bet pieprasīs otru pusi izpildīt savējās. Līdz ar to Likumprojekta mērķis ir sasniedzams, ja šāds instruments ir izmantojams abos virzienos, ko arī paredz izslēdzošā ieskaita definīcija.</w:t>
            </w:r>
          </w:p>
          <w:p w14:paraId="31A12E53" w14:textId="77777777" w:rsidR="00691047" w:rsidRPr="00F9152F" w:rsidRDefault="00691047" w:rsidP="003F4963">
            <w:pPr>
              <w:pStyle w:val="NormalWeb"/>
              <w:spacing w:before="0" w:after="0"/>
              <w:ind w:right="13" w:firstLine="330"/>
              <w:jc w:val="both"/>
              <w:rPr>
                <w:sz w:val="20"/>
                <w:szCs w:val="20"/>
              </w:rPr>
            </w:pPr>
            <w:r w:rsidRPr="00F9152F">
              <w:rPr>
                <w:sz w:val="20"/>
                <w:szCs w:val="20"/>
              </w:rPr>
              <w:t>Vienlaikus, ja aplūko Kredītiestāžu likuma (kredītiestādes ir Likumprojektā paredzētais subjekts), 158. pantu, tā pirmā daļa paredz izslēdzošā ieskaita piemērošanu tikai kredītiestādes prasījumiem, savukārt (3</w:t>
            </w:r>
            <w:r w:rsidRPr="00F9152F">
              <w:rPr>
                <w:sz w:val="20"/>
                <w:szCs w:val="20"/>
                <w:vertAlign w:val="superscript"/>
              </w:rPr>
              <w:t>2</w:t>
            </w:r>
            <w:r w:rsidRPr="00F9152F">
              <w:rPr>
                <w:sz w:val="20"/>
                <w:szCs w:val="20"/>
              </w:rPr>
              <w:t>) daļa paredz, ka kredītiestādes maksātnespējas procesā tās aizdevumu nevar dzēst ar aizņēmēja noguldījumu.</w:t>
            </w:r>
          </w:p>
          <w:p w14:paraId="0F7AF2BB" w14:textId="77777777" w:rsidR="00691047" w:rsidRPr="00F9152F" w:rsidRDefault="00691047" w:rsidP="003F4963">
            <w:pPr>
              <w:pStyle w:val="NormalWeb"/>
              <w:spacing w:before="0" w:after="0"/>
              <w:ind w:right="13" w:firstLine="330"/>
              <w:jc w:val="both"/>
              <w:rPr>
                <w:sz w:val="20"/>
                <w:szCs w:val="20"/>
              </w:rPr>
            </w:pPr>
            <w:r w:rsidRPr="00F9152F">
              <w:rPr>
                <w:sz w:val="20"/>
                <w:szCs w:val="20"/>
              </w:rPr>
              <w:t>Attiecībā uz 158. panta pirmo daļu nav skaidrs, vai šādos gadījumos ir runa, ka izslēdzošais ieskaits ir piemērojams tikai tad, ja faktiskā situācija ir atbilstoša kredītiestādes interesēm. T.i., ja kredītiestādei ir prasījumi, kurus varētu izmantot izslēdzošā ieskaita piemērošanai, tiek piemērots izslēdzošais ieskats. Savukārt, ja šādu prasījumu nav, bet atbilstoši prasījumi ir otrai pusei, izslēdzošo ieskaitu nav iespējams piemērot.</w:t>
            </w:r>
          </w:p>
          <w:p w14:paraId="7ABEBBD5" w14:textId="77777777" w:rsidR="00691047" w:rsidRPr="00F9152F" w:rsidRDefault="00691047" w:rsidP="003F4963">
            <w:pPr>
              <w:pStyle w:val="NormalWeb"/>
              <w:spacing w:before="0" w:after="0"/>
              <w:ind w:right="13" w:firstLine="330"/>
              <w:jc w:val="both"/>
              <w:rPr>
                <w:sz w:val="20"/>
                <w:szCs w:val="20"/>
              </w:rPr>
            </w:pPr>
            <w:r w:rsidRPr="00F9152F">
              <w:rPr>
                <w:sz w:val="20"/>
                <w:szCs w:val="20"/>
              </w:rPr>
              <w:t xml:space="preserve">Attiecībā uz aizdevumiem un noguldījumiem, kā zināms, kredītiestāžu regulējums paredz automātisku īpašuma tiesību maiņu uz jebkādiem līdzekļiem, kas nonāk kredītiestādes sistēmā, padarot tos par kredītiestādes līdzekļiem. Savukārt </w:t>
            </w:r>
            <w:r w:rsidRPr="00F9152F">
              <w:rPr>
                <w:sz w:val="20"/>
                <w:szCs w:val="20"/>
              </w:rPr>
              <w:lastRenderedPageBreak/>
              <w:t>bijušajam līdzekļu īpašniekam ir tikai prasījuma tiesības par šādiem līdzekļiem. Tādējādi jebkādi kredītiestādes kontā glabāti līdzekļi ir uzskatāmi par noguldījumu. Vienlaikus nav skaidrs jēdziena "kredītiestādes aizdevums" tvērums. Lai arī to varētu saistīt ar Civillikumā noteikto aizdevuma līgumu, pastāv bažas, ka tas varētu neatbilst faktiskai situācijai, ņemot vērā, ka Civillikums glabājuma gadījumā neparedz īpašuma tiesību maiņu, kamēr kredītiestādes glabātiem līdzekļiem īpašuma tiesību maiņa notiek un būtībā personas manta tiek konvertēta prasījumā. Šādā situācijā nav skaidrs, vai visi kredītiestādes prasījumi netiek uzskatīti par kredītiestādes aizdevumu, savukārt prasījumi pret kredītiestādi netiek uzskatīti par noguldījumu.</w:t>
            </w:r>
          </w:p>
          <w:p w14:paraId="0238DAA9" w14:textId="77777777" w:rsidR="00691047" w:rsidRPr="00F9152F" w:rsidRDefault="00691047" w:rsidP="003F4963">
            <w:pPr>
              <w:pStyle w:val="NormalWeb"/>
              <w:spacing w:before="0" w:after="0"/>
              <w:ind w:right="13" w:firstLine="330"/>
              <w:jc w:val="both"/>
              <w:rPr>
                <w:sz w:val="20"/>
                <w:szCs w:val="20"/>
              </w:rPr>
            </w:pPr>
            <w:r w:rsidRPr="00F9152F">
              <w:rPr>
                <w:sz w:val="20"/>
                <w:szCs w:val="20"/>
              </w:rPr>
              <w:t>Ja aprakstītajos aspektos pastāv stāvoklis, kurā būtība izslēdzošais ieskaits ir piemērojams tikai no kredītiestādes puses (būtībā vienpusēji), Likumprojekts pēc būtības neparedz sistēmisku risku mazināšanu, bet tikai dažu Likumprojekta subjektu pasargāšanu no šiem riskiem, pārliekot tos uz pārējiem sistēmas dalībniekiem. Tādējādi Likumprojekts maldinātu pārējos tā subjektus par izslēdzošo ieskaitu, kā efektīvu tiesisko instrumentu, ar kuru var mazināt sistēmisko risku iestāšanos. Šādā situācijā arī būtu korekti jādefinē Likumprojekta mērķis, atainojot tā būtību pasargāt noteiktus Likumprojekta subjektus no sistēmisko risku iestāšanās, pārliekot to sekas uz citiem Likumprojekta subjektiem.</w:t>
            </w:r>
          </w:p>
          <w:p w14:paraId="5A2937AC" w14:textId="77777777" w:rsidR="00691047" w:rsidRPr="00F9152F" w:rsidRDefault="00691047" w:rsidP="003F4963">
            <w:pPr>
              <w:pStyle w:val="NormalWeb"/>
              <w:spacing w:before="0" w:after="0"/>
              <w:ind w:right="13" w:firstLine="330"/>
              <w:jc w:val="both"/>
              <w:rPr>
                <w:sz w:val="20"/>
                <w:szCs w:val="20"/>
                <w:u w:val="single"/>
              </w:rPr>
            </w:pPr>
            <w:r w:rsidRPr="00F9152F">
              <w:rPr>
                <w:sz w:val="20"/>
                <w:szCs w:val="20"/>
              </w:rPr>
              <w:t xml:space="preserve">Ievērojot minēto, </w:t>
            </w:r>
            <w:r w:rsidRPr="00F9152F">
              <w:rPr>
                <w:sz w:val="20"/>
                <w:szCs w:val="20"/>
                <w:u w:val="single"/>
              </w:rPr>
              <w:t>lūdzam papildināt Likumprojekta anotāciju ar informāciju par izslēdzošā ieskaita piemērošanas praktisko iespējamību abām līguma pusēm, kā arī izvērtēt nepieciešamību precizēt Likumprojekta mērķi.</w:t>
            </w:r>
          </w:p>
          <w:p w14:paraId="7A4996C0" w14:textId="77777777" w:rsidR="00691047" w:rsidRPr="00F9152F" w:rsidRDefault="00691047" w:rsidP="00691047">
            <w:pPr>
              <w:pStyle w:val="NormalWeb"/>
              <w:spacing w:before="0" w:after="0"/>
              <w:ind w:right="13" w:firstLine="709"/>
              <w:jc w:val="both"/>
            </w:pPr>
          </w:p>
          <w:p w14:paraId="74294FB7" w14:textId="77777777" w:rsidR="000E106B" w:rsidRPr="00F9152F" w:rsidRDefault="000E106B" w:rsidP="000E106B">
            <w:pPr>
              <w:suppressAutoHyphens/>
              <w:spacing w:after="0" w:line="240" w:lineRule="auto"/>
              <w:jc w:val="both"/>
              <w:rPr>
                <w:rFonts w:ascii="Times New Roman" w:hAnsi="Times New Roman" w:cs="Times New Roman"/>
                <w:iCs/>
                <w:sz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6FE40501" w14:textId="77777777" w:rsidR="003777FB" w:rsidRPr="00F9152F" w:rsidRDefault="003777FB" w:rsidP="003F4963">
            <w:pPr>
              <w:pStyle w:val="NormalWeb"/>
              <w:spacing w:before="0" w:after="0"/>
              <w:ind w:right="13"/>
              <w:jc w:val="both"/>
              <w:rPr>
                <w:b/>
                <w:sz w:val="20"/>
                <w:szCs w:val="20"/>
              </w:rPr>
            </w:pPr>
            <w:r w:rsidRPr="00F9152F">
              <w:rPr>
                <w:b/>
                <w:sz w:val="20"/>
                <w:szCs w:val="20"/>
              </w:rPr>
              <w:lastRenderedPageBreak/>
              <w:t>Iebildums daļēji ņemts vērā.</w:t>
            </w:r>
          </w:p>
          <w:p w14:paraId="19A0FC5D" w14:textId="77777777" w:rsidR="00691047" w:rsidRPr="00F9152F" w:rsidRDefault="00D771BA" w:rsidP="003F4963">
            <w:pPr>
              <w:pStyle w:val="NormalWeb"/>
              <w:spacing w:before="0" w:after="0"/>
              <w:ind w:right="13" w:firstLine="341"/>
              <w:jc w:val="both"/>
              <w:rPr>
                <w:sz w:val="20"/>
                <w:szCs w:val="20"/>
              </w:rPr>
            </w:pPr>
            <w:r>
              <w:rPr>
                <w:b/>
                <w:sz w:val="20"/>
                <w:szCs w:val="20"/>
              </w:rPr>
              <w:t>2</w:t>
            </w:r>
            <w:r w:rsidR="00691047" w:rsidRPr="00F9152F">
              <w:rPr>
                <w:b/>
                <w:sz w:val="20"/>
                <w:szCs w:val="20"/>
              </w:rPr>
              <w:t>.1.</w:t>
            </w:r>
            <w:r w:rsidR="00691047" w:rsidRPr="00F9152F">
              <w:rPr>
                <w:sz w:val="20"/>
                <w:szCs w:val="20"/>
              </w:rPr>
              <w:t xml:space="preserve"> Par Likumprojekta mijiedarbību ar citiem likumiem skatīt iepriekš sniegtos komentārus pie </w:t>
            </w:r>
            <w:r w:rsidR="00662201">
              <w:rPr>
                <w:sz w:val="20"/>
                <w:szCs w:val="20"/>
              </w:rPr>
              <w:t>1</w:t>
            </w:r>
            <w:r w:rsidR="00691047" w:rsidRPr="00F9152F">
              <w:rPr>
                <w:sz w:val="20"/>
                <w:szCs w:val="20"/>
              </w:rPr>
              <w:t>.1.-</w:t>
            </w:r>
            <w:r w:rsidR="00662201">
              <w:rPr>
                <w:sz w:val="20"/>
                <w:szCs w:val="20"/>
              </w:rPr>
              <w:t>1</w:t>
            </w:r>
            <w:r w:rsidR="00691047" w:rsidRPr="00F9152F">
              <w:rPr>
                <w:sz w:val="20"/>
                <w:szCs w:val="20"/>
              </w:rPr>
              <w:t>.7.punkta.</w:t>
            </w:r>
          </w:p>
          <w:p w14:paraId="4FFE3F25" w14:textId="77777777" w:rsidR="00691047" w:rsidRPr="00F9152F" w:rsidRDefault="00D771BA" w:rsidP="003F4963">
            <w:pPr>
              <w:pStyle w:val="NormalWeb"/>
              <w:spacing w:before="0" w:after="0"/>
              <w:ind w:right="13" w:firstLine="341"/>
              <w:jc w:val="both"/>
              <w:rPr>
                <w:sz w:val="20"/>
                <w:szCs w:val="20"/>
              </w:rPr>
            </w:pPr>
            <w:r>
              <w:rPr>
                <w:b/>
                <w:sz w:val="20"/>
                <w:szCs w:val="20"/>
              </w:rPr>
              <w:t>2</w:t>
            </w:r>
            <w:r w:rsidR="00691047" w:rsidRPr="00F9152F">
              <w:rPr>
                <w:b/>
                <w:sz w:val="20"/>
                <w:szCs w:val="20"/>
              </w:rPr>
              <w:t>.2.</w:t>
            </w:r>
            <w:r w:rsidR="00691047" w:rsidRPr="00F9152F">
              <w:rPr>
                <w:sz w:val="20"/>
                <w:szCs w:val="20"/>
              </w:rPr>
              <w:t xml:space="preserve"> Vēršam uzmanību, ka šajā atzinuma punktā sniegtais viedoklis vairāk saistāms ar pastāvošā Kredītiestāžu likuma 158.panta regulējuma analīzi. Ņemot vērā kopumā atzinumā iztirzātos jautājumus, ir </w:t>
            </w:r>
            <w:r w:rsidR="00691047" w:rsidRPr="00F9152F">
              <w:rPr>
                <w:sz w:val="20"/>
                <w:szCs w:val="20"/>
              </w:rPr>
              <w:lastRenderedPageBreak/>
              <w:t>nepieciešams tālāk pievērsties arī esošajam Kredītiestāžu likuma regulējumam.</w:t>
            </w:r>
          </w:p>
          <w:p w14:paraId="67C95398" w14:textId="77777777" w:rsidR="00691047" w:rsidRPr="00F9152F" w:rsidRDefault="00691047" w:rsidP="003F4963">
            <w:pPr>
              <w:pStyle w:val="NormalWeb"/>
              <w:spacing w:before="0" w:after="0"/>
              <w:ind w:right="13" w:firstLine="341"/>
              <w:jc w:val="both"/>
              <w:rPr>
                <w:sz w:val="20"/>
                <w:szCs w:val="20"/>
              </w:rPr>
            </w:pPr>
            <w:r w:rsidRPr="00F9152F">
              <w:rPr>
                <w:sz w:val="20"/>
                <w:szCs w:val="20"/>
              </w:rPr>
              <w:t>Kredītiestāžu likuma 158.pantā tiek regulēti divi atšķirīgi tiesību institūti. Minētā panta pirmā, otrā, trešā un ceturtā daļa regulē izslēdzošā ieskaita (prasījumu un saistību neto ieskaita) piemērošanu kredītiestādes reorganizācijas un likvidācijas gadījumā. Termins prasījumu un saistību neto ieskaits ir definēts Kredītiestāžu likuma 1.panta 53.punktā.</w:t>
            </w:r>
          </w:p>
          <w:p w14:paraId="3198D04D" w14:textId="77777777" w:rsidR="00691047" w:rsidRPr="00F9152F" w:rsidRDefault="00691047" w:rsidP="003F4963">
            <w:pPr>
              <w:pStyle w:val="NormalWeb"/>
              <w:spacing w:before="0" w:after="0"/>
              <w:ind w:right="13" w:firstLine="341"/>
              <w:jc w:val="both"/>
              <w:rPr>
                <w:sz w:val="20"/>
                <w:szCs w:val="20"/>
              </w:rPr>
            </w:pPr>
            <w:r w:rsidRPr="00F9152F">
              <w:rPr>
                <w:sz w:val="20"/>
                <w:szCs w:val="20"/>
              </w:rPr>
              <w:t>Turpretī Kredītiestāžu likuma 158.panta trešajā</w:t>
            </w:r>
            <w:r w:rsidRPr="00F9152F">
              <w:rPr>
                <w:sz w:val="20"/>
                <w:szCs w:val="20"/>
                <w:vertAlign w:val="superscript"/>
              </w:rPr>
              <w:t>1</w:t>
            </w:r>
            <w:r w:rsidRPr="00F9152F">
              <w:rPr>
                <w:sz w:val="20"/>
                <w:szCs w:val="20"/>
              </w:rPr>
              <w:t xml:space="preserve"> un trešajā</w:t>
            </w:r>
            <w:r w:rsidRPr="00F9152F">
              <w:rPr>
                <w:sz w:val="20"/>
                <w:szCs w:val="20"/>
                <w:vertAlign w:val="superscript"/>
              </w:rPr>
              <w:t>2</w:t>
            </w:r>
            <w:r w:rsidRPr="00F9152F">
              <w:rPr>
                <w:sz w:val="20"/>
                <w:szCs w:val="20"/>
              </w:rPr>
              <w:t xml:space="preserve"> daļā tiek regulēta prasījumu un saistību dzēšana, kas ir definēta Kredītiestāžu likuma 1.panta 54.punktā. Termins „prasījumu un saistību dzēšana” pēc būtības atbilsts ieskaitam Civillikuma izpratnē.</w:t>
            </w:r>
          </w:p>
          <w:p w14:paraId="4E7BEAE5" w14:textId="77777777" w:rsidR="00691047" w:rsidRPr="00F9152F" w:rsidRDefault="00691047" w:rsidP="003F4963">
            <w:pPr>
              <w:pStyle w:val="NormalWeb"/>
              <w:spacing w:before="0" w:after="0"/>
              <w:ind w:right="13" w:firstLine="341"/>
              <w:jc w:val="both"/>
              <w:rPr>
                <w:sz w:val="20"/>
                <w:szCs w:val="20"/>
              </w:rPr>
            </w:pPr>
            <w:r w:rsidRPr="00F9152F">
              <w:rPr>
                <w:sz w:val="20"/>
                <w:szCs w:val="20"/>
              </w:rPr>
              <w:t xml:space="preserve">Kredītiestāžu likuma 158.panta pirmā daļa noteic, ka </w:t>
            </w:r>
            <w:r w:rsidRPr="00F9152F">
              <w:rPr>
                <w:i/>
                <w:sz w:val="20"/>
                <w:szCs w:val="20"/>
              </w:rPr>
              <w:t xml:space="preserve">„Reorganizācijas pasākumu vai likvidācijas darbību veikšana attiecībā uz kredītiestādi (arī tās filiāli) neietekmē prasījumu un saistību neto ieskaitu, atpakaļpirkumu un prasījumu un saistību dzēšanu vai citu tiesisku seku ziņā līdzīgu darbību izpildi, ja šādas darbības pieļauj likums attiecībā uz kredītiestādes prasījumiem.” </w:t>
            </w:r>
            <w:r w:rsidRPr="00F9152F">
              <w:rPr>
                <w:sz w:val="20"/>
                <w:szCs w:val="20"/>
              </w:rPr>
              <w:t xml:space="preserve">Minētajā normā būtiska ir norāde „ja šādas darbības pieļauj likums attiecībā uz kredītiestādes prasījumiem”. Pašlaik izslēdzošā ieskaita piemērošana kredītiestādēm ir iespējama saskaņā ar Finanšu nodrošinājuma likumu un likumu „Par norēķinu galīgumu maksājumu un finanšu instrumentu norēķinu sistēmās”. Līdz ar to minētā norma nodrošina, ka ne tikai kredītiestādes maksātnespējas gadījumā (kas izriet no iepriekš minētajiem likumiem), bet arī reorganizācijas un likvidācijas gadījumā (kas izriet no Kredītiestāžu likuma) izslēdzošais ieskaits var tikt piemērots. Tā kā ar Likumprojektu tiek pieļauta izslēdzošā ieskaita piemērošana darījumiem ar atvasinātajiem finanšu instrumentiem un spot darījumiem, tad atbilstoši Kredītiestāžu likuma 158.panta pirmajai daļai reorganizācijas pasākumu vai likvidācijas darbību veikšana neietekmēs izslēdzošā ieskaita piemērošanu </w:t>
            </w:r>
            <w:r w:rsidR="00E26F3F">
              <w:rPr>
                <w:sz w:val="20"/>
                <w:szCs w:val="20"/>
              </w:rPr>
              <w:t>arī šajos</w:t>
            </w:r>
            <w:r w:rsidRPr="00F9152F">
              <w:rPr>
                <w:sz w:val="20"/>
                <w:szCs w:val="20"/>
              </w:rPr>
              <w:t xml:space="preserve"> </w:t>
            </w:r>
            <w:r w:rsidR="00E26F3F">
              <w:rPr>
                <w:sz w:val="20"/>
                <w:szCs w:val="20"/>
              </w:rPr>
              <w:t>gadījumos</w:t>
            </w:r>
            <w:r w:rsidRPr="00F9152F">
              <w:rPr>
                <w:sz w:val="20"/>
                <w:szCs w:val="20"/>
              </w:rPr>
              <w:t>.</w:t>
            </w:r>
          </w:p>
          <w:p w14:paraId="02EF33A1" w14:textId="77777777" w:rsidR="00691047" w:rsidRPr="00F9152F" w:rsidRDefault="00691047" w:rsidP="003F4963">
            <w:pPr>
              <w:pStyle w:val="NormalWeb"/>
              <w:spacing w:before="0" w:after="0"/>
              <w:ind w:firstLine="341"/>
              <w:jc w:val="both"/>
              <w:rPr>
                <w:sz w:val="20"/>
                <w:szCs w:val="20"/>
                <w:lang w:eastAsia="en-US"/>
              </w:rPr>
            </w:pPr>
            <w:r w:rsidRPr="00F9152F">
              <w:rPr>
                <w:sz w:val="20"/>
                <w:szCs w:val="20"/>
              </w:rPr>
              <w:t>Kas attiecas uz Kredītiestāžu likuma 158.panta trešajā</w:t>
            </w:r>
            <w:r w:rsidRPr="00F9152F">
              <w:rPr>
                <w:sz w:val="20"/>
                <w:szCs w:val="20"/>
                <w:vertAlign w:val="superscript"/>
              </w:rPr>
              <w:t>1</w:t>
            </w:r>
            <w:r w:rsidRPr="00F9152F">
              <w:rPr>
                <w:sz w:val="20"/>
                <w:szCs w:val="20"/>
              </w:rPr>
              <w:t xml:space="preserve"> daļā noteikto, tad minētā norma, lai arī regulē </w:t>
            </w:r>
            <w:r w:rsidRPr="00F9152F">
              <w:rPr>
                <w:sz w:val="20"/>
                <w:szCs w:val="20"/>
              </w:rPr>
              <w:lastRenderedPageBreak/>
              <w:t xml:space="preserve">ieskaitu, pēc būtības ir tāda, kas varētu kavēt izslēdzošā ieskaita piemērošanu gadījumos, kad līdzējs, kas nav kredītiestāde, ir otra līdzēja – kredītiestādes – klients. Lai izslēdzošā ieskaita piemērošana būtu iespējama gadījumos, kad tiek slēgti kvalificētie finanšu darījumi, Likumprojektā ir iekļauta 9.panta otrā daļa, kas noteic, ka </w:t>
            </w:r>
            <w:r w:rsidRPr="00F9152F">
              <w:rPr>
                <w:i/>
                <w:sz w:val="20"/>
                <w:szCs w:val="20"/>
              </w:rPr>
              <w:t>„</w:t>
            </w:r>
            <w:r w:rsidRPr="00F9152F">
              <w:rPr>
                <w:i/>
                <w:sz w:val="20"/>
                <w:szCs w:val="20"/>
                <w:lang w:eastAsia="en-US"/>
              </w:rPr>
              <w:t xml:space="preserve">Izslēdzošā ieskaita līguma noteikumu tiesisko spēku neietekmē Maksātnespējas likumā un Kredītiestāžu likumā noteiktie ieskaita ierobežojumi.” </w:t>
            </w:r>
            <w:r w:rsidRPr="00F9152F">
              <w:rPr>
                <w:sz w:val="20"/>
                <w:szCs w:val="20"/>
                <w:lang w:eastAsia="en-US"/>
              </w:rPr>
              <w:t xml:space="preserve">Tā kā Kredītiestāžu likumā termina </w:t>
            </w:r>
            <w:r w:rsidRPr="00F9152F">
              <w:rPr>
                <w:sz w:val="20"/>
                <w:szCs w:val="20"/>
              </w:rPr>
              <w:t>„</w:t>
            </w:r>
            <w:r w:rsidRPr="00F9152F">
              <w:rPr>
                <w:sz w:val="20"/>
                <w:szCs w:val="20"/>
                <w:lang w:eastAsia="en-US"/>
              </w:rPr>
              <w:t xml:space="preserve">ieskaits” vietā tiek lietots termins </w:t>
            </w:r>
            <w:r w:rsidRPr="00F9152F">
              <w:rPr>
                <w:sz w:val="20"/>
                <w:szCs w:val="20"/>
              </w:rPr>
              <w:t>„</w:t>
            </w:r>
            <w:r w:rsidRPr="00F9152F">
              <w:rPr>
                <w:sz w:val="20"/>
                <w:szCs w:val="20"/>
                <w:lang w:eastAsia="en-US"/>
              </w:rPr>
              <w:t xml:space="preserve">prasījumu un saistību dzēšana”, tad precizētā Likumprojekta 9.panta otro daļa pēc vārdiem </w:t>
            </w:r>
            <w:r w:rsidRPr="00F9152F">
              <w:rPr>
                <w:sz w:val="20"/>
                <w:szCs w:val="20"/>
              </w:rPr>
              <w:t>„</w:t>
            </w:r>
            <w:r w:rsidRPr="00F9152F">
              <w:rPr>
                <w:sz w:val="20"/>
                <w:szCs w:val="20"/>
                <w:lang w:eastAsia="en-US"/>
              </w:rPr>
              <w:t xml:space="preserve">ieskaita” ir papildināta ar vārdiem </w:t>
            </w:r>
            <w:r w:rsidRPr="00F9152F">
              <w:rPr>
                <w:sz w:val="20"/>
                <w:szCs w:val="20"/>
              </w:rPr>
              <w:t>„</w:t>
            </w:r>
            <w:r w:rsidRPr="00F9152F">
              <w:rPr>
                <w:sz w:val="20"/>
                <w:szCs w:val="20"/>
                <w:lang w:eastAsia="en-US"/>
              </w:rPr>
              <w:t>, prasījumu un saistību dzēšanas vai tiem līdzvērtīgi”.</w:t>
            </w:r>
          </w:p>
          <w:p w14:paraId="2D9C5233" w14:textId="77777777" w:rsidR="00691047" w:rsidRPr="00F9152F" w:rsidRDefault="00691047" w:rsidP="003F4963">
            <w:pPr>
              <w:pStyle w:val="NormalWeb"/>
              <w:spacing w:before="0" w:after="0"/>
              <w:ind w:right="13" w:firstLine="341"/>
              <w:jc w:val="both"/>
              <w:rPr>
                <w:sz w:val="20"/>
                <w:szCs w:val="20"/>
              </w:rPr>
            </w:pPr>
            <w:r w:rsidRPr="00F9152F">
              <w:rPr>
                <w:sz w:val="20"/>
                <w:szCs w:val="20"/>
              </w:rPr>
              <w:t>Kredītiestāžu likuma 158.panta trešā</w:t>
            </w:r>
            <w:r w:rsidRPr="00F9152F">
              <w:rPr>
                <w:sz w:val="20"/>
                <w:szCs w:val="20"/>
                <w:vertAlign w:val="superscript"/>
              </w:rPr>
              <w:t>2</w:t>
            </w:r>
            <w:r w:rsidRPr="00F9152F">
              <w:rPr>
                <w:sz w:val="20"/>
                <w:szCs w:val="20"/>
              </w:rPr>
              <w:t xml:space="preserve"> daļa savukārt noteic, ka </w:t>
            </w:r>
            <w:r w:rsidRPr="00F9152F">
              <w:rPr>
                <w:i/>
                <w:sz w:val="20"/>
                <w:szCs w:val="20"/>
              </w:rPr>
              <w:t xml:space="preserve">„Kredītiestādes maksātnespējas procesā nav pieļaujama kredītiestādes izsniegtā aizdevuma savstarpēja dzēšana ar noguldījumu.” </w:t>
            </w:r>
            <w:r w:rsidRPr="00F9152F">
              <w:rPr>
                <w:sz w:val="20"/>
                <w:szCs w:val="20"/>
              </w:rPr>
              <w:t>Saistībā ar atzinumā norādīto atzīmējams sekojošais. Pirmkārt, kreditēšana ir kredītiestādes sniegts finanšu pakalpojums. Tas nav darījums ar atvasinātajiem finanšu instrumentiem vai spot darījums, līdz ar to atbilstoši Likumprojektam tas nav kvalificētais finanšu darījums. Tikai kvalificēto finanšu darījumu gadījumā Likumprojekts pieļauj izslēdzošā ieskaita piemērošanu. Otrkārt, piemērojot izslēdzošo ieskaitu, tiek ieskaitīti tikai pušu savstarpējie prasījumi. Izslēdzošā ieskaita piemērošana nekādi neietekmē personas kontā esošos līdzekļus, jo tie nav prasījumi, bet gan cita veida aktīvi. Arī pašlaik, piemērojot izslēdzošo ieskaitu atbilstoši Finanšu nodrošinājuma likuma un likuma „Par norēķinu galīgumu maksājumu un finanšu instrumentu norēķinu sistēmās” regulējumam, ieskaitam ir pakļauti tikai pušu savstarpējie prasījumi, bet kontos esošie līdzekļi netiek aizskarti.</w:t>
            </w:r>
          </w:p>
          <w:p w14:paraId="610A3689" w14:textId="77777777" w:rsidR="00691047" w:rsidRPr="00F9152F" w:rsidRDefault="00D771BA" w:rsidP="003F4963">
            <w:pPr>
              <w:pStyle w:val="NormalWeb"/>
              <w:spacing w:before="0" w:after="0"/>
              <w:ind w:right="13" w:firstLine="341"/>
              <w:jc w:val="both"/>
              <w:rPr>
                <w:sz w:val="20"/>
                <w:szCs w:val="20"/>
                <w:shd w:val="clear" w:color="auto" w:fill="FFFFFF"/>
              </w:rPr>
            </w:pPr>
            <w:r>
              <w:rPr>
                <w:b/>
                <w:sz w:val="20"/>
                <w:szCs w:val="20"/>
              </w:rPr>
              <w:t>2</w:t>
            </w:r>
            <w:r w:rsidR="00691047" w:rsidRPr="00F9152F">
              <w:rPr>
                <w:b/>
                <w:sz w:val="20"/>
                <w:szCs w:val="20"/>
              </w:rPr>
              <w:t>.3.</w:t>
            </w:r>
            <w:r w:rsidR="00691047" w:rsidRPr="00F9152F">
              <w:rPr>
                <w:sz w:val="20"/>
                <w:szCs w:val="20"/>
              </w:rPr>
              <w:t xml:space="preserve"> Nevar piekrist atzinumā norādītajam, ka „</w:t>
            </w:r>
            <w:r w:rsidR="00691047" w:rsidRPr="00F9152F">
              <w:rPr>
                <w:i/>
                <w:sz w:val="20"/>
                <w:szCs w:val="20"/>
              </w:rPr>
              <w:t xml:space="preserve">Likumprojekts pēc būtības neparedz sistēmisku risku mazināšanu, bet tikai dažu Likumprojekta subjektu pasargāšanu no šiem riskiem, pārliekot tos uz pārējiem sistēmas dalībniekiem.” </w:t>
            </w:r>
            <w:r w:rsidR="00691047" w:rsidRPr="00F9152F">
              <w:rPr>
                <w:sz w:val="20"/>
                <w:szCs w:val="20"/>
              </w:rPr>
              <w:t xml:space="preserve">Attiecībā uz šo </w:t>
            </w:r>
            <w:r w:rsidR="00691047" w:rsidRPr="00F9152F">
              <w:rPr>
                <w:sz w:val="20"/>
                <w:szCs w:val="20"/>
              </w:rPr>
              <w:lastRenderedPageBreak/>
              <w:t>komentāru paskaidrojam</w:t>
            </w:r>
            <w:r w:rsidR="00F6067B" w:rsidRPr="00F9152F">
              <w:rPr>
                <w:sz w:val="20"/>
                <w:szCs w:val="20"/>
              </w:rPr>
              <w:t>s</w:t>
            </w:r>
            <w:r w:rsidR="00691047" w:rsidRPr="00F9152F">
              <w:rPr>
                <w:sz w:val="20"/>
                <w:szCs w:val="20"/>
              </w:rPr>
              <w:t>, ka izslēdzošā ieskaita piemērošanas darījumiem ar atvasinātajiem finanšu instrumentiem mērķis ir aizsargāt nevis konkrēti kādu vienu subjektu, piemēram, kredītiestādi, bet to līguma pusi, kurai nav maksātspējas problēmu gadījumos, kad otra puse nepilda saistības vai iestājas otras puses maksātnespēja. Atbils</w:t>
            </w:r>
            <w:r w:rsidR="00E26F3F">
              <w:rPr>
                <w:sz w:val="20"/>
                <w:szCs w:val="20"/>
              </w:rPr>
              <w:t>toši Likumprojekta 4.panta otrās daļas 1.punktam</w:t>
            </w:r>
            <w:r w:rsidR="00691047" w:rsidRPr="00F9152F">
              <w:rPr>
                <w:sz w:val="20"/>
                <w:szCs w:val="20"/>
              </w:rPr>
              <w:t xml:space="preserve"> ir paredzēts, ka izslēdzošo ieskaitu var piemērot gadījumos, kad viena līguma puse ir 4.panta pirmajā daļā minētie subjekti, bet otrs līdzējs ir </w:t>
            </w:r>
            <w:r w:rsidR="00691047" w:rsidRPr="00F9152F">
              <w:rPr>
                <w:color w:val="000000" w:themeColor="text1"/>
                <w:sz w:val="20"/>
                <w:szCs w:val="20"/>
              </w:rPr>
              <w:t>fiziska persona, kas nav patērētājs Patērētāju tiesību aizsardzības likuma izpratnē, juridiska vai cita persona vai šo personu apvienība. Ja maksātnespējīga kļūs kredītiestāde, tad kredītrisks tiek samazināts attiecīgi otram līdzējam, kas var būt fiziska vai juridiska persona, un otrādi, ja maksātnespējīga kļūst fiziskā vai juridiskā persona, tad kredītrisks tiek samazināts kredītiestādei. Tādējādi izslēdzošais ieskaits efektīvi ir piemērojams abos virzienos. Kredītriska samazināšana maksātspējīgajam līdzējam ir ieguvums visai finanšu sistēmai kopumā, jo tiek samazināts</w:t>
            </w:r>
            <w:r w:rsidR="00691047" w:rsidRPr="00F9152F">
              <w:rPr>
                <w:i/>
                <w:color w:val="000000" w:themeColor="text1"/>
                <w:sz w:val="20"/>
                <w:szCs w:val="20"/>
              </w:rPr>
              <w:t xml:space="preserve"> </w:t>
            </w:r>
            <w:r w:rsidR="00691047" w:rsidRPr="00F9152F">
              <w:rPr>
                <w:color w:val="000000" w:themeColor="text1"/>
                <w:sz w:val="20"/>
                <w:szCs w:val="20"/>
              </w:rPr>
              <w:t xml:space="preserve">sistēmiskais </w:t>
            </w:r>
            <w:r w:rsidR="00691047" w:rsidRPr="00F9152F">
              <w:rPr>
                <w:sz w:val="20"/>
                <w:szCs w:val="20"/>
              </w:rPr>
              <w:t>risks, t.i., r</w:t>
            </w:r>
            <w:r w:rsidR="00691047" w:rsidRPr="00F9152F">
              <w:rPr>
                <w:sz w:val="20"/>
                <w:szCs w:val="20"/>
                <w:shd w:val="clear" w:color="auto" w:fill="FFFFFF"/>
              </w:rPr>
              <w:t>isks, ka viena finanšu tirgus dalībnieka nespēja izpildīt savas saistības izraisīs citu dalībnieku vai finanšu iestāžu nespēju noteiktajā laikā izpildīt savas saistības, kas var radīt tālāku ķēdes reakciju.</w:t>
            </w:r>
          </w:p>
          <w:p w14:paraId="5FDB059A" w14:textId="77777777" w:rsidR="00691047" w:rsidRPr="00F9152F" w:rsidRDefault="00691047" w:rsidP="003F4963">
            <w:pPr>
              <w:pStyle w:val="NormalWeb"/>
              <w:spacing w:before="0" w:after="0"/>
              <w:ind w:right="13" w:firstLine="341"/>
              <w:jc w:val="both"/>
              <w:rPr>
                <w:sz w:val="20"/>
                <w:szCs w:val="20"/>
              </w:rPr>
            </w:pPr>
            <w:r w:rsidRPr="00F9152F">
              <w:rPr>
                <w:sz w:val="20"/>
                <w:szCs w:val="20"/>
              </w:rPr>
              <w:t>Attiecībā uz atzinumā norādīto, ka</w:t>
            </w:r>
            <w:r w:rsidRPr="00F9152F">
              <w:rPr>
                <w:i/>
                <w:sz w:val="20"/>
                <w:szCs w:val="20"/>
              </w:rPr>
              <w:t xml:space="preserve"> „</w:t>
            </w:r>
            <w:r w:rsidR="00E26F3F" w:rsidRPr="00E26F3F">
              <w:rPr>
                <w:i/>
                <w:sz w:val="20"/>
                <w:szCs w:val="20"/>
              </w:rPr>
              <w:t xml:space="preserve">Šādā situācijā arī būtu korekti jādefinē </w:t>
            </w:r>
            <w:r w:rsidRPr="00F9152F">
              <w:rPr>
                <w:i/>
                <w:sz w:val="20"/>
                <w:szCs w:val="20"/>
              </w:rPr>
              <w:t>Likumprojekta mērķis, atainojot tā būtību pasargāt noteiktus Likumprojekta subjektus no sistēmisko risku iestāšanās, pārliekot to sekas uz citiem Likumprojekta subjektiem”</w:t>
            </w:r>
            <w:r w:rsidRPr="00F9152F">
              <w:rPr>
                <w:sz w:val="20"/>
                <w:szCs w:val="20"/>
              </w:rPr>
              <w:t xml:space="preserve"> paskaidrojams, ka izslēdzošā ieskaita piemērošana samazina konkrētam individualizējamam maksātspējīgajam līdzējam tikai kredītrisku, bet plašākā mērogā tas samazina sistēmisko risku finanšu tirgum kopumā. Izslēdzošā ieskaita piemērošana nepārliek sekas uz citiem Likumprojekta subjektiem. Vienlaikus gan ir jāņem vērā, ka izslēdzošā ieskaita piemērošana ietekmē citus maksātnespējīgā līdzēja kreditorus. Tā kā izslēdzošā ieskaita līguma subjekti bauda privilēģiju izbeigt visus atvasināto finanšu instrumentu darījumus (arī </w:t>
            </w:r>
            <w:r w:rsidRPr="00F9152F">
              <w:rPr>
                <w:sz w:val="20"/>
                <w:szCs w:val="20"/>
              </w:rPr>
              <w:lastRenderedPageBreak/>
              <w:t xml:space="preserve">tādus kuru izpildes termiņš vēl nav iestājies) un piemērot ieskaitu </w:t>
            </w:r>
            <w:r w:rsidR="00662201">
              <w:rPr>
                <w:sz w:val="20"/>
                <w:szCs w:val="20"/>
              </w:rPr>
              <w:t>savstarpējo prasījumu un saistību</w:t>
            </w:r>
            <w:r w:rsidR="00F6067B" w:rsidRPr="00F9152F">
              <w:rPr>
                <w:sz w:val="20"/>
                <w:szCs w:val="20"/>
              </w:rPr>
              <w:t xml:space="preserve"> apmērā</w:t>
            </w:r>
            <w:r w:rsidRPr="00F9152F">
              <w:rPr>
                <w:sz w:val="20"/>
                <w:szCs w:val="20"/>
              </w:rPr>
              <w:t>, tad tas atstāj negatīvas sekas pārējo kreditoru kopumam. Atbilstoši maksātnespējas regulējumam gadījumos, kad maksātnespējīgajai sabiedrībai naudas līdzekļu nepietiek, lai pilnībā apmierinātu visus kreditoru prasījumus, attiecīgie prasījumi apmierināmi proporcionāli summai, kas pienākas katram kreditoram. Izslēdzošā ieskaita piemērošanas gadījumā tiek ietekmēta proporcija, kādā apmierinājumu saņem kreditors, kas izmantojis tiesību piemērot izslēdzošo ieskaitu, un apmierinājumu, kādu saņem pārējie kreditori.</w:t>
            </w:r>
          </w:p>
          <w:p w14:paraId="7072CAFF" w14:textId="77777777" w:rsidR="00691047" w:rsidRPr="00F9152F" w:rsidRDefault="00691047" w:rsidP="003F4963">
            <w:pPr>
              <w:pStyle w:val="NormalWeb"/>
              <w:spacing w:before="0" w:after="0"/>
              <w:ind w:right="13" w:firstLine="341"/>
              <w:jc w:val="both"/>
              <w:rPr>
                <w:sz w:val="20"/>
                <w:szCs w:val="20"/>
              </w:rPr>
            </w:pPr>
            <w:r w:rsidRPr="00F9152F">
              <w:rPr>
                <w:sz w:val="20"/>
                <w:szCs w:val="20"/>
              </w:rPr>
              <w:t>Vienkāršoti situāciju raksturo šāds piemērs, kur maksātnespējīgajai sabiedrībai A ir prasījums, kas izriet no atvasināto finanšu instrumentu darījumiem pret B 6 miljonu apmērā, bet B ir prasījums, kas izriet no atvasināto finanšu instrumentu darījumiem, pret A 8 miljonu apmērā. Pārējam nenodrošināto kreditoru kopumam C ir prasījumi pret A 8 miljonu apmērā. Turklāt maksātnespējīgajai sabiedrībai B ir citi aktīvi 2 miljonu vērtībā. Atbilstoši šobrīd spēkā esošajam regulējumam maksātnespējas gadījumā A aktīvu vērtība būtu vienāda ar 8 (6+2) miljoniem. Kā nenodrošinātie kreditori būtu B ar prasījumu 8 miljonu apmērā un pārējie kreditori C ar prasījumiem 8 miljonu apmērā. Tādējādi, proporcionāli apmierinot visu nenodrošināto kreditoru prasījumus, B saņemtu 4 miljonus un arī C saņemtu 4 miljonus.  Savukārt, piemērojot izslēdzošo ieskaitu, B tiktu atzītas tiesības uz 6 miljoniem. Pēc tam, proporcionāli sadalot pārējos 2 miljonus nenodrošināto kreditoru prasījumu segšanai, B saņemtu 2/10 jeb 0,4 miljonus, bet C saņemtu 8/10 jeb 1,6 miljonus.</w:t>
            </w:r>
          </w:p>
          <w:p w14:paraId="7EE2819C" w14:textId="77777777" w:rsidR="00BB5BE0" w:rsidRDefault="00691047" w:rsidP="003F4963">
            <w:pPr>
              <w:pStyle w:val="NormalWeb"/>
              <w:spacing w:before="0" w:after="0"/>
              <w:ind w:right="13" w:firstLine="341"/>
              <w:jc w:val="both"/>
              <w:rPr>
                <w:sz w:val="20"/>
                <w:szCs w:val="20"/>
              </w:rPr>
            </w:pPr>
            <w:r w:rsidRPr="00F9152F">
              <w:rPr>
                <w:sz w:val="20"/>
                <w:szCs w:val="20"/>
              </w:rPr>
              <w:t xml:space="preserve">Rezumējot norādīto, izslēdzošā ieskaita piemērošana rada atkāpes no maksātnespēju regulējošajos tiesību aktos nostiprinātā visu kreditoru vienlīdzības principa, jo kreditors, kurš ir tiesīgs piemērot izslēdzošo ieskaitu, atrodas labākā situācijā par citiem kreditoriem, kuriem tādu tiesību nav. Taču šādu ekskluzīvu tiesību piešķiršana atsevišķiem </w:t>
            </w:r>
            <w:r w:rsidRPr="00F9152F">
              <w:rPr>
                <w:sz w:val="20"/>
                <w:szCs w:val="20"/>
              </w:rPr>
              <w:lastRenderedPageBreak/>
              <w:t>finanšu tirgus dalībniekiem, ir nepieciešama, lai mazinātu sistēmisko risku finanšu sistēmai kopumā.</w:t>
            </w:r>
          </w:p>
          <w:p w14:paraId="529329F1" w14:textId="77777777" w:rsidR="00A2379A" w:rsidRPr="00A2379A" w:rsidRDefault="00A2379A" w:rsidP="003F4963">
            <w:pPr>
              <w:pStyle w:val="NormalWeb"/>
              <w:spacing w:before="0" w:after="0"/>
              <w:ind w:right="13" w:firstLine="341"/>
              <w:jc w:val="both"/>
              <w:rPr>
                <w:bCs/>
                <w:sz w:val="20"/>
                <w:szCs w:val="20"/>
              </w:rPr>
            </w:pPr>
            <w:r w:rsidRPr="00A2379A">
              <w:rPr>
                <w:sz w:val="20"/>
                <w:szCs w:val="20"/>
              </w:rPr>
              <w:t>Ņemot vērā atzinumā norādīto, Likumprojekta anotācijas II.sadaļa</w:t>
            </w:r>
            <w:r>
              <w:rPr>
                <w:sz w:val="20"/>
                <w:szCs w:val="20"/>
              </w:rPr>
              <w:t>s 2.punkts</w:t>
            </w:r>
            <w:r w:rsidRPr="00A2379A">
              <w:rPr>
                <w:sz w:val="20"/>
                <w:szCs w:val="20"/>
              </w:rPr>
              <w:t xml:space="preserve"> „Tiesiskā regulējuma ietekme uz tautsaimniecību un administratīvo slogu” ir papildināta ar attiecīgo skaidrojumu</w:t>
            </w:r>
            <w:r w:rsidR="00A01CE4">
              <w:rPr>
                <w:sz w:val="20"/>
                <w:szCs w:val="20"/>
              </w:rPr>
              <w:t xml:space="preserve"> par to</w:t>
            </w:r>
            <w:r w:rsidRPr="00A2379A">
              <w:rPr>
                <w:sz w:val="20"/>
                <w:szCs w:val="20"/>
              </w:rPr>
              <w:t>, kā Likumprojekts ietekmēs pārējo kreditoru kopumu.</w:t>
            </w:r>
          </w:p>
        </w:tc>
        <w:tc>
          <w:tcPr>
            <w:tcW w:w="712" w:type="pct"/>
            <w:tcBorders>
              <w:top w:val="single" w:sz="4" w:space="0" w:color="auto"/>
              <w:left w:val="single" w:sz="4" w:space="0" w:color="auto"/>
              <w:bottom w:val="single" w:sz="4" w:space="0" w:color="auto"/>
              <w:right w:val="single" w:sz="4" w:space="0" w:color="auto"/>
            </w:tcBorders>
          </w:tcPr>
          <w:p w14:paraId="72BCEE85" w14:textId="77777777" w:rsidR="002E2F03" w:rsidRPr="00F9152F" w:rsidRDefault="002E2F03" w:rsidP="002E2F03">
            <w:pPr>
              <w:spacing w:after="0" w:line="240" w:lineRule="auto"/>
              <w:jc w:val="both"/>
              <w:rPr>
                <w:rFonts w:ascii="Times New Roman" w:hAnsi="Times New Roman"/>
                <w:b/>
                <w:bCs/>
                <w:color w:val="000000" w:themeColor="text1"/>
                <w:sz w:val="20"/>
                <w:szCs w:val="20"/>
              </w:rPr>
            </w:pPr>
            <w:r w:rsidRPr="00F9152F">
              <w:rPr>
                <w:rFonts w:ascii="Times New Roman" w:hAnsi="Times New Roman"/>
                <w:b/>
                <w:bCs/>
                <w:color w:val="000000" w:themeColor="text1"/>
                <w:sz w:val="20"/>
                <w:szCs w:val="20"/>
              </w:rPr>
              <w:lastRenderedPageBreak/>
              <w:t xml:space="preserve">Likumprojekta 9.panta otrā daļa izteikta šādā redakcijā: </w:t>
            </w:r>
          </w:p>
          <w:p w14:paraId="55175AB4" w14:textId="77777777" w:rsidR="002E2F03" w:rsidRPr="00F9152F" w:rsidRDefault="002E2F03" w:rsidP="002E2F03">
            <w:pPr>
              <w:spacing w:after="0" w:line="240" w:lineRule="auto"/>
              <w:jc w:val="both"/>
              <w:rPr>
                <w:rFonts w:ascii="Times New Roman" w:eastAsia="Times New Roman" w:hAnsi="Times New Roman"/>
                <w:i/>
                <w:color w:val="000000" w:themeColor="text1"/>
                <w:sz w:val="20"/>
                <w:szCs w:val="20"/>
              </w:rPr>
            </w:pPr>
            <w:r w:rsidRPr="00F9152F">
              <w:rPr>
                <w:rFonts w:ascii="Times New Roman" w:eastAsia="Times New Roman" w:hAnsi="Times New Roman"/>
                <w:i/>
                <w:color w:val="000000" w:themeColor="text1"/>
                <w:sz w:val="20"/>
                <w:szCs w:val="20"/>
              </w:rPr>
              <w:t xml:space="preserve">„(2) Izslēdzošā ieskaita līguma noteikumu tiesisko spēku neietekmē Maksātnespējas likumā un Kredītiestāžu likumā noteiktie </w:t>
            </w:r>
            <w:r w:rsidRPr="00F9152F">
              <w:rPr>
                <w:rFonts w:ascii="Times New Roman" w:eastAsia="Times New Roman" w:hAnsi="Times New Roman"/>
                <w:i/>
                <w:sz w:val="20"/>
                <w:szCs w:val="20"/>
              </w:rPr>
              <w:t xml:space="preserve">ieskaita, </w:t>
            </w:r>
            <w:r w:rsidRPr="00F9152F">
              <w:rPr>
                <w:rFonts w:ascii="Times New Roman" w:hAnsi="Times New Roman"/>
                <w:i/>
                <w:sz w:val="20"/>
                <w:szCs w:val="20"/>
                <w:shd w:val="clear" w:color="auto" w:fill="FFFFFF"/>
              </w:rPr>
              <w:t xml:space="preserve">prasījumu un </w:t>
            </w:r>
            <w:r w:rsidRPr="00F9152F">
              <w:rPr>
                <w:rFonts w:ascii="Times New Roman" w:hAnsi="Times New Roman"/>
                <w:i/>
                <w:sz w:val="20"/>
                <w:szCs w:val="20"/>
                <w:shd w:val="clear" w:color="auto" w:fill="FFFFFF"/>
              </w:rPr>
              <w:lastRenderedPageBreak/>
              <w:t>saistību dzēšanas vai tiem līdzvērtīgi</w:t>
            </w:r>
            <w:r w:rsidRPr="00F9152F">
              <w:rPr>
                <w:rFonts w:ascii="Times New Roman" w:eastAsia="Times New Roman" w:hAnsi="Times New Roman"/>
                <w:i/>
                <w:sz w:val="20"/>
                <w:szCs w:val="20"/>
              </w:rPr>
              <w:t xml:space="preserve"> ierobežojumi</w:t>
            </w:r>
            <w:r w:rsidRPr="00F9152F">
              <w:rPr>
                <w:rFonts w:ascii="Times New Roman" w:eastAsia="Times New Roman" w:hAnsi="Times New Roman"/>
                <w:i/>
                <w:color w:val="000000" w:themeColor="text1"/>
                <w:sz w:val="20"/>
                <w:szCs w:val="20"/>
              </w:rPr>
              <w:t xml:space="preserve">.” </w:t>
            </w:r>
          </w:p>
          <w:p w14:paraId="7BFF84ED" w14:textId="77777777" w:rsidR="000E106B" w:rsidRPr="00F9152F" w:rsidRDefault="000E106B" w:rsidP="009F6647">
            <w:pPr>
              <w:spacing w:after="0" w:line="240" w:lineRule="auto"/>
              <w:jc w:val="both"/>
              <w:rPr>
                <w:rFonts w:ascii="Times New Roman" w:eastAsia="Times New Roman" w:hAnsi="Times New Roman" w:cs="Times New Roman"/>
                <w:sz w:val="20"/>
                <w:lang w:eastAsia="lv-LV"/>
              </w:rPr>
            </w:pPr>
          </w:p>
          <w:p w14:paraId="149B7AA0" w14:textId="77777777" w:rsidR="003777FB" w:rsidRPr="00F9152F" w:rsidRDefault="003777FB" w:rsidP="009F6647">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Likumprojekta anotācija papildināta ar šādu rindkopu:</w:t>
            </w:r>
          </w:p>
          <w:p w14:paraId="2BBC0FC9" w14:textId="77777777" w:rsidR="003777FB" w:rsidRPr="00F9152F" w:rsidRDefault="003777FB" w:rsidP="003777FB">
            <w:pPr>
              <w:pStyle w:val="NormalWeb"/>
              <w:spacing w:before="0" w:after="0"/>
              <w:ind w:right="13"/>
              <w:jc w:val="both"/>
              <w:rPr>
                <w:i/>
                <w:sz w:val="20"/>
                <w:szCs w:val="20"/>
                <w:shd w:val="clear" w:color="auto" w:fill="FFFFFF"/>
              </w:rPr>
            </w:pPr>
            <w:r w:rsidRPr="00F9152F">
              <w:rPr>
                <w:i/>
                <w:sz w:val="20"/>
                <w:szCs w:val="20"/>
              </w:rPr>
              <w:t>„Izslēdzošā ieskaita piemērošanas kvalificētajiem finanšu darījumiem mērķis ir aizsargāt nevis konkrēti kādu vienu subjektu, piemēram, kredītiestādi, bet to līdzēju kuram nav maksātspējas problēmu gadījumos, kad otrs līdzējs nepilda saistības vai iestājas otra līdzēja maksātnespēja. Atbilstoši Likumprojekta 4.panta otr</w:t>
            </w:r>
            <w:r w:rsidR="00E80BF3" w:rsidRPr="00F9152F">
              <w:rPr>
                <w:i/>
                <w:sz w:val="20"/>
                <w:szCs w:val="20"/>
              </w:rPr>
              <w:t>ās daļas 1.punktam</w:t>
            </w:r>
            <w:r w:rsidRPr="00F9152F">
              <w:rPr>
                <w:i/>
                <w:sz w:val="20"/>
                <w:szCs w:val="20"/>
              </w:rPr>
              <w:t xml:space="preserve"> ir paredzēts, ka izslēdzošo ieskaitu var piemērot gadījumos, kad viens līdzējs ir 4.panta pirmajā daļā minētais subjekts, piemēram, kredītiestāde, bet otrs līdzējs ir </w:t>
            </w:r>
            <w:r w:rsidRPr="00F9152F">
              <w:rPr>
                <w:i/>
                <w:color w:val="000000" w:themeColor="text1"/>
                <w:sz w:val="20"/>
                <w:szCs w:val="20"/>
              </w:rPr>
              <w:t xml:space="preserve">juridiska persona. Ja maksātnespējīga kļūs kredītiestāde, tad kredītrisks tiek samazināts attiecīgi otram līdzējam juridiskajai personai, un otrādi, ja maksātnespējīga kļūst juridiskā persona, tad kredītrisks tiek samazināts kredītiestādei. Tādējādi izslēdzošais ieskaits efektīvi ir piemērojams abos virzienos. Kredītriska samazināšana maksātspējīgajam līdzējam ir ieguvums visai finanšu sistēmai kopumā, jo tiek samazināts sistēmiskais </w:t>
            </w:r>
            <w:r w:rsidRPr="00F9152F">
              <w:rPr>
                <w:i/>
                <w:sz w:val="20"/>
                <w:szCs w:val="20"/>
              </w:rPr>
              <w:t>risks, t.i., r</w:t>
            </w:r>
            <w:r w:rsidRPr="00F9152F">
              <w:rPr>
                <w:i/>
                <w:sz w:val="20"/>
                <w:szCs w:val="20"/>
                <w:shd w:val="clear" w:color="auto" w:fill="FFFFFF"/>
              </w:rPr>
              <w:t xml:space="preserve">isks, ka viena finanšu </w:t>
            </w:r>
            <w:r w:rsidRPr="00F9152F">
              <w:rPr>
                <w:i/>
                <w:sz w:val="20"/>
                <w:szCs w:val="20"/>
                <w:shd w:val="clear" w:color="auto" w:fill="FFFFFF"/>
              </w:rPr>
              <w:lastRenderedPageBreak/>
              <w:t>tirgus dalībnieka nespēja izpildīt savas saistības izraisīs citu dalībnieku vai finanšu iestāžu nespēju noteiktajā laikā izpildīt savas saistības, kas var radīt tālāku ķēdes reakciju.”</w:t>
            </w:r>
          </w:p>
          <w:p w14:paraId="68B66CAE" w14:textId="77777777" w:rsidR="003777FB" w:rsidRDefault="003777FB" w:rsidP="0062723C">
            <w:pPr>
              <w:spacing w:before="120" w:after="120" w:line="240" w:lineRule="auto"/>
              <w:jc w:val="both"/>
              <w:rPr>
                <w:rFonts w:ascii="Times New Roman" w:eastAsia="Times New Roman" w:hAnsi="Times New Roman" w:cs="Times New Roman"/>
                <w:sz w:val="20"/>
                <w:szCs w:val="20"/>
                <w:lang w:eastAsia="lv-LV"/>
              </w:rPr>
            </w:pPr>
          </w:p>
          <w:p w14:paraId="3974472C" w14:textId="77777777" w:rsidR="0062723C" w:rsidRPr="00F9152F" w:rsidRDefault="0062723C" w:rsidP="0062723C">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Likumprojekta anotācija papildināta ar šādu rindkopu:</w:t>
            </w:r>
          </w:p>
          <w:p w14:paraId="3CDB3568" w14:textId="77777777" w:rsidR="0062723C" w:rsidRPr="0062723C" w:rsidRDefault="0062723C" w:rsidP="0062723C">
            <w:pPr>
              <w:pStyle w:val="ListParagraph"/>
              <w:tabs>
                <w:tab w:val="left" w:pos="317"/>
              </w:tabs>
              <w:spacing w:before="120" w:after="120" w:line="240" w:lineRule="auto"/>
              <w:ind w:left="34"/>
              <w:contextualSpacing w:val="0"/>
              <w:jc w:val="both"/>
              <w:rPr>
                <w:rFonts w:ascii="Times New Roman" w:hAnsi="Times New Roman" w:cs="Times New Roman"/>
                <w:i/>
                <w:sz w:val="20"/>
                <w:szCs w:val="20"/>
              </w:rPr>
            </w:pPr>
            <w:r w:rsidRPr="0062723C">
              <w:rPr>
                <w:rFonts w:ascii="Times New Roman" w:hAnsi="Times New Roman" w:cs="Times New Roman"/>
                <w:i/>
                <w:sz w:val="20"/>
                <w:szCs w:val="20"/>
              </w:rPr>
              <w:t>„Atbilstoši spēkā esošajam maksātnespējas regulējumam gadījumos, kad maksātnespējīgajai sabiedrībai naudas līdzekļu nepietiek, lai pilnībā apmierinātu visus kreditoru prasījumus, attiecīgie prasījumi apmierināmi proporcionāli summai, kas pienākas katram kreditoram. Izslēdzošā ieskaita piemērošanas gadījumā tiek ietekmēta proporcija, kādā apmierinājumu saņem kreditors, kas izmantojis tiesību piemērot izslēdzošo ieskaitu, un apmierinājumu, kādu saņem pārējie kreditori. Līdz ar to izslēdzošā ieskaita piemērošana negatīvi ietekmēs maksātnespējīgās sabiedrības pārējo kreditoru, kuriem nav tiesības piemērot izslēdzošo ieskaitu, kopumu.”</w:t>
            </w:r>
          </w:p>
          <w:p w14:paraId="409CA921" w14:textId="77777777" w:rsidR="0062723C" w:rsidRPr="00F9152F" w:rsidRDefault="0062723C" w:rsidP="009F6647">
            <w:pPr>
              <w:spacing w:after="0" w:line="240" w:lineRule="auto"/>
              <w:jc w:val="both"/>
              <w:rPr>
                <w:rFonts w:ascii="Times New Roman" w:eastAsia="Times New Roman" w:hAnsi="Times New Roman" w:cs="Times New Roman"/>
                <w:sz w:val="20"/>
                <w:lang w:eastAsia="lv-LV"/>
              </w:rPr>
            </w:pPr>
          </w:p>
        </w:tc>
      </w:tr>
      <w:tr w:rsidR="00DA470C" w:rsidRPr="00F9152F" w14:paraId="21FC54AE"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D603FA7" w14:textId="77777777" w:rsidR="00DA470C" w:rsidRPr="00F9152F" w:rsidRDefault="00DA470C"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076926E" w14:textId="77777777" w:rsidR="003777FB" w:rsidRPr="00F9152F" w:rsidRDefault="003777FB" w:rsidP="003777FB">
            <w:pPr>
              <w:spacing w:after="0" w:line="240" w:lineRule="auto"/>
              <w:jc w:val="both"/>
              <w:rPr>
                <w:rFonts w:ascii="Times New Roman" w:eastAsia="Times New Roman" w:hAnsi="Times New Roman"/>
                <w:color w:val="000000" w:themeColor="text1"/>
                <w:sz w:val="20"/>
                <w:szCs w:val="20"/>
              </w:rPr>
            </w:pPr>
            <w:r w:rsidRPr="00F9152F">
              <w:rPr>
                <w:rFonts w:ascii="Times New Roman" w:hAnsi="Times New Roman"/>
                <w:b/>
                <w:color w:val="000000" w:themeColor="text1"/>
                <w:sz w:val="20"/>
                <w:szCs w:val="20"/>
              </w:rPr>
              <w:t>8. pants. Izslēdzošā ieskaita piemērošana</w:t>
            </w:r>
          </w:p>
          <w:p w14:paraId="1FDC589C" w14:textId="77777777" w:rsidR="003777FB" w:rsidRPr="00F9152F" w:rsidRDefault="003777FB" w:rsidP="003777FB">
            <w:pPr>
              <w:spacing w:after="0" w:line="240" w:lineRule="auto"/>
              <w:jc w:val="both"/>
              <w:rPr>
                <w:rFonts w:ascii="Times New Roman" w:eastAsia="Times New Roman" w:hAnsi="Times New Roman"/>
                <w:sz w:val="20"/>
                <w:szCs w:val="20"/>
              </w:rPr>
            </w:pPr>
            <w:r w:rsidRPr="00F9152F">
              <w:rPr>
                <w:rFonts w:ascii="Times New Roman" w:hAnsi="Times New Roman"/>
                <w:sz w:val="20"/>
                <w:szCs w:val="20"/>
              </w:rPr>
              <w:t xml:space="preserve">(2) Izslēdzošā ieskaita piemērošanas gadījumā nav piemērojami nekādi normatīvajos aktos ietverti noteikumi, kas attiecas uz </w:t>
            </w:r>
            <w:r w:rsidRPr="00F9152F">
              <w:rPr>
                <w:rFonts w:ascii="Times New Roman" w:eastAsia="Times New Roman" w:hAnsi="Times New Roman"/>
                <w:sz w:val="20"/>
                <w:szCs w:val="20"/>
              </w:rPr>
              <w:t xml:space="preserve">tiesiskās aizsardzības, </w:t>
            </w:r>
            <w:r w:rsidRPr="00F9152F">
              <w:rPr>
                <w:rFonts w:ascii="Times New Roman" w:hAnsi="Times New Roman"/>
                <w:sz w:val="20"/>
                <w:szCs w:val="20"/>
              </w:rPr>
              <w:t>maksātnespējas vai likvidācijas procesu, attiecībām ar kreditoriem, līdzekļu apsaimniekošanu vai saglabāšanu vai jebkādu citu ar maksātnespēju saistītu pasākumu, kā arī nekādi citi normatīvajos aktos paredzēti noteikumi, kas varētu tikt piemēroti parādniekam un radīt šķēršļus izslēdzošā ieskaita piemērošanai.</w:t>
            </w:r>
          </w:p>
          <w:p w14:paraId="6340198F" w14:textId="77777777" w:rsidR="00DA470C" w:rsidRPr="00F9152F" w:rsidRDefault="00DA470C"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2D216854" w14:textId="77777777" w:rsidR="00691047" w:rsidRPr="00F9152F" w:rsidRDefault="00691047" w:rsidP="003F4963">
            <w:pPr>
              <w:pStyle w:val="NormalWeb"/>
              <w:spacing w:before="0" w:after="0"/>
              <w:ind w:right="13" w:firstLine="330"/>
              <w:jc w:val="both"/>
              <w:rPr>
                <w:sz w:val="20"/>
                <w:szCs w:val="20"/>
              </w:rPr>
            </w:pPr>
            <w:r w:rsidRPr="00F9152F">
              <w:rPr>
                <w:sz w:val="20"/>
                <w:szCs w:val="20"/>
              </w:rPr>
              <w:t>Likumprojekta 8. pants regulē izslēdzošā ieskaita piemērošanu. 8. panta otrā daļa paredz, ka: "Izslēdzošā ieskaita piemērošanas gadījumā nav piemērojami nekādi normatīvajos aktos ietverti noteikumi, kas attiecas uz tiesiskās aizsardzības, maksātnespējas vai likvidācijas procesu, attiecībām ar kreditoriem, līdzekļu apsaimniekošanu vai saglabāšanu vai jebkādu citu ar maksātnespēju saistītu pasākumu, kā arī nekādi citi normatīvajos aktos paredzēti noteikumi, kas varētu tikt piemēroti parādniekam un radīt šķēršļus izslēdzošā ieskaita piemērošanai."</w:t>
            </w:r>
          </w:p>
          <w:p w14:paraId="75AC2F23" w14:textId="77777777" w:rsidR="00691047" w:rsidRPr="00F9152F" w:rsidRDefault="00691047" w:rsidP="003F4963">
            <w:pPr>
              <w:pStyle w:val="NormalWeb"/>
              <w:spacing w:before="0" w:after="0"/>
              <w:ind w:right="13" w:firstLine="330"/>
              <w:jc w:val="both"/>
              <w:rPr>
                <w:sz w:val="20"/>
                <w:szCs w:val="20"/>
              </w:rPr>
            </w:pPr>
            <w:r w:rsidRPr="00F9152F">
              <w:rPr>
                <w:sz w:val="20"/>
                <w:szCs w:val="20"/>
              </w:rPr>
              <w:t xml:space="preserve">Kā izriet no Likumprojekta, izslēdzošais ieskaits ir paredzēts, kā līgumu brīvības principa ietvaros izmantojams instruments, kura saturu, tai skaitā tā piemērošanas gadījumus (izpildes notikumu), nosaka pašas puses. Līdz ar to izslēdzošais ieskaits ir piemērojams tikai tādos gadījumos, kādus puses pašas ir noteikušas. Kā noprotams no Likumprojekta, 8. panta noteikumi ir paredzēti, lai tajā minētie šķēršļi neapturētu izslēdzošā ieskaita piemērošanu pušu paredzētajos gadījumos. Bet Likumprojekta 8. panta noteikumi nekonstituē patstāvīgus izslēdzošā ieskaita piemērošanas gadījumus. T.i., 8. pantā noteiktie izslēdzošā ieskaita piemērošanas noteikumi ir izmantojami tikai tad, ja ir saistīti ar pušu noteikto izpildes notikumu. Savukārt, ja konkrēts notikums nav noteikts, kā izpildes notikums (piemēram, puses maksātnespēja), 8. panta noteikumi patstāvīgi nekonstituē gadījumu, kurā izslēdzošais ieskaits ir piemērojams. Minētajam ir jābūt skaidri noprotamam no Likumprojekta anotācijas, jo, pastāvot izslēdzošā ieskaita instrumentam, ir skaidrs, ka atbilstošos apstākļos (kad tas ir </w:t>
            </w:r>
            <w:r w:rsidRPr="00F9152F">
              <w:rPr>
                <w:sz w:val="20"/>
                <w:szCs w:val="20"/>
              </w:rPr>
              <w:lastRenderedPageBreak/>
              <w:t>saimnieciski izdevīgi) konkrētai saistību pusei būs vēlme piemērot izslēdzošo ieskaitu arī tad, ja konkrētais gadījums nav ietverts kā izpildes notikums noslēgtajā izslēdzošā ieskaita līgumā. Minētais būtu atbilstoši atainojams Likumprojekta anotācijā, kurā šobrīd ir aprakstīts tikai 8. panta saturs, bet ne tā mijiedarbība ar pašu izslēdzošā ieskaita līgumu.</w:t>
            </w:r>
          </w:p>
          <w:p w14:paraId="69993CA3" w14:textId="77777777" w:rsidR="00691047" w:rsidRPr="00F9152F" w:rsidRDefault="00691047" w:rsidP="003F4963">
            <w:pPr>
              <w:pStyle w:val="NormalWeb"/>
              <w:spacing w:before="0" w:after="0"/>
              <w:ind w:right="13" w:firstLine="330"/>
              <w:jc w:val="both"/>
              <w:rPr>
                <w:sz w:val="20"/>
                <w:szCs w:val="20"/>
                <w:u w:val="single"/>
              </w:rPr>
            </w:pPr>
            <w:r w:rsidRPr="00F9152F">
              <w:rPr>
                <w:sz w:val="20"/>
                <w:szCs w:val="20"/>
              </w:rPr>
              <w:t xml:space="preserve">Ievērojot minēto, </w:t>
            </w:r>
            <w:r w:rsidRPr="00F9152F">
              <w:rPr>
                <w:sz w:val="20"/>
                <w:szCs w:val="20"/>
                <w:u w:val="single"/>
              </w:rPr>
              <w:t>lūdzam papildināt Likumprojekta anotāciju, skaidri atainojot izslēdzošā ieskaita darbības modeli un tā sasaisti ar pašu pušu definētajiem izpildes notikumiem.</w:t>
            </w:r>
          </w:p>
          <w:p w14:paraId="36B81AD9" w14:textId="77777777" w:rsidR="00DA470C" w:rsidRPr="00F9152F" w:rsidRDefault="00DA470C" w:rsidP="000E106B">
            <w:pPr>
              <w:suppressAutoHyphens/>
              <w:spacing w:after="0" w:line="240" w:lineRule="auto"/>
              <w:jc w:val="both"/>
              <w:rPr>
                <w:rFonts w:ascii="Times New Roman" w:hAnsi="Times New Roman" w:cs="Times New Roman"/>
                <w:iCs/>
                <w:sz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4FEAC44F" w14:textId="77777777" w:rsidR="00691047" w:rsidRPr="00F9152F" w:rsidRDefault="00691047" w:rsidP="003F4963">
            <w:pPr>
              <w:pStyle w:val="NormalWeb"/>
              <w:spacing w:before="0" w:after="0"/>
              <w:ind w:right="13"/>
              <w:jc w:val="both"/>
              <w:rPr>
                <w:b/>
                <w:sz w:val="20"/>
                <w:szCs w:val="20"/>
              </w:rPr>
            </w:pPr>
            <w:r w:rsidRPr="00F9152F">
              <w:rPr>
                <w:b/>
                <w:sz w:val="20"/>
                <w:szCs w:val="20"/>
              </w:rPr>
              <w:lastRenderedPageBreak/>
              <w:t>Iebildums ņemts vērā.</w:t>
            </w:r>
          </w:p>
          <w:p w14:paraId="7C79DD7E" w14:textId="77777777" w:rsidR="00691047" w:rsidRPr="00F9152F" w:rsidRDefault="00D771BA" w:rsidP="003F4963">
            <w:pPr>
              <w:pStyle w:val="NormalWeb"/>
              <w:spacing w:before="0" w:after="0"/>
              <w:ind w:right="13" w:firstLine="341"/>
              <w:jc w:val="both"/>
              <w:rPr>
                <w:sz w:val="20"/>
                <w:szCs w:val="20"/>
              </w:rPr>
            </w:pPr>
            <w:r>
              <w:rPr>
                <w:b/>
                <w:sz w:val="20"/>
                <w:szCs w:val="20"/>
              </w:rPr>
              <w:t>3</w:t>
            </w:r>
            <w:r w:rsidR="00691047" w:rsidRPr="00F9152F">
              <w:rPr>
                <w:b/>
                <w:sz w:val="20"/>
                <w:szCs w:val="20"/>
              </w:rPr>
              <w:t>.1.</w:t>
            </w:r>
            <w:r w:rsidR="00691047" w:rsidRPr="00F9152F">
              <w:rPr>
                <w:sz w:val="20"/>
                <w:szCs w:val="20"/>
              </w:rPr>
              <w:t xml:space="preserve"> Atzinumā ir pareizi norādīts, ka Likumprojekta 8.panta noteikumi nekonstituē patstāvīgus izslēdzošā ieskaita piemērošanas gadījumus, jo tie ir ietverti izslēdzošā ieskaita līgumā (Master Agreement). Likumprojekta 5.pantā šis mehānisms ir pietiekami detalizēti atainots, nosakot, ka </w:t>
            </w:r>
            <w:r w:rsidR="00691047" w:rsidRPr="00F9152F">
              <w:rPr>
                <w:i/>
                <w:sz w:val="20"/>
                <w:szCs w:val="20"/>
              </w:rPr>
              <w:t>„</w:t>
            </w:r>
            <w:r w:rsidR="00691047" w:rsidRPr="00F9152F">
              <w:rPr>
                <w:i/>
                <w:color w:val="000000" w:themeColor="text1"/>
                <w:sz w:val="20"/>
                <w:szCs w:val="20"/>
              </w:rPr>
              <w:t>Izslēdzošais ieskaits ir divpusējas vienošanās (izslēdzošā ieskaita līguma) noteikumi, kuru piemērošana</w:t>
            </w:r>
            <w:r w:rsidR="00691047" w:rsidRPr="00F9152F">
              <w:rPr>
                <w:i/>
                <w:sz w:val="20"/>
                <w:szCs w:val="20"/>
              </w:rPr>
              <w:t>, iestājoties izpildes notikumam, var tikt uzsākta vai nu ar viena līdzēja paziņojumu otram, vai automātiski [..].”</w:t>
            </w:r>
            <w:r w:rsidR="00691047" w:rsidRPr="00F9152F">
              <w:rPr>
                <w:sz w:val="20"/>
                <w:szCs w:val="20"/>
              </w:rPr>
              <w:t xml:space="preserve"> Termina „</w:t>
            </w:r>
            <w:r w:rsidR="00691047" w:rsidRPr="00F9152F">
              <w:rPr>
                <w:bCs/>
                <w:color w:val="000000" w:themeColor="text1"/>
                <w:sz w:val="20"/>
                <w:szCs w:val="20"/>
              </w:rPr>
              <w:t>izpildes notikums”</w:t>
            </w:r>
            <w:r w:rsidR="00691047" w:rsidRPr="00F9152F">
              <w:rPr>
                <w:b/>
                <w:bCs/>
                <w:color w:val="000000" w:themeColor="text1"/>
                <w:sz w:val="20"/>
                <w:szCs w:val="20"/>
              </w:rPr>
              <w:t xml:space="preserve"> </w:t>
            </w:r>
            <w:r w:rsidR="00691047" w:rsidRPr="00F9152F">
              <w:rPr>
                <w:color w:val="000000" w:themeColor="text1"/>
                <w:sz w:val="20"/>
                <w:szCs w:val="20"/>
              </w:rPr>
              <w:t xml:space="preserve">skaidrojums savukārt ir sniegts Likumprojekta 1.panta pirmās daļas 2.punktā, t.i., </w:t>
            </w:r>
            <w:r w:rsidR="00691047" w:rsidRPr="00F9152F">
              <w:rPr>
                <w:i/>
                <w:color w:val="000000" w:themeColor="text1"/>
                <w:sz w:val="20"/>
                <w:szCs w:val="20"/>
              </w:rPr>
              <w:t>„notikums, par ko līdzēji vienojušies, ka, tam iestājoties, puses piemēro izslēdzošo ieskaitu saskaņā ar izslēdzošā ieskaita līguma noteikumiem.”</w:t>
            </w:r>
            <w:r w:rsidR="00691047" w:rsidRPr="00F9152F">
              <w:rPr>
                <w:color w:val="000000" w:themeColor="text1"/>
                <w:sz w:val="20"/>
                <w:szCs w:val="20"/>
              </w:rPr>
              <w:t xml:space="preserve"> Tādējādi Likumprojekta 5.panta regulējums kopsakarā ar 1.panta pirmās daļas 2.punktu nepieļauj tādu interpretāciju, ka </w:t>
            </w:r>
            <w:r w:rsidR="00691047" w:rsidRPr="00F9152F">
              <w:rPr>
                <w:sz w:val="20"/>
                <w:szCs w:val="20"/>
              </w:rPr>
              <w:t>atbilstošos apstākļos (kad tas ir saimnieciski izdevīgi) viens līdzējs varētu piemērot izslēdzošo ieskaitu arī tad, ja konkrētais gadījums nav ietverts kā izpildes notikums noslēgtajā izslēdzošā ieskaita līgumā (Master Agreement).</w:t>
            </w:r>
          </w:p>
          <w:p w14:paraId="6A331FF6" w14:textId="77777777" w:rsidR="00691047" w:rsidRPr="00F9152F" w:rsidRDefault="00D771BA" w:rsidP="003F4963">
            <w:pPr>
              <w:pStyle w:val="NormalWeb"/>
              <w:spacing w:before="0" w:after="0"/>
              <w:ind w:right="13" w:firstLine="341"/>
              <w:jc w:val="both"/>
              <w:rPr>
                <w:sz w:val="20"/>
                <w:szCs w:val="20"/>
              </w:rPr>
            </w:pPr>
            <w:r>
              <w:rPr>
                <w:b/>
                <w:sz w:val="20"/>
                <w:szCs w:val="20"/>
              </w:rPr>
              <w:t>3</w:t>
            </w:r>
            <w:r w:rsidR="00691047" w:rsidRPr="00F9152F">
              <w:rPr>
                <w:b/>
                <w:sz w:val="20"/>
                <w:szCs w:val="20"/>
              </w:rPr>
              <w:t>.2.</w:t>
            </w:r>
            <w:r w:rsidR="00691047" w:rsidRPr="00F9152F">
              <w:rPr>
                <w:sz w:val="20"/>
                <w:szCs w:val="20"/>
              </w:rPr>
              <w:t xml:space="preserve"> Lai vēl skaidrāk izskaidrotu izslēdzošā ieskaita piemērošanas mehānismu, anotācija </w:t>
            </w:r>
            <w:r w:rsidR="00A928BA" w:rsidRPr="00F9152F">
              <w:rPr>
                <w:sz w:val="20"/>
                <w:szCs w:val="20"/>
              </w:rPr>
              <w:t xml:space="preserve">attiecībā uz Likumprojekta 8.panta regulējumu ir </w:t>
            </w:r>
            <w:r w:rsidR="00691047" w:rsidRPr="00F9152F">
              <w:rPr>
                <w:sz w:val="20"/>
                <w:szCs w:val="20"/>
              </w:rPr>
              <w:t xml:space="preserve">papildināta ar šādu teikumu: </w:t>
            </w:r>
            <w:r w:rsidR="00691047" w:rsidRPr="00F9152F">
              <w:rPr>
                <w:i/>
                <w:sz w:val="20"/>
                <w:szCs w:val="20"/>
              </w:rPr>
              <w:t>„Minētā norma ir piemērojama kopsakarā ar Likumprojekta 5.pantu un 1.panta pirmās daļas 2.punktu, proti, gadījumos, ja līdzēji izslēdzošā ieskaita līgumā ir tieši paredzējuši, ka tiesiskās aizsardzības, maksātnespējas vai likvidācijas process ir izpildes notikums, kuram iestājoties, var tikt piemērots izslēdzošais ieskaits.”</w:t>
            </w:r>
          </w:p>
          <w:p w14:paraId="465DFD81" w14:textId="77777777" w:rsidR="00DA470C" w:rsidRPr="00F9152F" w:rsidRDefault="00DA470C" w:rsidP="00DA470C">
            <w:pPr>
              <w:spacing w:after="0" w:line="240" w:lineRule="auto"/>
              <w:jc w:val="both"/>
              <w:rPr>
                <w:rFonts w:ascii="Times New Roman" w:eastAsia="Times New Roman" w:hAnsi="Times New Roman" w:cs="Times New Roman"/>
                <w:bCs/>
                <w:sz w:val="20"/>
                <w:lang w:eastAsia="lv-LV"/>
              </w:rPr>
            </w:pPr>
          </w:p>
        </w:tc>
        <w:tc>
          <w:tcPr>
            <w:tcW w:w="712" w:type="pct"/>
            <w:tcBorders>
              <w:top w:val="single" w:sz="4" w:space="0" w:color="auto"/>
              <w:left w:val="single" w:sz="4" w:space="0" w:color="auto"/>
              <w:bottom w:val="single" w:sz="4" w:space="0" w:color="auto"/>
              <w:right w:val="single" w:sz="4" w:space="0" w:color="auto"/>
            </w:tcBorders>
          </w:tcPr>
          <w:p w14:paraId="1ED30F3D" w14:textId="77777777" w:rsidR="00DA470C" w:rsidRPr="00F9152F" w:rsidRDefault="00691047" w:rsidP="009F6647">
            <w:pPr>
              <w:spacing w:after="0" w:line="240" w:lineRule="auto"/>
              <w:jc w:val="both"/>
              <w:rPr>
                <w:rFonts w:ascii="Times New Roman" w:eastAsia="Times New Roman" w:hAnsi="Times New Roman" w:cs="Times New Roman"/>
                <w:sz w:val="20"/>
                <w:lang w:eastAsia="lv-LV"/>
              </w:rPr>
            </w:pPr>
            <w:r w:rsidRPr="00F9152F">
              <w:rPr>
                <w:rFonts w:ascii="Times New Roman" w:hAnsi="Times New Roman" w:cs="Times New Roman"/>
                <w:sz w:val="20"/>
                <w:szCs w:val="20"/>
              </w:rPr>
              <w:t xml:space="preserve">Likumprojekta anotācija papildināta ar šādu teikumu: </w:t>
            </w:r>
            <w:r w:rsidRPr="00F9152F">
              <w:rPr>
                <w:rFonts w:ascii="Times New Roman" w:hAnsi="Times New Roman" w:cs="Times New Roman"/>
                <w:i/>
                <w:sz w:val="20"/>
                <w:szCs w:val="20"/>
              </w:rPr>
              <w:t>„Minētā norma ir piemērojama kopsakarā ar Likumprojekta 5.pantu un 1.panta pirmās daļas 2.punktu, proti, gadījumos, ja līdzēji izslēdzošā ieskaita līgumā ir tieši paredzējuši, ka tiesiskās aizsardzības, maksātnespējas vai likvidācijas process ir izpildes notikums, kuram iestājoties, var tikt piemērots izslēdzošais ieskaits.”</w:t>
            </w:r>
          </w:p>
        </w:tc>
      </w:tr>
      <w:tr w:rsidR="00DA470C" w:rsidRPr="00F9152F" w14:paraId="01B85246"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8494F8E" w14:textId="77777777" w:rsidR="00DA470C" w:rsidRPr="00F9152F" w:rsidRDefault="00DA470C"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F7DEB34" w14:textId="77777777" w:rsidR="00DA470C" w:rsidRPr="00F9152F" w:rsidRDefault="00BD0B0F" w:rsidP="00614FD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t>Vispārīgs iebildums</w:t>
            </w:r>
          </w:p>
        </w:tc>
        <w:tc>
          <w:tcPr>
            <w:tcW w:w="1153" w:type="pct"/>
            <w:tcBorders>
              <w:top w:val="single" w:sz="6" w:space="0" w:color="000000"/>
              <w:left w:val="single" w:sz="6" w:space="0" w:color="000000"/>
              <w:bottom w:val="single" w:sz="6" w:space="0" w:color="000000"/>
              <w:right w:val="single" w:sz="6" w:space="0" w:color="000000"/>
            </w:tcBorders>
          </w:tcPr>
          <w:p w14:paraId="7CB503F3" w14:textId="77777777" w:rsidR="00A928BA" w:rsidRPr="00F9152F" w:rsidRDefault="00A928BA" w:rsidP="003F4963">
            <w:pPr>
              <w:pStyle w:val="NormalWeb"/>
              <w:spacing w:before="0" w:after="0"/>
              <w:ind w:right="13" w:firstLine="330"/>
              <w:jc w:val="both"/>
              <w:rPr>
                <w:sz w:val="20"/>
                <w:szCs w:val="20"/>
              </w:rPr>
            </w:pPr>
            <w:r w:rsidRPr="00F9152F">
              <w:rPr>
                <w:sz w:val="20"/>
                <w:szCs w:val="20"/>
              </w:rPr>
              <w:t>Vēršam uzmanību, ka no Likumprojekta nav skaidra tā savstarpējā mijiedarbība ar cesiju. Kā izriet no Likumprojekta sistēmas, izslēdzošā ieskaita izmantošanai tiek slēgts atsevišķs līgums, kas paredz izslēdzošā ieskaita piemērošanu konkrētos gadījumos noteiktas jomas pušu savstarpējiem prasījumiem. Savukārt prasījumi var izrietēt no viena vai neierobežota skaita pušu starpā noslēgtiem darījumiem. Tādējādi izslēdzošā ieskaita vienošanās pēc būtības mēģina minētos darījumus "saslēgt" kopā vienotā tiesiskā attiecībā, kuras rezultātā pastāv tika viens prasījums katrai pusei. Vienlaikus nepastāv nekādi visus darījumus un izslēdzošā ieskaita līgumu sasaistoši mehānismi. Katrs no minētajiem vēl joprojām ir atsevišķs darījums un no tā izrietošās tiesības ietilps pušu mantas sastāvā. Ar savu mantu puses var rīkoties atbilstoši vispārējo civiltiesību regulējumam.</w:t>
            </w:r>
          </w:p>
          <w:p w14:paraId="47658E38" w14:textId="77777777" w:rsidR="00A928BA" w:rsidRPr="00F9152F" w:rsidRDefault="00A928BA" w:rsidP="003F4963">
            <w:pPr>
              <w:pStyle w:val="NormalWeb"/>
              <w:spacing w:before="0" w:after="0"/>
              <w:ind w:right="13" w:firstLine="330"/>
              <w:jc w:val="both"/>
              <w:rPr>
                <w:sz w:val="20"/>
                <w:szCs w:val="20"/>
              </w:rPr>
            </w:pPr>
            <w:r w:rsidRPr="00F9152F">
              <w:rPr>
                <w:sz w:val="20"/>
                <w:szCs w:val="20"/>
              </w:rPr>
              <w:t xml:space="preserve">Prasījumus puses var cedēt citām personām. Lai arī saskaņā ar cesijas noteikumiem parādnieks var izlietot visus prasījumus, kas tam bijuši pret cedentu, tajā skaitā ieskaita izmantošanai, šī iespēja pastāv par prasījumiem, kas ir bijuši līdz cesijas paziņošanai (Civillikuma 1808. pants). Tādējādi cesijas gadījumā parādnieks var izmantot izslēdzošo ieskaitu, ja tā izpildes notikums ir iestājies pirms cesijas paziņošanas. Savukārt, ja tā izpildes notikums nav iestājies pirms cesijas </w:t>
            </w:r>
            <w:r w:rsidRPr="00F9152F">
              <w:rPr>
                <w:sz w:val="20"/>
                <w:szCs w:val="20"/>
              </w:rPr>
              <w:lastRenderedPageBreak/>
              <w:t>paziņošanas, izslēdzošo ieskaitu nav iespējams piemērot pat, ja tas vēlāk iestājas.</w:t>
            </w:r>
          </w:p>
          <w:p w14:paraId="1E0DC773" w14:textId="77777777" w:rsidR="00A928BA" w:rsidRPr="00F9152F" w:rsidRDefault="00A928BA" w:rsidP="003F4963">
            <w:pPr>
              <w:pStyle w:val="NormalWeb"/>
              <w:spacing w:before="0" w:after="0"/>
              <w:ind w:right="13" w:firstLine="330"/>
              <w:jc w:val="both"/>
              <w:rPr>
                <w:sz w:val="20"/>
                <w:szCs w:val="20"/>
              </w:rPr>
            </w:pPr>
            <w:r w:rsidRPr="00F9152F">
              <w:rPr>
                <w:sz w:val="20"/>
                <w:szCs w:val="20"/>
              </w:rPr>
              <w:t>Ievērojot minēto, ar cesiju gan viena, gan otra izslēdzošā ieskaita puse, var realizēt atsevišķus prasījumus, atraujot tos no pārējo darījumu un no to izrietošo prasījumu kopuma. Tas ir izdarāms, cesiju veicot un prasījumu realizējot, pirms ir iestājušies izslēdzošā ieskaita izpildes notikumi.</w:t>
            </w:r>
          </w:p>
          <w:p w14:paraId="11A936BC" w14:textId="77777777" w:rsidR="00A928BA" w:rsidRPr="00F9152F" w:rsidRDefault="00A928BA" w:rsidP="003F4963">
            <w:pPr>
              <w:pStyle w:val="NormalWeb"/>
              <w:spacing w:before="0" w:after="0"/>
              <w:ind w:right="13" w:firstLine="330"/>
              <w:jc w:val="both"/>
              <w:rPr>
                <w:sz w:val="20"/>
                <w:szCs w:val="20"/>
              </w:rPr>
            </w:pPr>
            <w:r w:rsidRPr="00F9152F">
              <w:rPr>
                <w:sz w:val="20"/>
                <w:szCs w:val="20"/>
              </w:rPr>
              <w:t>Lai arī Likumprojekta 8. panta otrā daļa paredz, ka izslēdzošā ieskaita piemērošanai nevar būt par šķērsli nekādi parādniekam piemērojami noteikumi, vēršam uzmanību, ka cesija nav saistīta ar parādniekam piemērojamiem noteikumiem, bet ir rīcība ar personai piederošu mantu, to atsavinot. Tā ir fundamentāla īpašnieka tiesība un īpašuma tiesību varas realizācijas veids. Ja mēģinātu precīzi apzīmēt cesiju šajā kontekstā, tā ir saistīta ar noteikumiem, kas ir piemērojami prasījumam, kā mantas daļai, ar kuru īpašnieks var rīkoties, nevis ar parādniekam piemērojamiem noteikumiem. Turklāt attiecībā uz cedēto prasījumu, runa ir par kreditoru, nevis parādnieku.</w:t>
            </w:r>
          </w:p>
          <w:p w14:paraId="23A5875E" w14:textId="77777777" w:rsidR="00A928BA" w:rsidRPr="00F9152F" w:rsidRDefault="00A928BA" w:rsidP="003F4963">
            <w:pPr>
              <w:pStyle w:val="NormalWeb"/>
              <w:spacing w:before="0" w:after="0"/>
              <w:ind w:right="13" w:firstLine="330"/>
              <w:jc w:val="both"/>
              <w:rPr>
                <w:sz w:val="20"/>
                <w:szCs w:val="20"/>
              </w:rPr>
            </w:pPr>
            <w:r w:rsidRPr="00F9152F">
              <w:rPr>
                <w:sz w:val="20"/>
                <w:szCs w:val="20"/>
              </w:rPr>
              <w:t>No Likumprojekta un tā anotācijas nav skaidrs, vai ar izslēdzošā ieskaita regulējumu ir paredzēts mēģināt izvairīties no šādām situācijām, vai arī Likumprojekta būtībai netraucē šādi notikumi.</w:t>
            </w:r>
          </w:p>
          <w:p w14:paraId="2046D60D" w14:textId="77777777" w:rsidR="00A928BA" w:rsidRPr="00F9152F" w:rsidRDefault="00A928BA" w:rsidP="003F4963">
            <w:pPr>
              <w:pStyle w:val="NormalWeb"/>
              <w:spacing w:before="0" w:after="0"/>
              <w:ind w:right="13" w:firstLine="330"/>
              <w:jc w:val="both"/>
              <w:rPr>
                <w:sz w:val="20"/>
                <w:szCs w:val="20"/>
                <w:u w:val="single"/>
              </w:rPr>
            </w:pPr>
            <w:r w:rsidRPr="00F9152F">
              <w:rPr>
                <w:sz w:val="20"/>
                <w:szCs w:val="20"/>
              </w:rPr>
              <w:t xml:space="preserve">Ievērojot minēto, </w:t>
            </w:r>
            <w:r w:rsidRPr="00F9152F">
              <w:rPr>
                <w:sz w:val="20"/>
                <w:szCs w:val="20"/>
                <w:u w:val="single"/>
              </w:rPr>
              <w:t>lūdzam izvērtēt izslēdzošā ieskaita un cesijas piemērošanas savstarpējo mijiedarbību un vai šī jautājuma sakarā Likumprojektā nav nepieciešami kādi precizējumi.</w:t>
            </w:r>
          </w:p>
          <w:p w14:paraId="588E6D57" w14:textId="77777777" w:rsidR="00DA470C" w:rsidRPr="00F9152F" w:rsidRDefault="00DA470C" w:rsidP="000E106B">
            <w:pPr>
              <w:suppressAutoHyphens/>
              <w:spacing w:after="0" w:line="240" w:lineRule="auto"/>
              <w:jc w:val="both"/>
              <w:rPr>
                <w:rFonts w:ascii="Times New Roman" w:hAnsi="Times New Roman" w:cs="Times New Roman"/>
                <w:iCs/>
                <w:sz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6B057A6B" w14:textId="77777777" w:rsidR="00DA470C" w:rsidRPr="00F9152F" w:rsidRDefault="00A928BA" w:rsidP="00DA470C">
            <w:pPr>
              <w:spacing w:after="0" w:line="240" w:lineRule="auto"/>
              <w:jc w:val="both"/>
              <w:rPr>
                <w:rFonts w:ascii="Times New Roman" w:eastAsia="Times New Roman" w:hAnsi="Times New Roman" w:cs="Times New Roman"/>
                <w:b/>
                <w:bCs/>
                <w:sz w:val="20"/>
                <w:lang w:eastAsia="lv-LV"/>
              </w:rPr>
            </w:pPr>
            <w:r w:rsidRPr="00F9152F">
              <w:rPr>
                <w:rFonts w:ascii="Times New Roman" w:eastAsia="Times New Roman" w:hAnsi="Times New Roman" w:cs="Times New Roman"/>
                <w:b/>
                <w:bCs/>
                <w:sz w:val="20"/>
                <w:lang w:eastAsia="lv-LV"/>
              </w:rPr>
              <w:lastRenderedPageBreak/>
              <w:t xml:space="preserve">Iebildums </w:t>
            </w:r>
            <w:r w:rsidR="00BD0B0F">
              <w:rPr>
                <w:rFonts w:ascii="Times New Roman" w:eastAsia="Times New Roman" w:hAnsi="Times New Roman" w:cs="Times New Roman"/>
                <w:b/>
                <w:bCs/>
                <w:sz w:val="20"/>
                <w:lang w:eastAsia="lv-LV"/>
              </w:rPr>
              <w:t xml:space="preserve">daļēji </w:t>
            </w:r>
            <w:r w:rsidRPr="00F9152F">
              <w:rPr>
                <w:rFonts w:ascii="Times New Roman" w:eastAsia="Times New Roman" w:hAnsi="Times New Roman" w:cs="Times New Roman"/>
                <w:b/>
                <w:bCs/>
                <w:sz w:val="20"/>
                <w:lang w:eastAsia="lv-LV"/>
              </w:rPr>
              <w:t>ņemts vērā.</w:t>
            </w:r>
          </w:p>
          <w:p w14:paraId="4C365694" w14:textId="77777777" w:rsidR="00A928BA" w:rsidRPr="00F9152F" w:rsidRDefault="00D771BA" w:rsidP="003F4963">
            <w:pPr>
              <w:pStyle w:val="NormalWeb"/>
              <w:spacing w:before="0" w:after="0"/>
              <w:ind w:right="13" w:firstLine="341"/>
              <w:jc w:val="both"/>
              <w:rPr>
                <w:sz w:val="20"/>
                <w:szCs w:val="20"/>
              </w:rPr>
            </w:pPr>
            <w:r>
              <w:rPr>
                <w:b/>
                <w:sz w:val="20"/>
                <w:szCs w:val="20"/>
              </w:rPr>
              <w:t>4</w:t>
            </w:r>
            <w:r w:rsidR="00A928BA" w:rsidRPr="00F9152F">
              <w:rPr>
                <w:b/>
                <w:sz w:val="20"/>
                <w:szCs w:val="20"/>
              </w:rPr>
              <w:t>.</w:t>
            </w:r>
            <w:r w:rsidR="00A928BA" w:rsidRPr="00F9152F">
              <w:rPr>
                <w:sz w:val="20"/>
                <w:szCs w:val="20"/>
              </w:rPr>
              <w:t xml:space="preserve"> Prasījumu cesija, kā arī tiesību un pienākumu tālāknodošana kopumā ir jautājums, kas tiek risināts izslēdzošā ieskaita līgumā, tāpēc Likumprojektā nav iekļautas normas, kas regulētu cesijas pieļaujamību un tās tiesiskās sekas. Uzsākot sarunas par darījumiem ar atvasinātajiem finanšu instrumentiem, puses vienojas arī par vispārējiem darījumu noteikumiem, kas tiek ietverti tā saucamajā jumta līgumā. Starptautiskajā praksē finanšu iestādes kā vispārpieņemto nozares standartu galvenokārt izmanto ISDA apstiprināto parauglīgumu (1992 un 2002 ISDA Master Agreement) noteikumus. Šie noteikumi ir vispāratzīti nozares standarts un kalpo kā tiesiskais ietvars, kas nodrošina tiesisko noteiktību un paredzamību darījumos ar atvasinātajiem finanšu instrumentiem. Tādējādi Master Agreement nosaka to, vai tiesības, kas izriet no atvasināto finanšu instrumenta līguma (piemēram, tiesības saņemt maksājumu), var tikt nodotas tālāk trešajām personām.</w:t>
            </w:r>
          </w:p>
          <w:p w14:paraId="5BA44168" w14:textId="77777777" w:rsidR="00A928BA" w:rsidRPr="00F9152F" w:rsidRDefault="00A928BA" w:rsidP="003F4963">
            <w:pPr>
              <w:pStyle w:val="NormalWeb"/>
              <w:spacing w:before="0" w:after="0"/>
              <w:ind w:right="13" w:firstLine="341"/>
              <w:jc w:val="both"/>
              <w:rPr>
                <w:sz w:val="20"/>
                <w:szCs w:val="20"/>
              </w:rPr>
            </w:pPr>
            <w:r w:rsidRPr="00F9152F">
              <w:rPr>
                <w:sz w:val="20"/>
                <w:szCs w:val="20"/>
              </w:rPr>
              <w:t xml:space="preserve">Nevar piekrists atzinumā paustajam viedoklim, ka </w:t>
            </w:r>
            <w:r w:rsidRPr="00F9152F">
              <w:rPr>
                <w:i/>
                <w:sz w:val="20"/>
                <w:szCs w:val="20"/>
              </w:rPr>
              <w:t>„nepastāv nekādi visus darījumus un izslēdzošā ieskaita līgumu sasaistoši mehānismi”</w:t>
            </w:r>
            <w:r w:rsidRPr="00F9152F">
              <w:rPr>
                <w:sz w:val="20"/>
                <w:szCs w:val="20"/>
              </w:rPr>
              <w:t>. Izslēdzošā ieskaita līgums (Master Agreement) ir saistošais mehānisms, kas nodrošina tiesisko ietvaru, lai regulētu atvasināto finanšu instrumentu darījumu dalībnieku savstarpējās tiesības un pienākumus. Piemēram, 2002 ISDA Master Agreement 1.punkta (c) apakšpunkts skaidri noteic, ka:</w:t>
            </w:r>
            <w:r w:rsidRPr="00F9152F">
              <w:rPr>
                <w:i/>
                <w:sz w:val="20"/>
                <w:szCs w:val="20"/>
              </w:rPr>
              <w:t xml:space="preserve"> „All Transactions </w:t>
            </w:r>
            <w:r w:rsidRPr="00F9152F">
              <w:rPr>
                <w:i/>
                <w:sz w:val="20"/>
                <w:szCs w:val="20"/>
              </w:rPr>
              <w:lastRenderedPageBreak/>
              <w:t>are entered into in reliance on the fact that this Master Agreement and all Confirmations form a single agreement between the parties (collectively referred to as this „Agreement”), and the parties would not otherwise enter into any Transactions”.</w:t>
            </w:r>
          </w:p>
          <w:p w14:paraId="476E2439" w14:textId="77777777" w:rsidR="00A928BA" w:rsidRPr="00F9152F" w:rsidRDefault="00A928BA" w:rsidP="003F4963">
            <w:pPr>
              <w:pStyle w:val="tv213"/>
              <w:spacing w:before="0" w:beforeAutospacing="0" w:after="0" w:afterAutospacing="0"/>
              <w:ind w:firstLine="341"/>
              <w:jc w:val="both"/>
              <w:rPr>
                <w:i/>
                <w:sz w:val="20"/>
                <w:szCs w:val="20"/>
              </w:rPr>
            </w:pPr>
            <w:r w:rsidRPr="00F9152F">
              <w:rPr>
                <w:sz w:val="20"/>
                <w:szCs w:val="20"/>
              </w:rPr>
              <w:t>Tā kā atvasināto finanšu instrumentu darījumi ir līgumi, kas aptver abu pušu tiesības un pienākumus, tad vispārēja prakse ir tāda, ka atbilstoši Master Agreement noteikumiem vienai pusei ir aizliegts tiesības, kas izriet no atvasināto finanšu instrumenta līguma, nodot trešajai personai bez otras puses piekrišanas. Šajā sakarā atzīmējams, ka ISDA 1992 un 2002 ISDA Master Agreement gan kā jurisdikciju strīdu izšķiršanai, gan arī kā piemērojamo likumu strīdiem starp pusēm paredz Anglijas vai ASV Ņujorkas štata likumu, kas nozīmē, ka arī līgumā lietotais termins „tālāknodošana” iztulkojams atbilstoši izslēdzošā ieskaita līguma likuma. Neieslīgstot niansēs par Anglijas un ASV Ņujorkas štata tiesiskā regulējuma specifiku, bet, pievēršoties Latvijas tiesībām, jānorāda, ka arī Civillikums ļauj pusēm līgumā vienoties par to, ka prasījums nevar tikt cedēts trešajai personai. Civillikuma 1799.pants noteic, ka</w:t>
            </w:r>
            <w:r w:rsidRPr="00F9152F">
              <w:rPr>
                <w:i/>
                <w:sz w:val="20"/>
                <w:szCs w:val="20"/>
              </w:rPr>
              <w:t xml:space="preserve"> „Izņēmumi no 1798.panta noteikuma ir: 1)</w:t>
            </w:r>
            <w:r w:rsidR="000E1CA3" w:rsidRPr="00F9152F">
              <w:rPr>
                <w:i/>
                <w:sz w:val="20"/>
                <w:szCs w:val="20"/>
              </w:rPr>
              <w:t> </w:t>
            </w:r>
            <w:r w:rsidRPr="00F9152F">
              <w:rPr>
                <w:i/>
                <w:sz w:val="20"/>
                <w:szCs w:val="20"/>
              </w:rPr>
              <w:t>visi prasījumi, kuru izlietošana, vai nu pēc līdzēju vienošanās vai pēc likuma, saistīta ar kreditora personu; 2)</w:t>
            </w:r>
            <w:r w:rsidR="000E1CA3" w:rsidRPr="00F9152F">
              <w:rPr>
                <w:i/>
                <w:sz w:val="20"/>
                <w:szCs w:val="20"/>
              </w:rPr>
              <w:t> </w:t>
            </w:r>
            <w:r w:rsidRPr="00F9152F">
              <w:rPr>
                <w:i/>
                <w:sz w:val="20"/>
                <w:szCs w:val="20"/>
              </w:rPr>
              <w:t xml:space="preserve">prasījumi, kuru saturs ar to izpildījumu kādai citai personai, bet nevis īstajam kreditoram, pilnīgi pārgrozītos.” </w:t>
            </w:r>
            <w:r w:rsidRPr="00F9152F">
              <w:rPr>
                <w:sz w:val="20"/>
                <w:szCs w:val="20"/>
              </w:rPr>
              <w:t>Līdz ar to arī atbilstoši Latvijas tiesiskajam regulējumam līdzēji tiesīgi vienoties par to, ka kreditora prasījums nevar kļūt par cesijas priekšmetu, un, pārkāpjot šo noteikumu, noslēgtais cesijas līgums ir atzīstams par spēkā neesošu.</w:t>
            </w:r>
          </w:p>
          <w:p w14:paraId="677078B2" w14:textId="77777777" w:rsidR="00A928BA" w:rsidRPr="00F9152F" w:rsidRDefault="00A928BA" w:rsidP="003F4963">
            <w:pPr>
              <w:pStyle w:val="NormalWeb"/>
              <w:spacing w:before="0" w:after="0"/>
              <w:ind w:right="13" w:firstLine="341"/>
              <w:jc w:val="both"/>
              <w:rPr>
                <w:i/>
                <w:sz w:val="20"/>
                <w:szCs w:val="20"/>
              </w:rPr>
            </w:pPr>
            <w:r w:rsidRPr="00F9152F">
              <w:rPr>
                <w:sz w:val="20"/>
                <w:szCs w:val="20"/>
              </w:rPr>
              <w:t>Ieskatam tālāk sniegts izvilkums no 2002 ISDA Master Agreement, kas regulē jautājumu par tiesību tālāknodošanu:</w:t>
            </w:r>
          </w:p>
          <w:p w14:paraId="60D32445" w14:textId="77777777" w:rsidR="00A928BA" w:rsidRPr="00113799" w:rsidRDefault="00A928BA" w:rsidP="00EA6E4F">
            <w:pPr>
              <w:spacing w:after="0" w:line="240" w:lineRule="auto"/>
              <w:ind w:left="634" w:firstLine="446"/>
              <w:jc w:val="both"/>
              <w:rPr>
                <w:rFonts w:ascii="Times New Roman" w:hAnsi="Times New Roman" w:cs="Times New Roman"/>
                <w:i/>
                <w:sz w:val="20"/>
                <w:szCs w:val="20"/>
                <w:lang w:val="en-GB"/>
              </w:rPr>
            </w:pPr>
            <w:r w:rsidRPr="00113799">
              <w:rPr>
                <w:rFonts w:ascii="Times New Roman" w:hAnsi="Times New Roman" w:cs="Times New Roman"/>
                <w:i/>
                <w:sz w:val="20"/>
                <w:szCs w:val="20"/>
                <w:lang w:val="en-GB"/>
              </w:rPr>
              <w:t xml:space="preserve">„Subject to Section 6(b)(ii) and to the extent permitted by applicable law, </w:t>
            </w:r>
            <w:r w:rsidRPr="00113799">
              <w:rPr>
                <w:rFonts w:ascii="Times New Roman" w:hAnsi="Times New Roman" w:cs="Times New Roman"/>
                <w:b/>
                <w:i/>
                <w:sz w:val="20"/>
                <w:szCs w:val="20"/>
                <w:lang w:val="en-GB"/>
              </w:rPr>
              <w:t xml:space="preserve">neither this Agreement </w:t>
            </w:r>
            <w:r w:rsidRPr="00113799">
              <w:rPr>
                <w:rFonts w:ascii="Times New Roman" w:hAnsi="Times New Roman" w:cs="Times New Roman"/>
                <w:b/>
                <w:i/>
                <w:sz w:val="20"/>
                <w:szCs w:val="20"/>
                <w:u w:val="single"/>
                <w:lang w:val="en-GB"/>
              </w:rPr>
              <w:t>nor any interest</w:t>
            </w:r>
            <w:r w:rsidRPr="00113799">
              <w:rPr>
                <w:rFonts w:ascii="Times New Roman" w:hAnsi="Times New Roman" w:cs="Times New Roman"/>
                <w:b/>
                <w:i/>
                <w:sz w:val="20"/>
                <w:szCs w:val="20"/>
                <w:lang w:val="en-GB"/>
              </w:rPr>
              <w:t xml:space="preserve"> or obligation </w:t>
            </w:r>
            <w:r w:rsidRPr="00113799">
              <w:rPr>
                <w:rFonts w:ascii="Times New Roman" w:hAnsi="Times New Roman" w:cs="Times New Roman"/>
                <w:b/>
                <w:i/>
                <w:sz w:val="20"/>
                <w:szCs w:val="20"/>
                <w:u w:val="single"/>
                <w:lang w:val="en-GB"/>
              </w:rPr>
              <w:t>in or under this Agreement</w:t>
            </w:r>
            <w:r w:rsidRPr="00113799">
              <w:rPr>
                <w:rFonts w:ascii="Times New Roman" w:hAnsi="Times New Roman" w:cs="Times New Roman"/>
                <w:b/>
                <w:i/>
                <w:sz w:val="20"/>
                <w:szCs w:val="20"/>
                <w:lang w:val="en-GB"/>
              </w:rPr>
              <w:t xml:space="preserve"> may be transfered</w:t>
            </w:r>
            <w:r w:rsidRPr="00113799">
              <w:rPr>
                <w:rFonts w:ascii="Times New Roman" w:hAnsi="Times New Roman" w:cs="Times New Roman"/>
                <w:i/>
                <w:sz w:val="20"/>
                <w:szCs w:val="20"/>
                <w:lang w:val="en-GB"/>
              </w:rPr>
              <w:t xml:space="preserve"> (wheather by way of security or otherwise) </w:t>
            </w:r>
            <w:r w:rsidRPr="00113799">
              <w:rPr>
                <w:rFonts w:ascii="Times New Roman" w:hAnsi="Times New Roman" w:cs="Times New Roman"/>
                <w:b/>
                <w:i/>
                <w:sz w:val="20"/>
                <w:szCs w:val="20"/>
                <w:lang w:val="en-GB"/>
              </w:rPr>
              <w:t xml:space="preserve">by either party without the prior </w:t>
            </w:r>
            <w:r w:rsidRPr="00113799">
              <w:rPr>
                <w:rFonts w:ascii="Times New Roman" w:hAnsi="Times New Roman" w:cs="Times New Roman"/>
                <w:b/>
                <w:i/>
                <w:sz w:val="20"/>
                <w:szCs w:val="20"/>
                <w:lang w:val="en-GB"/>
              </w:rPr>
              <w:lastRenderedPageBreak/>
              <w:t>written consent of the other party</w:t>
            </w:r>
            <w:r w:rsidRPr="00113799">
              <w:rPr>
                <w:rFonts w:ascii="Times New Roman" w:hAnsi="Times New Roman" w:cs="Times New Roman"/>
                <w:i/>
                <w:sz w:val="20"/>
                <w:szCs w:val="20"/>
                <w:lang w:val="en-GB"/>
              </w:rPr>
              <w:t xml:space="preserve">, except that: - </w:t>
            </w:r>
          </w:p>
          <w:p w14:paraId="1F236294" w14:textId="77777777" w:rsidR="00A928BA" w:rsidRPr="00113799" w:rsidRDefault="00A928BA" w:rsidP="00A928BA">
            <w:pPr>
              <w:pStyle w:val="ListParagraph"/>
              <w:numPr>
                <w:ilvl w:val="0"/>
                <w:numId w:val="17"/>
              </w:numPr>
              <w:spacing w:after="0" w:line="240" w:lineRule="auto"/>
              <w:ind w:left="634" w:firstLine="446"/>
              <w:jc w:val="both"/>
              <w:rPr>
                <w:rFonts w:ascii="Times New Roman" w:hAnsi="Times New Roman" w:cs="Times New Roman"/>
                <w:i/>
                <w:sz w:val="20"/>
                <w:szCs w:val="20"/>
                <w:lang w:val="en-GB"/>
              </w:rPr>
            </w:pPr>
            <w:r w:rsidRPr="00113799">
              <w:rPr>
                <w:rFonts w:ascii="Times New Roman" w:hAnsi="Times New Roman" w:cs="Times New Roman"/>
                <w:i/>
                <w:sz w:val="20"/>
                <w:szCs w:val="20"/>
                <w:lang w:val="en-GB"/>
              </w:rPr>
              <w:t>A party may make such a transfer of this Agreement pursuant to a consolidation or amalgamation with, or merger with into, or transfer of all substantially all its assets to, another entity (but without prejudice to any other rights or remedy under this Agreement); and</w:t>
            </w:r>
          </w:p>
          <w:p w14:paraId="2B8996BE" w14:textId="77777777" w:rsidR="00A928BA" w:rsidRPr="00113799" w:rsidRDefault="00A928BA" w:rsidP="00A928BA">
            <w:pPr>
              <w:pStyle w:val="ListParagraph"/>
              <w:numPr>
                <w:ilvl w:val="0"/>
                <w:numId w:val="17"/>
              </w:numPr>
              <w:spacing w:after="0" w:line="240" w:lineRule="auto"/>
              <w:ind w:left="634" w:firstLine="446"/>
              <w:jc w:val="both"/>
              <w:rPr>
                <w:rFonts w:ascii="Times New Roman" w:hAnsi="Times New Roman" w:cs="Times New Roman"/>
                <w:i/>
                <w:sz w:val="20"/>
                <w:szCs w:val="20"/>
                <w:lang w:val="en-GB"/>
              </w:rPr>
            </w:pPr>
            <w:r w:rsidRPr="00113799">
              <w:rPr>
                <w:rFonts w:ascii="Times New Roman" w:hAnsi="Times New Roman" w:cs="Times New Roman"/>
                <w:i/>
                <w:sz w:val="20"/>
                <w:szCs w:val="20"/>
                <w:lang w:val="en-GB"/>
              </w:rPr>
              <w:t>A party may make such a tranfer of all or any part of its interest in any Early Termination Amount payable to it by a Defaulting Party, together with any amounts payable on or with respect to that interest and any other rights associated with that interest pursuant to Sections 8, 9(h) and 11.</w:t>
            </w:r>
          </w:p>
          <w:p w14:paraId="5868BBBB" w14:textId="77777777" w:rsidR="00A928BA" w:rsidRPr="00F9152F" w:rsidRDefault="00A928BA" w:rsidP="00FC47B2">
            <w:pPr>
              <w:spacing w:after="0" w:line="240" w:lineRule="auto"/>
              <w:ind w:left="634" w:firstLine="446"/>
              <w:jc w:val="both"/>
              <w:rPr>
                <w:rFonts w:ascii="Times New Roman" w:hAnsi="Times New Roman" w:cs="Times New Roman"/>
                <w:i/>
                <w:sz w:val="20"/>
                <w:szCs w:val="20"/>
              </w:rPr>
            </w:pPr>
            <w:r w:rsidRPr="00113799">
              <w:rPr>
                <w:rFonts w:ascii="Times New Roman" w:hAnsi="Times New Roman" w:cs="Times New Roman"/>
                <w:i/>
                <w:sz w:val="20"/>
                <w:szCs w:val="20"/>
                <w:lang w:val="en-GB"/>
              </w:rPr>
              <w:t>Any purpoted transfer that is not in compliance with this Section 7 will be void.”</w:t>
            </w:r>
          </w:p>
          <w:p w14:paraId="44F6E46D" w14:textId="77777777" w:rsidR="00A928BA" w:rsidRPr="00F9152F" w:rsidRDefault="00A928BA" w:rsidP="003F4963">
            <w:pPr>
              <w:pStyle w:val="NormalWeb"/>
              <w:spacing w:before="0" w:after="0"/>
              <w:ind w:right="13" w:firstLine="341"/>
              <w:jc w:val="both"/>
              <w:rPr>
                <w:sz w:val="20"/>
                <w:szCs w:val="20"/>
              </w:rPr>
            </w:pPr>
            <w:r w:rsidRPr="00F9152F">
              <w:rPr>
                <w:sz w:val="20"/>
                <w:szCs w:val="20"/>
              </w:rPr>
              <w:t xml:space="preserve">Kā redzams, tad tiesību tālāknodošana bez otras puses piekrišanas ir iespējama tikai gadījumos, kad notiek apvienošana, kā arī gadījumos, kad, </w:t>
            </w:r>
            <w:r w:rsidRPr="00F9152F">
              <w:rPr>
                <w:color w:val="000000" w:themeColor="text1"/>
                <w:sz w:val="20"/>
                <w:szCs w:val="20"/>
              </w:rPr>
              <w:t>pēc izslēdzošā ieskaita piemērošanas, viena līdzēja maksājamās summas pārsniegums (neto saldo) tiek tālāknodots.</w:t>
            </w:r>
            <w:r w:rsidRPr="00F9152F">
              <w:rPr>
                <w:sz w:val="20"/>
                <w:szCs w:val="20"/>
              </w:rPr>
              <w:t xml:space="preserve"> Tādējādi vispārējs noteikums ir tāds, ka, lai tiesības vai pienākumi, kas izriet no līguma, varētu tikt nodoti trešajām personām, ir nepieciešama otra līdzēja piekrišana, kas nozīmē to, ka juridiskā forma, kādā tās tiek nodotas, parasti ir nevis cesija, bet gan pārjaunojums. Praksē otra līdzēja piekrišana nekad netiek dota uz priekšu, bet puses vienojas pārjaunot katru atvasināto finanšu instrumentu darījumu (vai cedēt kādu prasījumu) atsevišķi.</w:t>
            </w:r>
          </w:p>
          <w:p w14:paraId="4EA60E3A" w14:textId="77777777" w:rsidR="00A928BA" w:rsidRPr="00F9152F" w:rsidRDefault="00A928BA" w:rsidP="003F4963">
            <w:pPr>
              <w:pStyle w:val="NormalWeb"/>
              <w:spacing w:before="0" w:after="0"/>
              <w:ind w:right="13" w:firstLine="341"/>
              <w:jc w:val="both"/>
              <w:rPr>
                <w:bCs/>
                <w:sz w:val="20"/>
              </w:rPr>
            </w:pPr>
            <w:r w:rsidRPr="00F9152F">
              <w:rPr>
                <w:sz w:val="20"/>
                <w:szCs w:val="20"/>
              </w:rPr>
              <w:t xml:space="preserve">Likumprojekta 5.pantā ir aprakstīts izslēdzošā ieskaita piemērošanas mehānisms un šā panta 1.punktā ir norādīts, ka izslēdzošais ieskaits piemērojams </w:t>
            </w:r>
            <w:r w:rsidRPr="00F9152F">
              <w:rPr>
                <w:color w:val="000000" w:themeColor="text1"/>
                <w:sz w:val="20"/>
                <w:szCs w:val="20"/>
              </w:rPr>
              <w:t xml:space="preserve">līdzēju savstarpējiem prasījumiem un saistībām, kas izriet no viena vai vairākiem kvalificētajiem finanšu darījumiem. </w:t>
            </w:r>
            <w:r w:rsidRPr="00F9152F">
              <w:rPr>
                <w:sz w:val="20"/>
                <w:szCs w:val="20"/>
              </w:rPr>
              <w:t xml:space="preserve">Ja analizētu hipotētisku situāciju, kurā kāds atsevišķs prasījums, kas izriet no atvasināto finanšu instrumenta darījuma, varētu būt par cesijas priekšmetu un tas tiktu cedēts trešajai personai, tad šādos gadījumos līdzēju </w:t>
            </w:r>
            <w:r w:rsidRPr="00F9152F">
              <w:rPr>
                <w:sz w:val="20"/>
                <w:szCs w:val="20"/>
              </w:rPr>
              <w:lastRenderedPageBreak/>
              <w:t xml:space="preserve">prasījumi vairs nav abpusēji. </w:t>
            </w:r>
            <w:r w:rsidRPr="00F9152F">
              <w:rPr>
                <w:color w:val="000000" w:themeColor="text1"/>
                <w:sz w:val="20"/>
                <w:szCs w:val="20"/>
              </w:rPr>
              <w:t xml:space="preserve">Tādējādi gadījumos, kad trešā persona ir ieguvusi tiesības uz prasījumu, kas ir lietu tiesības </w:t>
            </w:r>
            <w:r w:rsidRPr="00F9152F">
              <w:rPr>
                <w:i/>
                <w:color w:val="000000" w:themeColor="text1"/>
                <w:sz w:val="20"/>
                <w:szCs w:val="20"/>
              </w:rPr>
              <w:t>(rights in rem)</w:t>
            </w:r>
            <w:r w:rsidRPr="00F9152F">
              <w:rPr>
                <w:color w:val="000000" w:themeColor="text1"/>
                <w:sz w:val="20"/>
                <w:szCs w:val="20"/>
              </w:rPr>
              <w:t>, izslēdzošais ieskaits tiek piemērots, bet aprēķinā par summām, kas vienam līdzējam jāatmaksā otram, netiek iekļauts attiecīgais prasījums, kas pieder trešajai personai. Taču, kā norādīts iepriekš, tad atbilstoši starptautiskajā finanšu praksē slēgtajiem Master Agreement noteikumiem, vienas puses tiesību, kuras aptver izslēdzošā ieskaita līgums, nodošana bez otras puses piekrišanas netiek pieļauta. Līdz ar to izslēdzošā ieskaita piemērošana neietekmē citas trešās personas. Attiecīgi arī Likumprojektā nav nepieciešami nekādi precizējumi, jo jautājumi par tiesību tālāknodošanu tiek regulēti pašā izslēdzošā ieskaita līgumā (Master Agreement).</w:t>
            </w:r>
          </w:p>
        </w:tc>
        <w:tc>
          <w:tcPr>
            <w:tcW w:w="712" w:type="pct"/>
            <w:tcBorders>
              <w:top w:val="single" w:sz="4" w:space="0" w:color="auto"/>
              <w:left w:val="single" w:sz="4" w:space="0" w:color="auto"/>
              <w:bottom w:val="single" w:sz="4" w:space="0" w:color="auto"/>
              <w:right w:val="single" w:sz="4" w:space="0" w:color="auto"/>
            </w:tcBorders>
          </w:tcPr>
          <w:p w14:paraId="537C9EBC" w14:textId="77777777" w:rsidR="00DA470C" w:rsidRDefault="005903A9" w:rsidP="009F6647">
            <w:pPr>
              <w:spacing w:after="0" w:line="240" w:lineRule="auto"/>
              <w:jc w:val="both"/>
              <w:rPr>
                <w:rFonts w:ascii="Times New Roman" w:eastAsia="Times New Roman" w:hAnsi="Times New Roman" w:cs="Times New Roman"/>
                <w:sz w:val="20"/>
                <w:lang w:eastAsia="lv-LV"/>
              </w:rPr>
            </w:pPr>
            <w:r w:rsidRPr="00F9152F">
              <w:rPr>
                <w:rFonts w:ascii="Times New Roman" w:hAnsi="Times New Roman" w:cs="Times New Roman"/>
                <w:sz w:val="20"/>
                <w:szCs w:val="20"/>
              </w:rPr>
              <w:lastRenderedPageBreak/>
              <w:t xml:space="preserve">Likumprojekta anotācija papildināta ar šādu </w:t>
            </w:r>
            <w:r>
              <w:rPr>
                <w:rFonts w:ascii="Times New Roman" w:hAnsi="Times New Roman" w:cs="Times New Roman"/>
                <w:sz w:val="20"/>
                <w:szCs w:val="20"/>
              </w:rPr>
              <w:t>rindk</w:t>
            </w:r>
            <w:r w:rsidR="000630C5">
              <w:rPr>
                <w:rFonts w:ascii="Times New Roman" w:hAnsi="Times New Roman" w:cs="Times New Roman"/>
                <w:sz w:val="20"/>
                <w:szCs w:val="20"/>
              </w:rPr>
              <w:t>o</w:t>
            </w:r>
            <w:r>
              <w:rPr>
                <w:rFonts w:ascii="Times New Roman" w:hAnsi="Times New Roman" w:cs="Times New Roman"/>
                <w:sz w:val="20"/>
                <w:szCs w:val="20"/>
              </w:rPr>
              <w:t>pu</w:t>
            </w:r>
            <w:r w:rsidRPr="00F9152F">
              <w:rPr>
                <w:rFonts w:ascii="Times New Roman" w:hAnsi="Times New Roman" w:cs="Times New Roman"/>
                <w:sz w:val="20"/>
                <w:szCs w:val="20"/>
              </w:rPr>
              <w:t>:</w:t>
            </w:r>
          </w:p>
          <w:p w14:paraId="6EE28010" w14:textId="77777777" w:rsidR="005903A9" w:rsidRPr="005903A9" w:rsidRDefault="005903A9" w:rsidP="005903A9">
            <w:pPr>
              <w:spacing w:before="120" w:after="120" w:line="240" w:lineRule="auto"/>
              <w:jc w:val="both"/>
              <w:rPr>
                <w:rFonts w:ascii="Times New Roman" w:hAnsi="Times New Roman" w:cs="Times New Roman"/>
                <w:i/>
                <w:sz w:val="20"/>
                <w:szCs w:val="20"/>
              </w:rPr>
            </w:pPr>
            <w:r w:rsidRPr="005903A9">
              <w:rPr>
                <w:rFonts w:ascii="Times New Roman" w:hAnsi="Times New Roman" w:cs="Times New Roman"/>
                <w:i/>
                <w:sz w:val="20"/>
                <w:szCs w:val="20"/>
              </w:rPr>
              <w:t xml:space="preserve">“Starptautiskajā finanšu praksē atbilstoši jumta līguma noteikumiem saistību vai tiesību tālāknodošana bez otras puses piekrišanas tiek pieļauta tikai retos izņēmuma gadījumos, piemēram, kad notiek uzņēmumu apvienošana vai kad, </w:t>
            </w:r>
            <w:r w:rsidRPr="005903A9">
              <w:rPr>
                <w:rFonts w:ascii="Times New Roman" w:hAnsi="Times New Roman" w:cs="Times New Roman"/>
                <w:i/>
                <w:color w:val="000000" w:themeColor="text1"/>
                <w:sz w:val="20"/>
                <w:szCs w:val="20"/>
              </w:rPr>
              <w:t>pēc izslēdzošā ieskaita piemērošanas, viena līdzēja maksājamās summas pārsniegums (neto saldo) tiek tālāknodots.</w:t>
            </w:r>
            <w:r w:rsidRPr="005903A9">
              <w:rPr>
                <w:rFonts w:ascii="Times New Roman" w:hAnsi="Times New Roman" w:cs="Times New Roman"/>
                <w:i/>
                <w:sz w:val="20"/>
                <w:szCs w:val="20"/>
              </w:rPr>
              <w:t xml:space="preserve"> Tā kā tiesību vai pienākumu nodošana trešajām personām ir iespējama tikai ar otra līdzēja piekrišanu, tad juridiskā forma, kādā tās tiek nodotas, parasti ir nevis cesija, bet gan pārjaunojums. Praksē otra līdzēja piekrišana nekad netiek dota uz priekšu, bet puses vienojas par katra atvasinātā finanšu instrumentu darījuma </w:t>
            </w:r>
            <w:r w:rsidRPr="005903A9">
              <w:rPr>
                <w:rFonts w:ascii="Times New Roman" w:hAnsi="Times New Roman" w:cs="Times New Roman"/>
                <w:i/>
                <w:sz w:val="20"/>
                <w:szCs w:val="20"/>
              </w:rPr>
              <w:lastRenderedPageBreak/>
              <w:t>tālāknodošanu atsevišķi.</w:t>
            </w:r>
            <w:r w:rsidRPr="005903A9">
              <w:rPr>
                <w:rFonts w:ascii="Times New Roman" w:hAnsi="Times New Roman" w:cs="Times New Roman"/>
                <w:i/>
                <w:color w:val="000000" w:themeColor="text1"/>
                <w:sz w:val="20"/>
                <w:szCs w:val="20"/>
              </w:rPr>
              <w:t xml:space="preserve"> Tādējādi pat gadījumos, kad trešā persona varētu būt ieguvusi tiesības uz prasījumu, izslēdzošais ieskaits var tikt piemērots, bet aprēķinā par summām, kas vienam līdzējam jāatmaksā otram, netiek iekļauts attiecīgais prasījums, kas pieder trešajai personai, jo </w:t>
            </w:r>
            <w:r w:rsidRPr="005903A9">
              <w:rPr>
                <w:rFonts w:ascii="Times New Roman" w:hAnsi="Times New Roman" w:cs="Times New Roman"/>
                <w:i/>
                <w:sz w:val="20"/>
                <w:szCs w:val="20"/>
              </w:rPr>
              <w:t xml:space="preserve">izslēdzošais ieskaits piemērojams tikai </w:t>
            </w:r>
            <w:r w:rsidRPr="005903A9">
              <w:rPr>
                <w:rFonts w:ascii="Times New Roman" w:hAnsi="Times New Roman" w:cs="Times New Roman"/>
                <w:i/>
                <w:color w:val="000000" w:themeColor="text1"/>
                <w:sz w:val="20"/>
                <w:szCs w:val="20"/>
              </w:rPr>
              <w:t>līdzēju savstarpējiem prasījumiem un saistībām.”</w:t>
            </w:r>
          </w:p>
          <w:p w14:paraId="0257E9FD" w14:textId="77777777" w:rsidR="005903A9" w:rsidRPr="00F9152F" w:rsidRDefault="005903A9" w:rsidP="009F6647">
            <w:pPr>
              <w:spacing w:after="0" w:line="240" w:lineRule="auto"/>
              <w:jc w:val="both"/>
              <w:rPr>
                <w:rFonts w:ascii="Times New Roman" w:eastAsia="Times New Roman" w:hAnsi="Times New Roman" w:cs="Times New Roman"/>
                <w:sz w:val="20"/>
                <w:lang w:eastAsia="lv-LV"/>
              </w:rPr>
            </w:pPr>
          </w:p>
        </w:tc>
      </w:tr>
      <w:tr w:rsidR="00DA470C" w:rsidRPr="00F9152F" w14:paraId="2D9BB46C"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739063A" w14:textId="77777777" w:rsidR="00DA470C" w:rsidRPr="00F9152F" w:rsidRDefault="00DA470C"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1B08B6D" w14:textId="77777777" w:rsidR="0004377E" w:rsidRPr="00F9152F" w:rsidRDefault="0004377E" w:rsidP="003777FB">
            <w:pPr>
              <w:spacing w:after="0" w:line="240" w:lineRule="auto"/>
              <w:jc w:val="both"/>
              <w:rPr>
                <w:rFonts w:ascii="Times New Roman" w:eastAsia="Times New Roman" w:hAnsi="Times New Roman"/>
                <w:color w:val="000000" w:themeColor="text1"/>
                <w:sz w:val="20"/>
                <w:szCs w:val="20"/>
              </w:rPr>
            </w:pPr>
            <w:r w:rsidRPr="00F9152F">
              <w:rPr>
                <w:rFonts w:ascii="Times New Roman" w:hAnsi="Times New Roman"/>
                <w:b/>
                <w:color w:val="000000" w:themeColor="text1"/>
                <w:sz w:val="20"/>
                <w:szCs w:val="20"/>
              </w:rPr>
              <w:t>8. pants. Izslēdzošā ieskaita piemērošana</w:t>
            </w:r>
          </w:p>
          <w:p w14:paraId="6CE194D4" w14:textId="77777777" w:rsidR="0004377E" w:rsidRPr="00F9152F" w:rsidRDefault="0004377E" w:rsidP="003777FB">
            <w:pPr>
              <w:spacing w:after="0" w:line="240" w:lineRule="auto"/>
              <w:jc w:val="both"/>
              <w:rPr>
                <w:rFonts w:ascii="Times New Roman" w:eastAsia="Times New Roman" w:hAnsi="Times New Roman"/>
                <w:sz w:val="20"/>
                <w:szCs w:val="20"/>
              </w:rPr>
            </w:pPr>
            <w:r w:rsidRPr="00F9152F">
              <w:rPr>
                <w:rFonts w:ascii="Times New Roman" w:hAnsi="Times New Roman"/>
                <w:sz w:val="20"/>
                <w:szCs w:val="20"/>
              </w:rPr>
              <w:t xml:space="preserve">(2) Izslēdzošā ieskaita piemērošanas gadījumā nav piemērojami nekādi normatīvajos aktos ietverti noteikumi, kas attiecas uz </w:t>
            </w:r>
            <w:r w:rsidRPr="00F9152F">
              <w:rPr>
                <w:rFonts w:ascii="Times New Roman" w:eastAsia="Times New Roman" w:hAnsi="Times New Roman"/>
                <w:sz w:val="20"/>
                <w:szCs w:val="20"/>
              </w:rPr>
              <w:t xml:space="preserve">tiesiskās aizsardzības, </w:t>
            </w:r>
            <w:r w:rsidRPr="00F9152F">
              <w:rPr>
                <w:rFonts w:ascii="Times New Roman" w:hAnsi="Times New Roman"/>
                <w:sz w:val="20"/>
                <w:szCs w:val="20"/>
              </w:rPr>
              <w:t>maksātnespējas vai likvidācijas procesu, attiecībām ar kreditoriem, līdzekļu apsaimniekošanu vai saglabāšanu vai jebkādu citu ar maksātnespēju saistītu pasākumu, kā arī nekādi citi normatīvajos aktos paredzēti noteikumi, kas varētu tikt piemēroti parādniekam un radīt šķēršļus izslēdzošā ieskaita piemērošanai.</w:t>
            </w:r>
          </w:p>
          <w:p w14:paraId="25177490" w14:textId="77777777" w:rsidR="00DA470C" w:rsidRPr="00F9152F" w:rsidRDefault="00DA470C"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0FDF6DBD" w14:textId="77777777" w:rsidR="0004377E" w:rsidRPr="00F9152F" w:rsidRDefault="0004377E" w:rsidP="003F4963">
            <w:pPr>
              <w:pStyle w:val="NormalWeb"/>
              <w:spacing w:before="0" w:after="0"/>
              <w:ind w:right="13" w:firstLine="330"/>
              <w:jc w:val="both"/>
              <w:rPr>
                <w:sz w:val="20"/>
                <w:szCs w:val="20"/>
              </w:rPr>
            </w:pPr>
            <w:r w:rsidRPr="00F9152F">
              <w:rPr>
                <w:sz w:val="20"/>
                <w:szCs w:val="20"/>
              </w:rPr>
              <w:t>Likumprojekta 8. panta otrā daļa noteic, ka, izslēdzošā ieskaita piemērošanas gadījumā nav piemērojami nekādi normatīvajos aktos ietverti noteikumi, kas attiecas uz tiesiskās aizsardzības, maksātnespējas vai likvidācijas procesu, attiecībām ar kreditoriem, līdzekļu apsaimniekošanu vai saglabāšanu vai jebkādu citu ar maksātnespēju saistītu pasākumu, kā arī nekādi citi normatīvajos aktos paredzēti noteikumi, kas varētu tikt piemēroti parādniekam un radīt šķēršļus izslēdzošā ieskaita piemērošanai.</w:t>
            </w:r>
          </w:p>
          <w:p w14:paraId="0981B2B2" w14:textId="77777777" w:rsidR="0004377E" w:rsidRPr="00F9152F" w:rsidRDefault="0004377E" w:rsidP="003F4963">
            <w:pPr>
              <w:pStyle w:val="NormalWeb"/>
              <w:spacing w:before="0" w:after="0"/>
              <w:ind w:right="13" w:firstLine="330"/>
              <w:jc w:val="both"/>
              <w:rPr>
                <w:sz w:val="20"/>
                <w:szCs w:val="20"/>
                <w:u w:val="single"/>
              </w:rPr>
            </w:pPr>
            <w:r w:rsidRPr="00F9152F">
              <w:rPr>
                <w:sz w:val="20"/>
                <w:szCs w:val="20"/>
              </w:rPr>
              <w:t xml:space="preserve">Nav skaidrs, vai likumprojekta 8. panta otrā daļa attiecas uz jebkādiem normatīvajos aktos ietvertajiem noteikumiem, kas var radīt šķēršļus izslēdzošā ieskaita piemērošanā, vai tikai tiesiskās aizsardzības, maksātnespējas vai likvidācijas regulējuma ietvaros. Ja domāti ir visa veida juridiskie šķēršļi, lūdzam </w:t>
            </w:r>
            <w:r w:rsidRPr="00F9152F">
              <w:rPr>
                <w:sz w:val="20"/>
                <w:szCs w:val="20"/>
                <w:u w:val="single"/>
              </w:rPr>
              <w:t>skaidrot, kādi juridiskie šķēršļi ir domāti, kā arī pamatot (īpaši, ja, kā juridiski šķēršļi ir saprotami kriminālprocesa vai piespiedu izpildes tiesību normas), kādēļ šādu aspektu nepieciešams nostiprināt Latvijas tiesiskajā regulējumā, vai šādā gadījumā nav nepieciešams papildu regulējums citos normatīvajos aktos, īpaši, kas attiecas uz labticīgu personu aizsardzību.</w:t>
            </w:r>
          </w:p>
          <w:p w14:paraId="4FB111A2" w14:textId="77777777" w:rsidR="00DA470C" w:rsidRPr="00F9152F" w:rsidRDefault="0004377E" w:rsidP="003F4963">
            <w:pPr>
              <w:suppressAutoHyphens/>
              <w:spacing w:after="0" w:line="240" w:lineRule="auto"/>
              <w:ind w:firstLine="330"/>
              <w:jc w:val="both"/>
              <w:rPr>
                <w:rFonts w:ascii="Times New Roman" w:hAnsi="Times New Roman" w:cs="Times New Roman"/>
                <w:iCs/>
                <w:sz w:val="20"/>
              </w:rPr>
            </w:pPr>
            <w:r w:rsidRPr="00F9152F">
              <w:rPr>
                <w:rFonts w:ascii="Times New Roman" w:hAnsi="Times New Roman" w:cs="Times New Roman"/>
                <w:sz w:val="20"/>
                <w:szCs w:val="20"/>
              </w:rPr>
              <w:lastRenderedPageBreak/>
              <w:t>Likumprojekta anotācijā ir norādīts, ka tā izstrādes gaitā tika vērtēts arī jautājums par trešo personu aizsardzību, piemēram, noziedzīgi iegūtas mantas atdošanu īpašniekam vai likumīgajam valdītājam vai tās konfiskāciju valsts labā. Tomēr no anotācijas un Likumprojekta nav skaidrs, kā izslēdzošais ieskaits tiks, vai netiks piemērots, piemēram, prasījumam uzlikta aresta gadījumā. Ir tikai ietverts secinājums, ka pašlaik spēkā esošais regulējums citos tiesību aktos jau efektīvi risina šo jautājumu. Tomēr šādam secinājumam nevar piekrist, ja nav skaidrs, vai, piemēram, noziedzīgi iegūtu līdzekļu konfiskācija vispār būs iespējama gadījumos, kuros tie ir ieplūduši finanšu sistēmā, izmantojot darījumus, kas ir pakļauti izslēdzošā ieskaita iespējamai piemērošanai. Nav arī skaidrs, vai prasījuma arests, piemēram, var būt viens no izslēdzošā ieskaita izpildes notikumiem. Skatot Likumprojekta normas un anotāciju rodas priekšstats, ka varētu pastāvēt vispārēja prezumpcija, ka izslēdzošais ieskaits tiek automātiski piemērots, tiklīdz pastāv iespēja, ka kāds tā sistēmā esošs prasījums tiks realizēts (kriminālprocesa, piespiedu izpildes vai jau minētās cesijas rezultātā), neatkarīgi no tā, vai pēc būtības ir iestājušies izslēdzošā ieskaita izpildes notikumi. Šie aspekti būtu skaidri jāidentificē Likumprojekta anotācijā, lai mazinātu iespējas, ka tiesību piemērotāju starpā izceļas strīdi par izslēdzošā ieskaita būtību un piemērošanas gadījumiem</w:t>
            </w:r>
          </w:p>
        </w:tc>
        <w:tc>
          <w:tcPr>
            <w:tcW w:w="1228" w:type="pct"/>
            <w:gridSpan w:val="2"/>
            <w:tcBorders>
              <w:top w:val="single" w:sz="6" w:space="0" w:color="000000"/>
              <w:left w:val="single" w:sz="6" w:space="0" w:color="000000"/>
              <w:bottom w:val="single" w:sz="6" w:space="0" w:color="000000"/>
              <w:right w:val="single" w:sz="6" w:space="0" w:color="000000"/>
            </w:tcBorders>
          </w:tcPr>
          <w:p w14:paraId="56FE4BD1" w14:textId="77777777" w:rsidR="0004377E" w:rsidRPr="00F9152F" w:rsidRDefault="0004377E" w:rsidP="003F4963">
            <w:pPr>
              <w:spacing w:after="0" w:line="240" w:lineRule="auto"/>
              <w:jc w:val="both"/>
              <w:rPr>
                <w:rFonts w:ascii="Times New Roman" w:hAnsi="Times New Roman" w:cs="Times New Roman"/>
                <w:b/>
                <w:sz w:val="20"/>
                <w:szCs w:val="20"/>
              </w:rPr>
            </w:pPr>
            <w:r w:rsidRPr="00F9152F">
              <w:rPr>
                <w:rFonts w:ascii="Times New Roman" w:hAnsi="Times New Roman" w:cs="Times New Roman"/>
                <w:b/>
                <w:sz w:val="20"/>
                <w:szCs w:val="20"/>
              </w:rPr>
              <w:lastRenderedPageBreak/>
              <w:t>Iebildums daļēji ņemts vērā.</w:t>
            </w:r>
          </w:p>
          <w:p w14:paraId="74AF7434" w14:textId="77777777" w:rsidR="0004377E" w:rsidRPr="00F9152F" w:rsidRDefault="00D771BA" w:rsidP="003F4963">
            <w:pPr>
              <w:spacing w:after="0" w:line="240" w:lineRule="auto"/>
              <w:ind w:firstLine="341"/>
              <w:jc w:val="both"/>
              <w:rPr>
                <w:rFonts w:ascii="Times New Roman" w:hAnsi="Times New Roman" w:cs="Times New Roman"/>
                <w:sz w:val="20"/>
                <w:szCs w:val="20"/>
              </w:rPr>
            </w:pPr>
            <w:r>
              <w:rPr>
                <w:rFonts w:ascii="Times New Roman" w:hAnsi="Times New Roman" w:cs="Times New Roman"/>
                <w:b/>
                <w:sz w:val="20"/>
                <w:szCs w:val="20"/>
              </w:rPr>
              <w:t>5</w:t>
            </w:r>
            <w:r w:rsidR="0004377E" w:rsidRPr="00F9152F">
              <w:rPr>
                <w:rFonts w:ascii="Times New Roman" w:hAnsi="Times New Roman" w:cs="Times New Roman"/>
                <w:b/>
                <w:sz w:val="20"/>
                <w:szCs w:val="20"/>
              </w:rPr>
              <w:t>.1.</w:t>
            </w:r>
            <w:r w:rsidR="0004377E" w:rsidRPr="00F9152F">
              <w:rPr>
                <w:rFonts w:ascii="Times New Roman" w:hAnsi="Times New Roman" w:cs="Times New Roman"/>
                <w:sz w:val="20"/>
                <w:szCs w:val="20"/>
              </w:rPr>
              <w:t xml:space="preserve"> Attiecībā uz trešo personu labticīgu aizsardzību norādāms, ka Likumprojekts šo jautājumu neregulē, jo izslēdzošā ieskaita piemērošanas gadījumā trešo personu tiesības nekādi nevar tikt aizskartas. Darījumus ar atvasinātajiem finanšu instrumentiem puses slēdz savā vārdā, nodibinot saistību tiesiskas attiecības. Līdz ar to faktiski nav iespējama situācija, kad kāda trešā persona varētu celt iebildumus uz tādiem pamatiem, kas saistīti ar prasījumu piederību (īpašumtiesībām), vai būtu atzīstama par cietušo.</w:t>
            </w:r>
          </w:p>
          <w:p w14:paraId="0A09E295" w14:textId="77777777" w:rsidR="0004377E" w:rsidRPr="00F9152F" w:rsidRDefault="00D771BA" w:rsidP="003F4963">
            <w:pPr>
              <w:spacing w:after="0" w:line="240" w:lineRule="auto"/>
              <w:ind w:firstLine="341"/>
              <w:jc w:val="both"/>
              <w:rPr>
                <w:rFonts w:ascii="Times New Roman" w:hAnsi="Times New Roman" w:cs="Times New Roman"/>
                <w:sz w:val="20"/>
                <w:szCs w:val="20"/>
              </w:rPr>
            </w:pPr>
            <w:r>
              <w:rPr>
                <w:rFonts w:ascii="Times New Roman" w:hAnsi="Times New Roman" w:cs="Times New Roman"/>
                <w:b/>
                <w:sz w:val="20"/>
                <w:szCs w:val="20"/>
              </w:rPr>
              <w:t>5</w:t>
            </w:r>
            <w:r w:rsidR="0004377E" w:rsidRPr="00F9152F">
              <w:rPr>
                <w:rFonts w:ascii="Times New Roman" w:hAnsi="Times New Roman" w:cs="Times New Roman"/>
                <w:b/>
                <w:sz w:val="20"/>
                <w:szCs w:val="20"/>
              </w:rPr>
              <w:t>.2.</w:t>
            </w:r>
            <w:r w:rsidR="0004377E" w:rsidRPr="00F9152F">
              <w:rPr>
                <w:rFonts w:ascii="Times New Roman" w:hAnsi="Times New Roman" w:cs="Times New Roman"/>
                <w:sz w:val="20"/>
                <w:szCs w:val="20"/>
              </w:rPr>
              <w:t xml:space="preserve"> Attiecībā uz jautājumu par kriminālprocesuālā līdzekļa aresta piemērošanu gadījumos, kad tiek apķīlāti bankas kontā esošie līdzekļi, vai arī preces, kas ir, piemēram, nākotnes darījuma (futures) priekšmets, norādāms, ka šādos gadījumos pusēm ir liegtas iespējas rīkoties ar attiecīgajiem finanšu līdzekļiem vai mantu. Ja </w:t>
            </w:r>
            <w:r w:rsidR="00DF24FC">
              <w:rPr>
                <w:rFonts w:ascii="Times New Roman" w:hAnsi="Times New Roman" w:cs="Times New Roman"/>
                <w:sz w:val="20"/>
                <w:szCs w:val="20"/>
              </w:rPr>
              <w:t>viens līdzējs</w:t>
            </w:r>
            <w:r w:rsidR="0004377E" w:rsidRPr="00F9152F">
              <w:rPr>
                <w:rFonts w:ascii="Times New Roman" w:hAnsi="Times New Roman" w:cs="Times New Roman"/>
                <w:sz w:val="20"/>
                <w:szCs w:val="20"/>
              </w:rPr>
              <w:t xml:space="preserve"> šādā situācijā neizpilda saistību, piemēram, neveic norēķinu vai nepiegādā preci, jo mantai uzlikts arests vai iesaldēts konts, tad saskaņā ar izslēdzošā līguma (Master Agreement) noteikumiem saistību neizpilde tiek kvalificēta kā izpildes notikums, kas savukārt ir pamats piemērot izslēdzošo ieskaitu. Taču aresta piemērošana, kas izpaužas kā kontā esošo finanšu līdzekļu iesaldēšana, pati par sevi neietekmē </w:t>
            </w:r>
            <w:r w:rsidR="0004377E" w:rsidRPr="00F9152F">
              <w:rPr>
                <w:rFonts w:ascii="Times New Roman" w:hAnsi="Times New Roman" w:cs="Times New Roman"/>
                <w:sz w:val="20"/>
                <w:szCs w:val="20"/>
              </w:rPr>
              <w:lastRenderedPageBreak/>
              <w:t>izslēdzošā ieskaita piemērošanu, jo puses veic ieskaitu atbilstoši kopējam tiesību un saistību apjomam vienai pret otru. Proti, nekāda fiziska preču nodošana vai naudas pārskaitījums uz citu kontu netiek veikti. Ekonomiskā būtība ir tāda, ka saistību izpilde atbilstoši iepriekš noslēgtās vienošanās noteikumiem vairs nenotiek. Līdz ar to arī mantas apķīlāšana vai kontā esošo līdzekļu iesaldēšana izslēdzošā ieskaita piemērošanu neietekmē.</w:t>
            </w:r>
          </w:p>
          <w:p w14:paraId="384632FD" w14:textId="77777777" w:rsidR="0004377E" w:rsidRPr="00F9152F" w:rsidRDefault="00D771BA" w:rsidP="003F4963">
            <w:pPr>
              <w:spacing w:after="0" w:line="240" w:lineRule="auto"/>
              <w:ind w:firstLine="341"/>
              <w:jc w:val="both"/>
              <w:rPr>
                <w:rFonts w:ascii="Times New Roman" w:hAnsi="Times New Roman" w:cs="Times New Roman"/>
                <w:bCs/>
                <w:sz w:val="20"/>
                <w:szCs w:val="20"/>
              </w:rPr>
            </w:pPr>
            <w:r>
              <w:rPr>
                <w:rFonts w:ascii="Times New Roman" w:hAnsi="Times New Roman" w:cs="Times New Roman"/>
                <w:b/>
                <w:sz w:val="20"/>
                <w:szCs w:val="20"/>
              </w:rPr>
              <w:t>5</w:t>
            </w:r>
            <w:r w:rsidR="0004377E" w:rsidRPr="00F9152F">
              <w:rPr>
                <w:rFonts w:ascii="Times New Roman" w:hAnsi="Times New Roman" w:cs="Times New Roman"/>
                <w:b/>
                <w:sz w:val="20"/>
                <w:szCs w:val="20"/>
              </w:rPr>
              <w:t>.3.</w:t>
            </w:r>
            <w:r w:rsidR="0004377E" w:rsidRPr="00F9152F">
              <w:rPr>
                <w:rFonts w:ascii="Times New Roman" w:hAnsi="Times New Roman" w:cs="Times New Roman"/>
                <w:sz w:val="20"/>
                <w:szCs w:val="20"/>
              </w:rPr>
              <w:t xml:space="preserve"> Ņemot vērā atzinumā paustās bažas, ka darījumi ar atvasinātajiem finanšu instrumentiem varētu tikt izmantoti noziedzīgi iegūtu līdzekļu legalizācijai, atzīmējams, ka saskaņā ar Noziedzīgi iegūtu līdzekļu legalizācijas un terorisma un proliferācijas finansēšanas novēršanas likumu kredītiestādes un finanšu iestādes ir likuma subjekti, </w:t>
            </w:r>
            <w:r w:rsidR="00A70455" w:rsidRPr="00A70455">
              <w:rPr>
                <w:rFonts w:ascii="Times New Roman" w:hAnsi="Times New Roman" w:cs="Times New Roman"/>
                <w:sz w:val="20"/>
                <w:szCs w:val="20"/>
              </w:rPr>
              <w:t>kuriem ir pienākums</w:t>
            </w:r>
            <w:r w:rsidR="00A70455">
              <w:rPr>
                <w:rFonts w:ascii="Times New Roman" w:hAnsi="Times New Roman" w:cs="Times New Roman"/>
                <w:sz w:val="20"/>
                <w:szCs w:val="20"/>
              </w:rPr>
              <w:t xml:space="preserve"> </w:t>
            </w:r>
            <w:r w:rsidR="00A70455" w:rsidRPr="00A70455">
              <w:rPr>
                <w:rFonts w:ascii="Times New Roman" w:hAnsi="Times New Roman" w:cs="Times New Roman"/>
                <w:sz w:val="20"/>
                <w:szCs w:val="20"/>
              </w:rPr>
              <w:t>izveidot un ieviest noziedzīgi iegūtu līdzekļu legalizācijas un terorisma un proliferācijas finansēšanas novēršanas iekšējās kontroles sistēmu, tai skaitā izstrādājot un dokumentējot attiecīgās politikas un procedūras. Tāpat minētā likuma subjekti</w:t>
            </w:r>
            <w:r w:rsidR="00A70455">
              <w:rPr>
                <w:rFonts w:ascii="Times New Roman" w:hAnsi="Times New Roman" w:cs="Times New Roman"/>
                <w:sz w:val="20"/>
                <w:szCs w:val="20"/>
              </w:rPr>
              <w:t>em ir saistoši pienākumi attiecī</w:t>
            </w:r>
            <w:r w:rsidR="00A70455" w:rsidRPr="00A70455">
              <w:rPr>
                <w:rFonts w:ascii="Times New Roman" w:hAnsi="Times New Roman" w:cs="Times New Roman"/>
                <w:sz w:val="20"/>
                <w:szCs w:val="20"/>
              </w:rPr>
              <w:t>bā uz klienta izpēti tādā apjomā, kas atbilst klienta riskiem. Klienta izpētes ietvaros likuma subjekts, izvērtējot ziņas par klientu, tā darījumiem un darījuma partneriem, var atturēties no darījumu veikšanas un tam ir pienākums nekavējoties ziņot Finanšu izlūkošanas dienestam par katru aizdomīgu darījumu, t.i., darījumu, kas rada aizdomas, ka līdzekļi tieši vai netieši iegūti noziedzīga nodarījuma rezultātā vai ir saistīti ar terorisma un proliferācijas finansēšanu vai šādu darbību mēģinājumu. Tādējādi Latvijā jau ir ieviests efektīvs mehānisms tam, lai preventīvi novērstu iespēju, ka kredītiestādes u.c. finanšu iestādes tiek izmantotas noziedzīgi iegūtu līdzekļu legalizācijai, terorisma un proliferācijas finansēšanai.</w:t>
            </w:r>
            <w:r w:rsidR="00A70455" w:rsidRPr="00A70455">
              <w:t xml:space="preserve"> </w:t>
            </w:r>
            <w:r w:rsidR="0004377E" w:rsidRPr="00F9152F">
              <w:rPr>
                <w:rFonts w:ascii="Times New Roman" w:hAnsi="Times New Roman" w:cs="Times New Roman"/>
                <w:sz w:val="20"/>
                <w:szCs w:val="20"/>
              </w:rPr>
              <w:t xml:space="preserve">Turklāt līdzēji, kas ir minēti Likumprojekta 4.panta pirmajā daļā ir tādi, kuri saskaņā ar Eiropas Parlamenta un Padomes 2013.gada 26.jūnija regulas (ES) Nr. 575/2013 par prudenciālajām prasībām attiecībā uz kredītiestādēm un ieguldījumu brokeru sabiedrībām noteikumiem ir ar 0 % riska pakāpi vai </w:t>
            </w:r>
            <w:r w:rsidR="0004377E" w:rsidRPr="00F9152F">
              <w:rPr>
                <w:rFonts w:ascii="Times New Roman" w:hAnsi="Times New Roman" w:cs="Times New Roman"/>
                <w:sz w:val="20"/>
                <w:szCs w:val="20"/>
              </w:rPr>
              <w:lastRenderedPageBreak/>
              <w:t xml:space="preserve">arī kopumā ar zemu riska pakāpi. Atsevišķi subjekti ir finanšu tirgus dalībnieki, kurus uzrauga FKTK. Tādējādi, ja pat otrs līdzējs ir fiziska vai juridiska persona, tad tāpat šādi darījumi ir pakļauti efektīvai un profesionālai tirgus dalībnieku regulācijai un uzraudzībai. Savukārt lielajām sabiedrībām, ja līgums tiek slēgts divu juridisku personu starpā, ir noteiktas augstas apjoma prasības, līdz ar ko tikai dažas Latvijas komercsabiedrības </w:t>
            </w:r>
            <w:r w:rsidR="0004377E" w:rsidRPr="00F9152F">
              <w:rPr>
                <w:rFonts w:ascii="Times New Roman" w:hAnsi="Times New Roman" w:cs="Times New Roman"/>
                <w:color w:val="000000"/>
                <w:sz w:val="20"/>
                <w:szCs w:val="20"/>
              </w:rPr>
              <w:t>(piemēram, AS „Latvenergo”, AS „Air Baltic Corporation” vai SIA „Lattelecom”) varētu būt Likumprojekta subjekti. Papildus atzīmējams, ka, ņemot vērā FKTK un Finanšu nozares asociācijas pausto viedokli, precizētā Likumprojekta 4.panta otrās daļas 2.punktā ir grozītas juridiskām personām noteiktās apjoma prasības situācijā, kad abi līdzēji ir juridiskās personas.</w:t>
            </w:r>
          </w:p>
          <w:p w14:paraId="781EEAF9" w14:textId="77777777" w:rsidR="0004377E" w:rsidRPr="00F9152F" w:rsidRDefault="00D771BA" w:rsidP="003F4963">
            <w:pPr>
              <w:spacing w:after="0" w:line="240" w:lineRule="auto"/>
              <w:ind w:firstLine="341"/>
              <w:jc w:val="both"/>
              <w:rPr>
                <w:rFonts w:ascii="Times New Roman" w:hAnsi="Times New Roman" w:cs="Times New Roman"/>
                <w:sz w:val="20"/>
                <w:szCs w:val="20"/>
              </w:rPr>
            </w:pPr>
            <w:r>
              <w:rPr>
                <w:rFonts w:ascii="Times New Roman" w:hAnsi="Times New Roman" w:cs="Times New Roman"/>
                <w:b/>
                <w:sz w:val="20"/>
                <w:szCs w:val="20"/>
              </w:rPr>
              <w:t>5</w:t>
            </w:r>
            <w:r w:rsidR="0004377E" w:rsidRPr="00F9152F">
              <w:rPr>
                <w:rFonts w:ascii="Times New Roman" w:hAnsi="Times New Roman" w:cs="Times New Roman"/>
                <w:b/>
                <w:sz w:val="20"/>
                <w:szCs w:val="20"/>
              </w:rPr>
              <w:t>.4.</w:t>
            </w:r>
            <w:r w:rsidR="0004377E" w:rsidRPr="00F9152F">
              <w:rPr>
                <w:rFonts w:ascii="Times New Roman" w:hAnsi="Times New Roman" w:cs="Times New Roman"/>
                <w:sz w:val="20"/>
                <w:szCs w:val="20"/>
              </w:rPr>
              <w:t xml:space="preserve"> Atzinumā norādīts arī tas, ka </w:t>
            </w:r>
            <w:r w:rsidR="0004377E" w:rsidRPr="00F9152F">
              <w:rPr>
                <w:rFonts w:ascii="Times New Roman" w:hAnsi="Times New Roman" w:cs="Times New Roman"/>
                <w:i/>
                <w:sz w:val="20"/>
                <w:szCs w:val="20"/>
              </w:rPr>
              <w:t>„no anotācijas un Likumprojekta nav skaidrs, kā izslēdzošais ieskaits tiks, vai netiks piemērots, piemēram, prasījumam uzlikta aresta gadījumā.”</w:t>
            </w:r>
            <w:r w:rsidR="0004377E" w:rsidRPr="00F9152F">
              <w:rPr>
                <w:rFonts w:ascii="Times New Roman" w:hAnsi="Times New Roman" w:cs="Times New Roman"/>
                <w:sz w:val="20"/>
                <w:szCs w:val="20"/>
              </w:rPr>
              <w:t xml:space="preserve"> Finanšu ministrijas rīcībā nav informācijas par gadījumiem, kad atbilstoši spēkā esošajam regulējumam mantas arestam ir tikuši pakļauti prasījumi. Taču jautājums par aresta uzlikšanu prasījumam ir tāds, kas nebūtu kaut kā īpaši regulējums ar šo Likumprojektu, bet kas vienoti ir regulējams visas tiesību sistēmas ietvaros.</w:t>
            </w:r>
          </w:p>
          <w:p w14:paraId="55295535" w14:textId="77777777" w:rsidR="0004377E" w:rsidRPr="00F9152F" w:rsidRDefault="0004377E" w:rsidP="003F4963">
            <w:pPr>
              <w:pStyle w:val="NormalWeb"/>
              <w:spacing w:before="0" w:after="0"/>
              <w:ind w:firstLine="341"/>
              <w:jc w:val="both"/>
              <w:rPr>
                <w:sz w:val="20"/>
                <w:szCs w:val="20"/>
              </w:rPr>
            </w:pPr>
            <w:r w:rsidRPr="00F9152F">
              <w:rPr>
                <w:sz w:val="20"/>
                <w:szCs w:val="20"/>
                <w:lang w:eastAsia="en-US"/>
              </w:rPr>
              <w:t xml:space="preserve">Starptautiskajās rekomendācijās vispārīgi ir atzīts, ka likumdevējs ir tiesīgs ierobežot izslēdzošā ieskaita piemērošanu gadījumos, kas saistīti, piemēram, ar krāpšanu. Šāda pieeja ir ietverta 2018 ISDA Model Netting Act and Guide rekomendācijās, kas pieļauj ierobežot izslēdzošā ieskaita piemērošanu krāpnieciskos gadījumos: </w:t>
            </w:r>
            <w:r w:rsidRPr="00F9152F">
              <w:rPr>
                <w:i/>
                <w:sz w:val="20"/>
                <w:szCs w:val="20"/>
              </w:rPr>
              <w:t>„</w:t>
            </w:r>
            <w:r w:rsidRPr="00113799">
              <w:rPr>
                <w:i/>
                <w:sz w:val="20"/>
                <w:szCs w:val="20"/>
                <w:lang w:val="en-GB"/>
              </w:rPr>
              <w:t>Only negligent or fraudulent or otherwise unfair transfers or obligations should be caught by the rules for preferences and fraudulent transfers</w:t>
            </w:r>
            <w:r w:rsidRPr="00F9152F">
              <w:rPr>
                <w:i/>
                <w:sz w:val="20"/>
                <w:szCs w:val="20"/>
              </w:rPr>
              <w:t>”</w:t>
            </w:r>
            <w:r w:rsidRPr="00F9152F">
              <w:rPr>
                <w:sz w:val="20"/>
                <w:szCs w:val="20"/>
              </w:rPr>
              <w:t xml:space="preserve"> (sk. </w:t>
            </w:r>
            <w:r w:rsidRPr="00F9152F">
              <w:rPr>
                <w:sz w:val="20"/>
                <w:szCs w:val="20"/>
                <w:lang w:eastAsia="en-US"/>
              </w:rPr>
              <w:t xml:space="preserve">2018 ISDA Model Netting Act and Guide </w:t>
            </w:r>
            <w:r w:rsidRPr="00F9152F">
              <w:rPr>
                <w:sz w:val="20"/>
                <w:szCs w:val="20"/>
              </w:rPr>
              <w:t xml:space="preserve">7.24.punktu), kā arī 2013 UNIDROIT principos noteiktajam: </w:t>
            </w:r>
            <w:r w:rsidRPr="00F9152F">
              <w:rPr>
                <w:i/>
                <w:sz w:val="20"/>
                <w:szCs w:val="20"/>
              </w:rPr>
              <w:t>„</w:t>
            </w:r>
            <w:r w:rsidRPr="00113799">
              <w:rPr>
                <w:i/>
                <w:sz w:val="20"/>
                <w:szCs w:val="20"/>
                <w:lang w:val="en-GB"/>
              </w:rPr>
              <w:t xml:space="preserve">These Principles do not render enforceable a close-out netting provision or an eligible obligation that would otherwise be unenforceable in whole or in part on grounds of </w:t>
            </w:r>
            <w:r w:rsidRPr="00113799">
              <w:rPr>
                <w:rStyle w:val="highlight"/>
                <w:i/>
                <w:sz w:val="20"/>
                <w:szCs w:val="20"/>
                <w:lang w:val="en-GB"/>
              </w:rPr>
              <w:t>fraud</w:t>
            </w:r>
            <w:r w:rsidRPr="00113799">
              <w:rPr>
                <w:i/>
                <w:sz w:val="20"/>
                <w:szCs w:val="20"/>
                <w:lang w:val="en-GB"/>
              </w:rPr>
              <w:t xml:space="preserve"> or conflict with other requirements of general </w:t>
            </w:r>
            <w:r w:rsidRPr="00113799">
              <w:rPr>
                <w:i/>
                <w:sz w:val="20"/>
                <w:szCs w:val="20"/>
                <w:lang w:val="en-GB"/>
              </w:rPr>
              <w:lastRenderedPageBreak/>
              <w:t>application affecting the validity or enforceability of contracts”</w:t>
            </w:r>
            <w:r w:rsidRPr="00F9152F">
              <w:rPr>
                <w:sz w:val="20"/>
                <w:szCs w:val="20"/>
              </w:rPr>
              <w:t xml:space="preserve"> (sk. UNIDROIT Principles on the operation of close-out netting provisions 6.2.punktu).</w:t>
            </w:r>
          </w:p>
          <w:p w14:paraId="2DB6AABF" w14:textId="77777777" w:rsidR="00DA470C" w:rsidRPr="00F9152F" w:rsidRDefault="0004377E" w:rsidP="003F4963">
            <w:pPr>
              <w:spacing w:after="0" w:line="240" w:lineRule="auto"/>
              <w:ind w:firstLine="341"/>
              <w:jc w:val="both"/>
              <w:rPr>
                <w:rFonts w:ascii="Times New Roman" w:eastAsia="Times New Roman" w:hAnsi="Times New Roman" w:cs="Times New Roman"/>
                <w:sz w:val="20"/>
                <w:szCs w:val="20"/>
              </w:rPr>
            </w:pPr>
            <w:r w:rsidRPr="00F9152F">
              <w:rPr>
                <w:rFonts w:ascii="Times New Roman" w:hAnsi="Times New Roman" w:cs="Times New Roman"/>
                <w:sz w:val="20"/>
                <w:szCs w:val="20"/>
              </w:rPr>
              <w:t>Likumprojekta 8.panta otrā daļa kopumā nav vērsta uz to, lai liegtu iespējas kompetentajām iestādēm ierobežot izslēdzošā ieskaita piemērošanu, ja šādi ierobežojumi ir pamatoti ar krimināltiesības regulējošajām normām vai ir noteikti kriminālprocesa ietvaros. Ņemot vērā atzinumā norādīto un lai nodrošinātu vienotu izpratni par Likumprojekta 8.panta otrās daļas regulējumu, minētās normas redakcija ir grozīta, izslēdzot no tās vārdus „</w:t>
            </w:r>
            <w:r w:rsidRPr="00F9152F">
              <w:rPr>
                <w:rFonts w:ascii="Times New Roman" w:eastAsia="Times New Roman" w:hAnsi="Times New Roman" w:cs="Times New Roman"/>
                <w:sz w:val="20"/>
                <w:szCs w:val="20"/>
              </w:rPr>
              <w:t>kā arī nekādi citi normatīvajos aktos paredzēti noteikumi, kas varētu tikt piemēroti parādniekam un radīt šķēršļus izslēdzošā ieskaita piemērošanai.”</w:t>
            </w:r>
          </w:p>
          <w:p w14:paraId="53C128B8" w14:textId="77777777" w:rsidR="00FC47B2" w:rsidRPr="00F9152F" w:rsidRDefault="00FC47B2" w:rsidP="00F9152F">
            <w:pPr>
              <w:spacing w:after="0" w:line="240" w:lineRule="auto"/>
              <w:ind w:firstLine="341"/>
              <w:jc w:val="both"/>
              <w:rPr>
                <w:rFonts w:ascii="Times New Roman" w:eastAsia="Times New Roman" w:hAnsi="Times New Roman" w:cs="Times New Roman"/>
                <w:bCs/>
                <w:sz w:val="20"/>
                <w:lang w:eastAsia="lv-LV"/>
              </w:rPr>
            </w:pPr>
            <w:r w:rsidRPr="00F9152F">
              <w:rPr>
                <w:rFonts w:ascii="Times New Roman" w:eastAsia="Times New Roman" w:hAnsi="Times New Roman" w:cs="Times New Roman"/>
                <w:sz w:val="20"/>
                <w:szCs w:val="20"/>
              </w:rPr>
              <w:t>Tāpat redakcionāli ir precizēta Likumprojekta 8.panta otrā daļa, aiz vārda „procesu”, papildinot ar vārdu „tajā skaitā”.</w:t>
            </w:r>
          </w:p>
        </w:tc>
        <w:tc>
          <w:tcPr>
            <w:tcW w:w="712" w:type="pct"/>
            <w:tcBorders>
              <w:top w:val="single" w:sz="4" w:space="0" w:color="auto"/>
              <w:left w:val="single" w:sz="4" w:space="0" w:color="auto"/>
              <w:bottom w:val="single" w:sz="4" w:space="0" w:color="auto"/>
              <w:right w:val="single" w:sz="4" w:space="0" w:color="auto"/>
            </w:tcBorders>
          </w:tcPr>
          <w:p w14:paraId="3443F1B0" w14:textId="77777777" w:rsidR="00DA470C" w:rsidRPr="00F9152F" w:rsidRDefault="0004377E" w:rsidP="009F6647">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lastRenderedPageBreak/>
              <w:t xml:space="preserve">Likumprojekta 8.panta otrā daļa izteikta šādā redakcijā: </w:t>
            </w:r>
            <w:r w:rsidRPr="00F9152F">
              <w:rPr>
                <w:rFonts w:ascii="Times New Roman" w:eastAsia="Times New Roman" w:hAnsi="Times New Roman" w:cs="Times New Roman"/>
                <w:i/>
                <w:sz w:val="20"/>
                <w:szCs w:val="20"/>
                <w:lang w:eastAsia="lv-LV"/>
              </w:rPr>
              <w:t>„</w:t>
            </w:r>
            <w:r w:rsidRPr="00F9152F">
              <w:rPr>
                <w:rFonts w:ascii="Times New Roman" w:hAnsi="Times New Roman"/>
                <w:i/>
                <w:sz w:val="20"/>
                <w:szCs w:val="20"/>
              </w:rPr>
              <w:t xml:space="preserve">(2) Izslēdzošā ieskaita piemērošanas gadījumā nav piemērojami nekādi normatīvajos aktos ietverti noteikumi, kas attiecas uz </w:t>
            </w:r>
            <w:r w:rsidRPr="00F9152F">
              <w:rPr>
                <w:rFonts w:ascii="Times New Roman" w:eastAsia="Times New Roman" w:hAnsi="Times New Roman"/>
                <w:i/>
                <w:sz w:val="20"/>
                <w:szCs w:val="20"/>
              </w:rPr>
              <w:t xml:space="preserve">tiesiskās aizsardzības, </w:t>
            </w:r>
            <w:r w:rsidRPr="00F9152F">
              <w:rPr>
                <w:rFonts w:ascii="Times New Roman" w:hAnsi="Times New Roman"/>
                <w:i/>
                <w:sz w:val="20"/>
                <w:szCs w:val="20"/>
              </w:rPr>
              <w:t>maksātnespējas vai likvidācijas procesu,</w:t>
            </w:r>
            <w:r w:rsidR="00FC47B2" w:rsidRPr="00F9152F">
              <w:rPr>
                <w:rFonts w:ascii="Times New Roman" w:hAnsi="Times New Roman"/>
                <w:i/>
                <w:sz w:val="20"/>
                <w:szCs w:val="20"/>
              </w:rPr>
              <w:t xml:space="preserve"> tajā skaitā</w:t>
            </w:r>
            <w:r w:rsidRPr="00F9152F">
              <w:rPr>
                <w:rFonts w:ascii="Times New Roman" w:hAnsi="Times New Roman"/>
                <w:i/>
                <w:sz w:val="20"/>
                <w:szCs w:val="20"/>
              </w:rPr>
              <w:t xml:space="preserve"> attiecībām ar kreditoriem, līdzekļu apsaimniekošanu vai saglabāšanu</w:t>
            </w:r>
            <w:r w:rsidR="00FC47B2" w:rsidRPr="00F9152F">
              <w:rPr>
                <w:rFonts w:ascii="Times New Roman" w:hAnsi="Times New Roman"/>
                <w:i/>
                <w:sz w:val="20"/>
                <w:szCs w:val="20"/>
              </w:rPr>
              <w:t>,</w:t>
            </w:r>
            <w:r w:rsidRPr="00F9152F">
              <w:rPr>
                <w:rFonts w:ascii="Times New Roman" w:hAnsi="Times New Roman"/>
                <w:i/>
                <w:sz w:val="20"/>
                <w:szCs w:val="20"/>
              </w:rPr>
              <w:t xml:space="preserve"> vai jebkādu citu ar maksātnespēju saistītu pasākumu.”</w:t>
            </w:r>
          </w:p>
        </w:tc>
      </w:tr>
      <w:tr w:rsidR="00DA470C" w:rsidRPr="00F9152F" w14:paraId="2D1E4952"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96551A6" w14:textId="77777777" w:rsidR="00DA470C" w:rsidRPr="00F9152F" w:rsidRDefault="00DA470C"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EFA32E8" w14:textId="77777777" w:rsidR="007B3BCB" w:rsidRPr="00F9152F" w:rsidRDefault="007B3BCB" w:rsidP="007B3BCB">
            <w:pPr>
              <w:spacing w:after="0" w:line="240" w:lineRule="auto"/>
              <w:jc w:val="both"/>
              <w:rPr>
                <w:rFonts w:ascii="Times New Roman" w:eastAsia="Times New Roman" w:hAnsi="Times New Roman"/>
                <w:color w:val="000000" w:themeColor="text1"/>
                <w:sz w:val="20"/>
                <w:szCs w:val="20"/>
              </w:rPr>
            </w:pPr>
            <w:r w:rsidRPr="00F9152F">
              <w:rPr>
                <w:rFonts w:ascii="Times New Roman" w:hAnsi="Times New Roman"/>
                <w:b/>
                <w:color w:val="000000" w:themeColor="text1"/>
                <w:sz w:val="20"/>
                <w:szCs w:val="20"/>
              </w:rPr>
              <w:t>8. pants. Izslēdzošā ieskaita piemērošana</w:t>
            </w:r>
          </w:p>
          <w:p w14:paraId="6F7FD3CE" w14:textId="77777777" w:rsidR="007B3BCB" w:rsidRPr="00F9152F" w:rsidRDefault="007B3BCB" w:rsidP="007B3BCB">
            <w:pPr>
              <w:spacing w:after="0" w:line="240" w:lineRule="auto"/>
              <w:jc w:val="both"/>
              <w:rPr>
                <w:rFonts w:ascii="Times New Roman" w:eastAsia="Times New Roman" w:hAnsi="Times New Roman"/>
                <w:sz w:val="20"/>
                <w:szCs w:val="20"/>
              </w:rPr>
            </w:pPr>
            <w:r w:rsidRPr="00F9152F">
              <w:rPr>
                <w:rFonts w:ascii="Times New Roman" w:hAnsi="Times New Roman"/>
                <w:sz w:val="20"/>
                <w:szCs w:val="20"/>
              </w:rPr>
              <w:t xml:space="preserve">(2) Izslēdzošā ieskaita piemērošanas gadījumā nav piemērojami nekādi normatīvajos aktos ietverti noteikumi, kas attiecas uz </w:t>
            </w:r>
            <w:r w:rsidRPr="00F9152F">
              <w:rPr>
                <w:rFonts w:ascii="Times New Roman" w:eastAsia="Times New Roman" w:hAnsi="Times New Roman"/>
                <w:sz w:val="20"/>
                <w:szCs w:val="20"/>
              </w:rPr>
              <w:t xml:space="preserve">tiesiskās aizsardzības, </w:t>
            </w:r>
            <w:r w:rsidRPr="00F9152F">
              <w:rPr>
                <w:rFonts w:ascii="Times New Roman" w:hAnsi="Times New Roman"/>
                <w:sz w:val="20"/>
                <w:szCs w:val="20"/>
              </w:rPr>
              <w:t>maksātnespējas vai likvidācijas procesu, attiecībām ar kreditoriem, līdzekļu apsaimniekošanu vai saglabāšanu vai jebkādu citu ar maksātnespēju saistītu pasākumu, kā arī nekādi citi normatīvajos aktos paredzēti noteikumi, kas varētu tikt piemēroti parādniekam un radīt šķēršļus izslēdzošā ieskaita piemērošanai.</w:t>
            </w:r>
          </w:p>
          <w:p w14:paraId="15ED8AC3" w14:textId="77777777" w:rsidR="00DA470C" w:rsidRPr="00F9152F" w:rsidRDefault="00DA470C"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54F1174E" w14:textId="77777777" w:rsidR="007B3BCB" w:rsidRPr="00F9152F" w:rsidRDefault="007B3BCB" w:rsidP="003F4963">
            <w:pPr>
              <w:pStyle w:val="NormalWeb"/>
              <w:spacing w:before="0" w:after="0"/>
              <w:ind w:right="13" w:firstLine="330"/>
              <w:jc w:val="both"/>
              <w:rPr>
                <w:sz w:val="20"/>
                <w:szCs w:val="20"/>
              </w:rPr>
            </w:pPr>
            <w:r w:rsidRPr="00F9152F">
              <w:rPr>
                <w:sz w:val="20"/>
                <w:szCs w:val="20"/>
              </w:rPr>
              <w:t xml:space="preserve">Likumprojekta 8. panta otrā daļa paredz, ka izslēdzošā ieskaita piemērošanas gadījumā, cita starpā, nav piemērojami nekādi normatīvajos aktos paredzēti noteikumi, kas varētu tikt piemēroti parādniekam un radīt šķēršļus izslēdzošā ieskaita piemērošanai. </w:t>
            </w:r>
          </w:p>
          <w:p w14:paraId="4017FB94" w14:textId="77777777" w:rsidR="007B3BCB" w:rsidRPr="00F9152F" w:rsidRDefault="007B3BCB" w:rsidP="003F4963">
            <w:pPr>
              <w:pStyle w:val="NormalWeb"/>
              <w:spacing w:before="0" w:after="0"/>
              <w:ind w:right="13" w:firstLine="330"/>
              <w:jc w:val="both"/>
              <w:rPr>
                <w:sz w:val="20"/>
                <w:szCs w:val="20"/>
              </w:rPr>
            </w:pPr>
            <w:r w:rsidRPr="00F9152F">
              <w:rPr>
                <w:sz w:val="20"/>
                <w:szCs w:val="20"/>
              </w:rPr>
              <w:t xml:space="preserve">Vēršam uzmanību, ka lietotā terminoloģija par "parādniekam piemērojamiem noteikumiem" var radīt virkni neskaidrību izslēdzošā ieskaita un tā piemērošanas izpratnē. Daļēji tas ir saistīts ar šī atzinuma 2. un 4. iebildumā aprakstīto. Vienlaikus jēdziens "parādniekam piemērojamie noteikumi" mulsina, jo izslēdzošā ieskaita gadījumā abas puses ir parādnieki, jo abām pusēm ir savstarpēji prasījumi. Vienlaikus Likumprojekts rada šķietamību, ka kāda puse tomēr tiek uzskatīta par kreditoru un nostādīta citā lomā šajā procesā. Minētā jēdziena izmantošana, atkarībā no tā mērķa (skat. 5. iebildumu), var nebūt efektīva, jo par parādniekam piemērojamajiem noteikumiem pārsvarā būs runa, kad pastāvēs saistība ar tiesiskās aizsardzības, maksātnespējas vai likvidācijas procesu. Minēto procesu ietvaros Likumprojekts jau paredz pietiekami konkrētu </w:t>
            </w:r>
            <w:r w:rsidRPr="00F9152F">
              <w:rPr>
                <w:sz w:val="20"/>
                <w:szCs w:val="20"/>
              </w:rPr>
              <w:lastRenderedPageBreak/>
              <w:t>regulējumu. Vienlaikus ir virkne procesu un noteikumu, kas ir saistāmi nevis ar parādnieku, bet ar pašiem prasījumiem, kas kā mantas sastāvdaļa atrodas civiltiesiskā apgrozībā. Kā jau minēts ar atsevišķiem cesijas gadījumiem, šādi notikumi ar pašu prasījumu var izslēgt izslēdzošā ieskaita piemērošanas iespēju.</w:t>
            </w:r>
          </w:p>
          <w:p w14:paraId="731B3A59" w14:textId="77777777" w:rsidR="007B3BCB" w:rsidRPr="00F9152F" w:rsidRDefault="007B3BCB" w:rsidP="003F4963">
            <w:pPr>
              <w:pStyle w:val="NormalWeb"/>
              <w:spacing w:before="0" w:after="0"/>
              <w:ind w:right="13" w:firstLine="330"/>
              <w:jc w:val="both"/>
              <w:rPr>
                <w:sz w:val="20"/>
                <w:szCs w:val="20"/>
              </w:rPr>
            </w:pPr>
            <w:r w:rsidRPr="00F9152F">
              <w:rPr>
                <w:sz w:val="20"/>
                <w:szCs w:val="20"/>
              </w:rPr>
              <w:t xml:space="preserve">Vienlaikus, ja tiek lietots jēdziens "parādniekam piemērojamie noteikumi", ir jāsaprot, ka parādnieki ir abas izslēdzošā ieskaita puses. Šī atzinuma 2. iebildumā ir aprakstītas iespējamās neskaidrības saistībā ar izslēdzošā ieskaita piemērošanas iespējām attiecībā pret kredītiestādi. Ja Kredītiestāžu likums paredz ierobežojumus izslēdzošā ieskaita piemērošanai attiecībā pret kredītiestādi, šādi noteikumi Likumprojekta 8. panta otrās daļas kontekstā būtu uzskatāmi par kredītiestādei kā parādniekam piemērojamiem noteikumiem. Līdz ar to saskaņā ar Likumprojekta 8. panta otro daļu Kredītiestāžu likuma noteikumi nebūtu šķērslis izslēdzošā ieskaita piemērošanai pret kredītiestādi. Līdz ar to attiecībā uz Likumprojekta piemērošanas jomu kredītiestādes nevarētu atsaukties uz Kredītiestāžu likumā ietvertajām atrunām, lai izvairītos no izslēdzošā ieskaita piemērošanas. </w:t>
            </w:r>
          </w:p>
          <w:p w14:paraId="769A6383" w14:textId="77777777" w:rsidR="007B3BCB" w:rsidRPr="00F9152F" w:rsidRDefault="007B3BCB" w:rsidP="003F4963">
            <w:pPr>
              <w:pStyle w:val="NormalWeb"/>
              <w:spacing w:before="0" w:after="0"/>
              <w:ind w:right="13" w:firstLine="330"/>
              <w:jc w:val="both"/>
              <w:rPr>
                <w:sz w:val="20"/>
                <w:szCs w:val="20"/>
              </w:rPr>
            </w:pPr>
            <w:r w:rsidRPr="00F9152F">
              <w:rPr>
                <w:sz w:val="20"/>
                <w:szCs w:val="20"/>
              </w:rPr>
              <w:t xml:space="preserve">Ievērojot minēto, jāuzsver, ka šobrīd no Likumprojekta un tā anotācijas nav skaidrs, vai aprakstītie procesi ir pieļaujami un tādi arī ir paredzēti. Vai tomēr Likumprojekts, no vienas puses paredz pasargāt atsevišķus subjektus no likumos noteiktiem šķēršļiem izslēdzošā ieskaita piemērošanā, savukārt no otras puses paredz, ka ir likumos noteikti šķēršļi, kas liegs piemērot izslēdzošo ieskaitu attiecībā uz konkrētiem Likumprojekta subjektiem. </w:t>
            </w:r>
          </w:p>
          <w:p w14:paraId="1BE88A1C" w14:textId="77777777" w:rsidR="007B3BCB" w:rsidRPr="00F9152F" w:rsidRDefault="007B3BCB" w:rsidP="003F4963">
            <w:pPr>
              <w:pStyle w:val="NormalWeb"/>
              <w:spacing w:before="0" w:after="0"/>
              <w:ind w:right="13" w:firstLine="330"/>
              <w:jc w:val="both"/>
              <w:rPr>
                <w:sz w:val="20"/>
                <w:szCs w:val="20"/>
              </w:rPr>
            </w:pPr>
            <w:r w:rsidRPr="00F9152F">
              <w:rPr>
                <w:sz w:val="20"/>
                <w:szCs w:val="20"/>
              </w:rPr>
              <w:t xml:space="preserve">Minētais Tieslietu ministrijas ieskatā ir būtiski, lai noteiktu Likumprojekta tvērumu. Tāpat arī šie aspekti ir cieši saistīti ar fundamentāliem civiltiesību pamatiem, kas attiecas uz mantu, īpašuma tiesībām, īpašuma varu un civiltiesisko apgrozību. Atkarībā no Likumprojekta paredzētā </w:t>
            </w:r>
            <w:r w:rsidRPr="00F9152F">
              <w:rPr>
                <w:sz w:val="20"/>
                <w:szCs w:val="20"/>
              </w:rPr>
              <w:lastRenderedPageBreak/>
              <w:t xml:space="preserve">tvēruma, ir nepieciešami mazāki vai lielāki ierobežojumi un pārgrozījumi attiecībā uz mantu un rīcības iespējām ar to, lai iecerēto rezultātu varētu sasniegt. Līdz ar to ir jābūt pietiekami lielai skaidrībai, kāda mēroga ierobežojumi ir jānosaka. Tā kā tie skar civiltiesību pamatus, tie būtu atbilstoši jāpamato. </w:t>
            </w:r>
          </w:p>
          <w:p w14:paraId="43070ED7" w14:textId="77777777" w:rsidR="007B3BCB" w:rsidRPr="00F9152F" w:rsidRDefault="007B3BCB" w:rsidP="003F4963">
            <w:pPr>
              <w:pStyle w:val="NormalWeb"/>
              <w:spacing w:before="0" w:after="0"/>
              <w:ind w:right="13" w:firstLine="330"/>
              <w:jc w:val="both"/>
              <w:rPr>
                <w:sz w:val="20"/>
                <w:szCs w:val="20"/>
              </w:rPr>
            </w:pPr>
            <w:r w:rsidRPr="00F9152F">
              <w:rPr>
                <w:sz w:val="20"/>
                <w:szCs w:val="20"/>
              </w:rPr>
              <w:t>Ievērojot minēto, lūdzam izvērtēt Likumprojekta 8. panta otrajā daļā minētā jēdziena "parādniekam piemērojamie noteikumi" saturu un mērķi un papildināt Likumprojekta anotāciju ar informāciju par to.</w:t>
            </w:r>
          </w:p>
          <w:p w14:paraId="00D13091" w14:textId="77777777" w:rsidR="00DA470C" w:rsidRPr="00F9152F" w:rsidRDefault="00DA470C" w:rsidP="000E106B">
            <w:pPr>
              <w:suppressAutoHyphens/>
              <w:spacing w:after="0" w:line="240" w:lineRule="auto"/>
              <w:jc w:val="both"/>
              <w:rPr>
                <w:rFonts w:ascii="Times New Roman" w:hAnsi="Times New Roman" w:cs="Times New Roman"/>
                <w:iCs/>
                <w:sz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7440D1B6" w14:textId="77777777" w:rsidR="00DA470C" w:rsidRPr="00F9152F" w:rsidRDefault="007B3BCB" w:rsidP="00DA470C">
            <w:pPr>
              <w:spacing w:after="0" w:line="240" w:lineRule="auto"/>
              <w:jc w:val="both"/>
              <w:rPr>
                <w:rFonts w:ascii="Times New Roman" w:eastAsia="Times New Roman" w:hAnsi="Times New Roman" w:cs="Times New Roman"/>
                <w:b/>
                <w:bCs/>
                <w:sz w:val="20"/>
                <w:lang w:eastAsia="lv-LV"/>
              </w:rPr>
            </w:pPr>
            <w:r w:rsidRPr="00F9152F">
              <w:rPr>
                <w:rFonts w:ascii="Times New Roman" w:eastAsia="Times New Roman" w:hAnsi="Times New Roman" w:cs="Times New Roman"/>
                <w:b/>
                <w:bCs/>
                <w:sz w:val="20"/>
                <w:lang w:eastAsia="lv-LV"/>
              </w:rPr>
              <w:lastRenderedPageBreak/>
              <w:t>Iebildums daļēji ņemts vērā.</w:t>
            </w:r>
          </w:p>
          <w:p w14:paraId="75BA254E" w14:textId="77777777" w:rsidR="007B3BCB" w:rsidRPr="00F9152F" w:rsidRDefault="00D771BA" w:rsidP="003F4963">
            <w:pPr>
              <w:pStyle w:val="NormalWeb"/>
              <w:spacing w:before="0" w:after="0"/>
              <w:ind w:right="13" w:firstLine="341"/>
              <w:jc w:val="both"/>
              <w:rPr>
                <w:sz w:val="20"/>
                <w:szCs w:val="20"/>
              </w:rPr>
            </w:pPr>
            <w:r>
              <w:rPr>
                <w:b/>
                <w:sz w:val="20"/>
                <w:szCs w:val="20"/>
              </w:rPr>
              <w:t>6</w:t>
            </w:r>
            <w:r w:rsidR="007B3BCB" w:rsidRPr="00F9152F">
              <w:rPr>
                <w:b/>
                <w:sz w:val="20"/>
                <w:szCs w:val="20"/>
              </w:rPr>
              <w:t>.</w:t>
            </w:r>
            <w:r w:rsidR="007B3BCB" w:rsidRPr="00F9152F">
              <w:rPr>
                <w:sz w:val="20"/>
                <w:szCs w:val="20"/>
              </w:rPr>
              <w:t xml:space="preserve"> Atbildi uz šo komentāru skatīt pie </w:t>
            </w:r>
            <w:r>
              <w:rPr>
                <w:sz w:val="20"/>
                <w:szCs w:val="20"/>
              </w:rPr>
              <w:t>4</w:t>
            </w:r>
            <w:r w:rsidR="007B3BCB" w:rsidRPr="00F9152F">
              <w:rPr>
                <w:sz w:val="20"/>
                <w:szCs w:val="20"/>
              </w:rPr>
              <w:t xml:space="preserve">. un </w:t>
            </w:r>
            <w:r>
              <w:rPr>
                <w:sz w:val="20"/>
                <w:szCs w:val="20"/>
              </w:rPr>
              <w:t>5</w:t>
            </w:r>
            <w:r w:rsidR="007B3BCB" w:rsidRPr="00F9152F">
              <w:rPr>
                <w:sz w:val="20"/>
                <w:szCs w:val="20"/>
              </w:rPr>
              <w:t>.punkta.</w:t>
            </w:r>
          </w:p>
          <w:p w14:paraId="01362630" w14:textId="77777777" w:rsidR="007B3BCB" w:rsidRPr="00F9152F" w:rsidRDefault="007B3BCB" w:rsidP="00DA470C">
            <w:pPr>
              <w:spacing w:after="0" w:line="240" w:lineRule="auto"/>
              <w:jc w:val="both"/>
              <w:rPr>
                <w:rFonts w:ascii="Times New Roman" w:eastAsia="Times New Roman" w:hAnsi="Times New Roman" w:cs="Times New Roman"/>
                <w:bCs/>
                <w:sz w:val="20"/>
                <w:lang w:eastAsia="lv-LV"/>
              </w:rPr>
            </w:pPr>
          </w:p>
        </w:tc>
        <w:tc>
          <w:tcPr>
            <w:tcW w:w="712" w:type="pct"/>
            <w:tcBorders>
              <w:top w:val="single" w:sz="4" w:space="0" w:color="auto"/>
              <w:left w:val="single" w:sz="4" w:space="0" w:color="auto"/>
              <w:bottom w:val="single" w:sz="4" w:space="0" w:color="auto"/>
              <w:right w:val="single" w:sz="4" w:space="0" w:color="auto"/>
            </w:tcBorders>
          </w:tcPr>
          <w:p w14:paraId="1563B4DD" w14:textId="77777777" w:rsidR="00DA470C" w:rsidRPr="00F9152F" w:rsidRDefault="007B3BCB" w:rsidP="00D771BA">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 xml:space="preserve">Skatīt </w:t>
            </w:r>
            <w:r w:rsidR="00D771BA">
              <w:rPr>
                <w:rFonts w:ascii="Times New Roman" w:eastAsia="Times New Roman" w:hAnsi="Times New Roman" w:cs="Times New Roman"/>
                <w:sz w:val="20"/>
                <w:lang w:eastAsia="lv-LV"/>
              </w:rPr>
              <w:t>4</w:t>
            </w:r>
            <w:r w:rsidRPr="00F9152F">
              <w:rPr>
                <w:rFonts w:ascii="Times New Roman" w:eastAsia="Times New Roman" w:hAnsi="Times New Roman" w:cs="Times New Roman"/>
                <w:sz w:val="20"/>
                <w:lang w:eastAsia="lv-LV"/>
              </w:rPr>
              <w:t>.</w:t>
            </w:r>
            <w:r w:rsidR="0096384A" w:rsidRPr="00F9152F">
              <w:rPr>
                <w:rFonts w:ascii="Times New Roman" w:eastAsia="Times New Roman" w:hAnsi="Times New Roman" w:cs="Times New Roman"/>
                <w:sz w:val="20"/>
                <w:lang w:eastAsia="lv-LV"/>
              </w:rPr>
              <w:t xml:space="preserve"> un </w:t>
            </w:r>
            <w:r w:rsidR="00D771BA">
              <w:rPr>
                <w:rFonts w:ascii="Times New Roman" w:eastAsia="Times New Roman" w:hAnsi="Times New Roman" w:cs="Times New Roman"/>
                <w:sz w:val="20"/>
                <w:lang w:eastAsia="lv-LV"/>
              </w:rPr>
              <w:t>5</w:t>
            </w:r>
            <w:r w:rsidR="0096384A" w:rsidRPr="00F9152F">
              <w:rPr>
                <w:rFonts w:ascii="Times New Roman" w:eastAsia="Times New Roman" w:hAnsi="Times New Roman" w:cs="Times New Roman"/>
                <w:sz w:val="20"/>
                <w:lang w:eastAsia="lv-LV"/>
              </w:rPr>
              <w:t>.</w:t>
            </w:r>
            <w:r w:rsidRPr="00F9152F">
              <w:rPr>
                <w:rFonts w:ascii="Times New Roman" w:eastAsia="Times New Roman" w:hAnsi="Times New Roman" w:cs="Times New Roman"/>
                <w:sz w:val="20"/>
                <w:lang w:eastAsia="lv-LV"/>
              </w:rPr>
              <w:t>punktu.</w:t>
            </w:r>
          </w:p>
        </w:tc>
      </w:tr>
      <w:tr w:rsidR="00DA470C" w:rsidRPr="00F9152F" w14:paraId="42C32574"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DEF9541" w14:textId="77777777" w:rsidR="00DA470C" w:rsidRPr="00F9152F" w:rsidRDefault="00DA470C"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B3DEB97" w14:textId="77777777" w:rsidR="00701335" w:rsidRPr="00F9152F" w:rsidRDefault="00701335" w:rsidP="00701335">
            <w:pPr>
              <w:spacing w:after="0" w:line="240" w:lineRule="auto"/>
              <w:jc w:val="both"/>
              <w:rPr>
                <w:rFonts w:ascii="Times New Roman" w:hAnsi="Times New Roman"/>
                <w:b/>
                <w:bCs/>
                <w:color w:val="000000" w:themeColor="text1"/>
                <w:sz w:val="20"/>
                <w:szCs w:val="20"/>
              </w:rPr>
            </w:pPr>
            <w:r w:rsidRPr="00F9152F">
              <w:rPr>
                <w:rFonts w:ascii="Times New Roman" w:hAnsi="Times New Roman"/>
                <w:b/>
                <w:bCs/>
                <w:color w:val="000000" w:themeColor="text1"/>
                <w:sz w:val="20"/>
                <w:szCs w:val="20"/>
              </w:rPr>
              <w:t>9. pants. Atsevišķu tiesiskās aizsardzības, maksātnespējas un likvidācijas procesu regulējošo tiesību normu nepiemērošana</w:t>
            </w:r>
          </w:p>
          <w:p w14:paraId="4183E396" w14:textId="77777777" w:rsidR="00701335" w:rsidRPr="00F9152F" w:rsidRDefault="00701335" w:rsidP="00701335">
            <w:pPr>
              <w:spacing w:after="0" w:line="240" w:lineRule="auto"/>
              <w:jc w:val="both"/>
              <w:rPr>
                <w:rFonts w:ascii="Times New Roman" w:hAnsi="Times New Roman"/>
                <w:b/>
                <w:bCs/>
                <w:color w:val="000000" w:themeColor="text1"/>
                <w:sz w:val="20"/>
                <w:szCs w:val="20"/>
              </w:rPr>
            </w:pPr>
            <w:r w:rsidRPr="00F9152F">
              <w:rPr>
                <w:rFonts w:ascii="Times New Roman" w:hAnsi="Times New Roman"/>
                <w:color w:val="000000" w:themeColor="text1"/>
                <w:sz w:val="20"/>
                <w:szCs w:val="20"/>
              </w:rPr>
              <w:t>(3) Izslēdzošo ieskaitu nevar atzīt par spēkā neesošu vai atcelt tikai tāpēc, ka tas piemērots:</w:t>
            </w:r>
          </w:p>
          <w:p w14:paraId="7BBEC256" w14:textId="77777777" w:rsidR="00701335" w:rsidRPr="00F9152F" w:rsidRDefault="00701335" w:rsidP="00701335">
            <w:pPr>
              <w:spacing w:after="0" w:line="240" w:lineRule="auto"/>
              <w:jc w:val="both"/>
              <w:rPr>
                <w:rFonts w:ascii="Times New Roman" w:hAnsi="Times New Roman"/>
                <w:color w:val="000000" w:themeColor="text1"/>
                <w:sz w:val="20"/>
                <w:szCs w:val="20"/>
              </w:rPr>
            </w:pPr>
            <w:r w:rsidRPr="00F9152F">
              <w:rPr>
                <w:rFonts w:ascii="Times New Roman" w:hAnsi="Times New Roman"/>
                <w:color w:val="000000" w:themeColor="text1"/>
                <w:sz w:val="20"/>
                <w:szCs w:val="20"/>
              </w:rPr>
              <w:t>2) maksātnespējas procesa gadījumā — jebkurā termiņā pirms normatīvajos aktos noteiktajā kārtībā izdarītā paziņojuma par parādnieka maksātnespēju publicēšanas dienas;</w:t>
            </w:r>
          </w:p>
          <w:p w14:paraId="60325D11" w14:textId="77777777" w:rsidR="00DA470C" w:rsidRPr="00F9152F" w:rsidRDefault="00DA470C"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072950E3" w14:textId="77777777" w:rsidR="00DA470C" w:rsidRPr="00F9152F" w:rsidRDefault="003A5018" w:rsidP="003F4963">
            <w:pPr>
              <w:suppressAutoHyphens/>
              <w:spacing w:after="0" w:line="240" w:lineRule="auto"/>
              <w:ind w:firstLine="330"/>
              <w:jc w:val="both"/>
              <w:rPr>
                <w:rFonts w:ascii="Times New Roman" w:hAnsi="Times New Roman" w:cs="Times New Roman"/>
                <w:iCs/>
                <w:sz w:val="20"/>
                <w:szCs w:val="20"/>
              </w:rPr>
            </w:pPr>
            <w:r w:rsidRPr="00F9152F">
              <w:rPr>
                <w:rFonts w:ascii="Times New Roman" w:hAnsi="Times New Roman" w:cs="Times New Roman"/>
                <w:sz w:val="20"/>
                <w:szCs w:val="20"/>
              </w:rPr>
              <w:t>Lūdzam precizēt likumprojekta 9. panta trešās daļas 2. punktu, ņemot vērā, ka procesa pasludināšana un šī fakta ierakstīšana maksātnespējas reģistrā var nebūt vienā un tajā pašā dienā. Tā rezultātā var veidoties nekonsekvence ar, piemēram, Maksātnespējas likuma 96. pantā lietoto atskaites punktu. Tamdēļ ierosinām minēto likumprojekta normu izteikt, to salāgojot ar šī paša likumprojekta 9. panta trešās daļas 3. punktā lietoto konceptu, piemēram, izsakot šādā redakcijā: "2) maksātnespējas procesa gadījumā - jebkurā termiņā pirms parādnieka maksātnespējas procesa pasludināšanas dienas;".</w:t>
            </w:r>
          </w:p>
        </w:tc>
        <w:tc>
          <w:tcPr>
            <w:tcW w:w="1228" w:type="pct"/>
            <w:gridSpan w:val="2"/>
            <w:tcBorders>
              <w:top w:val="single" w:sz="6" w:space="0" w:color="000000"/>
              <w:left w:val="single" w:sz="6" w:space="0" w:color="000000"/>
              <w:bottom w:val="single" w:sz="6" w:space="0" w:color="000000"/>
              <w:right w:val="single" w:sz="6" w:space="0" w:color="000000"/>
            </w:tcBorders>
          </w:tcPr>
          <w:p w14:paraId="5710C3AB" w14:textId="77777777" w:rsidR="00701335" w:rsidRPr="00F9152F" w:rsidRDefault="00701335" w:rsidP="00701335">
            <w:pPr>
              <w:pStyle w:val="NormalWeb"/>
              <w:spacing w:before="0" w:after="0"/>
              <w:ind w:right="13"/>
              <w:jc w:val="both"/>
              <w:rPr>
                <w:b/>
                <w:sz w:val="20"/>
                <w:szCs w:val="20"/>
              </w:rPr>
            </w:pPr>
            <w:r w:rsidRPr="00F9152F">
              <w:rPr>
                <w:b/>
                <w:sz w:val="20"/>
                <w:szCs w:val="20"/>
              </w:rPr>
              <w:t>Iebildums ņemts vērā.</w:t>
            </w:r>
          </w:p>
          <w:p w14:paraId="392F6198" w14:textId="77777777" w:rsidR="00701335" w:rsidRPr="00F9152F" w:rsidRDefault="00D771BA" w:rsidP="003F4963">
            <w:pPr>
              <w:pStyle w:val="NormalWeb"/>
              <w:spacing w:before="0" w:after="0"/>
              <w:ind w:right="13" w:firstLine="341"/>
              <w:jc w:val="both"/>
              <w:rPr>
                <w:sz w:val="20"/>
                <w:szCs w:val="20"/>
              </w:rPr>
            </w:pPr>
            <w:r>
              <w:rPr>
                <w:b/>
                <w:sz w:val="20"/>
                <w:szCs w:val="20"/>
              </w:rPr>
              <w:t>7</w:t>
            </w:r>
            <w:r w:rsidR="003777FB" w:rsidRPr="00F9152F">
              <w:rPr>
                <w:b/>
                <w:sz w:val="20"/>
                <w:szCs w:val="20"/>
              </w:rPr>
              <w:t>.</w:t>
            </w:r>
            <w:r w:rsidR="003777FB" w:rsidRPr="00F9152F">
              <w:rPr>
                <w:sz w:val="20"/>
                <w:szCs w:val="20"/>
              </w:rPr>
              <w:t xml:space="preserve"> </w:t>
            </w:r>
            <w:r w:rsidR="00701335" w:rsidRPr="00F9152F">
              <w:rPr>
                <w:sz w:val="20"/>
                <w:szCs w:val="20"/>
              </w:rPr>
              <w:t xml:space="preserve">Likumprojekta 9.panta trešās daļas 2.punkts izteikts jaunā redakcijā: </w:t>
            </w:r>
            <w:r w:rsidR="00701335" w:rsidRPr="00F9152F">
              <w:rPr>
                <w:i/>
                <w:sz w:val="20"/>
                <w:szCs w:val="20"/>
              </w:rPr>
              <w:t>„2) maksātnespējas procesa gadījumā - jebkurā termiņā pirms parādnieka maksātnespējas procesa pasludināšanas dienas;"</w:t>
            </w:r>
          </w:p>
          <w:p w14:paraId="69BFE254" w14:textId="77777777" w:rsidR="00DA470C" w:rsidRPr="00F9152F" w:rsidRDefault="00DA470C" w:rsidP="00DA470C">
            <w:pPr>
              <w:spacing w:after="0" w:line="240" w:lineRule="auto"/>
              <w:jc w:val="both"/>
              <w:rPr>
                <w:rFonts w:ascii="Times New Roman" w:eastAsia="Times New Roman" w:hAnsi="Times New Roman" w:cs="Times New Roman"/>
                <w:bCs/>
                <w:sz w:val="20"/>
                <w:lang w:eastAsia="lv-LV"/>
              </w:rPr>
            </w:pPr>
          </w:p>
        </w:tc>
        <w:tc>
          <w:tcPr>
            <w:tcW w:w="712" w:type="pct"/>
            <w:tcBorders>
              <w:top w:val="single" w:sz="4" w:space="0" w:color="auto"/>
              <w:left w:val="single" w:sz="4" w:space="0" w:color="auto"/>
              <w:bottom w:val="single" w:sz="4" w:space="0" w:color="auto"/>
              <w:right w:val="single" w:sz="4" w:space="0" w:color="auto"/>
            </w:tcBorders>
          </w:tcPr>
          <w:p w14:paraId="015A8FC1" w14:textId="77777777" w:rsidR="00701335" w:rsidRPr="00F9152F" w:rsidRDefault="00701335" w:rsidP="00701335">
            <w:pPr>
              <w:pStyle w:val="NormalWeb"/>
              <w:spacing w:before="0" w:after="0"/>
              <w:ind w:right="13"/>
              <w:jc w:val="both"/>
              <w:rPr>
                <w:sz w:val="20"/>
                <w:szCs w:val="20"/>
              </w:rPr>
            </w:pPr>
            <w:r w:rsidRPr="00F9152F">
              <w:rPr>
                <w:sz w:val="20"/>
                <w:szCs w:val="20"/>
              </w:rPr>
              <w:t xml:space="preserve">Likumprojekta 9.panta trešās daļas 2.punkts izteikts jaunā redakcijā: </w:t>
            </w:r>
            <w:r w:rsidRPr="00F9152F">
              <w:rPr>
                <w:i/>
                <w:sz w:val="20"/>
                <w:szCs w:val="20"/>
              </w:rPr>
              <w:t>„2) maksātnespējas procesa gadījumā - jebkurā termiņā pirms parādnieka maksātnespējas procesa pasludināšanas dienas;"</w:t>
            </w:r>
          </w:p>
          <w:p w14:paraId="0A498D6C" w14:textId="77777777" w:rsidR="00DA470C" w:rsidRPr="00F9152F" w:rsidRDefault="00DA470C" w:rsidP="009F6647">
            <w:pPr>
              <w:spacing w:after="0" w:line="240" w:lineRule="auto"/>
              <w:jc w:val="both"/>
              <w:rPr>
                <w:rFonts w:ascii="Times New Roman" w:eastAsia="Times New Roman" w:hAnsi="Times New Roman" w:cs="Times New Roman"/>
                <w:sz w:val="20"/>
                <w:lang w:eastAsia="lv-LV"/>
              </w:rPr>
            </w:pPr>
          </w:p>
        </w:tc>
      </w:tr>
      <w:tr w:rsidR="00DA470C" w:rsidRPr="00F9152F" w14:paraId="0FDE5043"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380A17A" w14:textId="77777777" w:rsidR="00DA470C" w:rsidRPr="00F9152F" w:rsidRDefault="00DA470C"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8BFAEAC" w14:textId="77777777" w:rsidR="00DA470C" w:rsidRPr="00F9152F" w:rsidRDefault="00BD0B0F" w:rsidP="00614FD3">
            <w:pPr>
              <w:spacing w:after="0" w:line="240" w:lineRule="auto"/>
              <w:jc w:val="both"/>
              <w:rPr>
                <w:rFonts w:ascii="Times New Roman" w:eastAsia="Times New Roman" w:hAnsi="Times New Roman" w:cs="Times New Roman"/>
                <w:bCs/>
                <w:sz w:val="20"/>
                <w:lang w:eastAsia="lv-LV"/>
              </w:rPr>
            </w:pPr>
            <w:r w:rsidRPr="00184920">
              <w:rPr>
                <w:rFonts w:ascii="Times New Roman" w:eastAsia="Times New Roman" w:hAnsi="Times New Roman" w:cs="Times New Roman"/>
                <w:b/>
                <w:bCs/>
                <w:sz w:val="20"/>
                <w:lang w:eastAsia="lv-LV"/>
              </w:rPr>
              <w:t>Vispārīgs iebildums</w:t>
            </w:r>
          </w:p>
        </w:tc>
        <w:tc>
          <w:tcPr>
            <w:tcW w:w="1153" w:type="pct"/>
            <w:tcBorders>
              <w:top w:val="single" w:sz="6" w:space="0" w:color="000000"/>
              <w:left w:val="single" w:sz="6" w:space="0" w:color="000000"/>
              <w:bottom w:val="single" w:sz="6" w:space="0" w:color="000000"/>
              <w:right w:val="single" w:sz="6" w:space="0" w:color="000000"/>
            </w:tcBorders>
          </w:tcPr>
          <w:p w14:paraId="3C9CBECC" w14:textId="77777777" w:rsidR="00DA470C" w:rsidRPr="00F9152F" w:rsidRDefault="00933CB5" w:rsidP="003F4963">
            <w:pPr>
              <w:suppressAutoHyphens/>
              <w:spacing w:after="0" w:line="240" w:lineRule="auto"/>
              <w:ind w:firstLine="330"/>
              <w:jc w:val="both"/>
              <w:rPr>
                <w:rFonts w:ascii="Times New Roman" w:hAnsi="Times New Roman" w:cs="Times New Roman"/>
                <w:iCs/>
                <w:sz w:val="20"/>
                <w:szCs w:val="20"/>
              </w:rPr>
            </w:pPr>
            <w:r w:rsidRPr="00F9152F">
              <w:rPr>
                <w:rFonts w:ascii="Times New Roman" w:hAnsi="Times New Roman" w:cs="Times New Roman"/>
                <w:sz w:val="20"/>
                <w:szCs w:val="20"/>
              </w:rPr>
              <w:t>Lūdzam izvērtēt un Likumprojekta anotācijā ietvert informāciju par to, vai Projektā paredzētais izslēdzošā ieskaita regulējums neskar sabiedrības reorganizācijas procesu tādai sabiedrībai, kas ir šī Projekta subjekts.</w:t>
            </w:r>
          </w:p>
        </w:tc>
        <w:tc>
          <w:tcPr>
            <w:tcW w:w="1228" w:type="pct"/>
            <w:gridSpan w:val="2"/>
            <w:tcBorders>
              <w:top w:val="single" w:sz="6" w:space="0" w:color="000000"/>
              <w:left w:val="single" w:sz="6" w:space="0" w:color="000000"/>
              <w:bottom w:val="single" w:sz="6" w:space="0" w:color="000000"/>
              <w:right w:val="single" w:sz="6" w:space="0" w:color="000000"/>
            </w:tcBorders>
          </w:tcPr>
          <w:p w14:paraId="6450686E" w14:textId="77777777" w:rsidR="00933CB5" w:rsidRDefault="00933CB5" w:rsidP="003F4963">
            <w:pPr>
              <w:pStyle w:val="NormalWeb"/>
              <w:spacing w:before="0" w:after="0"/>
              <w:ind w:right="13"/>
              <w:jc w:val="both"/>
              <w:rPr>
                <w:b/>
                <w:sz w:val="20"/>
                <w:szCs w:val="20"/>
              </w:rPr>
            </w:pPr>
            <w:r w:rsidRPr="00F9152F">
              <w:rPr>
                <w:b/>
                <w:sz w:val="20"/>
                <w:szCs w:val="20"/>
              </w:rPr>
              <w:t>Iebildums daļēji ņemts vērā.</w:t>
            </w:r>
          </w:p>
          <w:p w14:paraId="7BC3395F" w14:textId="77777777" w:rsidR="00403930" w:rsidRPr="00403930" w:rsidRDefault="00403930" w:rsidP="003F4963">
            <w:pPr>
              <w:pStyle w:val="NormalWeb"/>
              <w:spacing w:before="0" w:after="0"/>
              <w:ind w:right="13"/>
              <w:jc w:val="both"/>
              <w:rPr>
                <w:sz w:val="20"/>
                <w:szCs w:val="20"/>
              </w:rPr>
            </w:pPr>
            <w:r w:rsidRPr="00403930">
              <w:rPr>
                <w:sz w:val="20"/>
                <w:szCs w:val="20"/>
              </w:rPr>
              <w:t>Sniedzam šādu skaidrojumu:</w:t>
            </w:r>
          </w:p>
          <w:p w14:paraId="0B7CE38E" w14:textId="77777777" w:rsidR="00933CB5" w:rsidRPr="00F9152F" w:rsidRDefault="00D771BA" w:rsidP="003F4963">
            <w:pPr>
              <w:pStyle w:val="NormalWeb"/>
              <w:spacing w:before="0" w:after="0"/>
              <w:ind w:right="13" w:firstLine="341"/>
              <w:jc w:val="both"/>
              <w:rPr>
                <w:color w:val="000000" w:themeColor="text1"/>
                <w:sz w:val="20"/>
                <w:szCs w:val="20"/>
              </w:rPr>
            </w:pPr>
            <w:r>
              <w:rPr>
                <w:b/>
                <w:sz w:val="20"/>
                <w:szCs w:val="20"/>
              </w:rPr>
              <w:t>8</w:t>
            </w:r>
            <w:r w:rsidR="003777FB" w:rsidRPr="00F9152F">
              <w:rPr>
                <w:b/>
                <w:sz w:val="20"/>
                <w:szCs w:val="20"/>
              </w:rPr>
              <w:t>.</w:t>
            </w:r>
            <w:r w:rsidR="003777FB" w:rsidRPr="00F9152F">
              <w:rPr>
                <w:sz w:val="20"/>
                <w:szCs w:val="20"/>
              </w:rPr>
              <w:t xml:space="preserve"> </w:t>
            </w:r>
            <w:r w:rsidR="00933CB5" w:rsidRPr="00F9152F">
              <w:rPr>
                <w:sz w:val="20"/>
                <w:szCs w:val="20"/>
              </w:rPr>
              <w:t>Jautājumu par sabiedrības reorganizācijas procesu regulē Master Agreement noteikumi. Saskaņā ar ISDA 2002 Master Agreement noteikumiem reorganizācija ir viens no izpildes notikumiem</w:t>
            </w:r>
            <w:r w:rsidR="00933CB5" w:rsidRPr="00F9152F">
              <w:rPr>
                <w:color w:val="000000" w:themeColor="text1"/>
                <w:sz w:val="20"/>
                <w:szCs w:val="20"/>
              </w:rPr>
              <w:t>, par ko līdzēji vienojušies, ka, tam iestājoties, puses var piemērot izslēdzošo ieskaitu.</w:t>
            </w:r>
          </w:p>
          <w:p w14:paraId="513283BE" w14:textId="77777777" w:rsidR="00933CB5" w:rsidRPr="00F9152F" w:rsidRDefault="00933CB5" w:rsidP="003F4963">
            <w:pPr>
              <w:pStyle w:val="NormalWeb"/>
              <w:spacing w:before="0" w:after="0"/>
              <w:ind w:right="13" w:firstLine="341"/>
              <w:jc w:val="both"/>
              <w:rPr>
                <w:sz w:val="20"/>
                <w:szCs w:val="20"/>
              </w:rPr>
            </w:pPr>
            <w:r w:rsidRPr="00F9152F">
              <w:rPr>
                <w:sz w:val="20"/>
                <w:szCs w:val="20"/>
              </w:rPr>
              <w:t>ISDA 2002 Master Agreement</w:t>
            </w:r>
            <w:r w:rsidRPr="00F9152F">
              <w:rPr>
                <w:color w:val="000000" w:themeColor="text1"/>
                <w:sz w:val="20"/>
                <w:szCs w:val="20"/>
              </w:rPr>
              <w:t xml:space="preserve"> 5.punkta „Events of Default and Termination Events” (a)</w:t>
            </w:r>
            <w:r w:rsidR="000D66E6">
              <w:rPr>
                <w:color w:val="000000" w:themeColor="text1"/>
                <w:sz w:val="20"/>
                <w:szCs w:val="20"/>
              </w:rPr>
              <w:t> </w:t>
            </w:r>
            <w:r w:rsidRPr="00F9152F">
              <w:rPr>
                <w:color w:val="000000" w:themeColor="text1"/>
                <w:sz w:val="20"/>
                <w:szCs w:val="20"/>
              </w:rPr>
              <w:t xml:space="preserve">apakšpunkta </w:t>
            </w:r>
            <w:r w:rsidRPr="00F9152F">
              <w:rPr>
                <w:color w:val="000000" w:themeColor="text1"/>
                <w:sz w:val="20"/>
                <w:szCs w:val="20"/>
              </w:rPr>
              <w:lastRenderedPageBreak/>
              <w:t>„Events of Default” (viii)</w:t>
            </w:r>
            <w:r w:rsidR="000D66E6">
              <w:rPr>
                <w:color w:val="000000" w:themeColor="text1"/>
                <w:sz w:val="20"/>
                <w:szCs w:val="20"/>
              </w:rPr>
              <w:t> </w:t>
            </w:r>
            <w:r w:rsidRPr="00F9152F">
              <w:rPr>
                <w:color w:val="000000" w:themeColor="text1"/>
                <w:sz w:val="20"/>
                <w:szCs w:val="20"/>
              </w:rPr>
              <w:t>daļa „</w:t>
            </w:r>
            <w:r w:rsidRPr="00F9152F">
              <w:rPr>
                <w:sz w:val="20"/>
                <w:szCs w:val="20"/>
              </w:rPr>
              <w:t>Merger Without Assumption</w:t>
            </w:r>
            <w:r w:rsidRPr="00F9152F">
              <w:rPr>
                <w:color w:val="000000" w:themeColor="text1"/>
                <w:sz w:val="20"/>
                <w:szCs w:val="20"/>
              </w:rPr>
              <w:t xml:space="preserve">” to definē šādi: </w:t>
            </w:r>
          </w:p>
          <w:p w14:paraId="19F502F7" w14:textId="77777777" w:rsidR="00933CB5" w:rsidRPr="00113799" w:rsidRDefault="00933CB5" w:rsidP="003F4963">
            <w:pPr>
              <w:tabs>
                <w:tab w:val="left" w:pos="881"/>
              </w:tabs>
              <w:spacing w:after="0" w:line="240" w:lineRule="auto"/>
              <w:ind w:firstLine="341"/>
              <w:jc w:val="both"/>
              <w:rPr>
                <w:rFonts w:ascii="Times New Roman" w:hAnsi="Times New Roman" w:cs="Times New Roman"/>
                <w:i/>
                <w:sz w:val="20"/>
                <w:szCs w:val="20"/>
                <w:lang w:val="en-GB"/>
              </w:rPr>
            </w:pPr>
            <w:r w:rsidRPr="00113799">
              <w:rPr>
                <w:rFonts w:ascii="Times New Roman" w:hAnsi="Times New Roman" w:cs="Times New Roman"/>
                <w:i/>
                <w:sz w:val="20"/>
                <w:szCs w:val="20"/>
                <w:lang w:val="en-GB"/>
              </w:rPr>
              <w:t xml:space="preserve">„The party or any other Credit Support Provider of such party consolidates or amalgamates with, or merges with into, or transfers all or substantially all its assets to, or reorganises, reincorporates or reconstitutes into or as, another entity and, at the time of such consolidation, amalgamation, merger, transfer, reorganisation, reincorporation or reconstitution: - </w:t>
            </w:r>
          </w:p>
          <w:p w14:paraId="677F89A1" w14:textId="77777777" w:rsidR="00933CB5" w:rsidRPr="00113799" w:rsidRDefault="00933CB5" w:rsidP="003F4963">
            <w:pPr>
              <w:pStyle w:val="ListParagraph"/>
              <w:numPr>
                <w:ilvl w:val="0"/>
                <w:numId w:val="18"/>
              </w:numPr>
              <w:tabs>
                <w:tab w:val="left" w:pos="881"/>
              </w:tabs>
              <w:spacing w:after="0" w:line="240" w:lineRule="auto"/>
              <w:ind w:left="0" w:firstLine="341"/>
              <w:jc w:val="both"/>
              <w:rPr>
                <w:rFonts w:ascii="Times New Roman" w:hAnsi="Times New Roman" w:cs="Times New Roman"/>
                <w:i/>
                <w:sz w:val="20"/>
                <w:szCs w:val="20"/>
                <w:lang w:val="en-GB"/>
              </w:rPr>
            </w:pPr>
            <w:r w:rsidRPr="00113799">
              <w:rPr>
                <w:rFonts w:ascii="Times New Roman" w:hAnsi="Times New Roman" w:cs="Times New Roman"/>
                <w:i/>
                <w:sz w:val="20"/>
                <w:szCs w:val="20"/>
                <w:lang w:val="en-GB"/>
              </w:rPr>
              <w:t>the resulting, surviving or transferee entity fails to assume all the obligations of such party or such Credit Support Provider under this Agreement or any Credit Support Document to which it or its predecessor was a party; or</w:t>
            </w:r>
          </w:p>
          <w:p w14:paraId="22CFE5C5" w14:textId="77777777" w:rsidR="00933CB5" w:rsidRPr="00113799" w:rsidRDefault="00933CB5" w:rsidP="003F4963">
            <w:pPr>
              <w:pStyle w:val="ListParagraph"/>
              <w:numPr>
                <w:ilvl w:val="0"/>
                <w:numId w:val="18"/>
              </w:numPr>
              <w:tabs>
                <w:tab w:val="left" w:pos="881"/>
              </w:tabs>
              <w:spacing w:after="0" w:line="240" w:lineRule="auto"/>
              <w:ind w:left="0" w:firstLine="341"/>
              <w:jc w:val="both"/>
              <w:rPr>
                <w:rFonts w:ascii="Times New Roman" w:hAnsi="Times New Roman" w:cs="Times New Roman"/>
                <w:i/>
                <w:sz w:val="20"/>
                <w:szCs w:val="20"/>
                <w:lang w:val="en-GB"/>
              </w:rPr>
            </w:pPr>
            <w:r w:rsidRPr="00113799">
              <w:rPr>
                <w:rFonts w:ascii="Times New Roman" w:hAnsi="Times New Roman" w:cs="Times New Roman"/>
                <w:i/>
                <w:sz w:val="20"/>
                <w:szCs w:val="20"/>
                <w:lang w:val="en-GB"/>
              </w:rPr>
              <w:t>the benefits of any Credit Support Document fail to extend (without the consent of other party) to the performance by such resulting, surviving or transferee entity of its obligations under this Agreement.”</w:t>
            </w:r>
          </w:p>
          <w:p w14:paraId="1CAE68D9" w14:textId="77777777" w:rsidR="00DA470C" w:rsidRPr="00F9152F" w:rsidRDefault="00933CB5" w:rsidP="00D771BA">
            <w:pPr>
              <w:pStyle w:val="NormalWeb"/>
              <w:spacing w:before="0" w:after="0"/>
              <w:ind w:right="13" w:firstLine="341"/>
              <w:jc w:val="both"/>
              <w:rPr>
                <w:bCs/>
                <w:sz w:val="20"/>
              </w:rPr>
            </w:pPr>
            <w:r w:rsidRPr="00F9152F">
              <w:rPr>
                <w:sz w:val="20"/>
                <w:szCs w:val="20"/>
              </w:rPr>
              <w:t>Tā Komerclikums komercsabiedrības reorganizācijas gadījumā nesatur normas, kas būtu līdzīgas maksātnespējas regulējumam un kas paredz ieskaita aizliegumu vai maksātnespējas</w:t>
            </w:r>
            <w:r w:rsidR="00AB3397" w:rsidRPr="00F9152F">
              <w:rPr>
                <w:sz w:val="20"/>
                <w:szCs w:val="20"/>
              </w:rPr>
              <w:t xml:space="preserve"> procesa</w:t>
            </w:r>
            <w:r w:rsidRPr="00F9152F">
              <w:rPr>
                <w:sz w:val="20"/>
                <w:szCs w:val="20"/>
              </w:rPr>
              <w:t xml:space="preserve"> administratora tiesības vienpusēji atkāpties no līguma vai prasīt atzīt līgumu par spēkā neesošu vai atceļamu, tad attiecīgi secināms, ka Komerclikuma normas neliedz piemērot izslēdzošo ieskaitu sabiedrības reorganizācijas gadījumā. Vienlaikus jāņem vērā, ka īpašs regulējums attiecībā uz reorganizāciju vai likvidāciju ir noteikts kredītiestādēm (Kredītiestāžu likuma 158.panta pirmajā daļā), kā arī apdrošināšanas sabiedrībām (Apdrošināšanas un pārapdrošināšanas likum</w:t>
            </w:r>
            <w:r w:rsidR="0096384A" w:rsidRPr="00F9152F">
              <w:rPr>
                <w:sz w:val="20"/>
                <w:szCs w:val="20"/>
              </w:rPr>
              <w:t>a 273.panta pirmajā daļā</w:t>
            </w:r>
            <w:r w:rsidRPr="00F9152F">
              <w:rPr>
                <w:sz w:val="20"/>
                <w:szCs w:val="20"/>
              </w:rPr>
              <w:t>). Taču tā kā iepriekš minēt</w:t>
            </w:r>
            <w:r w:rsidR="00FC7928">
              <w:rPr>
                <w:sz w:val="20"/>
                <w:szCs w:val="20"/>
              </w:rPr>
              <w:t>ā</w:t>
            </w:r>
            <w:r w:rsidRPr="00F9152F">
              <w:rPr>
                <w:sz w:val="20"/>
                <w:szCs w:val="20"/>
              </w:rPr>
              <w:t xml:space="preserve">s </w:t>
            </w:r>
            <w:r w:rsidR="00FC7928">
              <w:rPr>
                <w:sz w:val="20"/>
                <w:szCs w:val="20"/>
              </w:rPr>
              <w:t>normas jau</w:t>
            </w:r>
            <w:r w:rsidRPr="00F9152F">
              <w:rPr>
                <w:sz w:val="20"/>
                <w:szCs w:val="20"/>
              </w:rPr>
              <w:t xml:space="preserve"> atļauj piemērot izslēdzošo ieskaitu reorganizācijas gadījumā, tad attiecīgi nav nepieciešams šo jautājumu papildus vēl kaut kā regulēt Likumprojektā.</w:t>
            </w:r>
          </w:p>
        </w:tc>
        <w:tc>
          <w:tcPr>
            <w:tcW w:w="712" w:type="pct"/>
            <w:tcBorders>
              <w:top w:val="single" w:sz="4" w:space="0" w:color="auto"/>
              <w:left w:val="single" w:sz="4" w:space="0" w:color="auto"/>
              <w:bottom w:val="single" w:sz="4" w:space="0" w:color="auto"/>
              <w:right w:val="single" w:sz="4" w:space="0" w:color="auto"/>
            </w:tcBorders>
          </w:tcPr>
          <w:p w14:paraId="69F8FBBC" w14:textId="77777777" w:rsidR="00DA470C" w:rsidRPr="00F9152F" w:rsidRDefault="00DA470C" w:rsidP="009F6647">
            <w:pPr>
              <w:spacing w:after="0" w:line="240" w:lineRule="auto"/>
              <w:jc w:val="both"/>
              <w:rPr>
                <w:rFonts w:ascii="Times New Roman" w:eastAsia="Times New Roman" w:hAnsi="Times New Roman" w:cs="Times New Roman"/>
                <w:sz w:val="20"/>
                <w:lang w:eastAsia="lv-LV"/>
              </w:rPr>
            </w:pPr>
          </w:p>
        </w:tc>
      </w:tr>
      <w:tr w:rsidR="00933CB5" w:rsidRPr="00F9152F" w14:paraId="1ADD6757"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EB9E292" w14:textId="77777777" w:rsidR="00933CB5" w:rsidRPr="00F9152F" w:rsidRDefault="00933CB5"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C35D8C7" w14:textId="77777777" w:rsidR="00933CB5" w:rsidRPr="00F9152F" w:rsidRDefault="00933CB5"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58CA06AF" w14:textId="77777777" w:rsidR="00933CB5" w:rsidRPr="00F9152F" w:rsidRDefault="00933CB5" w:rsidP="00933CB5">
            <w:pPr>
              <w:pStyle w:val="NormalWeb"/>
              <w:spacing w:before="0" w:after="0"/>
              <w:ind w:right="13" w:firstLine="567"/>
              <w:jc w:val="both"/>
              <w:rPr>
                <w:sz w:val="20"/>
                <w:szCs w:val="20"/>
              </w:rPr>
            </w:pPr>
            <w:r w:rsidRPr="00F9152F">
              <w:rPr>
                <w:sz w:val="20"/>
                <w:szCs w:val="20"/>
              </w:rPr>
              <w:t xml:space="preserve">Papildus izsakām šādu priekšlikumu: </w:t>
            </w:r>
          </w:p>
          <w:p w14:paraId="596F50D9" w14:textId="77777777" w:rsidR="00933CB5" w:rsidRPr="00F9152F" w:rsidRDefault="00933CB5" w:rsidP="00933CB5">
            <w:pPr>
              <w:pStyle w:val="NormalWeb"/>
              <w:spacing w:before="0" w:after="0"/>
              <w:ind w:right="13" w:firstLine="567"/>
              <w:jc w:val="both"/>
              <w:rPr>
                <w:sz w:val="20"/>
                <w:szCs w:val="20"/>
              </w:rPr>
            </w:pPr>
            <w:r w:rsidRPr="00F9152F">
              <w:rPr>
                <w:sz w:val="20"/>
                <w:szCs w:val="20"/>
              </w:rPr>
              <w:t xml:space="preserve">Lūdzam Likumprojekta anotācijas I sadaļas 2. punktā atšifrēt vārdu "administrators", lai būtu nepārprotami skaidrs, ka tas attiecināms uz </w:t>
            </w:r>
            <w:r w:rsidRPr="00F9152F">
              <w:rPr>
                <w:sz w:val="20"/>
                <w:szCs w:val="20"/>
              </w:rPr>
              <w:lastRenderedPageBreak/>
              <w:t>Maksātnespējas likuma 9. pantā definēto maksātnespējas procesa administratoru.</w:t>
            </w:r>
          </w:p>
          <w:p w14:paraId="1E7D768A" w14:textId="77777777" w:rsidR="00933CB5" w:rsidRPr="00F9152F" w:rsidRDefault="00933CB5" w:rsidP="000E106B">
            <w:pPr>
              <w:suppressAutoHyphens/>
              <w:spacing w:after="0" w:line="240" w:lineRule="auto"/>
              <w:jc w:val="both"/>
              <w:rPr>
                <w:rFonts w:ascii="Times New Roman" w:hAnsi="Times New Roman" w:cs="Times New Roman"/>
                <w:iCs/>
                <w:sz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4E396094" w14:textId="77777777" w:rsidR="00933CB5" w:rsidRPr="00F9152F" w:rsidRDefault="00933CB5" w:rsidP="003F4963">
            <w:pPr>
              <w:pStyle w:val="NormalWeb"/>
              <w:spacing w:before="0" w:after="0"/>
              <w:ind w:right="13"/>
              <w:jc w:val="both"/>
              <w:rPr>
                <w:b/>
                <w:sz w:val="20"/>
                <w:szCs w:val="20"/>
              </w:rPr>
            </w:pPr>
            <w:r w:rsidRPr="00F9152F">
              <w:rPr>
                <w:b/>
                <w:sz w:val="20"/>
                <w:szCs w:val="20"/>
              </w:rPr>
              <w:lastRenderedPageBreak/>
              <w:t>Priekšlikums ņemts vērā.</w:t>
            </w:r>
          </w:p>
          <w:p w14:paraId="0A3ADC72" w14:textId="77777777" w:rsidR="00933CB5" w:rsidRPr="00F9152F" w:rsidRDefault="00D771BA" w:rsidP="003F4963">
            <w:pPr>
              <w:pStyle w:val="NormalWeb"/>
              <w:spacing w:before="0" w:after="0"/>
              <w:ind w:right="13" w:firstLine="341"/>
              <w:jc w:val="both"/>
              <w:rPr>
                <w:sz w:val="20"/>
                <w:szCs w:val="20"/>
              </w:rPr>
            </w:pPr>
            <w:r>
              <w:rPr>
                <w:b/>
                <w:sz w:val="20"/>
                <w:szCs w:val="20"/>
              </w:rPr>
              <w:t>9</w:t>
            </w:r>
            <w:r w:rsidR="003777FB" w:rsidRPr="00F9152F">
              <w:rPr>
                <w:b/>
                <w:sz w:val="20"/>
                <w:szCs w:val="20"/>
              </w:rPr>
              <w:t xml:space="preserve">. </w:t>
            </w:r>
            <w:r w:rsidR="00933CB5" w:rsidRPr="00F9152F">
              <w:rPr>
                <w:sz w:val="20"/>
                <w:szCs w:val="20"/>
              </w:rPr>
              <w:t>Anotācijā vārds „administrators” ir aizstāts ar vārdiem „maksātnespējas procesa administ</w:t>
            </w:r>
            <w:r w:rsidR="0096384A" w:rsidRPr="00F9152F">
              <w:rPr>
                <w:sz w:val="20"/>
                <w:szCs w:val="20"/>
              </w:rPr>
              <w:t>ra</w:t>
            </w:r>
            <w:r w:rsidR="00933CB5" w:rsidRPr="00F9152F">
              <w:rPr>
                <w:sz w:val="20"/>
                <w:szCs w:val="20"/>
              </w:rPr>
              <w:t>tors”.</w:t>
            </w:r>
          </w:p>
          <w:p w14:paraId="0F27AA41" w14:textId="77777777" w:rsidR="00933CB5" w:rsidRPr="00F9152F" w:rsidRDefault="00933CB5" w:rsidP="00DA470C">
            <w:pPr>
              <w:spacing w:after="0" w:line="240" w:lineRule="auto"/>
              <w:jc w:val="both"/>
              <w:rPr>
                <w:rFonts w:ascii="Times New Roman" w:eastAsia="Times New Roman" w:hAnsi="Times New Roman" w:cs="Times New Roman"/>
                <w:bCs/>
                <w:sz w:val="20"/>
                <w:lang w:eastAsia="lv-LV"/>
              </w:rPr>
            </w:pPr>
          </w:p>
        </w:tc>
        <w:tc>
          <w:tcPr>
            <w:tcW w:w="712" w:type="pct"/>
            <w:tcBorders>
              <w:top w:val="single" w:sz="4" w:space="0" w:color="auto"/>
              <w:left w:val="single" w:sz="4" w:space="0" w:color="auto"/>
              <w:bottom w:val="single" w:sz="4" w:space="0" w:color="auto"/>
              <w:right w:val="single" w:sz="4" w:space="0" w:color="auto"/>
            </w:tcBorders>
          </w:tcPr>
          <w:p w14:paraId="7FBB32DC" w14:textId="77777777" w:rsidR="00933CB5" w:rsidRPr="00F9152F" w:rsidRDefault="00933CB5" w:rsidP="00933CB5">
            <w:pPr>
              <w:pStyle w:val="NormalWeb"/>
              <w:spacing w:before="0" w:after="0"/>
              <w:ind w:right="13"/>
              <w:jc w:val="both"/>
              <w:rPr>
                <w:sz w:val="20"/>
                <w:szCs w:val="20"/>
              </w:rPr>
            </w:pPr>
            <w:r w:rsidRPr="00F9152F">
              <w:rPr>
                <w:sz w:val="20"/>
                <w:szCs w:val="20"/>
              </w:rPr>
              <w:t xml:space="preserve">Likumprojekta anotācijā vārds „administrators” ir aizstāts ar vārdiem </w:t>
            </w:r>
            <w:r w:rsidRPr="00F9152F">
              <w:rPr>
                <w:sz w:val="20"/>
                <w:szCs w:val="20"/>
              </w:rPr>
              <w:lastRenderedPageBreak/>
              <w:t>„</w:t>
            </w:r>
            <w:r w:rsidR="0096384A" w:rsidRPr="00F9152F">
              <w:rPr>
                <w:sz w:val="20"/>
                <w:szCs w:val="20"/>
              </w:rPr>
              <w:t>maksātnespējas procesa administ</w:t>
            </w:r>
            <w:r w:rsidRPr="00F9152F">
              <w:rPr>
                <w:sz w:val="20"/>
                <w:szCs w:val="20"/>
              </w:rPr>
              <w:t>r</w:t>
            </w:r>
            <w:r w:rsidR="0096384A" w:rsidRPr="00F9152F">
              <w:rPr>
                <w:sz w:val="20"/>
                <w:szCs w:val="20"/>
              </w:rPr>
              <w:t>a</w:t>
            </w:r>
            <w:r w:rsidRPr="00F9152F">
              <w:rPr>
                <w:sz w:val="20"/>
                <w:szCs w:val="20"/>
              </w:rPr>
              <w:t>tors”.</w:t>
            </w:r>
          </w:p>
          <w:p w14:paraId="4B9B2B6A" w14:textId="77777777" w:rsidR="00933CB5" w:rsidRPr="00F9152F" w:rsidRDefault="00933CB5" w:rsidP="009F6647">
            <w:pPr>
              <w:spacing w:after="0" w:line="240" w:lineRule="auto"/>
              <w:jc w:val="both"/>
              <w:rPr>
                <w:rFonts w:ascii="Times New Roman" w:eastAsia="Times New Roman" w:hAnsi="Times New Roman" w:cs="Times New Roman"/>
                <w:sz w:val="20"/>
                <w:lang w:eastAsia="lv-LV"/>
              </w:rPr>
            </w:pPr>
          </w:p>
        </w:tc>
      </w:tr>
      <w:tr w:rsidR="00DB754A" w:rsidRPr="00F9152F" w14:paraId="2A7B2943" w14:textId="77777777" w:rsidTr="00DB754A">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3AD22250" w14:textId="1862F371" w:rsidR="00DB754A" w:rsidRPr="00F9152F" w:rsidRDefault="00DB754A" w:rsidP="00527431">
            <w:pPr>
              <w:pStyle w:val="NormalWeb"/>
              <w:spacing w:before="0" w:after="0"/>
              <w:ind w:right="13"/>
              <w:jc w:val="center"/>
              <w:rPr>
                <w:sz w:val="20"/>
                <w:szCs w:val="20"/>
              </w:rPr>
            </w:pPr>
            <w:r w:rsidRPr="00F9152F">
              <w:rPr>
                <w:b/>
                <w:sz w:val="20"/>
              </w:rPr>
              <w:lastRenderedPageBreak/>
              <w:t xml:space="preserve">Tieslietu ministrijas </w:t>
            </w:r>
            <w:r w:rsidRPr="00836DC5">
              <w:rPr>
                <w:b/>
                <w:sz w:val="20"/>
              </w:rPr>
              <w:t>2</w:t>
            </w:r>
            <w:r w:rsidR="00527431" w:rsidRPr="00836DC5">
              <w:rPr>
                <w:b/>
                <w:sz w:val="20"/>
              </w:rPr>
              <w:t>4</w:t>
            </w:r>
            <w:r w:rsidRPr="00836DC5">
              <w:rPr>
                <w:b/>
                <w:sz w:val="20"/>
              </w:rPr>
              <w:t>.0</w:t>
            </w:r>
            <w:r w:rsidR="00527431" w:rsidRPr="00836DC5">
              <w:rPr>
                <w:b/>
                <w:sz w:val="20"/>
              </w:rPr>
              <w:t>9</w:t>
            </w:r>
            <w:r w:rsidRPr="00836DC5">
              <w:rPr>
                <w:b/>
                <w:sz w:val="20"/>
              </w:rPr>
              <w:t xml:space="preserve">.2020. atzinumā Nr. </w:t>
            </w:r>
            <w:r w:rsidR="00C42644">
              <w:rPr>
                <w:b/>
                <w:sz w:val="20"/>
              </w:rPr>
              <w:t xml:space="preserve">VSS-420, VSS-421, VSS-422, VSS-423, VSS-424 </w:t>
            </w:r>
            <w:r w:rsidRPr="00836DC5">
              <w:rPr>
                <w:b/>
                <w:sz w:val="20"/>
              </w:rPr>
              <w:t>izteiktie iebildumi</w:t>
            </w:r>
          </w:p>
        </w:tc>
      </w:tr>
      <w:tr w:rsidR="00DB754A" w:rsidRPr="00F9152F" w14:paraId="5B12DE52"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1EAACC8" w14:textId="77777777" w:rsidR="00DB754A" w:rsidRPr="00F9152F" w:rsidRDefault="00DB754A"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32F34C66" w14:textId="77777777" w:rsidR="00DB754A" w:rsidRPr="00F9152F" w:rsidRDefault="00DB754A"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3AC6B36E" w14:textId="77777777" w:rsidR="00DB754A" w:rsidRPr="00BE6558" w:rsidRDefault="00662201" w:rsidP="00D771BA">
            <w:pPr>
              <w:spacing w:after="0" w:line="240" w:lineRule="auto"/>
              <w:ind w:firstLine="319"/>
              <w:jc w:val="both"/>
            </w:pPr>
            <w:r>
              <w:rPr>
                <w:rFonts w:ascii="Times New Roman" w:eastAsia="Times New Roman" w:hAnsi="Times New Roman" w:cs="Times New Roman"/>
                <w:sz w:val="20"/>
                <w:szCs w:val="20"/>
              </w:rPr>
              <w:t>Lūdzam izziņas 2.sadaļas 9.</w:t>
            </w:r>
            <w:r w:rsidR="00BE6558" w:rsidRPr="00BE6558">
              <w:rPr>
                <w:rFonts w:ascii="Times New Roman" w:eastAsia="Times New Roman" w:hAnsi="Times New Roman" w:cs="Times New Roman"/>
                <w:sz w:val="20"/>
                <w:szCs w:val="20"/>
              </w:rPr>
              <w:t xml:space="preserve">punktā </w:t>
            </w:r>
            <w:r>
              <w:rPr>
                <w:rFonts w:ascii="Times New Roman" w:eastAsia="Times New Roman" w:hAnsi="Times New Roman" w:cs="Times New Roman"/>
                <w:sz w:val="20"/>
                <w:szCs w:val="20"/>
              </w:rPr>
              <w:t xml:space="preserve">[pēc numerācijas maiņas 8.punkts] </w:t>
            </w:r>
            <w:r w:rsidR="00BE6558" w:rsidRPr="00BE6558">
              <w:rPr>
                <w:rFonts w:ascii="Times New Roman" w:eastAsia="Times New Roman" w:hAnsi="Times New Roman" w:cs="Times New Roman"/>
                <w:sz w:val="20"/>
                <w:szCs w:val="20"/>
              </w:rPr>
              <w:t xml:space="preserve">ietverto skaidrojumu par izslēdzošā ieskaita piemērošanu sabiedrību reorganizācijas gadījumos ietvert likumprojekta anotācijā. </w:t>
            </w:r>
          </w:p>
        </w:tc>
        <w:tc>
          <w:tcPr>
            <w:tcW w:w="1228" w:type="pct"/>
            <w:gridSpan w:val="2"/>
            <w:tcBorders>
              <w:top w:val="single" w:sz="6" w:space="0" w:color="000000"/>
              <w:left w:val="single" w:sz="6" w:space="0" w:color="000000"/>
              <w:bottom w:val="single" w:sz="6" w:space="0" w:color="000000"/>
              <w:right w:val="single" w:sz="6" w:space="0" w:color="000000"/>
            </w:tcBorders>
          </w:tcPr>
          <w:p w14:paraId="73DE5CA6" w14:textId="77777777" w:rsidR="00BE6558" w:rsidRPr="00F9152F" w:rsidRDefault="00BE6558" w:rsidP="00BE6558">
            <w:pPr>
              <w:pStyle w:val="NormalWeb"/>
              <w:spacing w:before="0" w:after="0"/>
              <w:ind w:right="13"/>
              <w:jc w:val="both"/>
              <w:rPr>
                <w:b/>
                <w:sz w:val="20"/>
                <w:szCs w:val="20"/>
              </w:rPr>
            </w:pPr>
            <w:r w:rsidRPr="00F9152F">
              <w:rPr>
                <w:b/>
                <w:sz w:val="20"/>
                <w:szCs w:val="20"/>
              </w:rPr>
              <w:t>Priekšlikums ņemts vērā.</w:t>
            </w:r>
          </w:p>
          <w:p w14:paraId="34953667" w14:textId="77777777" w:rsidR="00DB754A" w:rsidRPr="00216211" w:rsidRDefault="00D771BA" w:rsidP="00D771BA">
            <w:pPr>
              <w:pStyle w:val="NormalWeb"/>
              <w:spacing w:before="0" w:after="0"/>
              <w:ind w:right="13" w:firstLine="326"/>
              <w:jc w:val="both"/>
              <w:rPr>
                <w:sz w:val="20"/>
                <w:szCs w:val="20"/>
              </w:rPr>
            </w:pPr>
            <w:r w:rsidRPr="00D771BA">
              <w:rPr>
                <w:b/>
                <w:sz w:val="20"/>
                <w:szCs w:val="20"/>
              </w:rPr>
              <w:t>10.</w:t>
            </w:r>
            <w:r>
              <w:rPr>
                <w:sz w:val="20"/>
                <w:szCs w:val="20"/>
              </w:rPr>
              <w:t xml:space="preserve"> </w:t>
            </w:r>
            <w:r w:rsidR="00BE6558" w:rsidRPr="00216211">
              <w:rPr>
                <w:sz w:val="20"/>
                <w:szCs w:val="20"/>
              </w:rPr>
              <w:t xml:space="preserve">Atbilstoši </w:t>
            </w:r>
            <w:r w:rsidR="00216211">
              <w:rPr>
                <w:sz w:val="20"/>
                <w:szCs w:val="20"/>
              </w:rPr>
              <w:t xml:space="preserve">atzinumā norādītajam </w:t>
            </w:r>
            <w:r w:rsidR="00E17427">
              <w:rPr>
                <w:sz w:val="20"/>
                <w:szCs w:val="20"/>
              </w:rPr>
              <w:t xml:space="preserve">Likumprojekta anotācija </w:t>
            </w:r>
            <w:r w:rsidR="00216211">
              <w:rPr>
                <w:sz w:val="20"/>
                <w:szCs w:val="20"/>
              </w:rPr>
              <w:t>papildināta ar attiecīgu skaidrojumu.</w:t>
            </w:r>
          </w:p>
        </w:tc>
        <w:tc>
          <w:tcPr>
            <w:tcW w:w="712" w:type="pct"/>
            <w:tcBorders>
              <w:top w:val="single" w:sz="4" w:space="0" w:color="auto"/>
              <w:left w:val="single" w:sz="4" w:space="0" w:color="auto"/>
              <w:bottom w:val="single" w:sz="4" w:space="0" w:color="auto"/>
              <w:right w:val="single" w:sz="4" w:space="0" w:color="auto"/>
            </w:tcBorders>
          </w:tcPr>
          <w:p w14:paraId="5B54EF0C" w14:textId="77777777" w:rsidR="000630C5" w:rsidRDefault="000630C5" w:rsidP="000630C5">
            <w:pPr>
              <w:spacing w:after="0" w:line="240" w:lineRule="auto"/>
              <w:jc w:val="both"/>
              <w:rPr>
                <w:rFonts w:ascii="Times New Roman" w:eastAsia="Times New Roman" w:hAnsi="Times New Roman" w:cs="Times New Roman"/>
                <w:sz w:val="20"/>
                <w:lang w:eastAsia="lv-LV"/>
              </w:rPr>
            </w:pPr>
            <w:r w:rsidRPr="00F9152F">
              <w:rPr>
                <w:rFonts w:ascii="Times New Roman" w:hAnsi="Times New Roman" w:cs="Times New Roman"/>
                <w:sz w:val="20"/>
                <w:szCs w:val="20"/>
              </w:rPr>
              <w:t xml:space="preserve">Likumprojekta anotācija papildināta ar šādu </w:t>
            </w:r>
            <w:r>
              <w:rPr>
                <w:rFonts w:ascii="Times New Roman" w:hAnsi="Times New Roman" w:cs="Times New Roman"/>
                <w:sz w:val="20"/>
                <w:szCs w:val="20"/>
              </w:rPr>
              <w:t>skaidrojumu</w:t>
            </w:r>
            <w:r w:rsidRPr="00F9152F">
              <w:rPr>
                <w:rFonts w:ascii="Times New Roman" w:hAnsi="Times New Roman" w:cs="Times New Roman"/>
                <w:sz w:val="20"/>
                <w:szCs w:val="20"/>
              </w:rPr>
              <w:t>:</w:t>
            </w:r>
          </w:p>
          <w:p w14:paraId="64639332" w14:textId="77777777" w:rsidR="000630C5" w:rsidRPr="000630C5" w:rsidRDefault="000630C5" w:rsidP="00662201">
            <w:pPr>
              <w:spacing w:after="0" w:line="240" w:lineRule="auto"/>
              <w:jc w:val="both"/>
              <w:rPr>
                <w:sz w:val="20"/>
                <w:szCs w:val="20"/>
              </w:rPr>
            </w:pPr>
            <w:r w:rsidRPr="000630C5">
              <w:rPr>
                <w:rFonts w:ascii="Times New Roman" w:hAnsi="Times New Roman" w:cs="Times New Roman"/>
                <w:i/>
                <w:color w:val="000000" w:themeColor="text1"/>
                <w:sz w:val="20"/>
                <w:szCs w:val="20"/>
              </w:rPr>
              <w:t>„</w:t>
            </w:r>
            <w:r w:rsidRPr="000630C5">
              <w:rPr>
                <w:rFonts w:ascii="Times New Roman" w:hAnsi="Times New Roman" w:cs="Times New Roman"/>
                <w:i/>
                <w:sz w:val="20"/>
                <w:szCs w:val="20"/>
              </w:rPr>
              <w:t xml:space="preserve">Likumprojekts paredz, ka </w:t>
            </w:r>
            <w:r w:rsidRPr="000630C5">
              <w:rPr>
                <w:rFonts w:ascii="Times New Roman" w:eastAsia="Times New Roman" w:hAnsi="Times New Roman" w:cs="Times New Roman"/>
                <w:i/>
                <w:sz w:val="20"/>
                <w:szCs w:val="20"/>
              </w:rPr>
              <w:t xml:space="preserve">izslēdzošo ieskaitu var piemērot, un to neietekmē kāda līdzēja tiesiskās aizsardzības, maksātnespējas vai likvidācijas process. Likumprojekta izstrādes gaitā tika vērtēts jautājums par nepieciešamību Likumprojektu attiecināt arī uz sabiedrības reorganizāciju, taču tika secināts, ka spēkā esošās tiesību normas neliedz piemērot izslēdzošo ieskaitu sabiedrības reorganizācijas gadījumā. </w:t>
            </w:r>
            <w:r w:rsidRPr="000630C5">
              <w:rPr>
                <w:rFonts w:ascii="Times New Roman" w:hAnsi="Times New Roman" w:cs="Times New Roman"/>
                <w:i/>
                <w:sz w:val="20"/>
                <w:szCs w:val="20"/>
              </w:rPr>
              <w:t>Jautājums par sabiedrības reorganizāciju parasti tiek regulēts jumta līguma (Master Agreement) noteikumos. Piemēram, saskaņā ar ISDA 2002 Master Agreement noteikumiem reorganizācija ir viens no izpildes notikumiem</w:t>
            </w:r>
            <w:r w:rsidRPr="000630C5">
              <w:rPr>
                <w:rFonts w:ascii="Times New Roman" w:hAnsi="Times New Roman" w:cs="Times New Roman"/>
                <w:i/>
                <w:color w:val="000000" w:themeColor="text1"/>
                <w:sz w:val="20"/>
                <w:szCs w:val="20"/>
              </w:rPr>
              <w:t xml:space="preserve">, par ko līdzēji vienojušies, ka, tam iestājoties, puses var piemērot izslēdzošo ieskaitu. </w:t>
            </w:r>
            <w:r w:rsidRPr="000630C5">
              <w:rPr>
                <w:rFonts w:ascii="Times New Roman" w:hAnsi="Times New Roman" w:cs="Times New Roman"/>
                <w:i/>
                <w:sz w:val="20"/>
                <w:szCs w:val="20"/>
              </w:rPr>
              <w:t xml:space="preserve">Tā </w:t>
            </w:r>
            <w:r w:rsidR="002A4440">
              <w:rPr>
                <w:rFonts w:ascii="Times New Roman" w:hAnsi="Times New Roman" w:cs="Times New Roman"/>
                <w:i/>
                <w:sz w:val="20"/>
                <w:szCs w:val="20"/>
              </w:rPr>
              <w:t xml:space="preserve">kā </w:t>
            </w:r>
            <w:r w:rsidRPr="000630C5">
              <w:rPr>
                <w:rFonts w:ascii="Times New Roman" w:hAnsi="Times New Roman" w:cs="Times New Roman"/>
                <w:i/>
                <w:sz w:val="20"/>
                <w:szCs w:val="20"/>
              </w:rPr>
              <w:t xml:space="preserve">Komerclikums komercsabiedrības reorganizācijas gadījumā nesatur normas, kas būtu līdzīgas maksātnespējas regulējumam un kas paredz </w:t>
            </w:r>
            <w:r w:rsidRPr="000630C5">
              <w:rPr>
                <w:rFonts w:ascii="Times New Roman" w:hAnsi="Times New Roman" w:cs="Times New Roman"/>
                <w:i/>
                <w:sz w:val="20"/>
                <w:szCs w:val="20"/>
              </w:rPr>
              <w:lastRenderedPageBreak/>
              <w:t>ieskaita aizliegumu vai maksātnespējas procesa administratora tiesības vienpusēji atkāpties no līguma vai prasīt atzīt līgumu par spēkā neesošu vai atceļamu, tad attiecīgi secināms, ka Komerclikuma normas neliedz piemērot izslēdzošo ieskaitu sabiedrības reorganizācijas gadījumā. Vienlaikus jāņem vērā, ka īpašs regulējums attiecībā uz reorganizāciju vai likvidāciju ir noteikts kredītiestādēm (Kredītiestāžu likuma 158.panta pirmajā daļā), kā arī apdrošināšanas sabiedrībām (Apdrošināšanas un pārapdrošināšanas likuma 273.panta pirmajā daļā). Taču tā kā iepriekš minētās normas jau atļauj piemērot izslēdzošo ieskaitu reorganizācijas gadījumā, tad attiecīgi nav nepieciešams šo jautājumu papildus vēl kaut kā regulēt Likumprojektā.”</w:t>
            </w:r>
          </w:p>
        </w:tc>
      </w:tr>
      <w:tr w:rsidR="00BE6558" w:rsidRPr="00F9152F" w14:paraId="27234D9D"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DE7E4F9" w14:textId="77777777" w:rsidR="00BE6558" w:rsidRPr="00F9152F" w:rsidRDefault="00BE6558"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44827F5" w14:textId="77777777" w:rsidR="00BE6558" w:rsidRPr="00F9152F" w:rsidRDefault="00BE6558"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1F31B374" w14:textId="77777777" w:rsidR="00BE6558" w:rsidRPr="00BE6558" w:rsidRDefault="00BE6558" w:rsidP="00BE6558">
            <w:pPr>
              <w:spacing w:after="0" w:line="240" w:lineRule="auto"/>
              <w:ind w:firstLine="319"/>
              <w:jc w:val="both"/>
              <w:rPr>
                <w:rFonts w:ascii="Times New Roman" w:eastAsia="Times New Roman" w:hAnsi="Times New Roman" w:cs="Times New Roman"/>
                <w:sz w:val="20"/>
                <w:szCs w:val="20"/>
              </w:rPr>
            </w:pPr>
            <w:r w:rsidRPr="00BE6558">
              <w:rPr>
                <w:rFonts w:ascii="Times New Roman" w:eastAsia="Times New Roman" w:hAnsi="Times New Roman" w:cs="Times New Roman"/>
                <w:sz w:val="20"/>
                <w:szCs w:val="20"/>
              </w:rPr>
              <w:t xml:space="preserve">Ņemot vērā likumprojekta "Grozījums Maksātnespējas likumā" (VSS-424) izziņā iekļauto skaidrojumu ar norādēm par Direktīvas 2019/1023 par pārstrukturēšanu un maksātnespēju 7. panta 6. punkta prasību ieviešanu lūdzam: </w:t>
            </w:r>
          </w:p>
          <w:p w14:paraId="50BE2DA0" w14:textId="77777777" w:rsidR="00BE6558" w:rsidRPr="00BE6558" w:rsidRDefault="00C46065" w:rsidP="00C46065">
            <w:pPr>
              <w:spacing w:after="0" w:line="240" w:lineRule="auto"/>
              <w:ind w:firstLine="3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E6558" w:rsidRPr="00BE6558">
              <w:rPr>
                <w:rFonts w:ascii="Times New Roman" w:eastAsia="Times New Roman" w:hAnsi="Times New Roman" w:cs="Times New Roman"/>
                <w:sz w:val="20"/>
                <w:szCs w:val="20"/>
              </w:rPr>
              <w:t>ņemot vērā Ministru kabineta 2009. gada 3. februāra noteikumu Nr. 108 "Normatīvo aktu projektu sagatavošanas noteikumi" 162.1. apakšpunktā noteikto, likumprojekts "Izslēdzošā ieskaita piemērošanas kvalificētajiem finanšu darījumiem likums" ir papildināms ar informatīvo atsauci uz Direktīvu 2019/1023 par pārstrukturēšanu un maksātnespēju;</w:t>
            </w:r>
          </w:p>
          <w:p w14:paraId="2AE92DB7" w14:textId="77777777" w:rsidR="00BE6558" w:rsidRPr="00BE6558" w:rsidRDefault="00C46065" w:rsidP="00C46065">
            <w:pPr>
              <w:spacing w:after="0" w:line="240" w:lineRule="auto"/>
              <w:ind w:firstLine="3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BE6558" w:rsidRPr="00BE6558">
              <w:rPr>
                <w:rFonts w:ascii="Times New Roman" w:eastAsia="Times New Roman" w:hAnsi="Times New Roman" w:cs="Times New Roman"/>
                <w:sz w:val="20"/>
                <w:szCs w:val="20"/>
              </w:rPr>
              <w:t>ievērojot Ministru kabineta 2009. gada 15. decembra instrukcijas Nr. 19 "Tiesību akta projekta sākotnējās ietekmes izvērtēšanas kārtība" VI nodaļā noteikto, likumprojekta "Izslēdzošā ieskaita piemērošanas kvalificētajiem finanšu darījumiem likums" sākotnējās ietekmes novērtējuma ziņojuma (anotācijas) V sadaļa ir papildināma ar nepieciešamo informāciju par Direktīvas 2019/1023 par pārstrukturēšanu un maksātnespēju 7. panta 6. punkta prasību ieviešanu.</w:t>
            </w:r>
          </w:p>
          <w:p w14:paraId="4E8B901C" w14:textId="77777777" w:rsidR="00BE6558" w:rsidRPr="00BE6558" w:rsidRDefault="00BE6558" w:rsidP="00BE6558">
            <w:pPr>
              <w:spacing w:after="0" w:line="240" w:lineRule="auto"/>
              <w:ind w:left="720"/>
              <w:rPr>
                <w:rFonts w:ascii="Times New Roman" w:eastAsia="Times New Roman" w:hAnsi="Times New Roman" w:cs="Times New Roman"/>
                <w:sz w:val="24"/>
                <w:szCs w:val="24"/>
              </w:rPr>
            </w:pPr>
          </w:p>
        </w:tc>
        <w:tc>
          <w:tcPr>
            <w:tcW w:w="1228" w:type="pct"/>
            <w:gridSpan w:val="2"/>
            <w:tcBorders>
              <w:top w:val="single" w:sz="6" w:space="0" w:color="000000"/>
              <w:left w:val="single" w:sz="6" w:space="0" w:color="000000"/>
              <w:bottom w:val="single" w:sz="6" w:space="0" w:color="000000"/>
              <w:right w:val="single" w:sz="6" w:space="0" w:color="000000"/>
            </w:tcBorders>
          </w:tcPr>
          <w:p w14:paraId="5B2458B6" w14:textId="77777777" w:rsidR="00E17427" w:rsidRPr="00F9152F" w:rsidRDefault="00E17427" w:rsidP="00E17427">
            <w:pPr>
              <w:pStyle w:val="NormalWeb"/>
              <w:spacing w:before="0" w:after="0"/>
              <w:ind w:right="13"/>
              <w:jc w:val="both"/>
              <w:rPr>
                <w:b/>
                <w:sz w:val="20"/>
                <w:szCs w:val="20"/>
              </w:rPr>
            </w:pPr>
            <w:r w:rsidRPr="00F9152F">
              <w:rPr>
                <w:b/>
                <w:sz w:val="20"/>
                <w:szCs w:val="20"/>
              </w:rPr>
              <w:lastRenderedPageBreak/>
              <w:t>Priekšlikums ņemts vērā.</w:t>
            </w:r>
          </w:p>
          <w:p w14:paraId="1C6C3674" w14:textId="77777777" w:rsidR="00BE6558" w:rsidRDefault="00D771BA" w:rsidP="00E17427">
            <w:pPr>
              <w:spacing w:after="0" w:line="240" w:lineRule="auto"/>
              <w:ind w:firstLine="460"/>
              <w:jc w:val="both"/>
              <w:rPr>
                <w:rFonts w:ascii="Times New Roman" w:hAnsi="Times New Roman" w:cs="Times New Roman"/>
                <w:sz w:val="20"/>
                <w:szCs w:val="20"/>
              </w:rPr>
            </w:pPr>
            <w:r w:rsidRPr="00D771BA">
              <w:rPr>
                <w:rFonts w:ascii="Times New Roman" w:hAnsi="Times New Roman" w:cs="Times New Roman"/>
                <w:b/>
                <w:sz w:val="20"/>
                <w:szCs w:val="20"/>
              </w:rPr>
              <w:t>11.</w:t>
            </w:r>
            <w:r>
              <w:rPr>
                <w:rFonts w:ascii="Times New Roman" w:hAnsi="Times New Roman" w:cs="Times New Roman"/>
                <w:sz w:val="20"/>
                <w:szCs w:val="20"/>
              </w:rPr>
              <w:t xml:space="preserve"> </w:t>
            </w:r>
            <w:r w:rsidR="00E17427" w:rsidRPr="00E17427">
              <w:rPr>
                <w:rFonts w:ascii="Times New Roman" w:hAnsi="Times New Roman" w:cs="Times New Roman"/>
                <w:sz w:val="20"/>
                <w:szCs w:val="20"/>
              </w:rPr>
              <w:t xml:space="preserve">Atbilstoši atzinumā norādītajam Likumprojekta anotācija, tostarp </w:t>
            </w:r>
            <w:r w:rsidR="00E17427" w:rsidRPr="00E17427">
              <w:rPr>
                <w:rFonts w:ascii="Times New Roman" w:eastAsia="Times New Roman" w:hAnsi="Times New Roman" w:cs="Times New Roman"/>
                <w:sz w:val="20"/>
                <w:szCs w:val="20"/>
              </w:rPr>
              <w:t>V sadaļa,</w:t>
            </w:r>
            <w:r w:rsidR="00E17427" w:rsidRPr="00E17427">
              <w:rPr>
                <w:rFonts w:ascii="Times New Roman" w:hAnsi="Times New Roman" w:cs="Times New Roman"/>
                <w:sz w:val="20"/>
                <w:szCs w:val="20"/>
              </w:rPr>
              <w:t xml:space="preserve"> papildināta ar attiecīgu skaidrojumu par </w:t>
            </w:r>
            <w:r w:rsidR="00E17427" w:rsidRPr="00E17427">
              <w:rPr>
                <w:rFonts w:ascii="Times New Roman" w:eastAsia="Times New Roman" w:hAnsi="Times New Roman" w:cs="Times New Roman"/>
                <w:sz w:val="20"/>
                <w:szCs w:val="20"/>
              </w:rPr>
              <w:t>Direktīvas 2019/1023 par pārst</w:t>
            </w:r>
            <w:r w:rsidR="004F4034">
              <w:rPr>
                <w:rFonts w:ascii="Times New Roman" w:eastAsia="Times New Roman" w:hAnsi="Times New Roman" w:cs="Times New Roman"/>
                <w:sz w:val="20"/>
                <w:szCs w:val="20"/>
              </w:rPr>
              <w:t>rukturēšanu un maksātnespēju 7.panta 6.</w:t>
            </w:r>
            <w:r w:rsidR="00E17427" w:rsidRPr="00E17427">
              <w:rPr>
                <w:rFonts w:ascii="Times New Roman" w:eastAsia="Times New Roman" w:hAnsi="Times New Roman" w:cs="Times New Roman"/>
                <w:sz w:val="20"/>
                <w:szCs w:val="20"/>
              </w:rPr>
              <w:t>punkta prasību ieviešanu</w:t>
            </w:r>
            <w:r w:rsidR="00E17427" w:rsidRPr="00E17427">
              <w:rPr>
                <w:rFonts w:ascii="Times New Roman" w:hAnsi="Times New Roman" w:cs="Times New Roman"/>
                <w:sz w:val="20"/>
                <w:szCs w:val="20"/>
              </w:rPr>
              <w:t xml:space="preserve"> un Likumprojekts papildināts ar informatīvo atsauci uz </w:t>
            </w:r>
            <w:r w:rsidR="00E17427" w:rsidRPr="00E17427">
              <w:rPr>
                <w:rFonts w:ascii="Times New Roman" w:eastAsia="Times New Roman" w:hAnsi="Times New Roman" w:cs="Times New Roman"/>
                <w:sz w:val="20"/>
                <w:szCs w:val="20"/>
              </w:rPr>
              <w:t>Direktīvu 2019/1023 par pārstrukturēšanu un maksātnespēju</w:t>
            </w:r>
            <w:r w:rsidR="00E17427" w:rsidRPr="00E17427">
              <w:rPr>
                <w:rFonts w:ascii="Times New Roman" w:hAnsi="Times New Roman" w:cs="Times New Roman"/>
                <w:sz w:val="20"/>
                <w:szCs w:val="20"/>
              </w:rPr>
              <w:t>.</w:t>
            </w:r>
          </w:p>
          <w:p w14:paraId="7E71CF09" w14:textId="77777777" w:rsidR="00E17427" w:rsidRDefault="00E17427" w:rsidP="00E17427">
            <w:pPr>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Papildus norādāms, ka Likumprojekta anotācijā ir izdarītas sekojošas izmaiņas:</w:t>
            </w:r>
          </w:p>
          <w:p w14:paraId="6F2096BC" w14:textId="77777777" w:rsidR="00E17427" w:rsidRPr="00662201" w:rsidRDefault="00E17427" w:rsidP="004A61EB">
            <w:pPr>
              <w:pStyle w:val="ListParagraph"/>
              <w:numPr>
                <w:ilvl w:val="0"/>
                <w:numId w:val="21"/>
              </w:numPr>
              <w:tabs>
                <w:tab w:val="left" w:pos="661"/>
              </w:tabs>
              <w:spacing w:after="0" w:line="240" w:lineRule="auto"/>
              <w:ind w:left="0" w:firstLine="468"/>
              <w:contextualSpacing w:val="0"/>
              <w:jc w:val="both"/>
              <w:rPr>
                <w:rFonts w:ascii="Times New Roman" w:hAnsi="Times New Roman" w:cs="Times New Roman"/>
                <w:b/>
                <w:i/>
                <w:sz w:val="20"/>
                <w:szCs w:val="20"/>
              </w:rPr>
            </w:pPr>
            <w:r w:rsidRPr="004A61EB">
              <w:rPr>
                <w:rFonts w:ascii="Times New Roman" w:hAnsi="Times New Roman" w:cs="Times New Roman"/>
                <w:sz w:val="20"/>
                <w:szCs w:val="20"/>
              </w:rPr>
              <w:t>svītrots teikums</w:t>
            </w:r>
            <w:r w:rsidRPr="00662201">
              <w:rPr>
                <w:rFonts w:ascii="Times New Roman" w:hAnsi="Times New Roman" w:cs="Times New Roman"/>
                <w:sz w:val="20"/>
                <w:szCs w:val="20"/>
              </w:rPr>
              <w:t xml:space="preserve"> </w:t>
            </w:r>
            <w:r w:rsidR="004A61EB" w:rsidRPr="00662201">
              <w:rPr>
                <w:rFonts w:ascii="Times New Roman" w:hAnsi="Times New Roman" w:cs="Times New Roman"/>
                <w:i/>
                <w:color w:val="000000" w:themeColor="text1"/>
                <w:sz w:val="20"/>
                <w:szCs w:val="20"/>
              </w:rPr>
              <w:t>„</w:t>
            </w:r>
            <w:r w:rsidRPr="00662201">
              <w:rPr>
                <w:rFonts w:ascii="Times New Roman" w:hAnsi="Times New Roman" w:cs="Times New Roman"/>
                <w:i/>
                <w:sz w:val="20"/>
                <w:szCs w:val="20"/>
                <w:shd w:val="clear" w:color="auto" w:fill="FFFFFF"/>
              </w:rPr>
              <w:t xml:space="preserve">Tā kā minētajā likumā regulētais ieskaita mehānisms darbojas arī kāda sistēmas dalībnieka maksātnespējas gadījumā, tad šādā situācijā, kad, iestājas maksātnespēja, termins </w:t>
            </w:r>
            <w:r w:rsidRPr="00662201">
              <w:rPr>
                <w:rFonts w:ascii="Times New Roman" w:hAnsi="Times New Roman" w:cs="Times New Roman"/>
                <w:i/>
                <w:sz w:val="20"/>
                <w:szCs w:val="20"/>
              </w:rPr>
              <w:lastRenderedPageBreak/>
              <w:t>„</w:t>
            </w:r>
            <w:r w:rsidRPr="00662201">
              <w:rPr>
                <w:rFonts w:ascii="Times New Roman" w:hAnsi="Times New Roman" w:cs="Times New Roman"/>
                <w:i/>
                <w:sz w:val="20"/>
                <w:szCs w:val="20"/>
                <w:shd w:val="clear" w:color="auto" w:fill="FFFFFF"/>
              </w:rPr>
              <w:t xml:space="preserve">ieskaits” atbilst termina </w:t>
            </w:r>
            <w:r w:rsidRPr="00662201">
              <w:rPr>
                <w:rFonts w:ascii="Times New Roman" w:hAnsi="Times New Roman" w:cs="Times New Roman"/>
                <w:i/>
                <w:sz w:val="20"/>
                <w:szCs w:val="20"/>
              </w:rPr>
              <w:t>„</w:t>
            </w:r>
            <w:r w:rsidRPr="00662201">
              <w:rPr>
                <w:rFonts w:ascii="Times New Roman" w:hAnsi="Times New Roman" w:cs="Times New Roman"/>
                <w:i/>
                <w:sz w:val="20"/>
                <w:szCs w:val="20"/>
                <w:shd w:val="clear" w:color="auto" w:fill="FFFFFF"/>
              </w:rPr>
              <w:t>izslēdzošais ieskaits” lietojumam Likumprojektā.”</w:t>
            </w:r>
          </w:p>
          <w:p w14:paraId="50439DE9" w14:textId="77777777" w:rsidR="00E17427" w:rsidRPr="00E17427" w:rsidRDefault="004A61EB" w:rsidP="004A61EB">
            <w:pPr>
              <w:pStyle w:val="ListParagraph"/>
              <w:numPr>
                <w:ilvl w:val="0"/>
                <w:numId w:val="21"/>
              </w:numPr>
              <w:tabs>
                <w:tab w:val="left" w:pos="661"/>
              </w:tabs>
              <w:spacing w:after="0" w:line="240" w:lineRule="auto"/>
              <w:ind w:left="0" w:firstLine="468"/>
              <w:contextualSpacing w:val="0"/>
              <w:jc w:val="both"/>
              <w:rPr>
                <w:rFonts w:ascii="Times New Roman" w:hAnsi="Times New Roman" w:cs="Times New Roman"/>
                <w:b/>
                <w:sz w:val="20"/>
                <w:szCs w:val="20"/>
              </w:rPr>
            </w:pPr>
            <w:r w:rsidRPr="004A61EB">
              <w:rPr>
                <w:rFonts w:ascii="Times New Roman" w:hAnsi="Times New Roman" w:cs="Times New Roman"/>
                <w:sz w:val="20"/>
                <w:szCs w:val="20"/>
              </w:rPr>
              <w:t>t</w:t>
            </w:r>
            <w:r w:rsidR="00E17427" w:rsidRPr="004A61EB">
              <w:rPr>
                <w:rFonts w:ascii="Times New Roman" w:hAnsi="Times New Roman" w:cs="Times New Roman"/>
                <w:sz w:val="20"/>
                <w:szCs w:val="20"/>
              </w:rPr>
              <w:t>eikums</w:t>
            </w:r>
            <w:r w:rsidR="00E17427" w:rsidRPr="00662201">
              <w:rPr>
                <w:rFonts w:ascii="Times New Roman" w:hAnsi="Times New Roman" w:cs="Times New Roman"/>
                <w:sz w:val="20"/>
                <w:szCs w:val="20"/>
              </w:rPr>
              <w:t xml:space="preserve"> </w:t>
            </w:r>
            <w:r w:rsidRPr="00662201">
              <w:rPr>
                <w:rFonts w:ascii="Times New Roman" w:hAnsi="Times New Roman" w:cs="Times New Roman"/>
                <w:i/>
                <w:color w:val="000000" w:themeColor="text1"/>
                <w:sz w:val="20"/>
                <w:szCs w:val="20"/>
              </w:rPr>
              <w:t>„</w:t>
            </w:r>
            <w:r w:rsidR="00E17427" w:rsidRPr="00662201">
              <w:rPr>
                <w:rFonts w:ascii="Times New Roman" w:eastAsia="Times New Roman" w:hAnsi="Times New Roman" w:cs="Times New Roman"/>
                <w:i/>
                <w:sz w:val="20"/>
                <w:szCs w:val="20"/>
              </w:rPr>
              <w:t>Tā kā nav iespējams pat hipotētiski iztēloties un paredzēt, kādi jauni instrumenti varētu nākotnē parādīties tirgū, tad objektīvi nav iespējams nosaukt šādus kritērijus un iekļaut Likumprojektā</w:t>
            </w:r>
            <w:r w:rsidRPr="00662201">
              <w:rPr>
                <w:rFonts w:ascii="Times New Roman" w:eastAsia="Times New Roman" w:hAnsi="Times New Roman" w:cs="Times New Roman"/>
                <w:i/>
                <w:sz w:val="20"/>
                <w:szCs w:val="20"/>
              </w:rPr>
              <w:t>”</w:t>
            </w:r>
            <w:r w:rsidRPr="004A61EB">
              <w:rPr>
                <w:rFonts w:ascii="Times New Roman" w:eastAsia="Times New Roman" w:hAnsi="Times New Roman" w:cs="Times New Roman"/>
                <w:sz w:val="20"/>
                <w:szCs w:val="20"/>
              </w:rPr>
              <w:t xml:space="preserve"> ir papildināts ar vārdiem </w:t>
            </w:r>
            <w:r w:rsidRPr="00662201">
              <w:rPr>
                <w:rFonts w:ascii="Times New Roman" w:hAnsi="Times New Roman" w:cs="Times New Roman"/>
                <w:i/>
                <w:color w:val="000000" w:themeColor="text1"/>
                <w:sz w:val="20"/>
                <w:szCs w:val="20"/>
              </w:rPr>
              <w:t>„</w:t>
            </w:r>
            <w:r w:rsidR="00E17427" w:rsidRPr="00662201">
              <w:rPr>
                <w:rFonts w:ascii="Times New Roman" w:hAnsi="Times New Roman" w:cs="Times New Roman"/>
                <w:i/>
                <w:sz w:val="20"/>
                <w:szCs w:val="20"/>
              </w:rPr>
              <w:t xml:space="preserve">, </w:t>
            </w:r>
            <w:r w:rsidR="00E17427" w:rsidRPr="00662201">
              <w:rPr>
                <w:rFonts w:ascii="Times New Roman" w:hAnsi="Times New Roman" w:cs="Times New Roman"/>
                <w:bCs/>
                <w:i/>
                <w:sz w:val="20"/>
                <w:szCs w:val="20"/>
              </w:rPr>
              <w:t>bet vispārīgu kritēriju paredzēšanai nav pievienotās vērtības. Vispārīgs kritērijs varētu būt līdzība pēc būtības iepriekš nosauktajiem kvalificētiem darījumiem</w:t>
            </w:r>
            <w:r w:rsidRPr="00662201">
              <w:rPr>
                <w:rFonts w:ascii="Times New Roman" w:hAnsi="Times New Roman" w:cs="Times New Roman"/>
                <w:bCs/>
                <w:i/>
                <w:sz w:val="20"/>
                <w:szCs w:val="20"/>
              </w:rPr>
              <w:t>”</w:t>
            </w:r>
            <w:r w:rsidRPr="004A61EB">
              <w:rPr>
                <w:rFonts w:ascii="Times New Roman" w:hAnsi="Times New Roman" w:cs="Times New Roman"/>
                <w:bCs/>
                <w:sz w:val="20"/>
                <w:szCs w:val="20"/>
              </w:rPr>
              <w:t>.</w:t>
            </w:r>
          </w:p>
        </w:tc>
        <w:tc>
          <w:tcPr>
            <w:tcW w:w="712" w:type="pct"/>
            <w:tcBorders>
              <w:top w:val="single" w:sz="4" w:space="0" w:color="auto"/>
              <w:left w:val="single" w:sz="4" w:space="0" w:color="auto"/>
              <w:bottom w:val="single" w:sz="4" w:space="0" w:color="auto"/>
              <w:right w:val="single" w:sz="4" w:space="0" w:color="auto"/>
            </w:tcBorders>
          </w:tcPr>
          <w:p w14:paraId="4D0DD7F9" w14:textId="77777777" w:rsidR="00BE6558" w:rsidRPr="00F9152F" w:rsidRDefault="00E17427" w:rsidP="00933CB5">
            <w:pPr>
              <w:pStyle w:val="NormalWeb"/>
              <w:spacing w:before="0" w:after="0"/>
              <w:ind w:right="13"/>
              <w:jc w:val="both"/>
              <w:rPr>
                <w:sz w:val="20"/>
                <w:szCs w:val="20"/>
              </w:rPr>
            </w:pPr>
            <w:r>
              <w:rPr>
                <w:sz w:val="20"/>
                <w:szCs w:val="20"/>
              </w:rPr>
              <w:lastRenderedPageBreak/>
              <w:t>Sk. Likumprojektu un tā anotāciju.</w:t>
            </w:r>
          </w:p>
        </w:tc>
      </w:tr>
      <w:tr w:rsidR="00233F58" w:rsidRPr="00F9152F" w14:paraId="1AEAFB69" w14:textId="77777777" w:rsidTr="00233F58">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106557EE" w14:textId="5C6761F0" w:rsidR="00233F58" w:rsidRDefault="00233F58" w:rsidP="00ED4F08">
            <w:pPr>
              <w:pStyle w:val="NormalWeb"/>
              <w:spacing w:before="0" w:after="0"/>
              <w:ind w:right="13"/>
              <w:jc w:val="center"/>
              <w:rPr>
                <w:sz w:val="20"/>
                <w:szCs w:val="20"/>
              </w:rPr>
            </w:pPr>
            <w:r w:rsidRPr="00F9152F">
              <w:rPr>
                <w:b/>
                <w:sz w:val="20"/>
              </w:rPr>
              <w:t xml:space="preserve">Tieslietu ministrijas </w:t>
            </w:r>
            <w:r>
              <w:rPr>
                <w:b/>
                <w:sz w:val="20"/>
              </w:rPr>
              <w:t>15</w:t>
            </w:r>
            <w:r w:rsidRPr="00836DC5">
              <w:rPr>
                <w:b/>
                <w:sz w:val="20"/>
              </w:rPr>
              <w:t>.</w:t>
            </w:r>
            <w:r>
              <w:rPr>
                <w:b/>
                <w:sz w:val="20"/>
              </w:rPr>
              <w:t>10.</w:t>
            </w:r>
            <w:r w:rsidRPr="00836DC5">
              <w:rPr>
                <w:b/>
                <w:sz w:val="20"/>
              </w:rPr>
              <w:t xml:space="preserve">2020. </w:t>
            </w:r>
            <w:r w:rsidR="00ED4F08">
              <w:rPr>
                <w:b/>
                <w:sz w:val="20"/>
              </w:rPr>
              <w:t xml:space="preserve">atzinumā </w:t>
            </w:r>
            <w:r w:rsidR="00C42644">
              <w:rPr>
                <w:b/>
                <w:sz w:val="20"/>
              </w:rPr>
              <w:t>b/n</w:t>
            </w:r>
            <w:r w:rsidRPr="00836DC5">
              <w:rPr>
                <w:b/>
                <w:sz w:val="20"/>
              </w:rPr>
              <w:t xml:space="preserve"> izteiktie iebildumi</w:t>
            </w:r>
          </w:p>
        </w:tc>
      </w:tr>
      <w:tr w:rsidR="00233F58" w:rsidRPr="00F9152F" w14:paraId="42BEEBD0"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43BBBC97" w14:textId="77777777" w:rsidR="00233F58" w:rsidRPr="00F9152F" w:rsidRDefault="00233F58"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43ED7B5" w14:textId="77777777" w:rsidR="00233F58" w:rsidRPr="00F9152F" w:rsidRDefault="00233F58"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49E5EEFB" w14:textId="77777777" w:rsidR="00ED4F08" w:rsidRPr="00091D99" w:rsidRDefault="00ED4F08" w:rsidP="00ED4F08">
            <w:pPr>
              <w:shd w:val="clear" w:color="auto" w:fill="FFFFFF"/>
              <w:spacing w:after="0" w:line="240" w:lineRule="auto"/>
              <w:ind w:firstLine="330"/>
              <w:jc w:val="both"/>
              <w:rPr>
                <w:rFonts w:ascii="Times New Roman" w:eastAsia="Times New Roman" w:hAnsi="Times New Roman" w:cs="Times New Roman"/>
                <w:color w:val="201F1E"/>
                <w:sz w:val="20"/>
                <w:szCs w:val="20"/>
                <w:lang w:val="en-US"/>
              </w:rPr>
            </w:pPr>
            <w:r w:rsidRPr="00091D99">
              <w:rPr>
                <w:rFonts w:ascii="Times New Roman" w:eastAsia="Times New Roman" w:hAnsi="Times New Roman" w:cs="Times New Roman"/>
                <w:color w:val="201F1E"/>
                <w:sz w:val="20"/>
                <w:szCs w:val="20"/>
                <w:lang w:val="en-US"/>
              </w:rPr>
              <w:t>Precizētā Likumprojekta anotācijas V sadaļā norādīts, ka ar Likumprojektu daļēji tiek ieviests Direktīvas 2019/1023 par pārstrukturēšanu un maksātn</w:t>
            </w:r>
            <w:r w:rsidR="00091D99">
              <w:rPr>
                <w:rFonts w:ascii="Times New Roman" w:eastAsia="Times New Roman" w:hAnsi="Times New Roman" w:cs="Times New Roman"/>
                <w:color w:val="201F1E"/>
                <w:sz w:val="20"/>
                <w:szCs w:val="20"/>
                <w:lang w:val="en-US"/>
              </w:rPr>
              <w:t>espēju (turpmāk – Direktīva) 7.</w:t>
            </w:r>
            <w:r w:rsidRPr="00091D99">
              <w:rPr>
                <w:rFonts w:ascii="Times New Roman" w:eastAsia="Times New Roman" w:hAnsi="Times New Roman" w:cs="Times New Roman"/>
                <w:color w:val="201F1E"/>
                <w:sz w:val="20"/>
                <w:szCs w:val="20"/>
                <w:lang w:val="en-US"/>
              </w:rPr>
              <w:t xml:space="preserve">panta 6.punkts. Arī minētās sadaļas 1. tabulā ir atsauce uz Direktīvu, vienlaikus tālāk tabulā ir </w:t>
            </w:r>
            <w:r w:rsidR="00091D99">
              <w:rPr>
                <w:rFonts w:ascii="Times New Roman" w:eastAsia="Times New Roman" w:hAnsi="Times New Roman" w:cs="Times New Roman"/>
                <w:color w:val="201F1E"/>
                <w:sz w:val="20"/>
                <w:szCs w:val="20"/>
                <w:lang w:val="en-US"/>
              </w:rPr>
              <w:t>norādīts, ka ar Likumprojekta 8.</w:t>
            </w:r>
            <w:r w:rsidRPr="00091D99">
              <w:rPr>
                <w:rFonts w:ascii="Times New Roman" w:eastAsia="Times New Roman" w:hAnsi="Times New Roman" w:cs="Times New Roman"/>
                <w:color w:val="201F1E"/>
                <w:sz w:val="20"/>
                <w:szCs w:val="20"/>
                <w:lang w:val="en-US"/>
              </w:rPr>
              <w:t>panta pir</w:t>
            </w:r>
            <w:r w:rsidR="00091D99">
              <w:rPr>
                <w:rFonts w:ascii="Times New Roman" w:eastAsia="Times New Roman" w:hAnsi="Times New Roman" w:cs="Times New Roman"/>
                <w:color w:val="201F1E"/>
                <w:sz w:val="20"/>
                <w:szCs w:val="20"/>
                <w:lang w:val="en-US"/>
              </w:rPr>
              <w:t>mo daļu un otro daļu, kā arī 9.</w:t>
            </w:r>
            <w:r w:rsidRPr="00091D99">
              <w:rPr>
                <w:rFonts w:ascii="Times New Roman" w:eastAsia="Times New Roman" w:hAnsi="Times New Roman" w:cs="Times New Roman"/>
                <w:color w:val="201F1E"/>
                <w:sz w:val="20"/>
                <w:szCs w:val="20"/>
                <w:lang w:val="en-US"/>
              </w:rPr>
              <w:t>pantu daļēji tiek pārņemts Direktīvas 2009/138/EK 288. pants.</w:t>
            </w:r>
          </w:p>
          <w:p w14:paraId="150DDDD1" w14:textId="77777777" w:rsidR="00ED4F08" w:rsidRPr="00091D99" w:rsidRDefault="00ED4F08" w:rsidP="00ED4F08">
            <w:pPr>
              <w:shd w:val="clear" w:color="auto" w:fill="FFFFFF"/>
              <w:spacing w:after="0" w:line="240" w:lineRule="auto"/>
              <w:ind w:firstLine="330"/>
              <w:jc w:val="both"/>
              <w:rPr>
                <w:rFonts w:ascii="Times New Roman" w:eastAsia="Times New Roman" w:hAnsi="Times New Roman" w:cs="Times New Roman"/>
                <w:color w:val="201F1E"/>
                <w:sz w:val="20"/>
                <w:szCs w:val="20"/>
                <w:lang w:val="en-US"/>
              </w:rPr>
            </w:pPr>
            <w:r w:rsidRPr="00091D99">
              <w:rPr>
                <w:rFonts w:ascii="Times New Roman" w:eastAsia="Times New Roman" w:hAnsi="Times New Roman" w:cs="Times New Roman"/>
                <w:color w:val="201F1E"/>
                <w:sz w:val="20"/>
                <w:szCs w:val="20"/>
                <w:lang w:val="en-US"/>
              </w:rPr>
              <w:t>Ievērojot minēto,</w:t>
            </w:r>
            <w:r w:rsidR="00091D99">
              <w:rPr>
                <w:rFonts w:ascii="Times New Roman" w:eastAsia="Times New Roman" w:hAnsi="Times New Roman" w:cs="Times New Roman"/>
                <w:color w:val="201F1E"/>
                <w:sz w:val="20"/>
                <w:szCs w:val="20"/>
                <w:lang w:val="en-US"/>
              </w:rPr>
              <w:t xml:space="preserve"> </w:t>
            </w:r>
            <w:r w:rsidRPr="00091D99">
              <w:rPr>
                <w:rFonts w:ascii="Times New Roman" w:eastAsia="Times New Roman" w:hAnsi="Times New Roman" w:cs="Times New Roman"/>
                <w:color w:val="201F1E"/>
                <w:sz w:val="20"/>
                <w:szCs w:val="20"/>
                <w:lang w:val="en-US"/>
              </w:rPr>
              <w:t> </w:t>
            </w:r>
            <w:r w:rsidRPr="00091D99">
              <w:rPr>
                <w:rFonts w:ascii="Times New Roman" w:eastAsia="Times New Roman" w:hAnsi="Times New Roman" w:cs="Times New Roman"/>
                <w:color w:val="201F1E"/>
                <w:sz w:val="20"/>
                <w:szCs w:val="20"/>
                <w:u w:val="single"/>
                <w:lang w:val="en-US"/>
              </w:rPr>
              <w:t>lūdzam precizēt Likumprojekta anotācijas V sadaļas tabulā ietverto atsauci uz Direktīvu 2009/138/EK aizstāt ar atsauci uz Direktīvas 2019/1023 par pārst</w:t>
            </w:r>
            <w:r w:rsidR="00091D99">
              <w:rPr>
                <w:rFonts w:ascii="Times New Roman" w:eastAsia="Times New Roman" w:hAnsi="Times New Roman" w:cs="Times New Roman"/>
                <w:color w:val="201F1E"/>
                <w:sz w:val="20"/>
                <w:szCs w:val="20"/>
                <w:u w:val="single"/>
                <w:lang w:val="en-US"/>
              </w:rPr>
              <w:t>rukturēšanu un maksātnespēju 7.</w:t>
            </w:r>
            <w:r w:rsidRPr="00091D99">
              <w:rPr>
                <w:rFonts w:ascii="Times New Roman" w:eastAsia="Times New Roman" w:hAnsi="Times New Roman" w:cs="Times New Roman"/>
                <w:color w:val="201F1E"/>
                <w:sz w:val="20"/>
                <w:szCs w:val="20"/>
                <w:u w:val="single"/>
                <w:lang w:val="en-US"/>
              </w:rPr>
              <w:t>panta 6.punktu, vienlaikus norādot, ka ar Likumproje</w:t>
            </w:r>
            <w:r w:rsidR="00091D99">
              <w:rPr>
                <w:rFonts w:ascii="Times New Roman" w:eastAsia="Times New Roman" w:hAnsi="Times New Roman" w:cs="Times New Roman"/>
                <w:color w:val="201F1E"/>
                <w:sz w:val="20"/>
                <w:szCs w:val="20"/>
                <w:u w:val="single"/>
                <w:lang w:val="en-US"/>
              </w:rPr>
              <w:t>ktu tiek pārņemts Direktīvas 7.panta 6.</w:t>
            </w:r>
            <w:r w:rsidRPr="00091D99">
              <w:rPr>
                <w:rFonts w:ascii="Times New Roman" w:eastAsia="Times New Roman" w:hAnsi="Times New Roman" w:cs="Times New Roman"/>
                <w:color w:val="201F1E"/>
                <w:sz w:val="20"/>
                <w:szCs w:val="20"/>
                <w:u w:val="single"/>
                <w:lang w:val="en-US"/>
              </w:rPr>
              <w:t>punkts.</w:t>
            </w:r>
          </w:p>
          <w:p w14:paraId="50034B1B" w14:textId="77777777" w:rsidR="00ED4F08" w:rsidRPr="00091D99" w:rsidRDefault="00ED4F08" w:rsidP="00ED4F08">
            <w:pPr>
              <w:shd w:val="clear" w:color="auto" w:fill="FFFFFF"/>
              <w:spacing w:after="0" w:line="240" w:lineRule="auto"/>
              <w:ind w:firstLine="330"/>
              <w:jc w:val="both"/>
              <w:rPr>
                <w:rFonts w:ascii="Times New Roman" w:eastAsia="Times New Roman" w:hAnsi="Times New Roman" w:cs="Times New Roman"/>
                <w:color w:val="201F1E"/>
                <w:sz w:val="20"/>
                <w:szCs w:val="20"/>
                <w:lang w:val="en-US"/>
              </w:rPr>
            </w:pPr>
            <w:r w:rsidRPr="00091D99">
              <w:rPr>
                <w:rFonts w:ascii="Times New Roman" w:eastAsia="Times New Roman" w:hAnsi="Times New Roman" w:cs="Times New Roman"/>
                <w:color w:val="201F1E"/>
                <w:sz w:val="20"/>
                <w:szCs w:val="20"/>
                <w:lang w:val="en-US"/>
              </w:rPr>
              <w:t>Papildus, atbildot uz Likumprojekta saskaņošanas laikā pausto Finanšu ministrijas viedokli, ka ar Likumprojektu pilnīb</w:t>
            </w:r>
            <w:r w:rsidR="00091D99">
              <w:rPr>
                <w:rFonts w:ascii="Times New Roman" w:eastAsia="Times New Roman" w:hAnsi="Times New Roman" w:cs="Times New Roman"/>
                <w:color w:val="201F1E"/>
                <w:sz w:val="20"/>
                <w:szCs w:val="20"/>
                <w:lang w:val="en-US"/>
              </w:rPr>
              <w:t>ā netiek ieviests Direktīvas 7.panta 6.</w:t>
            </w:r>
            <w:r w:rsidRPr="00091D99">
              <w:rPr>
                <w:rFonts w:ascii="Times New Roman" w:eastAsia="Times New Roman" w:hAnsi="Times New Roman" w:cs="Times New Roman"/>
                <w:color w:val="201F1E"/>
                <w:sz w:val="20"/>
                <w:szCs w:val="20"/>
                <w:lang w:val="en-US"/>
              </w:rPr>
              <w:t>punkts, jo Direktīvas tekstā primāri nav runa tieši par izslēdzošo ieskaitu, bet gan plašāk – par ieskaitu vispār, skaidrojam turpmāko.</w:t>
            </w:r>
          </w:p>
          <w:p w14:paraId="29651CC8" w14:textId="77777777" w:rsidR="00ED4F08" w:rsidRPr="00091D99" w:rsidRDefault="00091D99" w:rsidP="00ED4F08">
            <w:pPr>
              <w:shd w:val="clear" w:color="auto" w:fill="FFFFFF"/>
              <w:spacing w:after="0" w:line="240" w:lineRule="auto"/>
              <w:ind w:firstLine="330"/>
              <w:jc w:val="both"/>
              <w:rPr>
                <w:rFonts w:ascii="Times New Roman" w:eastAsia="Times New Roman" w:hAnsi="Times New Roman" w:cs="Times New Roman"/>
                <w:color w:val="201F1E"/>
                <w:sz w:val="20"/>
                <w:szCs w:val="20"/>
                <w:lang w:val="en-US"/>
              </w:rPr>
            </w:pPr>
            <w:r>
              <w:rPr>
                <w:rFonts w:ascii="Times New Roman" w:eastAsia="Times New Roman" w:hAnsi="Times New Roman" w:cs="Times New Roman"/>
                <w:color w:val="201F1E"/>
                <w:sz w:val="20"/>
                <w:szCs w:val="20"/>
                <w:lang w:val="en-US"/>
              </w:rPr>
              <w:t>Direktīvas 7.panta 6.</w:t>
            </w:r>
            <w:r w:rsidR="00ED4F08" w:rsidRPr="00091D99">
              <w:rPr>
                <w:rFonts w:ascii="Times New Roman" w:eastAsia="Times New Roman" w:hAnsi="Times New Roman" w:cs="Times New Roman"/>
                <w:color w:val="201F1E"/>
                <w:sz w:val="20"/>
                <w:szCs w:val="20"/>
                <w:lang w:val="en-US"/>
              </w:rPr>
              <w:t xml:space="preserve">punkts noteic, ka dalībvalstis var paredzēt, ka atsevišķu izpildes panākšanas darbību apturēšana neattiecas uz savstarpējā ieskaita līgumiem, tostarp noslēguma ieskaita līgumiem, finanšu tirgos, enerģijas tirgos </w:t>
            </w:r>
            <w:r w:rsidR="00ED4F08" w:rsidRPr="00091D99">
              <w:rPr>
                <w:rFonts w:ascii="Times New Roman" w:eastAsia="Times New Roman" w:hAnsi="Times New Roman" w:cs="Times New Roman"/>
                <w:color w:val="201F1E"/>
                <w:sz w:val="20"/>
                <w:szCs w:val="20"/>
                <w:lang w:val="en-US"/>
              </w:rPr>
              <w:lastRenderedPageBreak/>
              <w:t>un izejvielu tirgo</w:t>
            </w:r>
            <w:r>
              <w:rPr>
                <w:rFonts w:ascii="Times New Roman" w:eastAsia="Times New Roman" w:hAnsi="Times New Roman" w:cs="Times New Roman"/>
                <w:color w:val="201F1E"/>
                <w:sz w:val="20"/>
                <w:szCs w:val="20"/>
                <w:lang w:val="en-US"/>
              </w:rPr>
              <w:t>s pat apstākļos, kad 31.</w:t>
            </w:r>
            <w:r w:rsidR="00ED4F08" w:rsidRPr="00091D99">
              <w:rPr>
                <w:rFonts w:ascii="Times New Roman" w:eastAsia="Times New Roman" w:hAnsi="Times New Roman" w:cs="Times New Roman"/>
                <w:color w:val="201F1E"/>
                <w:sz w:val="20"/>
                <w:szCs w:val="20"/>
                <w:lang w:val="en-US"/>
              </w:rPr>
              <w:t>panta 1.punkts nav piemērojams, – ja šādu līgumu izpilde ir panākama saskaņā ar valstu maksātnespējas tiesību aktiem. Atbilstoši Direktīvas tekstam dalībvalstij ir tiesības (tā var) izvēlēties ieviest tikai konkrēta veida ieskaitu, šādā gadījumā ieviešot minēto Direktīvas normu pilnīgi, pro</w:t>
            </w:r>
            <w:r>
              <w:rPr>
                <w:rFonts w:ascii="Times New Roman" w:eastAsia="Times New Roman" w:hAnsi="Times New Roman" w:cs="Times New Roman"/>
                <w:color w:val="201F1E"/>
                <w:sz w:val="20"/>
                <w:szCs w:val="20"/>
                <w:lang w:val="en-US"/>
              </w:rPr>
              <w:t>ti, lai, ieviestu Direktīvas 7.</w:t>
            </w:r>
            <w:r w:rsidR="00ED4F08" w:rsidRPr="00091D99">
              <w:rPr>
                <w:rFonts w:ascii="Times New Roman" w:eastAsia="Times New Roman" w:hAnsi="Times New Roman" w:cs="Times New Roman"/>
                <w:color w:val="201F1E"/>
                <w:sz w:val="20"/>
                <w:szCs w:val="20"/>
                <w:lang w:val="en-US"/>
              </w:rPr>
              <w:t>panta 6.punktu,  nav nepieciešams ietvert visus ieskaita veidus. Attiecīgi tam, ka Likumprojekts aptver gadījumus, kad ir noslēgts Master Agreement (izslēdzošā ieskaita līgums), bet neaptver gadījumus, kad starp pusēm šāda Master Agreement nav un tiek veikts Civillikumā regulētais ieskaits finanšu, enerģijas vai izejvielu tirgos, kā arī aptver tikai gadījumus, kad ir slēgti kvalificētie finanšu darījumi, bet neaptver visus darījumu veidus finanšu, enerģijas un izejvielu tirgos,  nenozīmē, ka Direktīvas attiecīgā norma nav iesviesta pilnībā.</w:t>
            </w:r>
          </w:p>
          <w:p w14:paraId="270DF38F" w14:textId="77777777" w:rsidR="00233F58" w:rsidRPr="00BE6558" w:rsidRDefault="00ED4F08" w:rsidP="00091D99">
            <w:pPr>
              <w:shd w:val="clear" w:color="auto" w:fill="FFFFFF"/>
              <w:spacing w:after="0" w:line="240" w:lineRule="auto"/>
              <w:ind w:firstLine="330"/>
              <w:jc w:val="both"/>
              <w:rPr>
                <w:rFonts w:ascii="Times New Roman" w:eastAsia="Times New Roman" w:hAnsi="Times New Roman" w:cs="Times New Roman"/>
                <w:sz w:val="20"/>
                <w:szCs w:val="20"/>
              </w:rPr>
            </w:pPr>
            <w:r w:rsidRPr="00091D99">
              <w:rPr>
                <w:rFonts w:ascii="Times New Roman" w:eastAsia="Times New Roman" w:hAnsi="Times New Roman" w:cs="Times New Roman"/>
                <w:color w:val="201F1E"/>
                <w:sz w:val="20"/>
                <w:szCs w:val="20"/>
                <w:lang w:val="en-US"/>
              </w:rPr>
              <w:t> Ja tomēr Finanšu ministrijai ir bažas par norādes par attiecīgās Direktīvas normas pārņemšanu pilnībā norādīšanu, Tieslietu ministrija neiebilst pret protokollēmuma projekta izstrādi, paredzot tajā uzdevumu Tieslietu ministrijai, nodrošinot Direktīvas 2019/1023 par pārstrukturēšanu un maksātnespēju transponēšanas pasākumus, papildus izvērtēt nepieciešamību veikt grozījumus arī citos normatīvajos aktos, nodrošinot Direktīvas 2019/1023 par pārst</w:t>
            </w:r>
            <w:r w:rsidR="00091D99">
              <w:rPr>
                <w:rFonts w:ascii="Times New Roman" w:eastAsia="Times New Roman" w:hAnsi="Times New Roman" w:cs="Times New Roman"/>
                <w:color w:val="201F1E"/>
                <w:sz w:val="20"/>
                <w:szCs w:val="20"/>
                <w:lang w:val="en-US"/>
              </w:rPr>
              <w:t>rukturēšanu un maksātnespēju 7.</w:t>
            </w:r>
            <w:r w:rsidRPr="00091D99">
              <w:rPr>
                <w:rFonts w:ascii="Times New Roman" w:eastAsia="Times New Roman" w:hAnsi="Times New Roman" w:cs="Times New Roman"/>
                <w:color w:val="201F1E"/>
                <w:sz w:val="20"/>
                <w:szCs w:val="20"/>
                <w:lang w:val="en-US"/>
              </w:rPr>
              <w:t>panta 6.punkta ieviešanu.</w:t>
            </w:r>
          </w:p>
        </w:tc>
        <w:tc>
          <w:tcPr>
            <w:tcW w:w="1228" w:type="pct"/>
            <w:gridSpan w:val="2"/>
            <w:tcBorders>
              <w:top w:val="single" w:sz="6" w:space="0" w:color="000000"/>
              <w:left w:val="single" w:sz="6" w:space="0" w:color="000000"/>
              <w:bottom w:val="single" w:sz="6" w:space="0" w:color="000000"/>
              <w:right w:val="single" w:sz="6" w:space="0" w:color="000000"/>
            </w:tcBorders>
          </w:tcPr>
          <w:p w14:paraId="5D4572B0" w14:textId="77777777" w:rsidR="00233F58" w:rsidRDefault="00ED4F08" w:rsidP="00E17427">
            <w:pPr>
              <w:pStyle w:val="NormalWeb"/>
              <w:spacing w:before="0" w:after="0"/>
              <w:ind w:right="13"/>
              <w:jc w:val="both"/>
              <w:rPr>
                <w:b/>
                <w:sz w:val="20"/>
                <w:szCs w:val="20"/>
              </w:rPr>
            </w:pPr>
            <w:r>
              <w:rPr>
                <w:b/>
                <w:sz w:val="20"/>
                <w:szCs w:val="20"/>
              </w:rPr>
              <w:lastRenderedPageBreak/>
              <w:t>Iebildums ņemts vērā.</w:t>
            </w:r>
          </w:p>
          <w:p w14:paraId="4C4DBD8D" w14:textId="78EB7BF9" w:rsidR="00ED4F08" w:rsidRPr="00091D99" w:rsidRDefault="00ED4F08" w:rsidP="00ED4F08">
            <w:pPr>
              <w:pStyle w:val="NormalWeb"/>
              <w:spacing w:before="0" w:after="0"/>
              <w:ind w:right="13" w:firstLine="431"/>
              <w:jc w:val="both"/>
              <w:rPr>
                <w:color w:val="201F1E"/>
                <w:sz w:val="20"/>
                <w:szCs w:val="20"/>
                <w:lang w:val="en-US"/>
              </w:rPr>
            </w:pPr>
            <w:r>
              <w:rPr>
                <w:b/>
                <w:sz w:val="20"/>
                <w:szCs w:val="20"/>
              </w:rPr>
              <w:t xml:space="preserve">12. </w:t>
            </w:r>
            <w:r w:rsidRPr="00E17427">
              <w:rPr>
                <w:sz w:val="20"/>
                <w:szCs w:val="20"/>
              </w:rPr>
              <w:t>Atbilstoši atzinumā norādītajam Likumprojekta anotācija</w:t>
            </w:r>
            <w:r>
              <w:rPr>
                <w:sz w:val="20"/>
                <w:szCs w:val="20"/>
              </w:rPr>
              <w:t xml:space="preserve">s </w:t>
            </w:r>
            <w:r w:rsidRPr="00091D99">
              <w:rPr>
                <w:sz w:val="20"/>
                <w:szCs w:val="20"/>
              </w:rPr>
              <w:t xml:space="preserve">V sadaļas tabulā </w:t>
            </w:r>
            <w:r w:rsidR="00F60B88">
              <w:rPr>
                <w:sz w:val="20"/>
                <w:szCs w:val="20"/>
              </w:rPr>
              <w:t xml:space="preserve">labota pārrakstīšanās kļūda, </w:t>
            </w:r>
            <w:r w:rsidRPr="00091D99">
              <w:rPr>
                <w:sz w:val="20"/>
                <w:szCs w:val="20"/>
              </w:rPr>
              <w:t>atsauc</w:t>
            </w:r>
            <w:r w:rsidR="00F60B88">
              <w:rPr>
                <w:sz w:val="20"/>
                <w:szCs w:val="20"/>
              </w:rPr>
              <w:t>i</w:t>
            </w:r>
            <w:r w:rsidRPr="00091D99">
              <w:rPr>
                <w:sz w:val="20"/>
                <w:szCs w:val="20"/>
              </w:rPr>
              <w:t xml:space="preserve"> </w:t>
            </w:r>
            <w:r w:rsidRPr="0080045C">
              <w:rPr>
                <w:color w:val="201F1E"/>
                <w:sz w:val="20"/>
                <w:szCs w:val="20"/>
                <w:lang w:val="en-US"/>
              </w:rPr>
              <w:t>uz Direktīvas 2009/138/EK 288.pantu aizstā</w:t>
            </w:r>
            <w:r w:rsidR="00F60B88" w:rsidRPr="0080045C">
              <w:rPr>
                <w:color w:val="201F1E"/>
                <w:sz w:val="20"/>
                <w:szCs w:val="20"/>
                <w:lang w:val="en-US"/>
              </w:rPr>
              <w:t>jot</w:t>
            </w:r>
            <w:r w:rsidRPr="0080045C">
              <w:rPr>
                <w:color w:val="201F1E"/>
                <w:sz w:val="20"/>
                <w:szCs w:val="20"/>
                <w:lang w:val="en-US"/>
              </w:rPr>
              <w:t xml:space="preserve"> ar atsauci uz Direktīvas 2019/1023</w:t>
            </w:r>
            <w:r w:rsidR="00091D99" w:rsidRPr="0080045C">
              <w:rPr>
                <w:color w:val="201F1E"/>
                <w:sz w:val="20"/>
                <w:szCs w:val="20"/>
                <w:lang w:val="en-US"/>
              </w:rPr>
              <w:t xml:space="preserve"> 7.p</w:t>
            </w:r>
            <w:r w:rsidRPr="0080045C">
              <w:rPr>
                <w:color w:val="201F1E"/>
                <w:sz w:val="20"/>
                <w:szCs w:val="20"/>
                <w:lang w:val="en-US"/>
              </w:rPr>
              <w:t>anta 6.</w:t>
            </w:r>
            <w:r w:rsidRPr="00091D99">
              <w:rPr>
                <w:color w:val="201F1E"/>
                <w:sz w:val="20"/>
                <w:szCs w:val="20"/>
                <w:lang w:val="en-US"/>
              </w:rPr>
              <w:t>punktu.</w:t>
            </w:r>
          </w:p>
          <w:p w14:paraId="5D6DAE7A" w14:textId="77777777" w:rsidR="00ED4F08" w:rsidRPr="00ED4F08" w:rsidRDefault="00ED4F08" w:rsidP="00ED4F08">
            <w:pPr>
              <w:shd w:val="clear" w:color="auto" w:fill="FFFFFF"/>
              <w:spacing w:after="0" w:line="240" w:lineRule="auto"/>
              <w:ind w:firstLine="330"/>
              <w:jc w:val="both"/>
              <w:rPr>
                <w:rFonts w:ascii="Times New Roman" w:eastAsia="Times New Roman" w:hAnsi="Times New Roman" w:cs="Times New Roman"/>
                <w:color w:val="201F1E"/>
                <w:sz w:val="20"/>
                <w:szCs w:val="20"/>
                <w:lang w:val="en-US"/>
              </w:rPr>
            </w:pPr>
            <w:r w:rsidRPr="00ED4F08">
              <w:rPr>
                <w:rFonts w:ascii="Times New Roman" w:hAnsi="Times New Roman" w:cs="Times New Roman"/>
                <w:color w:val="201F1E"/>
                <w:sz w:val="20"/>
                <w:szCs w:val="20"/>
                <w:lang w:val="en-US"/>
              </w:rPr>
              <w:t xml:space="preserve">Tāpat Likumprojekta anotācijā norādīts, ka </w:t>
            </w:r>
            <w:r w:rsidRPr="00ED4F08">
              <w:rPr>
                <w:rFonts w:ascii="Times New Roman" w:eastAsia="Times New Roman" w:hAnsi="Times New Roman" w:cs="Times New Roman"/>
                <w:color w:val="201F1E"/>
                <w:sz w:val="20"/>
                <w:szCs w:val="20"/>
                <w:lang w:val="en-US"/>
              </w:rPr>
              <w:t>ar Likumproje</w:t>
            </w:r>
            <w:r w:rsidR="00091D99">
              <w:rPr>
                <w:rFonts w:ascii="Times New Roman" w:eastAsia="Times New Roman" w:hAnsi="Times New Roman" w:cs="Times New Roman"/>
                <w:color w:val="201F1E"/>
                <w:sz w:val="20"/>
                <w:szCs w:val="20"/>
                <w:lang w:val="en-US"/>
              </w:rPr>
              <w:t xml:space="preserve">ktu tiek pārņemts Direktīvas </w:t>
            </w:r>
            <w:r w:rsidR="00091D99" w:rsidRPr="00091D99">
              <w:rPr>
                <w:rFonts w:ascii="Times New Roman" w:eastAsia="Times New Roman" w:hAnsi="Times New Roman" w:cs="Times New Roman"/>
                <w:color w:val="201F1E"/>
                <w:sz w:val="20"/>
                <w:szCs w:val="20"/>
                <w:u w:val="single"/>
                <w:lang w:val="en-US"/>
              </w:rPr>
              <w:t>2019/1023</w:t>
            </w:r>
            <w:r w:rsidR="00091D99" w:rsidRPr="00091D99">
              <w:rPr>
                <w:color w:val="201F1E"/>
                <w:sz w:val="20"/>
                <w:szCs w:val="20"/>
                <w:u w:val="single"/>
                <w:lang w:val="en-US"/>
              </w:rPr>
              <w:t xml:space="preserve"> </w:t>
            </w:r>
            <w:r w:rsidR="00091D99">
              <w:rPr>
                <w:rFonts w:ascii="Times New Roman" w:eastAsia="Times New Roman" w:hAnsi="Times New Roman" w:cs="Times New Roman"/>
                <w:color w:val="201F1E"/>
                <w:sz w:val="20"/>
                <w:szCs w:val="20"/>
                <w:lang w:val="en-US"/>
              </w:rPr>
              <w:t>7.</w:t>
            </w:r>
            <w:r w:rsidRPr="00ED4F08">
              <w:rPr>
                <w:rFonts w:ascii="Times New Roman" w:eastAsia="Times New Roman" w:hAnsi="Times New Roman" w:cs="Times New Roman"/>
                <w:color w:val="201F1E"/>
                <w:sz w:val="20"/>
                <w:szCs w:val="20"/>
                <w:lang w:val="en-US"/>
              </w:rPr>
              <w:t>panta 6.punkts</w:t>
            </w:r>
            <w:r>
              <w:rPr>
                <w:rFonts w:ascii="Times New Roman" w:eastAsia="Times New Roman" w:hAnsi="Times New Roman" w:cs="Times New Roman"/>
                <w:color w:val="201F1E"/>
                <w:sz w:val="20"/>
                <w:szCs w:val="20"/>
                <w:lang w:val="en-US"/>
              </w:rPr>
              <w:t xml:space="preserve">, svītrojot vārdu </w:t>
            </w:r>
            <w:r w:rsidRPr="00091D99">
              <w:rPr>
                <w:rFonts w:ascii="Times New Roman" w:hAnsi="Times New Roman" w:cs="Times New Roman"/>
                <w:color w:val="000000" w:themeColor="text1"/>
                <w:sz w:val="20"/>
                <w:szCs w:val="20"/>
              </w:rPr>
              <w:t>„</w:t>
            </w:r>
            <w:r>
              <w:rPr>
                <w:rFonts w:ascii="Times New Roman" w:eastAsia="Times New Roman" w:hAnsi="Times New Roman" w:cs="Times New Roman"/>
                <w:color w:val="201F1E"/>
                <w:sz w:val="20"/>
                <w:szCs w:val="20"/>
                <w:lang w:val="en-US"/>
              </w:rPr>
              <w:t>daļēji”.</w:t>
            </w:r>
          </w:p>
          <w:p w14:paraId="53CB5982" w14:textId="77777777" w:rsidR="00ED4F08" w:rsidRPr="00F9152F" w:rsidRDefault="00ED4F08" w:rsidP="00ED4F08">
            <w:pPr>
              <w:pStyle w:val="NormalWeb"/>
              <w:spacing w:before="0" w:after="0"/>
              <w:ind w:right="13" w:firstLine="431"/>
              <w:jc w:val="both"/>
              <w:rPr>
                <w:b/>
                <w:sz w:val="20"/>
                <w:szCs w:val="20"/>
              </w:rPr>
            </w:pPr>
          </w:p>
        </w:tc>
        <w:tc>
          <w:tcPr>
            <w:tcW w:w="712" w:type="pct"/>
            <w:tcBorders>
              <w:top w:val="single" w:sz="4" w:space="0" w:color="auto"/>
              <w:left w:val="single" w:sz="4" w:space="0" w:color="auto"/>
              <w:bottom w:val="single" w:sz="4" w:space="0" w:color="auto"/>
              <w:right w:val="single" w:sz="4" w:space="0" w:color="auto"/>
            </w:tcBorders>
          </w:tcPr>
          <w:p w14:paraId="3B35AC3D" w14:textId="77777777" w:rsidR="00091D99" w:rsidRDefault="00091D99" w:rsidP="00091D99">
            <w:pPr>
              <w:pStyle w:val="NormalWeb"/>
              <w:spacing w:before="0" w:after="0"/>
              <w:ind w:right="13" w:firstLine="431"/>
              <w:jc w:val="both"/>
              <w:rPr>
                <w:color w:val="201F1E"/>
                <w:sz w:val="20"/>
                <w:szCs w:val="20"/>
                <w:lang w:val="en-US"/>
              </w:rPr>
            </w:pPr>
            <w:r>
              <w:rPr>
                <w:sz w:val="20"/>
                <w:szCs w:val="20"/>
              </w:rPr>
              <w:t xml:space="preserve">Precizēta </w:t>
            </w:r>
            <w:r w:rsidRPr="00F9152F">
              <w:rPr>
                <w:sz w:val="20"/>
                <w:szCs w:val="20"/>
              </w:rPr>
              <w:t xml:space="preserve">Likumprojekta </w:t>
            </w:r>
            <w:r>
              <w:rPr>
                <w:sz w:val="20"/>
                <w:szCs w:val="20"/>
              </w:rPr>
              <w:t>a</w:t>
            </w:r>
            <w:r w:rsidRPr="00F9152F">
              <w:rPr>
                <w:sz w:val="20"/>
                <w:szCs w:val="20"/>
              </w:rPr>
              <w:t>notācija</w:t>
            </w:r>
            <w:r>
              <w:rPr>
                <w:sz w:val="20"/>
                <w:szCs w:val="20"/>
              </w:rPr>
              <w:t>s</w:t>
            </w:r>
            <w:r w:rsidRPr="00F9152F">
              <w:rPr>
                <w:sz w:val="20"/>
                <w:szCs w:val="20"/>
              </w:rPr>
              <w:t xml:space="preserve"> </w:t>
            </w:r>
            <w:r w:rsidRPr="00091D99">
              <w:rPr>
                <w:sz w:val="20"/>
                <w:szCs w:val="20"/>
              </w:rPr>
              <w:t>V sadaļas tabul</w:t>
            </w:r>
            <w:r>
              <w:rPr>
                <w:sz w:val="20"/>
                <w:szCs w:val="20"/>
              </w:rPr>
              <w:t>a,</w:t>
            </w:r>
            <w:r w:rsidRPr="00091D99">
              <w:rPr>
                <w:sz w:val="20"/>
                <w:szCs w:val="20"/>
              </w:rPr>
              <w:t xml:space="preserve"> atsauc</w:t>
            </w:r>
            <w:r>
              <w:rPr>
                <w:sz w:val="20"/>
                <w:szCs w:val="20"/>
              </w:rPr>
              <w:t>i</w:t>
            </w:r>
            <w:r w:rsidRPr="00091D99">
              <w:rPr>
                <w:sz w:val="20"/>
                <w:szCs w:val="20"/>
              </w:rPr>
              <w:t xml:space="preserve"> </w:t>
            </w:r>
            <w:r w:rsidRPr="0080045C">
              <w:rPr>
                <w:color w:val="201F1E"/>
                <w:sz w:val="20"/>
                <w:szCs w:val="20"/>
                <w:lang w:val="en-US"/>
              </w:rPr>
              <w:t>uz Direktīvas 2009/138/EK 288.pantu aizstājot ar atsauci uz Direktīvas 2019/1023 7.panta</w:t>
            </w:r>
            <w:r w:rsidRPr="00091D99">
              <w:rPr>
                <w:color w:val="201F1E"/>
                <w:sz w:val="20"/>
                <w:szCs w:val="20"/>
                <w:u w:val="single"/>
                <w:lang w:val="en-US"/>
              </w:rPr>
              <w:t xml:space="preserve"> </w:t>
            </w:r>
            <w:r w:rsidRPr="0080045C">
              <w:rPr>
                <w:color w:val="201F1E"/>
                <w:sz w:val="20"/>
                <w:szCs w:val="20"/>
                <w:lang w:val="en-US"/>
              </w:rPr>
              <w:t>6.</w:t>
            </w:r>
            <w:r w:rsidRPr="00091D99">
              <w:rPr>
                <w:color w:val="201F1E"/>
                <w:sz w:val="20"/>
                <w:szCs w:val="20"/>
                <w:lang w:val="en-US"/>
              </w:rPr>
              <w:t>punktu.</w:t>
            </w:r>
          </w:p>
          <w:p w14:paraId="151D7C1A" w14:textId="77777777" w:rsidR="00091D99" w:rsidRPr="00091D99" w:rsidRDefault="00091D99" w:rsidP="00091D99">
            <w:pPr>
              <w:pStyle w:val="NormalWeb"/>
              <w:spacing w:before="0" w:after="0"/>
              <w:ind w:right="13" w:firstLine="431"/>
              <w:jc w:val="both"/>
              <w:rPr>
                <w:color w:val="201F1E"/>
                <w:sz w:val="20"/>
                <w:szCs w:val="20"/>
                <w:lang w:val="en-US"/>
              </w:rPr>
            </w:pPr>
            <w:r w:rsidRPr="00F9152F">
              <w:rPr>
                <w:sz w:val="20"/>
                <w:szCs w:val="20"/>
              </w:rPr>
              <w:t xml:space="preserve">Likumprojekta </w:t>
            </w:r>
            <w:r>
              <w:rPr>
                <w:sz w:val="20"/>
                <w:szCs w:val="20"/>
              </w:rPr>
              <w:t>a</w:t>
            </w:r>
            <w:r w:rsidRPr="00F9152F">
              <w:rPr>
                <w:sz w:val="20"/>
                <w:szCs w:val="20"/>
              </w:rPr>
              <w:t>notācij</w:t>
            </w:r>
            <w:r>
              <w:rPr>
                <w:sz w:val="20"/>
                <w:szCs w:val="20"/>
              </w:rPr>
              <w:t xml:space="preserve">ā norādīts, ka </w:t>
            </w:r>
            <w:r w:rsidRPr="00ED4F08">
              <w:rPr>
                <w:color w:val="201F1E"/>
                <w:sz w:val="20"/>
                <w:szCs w:val="20"/>
                <w:lang w:val="en-US"/>
              </w:rPr>
              <w:t>ar Likumproje</w:t>
            </w:r>
            <w:r>
              <w:rPr>
                <w:color w:val="201F1E"/>
                <w:sz w:val="20"/>
                <w:szCs w:val="20"/>
                <w:lang w:val="en-US"/>
              </w:rPr>
              <w:t xml:space="preserve">ktu tiek pārņemts Direktīvas </w:t>
            </w:r>
            <w:r w:rsidRPr="0080045C">
              <w:rPr>
                <w:color w:val="201F1E"/>
                <w:sz w:val="20"/>
                <w:szCs w:val="20"/>
                <w:lang w:val="en-US"/>
              </w:rPr>
              <w:t>2019/1023</w:t>
            </w:r>
            <w:r w:rsidRPr="00091D99">
              <w:rPr>
                <w:color w:val="201F1E"/>
                <w:sz w:val="20"/>
                <w:szCs w:val="20"/>
                <w:u w:val="single"/>
                <w:lang w:val="en-US"/>
              </w:rPr>
              <w:t xml:space="preserve"> </w:t>
            </w:r>
            <w:r>
              <w:rPr>
                <w:color w:val="201F1E"/>
                <w:sz w:val="20"/>
                <w:szCs w:val="20"/>
                <w:lang w:val="en-US"/>
              </w:rPr>
              <w:t>7.</w:t>
            </w:r>
            <w:r w:rsidRPr="00ED4F08">
              <w:rPr>
                <w:color w:val="201F1E"/>
                <w:sz w:val="20"/>
                <w:szCs w:val="20"/>
                <w:lang w:val="en-US"/>
              </w:rPr>
              <w:t>panta 6.punkts</w:t>
            </w:r>
            <w:r>
              <w:rPr>
                <w:color w:val="201F1E"/>
                <w:sz w:val="20"/>
                <w:szCs w:val="20"/>
                <w:lang w:val="en-US"/>
              </w:rPr>
              <w:t>.</w:t>
            </w:r>
          </w:p>
          <w:p w14:paraId="272EA00D" w14:textId="77777777" w:rsidR="00233F58" w:rsidRDefault="00233F58" w:rsidP="00091D99">
            <w:pPr>
              <w:pStyle w:val="NormalWeb"/>
              <w:spacing w:before="0" w:after="0"/>
              <w:ind w:right="13"/>
              <w:jc w:val="both"/>
              <w:rPr>
                <w:sz w:val="20"/>
                <w:szCs w:val="20"/>
              </w:rPr>
            </w:pPr>
          </w:p>
        </w:tc>
      </w:tr>
      <w:tr w:rsidR="0037478B" w:rsidRPr="00F9152F" w14:paraId="33127708" w14:textId="77777777" w:rsidTr="0037478B">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31696347" w14:textId="77777777" w:rsidR="0037478B" w:rsidRPr="00F9152F" w:rsidRDefault="00DA470C" w:rsidP="003D33F2">
            <w:pPr>
              <w:spacing w:after="0" w:line="240" w:lineRule="auto"/>
              <w:jc w:val="center"/>
              <w:rPr>
                <w:rFonts w:ascii="Times New Roman" w:hAnsi="Times New Roman" w:cs="Times New Roman"/>
                <w:b/>
                <w:sz w:val="20"/>
              </w:rPr>
            </w:pPr>
            <w:r w:rsidRPr="00F9152F">
              <w:rPr>
                <w:rFonts w:ascii="Times New Roman" w:hAnsi="Times New Roman" w:cs="Times New Roman"/>
                <w:b/>
                <w:sz w:val="20"/>
              </w:rPr>
              <w:t>Finanšu un kapitāla tirgus komisijas</w:t>
            </w:r>
            <w:r w:rsidR="0037478B" w:rsidRPr="00F9152F">
              <w:rPr>
                <w:rFonts w:ascii="Times New Roman" w:hAnsi="Times New Roman" w:cs="Times New Roman"/>
                <w:b/>
                <w:sz w:val="20"/>
              </w:rPr>
              <w:t xml:space="preserve"> </w:t>
            </w:r>
            <w:r w:rsidR="003D33F2" w:rsidRPr="00F9152F">
              <w:rPr>
                <w:rFonts w:ascii="Times New Roman" w:hAnsi="Times New Roman" w:cs="Times New Roman"/>
                <w:b/>
                <w:sz w:val="20"/>
              </w:rPr>
              <w:t>14</w:t>
            </w:r>
            <w:r w:rsidRPr="00F9152F">
              <w:rPr>
                <w:rFonts w:ascii="Times New Roman" w:hAnsi="Times New Roman" w:cs="Times New Roman"/>
                <w:b/>
                <w:sz w:val="20"/>
              </w:rPr>
              <w:t>.07.2020</w:t>
            </w:r>
            <w:r w:rsidR="003D33F2" w:rsidRPr="00F9152F">
              <w:rPr>
                <w:rFonts w:ascii="Times New Roman" w:hAnsi="Times New Roman" w:cs="Times New Roman"/>
                <w:b/>
                <w:sz w:val="20"/>
              </w:rPr>
              <w:t>.</w:t>
            </w:r>
            <w:r w:rsidR="0037478B" w:rsidRPr="00F9152F">
              <w:rPr>
                <w:rFonts w:ascii="Times New Roman" w:hAnsi="Times New Roman" w:cs="Times New Roman"/>
                <w:b/>
                <w:sz w:val="20"/>
              </w:rPr>
              <w:t xml:space="preserve"> atzinumā </w:t>
            </w:r>
            <w:r w:rsidR="00A15096" w:rsidRPr="00F9152F">
              <w:rPr>
                <w:rFonts w:ascii="Times New Roman" w:hAnsi="Times New Roman" w:cs="Times New Roman"/>
                <w:b/>
                <w:sz w:val="20"/>
              </w:rPr>
              <w:t xml:space="preserve">Nr. 04.02.14/2640 </w:t>
            </w:r>
            <w:r w:rsidR="0037478B" w:rsidRPr="00F9152F">
              <w:rPr>
                <w:rFonts w:ascii="Times New Roman" w:hAnsi="Times New Roman" w:cs="Times New Roman"/>
                <w:b/>
                <w:sz w:val="20"/>
              </w:rPr>
              <w:t>izteiktie iebildumi</w:t>
            </w:r>
          </w:p>
        </w:tc>
      </w:tr>
      <w:tr w:rsidR="0037478B" w:rsidRPr="00F9152F" w14:paraId="36C6E0CA"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666D3862" w14:textId="77777777" w:rsidR="0037478B" w:rsidRPr="00F9152F" w:rsidRDefault="0037478B"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718F693" w14:textId="77777777" w:rsidR="003F7052" w:rsidRPr="00F9152F" w:rsidRDefault="003F7052" w:rsidP="003F7052">
            <w:pPr>
              <w:pStyle w:val="ListParagraph"/>
              <w:spacing w:after="0" w:line="240" w:lineRule="auto"/>
              <w:ind w:left="0"/>
              <w:jc w:val="both"/>
              <w:rPr>
                <w:rFonts w:ascii="Times New Roman" w:eastAsia="Times New Roman" w:hAnsi="Times New Roman"/>
                <w:color w:val="000000" w:themeColor="text1"/>
                <w:sz w:val="20"/>
                <w:szCs w:val="20"/>
              </w:rPr>
            </w:pPr>
            <w:r w:rsidRPr="00F9152F">
              <w:rPr>
                <w:rFonts w:ascii="Times New Roman" w:hAnsi="Times New Roman"/>
                <w:b/>
                <w:bCs/>
                <w:color w:val="000000" w:themeColor="text1"/>
                <w:sz w:val="20"/>
                <w:szCs w:val="20"/>
              </w:rPr>
              <w:t>4. pants. Likuma subjekti</w:t>
            </w:r>
          </w:p>
          <w:p w14:paraId="63B81940" w14:textId="77777777" w:rsidR="003F7052" w:rsidRPr="00F9152F" w:rsidRDefault="003F7052" w:rsidP="003F7052">
            <w:pPr>
              <w:tabs>
                <w:tab w:val="left" w:pos="232"/>
              </w:tabs>
              <w:spacing w:after="0" w:line="240" w:lineRule="auto"/>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(2) Šis likums nosaka izslēdzošā ieskaita piemērošanas kārtību arī tādā gadījumā, ja:</w:t>
            </w:r>
          </w:p>
          <w:p w14:paraId="28ADA0C4" w14:textId="77777777" w:rsidR="003F7052" w:rsidRPr="00F9152F" w:rsidRDefault="003F7052" w:rsidP="003F7052">
            <w:pPr>
              <w:tabs>
                <w:tab w:val="left" w:pos="232"/>
              </w:tabs>
              <w:spacing w:before="120" w:after="120" w:line="240" w:lineRule="auto"/>
              <w:jc w:val="both"/>
              <w:rPr>
                <w:rFonts w:ascii="Times New Roman" w:eastAsia="Times New Roman" w:hAnsi="Times New Roman"/>
                <w:sz w:val="20"/>
                <w:szCs w:val="20"/>
              </w:rPr>
            </w:pPr>
            <w:r w:rsidRPr="00F9152F">
              <w:rPr>
                <w:rFonts w:ascii="Times New Roman" w:hAnsi="Times New Roman"/>
                <w:color w:val="000000" w:themeColor="text1"/>
                <w:sz w:val="20"/>
                <w:szCs w:val="20"/>
              </w:rPr>
              <w:t xml:space="preserve">2) abi līdzēji ir juridiskas personas, kas konkrētā līdzēja sabiedrības līmenī </w:t>
            </w:r>
            <w:r w:rsidRPr="00F9152F">
              <w:rPr>
                <w:rFonts w:ascii="Times New Roman" w:hAnsi="Times New Roman"/>
                <w:color w:val="000000" w:themeColor="text1"/>
                <w:sz w:val="20"/>
                <w:szCs w:val="20"/>
              </w:rPr>
              <w:lastRenderedPageBreak/>
              <w:t>izpilda divas no šādām apjoma prasībām izslēdzošā ieskaita līguma noslēgšanas brīdī, par pamatu ņemot</w:t>
            </w:r>
            <w:r w:rsidRPr="00F9152F">
              <w:rPr>
                <w:rFonts w:ascii="Times New Roman" w:hAnsi="Times New Roman"/>
                <w:color w:val="414142"/>
                <w:sz w:val="20"/>
                <w:szCs w:val="20"/>
              </w:rPr>
              <w:t xml:space="preserve"> </w:t>
            </w:r>
            <w:r w:rsidRPr="00F9152F">
              <w:rPr>
                <w:rFonts w:ascii="Times New Roman" w:hAnsi="Times New Roman"/>
                <w:sz w:val="20"/>
                <w:szCs w:val="20"/>
              </w:rPr>
              <w:t xml:space="preserve">pēdējos divus pārskata gadus </w:t>
            </w:r>
            <w:r w:rsidRPr="00F9152F">
              <w:rPr>
                <w:rFonts w:ascii="Times New Roman" w:hAnsi="Times New Roman"/>
                <w:sz w:val="20"/>
                <w:szCs w:val="20"/>
                <w:shd w:val="clear" w:color="auto" w:fill="FFFFFF"/>
              </w:rPr>
              <w:t>(gan kārtējā, gan iepriekšējā pārskata gadā)</w:t>
            </w:r>
            <w:r w:rsidRPr="00F9152F">
              <w:rPr>
                <w:rFonts w:ascii="Times New Roman" w:hAnsi="Times New Roman"/>
                <w:sz w:val="20"/>
                <w:szCs w:val="20"/>
              </w:rPr>
              <w:t>:</w:t>
            </w:r>
          </w:p>
          <w:p w14:paraId="27FD43FD" w14:textId="77777777" w:rsidR="003F7052" w:rsidRPr="00F9152F" w:rsidRDefault="003F7052" w:rsidP="003F7052">
            <w:pPr>
              <w:pStyle w:val="ListParagraph"/>
              <w:numPr>
                <w:ilvl w:val="0"/>
                <w:numId w:val="19"/>
              </w:numPr>
              <w:tabs>
                <w:tab w:val="left" w:pos="232"/>
                <w:tab w:val="left" w:pos="1080"/>
              </w:tabs>
              <w:spacing w:before="120" w:after="120" w:line="240" w:lineRule="auto"/>
              <w:ind w:left="0" w:firstLine="0"/>
              <w:jc w:val="both"/>
              <w:rPr>
                <w:rFonts w:ascii="Times New Roman" w:eastAsia="Times New Roman" w:hAnsi="Times New Roman"/>
                <w:color w:val="000000" w:themeColor="text1"/>
                <w:sz w:val="20"/>
                <w:szCs w:val="20"/>
              </w:rPr>
            </w:pPr>
            <w:r w:rsidRPr="00F9152F">
              <w:rPr>
                <w:rFonts w:ascii="Times New Roman" w:hAnsi="Times New Roman"/>
                <w:sz w:val="20"/>
                <w:szCs w:val="20"/>
              </w:rPr>
              <w:t>bilances kopsumma: 20 000 000 </w:t>
            </w:r>
            <w:r w:rsidRPr="00F9152F">
              <w:rPr>
                <w:rFonts w:ascii="Times New Roman" w:hAnsi="Times New Roman"/>
                <w:i/>
                <w:sz w:val="20"/>
                <w:szCs w:val="20"/>
              </w:rPr>
              <w:t>euro</w:t>
            </w:r>
            <w:r w:rsidRPr="00F9152F">
              <w:rPr>
                <w:rFonts w:ascii="Times New Roman" w:hAnsi="Times New Roman"/>
                <w:color w:val="000000" w:themeColor="text1"/>
                <w:sz w:val="20"/>
                <w:szCs w:val="20"/>
              </w:rPr>
              <w:t>,</w:t>
            </w:r>
          </w:p>
          <w:p w14:paraId="3A261102" w14:textId="77777777" w:rsidR="003F7052" w:rsidRPr="00F9152F" w:rsidRDefault="003F7052" w:rsidP="003F7052">
            <w:pPr>
              <w:pStyle w:val="ListParagraph"/>
              <w:numPr>
                <w:ilvl w:val="0"/>
                <w:numId w:val="19"/>
              </w:numPr>
              <w:tabs>
                <w:tab w:val="left" w:pos="232"/>
                <w:tab w:val="left" w:pos="1080"/>
              </w:tabs>
              <w:spacing w:before="120" w:after="120" w:line="240" w:lineRule="auto"/>
              <w:ind w:left="0" w:firstLine="0"/>
              <w:jc w:val="both"/>
              <w:rPr>
                <w:rFonts w:ascii="Times New Roman" w:eastAsia="Times New Roman" w:hAnsi="Times New Roman"/>
                <w:color w:val="000000" w:themeColor="text1"/>
                <w:sz w:val="20"/>
                <w:szCs w:val="20"/>
              </w:rPr>
            </w:pPr>
            <w:r w:rsidRPr="00F9152F">
              <w:rPr>
                <w:rFonts w:ascii="Times New Roman" w:hAnsi="Times New Roman"/>
                <w:color w:val="000000" w:themeColor="text1"/>
                <w:sz w:val="20"/>
                <w:szCs w:val="20"/>
              </w:rPr>
              <w:t>neto apgrozījums: 40 000 000 </w:t>
            </w:r>
            <w:r w:rsidRPr="00F9152F">
              <w:rPr>
                <w:rFonts w:ascii="Times New Roman" w:hAnsi="Times New Roman"/>
                <w:i/>
                <w:sz w:val="20"/>
                <w:szCs w:val="20"/>
              </w:rPr>
              <w:t>euro</w:t>
            </w:r>
            <w:r w:rsidRPr="00F9152F">
              <w:rPr>
                <w:rFonts w:ascii="Times New Roman" w:hAnsi="Times New Roman"/>
                <w:color w:val="000000" w:themeColor="text1"/>
                <w:sz w:val="20"/>
                <w:szCs w:val="20"/>
              </w:rPr>
              <w:t>,</w:t>
            </w:r>
          </w:p>
          <w:p w14:paraId="61675A3C" w14:textId="77777777" w:rsidR="003F7052" w:rsidRPr="00F9152F" w:rsidRDefault="003F7052" w:rsidP="003F7052">
            <w:pPr>
              <w:pStyle w:val="ListParagraph"/>
              <w:numPr>
                <w:ilvl w:val="0"/>
                <w:numId w:val="19"/>
              </w:numPr>
              <w:tabs>
                <w:tab w:val="left" w:pos="232"/>
                <w:tab w:val="left" w:pos="1080"/>
              </w:tabs>
              <w:spacing w:before="120" w:after="120" w:line="240" w:lineRule="auto"/>
              <w:ind w:left="0" w:firstLine="0"/>
              <w:jc w:val="both"/>
              <w:rPr>
                <w:rFonts w:ascii="Times New Roman" w:eastAsia="Times New Roman" w:hAnsi="Times New Roman"/>
                <w:color w:val="000000" w:themeColor="text1"/>
                <w:sz w:val="20"/>
                <w:szCs w:val="20"/>
              </w:rPr>
            </w:pPr>
            <w:r w:rsidRPr="00F9152F">
              <w:rPr>
                <w:rFonts w:ascii="Times New Roman" w:hAnsi="Times New Roman"/>
                <w:color w:val="000000" w:themeColor="text1"/>
                <w:sz w:val="20"/>
                <w:szCs w:val="20"/>
              </w:rPr>
              <w:t>pašu kapitāls: 2 000 000 </w:t>
            </w:r>
            <w:r w:rsidRPr="00F9152F">
              <w:rPr>
                <w:rFonts w:ascii="Times New Roman" w:hAnsi="Times New Roman"/>
                <w:i/>
                <w:sz w:val="20"/>
                <w:szCs w:val="20"/>
              </w:rPr>
              <w:t>euro</w:t>
            </w:r>
            <w:r w:rsidRPr="00F9152F">
              <w:rPr>
                <w:rFonts w:ascii="Times New Roman" w:hAnsi="Times New Roman"/>
                <w:color w:val="000000" w:themeColor="text1"/>
                <w:sz w:val="20"/>
                <w:szCs w:val="20"/>
              </w:rPr>
              <w:t>.</w:t>
            </w:r>
          </w:p>
          <w:p w14:paraId="54FD87D6" w14:textId="77777777" w:rsidR="0037478B" w:rsidRPr="00F9152F" w:rsidRDefault="0037478B" w:rsidP="00614FD3">
            <w:pPr>
              <w:spacing w:after="0" w:line="240" w:lineRule="auto"/>
              <w:jc w:val="both"/>
              <w:rPr>
                <w:rFonts w:ascii="Times New Roman" w:eastAsia="Times New Roman" w:hAnsi="Times New Roman" w:cs="Times New Roman"/>
                <w:bCs/>
                <w:sz w:val="20"/>
                <w:lang w:eastAsia="lv-LV"/>
              </w:rPr>
            </w:pPr>
          </w:p>
        </w:tc>
        <w:tc>
          <w:tcPr>
            <w:tcW w:w="1153" w:type="pct"/>
            <w:tcBorders>
              <w:top w:val="single" w:sz="6" w:space="0" w:color="000000"/>
              <w:left w:val="single" w:sz="6" w:space="0" w:color="000000"/>
              <w:bottom w:val="single" w:sz="6" w:space="0" w:color="000000"/>
              <w:right w:val="single" w:sz="6" w:space="0" w:color="000000"/>
            </w:tcBorders>
          </w:tcPr>
          <w:p w14:paraId="1D5106FE" w14:textId="77777777" w:rsidR="00AC4D0C" w:rsidRPr="00F9152F" w:rsidRDefault="00AC4D0C" w:rsidP="00AC4D0C">
            <w:pPr>
              <w:autoSpaceDE w:val="0"/>
              <w:autoSpaceDN w:val="0"/>
              <w:adjustRightInd w:val="0"/>
              <w:spacing w:after="0" w:line="240" w:lineRule="auto"/>
              <w:ind w:firstLine="330"/>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lastRenderedPageBreak/>
              <w:t xml:space="preserve">Komisija atkārtoti norāda, ka likumprojekts piedāvā attiecināt likuma darbību uz nefinanšu iestādēm, kā arī uz fiziskām personām. Vienlaikus likumprojekta anotācija nesatur informāciju par veikto analīzi, kas norādītu konkrētus argumentus, kāpēc komercsabiedrības (kuru bilances kopsumma pārsniedz 20 milj. </w:t>
            </w:r>
            <w:r w:rsidRPr="00F9152F">
              <w:rPr>
                <w:rFonts w:ascii="Times New Roman" w:hAnsi="Times New Roman" w:cs="Times New Roman"/>
                <w:i/>
                <w:iCs/>
                <w:color w:val="000000"/>
                <w:sz w:val="20"/>
                <w:szCs w:val="20"/>
              </w:rPr>
              <w:t>euro</w:t>
            </w:r>
            <w:r w:rsidRPr="00F9152F">
              <w:rPr>
                <w:rFonts w:ascii="Times New Roman" w:hAnsi="Times New Roman" w:cs="Times New Roman"/>
                <w:color w:val="000000"/>
                <w:sz w:val="20"/>
                <w:szCs w:val="20"/>
              </w:rPr>
              <w:t xml:space="preserve">, neto apgrozījums pārsniedz 40 milj. </w:t>
            </w:r>
            <w:r w:rsidRPr="00F9152F">
              <w:rPr>
                <w:rFonts w:ascii="Times New Roman" w:hAnsi="Times New Roman" w:cs="Times New Roman"/>
                <w:i/>
                <w:iCs/>
                <w:color w:val="000000"/>
                <w:sz w:val="20"/>
                <w:szCs w:val="20"/>
              </w:rPr>
              <w:t>euro</w:t>
            </w:r>
            <w:r w:rsidRPr="00F9152F">
              <w:rPr>
                <w:rFonts w:ascii="Times New Roman" w:hAnsi="Times New Roman" w:cs="Times New Roman"/>
                <w:color w:val="000000"/>
                <w:sz w:val="20"/>
                <w:szCs w:val="20"/>
              </w:rPr>
              <w:t xml:space="preserve">, pašu kapitāls </w:t>
            </w:r>
            <w:r w:rsidRPr="00F9152F">
              <w:rPr>
                <w:rFonts w:ascii="Times New Roman" w:hAnsi="Times New Roman" w:cs="Times New Roman"/>
                <w:color w:val="000000"/>
                <w:sz w:val="20"/>
                <w:szCs w:val="20"/>
              </w:rPr>
              <w:lastRenderedPageBreak/>
              <w:t xml:space="preserve">pārsniedz 2 milj. </w:t>
            </w:r>
            <w:r w:rsidRPr="00F9152F">
              <w:rPr>
                <w:rFonts w:ascii="Times New Roman" w:hAnsi="Times New Roman" w:cs="Times New Roman"/>
                <w:i/>
                <w:iCs/>
                <w:color w:val="000000"/>
                <w:sz w:val="20"/>
                <w:szCs w:val="20"/>
              </w:rPr>
              <w:t>euro</w:t>
            </w:r>
            <w:r w:rsidRPr="00F9152F">
              <w:rPr>
                <w:rFonts w:ascii="Times New Roman" w:hAnsi="Times New Roman" w:cs="Times New Roman"/>
                <w:color w:val="000000"/>
                <w:sz w:val="20"/>
                <w:szCs w:val="20"/>
              </w:rPr>
              <w:t xml:space="preserve">) būtu jāuzskata par tādām, kuru darījumi rada sistēmisku risku, kā arī kāpēc darījumi ar fiziskām personām būtu jāpakļauj izslēdzošajam ieskaitam. </w:t>
            </w:r>
          </w:p>
          <w:p w14:paraId="4886077A" w14:textId="77777777" w:rsidR="00AC4D0C" w:rsidRPr="00F9152F" w:rsidRDefault="00AC4D0C" w:rsidP="00AC4D0C">
            <w:pPr>
              <w:autoSpaceDE w:val="0"/>
              <w:autoSpaceDN w:val="0"/>
              <w:adjustRightInd w:val="0"/>
              <w:spacing w:after="0" w:line="240" w:lineRule="auto"/>
              <w:ind w:firstLine="330"/>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Anotācijas projektā norādīts, ka iepriekš minētie lieluma kritēriji tiek izmantoti tāpēc, ka tie ir noteikti Eiropas Parlamenta un Padomes Direktīvā 2014/65/ES (2014. gada 15. maijs) par finanšu instrumentu tirgiem un ar ko groza Direktīvu 2002/92/ES un Direktīvu 2011/61/ES (turpmāk – MiFID II) profesionālā klienta statusa noteikšanai. Uzskatām, ka profesionālā klienta statusa noteikšanai izvirzītie lieluma kritēriji neatbilst sistēmiskuma apsvērumiem. Turklāt MiFID II noteikumi paredz šādām sabiedrībām</w:t>
            </w:r>
            <w:r w:rsidRPr="00F9152F">
              <w:rPr>
                <w:rFonts w:ascii="Times New Roman" w:hAnsi="Times New Roman" w:cs="Times New Roman"/>
                <w:i/>
                <w:iCs/>
                <w:color w:val="000000"/>
                <w:sz w:val="20"/>
                <w:szCs w:val="20"/>
              </w:rPr>
              <w:t xml:space="preserve"> opt-out</w:t>
            </w:r>
            <w:r w:rsidRPr="00F9152F">
              <w:rPr>
                <w:rFonts w:ascii="Times New Roman" w:hAnsi="Times New Roman" w:cs="Times New Roman"/>
                <w:color w:val="000000"/>
                <w:sz w:val="20"/>
                <w:szCs w:val="20"/>
              </w:rPr>
              <w:t xml:space="preserve"> iespēju, jo pastāv varbūtība, ka tās neveic pietiekami liela apmēra darījumus finanšu instrumentu tirgū. Komisija uzskata, ka konkrēti skaitliski kritēriji būtu jānosaka, balstoties uz sistēmiskuma principiem. Komisijas ieskatā Latvijas situācijā par šādām komercsabiedrībām varētu tikt uzskatīti tikai atsevišķi subjekti (piemēram, AS "Latvenergo", airBaltic (uzņēmuma nosaukums AS "Air Baltic Corporation") vai SIA "Lattelecom") (pilnu argumentāciju skatīt Komisijas 29.01.2020. e-pasta vēstules 1. punktā).</w:t>
            </w:r>
          </w:p>
          <w:p w14:paraId="58D9BEEB" w14:textId="77777777" w:rsidR="00AC4D0C" w:rsidRPr="00F9152F" w:rsidRDefault="00AC4D0C" w:rsidP="00AC4D0C">
            <w:pPr>
              <w:autoSpaceDE w:val="0"/>
              <w:autoSpaceDN w:val="0"/>
              <w:adjustRightInd w:val="0"/>
              <w:spacing w:after="0" w:line="240" w:lineRule="auto"/>
              <w:ind w:firstLine="330"/>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Komisija, veicot papildu pētījumu par sistēmiskā riska skaitliskajiem kritērijiem, aicina pievērst uzmanību Igaunijas piemēram, kur saskaņā ar Zvērinātu advokātu biroja "Sorainen" sagatavoto atbildi uz Starptautiskās mijmaiņas un atvasināto darījumu asociācijas (ISDA) uzdoto jautājumu, uz kuriem darījumu partneriem jāattiecina izslēdzošā ieskaita noteikumi atvasināto instrumentu darījumu gadījumā, norādot sekojošo (8. punktā minētie kritēriji izriet no EK Rekomendācijas 2003/361/EC</w:t>
            </w:r>
            <w:r w:rsidRPr="00F9152F">
              <w:rPr>
                <w:rStyle w:val="FootnoteReference"/>
                <w:rFonts w:ascii="Times New Roman" w:hAnsi="Times New Roman" w:cs="Times New Roman"/>
                <w:color w:val="000000"/>
                <w:sz w:val="20"/>
                <w:szCs w:val="20"/>
              </w:rPr>
              <w:footnoteReference w:id="1"/>
            </w:r>
            <w:r w:rsidRPr="00F9152F">
              <w:rPr>
                <w:rFonts w:ascii="Times New Roman" w:hAnsi="Times New Roman" w:cs="Times New Roman"/>
                <w:color w:val="000000"/>
                <w:sz w:val="20"/>
                <w:szCs w:val="20"/>
              </w:rPr>
              <w:t xml:space="preserve">, kuras pielikuma (Annex) otrā panta pirmajā punktā šie kritēriji </w:t>
            </w:r>
            <w:r w:rsidRPr="00F9152F">
              <w:rPr>
                <w:rFonts w:ascii="Times New Roman" w:hAnsi="Times New Roman" w:cs="Times New Roman"/>
                <w:color w:val="000000"/>
                <w:sz w:val="20"/>
                <w:szCs w:val="20"/>
              </w:rPr>
              <w:lastRenderedPageBreak/>
              <w:t>kalpo kā slieksnis, pārsniedzot kuru, uzņēmums vairs nav uzskatāms par mazu vai vidēju uzņēmumu (MVU)):</w:t>
            </w:r>
          </w:p>
          <w:p w14:paraId="347E10EB"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color w:val="000000"/>
                <w:sz w:val="20"/>
                <w:szCs w:val="20"/>
                <w:lang w:val="en-GB"/>
              </w:rPr>
              <w:t>"</w:t>
            </w:r>
            <w:r w:rsidRPr="00113799">
              <w:rPr>
                <w:rFonts w:ascii="Times New Roman" w:hAnsi="Times New Roman" w:cs="Times New Roman"/>
                <w:i/>
                <w:color w:val="000000"/>
                <w:sz w:val="20"/>
                <w:szCs w:val="20"/>
                <w:lang w:val="en-GB"/>
              </w:rPr>
              <w:t>Under the Estonian law, in order to apply the specific set-off provisions one of the</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parties to the derivative transaction has to be one of below counterparties:</w:t>
            </w:r>
          </w:p>
          <w:p w14:paraId="635BCF27"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lang w:val="en-GB"/>
              </w:rPr>
              <w:t>1. a credit institution, investment firm, management company, investment fund,</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insurance undertaking or another financial institution subject to financial</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supervision;</w:t>
            </w:r>
          </w:p>
          <w:p w14:paraId="5426E575"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lang w:val="en-GB"/>
              </w:rPr>
              <w:t>2. the Republic of Estonia, a foreign state, a regional government or the central</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bank of Estonia or a foreign state;</w:t>
            </w:r>
          </w:p>
          <w:p w14:paraId="733D8E9F"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lang w:val="en-GB"/>
              </w:rPr>
              <w:t>3. the European Central Bank, the Bank for International Settlements, a</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multilateral development bank, the International Monetary Fund or the</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European Investment Bank;</w:t>
            </w:r>
          </w:p>
          <w:p w14:paraId="1B9550CA"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lang w:val="en-GB"/>
              </w:rPr>
              <w:t>4. a central counterparty, settlement agent or clearing house, including similar</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institutions regulated under Estonian law acting in the futures, options and</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derivatives markets, or a person, other than a natural person, who acts in a</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trust or representative capacity on behalf of any one or more persons that</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includes any bondholders or holders of other forms of securitized debt or any</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institution;</w:t>
            </w:r>
          </w:p>
          <w:p w14:paraId="4A4925EE"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lang w:val="en-GB"/>
              </w:rPr>
              <w:t>5. a linked system operator;</w:t>
            </w:r>
          </w:p>
          <w:p w14:paraId="7340FF6A"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lang w:val="en-GB"/>
              </w:rPr>
              <w:t>6. an operator of a securities settlement system;</w:t>
            </w:r>
          </w:p>
          <w:p w14:paraId="1F936B30"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lang w:val="en-GB"/>
              </w:rPr>
              <w:t>7. another person or organisation similar to the persons specified in previous</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points provided that the person has the right to be a financial collateral</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provider or a financial collateral taker according to legislation of a contracting</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party to the European Economic Area or the European Union; or</w:t>
            </w:r>
          </w:p>
          <w:p w14:paraId="7583D6A4"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lang w:val="en-GB"/>
              </w:rPr>
              <w:t>8. a company which according to its latest annual report or consolidated</w:t>
            </w:r>
            <w:r w:rsidR="00F9152F" w:rsidRPr="00113799">
              <w:rPr>
                <w:rFonts w:ascii="Times New Roman" w:hAnsi="Times New Roman" w:cs="Times New Roman"/>
                <w:i/>
                <w:color w:val="000000"/>
                <w:sz w:val="20"/>
                <w:szCs w:val="20"/>
                <w:lang w:val="en-GB"/>
              </w:rPr>
              <w:t xml:space="preserve"> </w:t>
            </w:r>
            <w:r w:rsidRPr="00113799">
              <w:rPr>
                <w:rFonts w:ascii="Times New Roman" w:hAnsi="Times New Roman" w:cs="Times New Roman"/>
                <w:i/>
                <w:color w:val="000000"/>
                <w:sz w:val="20"/>
                <w:szCs w:val="20"/>
                <w:lang w:val="en-GB"/>
              </w:rPr>
              <w:t xml:space="preserve">accounts meets </w:t>
            </w:r>
            <w:r w:rsidRPr="00113799">
              <w:rPr>
                <w:rFonts w:ascii="Times New Roman" w:hAnsi="Times New Roman" w:cs="Times New Roman"/>
                <w:b/>
                <w:i/>
                <w:color w:val="000000"/>
                <w:sz w:val="20"/>
                <w:szCs w:val="20"/>
                <w:u w:val="single"/>
                <w:lang w:val="en-GB"/>
              </w:rPr>
              <w:t>at least two of the following criteria</w:t>
            </w:r>
            <w:r w:rsidRPr="00113799">
              <w:rPr>
                <w:rFonts w:ascii="Times New Roman" w:hAnsi="Times New Roman" w:cs="Times New Roman"/>
                <w:i/>
                <w:color w:val="000000"/>
                <w:sz w:val="20"/>
                <w:szCs w:val="20"/>
                <w:lang w:val="en-GB"/>
              </w:rPr>
              <w:t>:</w:t>
            </w:r>
          </w:p>
          <w:p w14:paraId="5DCE5959"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u w:val="single"/>
                <w:lang w:val="en-GB"/>
              </w:rPr>
            </w:pPr>
            <w:r w:rsidRPr="00113799">
              <w:rPr>
                <w:rFonts w:ascii="Times New Roman" w:hAnsi="Times New Roman" w:cs="Times New Roman"/>
                <w:i/>
                <w:color w:val="000000"/>
                <w:sz w:val="20"/>
                <w:szCs w:val="20"/>
                <w:lang w:val="en-GB"/>
              </w:rPr>
              <w:t xml:space="preserve">a. </w:t>
            </w:r>
            <w:r w:rsidRPr="00113799">
              <w:rPr>
                <w:rFonts w:ascii="Times New Roman" w:hAnsi="Times New Roman" w:cs="Times New Roman"/>
                <w:i/>
                <w:color w:val="000000"/>
                <w:sz w:val="20"/>
                <w:szCs w:val="20"/>
                <w:u w:val="single"/>
                <w:lang w:val="en-GB"/>
              </w:rPr>
              <w:t>an average number of employees of the company during the financial</w:t>
            </w:r>
          </w:p>
          <w:p w14:paraId="50468A44"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u w:val="single"/>
                <w:lang w:val="en-GB"/>
              </w:rPr>
              <w:lastRenderedPageBreak/>
              <w:t>year is more than 250</w:t>
            </w:r>
            <w:r w:rsidRPr="00113799">
              <w:rPr>
                <w:rFonts w:ascii="Times New Roman" w:hAnsi="Times New Roman" w:cs="Times New Roman"/>
                <w:i/>
                <w:color w:val="000000"/>
                <w:sz w:val="20"/>
                <w:szCs w:val="20"/>
                <w:lang w:val="en-GB"/>
              </w:rPr>
              <w:t>;</w:t>
            </w:r>
          </w:p>
          <w:p w14:paraId="3D3331DD"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i/>
                <w:color w:val="000000"/>
                <w:sz w:val="20"/>
                <w:szCs w:val="20"/>
                <w:lang w:val="en-GB"/>
              </w:rPr>
            </w:pPr>
            <w:r w:rsidRPr="00113799">
              <w:rPr>
                <w:rFonts w:ascii="Times New Roman" w:hAnsi="Times New Roman" w:cs="Times New Roman"/>
                <w:i/>
                <w:color w:val="000000"/>
                <w:sz w:val="20"/>
                <w:szCs w:val="20"/>
                <w:lang w:val="en-GB"/>
              </w:rPr>
              <w:t xml:space="preserve">b. </w:t>
            </w:r>
            <w:r w:rsidRPr="00113799">
              <w:rPr>
                <w:rFonts w:ascii="Times New Roman" w:hAnsi="Times New Roman" w:cs="Times New Roman"/>
                <w:i/>
                <w:color w:val="000000"/>
                <w:sz w:val="20"/>
                <w:szCs w:val="20"/>
                <w:u w:val="single"/>
                <w:lang w:val="en-GB"/>
              </w:rPr>
              <w:t>the annual balance sheet total of the company exceeds 43 million</w:t>
            </w:r>
            <w:r w:rsidR="00F9152F" w:rsidRPr="00113799">
              <w:rPr>
                <w:rFonts w:ascii="Times New Roman" w:hAnsi="Times New Roman" w:cs="Times New Roman"/>
                <w:i/>
                <w:color w:val="000000"/>
                <w:sz w:val="20"/>
                <w:szCs w:val="20"/>
                <w:u w:val="single"/>
                <w:lang w:val="en-GB"/>
              </w:rPr>
              <w:t xml:space="preserve"> </w:t>
            </w:r>
            <w:r w:rsidRPr="00113799">
              <w:rPr>
                <w:rFonts w:ascii="Times New Roman" w:hAnsi="Times New Roman" w:cs="Times New Roman"/>
                <w:i/>
                <w:color w:val="000000"/>
                <w:sz w:val="20"/>
                <w:szCs w:val="20"/>
                <w:u w:val="single"/>
                <w:lang w:val="en-GB"/>
              </w:rPr>
              <w:t>euros</w:t>
            </w:r>
            <w:r w:rsidRPr="00113799">
              <w:rPr>
                <w:rFonts w:ascii="Times New Roman" w:hAnsi="Times New Roman" w:cs="Times New Roman"/>
                <w:i/>
                <w:color w:val="000000"/>
                <w:sz w:val="20"/>
                <w:szCs w:val="20"/>
                <w:lang w:val="en-GB"/>
              </w:rPr>
              <w:t>;</w:t>
            </w:r>
          </w:p>
          <w:p w14:paraId="700CB8FC" w14:textId="77777777" w:rsidR="00AC4D0C" w:rsidRPr="00113799" w:rsidRDefault="00AC4D0C" w:rsidP="00AC4D0C">
            <w:pPr>
              <w:autoSpaceDE w:val="0"/>
              <w:autoSpaceDN w:val="0"/>
              <w:adjustRightInd w:val="0"/>
              <w:spacing w:after="0" w:line="240" w:lineRule="auto"/>
              <w:ind w:firstLine="330"/>
              <w:jc w:val="both"/>
              <w:rPr>
                <w:rFonts w:ascii="Times New Roman" w:hAnsi="Times New Roman" w:cs="Times New Roman"/>
                <w:color w:val="000000"/>
                <w:sz w:val="20"/>
                <w:szCs w:val="20"/>
                <w:lang w:val="en-GB"/>
              </w:rPr>
            </w:pPr>
            <w:r w:rsidRPr="00113799">
              <w:rPr>
                <w:rFonts w:ascii="Times New Roman" w:hAnsi="Times New Roman" w:cs="Times New Roman"/>
                <w:i/>
                <w:color w:val="000000"/>
                <w:sz w:val="20"/>
                <w:szCs w:val="20"/>
                <w:lang w:val="en-GB"/>
              </w:rPr>
              <w:t xml:space="preserve">c. </w:t>
            </w:r>
            <w:r w:rsidRPr="00113799">
              <w:rPr>
                <w:rFonts w:ascii="Times New Roman" w:hAnsi="Times New Roman" w:cs="Times New Roman"/>
                <w:i/>
                <w:color w:val="000000"/>
                <w:sz w:val="20"/>
                <w:szCs w:val="20"/>
                <w:u w:val="single"/>
                <w:lang w:val="en-GB"/>
              </w:rPr>
              <w:t>the annual turnover of the company exceeds 50 million euros</w:t>
            </w:r>
            <w:r w:rsidRPr="00113799">
              <w:rPr>
                <w:rFonts w:ascii="Times New Roman" w:hAnsi="Times New Roman" w:cs="Times New Roman"/>
                <w:color w:val="000000"/>
                <w:sz w:val="20"/>
                <w:szCs w:val="20"/>
                <w:u w:val="single"/>
                <w:lang w:val="en-GB"/>
              </w:rPr>
              <w:t>.</w:t>
            </w:r>
            <w:r w:rsidRPr="00113799">
              <w:rPr>
                <w:rFonts w:ascii="Times New Roman" w:hAnsi="Times New Roman" w:cs="Times New Roman"/>
                <w:color w:val="000000"/>
                <w:sz w:val="20"/>
                <w:szCs w:val="20"/>
                <w:lang w:val="en-GB"/>
              </w:rPr>
              <w:t xml:space="preserve">" </w:t>
            </w:r>
          </w:p>
          <w:p w14:paraId="33218340" w14:textId="77777777" w:rsidR="00AC4D0C" w:rsidRPr="00F9152F" w:rsidRDefault="00AC4D0C" w:rsidP="00AC4D0C">
            <w:pPr>
              <w:autoSpaceDE w:val="0"/>
              <w:autoSpaceDN w:val="0"/>
              <w:adjustRightInd w:val="0"/>
              <w:spacing w:after="0" w:line="240" w:lineRule="auto"/>
              <w:ind w:firstLine="330"/>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Tāpat Komisija ir iepazinusies ar profesora Vincent R. Johnson</w:t>
            </w:r>
            <w:r w:rsidRPr="00F9152F">
              <w:rPr>
                <w:rStyle w:val="FootnoteReference"/>
                <w:rFonts w:ascii="Times New Roman" w:hAnsi="Times New Roman" w:cs="Times New Roman"/>
                <w:color w:val="000000"/>
                <w:sz w:val="20"/>
                <w:szCs w:val="20"/>
              </w:rPr>
              <w:footnoteReference w:id="2"/>
            </w:r>
            <w:r w:rsidRPr="00F9152F">
              <w:rPr>
                <w:rFonts w:ascii="Times New Roman" w:hAnsi="Times New Roman" w:cs="Times New Roman"/>
                <w:color w:val="000000"/>
                <w:sz w:val="20"/>
                <w:szCs w:val="20"/>
              </w:rPr>
              <w:t xml:space="preserve"> pētījumu "</w:t>
            </w:r>
            <w:r w:rsidRPr="00F9152F">
              <w:rPr>
                <w:rFonts w:ascii="Times New Roman" w:hAnsi="Times New Roman" w:cs="Times New Roman"/>
                <w:i/>
                <w:color w:val="000000"/>
                <w:sz w:val="20"/>
                <w:szCs w:val="20"/>
              </w:rPr>
              <w:t>INTERNATIONAL FINANCIAL LAW: THE CASE AGAINST CLOSE-OUT NETTING</w:t>
            </w:r>
            <w:r w:rsidRPr="00F9152F">
              <w:rPr>
                <w:rFonts w:ascii="Times New Roman" w:hAnsi="Times New Roman" w:cs="Times New Roman"/>
                <w:color w:val="000000"/>
                <w:sz w:val="20"/>
                <w:szCs w:val="20"/>
              </w:rPr>
              <w:t>"</w:t>
            </w:r>
            <w:r w:rsidRPr="00F9152F">
              <w:rPr>
                <w:rStyle w:val="FootnoteReference"/>
                <w:rFonts w:ascii="Times New Roman" w:hAnsi="Times New Roman" w:cs="Times New Roman"/>
                <w:color w:val="000000"/>
                <w:sz w:val="20"/>
                <w:szCs w:val="20"/>
              </w:rPr>
              <w:footnoteReference w:id="3"/>
            </w:r>
            <w:r w:rsidRPr="00F9152F">
              <w:rPr>
                <w:rFonts w:ascii="Times New Roman" w:hAnsi="Times New Roman" w:cs="Times New Roman"/>
                <w:color w:val="000000"/>
                <w:sz w:val="20"/>
                <w:szCs w:val="20"/>
              </w:rPr>
              <w:t xml:space="preserve"> un, ņemot vērā tajā paustos argumentus</w:t>
            </w:r>
            <w:r w:rsidRPr="00F9152F">
              <w:rPr>
                <w:rStyle w:val="FootnoteReference"/>
                <w:rFonts w:ascii="Times New Roman" w:hAnsi="Times New Roman" w:cs="Times New Roman"/>
                <w:color w:val="000000"/>
                <w:sz w:val="20"/>
                <w:szCs w:val="20"/>
              </w:rPr>
              <w:footnoteReference w:id="4"/>
            </w:r>
            <w:r w:rsidRPr="00F9152F">
              <w:rPr>
                <w:rFonts w:ascii="Times New Roman" w:hAnsi="Times New Roman" w:cs="Times New Roman"/>
                <w:color w:val="000000"/>
                <w:sz w:val="20"/>
                <w:szCs w:val="20"/>
              </w:rPr>
              <w:t>, atkārtoti aicina likumprojekta autorus piesardzīgāk izvērtēt, vai likumprojektā noteiktais izslēdzošā ieskaita regulējums</w:t>
            </w:r>
            <w:r w:rsidRPr="00F9152F">
              <w:rPr>
                <w:rFonts w:ascii="Times New Roman" w:hAnsi="Times New Roman" w:cs="Times New Roman"/>
                <w:i/>
                <w:color w:val="000000"/>
                <w:sz w:val="20"/>
                <w:szCs w:val="20"/>
              </w:rPr>
              <w:t xml:space="preserve"> </w:t>
            </w:r>
            <w:r w:rsidRPr="00F9152F">
              <w:rPr>
                <w:rFonts w:ascii="Times New Roman" w:hAnsi="Times New Roman" w:cs="Times New Roman"/>
                <w:color w:val="000000"/>
                <w:sz w:val="20"/>
                <w:szCs w:val="20"/>
              </w:rPr>
              <w:t>radīs pietiekamus ieguvumus sistēmiskā riska mazināšanas ziņā, lai attaisnotu radīto potenciālo kaitējumu (vai būs neto ieguvums sabiedrībai). Papildus, arī Eiropas Sistēmisko risku kolēģijas (ESRK) 2013. gada pētījumā "</w:t>
            </w:r>
            <w:r w:rsidRPr="00F9152F">
              <w:rPr>
                <w:rFonts w:ascii="Times New Roman" w:hAnsi="Times New Roman" w:cs="Times New Roman"/>
                <w:i/>
                <w:color w:val="000000"/>
                <w:sz w:val="20"/>
                <w:szCs w:val="20"/>
              </w:rPr>
              <w:t>Assessing contagion risks from the CDS market</w:t>
            </w:r>
            <w:r w:rsidRPr="00F9152F">
              <w:rPr>
                <w:rFonts w:ascii="Times New Roman" w:hAnsi="Times New Roman" w:cs="Times New Roman"/>
                <w:color w:val="000000"/>
                <w:sz w:val="20"/>
                <w:szCs w:val="20"/>
              </w:rPr>
              <w:t>"</w:t>
            </w:r>
            <w:r w:rsidRPr="00F9152F">
              <w:rPr>
                <w:rStyle w:val="FootnoteReference"/>
                <w:rFonts w:ascii="Times New Roman" w:hAnsi="Times New Roman" w:cs="Times New Roman"/>
                <w:color w:val="000000"/>
                <w:sz w:val="20"/>
                <w:szCs w:val="20"/>
              </w:rPr>
              <w:footnoteReference w:id="5"/>
            </w:r>
            <w:r w:rsidRPr="00F9152F">
              <w:rPr>
                <w:rFonts w:ascii="Times New Roman" w:hAnsi="Times New Roman" w:cs="Times New Roman"/>
                <w:color w:val="000000"/>
                <w:sz w:val="20"/>
                <w:szCs w:val="20"/>
              </w:rPr>
              <w:t xml:space="preserve"> tiek pieminēti izslēdzošā ieskaita regulējuma ieviešanas potenciālie trūkumi un riski</w:t>
            </w:r>
            <w:r w:rsidRPr="00F9152F">
              <w:rPr>
                <w:rStyle w:val="FootnoteReference"/>
                <w:rFonts w:ascii="Times New Roman" w:hAnsi="Times New Roman" w:cs="Times New Roman"/>
                <w:color w:val="000000"/>
                <w:sz w:val="20"/>
                <w:szCs w:val="20"/>
              </w:rPr>
              <w:footnoteReference w:id="6"/>
            </w:r>
            <w:r w:rsidRPr="00F9152F">
              <w:rPr>
                <w:rFonts w:ascii="Times New Roman" w:hAnsi="Times New Roman" w:cs="Times New Roman"/>
                <w:color w:val="000000"/>
                <w:sz w:val="20"/>
                <w:szCs w:val="20"/>
              </w:rPr>
              <w:t xml:space="preserve"> (skat. 4c sadaļu). </w:t>
            </w:r>
          </w:p>
          <w:p w14:paraId="27B4F0B7" w14:textId="77777777" w:rsidR="00AC4D0C" w:rsidRPr="00F9152F" w:rsidRDefault="00AC4D0C" w:rsidP="00AC4D0C">
            <w:pPr>
              <w:autoSpaceDE w:val="0"/>
              <w:autoSpaceDN w:val="0"/>
              <w:adjustRightInd w:val="0"/>
              <w:spacing w:after="0" w:line="240" w:lineRule="auto"/>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lastRenderedPageBreak/>
              <w:t>Ievērojot minēto, Komisija atkārtoti aicina pārskatīt:</w:t>
            </w:r>
          </w:p>
          <w:p w14:paraId="63835460" w14:textId="77777777" w:rsidR="00AC4D0C" w:rsidRPr="00F9152F" w:rsidRDefault="00AC4D0C" w:rsidP="00AC4D0C">
            <w:pPr>
              <w:autoSpaceDE w:val="0"/>
              <w:autoSpaceDN w:val="0"/>
              <w:adjustRightInd w:val="0"/>
              <w:spacing w:after="0" w:line="240" w:lineRule="auto"/>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a) likumprojekta subjektu – juridisku personu - apjoma prasības vai lieluma kritērijus, ievērojot Igaunijas piemēru;</w:t>
            </w:r>
          </w:p>
          <w:p w14:paraId="4048D40C" w14:textId="77777777" w:rsidR="00AC4D0C" w:rsidRPr="00F9152F" w:rsidRDefault="00AC4D0C" w:rsidP="00AC4D0C">
            <w:pPr>
              <w:autoSpaceDE w:val="0"/>
              <w:autoSpaceDN w:val="0"/>
              <w:adjustRightInd w:val="0"/>
              <w:spacing w:after="0" w:line="240" w:lineRule="auto"/>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b) likumprojekta subjektu loku, izslēdzot no tā fiziskas personas, tādējādi attaisnojot likumprojekta izvirzīto mērķi – "nodrošināt finanšu tirgus stabilitāti, ierobežojot sistēmisko risku (..)".</w:t>
            </w:r>
          </w:p>
          <w:p w14:paraId="44FB9CC9" w14:textId="77777777" w:rsidR="0037478B" w:rsidRPr="00F9152F" w:rsidRDefault="0037478B" w:rsidP="002E1134">
            <w:pPr>
              <w:suppressAutoHyphens/>
              <w:spacing w:after="0" w:line="240" w:lineRule="auto"/>
              <w:jc w:val="both"/>
              <w:rPr>
                <w:rFonts w:ascii="Times New Roman" w:hAnsi="Times New Roman" w:cs="Times New Roman"/>
                <w:iCs/>
                <w:sz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03BAAF5A" w14:textId="77777777" w:rsidR="0037478B" w:rsidRPr="00F9152F" w:rsidRDefault="002B7D4D" w:rsidP="00D31A0D">
            <w:pPr>
              <w:spacing w:after="0" w:line="240" w:lineRule="auto"/>
              <w:jc w:val="both"/>
              <w:rPr>
                <w:rFonts w:ascii="Times New Roman" w:eastAsia="Times New Roman" w:hAnsi="Times New Roman" w:cs="Times New Roman"/>
                <w:b/>
                <w:bCs/>
                <w:sz w:val="20"/>
                <w:lang w:eastAsia="lv-LV"/>
              </w:rPr>
            </w:pPr>
            <w:r w:rsidRPr="00F9152F">
              <w:rPr>
                <w:rFonts w:ascii="Times New Roman" w:eastAsia="Times New Roman" w:hAnsi="Times New Roman" w:cs="Times New Roman"/>
                <w:b/>
                <w:bCs/>
                <w:sz w:val="20"/>
                <w:lang w:eastAsia="lv-LV"/>
              </w:rPr>
              <w:lastRenderedPageBreak/>
              <w:t>Iebildums daļēji ņemts vērā.</w:t>
            </w:r>
          </w:p>
          <w:p w14:paraId="2BE5CB7D" w14:textId="38E58C2F" w:rsidR="002B7D4D" w:rsidRPr="00375F7D" w:rsidRDefault="007F3586" w:rsidP="00375F7D">
            <w:pPr>
              <w:pStyle w:val="ListParagraph"/>
              <w:spacing w:after="0" w:line="240" w:lineRule="auto"/>
              <w:ind w:left="-99" w:firstLine="459"/>
              <w:jc w:val="both"/>
              <w:rPr>
                <w:rFonts w:ascii="Times New Roman" w:eastAsia="Times New Roman" w:hAnsi="Times New Roman" w:cs="Times New Roman"/>
                <w:bCs/>
                <w:sz w:val="20"/>
                <w:lang w:eastAsia="lv-LV"/>
              </w:rPr>
            </w:pPr>
            <w:r w:rsidRPr="00375F7D">
              <w:rPr>
                <w:rFonts w:ascii="Times New Roman" w:eastAsia="Times New Roman" w:hAnsi="Times New Roman" w:cs="Times New Roman"/>
                <w:b/>
                <w:bCs/>
                <w:sz w:val="20"/>
                <w:lang w:eastAsia="lv-LV"/>
              </w:rPr>
              <w:t>1</w:t>
            </w:r>
            <w:r>
              <w:rPr>
                <w:rFonts w:ascii="Times New Roman" w:eastAsia="Times New Roman" w:hAnsi="Times New Roman" w:cs="Times New Roman"/>
                <w:b/>
                <w:bCs/>
                <w:sz w:val="20"/>
                <w:lang w:eastAsia="lv-LV"/>
              </w:rPr>
              <w:t>3</w:t>
            </w:r>
            <w:r w:rsidR="00375F7D" w:rsidRPr="00375F7D">
              <w:rPr>
                <w:rFonts w:ascii="Times New Roman" w:eastAsia="Times New Roman" w:hAnsi="Times New Roman" w:cs="Times New Roman"/>
                <w:b/>
                <w:bCs/>
                <w:sz w:val="20"/>
                <w:lang w:eastAsia="lv-LV"/>
              </w:rPr>
              <w:t>.</w:t>
            </w:r>
            <w:r w:rsidR="00375F7D">
              <w:rPr>
                <w:rFonts w:ascii="Times New Roman" w:eastAsia="Times New Roman" w:hAnsi="Times New Roman" w:cs="Times New Roman"/>
                <w:bCs/>
                <w:sz w:val="20"/>
                <w:lang w:eastAsia="lv-LV"/>
              </w:rPr>
              <w:t xml:space="preserve"> </w:t>
            </w:r>
            <w:r w:rsidR="002B7D4D" w:rsidRPr="00375F7D">
              <w:rPr>
                <w:rFonts w:ascii="Times New Roman" w:eastAsia="Times New Roman" w:hAnsi="Times New Roman" w:cs="Times New Roman"/>
                <w:bCs/>
                <w:sz w:val="20"/>
                <w:lang w:eastAsia="lv-LV"/>
              </w:rPr>
              <w:t xml:space="preserve">Likumprojekta anotācijā </w:t>
            </w:r>
            <w:r w:rsidR="00A15096" w:rsidRPr="00375F7D">
              <w:rPr>
                <w:rFonts w:ascii="Times New Roman" w:eastAsia="Times New Roman" w:hAnsi="Times New Roman" w:cs="Times New Roman"/>
                <w:bCs/>
                <w:sz w:val="20"/>
                <w:lang w:eastAsia="lv-LV"/>
              </w:rPr>
              <w:t xml:space="preserve">jau </w:t>
            </w:r>
            <w:r w:rsidR="002B7D4D" w:rsidRPr="00375F7D">
              <w:rPr>
                <w:rFonts w:ascii="Times New Roman" w:eastAsia="Times New Roman" w:hAnsi="Times New Roman" w:cs="Times New Roman"/>
                <w:bCs/>
                <w:sz w:val="20"/>
                <w:lang w:eastAsia="lv-LV"/>
              </w:rPr>
              <w:t xml:space="preserve">ir atspoguļota minētā diskusija par to, pēc kādiem kritērijiem noteikt apjoma prasības juridiskām personām, ja abi līdzēji ir juridiskas personas. Ņemot vērā Finanšu un kapitāla tirgus komisijas un Finanšu nozares pausto viedokli, Likumprojekta 4.panta otrās daļas 2.punkts ir izteikts </w:t>
            </w:r>
            <w:r w:rsidR="002B7D4D" w:rsidRPr="00375F7D">
              <w:rPr>
                <w:rFonts w:ascii="Times New Roman" w:eastAsia="Times New Roman" w:hAnsi="Times New Roman" w:cs="Times New Roman"/>
                <w:bCs/>
                <w:sz w:val="20"/>
                <w:lang w:eastAsia="lv-LV"/>
              </w:rPr>
              <w:lastRenderedPageBreak/>
              <w:t>jaunā redakcijā, kā arī attiecīgi ir papildināta Likumprojekta anotācija.</w:t>
            </w:r>
          </w:p>
          <w:p w14:paraId="29BC524D" w14:textId="7F067519" w:rsidR="00375F7D" w:rsidRPr="00375F7D" w:rsidRDefault="00375F7D" w:rsidP="00F60B88">
            <w:pPr>
              <w:pStyle w:val="ListParagraph"/>
              <w:spacing w:after="0" w:line="240" w:lineRule="auto"/>
              <w:ind w:left="-99" w:firstLine="459"/>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 xml:space="preserve">Attiecībā par fizisko personu izslēgšanu no likuma subjektu loka skat. izziņas </w:t>
            </w:r>
            <w:r w:rsidR="00F60B88">
              <w:rPr>
                <w:rFonts w:ascii="Times New Roman" w:eastAsia="Times New Roman" w:hAnsi="Times New Roman" w:cs="Times New Roman"/>
                <w:bCs/>
                <w:sz w:val="20"/>
                <w:lang w:eastAsia="lv-LV"/>
              </w:rPr>
              <w:t>15</w:t>
            </w:r>
            <w:r>
              <w:rPr>
                <w:rFonts w:ascii="Times New Roman" w:eastAsia="Times New Roman" w:hAnsi="Times New Roman" w:cs="Times New Roman"/>
                <w:bCs/>
                <w:sz w:val="20"/>
                <w:lang w:eastAsia="lv-LV"/>
              </w:rPr>
              <w:t>.punktu.</w:t>
            </w:r>
          </w:p>
        </w:tc>
        <w:tc>
          <w:tcPr>
            <w:tcW w:w="712" w:type="pct"/>
            <w:tcBorders>
              <w:top w:val="single" w:sz="4" w:space="0" w:color="auto"/>
              <w:left w:val="single" w:sz="4" w:space="0" w:color="auto"/>
              <w:bottom w:val="single" w:sz="4" w:space="0" w:color="auto"/>
              <w:right w:val="single" w:sz="4" w:space="0" w:color="auto"/>
            </w:tcBorders>
          </w:tcPr>
          <w:p w14:paraId="38AE3049" w14:textId="77777777" w:rsidR="00900A53" w:rsidRPr="00F9152F" w:rsidRDefault="00900A53" w:rsidP="003F7052">
            <w:pPr>
              <w:tabs>
                <w:tab w:val="left" w:pos="279"/>
              </w:tabs>
              <w:spacing w:after="0" w:line="240" w:lineRule="auto"/>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lastRenderedPageBreak/>
              <w:t xml:space="preserve">Likumprojekta 8.panta otrā daļa izteikta šādā redakcijā: </w:t>
            </w:r>
          </w:p>
          <w:p w14:paraId="0D7F31F8" w14:textId="77777777" w:rsidR="003F7052" w:rsidRPr="00F9152F" w:rsidRDefault="00900A53" w:rsidP="003F7052">
            <w:pPr>
              <w:tabs>
                <w:tab w:val="left" w:pos="279"/>
              </w:tabs>
              <w:spacing w:after="0" w:line="240" w:lineRule="auto"/>
              <w:jc w:val="both"/>
              <w:rPr>
                <w:rFonts w:ascii="Times New Roman" w:eastAsia="Times New Roman" w:hAnsi="Times New Roman"/>
                <w:i/>
                <w:color w:val="000000" w:themeColor="text1"/>
                <w:sz w:val="20"/>
                <w:szCs w:val="20"/>
              </w:rPr>
            </w:pPr>
            <w:r w:rsidRPr="00F9152F">
              <w:rPr>
                <w:rFonts w:ascii="Times New Roman" w:eastAsia="Times New Roman" w:hAnsi="Times New Roman"/>
                <w:i/>
                <w:color w:val="000000" w:themeColor="text1"/>
                <w:sz w:val="20"/>
                <w:szCs w:val="20"/>
              </w:rPr>
              <w:t>„</w:t>
            </w:r>
            <w:r w:rsidR="003F7052" w:rsidRPr="00F9152F">
              <w:rPr>
                <w:rFonts w:ascii="Times New Roman" w:eastAsia="Times New Roman" w:hAnsi="Times New Roman"/>
                <w:i/>
                <w:color w:val="000000" w:themeColor="text1"/>
                <w:sz w:val="20"/>
                <w:szCs w:val="20"/>
              </w:rPr>
              <w:t>(2) Šis likums nosaka izslēdzošā ieskaita piemērošanas kārtību arī tādā gadījumā, ja:</w:t>
            </w:r>
          </w:p>
          <w:p w14:paraId="63ACBB94" w14:textId="77777777" w:rsidR="003F7052" w:rsidRPr="00F9152F" w:rsidRDefault="003F7052" w:rsidP="003F7052">
            <w:pPr>
              <w:tabs>
                <w:tab w:val="left" w:pos="279"/>
              </w:tabs>
              <w:spacing w:after="0" w:line="240" w:lineRule="auto"/>
              <w:jc w:val="both"/>
              <w:rPr>
                <w:rFonts w:ascii="Times New Roman" w:eastAsia="Times New Roman" w:hAnsi="Times New Roman"/>
                <w:i/>
                <w:sz w:val="20"/>
                <w:szCs w:val="20"/>
              </w:rPr>
            </w:pPr>
            <w:r w:rsidRPr="00F9152F">
              <w:rPr>
                <w:rFonts w:ascii="Times New Roman" w:hAnsi="Times New Roman"/>
                <w:i/>
                <w:color w:val="000000" w:themeColor="text1"/>
                <w:sz w:val="20"/>
                <w:szCs w:val="20"/>
              </w:rPr>
              <w:t xml:space="preserve">2) abi līdzēji ir juridiskas personas, kas konkrētā līdzēja </w:t>
            </w:r>
            <w:r w:rsidRPr="00F9152F">
              <w:rPr>
                <w:rFonts w:ascii="Times New Roman" w:hAnsi="Times New Roman"/>
                <w:i/>
                <w:color w:val="000000" w:themeColor="text1"/>
                <w:sz w:val="20"/>
                <w:szCs w:val="20"/>
              </w:rPr>
              <w:lastRenderedPageBreak/>
              <w:t>sabiedrības līmenī izpilda divas no šādām apjoma prasībām izslēdzošā ieskaita līguma noslēgšanas brīdī, par pamatu ņemot</w:t>
            </w:r>
            <w:r w:rsidRPr="00F9152F">
              <w:rPr>
                <w:rFonts w:ascii="Times New Roman" w:hAnsi="Times New Roman"/>
                <w:i/>
                <w:color w:val="414142"/>
                <w:sz w:val="20"/>
                <w:szCs w:val="20"/>
              </w:rPr>
              <w:t xml:space="preserve"> </w:t>
            </w:r>
            <w:r w:rsidRPr="00F9152F">
              <w:rPr>
                <w:rFonts w:ascii="Times New Roman" w:hAnsi="Times New Roman"/>
                <w:i/>
                <w:sz w:val="20"/>
                <w:szCs w:val="20"/>
              </w:rPr>
              <w:t xml:space="preserve">pēdējos divus pārskata gadus </w:t>
            </w:r>
            <w:r w:rsidRPr="00F9152F">
              <w:rPr>
                <w:rFonts w:ascii="Times New Roman" w:hAnsi="Times New Roman"/>
                <w:i/>
                <w:sz w:val="20"/>
                <w:szCs w:val="20"/>
                <w:shd w:val="clear" w:color="auto" w:fill="FFFFFF"/>
              </w:rPr>
              <w:t>(gan kārtējā, gan iepriekšējā pārskata gadā)</w:t>
            </w:r>
            <w:r w:rsidRPr="00F9152F">
              <w:rPr>
                <w:rFonts w:ascii="Times New Roman" w:hAnsi="Times New Roman"/>
                <w:i/>
                <w:sz w:val="20"/>
                <w:szCs w:val="20"/>
              </w:rPr>
              <w:t>:</w:t>
            </w:r>
          </w:p>
          <w:p w14:paraId="74A4F75A" w14:textId="77777777" w:rsidR="003F7052" w:rsidRPr="00F9152F" w:rsidRDefault="003F7052" w:rsidP="003F7052">
            <w:pPr>
              <w:pStyle w:val="ListParagraph"/>
              <w:numPr>
                <w:ilvl w:val="0"/>
                <w:numId w:val="19"/>
              </w:numPr>
              <w:tabs>
                <w:tab w:val="left" w:pos="279"/>
                <w:tab w:val="left" w:pos="1080"/>
              </w:tabs>
              <w:spacing w:after="0" w:line="240" w:lineRule="auto"/>
              <w:ind w:left="0" w:firstLine="0"/>
              <w:jc w:val="both"/>
              <w:rPr>
                <w:rFonts w:ascii="Times New Roman" w:eastAsia="Times New Roman" w:hAnsi="Times New Roman"/>
                <w:i/>
                <w:color w:val="000000" w:themeColor="text1"/>
                <w:sz w:val="20"/>
                <w:szCs w:val="20"/>
              </w:rPr>
            </w:pPr>
            <w:r w:rsidRPr="00F9152F">
              <w:rPr>
                <w:rFonts w:ascii="Times New Roman" w:hAnsi="Times New Roman"/>
                <w:i/>
                <w:sz w:val="20"/>
                <w:szCs w:val="20"/>
              </w:rPr>
              <w:t>bilances kopsumma: 43 000 000 euro</w:t>
            </w:r>
            <w:r w:rsidRPr="00F9152F">
              <w:rPr>
                <w:rFonts w:ascii="Times New Roman" w:hAnsi="Times New Roman"/>
                <w:i/>
                <w:color w:val="000000" w:themeColor="text1"/>
                <w:sz w:val="20"/>
                <w:szCs w:val="20"/>
              </w:rPr>
              <w:t>,</w:t>
            </w:r>
          </w:p>
          <w:p w14:paraId="77B228AF" w14:textId="77777777" w:rsidR="003F7052" w:rsidRPr="00F9152F" w:rsidRDefault="003F7052" w:rsidP="003F7052">
            <w:pPr>
              <w:pStyle w:val="ListParagraph"/>
              <w:numPr>
                <w:ilvl w:val="0"/>
                <w:numId w:val="19"/>
              </w:numPr>
              <w:tabs>
                <w:tab w:val="left" w:pos="279"/>
                <w:tab w:val="left" w:pos="1080"/>
              </w:tabs>
              <w:spacing w:after="0" w:line="240" w:lineRule="auto"/>
              <w:ind w:left="0" w:firstLine="0"/>
              <w:jc w:val="both"/>
              <w:rPr>
                <w:rFonts w:ascii="Times New Roman" w:eastAsia="Times New Roman" w:hAnsi="Times New Roman"/>
                <w:i/>
                <w:color w:val="000000" w:themeColor="text1"/>
                <w:sz w:val="20"/>
                <w:szCs w:val="20"/>
              </w:rPr>
            </w:pPr>
            <w:r w:rsidRPr="00F9152F">
              <w:rPr>
                <w:rFonts w:ascii="Times New Roman" w:hAnsi="Times New Roman"/>
                <w:i/>
                <w:color w:val="000000" w:themeColor="text1"/>
                <w:sz w:val="20"/>
                <w:szCs w:val="20"/>
              </w:rPr>
              <w:t>neto apgrozījums: 50 000 000 </w:t>
            </w:r>
            <w:r w:rsidRPr="00F9152F">
              <w:rPr>
                <w:rFonts w:ascii="Times New Roman" w:hAnsi="Times New Roman"/>
                <w:i/>
                <w:sz w:val="20"/>
                <w:szCs w:val="20"/>
              </w:rPr>
              <w:t>euro</w:t>
            </w:r>
            <w:r w:rsidRPr="00F9152F">
              <w:rPr>
                <w:rFonts w:ascii="Times New Roman" w:hAnsi="Times New Roman"/>
                <w:i/>
                <w:color w:val="000000" w:themeColor="text1"/>
                <w:sz w:val="20"/>
                <w:szCs w:val="20"/>
              </w:rPr>
              <w:t>,</w:t>
            </w:r>
          </w:p>
          <w:p w14:paraId="08CFBE7C" w14:textId="77777777" w:rsidR="003F7052" w:rsidRPr="00F9152F" w:rsidRDefault="003F7052" w:rsidP="003F7052">
            <w:pPr>
              <w:pStyle w:val="ListParagraph"/>
              <w:numPr>
                <w:ilvl w:val="0"/>
                <w:numId w:val="19"/>
              </w:numPr>
              <w:tabs>
                <w:tab w:val="left" w:pos="279"/>
                <w:tab w:val="left" w:pos="1080"/>
              </w:tabs>
              <w:spacing w:after="0" w:line="240" w:lineRule="auto"/>
              <w:ind w:left="0" w:firstLine="0"/>
              <w:jc w:val="both"/>
              <w:rPr>
                <w:rFonts w:ascii="Times New Roman" w:eastAsia="Times New Roman" w:hAnsi="Times New Roman"/>
                <w:i/>
                <w:color w:val="000000" w:themeColor="text1"/>
                <w:sz w:val="20"/>
                <w:szCs w:val="20"/>
              </w:rPr>
            </w:pPr>
            <w:r w:rsidRPr="00F9152F">
              <w:rPr>
                <w:rFonts w:ascii="Times New Roman" w:hAnsi="Times New Roman"/>
                <w:i/>
                <w:color w:val="000000" w:themeColor="text1"/>
                <w:sz w:val="20"/>
                <w:szCs w:val="20"/>
              </w:rPr>
              <w:t>vidējais darbinieku skaits: 250.</w:t>
            </w:r>
            <w:r w:rsidR="00900A53" w:rsidRPr="00F9152F">
              <w:rPr>
                <w:rFonts w:ascii="Times New Roman" w:hAnsi="Times New Roman"/>
                <w:i/>
                <w:color w:val="000000" w:themeColor="text1"/>
                <w:sz w:val="20"/>
                <w:szCs w:val="20"/>
              </w:rPr>
              <w:t>”</w:t>
            </w:r>
          </w:p>
          <w:p w14:paraId="24CB46BB" w14:textId="77777777" w:rsidR="000F6DC5" w:rsidRPr="00F9152F" w:rsidRDefault="000F6DC5" w:rsidP="002B7D4D">
            <w:pPr>
              <w:spacing w:after="0" w:line="240" w:lineRule="auto"/>
              <w:jc w:val="both"/>
              <w:rPr>
                <w:rFonts w:ascii="Times New Roman" w:eastAsia="Times New Roman" w:hAnsi="Times New Roman" w:cs="Times New Roman"/>
                <w:color w:val="000000" w:themeColor="text1"/>
                <w:sz w:val="20"/>
                <w:szCs w:val="20"/>
              </w:rPr>
            </w:pPr>
          </w:p>
          <w:p w14:paraId="256549CE" w14:textId="77777777" w:rsidR="003F7052" w:rsidRPr="00F9152F" w:rsidRDefault="002B7D4D" w:rsidP="002B7D4D">
            <w:pPr>
              <w:spacing w:after="0" w:line="240" w:lineRule="auto"/>
              <w:jc w:val="both"/>
              <w:rPr>
                <w:rFonts w:ascii="Times New Roman" w:eastAsia="Times New Roman" w:hAnsi="Times New Roman" w:cs="Times New Roman"/>
                <w:color w:val="000000" w:themeColor="text1"/>
                <w:sz w:val="20"/>
                <w:szCs w:val="20"/>
              </w:rPr>
            </w:pPr>
            <w:r w:rsidRPr="00F9152F">
              <w:rPr>
                <w:rFonts w:ascii="Times New Roman" w:eastAsia="Times New Roman" w:hAnsi="Times New Roman" w:cs="Times New Roman"/>
                <w:color w:val="000000" w:themeColor="text1"/>
                <w:sz w:val="20"/>
                <w:szCs w:val="20"/>
              </w:rPr>
              <w:t>Likumprojekta anotācijā iekļauta šāda informācija:</w:t>
            </w:r>
          </w:p>
          <w:p w14:paraId="39CD1D75" w14:textId="77777777" w:rsidR="002B7D4D" w:rsidRPr="00F9152F" w:rsidRDefault="00ED006D" w:rsidP="002B7D4D">
            <w:pPr>
              <w:spacing w:after="0" w:line="240" w:lineRule="auto"/>
              <w:jc w:val="both"/>
              <w:rPr>
                <w:rFonts w:ascii="Times New Roman" w:hAnsi="Times New Roman" w:cs="Times New Roman"/>
                <w:bCs/>
                <w:i/>
                <w:sz w:val="20"/>
                <w:szCs w:val="20"/>
              </w:rPr>
            </w:pPr>
            <w:r w:rsidRPr="00F9152F">
              <w:rPr>
                <w:rFonts w:ascii="Times New Roman" w:hAnsi="Times New Roman" w:cs="Times New Roman"/>
                <w:bCs/>
                <w:i/>
                <w:sz w:val="20"/>
                <w:szCs w:val="20"/>
              </w:rPr>
              <w:t>„</w:t>
            </w:r>
            <w:r w:rsidR="002B7D4D" w:rsidRPr="00F9152F">
              <w:rPr>
                <w:rFonts w:ascii="Times New Roman" w:hAnsi="Times New Roman" w:cs="Times New Roman"/>
                <w:bCs/>
                <w:i/>
                <w:sz w:val="20"/>
                <w:szCs w:val="20"/>
              </w:rPr>
              <w:t xml:space="preserve">Likumprojekta 4.panta otrās daļas 2.punkts par izslēdzošā ieskaita subjektiem paredz noteikt arī  tā saucamās lielās sabiedrības. </w:t>
            </w:r>
            <w:r w:rsidR="002B7D4D" w:rsidRPr="00F9152F">
              <w:rPr>
                <w:rFonts w:ascii="Times New Roman" w:hAnsi="Times New Roman" w:cs="Times New Roman"/>
                <w:i/>
                <w:sz w:val="20"/>
                <w:szCs w:val="20"/>
              </w:rPr>
              <w:t xml:space="preserve">Apjoma kritēriji lielajām sabiedrībām līdzīgi kā Igaunijā ir noteikti atbilstoši </w:t>
            </w:r>
            <w:r w:rsidR="002B7D4D" w:rsidRPr="00F9152F">
              <w:rPr>
                <w:rFonts w:ascii="Times New Roman" w:eastAsia="Times New Roman" w:hAnsi="Times New Roman" w:cs="Times New Roman"/>
                <w:i/>
                <w:sz w:val="20"/>
                <w:szCs w:val="20"/>
              </w:rPr>
              <w:t>Eiropas Komisijas 2014.gada 17.jūnija regulas (ES) Nr.</w:t>
            </w:r>
            <w:r w:rsidRPr="00F9152F">
              <w:rPr>
                <w:rFonts w:ascii="Times New Roman" w:eastAsia="Times New Roman" w:hAnsi="Times New Roman" w:cs="Times New Roman"/>
                <w:i/>
                <w:sz w:val="20"/>
                <w:szCs w:val="20"/>
              </w:rPr>
              <w:t> </w:t>
            </w:r>
            <w:r w:rsidR="002B7D4D" w:rsidRPr="00F9152F">
              <w:rPr>
                <w:rFonts w:ascii="Times New Roman" w:eastAsia="Times New Roman" w:hAnsi="Times New Roman" w:cs="Times New Roman"/>
                <w:i/>
                <w:sz w:val="20"/>
                <w:szCs w:val="20"/>
              </w:rPr>
              <w:t xml:space="preserve">651/2014 </w:t>
            </w:r>
            <w:r w:rsidR="002B7D4D" w:rsidRPr="00F9152F">
              <w:rPr>
                <w:rFonts w:ascii="Times New Roman" w:hAnsi="Times New Roman" w:cs="Times New Roman"/>
                <w:bCs/>
                <w:i/>
                <w:sz w:val="20"/>
                <w:szCs w:val="20"/>
              </w:rPr>
              <w:t>ar ko noteiktas atbalsta kategorijas atzīst par saderīgām ar iekšējo tirgu</w:t>
            </w:r>
            <w:r w:rsidRPr="00F9152F">
              <w:rPr>
                <w:rFonts w:ascii="Times New Roman" w:hAnsi="Times New Roman" w:cs="Times New Roman"/>
                <w:bCs/>
                <w:i/>
                <w:sz w:val="20"/>
                <w:szCs w:val="20"/>
              </w:rPr>
              <w:t>, piemērojot Līguma 107. un 108.</w:t>
            </w:r>
            <w:r w:rsidR="002B7D4D" w:rsidRPr="00F9152F">
              <w:rPr>
                <w:rFonts w:ascii="Times New Roman" w:hAnsi="Times New Roman" w:cs="Times New Roman"/>
                <w:bCs/>
                <w:i/>
                <w:sz w:val="20"/>
                <w:szCs w:val="20"/>
              </w:rPr>
              <w:t>pantu, I</w:t>
            </w:r>
            <w:r w:rsidRPr="00F9152F">
              <w:rPr>
                <w:rFonts w:ascii="Times New Roman" w:hAnsi="Times New Roman" w:cs="Times New Roman"/>
                <w:bCs/>
                <w:i/>
                <w:sz w:val="20"/>
                <w:szCs w:val="20"/>
              </w:rPr>
              <w:t> </w:t>
            </w:r>
            <w:r w:rsidR="002B7D4D" w:rsidRPr="00F9152F">
              <w:rPr>
                <w:rFonts w:ascii="Times New Roman" w:hAnsi="Times New Roman" w:cs="Times New Roman"/>
                <w:bCs/>
                <w:i/>
                <w:sz w:val="20"/>
                <w:szCs w:val="20"/>
              </w:rPr>
              <w:t>pielikuma 2.panta 1.punktā norādītajiem kritērijiem</w:t>
            </w:r>
            <w:r w:rsidR="002B7D4D" w:rsidRPr="00F9152F">
              <w:rPr>
                <w:rFonts w:ascii="Times New Roman" w:eastAsia="Times New Roman" w:hAnsi="Times New Roman" w:cs="Times New Roman"/>
                <w:i/>
                <w:sz w:val="20"/>
                <w:szCs w:val="20"/>
              </w:rPr>
              <w:t>, kad attiecīgo sabiedrību vairs nevar atzīt par mazo vai vidējo uzņēmumu</w:t>
            </w:r>
            <w:r w:rsidR="002B7D4D" w:rsidRPr="00F9152F">
              <w:rPr>
                <w:rFonts w:ascii="Times New Roman" w:hAnsi="Times New Roman" w:cs="Times New Roman"/>
                <w:bCs/>
                <w:i/>
                <w:sz w:val="20"/>
                <w:szCs w:val="20"/>
              </w:rPr>
              <w:t xml:space="preserve">. </w:t>
            </w:r>
            <w:r w:rsidR="002B7D4D" w:rsidRPr="00F9152F">
              <w:rPr>
                <w:rFonts w:ascii="Times New Roman" w:hAnsi="Times New Roman" w:cs="Times New Roman"/>
                <w:i/>
                <w:sz w:val="20"/>
                <w:szCs w:val="20"/>
              </w:rPr>
              <w:t xml:space="preserve">Minētā norma noteic, ka šīm apjoma prasībām ir jāizpildās izslēdzošā ieskaita līguma </w:t>
            </w:r>
            <w:r w:rsidR="002B7D4D" w:rsidRPr="00F9152F">
              <w:rPr>
                <w:rFonts w:ascii="Times New Roman" w:hAnsi="Times New Roman" w:cs="Times New Roman"/>
                <w:i/>
                <w:sz w:val="20"/>
                <w:szCs w:val="20"/>
              </w:rPr>
              <w:lastRenderedPageBreak/>
              <w:t xml:space="preserve">noslēgšanas brīdī, par pamatu ņemot pēdējos divus pārskata gadus </w:t>
            </w:r>
            <w:r w:rsidR="002B7D4D" w:rsidRPr="00F9152F">
              <w:rPr>
                <w:rFonts w:ascii="Times New Roman" w:hAnsi="Times New Roman" w:cs="Times New Roman"/>
                <w:i/>
                <w:sz w:val="20"/>
                <w:szCs w:val="20"/>
                <w:shd w:val="clear" w:color="auto" w:fill="FFFFFF"/>
              </w:rPr>
              <w:t>(gan kārtējā, gan iepriekšējā pārskata gadā)</w:t>
            </w:r>
            <w:r w:rsidR="002B7D4D" w:rsidRPr="00F9152F">
              <w:rPr>
                <w:rFonts w:ascii="Times New Roman" w:hAnsi="Times New Roman" w:cs="Times New Roman"/>
                <w:bCs/>
                <w:i/>
                <w:sz w:val="20"/>
                <w:szCs w:val="20"/>
              </w:rPr>
              <w:t>.</w:t>
            </w:r>
          </w:p>
          <w:p w14:paraId="0CEFDF22" w14:textId="77777777" w:rsidR="002B7D4D" w:rsidRPr="00F9152F" w:rsidRDefault="002B7D4D" w:rsidP="002B7D4D">
            <w:pPr>
              <w:spacing w:after="0" w:line="240" w:lineRule="auto"/>
              <w:ind w:firstLine="346"/>
              <w:jc w:val="both"/>
              <w:rPr>
                <w:rFonts w:ascii="Times New Roman" w:hAnsi="Times New Roman" w:cs="Times New Roman"/>
                <w:i/>
                <w:sz w:val="20"/>
                <w:szCs w:val="20"/>
              </w:rPr>
            </w:pPr>
            <w:r w:rsidRPr="00F9152F">
              <w:rPr>
                <w:rFonts w:ascii="Times New Roman" w:hAnsi="Times New Roman" w:cs="Times New Roman"/>
                <w:i/>
                <w:sz w:val="20"/>
                <w:szCs w:val="20"/>
                <w:shd w:val="clear" w:color="auto" w:fill="FFFFFF"/>
              </w:rPr>
              <w:t xml:space="preserve">Likumprojekta izstrādes gaitā notika plašas diskusijas par to, vai apjoma kritēriji būtu nosakāmi atbilstoši </w:t>
            </w:r>
            <w:r w:rsidRPr="00F9152F">
              <w:rPr>
                <w:rFonts w:ascii="Times New Roman" w:hAnsi="Times New Roman" w:cs="Times New Roman"/>
                <w:i/>
                <w:sz w:val="20"/>
                <w:szCs w:val="20"/>
              </w:rPr>
              <w:t>Eiropas Parlamenta un Padomes 2014.gada 15.maija direktīvas 2014/65/ES</w:t>
            </w:r>
            <w:r w:rsidRPr="00F9152F">
              <w:rPr>
                <w:rFonts w:ascii="Times New Roman" w:hAnsi="Times New Roman" w:cs="Times New Roman"/>
                <w:bCs/>
                <w:i/>
                <w:sz w:val="20"/>
                <w:szCs w:val="20"/>
              </w:rPr>
              <w:t xml:space="preserve"> </w:t>
            </w:r>
            <w:r w:rsidRPr="00F9152F">
              <w:rPr>
                <w:rFonts w:ascii="Times New Roman" w:hAnsi="Times New Roman" w:cs="Times New Roman"/>
                <w:i/>
                <w:sz w:val="20"/>
                <w:szCs w:val="20"/>
              </w:rPr>
              <w:t>par finanšu instrumentu tirgiem un ar ko groza direktīvu 2002/92/ES un direktīvu 2011/61/ES</w:t>
            </w:r>
            <w:r w:rsidRPr="00F9152F">
              <w:rPr>
                <w:rFonts w:ascii="Times New Roman" w:hAnsi="Times New Roman" w:cs="Times New Roman"/>
                <w:bCs/>
                <w:i/>
                <w:sz w:val="20"/>
                <w:szCs w:val="20"/>
              </w:rPr>
              <w:t xml:space="preserve"> </w:t>
            </w:r>
            <w:r w:rsidRPr="00F9152F">
              <w:rPr>
                <w:rFonts w:ascii="Times New Roman" w:hAnsi="Times New Roman" w:cs="Times New Roman"/>
                <w:i/>
                <w:sz w:val="20"/>
                <w:szCs w:val="20"/>
              </w:rPr>
              <w:t>(pārstrādāta versija)</w:t>
            </w:r>
            <w:r w:rsidRPr="00F9152F">
              <w:rPr>
                <w:rFonts w:ascii="Times New Roman" w:hAnsi="Times New Roman" w:cs="Times New Roman"/>
                <w:bCs/>
                <w:i/>
                <w:sz w:val="20"/>
                <w:szCs w:val="20"/>
              </w:rPr>
              <w:t xml:space="preserve"> (turpmāk – </w:t>
            </w:r>
            <w:r w:rsidRPr="00F9152F">
              <w:rPr>
                <w:rFonts w:ascii="Times New Roman" w:hAnsi="Times New Roman" w:cs="Times New Roman"/>
                <w:i/>
                <w:spacing w:val="2"/>
                <w:sz w:val="20"/>
                <w:szCs w:val="20"/>
                <w:shd w:val="clear" w:color="auto" w:fill="FFFFFF"/>
              </w:rPr>
              <w:t>„</w:t>
            </w:r>
            <w:r w:rsidRPr="00F9152F">
              <w:rPr>
                <w:rFonts w:ascii="Times New Roman" w:hAnsi="Times New Roman" w:cs="Times New Roman"/>
                <w:b/>
                <w:i/>
                <w:sz w:val="20"/>
                <w:szCs w:val="20"/>
              </w:rPr>
              <w:t>MiFID II</w:t>
            </w:r>
            <w:r w:rsidRPr="00F9152F">
              <w:rPr>
                <w:rFonts w:ascii="Times New Roman" w:hAnsi="Times New Roman" w:cs="Times New Roman"/>
                <w:i/>
                <w:sz w:val="20"/>
                <w:szCs w:val="20"/>
              </w:rPr>
              <w:t>”) II</w:t>
            </w:r>
            <w:r w:rsidR="00ED006D" w:rsidRPr="00F9152F">
              <w:rPr>
                <w:rFonts w:ascii="Times New Roman" w:hAnsi="Times New Roman" w:cs="Times New Roman"/>
                <w:i/>
                <w:sz w:val="20"/>
                <w:szCs w:val="20"/>
              </w:rPr>
              <w:t> </w:t>
            </w:r>
            <w:r w:rsidRPr="00F9152F">
              <w:rPr>
                <w:rFonts w:ascii="Times New Roman" w:hAnsi="Times New Roman" w:cs="Times New Roman"/>
                <w:i/>
                <w:sz w:val="20"/>
                <w:szCs w:val="20"/>
              </w:rPr>
              <w:t>pielikuma I</w:t>
            </w:r>
            <w:r w:rsidR="00ED006D" w:rsidRPr="00F9152F">
              <w:rPr>
                <w:rFonts w:ascii="Times New Roman" w:hAnsi="Times New Roman" w:cs="Times New Roman"/>
                <w:i/>
                <w:sz w:val="20"/>
                <w:szCs w:val="20"/>
              </w:rPr>
              <w:t> </w:t>
            </w:r>
            <w:r w:rsidRPr="00F9152F">
              <w:rPr>
                <w:rFonts w:ascii="Times New Roman" w:hAnsi="Times New Roman" w:cs="Times New Roman"/>
                <w:i/>
                <w:sz w:val="20"/>
                <w:szCs w:val="20"/>
              </w:rPr>
              <w:t>panta 2) punktam</w:t>
            </w:r>
            <w:r w:rsidRPr="00F9152F">
              <w:rPr>
                <w:rFonts w:ascii="Times New Roman" w:hAnsi="Times New Roman" w:cs="Times New Roman"/>
                <w:i/>
                <w:sz w:val="20"/>
                <w:szCs w:val="20"/>
                <w:shd w:val="clear" w:color="auto" w:fill="FFFFFF"/>
              </w:rPr>
              <w:t>, vai arī pēc citiem kritērijiem. Tika konstatēts, ka l</w:t>
            </w:r>
            <w:r w:rsidRPr="00F9152F">
              <w:rPr>
                <w:rFonts w:ascii="Times New Roman" w:hAnsi="Times New Roman" w:cs="Times New Roman"/>
                <w:i/>
                <w:sz w:val="20"/>
                <w:szCs w:val="20"/>
              </w:rPr>
              <w:t xml:space="preserve">ielu sabiedrību apjoma kritēriji ir atrodami arī, piemēram, Igaunijas regulējumā, bet šie kritēriji nav piesaistīti MiFID II direktīvas regulējumam. Ņemot vērā Finanšu un kapitāla tirgus komisijas un Finanšu nozares asociācijas viedokli, Likumprojekta izstrādes gaitā tika atzīts par Latvijas situācijai piemērotāko risinājumu noteikt tādus pašus apjoma kritērijus, kādi ir nostiprināti Igaunijas tiesību aktos, proti, </w:t>
            </w:r>
            <w:r w:rsidRPr="00F9152F">
              <w:rPr>
                <w:rFonts w:ascii="Times New Roman" w:hAnsi="Times New Roman" w:cs="Times New Roman"/>
                <w:i/>
                <w:color w:val="000000" w:themeColor="text1"/>
                <w:sz w:val="20"/>
                <w:szCs w:val="20"/>
              </w:rPr>
              <w:t xml:space="preserve">abi līdzēji ir juridiskas personas, kas konkrētā līdzēja sabiedrības līmenī izpilda divas no šādām apjoma prasībām izslēdzošā ieskaita līguma noslēgšanas brīdī, par </w:t>
            </w:r>
            <w:r w:rsidRPr="00F9152F">
              <w:rPr>
                <w:rFonts w:ascii="Times New Roman" w:hAnsi="Times New Roman" w:cs="Times New Roman"/>
                <w:i/>
                <w:color w:val="000000" w:themeColor="text1"/>
                <w:sz w:val="20"/>
                <w:szCs w:val="20"/>
              </w:rPr>
              <w:lastRenderedPageBreak/>
              <w:t>pamatu ņemot</w:t>
            </w:r>
            <w:r w:rsidRPr="00F9152F">
              <w:rPr>
                <w:rFonts w:ascii="Times New Roman" w:hAnsi="Times New Roman" w:cs="Times New Roman"/>
                <w:i/>
                <w:color w:val="414142"/>
                <w:sz w:val="20"/>
                <w:szCs w:val="20"/>
              </w:rPr>
              <w:t xml:space="preserve"> </w:t>
            </w:r>
            <w:r w:rsidRPr="00F9152F">
              <w:rPr>
                <w:rFonts w:ascii="Times New Roman" w:hAnsi="Times New Roman" w:cs="Times New Roman"/>
                <w:i/>
                <w:sz w:val="20"/>
                <w:szCs w:val="20"/>
              </w:rPr>
              <w:t xml:space="preserve">pēdējos divus pārskata gadus </w:t>
            </w:r>
            <w:r w:rsidRPr="00F9152F">
              <w:rPr>
                <w:rFonts w:ascii="Times New Roman" w:hAnsi="Times New Roman" w:cs="Times New Roman"/>
                <w:i/>
                <w:sz w:val="20"/>
                <w:szCs w:val="20"/>
                <w:shd w:val="clear" w:color="auto" w:fill="FFFFFF"/>
              </w:rPr>
              <w:t>(gan kārtējā, gan iepriekšējā pārskata gadā)</w:t>
            </w:r>
            <w:r w:rsidRPr="00F9152F">
              <w:rPr>
                <w:rFonts w:ascii="Times New Roman" w:hAnsi="Times New Roman" w:cs="Times New Roman"/>
                <w:i/>
                <w:sz w:val="20"/>
                <w:szCs w:val="20"/>
              </w:rPr>
              <w:t>: 1)</w:t>
            </w:r>
            <w:r w:rsidR="00ED006D" w:rsidRPr="00F9152F">
              <w:rPr>
                <w:rFonts w:ascii="Times New Roman" w:hAnsi="Times New Roman" w:cs="Times New Roman"/>
                <w:i/>
                <w:sz w:val="20"/>
                <w:szCs w:val="20"/>
              </w:rPr>
              <w:t> </w:t>
            </w:r>
            <w:r w:rsidRPr="00F9152F">
              <w:rPr>
                <w:rFonts w:ascii="Times New Roman" w:hAnsi="Times New Roman" w:cs="Times New Roman"/>
                <w:i/>
                <w:sz w:val="20"/>
                <w:szCs w:val="20"/>
              </w:rPr>
              <w:t>vidējais darbinieku skaits 250; 2)</w:t>
            </w:r>
            <w:r w:rsidR="00ED006D" w:rsidRPr="00F9152F">
              <w:rPr>
                <w:rFonts w:ascii="Times New Roman" w:hAnsi="Times New Roman" w:cs="Times New Roman"/>
                <w:i/>
                <w:sz w:val="20"/>
                <w:szCs w:val="20"/>
              </w:rPr>
              <w:t> </w:t>
            </w:r>
            <w:r w:rsidRPr="00F9152F">
              <w:rPr>
                <w:rFonts w:ascii="Times New Roman" w:hAnsi="Times New Roman" w:cs="Times New Roman"/>
                <w:i/>
                <w:sz w:val="20"/>
                <w:szCs w:val="20"/>
              </w:rPr>
              <w:t>bilances kopsumma 43 miljoni eiro; 3)</w:t>
            </w:r>
            <w:r w:rsidR="00ED006D" w:rsidRPr="00F9152F">
              <w:rPr>
                <w:rFonts w:ascii="Times New Roman" w:hAnsi="Times New Roman" w:cs="Times New Roman"/>
                <w:i/>
                <w:sz w:val="20"/>
                <w:szCs w:val="20"/>
              </w:rPr>
              <w:t> </w:t>
            </w:r>
            <w:r w:rsidRPr="00F9152F">
              <w:rPr>
                <w:rFonts w:ascii="Times New Roman" w:hAnsi="Times New Roman" w:cs="Times New Roman"/>
                <w:i/>
                <w:sz w:val="20"/>
                <w:szCs w:val="20"/>
              </w:rPr>
              <w:t>neto apgrozījums 50 miljoni eiro.”</w:t>
            </w:r>
          </w:p>
          <w:p w14:paraId="694FD5B8" w14:textId="77777777" w:rsidR="0006235E" w:rsidRPr="00F9152F" w:rsidRDefault="0006235E" w:rsidP="00B80C6C">
            <w:pPr>
              <w:spacing w:after="0" w:line="240" w:lineRule="auto"/>
              <w:jc w:val="both"/>
              <w:rPr>
                <w:rFonts w:ascii="Times New Roman" w:eastAsia="Times New Roman" w:hAnsi="Times New Roman" w:cs="Times New Roman"/>
                <w:sz w:val="20"/>
                <w:lang w:eastAsia="lv-LV"/>
              </w:rPr>
            </w:pPr>
          </w:p>
        </w:tc>
      </w:tr>
      <w:tr w:rsidR="00AC4D0C" w:rsidRPr="00F9152F" w14:paraId="28AE1EAD"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6AA8346" w14:textId="77777777" w:rsidR="00AC4D0C" w:rsidRPr="00F9152F" w:rsidRDefault="00AC4D0C"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567AB865" w14:textId="77777777" w:rsidR="008867B9" w:rsidRPr="00F9152F" w:rsidRDefault="008867B9" w:rsidP="008867B9">
            <w:pPr>
              <w:spacing w:after="0" w:line="240" w:lineRule="auto"/>
              <w:jc w:val="both"/>
              <w:rPr>
                <w:rFonts w:ascii="Times New Roman" w:eastAsia="Times New Roman" w:hAnsi="Times New Roman"/>
                <w:color w:val="000000" w:themeColor="text1"/>
                <w:sz w:val="20"/>
                <w:szCs w:val="20"/>
              </w:rPr>
            </w:pPr>
            <w:r w:rsidRPr="00F9152F">
              <w:rPr>
                <w:rFonts w:ascii="Times New Roman" w:hAnsi="Times New Roman"/>
                <w:b/>
                <w:color w:val="000000" w:themeColor="text1"/>
                <w:sz w:val="20"/>
                <w:szCs w:val="20"/>
              </w:rPr>
              <w:t>8. pants. Izslēdzošā ieskaita piemērošana</w:t>
            </w:r>
          </w:p>
          <w:p w14:paraId="3D00DBB9" w14:textId="77777777" w:rsidR="008867B9" w:rsidRPr="00F9152F" w:rsidRDefault="008867B9" w:rsidP="008867B9">
            <w:pPr>
              <w:spacing w:after="0" w:line="240" w:lineRule="auto"/>
              <w:jc w:val="both"/>
              <w:rPr>
                <w:rFonts w:ascii="Times New Roman" w:hAnsi="Times New Roman"/>
                <w:color w:val="000000" w:themeColor="text1"/>
                <w:sz w:val="20"/>
                <w:szCs w:val="20"/>
              </w:rPr>
            </w:pPr>
            <w:r w:rsidRPr="00F9152F">
              <w:rPr>
                <w:rFonts w:ascii="Times New Roman" w:hAnsi="Times New Roman"/>
                <w:color w:val="000000" w:themeColor="text1"/>
                <w:sz w:val="20"/>
                <w:szCs w:val="20"/>
              </w:rPr>
              <w:t>(5) Attiecībā uz šā panta trešajā un ceturtajā daļā minēto maksājamās summas pārsniegumu (neto saldo) netiek piemēroti šajā likumā noteiktie izņēmumi no normatīvajos aktos ietverto noteikumu piemērošanas tiesiskās aizsardzības, maksātnespējas un likvidācijas procesā.</w:t>
            </w:r>
          </w:p>
          <w:p w14:paraId="64FA2AA9" w14:textId="77777777" w:rsidR="00AC4D0C" w:rsidRPr="00F9152F" w:rsidRDefault="00AC4D0C" w:rsidP="00614FD3">
            <w:pPr>
              <w:spacing w:after="0" w:line="240" w:lineRule="auto"/>
              <w:jc w:val="both"/>
              <w:rPr>
                <w:rFonts w:ascii="Times New Roman" w:eastAsia="Times New Roman" w:hAnsi="Times New Roman" w:cs="Times New Roman"/>
                <w:bCs/>
                <w:sz w:val="20"/>
                <w:lang w:eastAsia="lv-LV"/>
              </w:rPr>
            </w:pPr>
          </w:p>
          <w:p w14:paraId="6C438928" w14:textId="77777777" w:rsidR="003D33F2" w:rsidRPr="00F9152F" w:rsidRDefault="003D33F2" w:rsidP="00614FD3">
            <w:pPr>
              <w:spacing w:after="0" w:line="240" w:lineRule="auto"/>
              <w:jc w:val="both"/>
              <w:rPr>
                <w:rFonts w:ascii="Times New Roman" w:eastAsia="Times New Roman" w:hAnsi="Times New Roman" w:cs="Times New Roman"/>
                <w:bCs/>
                <w:sz w:val="20"/>
                <w:lang w:eastAsia="lv-LV"/>
              </w:rPr>
            </w:pPr>
            <w:r w:rsidRPr="00F9152F">
              <w:rPr>
                <w:rFonts w:ascii="Times New Roman" w:eastAsia="Times New Roman" w:hAnsi="Times New Roman" w:cs="Times New Roman"/>
                <w:bCs/>
                <w:sz w:val="20"/>
                <w:lang w:eastAsia="lv-LV"/>
              </w:rPr>
              <w:t xml:space="preserve">Anotācijā norādīts, ka: </w:t>
            </w:r>
            <w:r w:rsidRPr="00F9152F">
              <w:rPr>
                <w:rFonts w:ascii="Times New Roman" w:hAnsi="Times New Roman" w:cs="Times New Roman"/>
                <w:i/>
                <w:color w:val="000000"/>
                <w:sz w:val="20"/>
                <w:szCs w:val="20"/>
              </w:rPr>
              <w:t>„Likumprojekts veicinās to, ka izslēdzošā ieskaita subjekts pēc iespējas ātrāk var rīkoties ar neto saldo summu, tādējādi nodrošinot to, ka uzlabojas konkrētā subjekta likviditāte un nauda pēc iespējas ātrāk atkal nonāk apgrozībā”.</w:t>
            </w:r>
          </w:p>
        </w:tc>
        <w:tc>
          <w:tcPr>
            <w:tcW w:w="1153" w:type="pct"/>
            <w:tcBorders>
              <w:top w:val="single" w:sz="6" w:space="0" w:color="000000"/>
              <w:left w:val="single" w:sz="6" w:space="0" w:color="000000"/>
              <w:bottom w:val="single" w:sz="6" w:space="0" w:color="000000"/>
              <w:right w:val="single" w:sz="6" w:space="0" w:color="000000"/>
            </w:tcBorders>
          </w:tcPr>
          <w:p w14:paraId="75F1B5B8" w14:textId="77777777" w:rsidR="00AC4D0C" w:rsidRPr="00F9152F" w:rsidRDefault="00AC4D0C" w:rsidP="00AC4D0C">
            <w:pPr>
              <w:autoSpaceDE w:val="0"/>
              <w:autoSpaceDN w:val="0"/>
              <w:adjustRightInd w:val="0"/>
              <w:spacing w:after="0" w:line="240" w:lineRule="auto"/>
              <w:ind w:firstLine="330"/>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No likumprojekta 8. panta un vispār likuma mērķa kopumā izriet, ka maksātnespējas process nevar būt šķērslis izslēdzošā ieskaita piemērošanai, un no šī panta trešās un ceturtās daļas izriet, ka izslēdzošā ieskaita piemērošanas rezultātā rodas neto saldo, kas pēc būtības ir vienkāršs kreditora prasījums (8. panta piektā daļa).</w:t>
            </w:r>
          </w:p>
          <w:p w14:paraId="54D54D27" w14:textId="77777777" w:rsidR="00AC4D0C" w:rsidRPr="00F9152F" w:rsidRDefault="00AC4D0C" w:rsidP="00AC4D0C">
            <w:pPr>
              <w:autoSpaceDE w:val="0"/>
              <w:autoSpaceDN w:val="0"/>
              <w:adjustRightInd w:val="0"/>
              <w:spacing w:after="0" w:line="240" w:lineRule="auto"/>
              <w:ind w:firstLine="330"/>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Tomēr, likumprojekta anotācijā minēts, ka "Likumprojekts veicinās to, ka izslēdzošā ieskaita subjekts pēc iespējas ātrāk var rīkoties ar neto saldo summu, tādējādi nodrošinot to, ka uzlabojas konkrētā subjekta likviditāte un nauda pēc iespējas ātrāk atkal nonāk apgrozībā".</w:t>
            </w:r>
          </w:p>
          <w:p w14:paraId="15FDAE02" w14:textId="77777777" w:rsidR="00AC4D0C" w:rsidRPr="00F9152F" w:rsidRDefault="00AC4D0C" w:rsidP="00AC4D0C">
            <w:pPr>
              <w:autoSpaceDE w:val="0"/>
              <w:autoSpaceDN w:val="0"/>
              <w:adjustRightInd w:val="0"/>
              <w:spacing w:after="0" w:line="240" w:lineRule="auto"/>
              <w:ind w:firstLine="330"/>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Komisija aicina likumprojekta anotācijā ietvert detalizētāku paskaidrojumu, vai kreditora prasījums, kas izriet no šīs neto saldo summas, ir prioritārāks pār citiem prasījumiem, kā arī atbildēt uz jautājumu, kurā kārtā, ievērojot Kredītiestāžu likuma normas par kreditoru prasījumu apmierināšanas kārtām (139.</w:t>
            </w:r>
            <w:r w:rsidRPr="00F9152F">
              <w:rPr>
                <w:rFonts w:ascii="Times New Roman" w:hAnsi="Times New Roman" w:cs="Times New Roman"/>
                <w:color w:val="000000"/>
                <w:sz w:val="20"/>
                <w:szCs w:val="20"/>
                <w:vertAlign w:val="superscript"/>
              </w:rPr>
              <w:t>2</w:t>
            </w:r>
            <w:r w:rsidRPr="00F9152F">
              <w:rPr>
                <w:rFonts w:ascii="Times New Roman" w:hAnsi="Times New Roman" w:cs="Times New Roman"/>
                <w:color w:val="000000"/>
                <w:sz w:val="20"/>
                <w:szCs w:val="20"/>
              </w:rPr>
              <w:t xml:space="preserve"> -139</w:t>
            </w:r>
            <w:r w:rsidRPr="00F9152F">
              <w:rPr>
                <w:rFonts w:ascii="Times New Roman" w:hAnsi="Times New Roman" w:cs="Times New Roman"/>
                <w:color w:val="000000"/>
                <w:sz w:val="20"/>
                <w:szCs w:val="20"/>
                <w:vertAlign w:val="subscript"/>
              </w:rPr>
              <w:t>.</w:t>
            </w:r>
            <w:r w:rsidRPr="00F9152F">
              <w:rPr>
                <w:rFonts w:ascii="Times New Roman" w:hAnsi="Times New Roman" w:cs="Times New Roman"/>
                <w:color w:val="000000"/>
                <w:sz w:val="20"/>
                <w:szCs w:val="20"/>
                <w:vertAlign w:val="superscript"/>
              </w:rPr>
              <w:t>5</w:t>
            </w:r>
            <w:r w:rsidRPr="00F9152F">
              <w:rPr>
                <w:rFonts w:ascii="Times New Roman" w:hAnsi="Times New Roman" w:cs="Times New Roman"/>
                <w:color w:val="000000"/>
                <w:sz w:val="20"/>
                <w:szCs w:val="20"/>
              </w:rPr>
              <w:t>panti), šāds kreditora prasījums būtu kredītiestādes maksātnespējas vai likvidācijas gadījumā?</w:t>
            </w:r>
          </w:p>
          <w:p w14:paraId="4009383A" w14:textId="77777777" w:rsidR="00AC4D0C" w:rsidRPr="00F9152F" w:rsidRDefault="00AC4D0C" w:rsidP="002E1134">
            <w:pPr>
              <w:suppressAutoHyphens/>
              <w:spacing w:after="0" w:line="240" w:lineRule="auto"/>
              <w:jc w:val="both"/>
              <w:rPr>
                <w:rFonts w:ascii="Times New Roman" w:hAnsi="Times New Roman" w:cs="Times New Roman"/>
                <w:iCs/>
                <w:sz w:val="20"/>
              </w:rPr>
            </w:pPr>
          </w:p>
        </w:tc>
        <w:tc>
          <w:tcPr>
            <w:tcW w:w="1228" w:type="pct"/>
            <w:gridSpan w:val="2"/>
            <w:tcBorders>
              <w:top w:val="single" w:sz="6" w:space="0" w:color="000000"/>
              <w:left w:val="single" w:sz="6" w:space="0" w:color="000000"/>
              <w:bottom w:val="single" w:sz="6" w:space="0" w:color="000000"/>
              <w:right w:val="single" w:sz="6" w:space="0" w:color="000000"/>
            </w:tcBorders>
          </w:tcPr>
          <w:p w14:paraId="3CBED712" w14:textId="77777777" w:rsidR="00AC4D0C" w:rsidRPr="00F9152F" w:rsidRDefault="008867B9" w:rsidP="00D31A0D">
            <w:pPr>
              <w:spacing w:after="0" w:line="240" w:lineRule="auto"/>
              <w:jc w:val="both"/>
              <w:rPr>
                <w:rFonts w:ascii="Times New Roman" w:eastAsia="Times New Roman" w:hAnsi="Times New Roman" w:cs="Times New Roman"/>
                <w:b/>
                <w:bCs/>
                <w:sz w:val="20"/>
                <w:lang w:eastAsia="lv-LV"/>
              </w:rPr>
            </w:pPr>
            <w:r w:rsidRPr="00F9152F">
              <w:rPr>
                <w:rFonts w:ascii="Times New Roman" w:eastAsia="Times New Roman" w:hAnsi="Times New Roman" w:cs="Times New Roman"/>
                <w:b/>
                <w:bCs/>
                <w:sz w:val="20"/>
                <w:lang w:eastAsia="lv-LV"/>
              </w:rPr>
              <w:t>Iebildums ņemts vērā.</w:t>
            </w:r>
          </w:p>
          <w:p w14:paraId="004DAAC1" w14:textId="364DB59D" w:rsidR="003D33F2" w:rsidRPr="00F9152F" w:rsidRDefault="007F3586" w:rsidP="007F3586">
            <w:pPr>
              <w:spacing w:after="0" w:line="240" w:lineRule="auto"/>
              <w:ind w:firstLine="341"/>
              <w:jc w:val="both"/>
              <w:rPr>
                <w:rFonts w:ascii="Times New Roman" w:eastAsia="Times New Roman" w:hAnsi="Times New Roman" w:cs="Times New Roman"/>
                <w:bCs/>
                <w:sz w:val="20"/>
                <w:lang w:eastAsia="lv-LV"/>
              </w:rPr>
            </w:pPr>
            <w:r w:rsidRPr="00F9152F">
              <w:rPr>
                <w:rFonts w:ascii="Times New Roman" w:eastAsia="Times New Roman" w:hAnsi="Times New Roman" w:cs="Times New Roman"/>
                <w:b/>
                <w:bCs/>
                <w:sz w:val="20"/>
                <w:lang w:eastAsia="lv-LV"/>
              </w:rPr>
              <w:t>1</w:t>
            </w:r>
            <w:r>
              <w:rPr>
                <w:rFonts w:ascii="Times New Roman" w:eastAsia="Times New Roman" w:hAnsi="Times New Roman" w:cs="Times New Roman"/>
                <w:b/>
                <w:bCs/>
                <w:sz w:val="20"/>
                <w:lang w:eastAsia="lv-LV"/>
              </w:rPr>
              <w:t>4</w:t>
            </w:r>
            <w:r w:rsidR="00CC311B" w:rsidRPr="00F9152F">
              <w:rPr>
                <w:rFonts w:ascii="Times New Roman" w:eastAsia="Times New Roman" w:hAnsi="Times New Roman" w:cs="Times New Roman"/>
                <w:b/>
                <w:bCs/>
                <w:sz w:val="20"/>
                <w:lang w:eastAsia="lv-LV"/>
              </w:rPr>
              <w:t>.</w:t>
            </w:r>
            <w:r w:rsidR="00CC311B" w:rsidRPr="00F9152F">
              <w:rPr>
                <w:rFonts w:ascii="Times New Roman" w:eastAsia="Times New Roman" w:hAnsi="Times New Roman" w:cs="Times New Roman"/>
                <w:bCs/>
                <w:sz w:val="20"/>
                <w:lang w:eastAsia="lv-LV"/>
              </w:rPr>
              <w:t xml:space="preserve"> </w:t>
            </w:r>
            <w:r w:rsidR="003D33F2" w:rsidRPr="00F9152F">
              <w:rPr>
                <w:rFonts w:ascii="Times New Roman" w:eastAsia="Times New Roman" w:hAnsi="Times New Roman" w:cs="Times New Roman"/>
                <w:bCs/>
                <w:sz w:val="20"/>
                <w:lang w:eastAsia="lv-LV"/>
              </w:rPr>
              <w:t>Atbilstoši iebildumos norādītajam ir precizēta Likumprojekta anotācija.</w:t>
            </w:r>
          </w:p>
        </w:tc>
        <w:tc>
          <w:tcPr>
            <w:tcW w:w="712" w:type="pct"/>
            <w:tcBorders>
              <w:top w:val="single" w:sz="4" w:space="0" w:color="auto"/>
              <w:left w:val="single" w:sz="4" w:space="0" w:color="auto"/>
              <w:bottom w:val="single" w:sz="4" w:space="0" w:color="auto"/>
              <w:right w:val="single" w:sz="4" w:space="0" w:color="auto"/>
            </w:tcBorders>
          </w:tcPr>
          <w:p w14:paraId="3E9C6017" w14:textId="77777777" w:rsidR="003D33F2" w:rsidRPr="00F9152F" w:rsidRDefault="003D33F2" w:rsidP="003D33F2">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 xml:space="preserve">Likumprojekta anotācijā izslēgts teikums: </w:t>
            </w:r>
            <w:r w:rsidRPr="00F9152F">
              <w:rPr>
                <w:rFonts w:ascii="Times New Roman" w:hAnsi="Times New Roman" w:cs="Times New Roman"/>
                <w:i/>
                <w:color w:val="000000"/>
                <w:sz w:val="20"/>
                <w:szCs w:val="20"/>
              </w:rPr>
              <w:t>„Likumprojekts veicinās to, ka izslēdzošā ieskaita subjekts pēc iespējas ātrāk var rīkoties ar neto saldo summu, tādējādi nodrošinot to, ka uzlabojas konkrētā subjekta likviditāte un nauda pēc iespējas ātrāk atkal nonāk apgrozībā”.</w:t>
            </w:r>
          </w:p>
          <w:p w14:paraId="101F321E" w14:textId="77777777" w:rsidR="003D33F2" w:rsidRPr="00F9152F" w:rsidRDefault="003D33F2" w:rsidP="00B80C6C">
            <w:pPr>
              <w:spacing w:after="0" w:line="240" w:lineRule="auto"/>
              <w:jc w:val="both"/>
              <w:rPr>
                <w:rFonts w:ascii="Times New Roman" w:eastAsia="Times New Roman" w:hAnsi="Times New Roman" w:cs="Times New Roman"/>
                <w:sz w:val="20"/>
                <w:lang w:eastAsia="lv-LV"/>
              </w:rPr>
            </w:pPr>
          </w:p>
          <w:p w14:paraId="17D27002" w14:textId="77777777" w:rsidR="008867B9" w:rsidRPr="00F9152F" w:rsidRDefault="003D33F2" w:rsidP="003D33F2">
            <w:pPr>
              <w:spacing w:after="0" w:line="240" w:lineRule="auto"/>
              <w:jc w:val="both"/>
              <w:rPr>
                <w:rFonts w:ascii="Times New Roman" w:hAnsi="Times New Roman" w:cs="Times New Roman"/>
                <w:i/>
                <w:sz w:val="20"/>
                <w:szCs w:val="20"/>
              </w:rPr>
            </w:pPr>
            <w:r w:rsidRPr="00F9152F">
              <w:rPr>
                <w:rFonts w:ascii="Times New Roman" w:eastAsia="Times New Roman" w:hAnsi="Times New Roman" w:cs="Times New Roman"/>
                <w:sz w:val="20"/>
                <w:szCs w:val="20"/>
                <w:lang w:eastAsia="lv-LV"/>
              </w:rPr>
              <w:t>Likumprojekta a</w:t>
            </w:r>
            <w:r w:rsidR="008867B9" w:rsidRPr="00F9152F">
              <w:rPr>
                <w:rFonts w:ascii="Times New Roman" w:eastAsia="Times New Roman" w:hAnsi="Times New Roman" w:cs="Times New Roman"/>
                <w:sz w:val="20"/>
                <w:szCs w:val="20"/>
                <w:lang w:eastAsia="lv-LV"/>
              </w:rPr>
              <w:t>notācij</w:t>
            </w:r>
            <w:r w:rsidRPr="00F9152F">
              <w:rPr>
                <w:rFonts w:ascii="Times New Roman" w:eastAsia="Times New Roman" w:hAnsi="Times New Roman" w:cs="Times New Roman"/>
                <w:sz w:val="20"/>
                <w:szCs w:val="20"/>
                <w:lang w:eastAsia="lv-LV"/>
              </w:rPr>
              <w:t xml:space="preserve">a </w:t>
            </w:r>
            <w:r w:rsidR="008867B9" w:rsidRPr="00F9152F">
              <w:rPr>
                <w:rFonts w:ascii="Times New Roman" w:eastAsia="Times New Roman" w:hAnsi="Times New Roman" w:cs="Times New Roman"/>
                <w:sz w:val="20"/>
                <w:szCs w:val="20"/>
                <w:lang w:eastAsia="lv-LV"/>
              </w:rPr>
              <w:t>precizēta un papildināta ar šādu tekstu:</w:t>
            </w:r>
            <w:r w:rsidRPr="00F9152F">
              <w:rPr>
                <w:rFonts w:ascii="Times New Roman" w:eastAsia="Times New Roman" w:hAnsi="Times New Roman" w:cs="Times New Roman"/>
                <w:sz w:val="20"/>
                <w:szCs w:val="20"/>
                <w:lang w:eastAsia="lv-LV"/>
              </w:rPr>
              <w:t xml:space="preserve"> </w:t>
            </w:r>
            <w:r w:rsidR="008867B9" w:rsidRPr="00F9152F">
              <w:rPr>
                <w:rFonts w:ascii="Times New Roman" w:hAnsi="Times New Roman" w:cs="Times New Roman"/>
                <w:i/>
                <w:sz w:val="20"/>
                <w:szCs w:val="20"/>
              </w:rPr>
              <w:t xml:space="preserve">„Savukārt piektajā daļā ir uzsvērts tas, ka attiecībā uz maksājamās summas pārsniegumu (neto saldo) netiek piemēroti šajā likumā noteiktie izņēmumi no normatīvajos aktos ietverto noteikumu piemērošanas tiesiskās aizsardzības, maksātnespējas un likvidācijas procesā. Tas nozīmē, ka, piemēram, viena </w:t>
            </w:r>
            <w:r w:rsidR="008867B9" w:rsidRPr="00F9152F">
              <w:rPr>
                <w:rFonts w:ascii="Times New Roman" w:hAnsi="Times New Roman" w:cs="Times New Roman"/>
                <w:i/>
                <w:sz w:val="20"/>
                <w:szCs w:val="20"/>
              </w:rPr>
              <w:lastRenderedPageBreak/>
              <w:t>līdzēja maksātnespējas gadījumā, otra līdzēja (kreditora) prasījums uz maksājamās summas pārsniegumu (neto saldo) neiegūst nekādu prioritāti attiecībā pret citu kreditoru prasījumiem, bet tiek apmierināts vispārējā kārtībā. Tādējādi minētais prasījums būs apmierināms atbilstoši Maksātnespējas likuma 118.pantā noteiktajai kreditoru prasījumu segšanas kārtībai juridiskas personas maksātnespējas procesā. Savukārt kredītiestādes maksātnespējas gadījumā otra līdzēja (kreditora) prasījums maksājamās summas pārsnieguma (neto saldo) apmērā būs apmierināms saskaņā ar Kredītiestāžu likuma 139.</w:t>
            </w:r>
            <w:r w:rsidR="008867B9" w:rsidRPr="00F9152F">
              <w:rPr>
                <w:rFonts w:ascii="Times New Roman" w:hAnsi="Times New Roman" w:cs="Times New Roman"/>
                <w:i/>
                <w:sz w:val="20"/>
                <w:szCs w:val="20"/>
                <w:vertAlign w:val="superscript"/>
              </w:rPr>
              <w:t>3</w:t>
            </w:r>
            <w:r w:rsidR="008867B9" w:rsidRPr="00F9152F">
              <w:rPr>
                <w:rFonts w:ascii="Times New Roman" w:hAnsi="Times New Roman" w:cs="Times New Roman"/>
                <w:i/>
                <w:sz w:val="20"/>
                <w:szCs w:val="20"/>
              </w:rPr>
              <w:t>panta 1.punktu.”</w:t>
            </w:r>
          </w:p>
          <w:p w14:paraId="7F1FBEA9" w14:textId="77777777" w:rsidR="00C55C4F" w:rsidRPr="00F9152F" w:rsidRDefault="00C55C4F" w:rsidP="003D33F2">
            <w:pPr>
              <w:spacing w:after="0" w:line="240" w:lineRule="auto"/>
              <w:jc w:val="both"/>
              <w:rPr>
                <w:rFonts w:ascii="Times New Roman" w:hAnsi="Times New Roman" w:cs="Times New Roman"/>
                <w:i/>
                <w:sz w:val="20"/>
                <w:szCs w:val="20"/>
              </w:rPr>
            </w:pPr>
          </w:p>
          <w:p w14:paraId="7FE25399" w14:textId="77777777" w:rsidR="008867B9" w:rsidRPr="00F9152F" w:rsidRDefault="00C55C4F" w:rsidP="00C55C4F">
            <w:pPr>
              <w:spacing w:after="0" w:line="240" w:lineRule="auto"/>
              <w:jc w:val="both"/>
              <w:rPr>
                <w:rFonts w:ascii="Times New Roman" w:eastAsia="Times New Roman" w:hAnsi="Times New Roman" w:cs="Times New Roman"/>
                <w:sz w:val="20"/>
                <w:lang w:eastAsia="lv-LV"/>
              </w:rPr>
            </w:pPr>
            <w:r w:rsidRPr="00F9152F">
              <w:rPr>
                <w:rFonts w:ascii="Times New Roman" w:hAnsi="Times New Roman" w:cs="Times New Roman"/>
                <w:sz w:val="20"/>
                <w:szCs w:val="20"/>
              </w:rPr>
              <w:t>Attiecīgs skaidrojums par (kreditora) prasījumu uz maksājamās summas pārsniegumu (neto saldo) ir iekļauts arī likumprojekta „</w:t>
            </w:r>
            <w:r w:rsidR="00220BC5">
              <w:rPr>
                <w:rFonts w:ascii="Times New Roman" w:hAnsi="Times New Roman" w:cs="Times New Roman"/>
                <w:sz w:val="20"/>
                <w:szCs w:val="20"/>
              </w:rPr>
              <w:t>Grozījums Maksātnespējas likumā</w:t>
            </w:r>
            <w:r w:rsidRPr="00F9152F">
              <w:rPr>
                <w:rFonts w:ascii="Times New Roman" w:hAnsi="Times New Roman" w:cs="Times New Roman"/>
                <w:sz w:val="20"/>
                <w:szCs w:val="20"/>
              </w:rPr>
              <w:t>” un likumprojekta „Grozījumi Kredītiestāžu likumā” anotācijā.</w:t>
            </w:r>
          </w:p>
        </w:tc>
      </w:tr>
      <w:tr w:rsidR="00CE3DC0" w:rsidRPr="00F9152F" w14:paraId="7006DF43"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ADBA3B2" w14:textId="77777777" w:rsidR="00CE3DC0" w:rsidRPr="00F9152F" w:rsidRDefault="00CE3DC0"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723BD22" w14:textId="77777777" w:rsidR="00CE3DC0" w:rsidRPr="00F9152F" w:rsidRDefault="00CE3DC0" w:rsidP="00CE3DC0">
            <w:pPr>
              <w:pStyle w:val="ListParagraph"/>
              <w:spacing w:after="0" w:line="240" w:lineRule="auto"/>
              <w:ind w:left="0"/>
              <w:jc w:val="both"/>
              <w:rPr>
                <w:rFonts w:ascii="Times New Roman" w:eastAsia="Times New Roman" w:hAnsi="Times New Roman"/>
                <w:color w:val="000000" w:themeColor="text1"/>
                <w:sz w:val="20"/>
                <w:szCs w:val="20"/>
              </w:rPr>
            </w:pPr>
            <w:r w:rsidRPr="00F9152F">
              <w:rPr>
                <w:rFonts w:ascii="Times New Roman" w:hAnsi="Times New Roman"/>
                <w:b/>
                <w:bCs/>
                <w:color w:val="000000" w:themeColor="text1"/>
                <w:sz w:val="20"/>
                <w:szCs w:val="20"/>
              </w:rPr>
              <w:t>4. pants. Likuma subjekti</w:t>
            </w:r>
          </w:p>
          <w:p w14:paraId="511B702E" w14:textId="77777777" w:rsidR="00CE3DC0" w:rsidRPr="00F9152F" w:rsidRDefault="00CE3DC0" w:rsidP="00CE3DC0">
            <w:pPr>
              <w:spacing w:after="0" w:line="240" w:lineRule="auto"/>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(2) Šis likums nosaka izslēdzošā ieskaita piemērošanas kārtību arī tādā gadījumā, ja:</w:t>
            </w:r>
          </w:p>
          <w:p w14:paraId="24AB82B5" w14:textId="77777777" w:rsidR="00CE3DC0" w:rsidRPr="00F9152F" w:rsidRDefault="00CE3DC0" w:rsidP="00CE3DC0">
            <w:pPr>
              <w:spacing w:after="0" w:line="240" w:lineRule="auto"/>
              <w:ind w:left="360"/>
              <w:jc w:val="both"/>
              <w:rPr>
                <w:rFonts w:ascii="Times New Roman" w:eastAsia="Times New Roman" w:hAnsi="Times New Roman"/>
                <w:color w:val="000000" w:themeColor="text1"/>
                <w:sz w:val="20"/>
                <w:szCs w:val="20"/>
              </w:rPr>
            </w:pPr>
            <w:r w:rsidRPr="00F9152F">
              <w:rPr>
                <w:rFonts w:ascii="Times New Roman" w:eastAsia="Times New Roman" w:hAnsi="Times New Roman"/>
                <w:color w:val="000000" w:themeColor="text1"/>
                <w:sz w:val="20"/>
                <w:szCs w:val="20"/>
              </w:rPr>
              <w:t xml:space="preserve">1) viens no līdzējiem ir šā panta pirmajā daļā </w:t>
            </w:r>
            <w:r w:rsidRPr="00F9152F">
              <w:rPr>
                <w:rFonts w:ascii="Times New Roman" w:eastAsia="Times New Roman" w:hAnsi="Times New Roman"/>
                <w:color w:val="000000" w:themeColor="text1"/>
                <w:sz w:val="20"/>
                <w:szCs w:val="20"/>
              </w:rPr>
              <w:lastRenderedPageBreak/>
              <w:t>minētā persona, bet otrs — fiziska persona, kas nav patērētājs Patērētāju tiesību aizsardzības likuma izpratnē, juridiska vai cita persona vai šo personu apvienība,</w:t>
            </w:r>
          </w:p>
          <w:p w14:paraId="62C2261B" w14:textId="77777777" w:rsidR="00CE3DC0" w:rsidRPr="00F9152F" w:rsidRDefault="00CE3DC0" w:rsidP="008867B9">
            <w:pPr>
              <w:spacing w:after="0" w:line="240" w:lineRule="auto"/>
              <w:jc w:val="both"/>
              <w:rPr>
                <w:rFonts w:ascii="Times New Roman" w:hAnsi="Times New Roman"/>
                <w:b/>
                <w:color w:val="000000" w:themeColor="text1"/>
                <w:sz w:val="20"/>
                <w:szCs w:val="20"/>
              </w:rPr>
            </w:pPr>
          </w:p>
        </w:tc>
        <w:tc>
          <w:tcPr>
            <w:tcW w:w="1153" w:type="pct"/>
            <w:tcBorders>
              <w:top w:val="single" w:sz="6" w:space="0" w:color="000000"/>
              <w:left w:val="single" w:sz="6" w:space="0" w:color="000000"/>
              <w:bottom w:val="single" w:sz="6" w:space="0" w:color="000000"/>
              <w:right w:val="single" w:sz="6" w:space="0" w:color="000000"/>
            </w:tcBorders>
          </w:tcPr>
          <w:p w14:paraId="4D3CB72B" w14:textId="77777777" w:rsidR="00CE3DC0" w:rsidRPr="00F9152F" w:rsidRDefault="00CE3DC0" w:rsidP="00CE3DC0">
            <w:pPr>
              <w:autoSpaceDE w:val="0"/>
              <w:autoSpaceDN w:val="0"/>
              <w:adjustRightInd w:val="0"/>
              <w:spacing w:after="0" w:line="240" w:lineRule="auto"/>
              <w:ind w:firstLine="252"/>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lastRenderedPageBreak/>
              <w:t>Komisija atkārtoti norāda, ka likumprojekts piedāvā attiecināt likuma darbību uz nefinanšu iestādēm, kā arī uz fiziskām personām. Vienlaikus likumprojekta anotācija nesatur informāciju par veikto analīzi, kas norādītu konkrētus argumentus, kāpēc [..] darījumi ar fiziskām personām būtu jāpakļauj izslēdzošajam ieskaitam.</w:t>
            </w:r>
          </w:p>
          <w:p w14:paraId="2D4BD2E6" w14:textId="77777777" w:rsidR="00CE3DC0" w:rsidRPr="00F9152F" w:rsidRDefault="00CE3DC0" w:rsidP="00CE3DC0">
            <w:pPr>
              <w:autoSpaceDE w:val="0"/>
              <w:autoSpaceDN w:val="0"/>
              <w:adjustRightInd w:val="0"/>
              <w:spacing w:after="0" w:line="240" w:lineRule="auto"/>
              <w:ind w:firstLine="252"/>
              <w:jc w:val="both"/>
              <w:rPr>
                <w:rFonts w:ascii="Times New Roman" w:hAnsi="Times New Roman" w:cs="Times New Roman"/>
                <w:i/>
                <w:color w:val="000000"/>
                <w:sz w:val="20"/>
                <w:szCs w:val="20"/>
              </w:rPr>
            </w:pPr>
            <w:r w:rsidRPr="00F9152F">
              <w:rPr>
                <w:rFonts w:ascii="Times New Roman" w:hAnsi="Times New Roman" w:cs="Times New Roman"/>
                <w:color w:val="000000"/>
                <w:sz w:val="20"/>
                <w:szCs w:val="20"/>
              </w:rPr>
              <w:lastRenderedPageBreak/>
              <w:t>Komisija, veicot papildu pētījumu par sistēmiskā riska skaitliskajiem kritērijiem, aicina pievērst uzmanību Igaunijas piemēram, kur saskaņā ar Zvērinātu advokātu biroja "Sorainen" sagatavoto atbildi uz Starptautiskās mijmaiņas un atvasināto darījumu asociācijas (ISDA) uzdoto jautājumu, uz kuriem darījumu partneriem jāattiecina izslēdzošā ieskaita noteikumi atvasināto instrumentu darījumu gadījumā, norādot sekojošo [..]</w:t>
            </w:r>
          </w:p>
          <w:p w14:paraId="50E69912" w14:textId="77777777" w:rsidR="00CE3DC0" w:rsidRPr="00F9152F" w:rsidRDefault="00CE3DC0" w:rsidP="00CE3DC0">
            <w:pPr>
              <w:autoSpaceDE w:val="0"/>
              <w:autoSpaceDN w:val="0"/>
              <w:adjustRightInd w:val="0"/>
              <w:spacing w:after="0" w:line="240" w:lineRule="auto"/>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Ievērojot minēto, Komisija atkārtoti aicina pārskatīt:</w:t>
            </w:r>
          </w:p>
          <w:p w14:paraId="398B2760" w14:textId="77777777" w:rsidR="00CE3DC0" w:rsidRPr="00F9152F" w:rsidRDefault="00CE3DC0" w:rsidP="00CE3DC0">
            <w:pPr>
              <w:autoSpaceDE w:val="0"/>
              <w:autoSpaceDN w:val="0"/>
              <w:adjustRightInd w:val="0"/>
              <w:spacing w:after="0" w:line="240" w:lineRule="auto"/>
              <w:ind w:firstLine="330"/>
              <w:jc w:val="both"/>
              <w:rPr>
                <w:rFonts w:ascii="Times New Roman" w:hAnsi="Times New Roman" w:cs="Times New Roman"/>
                <w:color w:val="000000"/>
                <w:sz w:val="20"/>
                <w:szCs w:val="20"/>
              </w:rPr>
            </w:pPr>
            <w:r w:rsidRPr="00F9152F">
              <w:rPr>
                <w:rFonts w:ascii="Times New Roman" w:hAnsi="Times New Roman" w:cs="Times New Roman"/>
                <w:color w:val="000000"/>
                <w:sz w:val="20"/>
                <w:szCs w:val="20"/>
              </w:rPr>
              <w:t>b) likumprojekta subjektu loku, izslēdzot no tā fiziskas personas, tādējādi attaisnojot likumprojekta izvirzīto mērķi – "nodrošināt finanšu tirgus stabilitāti, ierobežojot sistēmisko risku (..)".</w:t>
            </w:r>
          </w:p>
        </w:tc>
        <w:tc>
          <w:tcPr>
            <w:tcW w:w="1228" w:type="pct"/>
            <w:gridSpan w:val="2"/>
            <w:tcBorders>
              <w:top w:val="single" w:sz="6" w:space="0" w:color="000000"/>
              <w:left w:val="single" w:sz="6" w:space="0" w:color="000000"/>
              <w:bottom w:val="single" w:sz="6" w:space="0" w:color="000000"/>
              <w:right w:val="single" w:sz="6" w:space="0" w:color="000000"/>
            </w:tcBorders>
          </w:tcPr>
          <w:p w14:paraId="2A724D91" w14:textId="77777777" w:rsidR="00CE3DC0" w:rsidRPr="00F9152F" w:rsidRDefault="00CE3DC0" w:rsidP="00CE3DC0">
            <w:pPr>
              <w:spacing w:after="0" w:line="240" w:lineRule="auto"/>
              <w:ind w:firstLine="252"/>
              <w:jc w:val="both"/>
              <w:rPr>
                <w:rFonts w:ascii="Times New Roman" w:eastAsia="Times New Roman" w:hAnsi="Times New Roman" w:cs="Times New Roman"/>
                <w:b/>
                <w:bCs/>
                <w:sz w:val="20"/>
                <w:lang w:eastAsia="lv-LV"/>
              </w:rPr>
            </w:pPr>
            <w:r w:rsidRPr="00F9152F">
              <w:rPr>
                <w:rFonts w:ascii="Times New Roman" w:eastAsia="Times New Roman" w:hAnsi="Times New Roman" w:cs="Times New Roman"/>
                <w:b/>
                <w:bCs/>
                <w:sz w:val="20"/>
                <w:lang w:eastAsia="lv-LV"/>
              </w:rPr>
              <w:lastRenderedPageBreak/>
              <w:t>Iebildums nav ņemts vērā.</w:t>
            </w:r>
          </w:p>
          <w:p w14:paraId="7E167649" w14:textId="6697AA98" w:rsidR="00CE3DC0" w:rsidRPr="00F9152F" w:rsidRDefault="007F3586" w:rsidP="00CE3DC0">
            <w:pPr>
              <w:spacing w:after="0" w:line="240" w:lineRule="auto"/>
              <w:ind w:firstLine="252"/>
              <w:jc w:val="both"/>
              <w:rPr>
                <w:rFonts w:ascii="Times New Roman" w:eastAsia="Times New Roman" w:hAnsi="Times New Roman" w:cs="Times New Roman"/>
                <w:bCs/>
                <w:sz w:val="20"/>
                <w:lang w:eastAsia="lv-LV"/>
              </w:rPr>
            </w:pPr>
            <w:r w:rsidRPr="00F9152F">
              <w:rPr>
                <w:rFonts w:ascii="Times New Roman" w:eastAsia="Times New Roman" w:hAnsi="Times New Roman" w:cs="Times New Roman"/>
                <w:b/>
                <w:bCs/>
                <w:sz w:val="20"/>
                <w:lang w:eastAsia="lv-LV"/>
              </w:rPr>
              <w:t>1</w:t>
            </w:r>
            <w:r>
              <w:rPr>
                <w:rFonts w:ascii="Times New Roman" w:eastAsia="Times New Roman" w:hAnsi="Times New Roman" w:cs="Times New Roman"/>
                <w:b/>
                <w:bCs/>
                <w:sz w:val="20"/>
                <w:lang w:eastAsia="lv-LV"/>
              </w:rPr>
              <w:t>5</w:t>
            </w:r>
            <w:r w:rsidR="00CE3DC0" w:rsidRPr="00F9152F">
              <w:rPr>
                <w:rFonts w:ascii="Times New Roman" w:eastAsia="Times New Roman" w:hAnsi="Times New Roman" w:cs="Times New Roman"/>
                <w:b/>
                <w:bCs/>
                <w:sz w:val="20"/>
                <w:lang w:eastAsia="lv-LV"/>
              </w:rPr>
              <w:t>.</w:t>
            </w:r>
            <w:r w:rsidR="00CE3DC0" w:rsidRPr="00F9152F">
              <w:rPr>
                <w:rFonts w:ascii="Times New Roman" w:eastAsia="Times New Roman" w:hAnsi="Times New Roman" w:cs="Times New Roman"/>
                <w:bCs/>
                <w:sz w:val="20"/>
                <w:lang w:eastAsia="lv-LV"/>
              </w:rPr>
              <w:t xml:space="preserve"> Attiecībā par fiziskām personām, kas nav patērētāji Patērētāju tiesību aizsardzības likuma izpratnē, </w:t>
            </w:r>
            <w:r w:rsidR="00CE3DC0">
              <w:rPr>
                <w:rFonts w:ascii="Times New Roman" w:eastAsia="Times New Roman" w:hAnsi="Times New Roman" w:cs="Times New Roman"/>
                <w:bCs/>
                <w:sz w:val="20"/>
                <w:lang w:eastAsia="lv-LV"/>
              </w:rPr>
              <w:t xml:space="preserve">norādāms, ka </w:t>
            </w:r>
            <w:r w:rsidR="00CE3DC0" w:rsidRPr="00F9152F">
              <w:rPr>
                <w:rFonts w:ascii="Times New Roman" w:eastAsia="Times New Roman" w:hAnsi="Times New Roman" w:cs="Times New Roman"/>
                <w:bCs/>
                <w:sz w:val="20"/>
                <w:lang w:eastAsia="lv-LV"/>
              </w:rPr>
              <w:t xml:space="preserve">FKTK atzinumā ir ietverta izvērsta argumentācija, par to, ka </w:t>
            </w:r>
            <w:r w:rsidR="00CE3DC0">
              <w:rPr>
                <w:rFonts w:ascii="Times New Roman" w:eastAsia="Times New Roman" w:hAnsi="Times New Roman" w:cs="Times New Roman"/>
                <w:bCs/>
                <w:sz w:val="20"/>
                <w:lang w:eastAsia="lv-LV"/>
              </w:rPr>
              <w:t>juridiskām personām (</w:t>
            </w:r>
            <w:r w:rsidR="00CE3DC0" w:rsidRPr="00F9152F">
              <w:rPr>
                <w:rFonts w:ascii="Times New Roman" w:eastAsia="Times New Roman" w:hAnsi="Times New Roman" w:cs="Times New Roman"/>
                <w:bCs/>
                <w:sz w:val="20"/>
                <w:lang w:eastAsia="lv-LV"/>
              </w:rPr>
              <w:t>ja abi līdzēji ir juri</w:t>
            </w:r>
            <w:r w:rsidR="00CE3DC0">
              <w:rPr>
                <w:rFonts w:ascii="Times New Roman" w:eastAsia="Times New Roman" w:hAnsi="Times New Roman" w:cs="Times New Roman"/>
                <w:bCs/>
                <w:sz w:val="20"/>
                <w:lang w:eastAsia="lv-LV"/>
              </w:rPr>
              <w:t>diskas personas)</w:t>
            </w:r>
            <w:r w:rsidR="00CE3DC0" w:rsidRPr="00F9152F">
              <w:rPr>
                <w:rFonts w:ascii="Times New Roman" w:eastAsia="Times New Roman" w:hAnsi="Times New Roman" w:cs="Times New Roman"/>
                <w:bCs/>
                <w:sz w:val="20"/>
                <w:lang w:eastAsia="lv-LV"/>
              </w:rPr>
              <w:t xml:space="preserve"> apjoma kritērijiem būtu jābūt noteiktiem pietiekami augstiem. </w:t>
            </w:r>
            <w:r w:rsidR="00CE3DC0" w:rsidRPr="00F9152F">
              <w:rPr>
                <w:rFonts w:ascii="Times New Roman" w:eastAsia="Times New Roman" w:hAnsi="Times New Roman" w:cs="Times New Roman"/>
                <w:bCs/>
                <w:sz w:val="20"/>
                <w:lang w:eastAsia="lv-LV"/>
              </w:rPr>
              <w:lastRenderedPageBreak/>
              <w:t xml:space="preserve">Taču attiecībā uz fizisku personu izslēgšanu no Likumprojekta, nekāda </w:t>
            </w:r>
            <w:r w:rsidR="00CE3DC0">
              <w:rPr>
                <w:rFonts w:ascii="Times New Roman" w:eastAsia="Times New Roman" w:hAnsi="Times New Roman" w:cs="Times New Roman"/>
                <w:bCs/>
                <w:sz w:val="20"/>
                <w:lang w:eastAsia="lv-LV"/>
              </w:rPr>
              <w:t xml:space="preserve">izvērstāka </w:t>
            </w:r>
            <w:r w:rsidR="00CE3DC0" w:rsidRPr="00F9152F">
              <w:rPr>
                <w:rFonts w:ascii="Times New Roman" w:eastAsia="Times New Roman" w:hAnsi="Times New Roman" w:cs="Times New Roman"/>
                <w:bCs/>
                <w:sz w:val="20"/>
                <w:lang w:eastAsia="lv-LV"/>
              </w:rPr>
              <w:t>argumentācija atzinumā nav ietverta.</w:t>
            </w:r>
          </w:p>
          <w:p w14:paraId="3EC4BAB7" w14:textId="77777777" w:rsidR="00CE3DC0" w:rsidRDefault="00CE3DC0" w:rsidP="00CE3DC0">
            <w:pPr>
              <w:spacing w:after="0" w:line="240" w:lineRule="auto"/>
              <w:ind w:firstLine="252"/>
              <w:jc w:val="both"/>
              <w:rPr>
                <w:rFonts w:ascii="Times New Roman" w:eastAsia="Times New Roman" w:hAnsi="Times New Roman" w:cs="Times New Roman"/>
                <w:bCs/>
                <w:sz w:val="20"/>
                <w:lang w:eastAsia="lv-LV"/>
              </w:rPr>
            </w:pPr>
            <w:r w:rsidRPr="00F9152F">
              <w:rPr>
                <w:rFonts w:ascii="Times New Roman" w:eastAsia="Times New Roman" w:hAnsi="Times New Roman" w:cs="Times New Roman"/>
                <w:bCs/>
                <w:sz w:val="20"/>
                <w:lang w:eastAsia="lv-LV"/>
              </w:rPr>
              <w:t>Vēršam uzmanību, ka Likumprojekts attiecībā uz fiziskām personām neparedz iespēju piemērot izslēdzošo ieskaitu gadījumos, ja abi līdzēji ir fiziskas personas, vai viens līdzējs ir fiziska, bet otrs juridiska persona</w:t>
            </w:r>
            <w:r>
              <w:rPr>
                <w:rFonts w:ascii="Times New Roman" w:eastAsia="Times New Roman" w:hAnsi="Times New Roman" w:cs="Times New Roman"/>
                <w:bCs/>
                <w:sz w:val="20"/>
                <w:lang w:eastAsia="lv-LV"/>
              </w:rPr>
              <w:t>, kas atbilst likumā noteiktiem apjoma kritērijiem</w:t>
            </w:r>
            <w:r w:rsidRPr="00F9152F">
              <w:rPr>
                <w:rFonts w:ascii="Times New Roman" w:eastAsia="Times New Roman" w:hAnsi="Times New Roman" w:cs="Times New Roman"/>
                <w:bCs/>
                <w:sz w:val="20"/>
                <w:lang w:eastAsia="lv-LV"/>
              </w:rPr>
              <w:t>.</w:t>
            </w:r>
          </w:p>
          <w:p w14:paraId="1C3BE369" w14:textId="77777777" w:rsidR="00CE3DC0" w:rsidRPr="00F9152F" w:rsidRDefault="00CE3DC0" w:rsidP="00CE3DC0">
            <w:pPr>
              <w:spacing w:after="0" w:line="240" w:lineRule="auto"/>
              <w:ind w:firstLine="252"/>
              <w:jc w:val="both"/>
              <w:rPr>
                <w:rFonts w:ascii="Times New Roman" w:hAnsi="Times New Roman" w:cs="Times New Roman"/>
                <w:sz w:val="20"/>
                <w:szCs w:val="20"/>
              </w:rPr>
            </w:pPr>
            <w:r w:rsidRPr="00F9152F">
              <w:rPr>
                <w:rFonts w:ascii="Times New Roman" w:eastAsia="Times New Roman" w:hAnsi="Times New Roman" w:cs="Times New Roman"/>
                <w:bCs/>
                <w:sz w:val="20"/>
                <w:lang w:eastAsia="lv-LV"/>
              </w:rPr>
              <w:t>Atbilstoši Likumprojektam ir paredzēts noteikt, ka izslēdzošais ieskaits ir piemērojams tādos gadījumos, kad viens līdzējs ir Likumprojekta 4.panta pirmajā daļā minētais subjekts (kvalificētais līdzējs), bet otrs fiziska vai jurid</w:t>
            </w:r>
            <w:r>
              <w:rPr>
                <w:rFonts w:ascii="Times New Roman" w:eastAsia="Times New Roman" w:hAnsi="Times New Roman" w:cs="Times New Roman"/>
                <w:bCs/>
                <w:sz w:val="20"/>
                <w:lang w:eastAsia="lv-LV"/>
              </w:rPr>
              <w:t>i</w:t>
            </w:r>
            <w:r w:rsidRPr="00F9152F">
              <w:rPr>
                <w:rFonts w:ascii="Times New Roman" w:eastAsia="Times New Roman" w:hAnsi="Times New Roman" w:cs="Times New Roman"/>
                <w:bCs/>
                <w:sz w:val="20"/>
                <w:lang w:eastAsia="lv-LV"/>
              </w:rPr>
              <w:t xml:space="preserve">ska persona. Šajā normā attiecībā uz juridiskām personām vispār nav izvirzīti nekādi apjoma kritēriji, ņemot vērā to, ka otrs līdzējs ir ar 0% riska pakāpi vai ar kopumā zemu riska pakāpi. Atsevišķos gadījumos, otrs līdzējs ir subjekts, kuru uzrauga FKTK vai kādas citas valsts kompetentā uzraudzības iestāde. Tādējādi </w:t>
            </w:r>
            <w:r w:rsidRPr="00F9152F">
              <w:rPr>
                <w:rFonts w:ascii="Times New Roman" w:hAnsi="Times New Roman" w:cs="Times New Roman"/>
                <w:sz w:val="20"/>
                <w:szCs w:val="20"/>
              </w:rPr>
              <w:t xml:space="preserve">šādi darījumi ir pakļauti efektīvai un profesionālai tirgus dalībnieku regulācijai un uzraudzībai. Tieši tāda pati pieeja Likumprojekta izstrādes gaitā ir ievērota attiecībā uz fiziskām personām. </w:t>
            </w:r>
          </w:p>
          <w:p w14:paraId="40900052" w14:textId="77777777" w:rsidR="00CE3DC0" w:rsidRPr="00206BC7" w:rsidRDefault="00CE3DC0" w:rsidP="00CE3DC0">
            <w:pPr>
              <w:spacing w:after="0" w:line="240" w:lineRule="auto"/>
              <w:ind w:firstLine="252"/>
              <w:jc w:val="both"/>
              <w:rPr>
                <w:rFonts w:ascii="Times New Roman" w:hAnsi="Times New Roman" w:cs="Times New Roman"/>
                <w:sz w:val="20"/>
                <w:szCs w:val="20"/>
              </w:rPr>
            </w:pPr>
            <w:r w:rsidRPr="00F9152F">
              <w:rPr>
                <w:rFonts w:ascii="Times New Roman" w:hAnsi="Times New Roman" w:cs="Times New Roman"/>
                <w:sz w:val="20"/>
                <w:szCs w:val="20"/>
              </w:rPr>
              <w:t xml:space="preserve">Izslēdzot no Likumprojekta fiziskas personas, tiktu izslēgti arī individuālie komersanti, kas </w:t>
            </w:r>
            <w:r w:rsidRPr="00F9152F">
              <w:rPr>
                <w:rFonts w:ascii="Times New Roman" w:hAnsi="Times New Roman" w:cs="Times New Roman"/>
              </w:rPr>
              <w:t xml:space="preserve">ir </w:t>
            </w:r>
            <w:r w:rsidRPr="00206BC7">
              <w:rPr>
                <w:rFonts w:ascii="Times New Roman" w:hAnsi="Times New Roman" w:cs="Times New Roman"/>
                <w:sz w:val="20"/>
                <w:szCs w:val="20"/>
              </w:rPr>
              <w:t>fiziskās personas, kuras kā komersanti ierakstītas komercreģistrā. Taču individuālajam komersantam nav juridiskās personas statusa, jo par savām saistībām tas atbild ar visu mantu. Līdzīgi arī uz pašnodarbinātajām personām, uz kurām Likumprojekta regulējums atbilstoši atzinumā paustajam viedoklim, nebūs attiecināms.</w:t>
            </w:r>
          </w:p>
          <w:p w14:paraId="6F692712" w14:textId="77777777" w:rsidR="00CE3DC0" w:rsidRPr="00F9152F" w:rsidRDefault="00CE3DC0" w:rsidP="00CE3DC0">
            <w:pPr>
              <w:spacing w:after="0" w:line="240" w:lineRule="auto"/>
              <w:ind w:firstLine="252"/>
              <w:jc w:val="both"/>
              <w:rPr>
                <w:rFonts w:ascii="Times New Roman" w:hAnsi="Times New Roman" w:cs="Times New Roman"/>
                <w:sz w:val="20"/>
                <w:szCs w:val="20"/>
              </w:rPr>
            </w:pPr>
            <w:r w:rsidRPr="00F9152F">
              <w:rPr>
                <w:rFonts w:ascii="Times New Roman" w:hAnsi="Times New Roman" w:cs="Times New Roman"/>
                <w:sz w:val="20"/>
                <w:szCs w:val="20"/>
              </w:rPr>
              <w:t xml:space="preserve">Vēršam uzmanību, ka atbilstoši UNIDROIT principu 3.pantam arī fiziskās personas var tikt atzītas par subjektiem, kuras aptver izslēdzošā ieskaita regulējums: </w:t>
            </w:r>
            <w:r w:rsidRPr="00113799">
              <w:rPr>
                <w:rFonts w:ascii="Times New Roman" w:hAnsi="Times New Roman" w:cs="Times New Roman"/>
                <w:i/>
                <w:sz w:val="20"/>
                <w:szCs w:val="20"/>
                <w:lang w:val="en-GB"/>
              </w:rPr>
              <w:t>„„Eligible party” means any persona or entity, other than a natural person who is acting primarily for personal, family or household purposes, and includes a partnership, unincorporated association or other body of persons</w:t>
            </w:r>
            <w:r w:rsidRPr="00F9152F">
              <w:rPr>
                <w:rFonts w:ascii="Times New Roman" w:hAnsi="Times New Roman" w:cs="Times New Roman"/>
                <w:i/>
                <w:sz w:val="20"/>
                <w:szCs w:val="20"/>
              </w:rPr>
              <w:t xml:space="preserve">” </w:t>
            </w:r>
            <w:r w:rsidRPr="00F9152F">
              <w:rPr>
                <w:rFonts w:ascii="Times New Roman" w:hAnsi="Times New Roman" w:cs="Times New Roman"/>
                <w:sz w:val="20"/>
                <w:szCs w:val="20"/>
              </w:rPr>
              <w:t xml:space="preserve">(sk. </w:t>
            </w:r>
            <w:r w:rsidRPr="00F9152F">
              <w:rPr>
                <w:rFonts w:ascii="Times New Roman" w:hAnsi="Times New Roman" w:cs="Times New Roman"/>
                <w:sz w:val="20"/>
                <w:szCs w:val="20"/>
              </w:rPr>
              <w:lastRenderedPageBreak/>
              <w:t xml:space="preserve">UNIDROIT Principles on the operation of close-out netting provisions. Pieejams: </w:t>
            </w:r>
            <w:hyperlink r:id="rId8" w:history="1">
              <w:r w:rsidRPr="00F9152F">
                <w:rPr>
                  <w:rStyle w:val="Hyperlink"/>
                  <w:rFonts w:ascii="Times New Roman" w:hAnsi="Times New Roman" w:cs="Times New Roman"/>
                  <w:sz w:val="20"/>
                  <w:szCs w:val="20"/>
                </w:rPr>
                <w:t>https://www.unidroit.org/english/principles/netting/netting-principles2013-e.pdf</w:t>
              </w:r>
            </w:hyperlink>
            <w:r w:rsidRPr="00F9152F">
              <w:rPr>
                <w:rFonts w:ascii="Times New Roman" w:hAnsi="Times New Roman" w:cs="Times New Roman"/>
                <w:sz w:val="20"/>
                <w:szCs w:val="20"/>
              </w:rPr>
              <w:t>).</w:t>
            </w:r>
          </w:p>
          <w:p w14:paraId="300CE336" w14:textId="77777777" w:rsidR="00CE3DC0" w:rsidRPr="00F9152F" w:rsidRDefault="00CE3DC0" w:rsidP="00CE3DC0">
            <w:pPr>
              <w:spacing w:after="0" w:line="240" w:lineRule="auto"/>
              <w:ind w:firstLine="252"/>
              <w:jc w:val="both"/>
              <w:rPr>
                <w:rFonts w:ascii="Times New Roman" w:hAnsi="Times New Roman" w:cs="Times New Roman"/>
                <w:sz w:val="20"/>
                <w:szCs w:val="20"/>
              </w:rPr>
            </w:pPr>
            <w:r w:rsidRPr="00F9152F">
              <w:rPr>
                <w:rFonts w:ascii="Times New Roman" w:hAnsi="Times New Roman" w:cs="Times New Roman"/>
                <w:sz w:val="20"/>
                <w:szCs w:val="20"/>
              </w:rPr>
              <w:t xml:space="preserve">Līdzīgi arī 2018 ISDA Model Netting Act and Guide ir norādīts, ka: </w:t>
            </w:r>
            <w:r w:rsidRPr="00113799">
              <w:rPr>
                <w:rFonts w:ascii="Times New Roman" w:hAnsi="Times New Roman" w:cs="Times New Roman"/>
                <w:i/>
                <w:sz w:val="20"/>
                <w:szCs w:val="20"/>
                <w:lang w:val="en-GB"/>
              </w:rPr>
              <w:t>„It does not necessarily, however, make sense to limit the effectiveness of close-out netting by reference to types of market participants. The systemic risk reduction of effective close-out netting benefits all potential market participants, including corporations, insurance companies, special purpose vehicles used for structured financings, governmental authorities, charitable organizations hedging in the market, private individuals and so on. In other words, it reduces credit risk both for solvent and insolvent parties, and reduces the risk of a large insolvency have a “domino” effect on the solvency of other market participants who have dealt with the insolvent.”</w:t>
            </w:r>
            <w:r w:rsidRPr="00F9152F">
              <w:rPr>
                <w:rFonts w:ascii="Times New Roman" w:hAnsi="Times New Roman" w:cs="Times New Roman"/>
                <w:i/>
                <w:sz w:val="20"/>
                <w:szCs w:val="20"/>
              </w:rPr>
              <w:t xml:space="preserve"> </w:t>
            </w:r>
            <w:r w:rsidRPr="00F9152F">
              <w:rPr>
                <w:rFonts w:ascii="Times New Roman" w:hAnsi="Times New Roman" w:cs="Times New Roman"/>
                <w:sz w:val="20"/>
                <w:szCs w:val="20"/>
              </w:rPr>
              <w:t xml:space="preserve">(sk. 2018 ISDA Model Netting Act and Guide 2.10.punktu. Pieejams: </w:t>
            </w:r>
            <w:hyperlink r:id="rId9" w:history="1">
              <w:r w:rsidRPr="00F9152F">
                <w:rPr>
                  <w:rStyle w:val="Hyperlink"/>
                  <w:rFonts w:ascii="Times New Roman" w:hAnsi="Times New Roman" w:cs="Times New Roman"/>
                  <w:sz w:val="20"/>
                  <w:szCs w:val="20"/>
                </w:rPr>
                <w:t>https://www.readkong.com/page/2018-isda-model-netting-act-and-guide-7237164?p=1</w:t>
              </w:r>
            </w:hyperlink>
            <w:r w:rsidRPr="00F9152F">
              <w:rPr>
                <w:rFonts w:ascii="Times New Roman" w:hAnsi="Times New Roman" w:cs="Times New Roman"/>
                <w:sz w:val="20"/>
                <w:szCs w:val="20"/>
              </w:rPr>
              <w:t>).</w:t>
            </w:r>
          </w:p>
          <w:p w14:paraId="79756A40" w14:textId="77777777" w:rsidR="00CE3DC0" w:rsidRPr="00F9152F" w:rsidRDefault="00CE3DC0" w:rsidP="00CE3DC0">
            <w:pPr>
              <w:spacing w:after="0" w:line="240" w:lineRule="auto"/>
              <w:jc w:val="both"/>
              <w:rPr>
                <w:rFonts w:ascii="Times New Roman" w:eastAsia="Times New Roman" w:hAnsi="Times New Roman" w:cs="Times New Roman"/>
                <w:b/>
                <w:bCs/>
                <w:sz w:val="20"/>
                <w:lang w:eastAsia="lv-LV"/>
              </w:rPr>
            </w:pPr>
            <w:r w:rsidRPr="00F9152F">
              <w:rPr>
                <w:rFonts w:ascii="Times New Roman" w:hAnsi="Times New Roman" w:cs="Times New Roman"/>
                <w:sz w:val="20"/>
                <w:szCs w:val="20"/>
              </w:rPr>
              <w:t>No sistēmiskā riska viedokļa nav būtiskas atšķirības starp to, vai 4.panta otr</w:t>
            </w:r>
            <w:r>
              <w:rPr>
                <w:rFonts w:ascii="Times New Roman" w:hAnsi="Times New Roman" w:cs="Times New Roman"/>
                <w:sz w:val="20"/>
                <w:szCs w:val="20"/>
              </w:rPr>
              <w:t>ās daļas 1.punktā</w:t>
            </w:r>
            <w:r w:rsidRPr="00F9152F">
              <w:rPr>
                <w:rFonts w:ascii="Times New Roman" w:hAnsi="Times New Roman" w:cs="Times New Roman"/>
                <w:sz w:val="20"/>
                <w:szCs w:val="20"/>
              </w:rPr>
              <w:t xml:space="preserve"> minētajos gadījumos otrs līdzējs ir juridiska persona, kurai nav noteikti apjoma kritēriji, vai arī tā ir fiziskā persona, kas nav patērētājs Patērētāju tiesību aizsardzības likuma izpratnē.</w:t>
            </w:r>
          </w:p>
        </w:tc>
        <w:tc>
          <w:tcPr>
            <w:tcW w:w="712" w:type="pct"/>
            <w:tcBorders>
              <w:top w:val="single" w:sz="4" w:space="0" w:color="auto"/>
              <w:left w:val="single" w:sz="4" w:space="0" w:color="auto"/>
              <w:bottom w:val="single" w:sz="4" w:space="0" w:color="auto"/>
              <w:right w:val="single" w:sz="4" w:space="0" w:color="auto"/>
            </w:tcBorders>
          </w:tcPr>
          <w:p w14:paraId="287A1F13" w14:textId="77777777" w:rsidR="00CE3DC0" w:rsidRPr="00F9152F" w:rsidRDefault="00CE3DC0" w:rsidP="003D33F2">
            <w:pPr>
              <w:spacing w:after="0" w:line="240" w:lineRule="auto"/>
              <w:jc w:val="both"/>
              <w:rPr>
                <w:rFonts w:ascii="Times New Roman" w:eastAsia="Times New Roman" w:hAnsi="Times New Roman" w:cs="Times New Roman"/>
                <w:sz w:val="20"/>
                <w:lang w:eastAsia="lv-LV"/>
              </w:rPr>
            </w:pPr>
          </w:p>
        </w:tc>
      </w:tr>
      <w:tr w:rsidR="000231C1" w:rsidRPr="00F9152F" w14:paraId="42F6AE01" w14:textId="77777777" w:rsidTr="000231C1">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52AFF27E" w14:textId="77777777" w:rsidR="000231C1" w:rsidRPr="00F9152F" w:rsidRDefault="000231C1" w:rsidP="000231C1">
            <w:pPr>
              <w:spacing w:after="0" w:line="240" w:lineRule="auto"/>
              <w:jc w:val="center"/>
              <w:rPr>
                <w:rFonts w:ascii="Times New Roman" w:eastAsia="Times New Roman" w:hAnsi="Times New Roman" w:cs="Times New Roman"/>
                <w:sz w:val="20"/>
                <w:lang w:eastAsia="lv-LV"/>
              </w:rPr>
            </w:pPr>
            <w:r w:rsidRPr="00F9152F">
              <w:rPr>
                <w:rFonts w:ascii="Times New Roman" w:hAnsi="Times New Roman" w:cs="Times New Roman"/>
                <w:b/>
                <w:sz w:val="20"/>
              </w:rPr>
              <w:lastRenderedPageBreak/>
              <w:t>Latvijas Bankas 06.07.2020. atzinumā Nr. 02-08.1/2020/2133 izteiktie iebildumi</w:t>
            </w:r>
          </w:p>
        </w:tc>
      </w:tr>
      <w:tr w:rsidR="000231C1" w:rsidRPr="00F9152F" w14:paraId="3FA2DDAC" w14:textId="77777777" w:rsidTr="00E11749">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C7E3B3A" w14:textId="77777777" w:rsidR="000231C1" w:rsidRPr="00F9152F" w:rsidRDefault="000231C1"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1B2D1E5" w14:textId="77777777" w:rsidR="000231C1" w:rsidRPr="00F9152F" w:rsidRDefault="003063C1" w:rsidP="008867B9">
            <w:pPr>
              <w:spacing w:after="0"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Vispārīga norāde</w:t>
            </w:r>
          </w:p>
        </w:tc>
        <w:tc>
          <w:tcPr>
            <w:tcW w:w="1153" w:type="pct"/>
            <w:tcBorders>
              <w:top w:val="single" w:sz="6" w:space="0" w:color="000000"/>
              <w:left w:val="single" w:sz="6" w:space="0" w:color="000000"/>
              <w:bottom w:val="single" w:sz="6" w:space="0" w:color="000000"/>
              <w:right w:val="single" w:sz="6" w:space="0" w:color="000000"/>
            </w:tcBorders>
          </w:tcPr>
          <w:p w14:paraId="242B3661" w14:textId="77777777" w:rsidR="000231C1" w:rsidRPr="00F9152F" w:rsidRDefault="003F4963" w:rsidP="00ED006D">
            <w:pPr>
              <w:autoSpaceDE w:val="0"/>
              <w:autoSpaceDN w:val="0"/>
              <w:adjustRightInd w:val="0"/>
              <w:spacing w:after="0" w:line="240" w:lineRule="auto"/>
              <w:ind w:firstLine="330"/>
              <w:jc w:val="both"/>
              <w:rPr>
                <w:rFonts w:ascii="Times New Roman" w:hAnsi="Times New Roman" w:cs="Times New Roman"/>
                <w:color w:val="000000"/>
                <w:sz w:val="20"/>
                <w:szCs w:val="20"/>
              </w:rPr>
            </w:pPr>
            <w:r w:rsidRPr="00F9152F">
              <w:rPr>
                <w:rFonts w:ascii="Times New Roman" w:hAnsi="Times New Roman" w:cs="Times New Roman"/>
                <w:sz w:val="20"/>
                <w:szCs w:val="20"/>
              </w:rPr>
              <w:t xml:space="preserve">Pievēršam uzmanību, ka saskaņā ar Līguma par </w:t>
            </w:r>
            <w:r w:rsidR="00ED006D" w:rsidRPr="00F9152F">
              <w:rPr>
                <w:rFonts w:ascii="Times New Roman" w:hAnsi="Times New Roman" w:cs="Times New Roman"/>
                <w:sz w:val="20"/>
                <w:szCs w:val="20"/>
              </w:rPr>
              <w:t>Eiropas Savienības darbību 127.panta 4.punktu un 282.panta 5.punktu, kā arī tā 4.</w:t>
            </w:r>
            <w:r w:rsidRPr="00F9152F">
              <w:rPr>
                <w:rFonts w:ascii="Times New Roman" w:hAnsi="Times New Roman" w:cs="Times New Roman"/>
                <w:sz w:val="20"/>
                <w:szCs w:val="20"/>
              </w:rPr>
              <w:t xml:space="preserve">protokola </w:t>
            </w:r>
            <w:r w:rsidR="00ED006D" w:rsidRPr="00F9152F">
              <w:rPr>
                <w:rFonts w:ascii="Times New Roman" w:hAnsi="Times New Roman" w:cs="Times New Roman"/>
                <w:sz w:val="20"/>
                <w:szCs w:val="20"/>
              </w:rPr>
              <w:t>„</w:t>
            </w:r>
            <w:r w:rsidRPr="00F9152F">
              <w:rPr>
                <w:rFonts w:ascii="Times New Roman" w:hAnsi="Times New Roman" w:cs="Times New Roman"/>
                <w:sz w:val="20"/>
                <w:szCs w:val="20"/>
              </w:rPr>
              <w:t>Par Eiropas Centrālo banku sistēmas Statūtiem un Eir</w:t>
            </w:r>
            <w:r w:rsidR="00ED006D" w:rsidRPr="00F9152F">
              <w:rPr>
                <w:rFonts w:ascii="Times New Roman" w:hAnsi="Times New Roman" w:cs="Times New Roman"/>
                <w:sz w:val="20"/>
                <w:szCs w:val="20"/>
              </w:rPr>
              <w:t>opas Centrālās bankas Statūtiem”</w:t>
            </w:r>
            <w:r w:rsidRPr="00F9152F">
              <w:rPr>
                <w:rFonts w:ascii="Times New Roman" w:hAnsi="Times New Roman" w:cs="Times New Roman"/>
                <w:sz w:val="20"/>
                <w:szCs w:val="20"/>
              </w:rPr>
              <w:t xml:space="preserve"> 4.pantu par likumprojektu </w:t>
            </w:r>
            <w:r w:rsidR="00ED006D" w:rsidRPr="00F9152F">
              <w:rPr>
                <w:rFonts w:ascii="Times New Roman" w:hAnsi="Times New Roman" w:cs="Times New Roman"/>
                <w:sz w:val="20"/>
                <w:szCs w:val="20"/>
              </w:rPr>
              <w:t>„</w:t>
            </w:r>
            <w:r w:rsidRPr="00F9152F">
              <w:rPr>
                <w:rFonts w:ascii="Times New Roman" w:hAnsi="Times New Roman" w:cs="Times New Roman"/>
                <w:sz w:val="20"/>
                <w:szCs w:val="20"/>
              </w:rPr>
              <w:t>Izslēdzošā ieskaita piemērošanas atvasinātajos finanšu darījumos likums</w:t>
            </w:r>
            <w:r w:rsidR="00ED006D" w:rsidRPr="00F9152F">
              <w:rPr>
                <w:rFonts w:ascii="Times New Roman" w:hAnsi="Times New Roman" w:cs="Times New Roman"/>
                <w:sz w:val="20"/>
                <w:szCs w:val="20"/>
              </w:rPr>
              <w:t>”</w:t>
            </w:r>
            <w:r w:rsidRPr="00F9152F">
              <w:rPr>
                <w:rFonts w:ascii="Times New Roman" w:hAnsi="Times New Roman" w:cs="Times New Roman"/>
                <w:sz w:val="20"/>
                <w:szCs w:val="20"/>
              </w:rPr>
              <w:t xml:space="preserve"> (VSS-420) nepieciešams saņemt Eiropas Centrālās bankas atzinumu.</w:t>
            </w:r>
          </w:p>
        </w:tc>
        <w:tc>
          <w:tcPr>
            <w:tcW w:w="1228" w:type="pct"/>
            <w:gridSpan w:val="2"/>
            <w:tcBorders>
              <w:top w:val="single" w:sz="6" w:space="0" w:color="000000"/>
              <w:left w:val="single" w:sz="6" w:space="0" w:color="000000"/>
              <w:bottom w:val="single" w:sz="6" w:space="0" w:color="000000"/>
              <w:right w:val="single" w:sz="6" w:space="0" w:color="000000"/>
            </w:tcBorders>
          </w:tcPr>
          <w:p w14:paraId="28D1E834" w14:textId="77777777" w:rsidR="003F4963" w:rsidRPr="00F9152F" w:rsidRDefault="003F4963" w:rsidP="003F4963">
            <w:pPr>
              <w:pStyle w:val="NormalWeb"/>
              <w:spacing w:before="0" w:after="0"/>
              <w:ind w:right="13"/>
              <w:jc w:val="both"/>
              <w:rPr>
                <w:b/>
                <w:sz w:val="20"/>
                <w:szCs w:val="20"/>
                <w:lang w:eastAsia="en-US"/>
              </w:rPr>
            </w:pPr>
            <w:r w:rsidRPr="00F9152F">
              <w:rPr>
                <w:b/>
                <w:sz w:val="20"/>
                <w:szCs w:val="20"/>
                <w:lang w:eastAsia="en-US"/>
              </w:rPr>
              <w:t>Norāde ņemta vērā.</w:t>
            </w:r>
          </w:p>
          <w:p w14:paraId="17C5D8E0" w14:textId="1E62D244" w:rsidR="000231C1" w:rsidRPr="00F9152F" w:rsidRDefault="007F3586" w:rsidP="007F3586">
            <w:pPr>
              <w:pStyle w:val="NormalWeb"/>
              <w:spacing w:before="0" w:after="0"/>
              <w:ind w:right="13" w:firstLine="341"/>
              <w:jc w:val="both"/>
              <w:rPr>
                <w:b/>
                <w:bCs/>
                <w:sz w:val="20"/>
              </w:rPr>
            </w:pPr>
            <w:r w:rsidRPr="00F9152F">
              <w:rPr>
                <w:b/>
                <w:sz w:val="20"/>
                <w:szCs w:val="20"/>
                <w:lang w:eastAsia="en-US"/>
              </w:rPr>
              <w:t>1</w:t>
            </w:r>
            <w:r>
              <w:rPr>
                <w:b/>
                <w:sz w:val="20"/>
                <w:szCs w:val="20"/>
                <w:lang w:eastAsia="en-US"/>
              </w:rPr>
              <w:t>6</w:t>
            </w:r>
            <w:r w:rsidR="00CC311B" w:rsidRPr="00F9152F">
              <w:rPr>
                <w:b/>
                <w:sz w:val="20"/>
                <w:szCs w:val="20"/>
                <w:lang w:eastAsia="en-US"/>
              </w:rPr>
              <w:t>.</w:t>
            </w:r>
            <w:r w:rsidR="00CC311B" w:rsidRPr="00F9152F">
              <w:rPr>
                <w:sz w:val="20"/>
                <w:szCs w:val="20"/>
                <w:lang w:eastAsia="en-US"/>
              </w:rPr>
              <w:t xml:space="preserve"> </w:t>
            </w:r>
            <w:r w:rsidR="00ED006D" w:rsidRPr="00F9152F">
              <w:rPr>
                <w:sz w:val="20"/>
                <w:szCs w:val="20"/>
                <w:lang w:eastAsia="en-US"/>
              </w:rPr>
              <w:t>Tā kā</w:t>
            </w:r>
            <w:r w:rsidR="003F4963" w:rsidRPr="00F9152F">
              <w:rPr>
                <w:sz w:val="20"/>
                <w:szCs w:val="20"/>
                <w:lang w:eastAsia="en-US"/>
              </w:rPr>
              <w:t xml:space="preserve"> likumprojekts </w:t>
            </w:r>
            <w:r w:rsidR="003F4963" w:rsidRPr="00F9152F">
              <w:rPr>
                <w:sz w:val="20"/>
                <w:szCs w:val="20"/>
              </w:rPr>
              <w:t>„</w:t>
            </w:r>
            <w:r w:rsidR="003F4963" w:rsidRPr="00F9152F">
              <w:rPr>
                <w:sz w:val="20"/>
                <w:szCs w:val="20"/>
                <w:lang w:eastAsia="en-US"/>
              </w:rPr>
              <w:t>Grozījum</w:t>
            </w:r>
            <w:r w:rsidR="006036B7">
              <w:rPr>
                <w:sz w:val="20"/>
                <w:szCs w:val="20"/>
                <w:lang w:eastAsia="en-US"/>
              </w:rPr>
              <w:t>s</w:t>
            </w:r>
            <w:r w:rsidR="003F4963" w:rsidRPr="00F9152F">
              <w:rPr>
                <w:sz w:val="20"/>
                <w:szCs w:val="20"/>
                <w:lang w:eastAsia="en-US"/>
              </w:rPr>
              <w:t xml:space="preserve"> Maksātnespējas likumā” ir cieši saistīti ar likumprojektu </w:t>
            </w:r>
            <w:r w:rsidR="003F4963" w:rsidRPr="00F9152F">
              <w:rPr>
                <w:sz w:val="20"/>
                <w:szCs w:val="20"/>
              </w:rPr>
              <w:t>„</w:t>
            </w:r>
            <w:r w:rsidR="003F4963" w:rsidRPr="00F9152F">
              <w:rPr>
                <w:sz w:val="20"/>
                <w:szCs w:val="20"/>
                <w:lang w:eastAsia="en-US"/>
              </w:rPr>
              <w:t xml:space="preserve">Izslēdzošā ieskaita piemērošanas kvalificētajiem </w:t>
            </w:r>
            <w:r w:rsidR="00652DFB" w:rsidRPr="00F9152F">
              <w:rPr>
                <w:sz w:val="20"/>
                <w:szCs w:val="20"/>
                <w:lang w:eastAsia="en-US"/>
              </w:rPr>
              <w:t xml:space="preserve">finanšu </w:t>
            </w:r>
            <w:r w:rsidR="003F4963" w:rsidRPr="00F9152F">
              <w:rPr>
                <w:sz w:val="20"/>
                <w:szCs w:val="20"/>
                <w:lang w:eastAsia="en-US"/>
              </w:rPr>
              <w:t xml:space="preserve">darījumiem likums” normām, jo </w:t>
            </w:r>
            <w:r w:rsidR="00CC311B" w:rsidRPr="00F9152F">
              <w:rPr>
                <w:sz w:val="20"/>
                <w:szCs w:val="20"/>
                <w:lang w:eastAsia="en-US"/>
              </w:rPr>
              <w:t>minētie</w:t>
            </w:r>
            <w:r w:rsidR="003F4963" w:rsidRPr="00F9152F">
              <w:rPr>
                <w:sz w:val="20"/>
                <w:szCs w:val="20"/>
                <w:lang w:eastAsia="en-US"/>
              </w:rPr>
              <w:t xml:space="preserve"> grozījumi Maksātnespējas likumā ir tie, kas nodrošina izslēdzošā ieskaita piemērojamību, tad saskaņošanai ar Eiropas Centrālo banku sūtīts tiks gan likumprojekts </w:t>
            </w:r>
            <w:r w:rsidR="003F4963" w:rsidRPr="00F9152F">
              <w:rPr>
                <w:sz w:val="20"/>
                <w:szCs w:val="20"/>
              </w:rPr>
              <w:t>„</w:t>
            </w:r>
            <w:r w:rsidR="003F4963" w:rsidRPr="00F9152F">
              <w:rPr>
                <w:sz w:val="20"/>
                <w:szCs w:val="20"/>
                <w:lang w:eastAsia="en-US"/>
              </w:rPr>
              <w:t xml:space="preserve">Izslēdzošā ieskaita piemērošanas kvalificētajiem </w:t>
            </w:r>
            <w:r w:rsidR="008848CF" w:rsidRPr="00F9152F">
              <w:rPr>
                <w:sz w:val="20"/>
                <w:szCs w:val="20"/>
                <w:lang w:eastAsia="en-US"/>
              </w:rPr>
              <w:t xml:space="preserve">finanšu </w:t>
            </w:r>
            <w:r w:rsidR="003F4963" w:rsidRPr="00F9152F">
              <w:rPr>
                <w:sz w:val="20"/>
                <w:szCs w:val="20"/>
                <w:lang w:eastAsia="en-US"/>
              </w:rPr>
              <w:t xml:space="preserve">darījumiem likums”, gan arī </w:t>
            </w:r>
            <w:r w:rsidR="003F4963" w:rsidRPr="00F9152F">
              <w:rPr>
                <w:sz w:val="20"/>
                <w:szCs w:val="20"/>
                <w:lang w:eastAsia="en-US"/>
              </w:rPr>
              <w:lastRenderedPageBreak/>
              <w:t xml:space="preserve">likumprojekts </w:t>
            </w:r>
            <w:r w:rsidR="003F4963" w:rsidRPr="00F9152F">
              <w:rPr>
                <w:sz w:val="20"/>
                <w:szCs w:val="20"/>
              </w:rPr>
              <w:t>„</w:t>
            </w:r>
            <w:r w:rsidR="003F4963" w:rsidRPr="00F9152F">
              <w:rPr>
                <w:sz w:val="20"/>
                <w:szCs w:val="20"/>
                <w:lang w:eastAsia="en-US"/>
              </w:rPr>
              <w:t>Grozījum</w:t>
            </w:r>
            <w:r w:rsidR="006036B7">
              <w:rPr>
                <w:sz w:val="20"/>
                <w:szCs w:val="20"/>
                <w:lang w:eastAsia="en-US"/>
              </w:rPr>
              <w:t>s</w:t>
            </w:r>
            <w:r w:rsidR="003F4963" w:rsidRPr="00F9152F">
              <w:rPr>
                <w:sz w:val="20"/>
                <w:szCs w:val="20"/>
                <w:lang w:eastAsia="en-US"/>
              </w:rPr>
              <w:t xml:space="preserve"> Maksātnespējas likumā”</w:t>
            </w:r>
            <w:r w:rsidR="008848CF" w:rsidRPr="00F9152F">
              <w:rPr>
                <w:sz w:val="20"/>
                <w:szCs w:val="20"/>
                <w:lang w:eastAsia="en-US"/>
              </w:rPr>
              <w:t xml:space="preserve"> un likumprojekts „Grozījumi Kredītiestāžu likumā”</w:t>
            </w:r>
            <w:r w:rsidR="003F4963" w:rsidRPr="00F9152F">
              <w:rPr>
                <w:sz w:val="20"/>
                <w:szCs w:val="20"/>
                <w:lang w:eastAsia="en-US"/>
              </w:rPr>
              <w:t>.</w:t>
            </w:r>
          </w:p>
        </w:tc>
        <w:tc>
          <w:tcPr>
            <w:tcW w:w="712" w:type="pct"/>
            <w:tcBorders>
              <w:top w:val="single" w:sz="4" w:space="0" w:color="auto"/>
              <w:left w:val="single" w:sz="4" w:space="0" w:color="auto"/>
              <w:bottom w:val="single" w:sz="4" w:space="0" w:color="auto"/>
              <w:right w:val="single" w:sz="4" w:space="0" w:color="auto"/>
            </w:tcBorders>
          </w:tcPr>
          <w:p w14:paraId="1C1DD5E1" w14:textId="77777777" w:rsidR="000231C1" w:rsidRPr="00F9152F" w:rsidRDefault="000231C1" w:rsidP="003D33F2">
            <w:pPr>
              <w:spacing w:after="0" w:line="240" w:lineRule="auto"/>
              <w:jc w:val="both"/>
              <w:rPr>
                <w:rFonts w:ascii="Times New Roman" w:eastAsia="Times New Roman" w:hAnsi="Times New Roman" w:cs="Times New Roman"/>
                <w:sz w:val="20"/>
                <w:lang w:eastAsia="lv-LV"/>
              </w:rPr>
            </w:pPr>
          </w:p>
        </w:tc>
      </w:tr>
      <w:tr w:rsidR="006C2417" w:rsidRPr="00F9152F" w14:paraId="1B1B8D9C" w14:textId="77777777" w:rsidTr="00E11749">
        <w:trPr>
          <w:trHeight w:val="140"/>
        </w:trPr>
        <w:tc>
          <w:tcPr>
            <w:tcW w:w="2354" w:type="pct"/>
            <w:gridSpan w:val="4"/>
            <w:tcBorders>
              <w:top w:val="nil"/>
              <w:left w:val="nil"/>
              <w:bottom w:val="nil"/>
              <w:right w:val="nil"/>
            </w:tcBorders>
          </w:tcPr>
          <w:p w14:paraId="661EED84" w14:textId="77777777" w:rsidR="006C2417" w:rsidRPr="00F9152F" w:rsidRDefault="006C2417" w:rsidP="006C2417">
            <w:pPr>
              <w:spacing w:after="0" w:line="240" w:lineRule="auto"/>
              <w:rPr>
                <w:rFonts w:ascii="Times New Roman" w:eastAsia="Times New Roman" w:hAnsi="Times New Roman" w:cs="Times New Roman"/>
                <w:sz w:val="20"/>
                <w:lang w:eastAsia="lv-LV"/>
              </w:rPr>
            </w:pPr>
          </w:p>
          <w:p w14:paraId="4B8ADF95" w14:textId="77777777" w:rsidR="006C2417" w:rsidRPr="00F9152F" w:rsidRDefault="006C2417" w:rsidP="006C2417">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Atbildīgā amatpersona</w:t>
            </w:r>
          </w:p>
        </w:tc>
        <w:tc>
          <w:tcPr>
            <w:tcW w:w="950" w:type="pct"/>
            <w:tcBorders>
              <w:top w:val="nil"/>
              <w:left w:val="nil"/>
              <w:bottom w:val="nil"/>
              <w:right w:val="nil"/>
            </w:tcBorders>
          </w:tcPr>
          <w:p w14:paraId="29B02FEC" w14:textId="77777777" w:rsidR="006C2417" w:rsidRPr="00F9152F" w:rsidRDefault="006C2417" w:rsidP="006C2417">
            <w:pPr>
              <w:spacing w:after="0" w:line="240" w:lineRule="auto"/>
              <w:rPr>
                <w:rFonts w:ascii="Times New Roman" w:eastAsia="Times New Roman" w:hAnsi="Times New Roman" w:cs="Times New Roman"/>
                <w:sz w:val="20"/>
                <w:lang w:eastAsia="lv-LV"/>
              </w:rPr>
            </w:pPr>
          </w:p>
        </w:tc>
        <w:tc>
          <w:tcPr>
            <w:tcW w:w="821" w:type="pct"/>
            <w:gridSpan w:val="2"/>
          </w:tcPr>
          <w:p w14:paraId="672B2D93" w14:textId="77777777" w:rsidR="006C2417" w:rsidRPr="00F9152F" w:rsidRDefault="006C2417" w:rsidP="006C2417">
            <w:pPr>
              <w:spacing w:after="0" w:line="240" w:lineRule="auto"/>
              <w:rPr>
                <w:rFonts w:ascii="Times New Roman" w:eastAsia="Calibri" w:hAnsi="Times New Roman" w:cs="Times New Roman"/>
                <w:sz w:val="20"/>
                <w:lang w:eastAsia="lv-LV"/>
              </w:rPr>
            </w:pPr>
          </w:p>
        </w:tc>
        <w:tc>
          <w:tcPr>
            <w:tcW w:w="875" w:type="pct"/>
          </w:tcPr>
          <w:p w14:paraId="7E804D1F" w14:textId="77777777" w:rsidR="006C2417" w:rsidRPr="00F9152F"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F9152F" w14:paraId="1813A216" w14:textId="77777777" w:rsidTr="00E11749">
        <w:trPr>
          <w:gridAfter w:val="3"/>
          <w:wAfter w:w="1696" w:type="pct"/>
          <w:trHeight w:val="140"/>
        </w:trPr>
        <w:tc>
          <w:tcPr>
            <w:tcW w:w="2354" w:type="pct"/>
            <w:gridSpan w:val="4"/>
            <w:tcBorders>
              <w:top w:val="nil"/>
              <w:left w:val="nil"/>
              <w:bottom w:val="nil"/>
              <w:right w:val="nil"/>
            </w:tcBorders>
          </w:tcPr>
          <w:p w14:paraId="0B144A27" w14:textId="77777777" w:rsidR="006C2417" w:rsidRPr="00F9152F" w:rsidRDefault="006C2417" w:rsidP="006C2417">
            <w:pPr>
              <w:spacing w:after="0" w:line="240" w:lineRule="auto"/>
              <w:jc w:val="center"/>
              <w:rPr>
                <w:rFonts w:ascii="Times New Roman" w:eastAsia="Times New Roman" w:hAnsi="Times New Roman" w:cs="Times New Roman"/>
                <w:sz w:val="20"/>
                <w:lang w:eastAsia="lv-LV"/>
              </w:rPr>
            </w:pPr>
          </w:p>
        </w:tc>
        <w:tc>
          <w:tcPr>
            <w:tcW w:w="950" w:type="pct"/>
            <w:tcBorders>
              <w:top w:val="single" w:sz="6" w:space="0" w:color="000000"/>
              <w:left w:val="nil"/>
              <w:bottom w:val="single" w:sz="6" w:space="0" w:color="000000"/>
              <w:right w:val="nil"/>
            </w:tcBorders>
            <w:hideMark/>
          </w:tcPr>
          <w:p w14:paraId="246D81A7" w14:textId="77777777" w:rsidR="006C2417" w:rsidRPr="00F9152F" w:rsidRDefault="006C2417" w:rsidP="006C2417">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(paraksts)*</w:t>
            </w:r>
          </w:p>
        </w:tc>
      </w:tr>
    </w:tbl>
    <w:p w14:paraId="443DE53B" w14:textId="77777777" w:rsidR="000239F9" w:rsidRPr="00F9152F" w:rsidRDefault="000239F9" w:rsidP="00D60CB6">
      <w:pPr>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158FEDF7" w14:textId="77777777" w:rsidR="000239F9" w:rsidRPr="00F9152F"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ab/>
      </w:r>
    </w:p>
    <w:p w14:paraId="4DA8D4ED" w14:textId="77777777" w:rsidR="000239F9" w:rsidRPr="00F9152F" w:rsidRDefault="008867B9" w:rsidP="00D60CB6">
      <w:pPr>
        <w:tabs>
          <w:tab w:val="left" w:pos="6330"/>
        </w:tabs>
        <w:spacing w:after="0" w:line="240" w:lineRule="auto"/>
        <w:jc w:val="both"/>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Gunvaldis Davidovičs</w:t>
      </w:r>
      <w:r w:rsidR="004153CD" w:rsidRPr="00F9152F">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F9152F" w14:paraId="24997169" w14:textId="77777777" w:rsidTr="007831E5">
        <w:trPr>
          <w:trHeight w:val="731"/>
        </w:trPr>
        <w:tc>
          <w:tcPr>
            <w:tcW w:w="9214" w:type="dxa"/>
            <w:tcBorders>
              <w:top w:val="nil"/>
              <w:left w:val="nil"/>
              <w:bottom w:val="single" w:sz="4" w:space="0" w:color="000000"/>
              <w:right w:val="nil"/>
            </w:tcBorders>
            <w:hideMark/>
          </w:tcPr>
          <w:p w14:paraId="60FD6AC7" w14:textId="77777777" w:rsidR="000239F9" w:rsidRPr="00F9152F" w:rsidRDefault="00EE17EF" w:rsidP="00D60CB6">
            <w:pPr>
              <w:spacing w:after="0" w:line="240" w:lineRule="auto"/>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Finanšu</w:t>
            </w:r>
            <w:r w:rsidR="000239F9" w:rsidRPr="00F9152F">
              <w:rPr>
                <w:rFonts w:ascii="Times New Roman" w:eastAsia="Times New Roman" w:hAnsi="Times New Roman" w:cs="Times New Roman"/>
                <w:sz w:val="20"/>
                <w:lang w:eastAsia="lv-LV"/>
              </w:rPr>
              <w:t xml:space="preserve"> ministrijas</w:t>
            </w:r>
          </w:p>
          <w:p w14:paraId="74F63699" w14:textId="77777777" w:rsidR="000239F9" w:rsidRPr="00F9152F" w:rsidRDefault="00EE17EF" w:rsidP="008867B9">
            <w:pPr>
              <w:spacing w:after="0" w:line="240" w:lineRule="auto"/>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Finanšu tirgus politikas</w:t>
            </w:r>
            <w:r w:rsidR="001B77D1" w:rsidRPr="00F9152F">
              <w:rPr>
                <w:rFonts w:ascii="Times New Roman" w:eastAsia="Times New Roman" w:hAnsi="Times New Roman" w:cs="Times New Roman"/>
                <w:sz w:val="20"/>
                <w:lang w:eastAsia="lv-LV"/>
              </w:rPr>
              <w:t xml:space="preserve"> </w:t>
            </w:r>
            <w:r w:rsidR="000239F9" w:rsidRPr="00F9152F">
              <w:rPr>
                <w:rFonts w:ascii="Times New Roman" w:eastAsia="Times New Roman" w:hAnsi="Times New Roman" w:cs="Times New Roman"/>
                <w:sz w:val="20"/>
                <w:lang w:eastAsia="lv-LV"/>
              </w:rPr>
              <w:t xml:space="preserve">departamenta </w:t>
            </w:r>
            <w:r w:rsidR="008867B9" w:rsidRPr="00F9152F">
              <w:rPr>
                <w:rFonts w:ascii="Times New Roman" w:eastAsia="Times New Roman" w:hAnsi="Times New Roman" w:cs="Times New Roman"/>
                <w:sz w:val="20"/>
                <w:lang w:eastAsia="lv-LV"/>
              </w:rPr>
              <w:t>jurists</w:t>
            </w:r>
          </w:p>
        </w:tc>
      </w:tr>
      <w:tr w:rsidR="000239F9" w:rsidRPr="00F9152F" w14:paraId="05BEF90D" w14:textId="77777777" w:rsidTr="007831E5">
        <w:trPr>
          <w:trHeight w:val="229"/>
        </w:trPr>
        <w:tc>
          <w:tcPr>
            <w:tcW w:w="9214" w:type="dxa"/>
            <w:tcBorders>
              <w:top w:val="single" w:sz="4" w:space="0" w:color="000000"/>
              <w:left w:val="nil"/>
              <w:bottom w:val="nil"/>
              <w:right w:val="nil"/>
            </w:tcBorders>
            <w:hideMark/>
          </w:tcPr>
          <w:p w14:paraId="2DA09D4A" w14:textId="77777777" w:rsidR="000239F9" w:rsidRPr="00F9152F" w:rsidRDefault="000239F9" w:rsidP="00D60CB6">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(amats)</w:t>
            </w:r>
          </w:p>
        </w:tc>
      </w:tr>
      <w:tr w:rsidR="000239F9" w:rsidRPr="00F9152F" w14:paraId="64B17B1C" w14:textId="77777777" w:rsidTr="007831E5">
        <w:trPr>
          <w:trHeight w:val="243"/>
        </w:trPr>
        <w:tc>
          <w:tcPr>
            <w:tcW w:w="9214" w:type="dxa"/>
            <w:tcBorders>
              <w:top w:val="nil"/>
              <w:left w:val="nil"/>
              <w:bottom w:val="single" w:sz="4" w:space="0" w:color="000000"/>
              <w:right w:val="nil"/>
            </w:tcBorders>
            <w:hideMark/>
          </w:tcPr>
          <w:p w14:paraId="0A65210C" w14:textId="77777777" w:rsidR="000239F9" w:rsidRPr="00F9152F" w:rsidRDefault="000239F9" w:rsidP="008867B9">
            <w:pPr>
              <w:spacing w:after="0" w:line="240" w:lineRule="auto"/>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 xml:space="preserve">tālr. </w:t>
            </w:r>
            <w:r w:rsidR="00AF20BA" w:rsidRPr="00F9152F">
              <w:rPr>
                <w:rFonts w:ascii="Times New Roman" w:eastAsia="Times New Roman" w:hAnsi="Times New Roman" w:cs="Times New Roman"/>
                <w:sz w:val="20"/>
                <w:lang w:eastAsia="lv-LV"/>
              </w:rPr>
              <w:t>670</w:t>
            </w:r>
            <w:r w:rsidR="008867B9" w:rsidRPr="00F9152F">
              <w:rPr>
                <w:rFonts w:ascii="Times New Roman" w:eastAsia="Times New Roman" w:hAnsi="Times New Roman" w:cs="Times New Roman"/>
                <w:sz w:val="20"/>
                <w:lang w:eastAsia="lv-LV"/>
              </w:rPr>
              <w:t>83931</w:t>
            </w:r>
          </w:p>
        </w:tc>
      </w:tr>
      <w:tr w:rsidR="000239F9" w:rsidRPr="00F9152F" w14:paraId="57B00B69" w14:textId="77777777" w:rsidTr="007831E5">
        <w:trPr>
          <w:trHeight w:val="243"/>
        </w:trPr>
        <w:tc>
          <w:tcPr>
            <w:tcW w:w="9214" w:type="dxa"/>
            <w:tcBorders>
              <w:top w:val="single" w:sz="4" w:space="0" w:color="000000"/>
              <w:left w:val="nil"/>
              <w:bottom w:val="nil"/>
              <w:right w:val="nil"/>
            </w:tcBorders>
            <w:hideMark/>
          </w:tcPr>
          <w:p w14:paraId="07CCD264" w14:textId="77777777" w:rsidR="000239F9" w:rsidRPr="00F9152F" w:rsidRDefault="000239F9" w:rsidP="00D60CB6">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(tālruņa un faksa numurs)</w:t>
            </w:r>
          </w:p>
        </w:tc>
      </w:tr>
      <w:tr w:rsidR="000239F9" w:rsidRPr="00F9152F" w14:paraId="3BC1F9EC" w14:textId="77777777" w:rsidTr="007831E5">
        <w:trPr>
          <w:trHeight w:val="229"/>
        </w:trPr>
        <w:tc>
          <w:tcPr>
            <w:tcW w:w="9214" w:type="dxa"/>
            <w:tcBorders>
              <w:top w:val="nil"/>
              <w:left w:val="nil"/>
              <w:bottom w:val="single" w:sz="4" w:space="0" w:color="000000"/>
              <w:right w:val="nil"/>
            </w:tcBorders>
            <w:hideMark/>
          </w:tcPr>
          <w:p w14:paraId="17B2A71E" w14:textId="77777777" w:rsidR="000239F9" w:rsidRPr="00F9152F" w:rsidRDefault="00CF79DC" w:rsidP="008867B9">
            <w:pPr>
              <w:spacing w:after="0" w:line="240" w:lineRule="auto"/>
              <w:rPr>
                <w:rFonts w:ascii="Times New Roman" w:eastAsia="Times New Roman" w:hAnsi="Times New Roman" w:cs="Times New Roman"/>
                <w:sz w:val="20"/>
                <w:szCs w:val="24"/>
                <w:lang w:eastAsia="lv-LV"/>
              </w:rPr>
            </w:pPr>
            <w:hyperlink r:id="rId10" w:history="1">
              <w:r w:rsidR="008867B9" w:rsidRPr="00F9152F">
                <w:rPr>
                  <w:rStyle w:val="Hyperlink"/>
                  <w:rFonts w:ascii="Times New Roman" w:hAnsi="Times New Roman" w:cs="Times New Roman"/>
                  <w:sz w:val="20"/>
                  <w:szCs w:val="24"/>
                </w:rPr>
                <w:t xml:space="preserve">Gunvaldis.Davidovics </w:t>
              </w:r>
              <w:r w:rsidR="00EE17EF" w:rsidRPr="00F9152F">
                <w:rPr>
                  <w:rStyle w:val="Hyperlink"/>
                  <w:rFonts w:ascii="Times New Roman" w:hAnsi="Times New Roman" w:cs="Times New Roman"/>
                  <w:sz w:val="20"/>
                  <w:szCs w:val="24"/>
                </w:rPr>
                <w:t>@fm.gov.lv</w:t>
              </w:r>
            </w:hyperlink>
            <w:r w:rsidR="00EE17EF" w:rsidRPr="00F9152F">
              <w:rPr>
                <w:rFonts w:ascii="Times New Roman" w:hAnsi="Times New Roman" w:cs="Times New Roman"/>
                <w:sz w:val="20"/>
                <w:szCs w:val="24"/>
              </w:rPr>
              <w:t xml:space="preserve"> </w:t>
            </w:r>
            <w:r w:rsidR="006F0C0E" w:rsidRPr="00F9152F">
              <w:rPr>
                <w:rFonts w:ascii="Times New Roman" w:hAnsi="Times New Roman"/>
                <w:sz w:val="20"/>
                <w:szCs w:val="24"/>
              </w:rPr>
              <w:t xml:space="preserve"> </w:t>
            </w:r>
          </w:p>
        </w:tc>
      </w:tr>
      <w:tr w:rsidR="000239F9" w:rsidRPr="00F9152F" w14:paraId="0AE6D598" w14:textId="77777777" w:rsidTr="007831E5">
        <w:trPr>
          <w:trHeight w:val="243"/>
        </w:trPr>
        <w:tc>
          <w:tcPr>
            <w:tcW w:w="9214" w:type="dxa"/>
            <w:tcBorders>
              <w:top w:val="single" w:sz="4" w:space="0" w:color="000000"/>
              <w:left w:val="nil"/>
              <w:bottom w:val="nil"/>
              <w:right w:val="nil"/>
            </w:tcBorders>
            <w:hideMark/>
          </w:tcPr>
          <w:p w14:paraId="1B9DAC47" w14:textId="77777777" w:rsidR="000239F9" w:rsidRPr="00F9152F" w:rsidRDefault="000239F9" w:rsidP="00D60CB6">
            <w:pPr>
              <w:spacing w:after="0" w:line="240" w:lineRule="auto"/>
              <w:jc w:val="center"/>
              <w:rPr>
                <w:rFonts w:ascii="Times New Roman" w:eastAsia="Times New Roman" w:hAnsi="Times New Roman" w:cs="Times New Roman"/>
                <w:sz w:val="20"/>
                <w:lang w:eastAsia="lv-LV"/>
              </w:rPr>
            </w:pPr>
            <w:r w:rsidRPr="00F9152F">
              <w:rPr>
                <w:rFonts w:ascii="Times New Roman" w:eastAsia="Times New Roman" w:hAnsi="Times New Roman" w:cs="Times New Roman"/>
                <w:sz w:val="20"/>
                <w:lang w:eastAsia="lv-LV"/>
              </w:rPr>
              <w:t>(e-pasta adrese)</w:t>
            </w:r>
          </w:p>
        </w:tc>
      </w:tr>
    </w:tbl>
    <w:p w14:paraId="549CEBBA" w14:textId="77777777" w:rsidR="00726C06" w:rsidRPr="00F9152F" w:rsidRDefault="002F5D9C" w:rsidP="00D60CB6">
      <w:pPr>
        <w:spacing w:after="0" w:line="240" w:lineRule="auto"/>
        <w:jc w:val="both"/>
        <w:rPr>
          <w:rFonts w:ascii="Times New Roman" w:hAnsi="Times New Roman" w:cs="Times New Roman"/>
          <w:sz w:val="20"/>
          <w:szCs w:val="20"/>
        </w:rPr>
      </w:pPr>
      <w:r w:rsidRPr="00F9152F">
        <w:rPr>
          <w:rFonts w:ascii="Times New Roman" w:eastAsia="Times New Roman" w:hAnsi="Times New Roman" w:cs="Times New Roman"/>
          <w:sz w:val="20"/>
          <w:lang w:eastAsia="lv-LV"/>
        </w:rPr>
        <w:br w:type="textWrapping" w:clear="all"/>
      </w:r>
      <w:r w:rsidR="008867B9" w:rsidRPr="00F9152F">
        <w:rPr>
          <w:rFonts w:ascii="Times New Roman" w:hAnsi="Times New Roman" w:cs="Times New Roman"/>
          <w:sz w:val="20"/>
          <w:szCs w:val="20"/>
        </w:rPr>
        <w:t>Gunvaldis Davidovičs</w:t>
      </w:r>
    </w:p>
    <w:p w14:paraId="230C31AA" w14:textId="77777777" w:rsidR="00614A9A" w:rsidRPr="00F9152F" w:rsidRDefault="00726C06" w:rsidP="00D60CB6">
      <w:pPr>
        <w:spacing w:after="0" w:line="240" w:lineRule="auto"/>
        <w:rPr>
          <w:rFonts w:ascii="Times New Roman" w:hAnsi="Times New Roman" w:cs="Times New Roman"/>
          <w:sz w:val="20"/>
        </w:rPr>
      </w:pPr>
      <w:r w:rsidRPr="00F9152F">
        <w:rPr>
          <w:rFonts w:ascii="Times New Roman" w:hAnsi="Times New Roman" w:cs="Times New Roman"/>
          <w:sz w:val="20"/>
          <w:szCs w:val="20"/>
        </w:rPr>
        <w:t>6</w:t>
      </w:r>
      <w:r w:rsidR="00EE17EF" w:rsidRPr="00F9152F">
        <w:rPr>
          <w:rFonts w:ascii="Times New Roman" w:hAnsi="Times New Roman" w:cs="Times New Roman"/>
          <w:sz w:val="20"/>
          <w:szCs w:val="20"/>
        </w:rPr>
        <w:t>70</w:t>
      </w:r>
      <w:r w:rsidR="008867B9" w:rsidRPr="00F9152F">
        <w:rPr>
          <w:rFonts w:ascii="Times New Roman" w:hAnsi="Times New Roman" w:cs="Times New Roman"/>
          <w:sz w:val="20"/>
          <w:szCs w:val="20"/>
        </w:rPr>
        <w:t>83931</w:t>
      </w:r>
      <w:r w:rsidRPr="00F9152F">
        <w:rPr>
          <w:rFonts w:ascii="Times New Roman" w:hAnsi="Times New Roman" w:cs="Times New Roman"/>
          <w:sz w:val="20"/>
          <w:szCs w:val="20"/>
        </w:rPr>
        <w:t xml:space="preserve">, </w:t>
      </w:r>
      <w:hyperlink r:id="rId11" w:history="1">
        <w:r w:rsidR="008867B9" w:rsidRPr="00F9152F">
          <w:rPr>
            <w:rStyle w:val="Hyperlink"/>
            <w:rFonts w:ascii="Times New Roman" w:hAnsi="Times New Roman" w:cs="Times New Roman"/>
            <w:sz w:val="20"/>
            <w:szCs w:val="20"/>
          </w:rPr>
          <w:t>Gunvaldis.Davidovics@fm.gov.lv</w:t>
        </w:r>
      </w:hyperlink>
      <w:r w:rsidRPr="00F9152F">
        <w:rPr>
          <w:rFonts w:ascii="Times New Roman" w:hAnsi="Times New Roman" w:cs="Times New Roman"/>
          <w:sz w:val="20"/>
          <w:szCs w:val="20"/>
        </w:rPr>
        <w:t xml:space="preserve"> </w:t>
      </w:r>
    </w:p>
    <w:sectPr w:rsidR="00614A9A" w:rsidRPr="00F9152F" w:rsidSect="00720A63">
      <w:headerReference w:type="default" r:id="rId12"/>
      <w:footerReference w:type="default" r:id="rId13"/>
      <w:footerReference w:type="first" r:id="rId14"/>
      <w:pgSz w:w="16838" w:h="11906" w:orient="landscape"/>
      <w:pgMar w:top="1152" w:right="821" w:bottom="864"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62E5" w14:textId="77777777" w:rsidR="00CF79DC" w:rsidRDefault="00CF79DC" w:rsidP="003A0F64">
      <w:pPr>
        <w:spacing w:after="0" w:line="240" w:lineRule="auto"/>
      </w:pPr>
      <w:r>
        <w:separator/>
      </w:r>
    </w:p>
  </w:endnote>
  <w:endnote w:type="continuationSeparator" w:id="0">
    <w:p w14:paraId="2EE94084" w14:textId="77777777" w:rsidR="00CF79DC" w:rsidRDefault="00CF79DC"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520C" w14:textId="77777777" w:rsidR="00CA5BFC" w:rsidRPr="00F66122" w:rsidRDefault="000A2DF6" w:rsidP="0095381B">
    <w:pPr>
      <w:pStyle w:val="Footer"/>
      <w:tabs>
        <w:tab w:val="clear" w:pos="4153"/>
        <w:tab w:val="clear" w:pos="8306"/>
        <w:tab w:val="left" w:pos="1860"/>
        <w:tab w:val="left" w:pos="4230"/>
      </w:tabs>
      <w:rPr>
        <w:sz w:val="20"/>
      </w:rPr>
    </w:pPr>
    <w:fldSimple w:instr=" FILENAME   \* MERGEFORMAT ">
      <w:r w:rsidR="002A4440" w:rsidRPr="002A4440">
        <w:rPr>
          <w:noProof/>
          <w:sz w:val="20"/>
        </w:rPr>
        <w:t>FMIzz_180820_IIPKFDL.docx</w:t>
      </w:r>
    </w:fldSimple>
    <w:r w:rsidR="00CA5BFC">
      <w:rPr>
        <w:sz w:val="20"/>
      </w:rPr>
      <w:tab/>
    </w:r>
    <w:r w:rsidR="00CA5BFC">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7357" w14:textId="58A34F4C" w:rsidR="00720A63" w:rsidRDefault="00CF79DC">
    <w:pPr>
      <w:pStyle w:val="Footer"/>
    </w:pPr>
    <w:r>
      <w:fldChar w:fldCharType="begin"/>
    </w:r>
    <w:r>
      <w:instrText xml:space="preserve"> FILENAME   \* MERGEFORMAT </w:instrText>
    </w:r>
    <w:r>
      <w:fldChar w:fldCharType="separate"/>
    </w:r>
    <w:r w:rsidR="00720A63" w:rsidRPr="002A4440">
      <w:rPr>
        <w:noProof/>
        <w:sz w:val="20"/>
      </w:rPr>
      <w:t>FMIzz_180820_IIPKFDL.docx</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1D85" w14:textId="77777777" w:rsidR="00CF79DC" w:rsidRDefault="00CF79DC" w:rsidP="003A0F64">
      <w:pPr>
        <w:spacing w:after="0" w:line="240" w:lineRule="auto"/>
      </w:pPr>
      <w:r>
        <w:separator/>
      </w:r>
    </w:p>
  </w:footnote>
  <w:footnote w:type="continuationSeparator" w:id="0">
    <w:p w14:paraId="5834DAB0" w14:textId="77777777" w:rsidR="00CF79DC" w:rsidRDefault="00CF79DC" w:rsidP="003A0F64">
      <w:pPr>
        <w:spacing w:after="0" w:line="240" w:lineRule="auto"/>
      </w:pPr>
      <w:r>
        <w:continuationSeparator/>
      </w:r>
    </w:p>
  </w:footnote>
  <w:footnote w:id="1">
    <w:p w14:paraId="34F12454" w14:textId="77777777" w:rsidR="00CA5BFC" w:rsidRPr="00994F0A" w:rsidRDefault="00CA5BFC" w:rsidP="00AC4D0C">
      <w:pPr>
        <w:pStyle w:val="FootnoteText"/>
        <w:rPr>
          <w:lang w:val="en-US"/>
        </w:rPr>
      </w:pPr>
      <w:r>
        <w:rPr>
          <w:rStyle w:val="FootnoteReference"/>
        </w:rPr>
        <w:footnoteRef/>
      </w:r>
      <w:r>
        <w:t xml:space="preserve"> </w:t>
      </w:r>
      <w:hyperlink r:id="rId1" w:history="1">
        <w:r>
          <w:rPr>
            <w:rStyle w:val="Hyperlink"/>
          </w:rPr>
          <w:t>https://eur-lex.europa.eu/LexUriServ/LexUriServ.do?uri=OJ:L:2003:124:0036:0041:en:PDF</w:t>
        </w:r>
      </w:hyperlink>
    </w:p>
  </w:footnote>
  <w:footnote w:id="2">
    <w:p w14:paraId="220B7A18" w14:textId="77777777" w:rsidR="00CA5BFC" w:rsidRPr="00AC4D0C" w:rsidRDefault="00CA5BFC" w:rsidP="00AC4D0C">
      <w:pPr>
        <w:pStyle w:val="FootnoteText"/>
        <w:rPr>
          <w:sz w:val="16"/>
          <w:szCs w:val="16"/>
        </w:rPr>
      </w:pPr>
      <w:r w:rsidRPr="00AC4D0C">
        <w:rPr>
          <w:rStyle w:val="FootnoteReference"/>
          <w:sz w:val="16"/>
          <w:szCs w:val="16"/>
        </w:rPr>
        <w:footnoteRef/>
      </w:r>
      <w:r w:rsidRPr="00AC4D0C">
        <w:rPr>
          <w:sz w:val="16"/>
          <w:szCs w:val="16"/>
        </w:rPr>
        <w:t xml:space="preserve"> Professor of Law and Director of the Institute on Chinese Law &amp; Business, St. Mary’s University, San Antonio, Texas. B.A., St. Vincent College; J.D., University of Notre Dame; LL.M., Yale University; LL.M. candidate, London School of Economics and Political Science (“LSE”). The author gratefully acknowledges the insights into this topic that he gained in Dr. Philipp Paech’s course on International Financial Law and Practice in the LSE Executive LL.M. Programme.</w:t>
      </w:r>
    </w:p>
  </w:footnote>
  <w:footnote w:id="3">
    <w:p w14:paraId="2D57B174" w14:textId="77777777" w:rsidR="00CA5BFC" w:rsidRPr="00AC4D0C" w:rsidRDefault="00CA5BFC" w:rsidP="00AC4D0C">
      <w:pPr>
        <w:pStyle w:val="FootnoteText"/>
        <w:rPr>
          <w:sz w:val="16"/>
          <w:szCs w:val="16"/>
        </w:rPr>
      </w:pPr>
      <w:r w:rsidRPr="00AC4D0C">
        <w:rPr>
          <w:rStyle w:val="FootnoteReference"/>
          <w:sz w:val="16"/>
          <w:szCs w:val="16"/>
        </w:rPr>
        <w:footnoteRef/>
      </w:r>
      <w:r w:rsidRPr="00AC4D0C">
        <w:rPr>
          <w:sz w:val="16"/>
          <w:szCs w:val="16"/>
        </w:rPr>
        <w:t xml:space="preserve"> </w:t>
      </w:r>
      <w:hyperlink r:id="rId2" w:history="1">
        <w:r w:rsidRPr="00AC4D0C">
          <w:rPr>
            <w:rStyle w:val="Hyperlink"/>
            <w:sz w:val="16"/>
            <w:szCs w:val="16"/>
          </w:rPr>
          <w:t>https://www.bu.edu/ilj/files/2015/04/Johnson-The-Case-against-Close-out-Netting.pdf</w:t>
        </w:r>
      </w:hyperlink>
    </w:p>
  </w:footnote>
  <w:footnote w:id="4">
    <w:p w14:paraId="183F749A" w14:textId="77777777" w:rsidR="00CA5BFC" w:rsidRPr="00AC4D0C" w:rsidRDefault="00CA5BFC" w:rsidP="00AC4D0C">
      <w:pPr>
        <w:pStyle w:val="FootnoteText"/>
        <w:rPr>
          <w:i/>
          <w:sz w:val="16"/>
          <w:szCs w:val="16"/>
        </w:rPr>
      </w:pPr>
      <w:r w:rsidRPr="00AC4D0C">
        <w:rPr>
          <w:rStyle w:val="FootnoteReference"/>
          <w:sz w:val="16"/>
          <w:szCs w:val="16"/>
        </w:rPr>
        <w:footnoteRef/>
      </w:r>
      <w:r w:rsidRPr="00AC4D0C">
        <w:rPr>
          <w:sz w:val="16"/>
          <w:szCs w:val="16"/>
        </w:rPr>
        <w:t xml:space="preserve"> </w:t>
      </w:r>
      <w:r w:rsidRPr="00AC4D0C">
        <w:rPr>
          <w:i/>
          <w:sz w:val="16"/>
          <w:szCs w:val="16"/>
        </w:rPr>
        <w:t>"(..)Despite the role that close-out netting plays in minimizing credit risk and systemic risk, it is still unclear whether the benefits of close-out netting outweigh the costs. This is true because close-out netting allows risk-takers to externalize the costs of their activities to innocent third persons. The close-out netting process also lacks transparency, operates inconsistently, disparately impacts participants in financial transactions, and creates systemic risk by accelerating insolvency and impeding the rescue of troubled institutions."</w:t>
      </w:r>
    </w:p>
    <w:p w14:paraId="5568FA08" w14:textId="77777777" w:rsidR="00CA5BFC" w:rsidRPr="00AC4D0C" w:rsidRDefault="00CA5BFC" w:rsidP="00AC4D0C">
      <w:pPr>
        <w:pStyle w:val="FootnoteText"/>
        <w:rPr>
          <w:i/>
          <w:sz w:val="16"/>
          <w:szCs w:val="16"/>
        </w:rPr>
      </w:pPr>
      <w:r w:rsidRPr="00AC4D0C">
        <w:rPr>
          <w:i/>
          <w:sz w:val="16"/>
          <w:szCs w:val="16"/>
        </w:rPr>
        <w:t>"(..) The strongest argument against close-out netting is that the process does little or nothing to minimize the risks that large-scale financial transactions create; rather, close-out netting merely shifts those risks to other persons who have no choice in the matter."</w:t>
      </w:r>
    </w:p>
    <w:p w14:paraId="374CE6B0" w14:textId="77777777" w:rsidR="00CA5BFC" w:rsidRPr="00AC4D0C" w:rsidRDefault="00CA5BFC" w:rsidP="00AC4D0C">
      <w:pPr>
        <w:pStyle w:val="FootnoteText"/>
        <w:rPr>
          <w:i/>
          <w:sz w:val="16"/>
          <w:szCs w:val="16"/>
        </w:rPr>
      </w:pPr>
      <w:r w:rsidRPr="00AC4D0C">
        <w:rPr>
          <w:i/>
          <w:sz w:val="16"/>
          <w:szCs w:val="16"/>
        </w:rPr>
        <w:t>"(..) In fact, those transactions create numerous other risks, including the risk that persons outside the transactions, who otherwise deal with those parties, will be adversely affected if the transactions fail"</w:t>
      </w:r>
    </w:p>
    <w:p w14:paraId="1C3AC95A" w14:textId="77777777" w:rsidR="00CA5BFC" w:rsidRPr="00AC4D0C" w:rsidRDefault="00CA5BFC" w:rsidP="00AC4D0C">
      <w:pPr>
        <w:pStyle w:val="FootnoteText"/>
        <w:rPr>
          <w:i/>
          <w:sz w:val="16"/>
          <w:szCs w:val="16"/>
        </w:rPr>
      </w:pPr>
      <w:r w:rsidRPr="00AC4D0C">
        <w:rPr>
          <w:i/>
          <w:sz w:val="16"/>
          <w:szCs w:val="16"/>
        </w:rPr>
        <w:t>"(..) Under basic principles of tort jurisprudence, enterprises should be forced to internalize the costs of their activities because only then will those enterprises make an honest calculation of whether risky activities—such as transactions involving credit derivatives and asset-backed securities—are truly worthwhile. It makes little sense for the law to allow financial institutions to create instruments that entail substantial risks and, at the same time, immunize those institutions from the very bundle of risks that they have created while leaving nonparties vulnerable.</w:t>
      </w:r>
    </w:p>
    <w:p w14:paraId="164B4C40" w14:textId="77777777" w:rsidR="00CA5BFC" w:rsidRPr="00AC4D0C" w:rsidRDefault="00CA5BFC" w:rsidP="00AC4D0C">
      <w:pPr>
        <w:pStyle w:val="FootnoteText"/>
        <w:rPr>
          <w:i/>
          <w:sz w:val="16"/>
          <w:szCs w:val="16"/>
        </w:rPr>
      </w:pPr>
      <w:r w:rsidRPr="00AC4D0C">
        <w:rPr>
          <w:i/>
          <w:sz w:val="16"/>
          <w:szCs w:val="16"/>
        </w:rPr>
        <w:t>The institutions that are likely to benefit from marketing a bewilderingly complex array of risky financial products should be required to bear a fair share of the risks and the resulting losses. However, close-out netting severs the critical link between potential benefits and potential losses. This disconnection not only threatens to distort major players’ exercise of judgment in the financial markets, but also unfairly thrusts the costs of risky financial practices on unwitting general creditors who will never enjoy a fair share of the potential benefits and have no say in the transfer of risk. The way to mitigate the frequency and severity of future financial crises is to put “risk back into the private sector.” Far from doing that, closeout netting increases the likelihood that future crises will occur and cause unnecessary losses by disconnecting the potential for profit from the potential for loss in financial transactions that often involve vast amounts of money."</w:t>
      </w:r>
    </w:p>
    <w:p w14:paraId="61B902D2" w14:textId="77777777" w:rsidR="00CA5BFC" w:rsidRPr="00AC4D0C" w:rsidRDefault="00CA5BFC" w:rsidP="00AC4D0C">
      <w:pPr>
        <w:pStyle w:val="FootnoteText"/>
        <w:rPr>
          <w:i/>
          <w:sz w:val="16"/>
          <w:szCs w:val="16"/>
        </w:rPr>
      </w:pPr>
      <w:r w:rsidRPr="00AC4D0C">
        <w:rPr>
          <w:i/>
          <w:sz w:val="16"/>
          <w:szCs w:val="16"/>
        </w:rPr>
        <w:t>"(..) Close-out netting disproportionately favors large institutions. (..) In contrast, non-financial corporate entities are eligible only in certain cases. Even if small institutions qualify for the favored treatment of close-out netting under insolvency laws, the transactional costs are often so prohibitive as to effectively exclude them."</w:t>
      </w:r>
    </w:p>
    <w:p w14:paraId="11AE2EC0" w14:textId="77777777" w:rsidR="00CA5BFC" w:rsidRPr="00CA1117" w:rsidRDefault="00CA5BFC" w:rsidP="00AC4D0C">
      <w:pPr>
        <w:pStyle w:val="FootnoteText"/>
      </w:pPr>
      <w:r w:rsidRPr="00AC4D0C">
        <w:rPr>
          <w:i/>
          <w:sz w:val="16"/>
          <w:szCs w:val="16"/>
        </w:rPr>
        <w:t>"(..) It is possible to defend the close-out netting eligibility requirements that favor large institutions on the ground that it is large institutions, not small ones, whose potential failure poses the greatest threat to the financial system</w:t>
      </w:r>
      <w:r w:rsidRPr="00AC4D0C">
        <w:rPr>
          <w:sz w:val="16"/>
          <w:szCs w:val="16"/>
        </w:rPr>
        <w:t>."</w:t>
      </w:r>
    </w:p>
  </w:footnote>
  <w:footnote w:id="5">
    <w:p w14:paraId="624423E9" w14:textId="77777777" w:rsidR="00CA5BFC" w:rsidRPr="00994F0A" w:rsidRDefault="00CA5BFC" w:rsidP="00AC4D0C">
      <w:pPr>
        <w:pStyle w:val="FootnoteText"/>
        <w:rPr>
          <w:sz w:val="18"/>
          <w:szCs w:val="18"/>
        </w:rPr>
      </w:pPr>
      <w:r w:rsidRPr="00994F0A">
        <w:rPr>
          <w:rStyle w:val="FootnoteReference"/>
          <w:sz w:val="18"/>
          <w:szCs w:val="18"/>
        </w:rPr>
        <w:footnoteRef/>
      </w:r>
      <w:r w:rsidRPr="00994F0A">
        <w:rPr>
          <w:sz w:val="18"/>
          <w:szCs w:val="18"/>
        </w:rPr>
        <w:t xml:space="preserve"> </w:t>
      </w:r>
      <w:hyperlink r:id="rId3" w:history="1">
        <w:r w:rsidRPr="00994F0A">
          <w:rPr>
            <w:rStyle w:val="Hyperlink"/>
            <w:sz w:val="18"/>
            <w:szCs w:val="18"/>
          </w:rPr>
          <w:t>https://www.esrb.europa.eu/pub/pdf/occasional/20130917_occasional_paper_4.pdf</w:t>
        </w:r>
      </w:hyperlink>
    </w:p>
  </w:footnote>
  <w:footnote w:id="6">
    <w:p w14:paraId="6B228945" w14:textId="77777777" w:rsidR="00CA5BFC" w:rsidRPr="00994F0A" w:rsidRDefault="00CA5BFC" w:rsidP="00AC4D0C">
      <w:pPr>
        <w:pStyle w:val="FootnoteText"/>
        <w:rPr>
          <w:i/>
          <w:sz w:val="18"/>
          <w:szCs w:val="18"/>
        </w:rPr>
      </w:pPr>
      <w:r w:rsidRPr="00994F0A">
        <w:rPr>
          <w:rStyle w:val="FootnoteReference"/>
          <w:sz w:val="18"/>
          <w:szCs w:val="18"/>
        </w:rPr>
        <w:footnoteRef/>
      </w:r>
      <w:r w:rsidRPr="00994F0A">
        <w:rPr>
          <w:sz w:val="18"/>
          <w:szCs w:val="18"/>
        </w:rPr>
        <w:t xml:space="preserve">(...) </w:t>
      </w:r>
      <w:r w:rsidRPr="00994F0A">
        <w:rPr>
          <w:i/>
          <w:sz w:val="18"/>
          <w:szCs w:val="18"/>
        </w:rPr>
        <w:t xml:space="preserve">On the other hand, </w:t>
      </w:r>
      <w:r w:rsidRPr="00994F0A">
        <w:rPr>
          <w:b/>
          <w:i/>
          <w:sz w:val="18"/>
          <w:szCs w:val="18"/>
        </w:rPr>
        <w:t>close-out netting may incur general systemic risk and cause uncertainty within the financial markets</w:t>
      </w:r>
      <w:r w:rsidRPr="00994F0A">
        <w:rPr>
          <w:i/>
          <w:sz w:val="18"/>
          <w:szCs w:val="18"/>
        </w:rPr>
        <w:t xml:space="preserve">. Close-out netting contains contagion through the CDS channel, </w:t>
      </w:r>
      <w:r w:rsidRPr="00994F0A">
        <w:rPr>
          <w:b/>
          <w:i/>
          <w:sz w:val="18"/>
          <w:szCs w:val="18"/>
        </w:rPr>
        <w:t>but interacts with the seniority of other debtors in the event of a bank default.</w:t>
      </w:r>
      <w:r w:rsidRPr="00994F0A">
        <w:rPr>
          <w:i/>
          <w:sz w:val="18"/>
          <w:szCs w:val="18"/>
        </w:rPr>
        <w:t xml:space="preserve"> Consequently, if a bank is perceived to be near default, there is an incentive to trade with this institution via derivatives, rather than providing any kind of funding. </w:t>
      </w:r>
      <w:r w:rsidRPr="00994F0A">
        <w:rPr>
          <w:b/>
          <w:i/>
          <w:sz w:val="18"/>
          <w:szCs w:val="18"/>
        </w:rPr>
        <w:t>This may increase the cost of funding dramatically and drive the institution towards insolvency.</w:t>
      </w:r>
      <w:r w:rsidRPr="00994F0A">
        <w:rPr>
          <w:i/>
          <w:sz w:val="18"/>
          <w:szCs w:val="18"/>
        </w:rPr>
        <w:t xml:space="preserve"> In that case, senior bondholders, deposit guarantee schemes and uncovered depositors will all </w:t>
      </w:r>
      <w:r w:rsidRPr="00994F0A">
        <w:rPr>
          <w:b/>
          <w:i/>
          <w:sz w:val="18"/>
          <w:szCs w:val="18"/>
        </w:rPr>
        <w:t>face a situation where there are fewer assets to repay their claims.</w:t>
      </w:r>
      <w:r w:rsidRPr="00994F0A">
        <w:rPr>
          <w:i/>
          <w:sz w:val="18"/>
          <w:szCs w:val="18"/>
        </w:rPr>
        <w:t xml:space="preserve"> If these senior bondholders are other financial institutions, it may also </w:t>
      </w:r>
      <w:r w:rsidRPr="00994F0A">
        <w:rPr>
          <w:b/>
          <w:i/>
          <w:sz w:val="18"/>
          <w:szCs w:val="18"/>
        </w:rPr>
        <w:t>generate unintended contagion, financial instability and uncertainty</w:t>
      </w:r>
      <w:r w:rsidRPr="00994F0A">
        <w:rPr>
          <w:i/>
          <w:sz w:val="18"/>
          <w:szCs w:val="18"/>
        </w:rPr>
        <w:t xml:space="preserve"> as the rate of recovery on any investment is unclear. </w:t>
      </w:r>
    </w:p>
    <w:p w14:paraId="26F8FDED" w14:textId="77777777" w:rsidR="00CA5BFC" w:rsidRPr="00994F0A" w:rsidRDefault="00CA5BFC" w:rsidP="00AC4D0C">
      <w:pPr>
        <w:pStyle w:val="FootnoteText"/>
        <w:rPr>
          <w:i/>
          <w:sz w:val="18"/>
          <w:szCs w:val="18"/>
          <w:lang w:val="en-US"/>
        </w:rPr>
      </w:pPr>
      <w:r w:rsidRPr="00994F0A">
        <w:rPr>
          <w:i/>
          <w:sz w:val="18"/>
          <w:szCs w:val="18"/>
        </w:rPr>
        <w:t xml:space="preserve">(...) Despite close-out netting, there </w:t>
      </w:r>
      <w:r w:rsidRPr="00994F0A">
        <w:rPr>
          <w:b/>
          <w:i/>
          <w:sz w:val="18"/>
          <w:szCs w:val="18"/>
        </w:rPr>
        <w:t>may still be some sort of asymmetry between derivatives payable and receivable.</w:t>
      </w:r>
      <w:r w:rsidRPr="00994F0A">
        <w:rPr>
          <w:i/>
          <w:sz w:val="18"/>
          <w:szCs w:val="18"/>
        </w:rPr>
        <w:t xml:space="preserve"> Already when market participants are in distress, their counterparties will tend to try to terminate the contracts that are in their favour and will leave the other contracts in place. This means that when there is serious market stress or when there is a significant decrease of creditworthiness of a single party, </w:t>
      </w:r>
      <w:r w:rsidRPr="00994F0A">
        <w:rPr>
          <w:b/>
          <w:i/>
          <w:sz w:val="18"/>
          <w:szCs w:val="18"/>
        </w:rPr>
        <w:t>derivatives payable may underestimate the true risks</w:t>
      </w:r>
      <w:r w:rsidRPr="00994F0A">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145C" w14:textId="1397029D" w:rsidR="00CA5BFC" w:rsidRDefault="006605ED">
    <w:pPr>
      <w:pStyle w:val="Header"/>
      <w:jc w:val="center"/>
    </w:pPr>
    <w:r>
      <w:fldChar w:fldCharType="begin"/>
    </w:r>
    <w:r w:rsidR="006217D7">
      <w:instrText xml:space="preserve"> PAGE   \* MERGEFORMAT </w:instrText>
    </w:r>
    <w:r>
      <w:fldChar w:fldCharType="separate"/>
    </w:r>
    <w:r w:rsidR="00E66C17">
      <w:rPr>
        <w:noProof/>
      </w:rPr>
      <w:t>2</w:t>
    </w:r>
    <w:r>
      <w:rPr>
        <w:noProof/>
      </w:rPr>
      <w:fldChar w:fldCharType="end"/>
    </w:r>
  </w:p>
  <w:p w14:paraId="6655FB57" w14:textId="77777777" w:rsidR="00CA5BFC" w:rsidRDefault="00CA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4554AF"/>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84C19"/>
    <w:multiLevelType w:val="hybridMultilevel"/>
    <w:tmpl w:val="4640526E"/>
    <w:lvl w:ilvl="0" w:tplc="AFFAB170">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1335077"/>
    <w:multiLevelType w:val="hybridMultilevel"/>
    <w:tmpl w:val="0BB0B4BE"/>
    <w:lvl w:ilvl="0" w:tplc="DF5C8ACA">
      <w:start w:val="1"/>
      <w:numFmt w:val="bullet"/>
      <w:lvlText w:val="-"/>
      <w:lvlJc w:val="left"/>
      <w:pPr>
        <w:ind w:left="1080" w:hanging="360"/>
      </w:pPr>
      <w:rPr>
        <w:rFonts w:ascii="Calibri" w:eastAsia="Calibri"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0"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650027"/>
    <w:multiLevelType w:val="hybridMultilevel"/>
    <w:tmpl w:val="E84651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A587A98"/>
    <w:multiLevelType w:val="hybridMultilevel"/>
    <w:tmpl w:val="A518079E"/>
    <w:lvl w:ilvl="0" w:tplc="691E4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9"/>
  </w:num>
  <w:num w:numId="5">
    <w:abstractNumId w:val="14"/>
  </w:num>
  <w:num w:numId="6">
    <w:abstractNumId w:val="11"/>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7"/>
  </w:num>
  <w:num w:numId="12">
    <w:abstractNumId w:val="0"/>
  </w:num>
  <w:num w:numId="13">
    <w:abstractNumId w:val="7"/>
  </w:num>
  <w:num w:numId="14">
    <w:abstractNumId w:val="6"/>
  </w:num>
  <w:num w:numId="15">
    <w:abstractNumId w:val="4"/>
  </w:num>
  <w:num w:numId="16">
    <w:abstractNumId w:val="1"/>
  </w:num>
  <w:num w:numId="17">
    <w:abstractNumId w:val="16"/>
  </w:num>
  <w:num w:numId="18">
    <w:abstractNumId w:val="3"/>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1C1"/>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377E"/>
    <w:rsid w:val="000440AD"/>
    <w:rsid w:val="00044557"/>
    <w:rsid w:val="00045B37"/>
    <w:rsid w:val="00045C75"/>
    <w:rsid w:val="00047E7B"/>
    <w:rsid w:val="0005115E"/>
    <w:rsid w:val="00051883"/>
    <w:rsid w:val="000544C0"/>
    <w:rsid w:val="00054B74"/>
    <w:rsid w:val="000565A6"/>
    <w:rsid w:val="0005797F"/>
    <w:rsid w:val="00062272"/>
    <w:rsid w:val="0006235E"/>
    <w:rsid w:val="00062702"/>
    <w:rsid w:val="000630C5"/>
    <w:rsid w:val="00063B77"/>
    <w:rsid w:val="000642CA"/>
    <w:rsid w:val="000657C1"/>
    <w:rsid w:val="00065AC7"/>
    <w:rsid w:val="000661D9"/>
    <w:rsid w:val="00067911"/>
    <w:rsid w:val="00070EA0"/>
    <w:rsid w:val="0007183A"/>
    <w:rsid w:val="0007212A"/>
    <w:rsid w:val="00072558"/>
    <w:rsid w:val="0007292A"/>
    <w:rsid w:val="00073EA9"/>
    <w:rsid w:val="0007514E"/>
    <w:rsid w:val="00075666"/>
    <w:rsid w:val="000757A0"/>
    <w:rsid w:val="00081ABA"/>
    <w:rsid w:val="000821FA"/>
    <w:rsid w:val="00082A4B"/>
    <w:rsid w:val="00082C90"/>
    <w:rsid w:val="00085007"/>
    <w:rsid w:val="000850C8"/>
    <w:rsid w:val="00085B3E"/>
    <w:rsid w:val="00086627"/>
    <w:rsid w:val="000869D8"/>
    <w:rsid w:val="00086A01"/>
    <w:rsid w:val="00087A9D"/>
    <w:rsid w:val="000902C7"/>
    <w:rsid w:val="00091A67"/>
    <w:rsid w:val="00091D99"/>
    <w:rsid w:val="00092D7E"/>
    <w:rsid w:val="00093CFC"/>
    <w:rsid w:val="00094919"/>
    <w:rsid w:val="000966F8"/>
    <w:rsid w:val="00097F38"/>
    <w:rsid w:val="000A00C2"/>
    <w:rsid w:val="000A2DF6"/>
    <w:rsid w:val="000A3B3C"/>
    <w:rsid w:val="000A514A"/>
    <w:rsid w:val="000A58A5"/>
    <w:rsid w:val="000B1513"/>
    <w:rsid w:val="000B2084"/>
    <w:rsid w:val="000B3145"/>
    <w:rsid w:val="000B6293"/>
    <w:rsid w:val="000B7F63"/>
    <w:rsid w:val="000C04D5"/>
    <w:rsid w:val="000C0829"/>
    <w:rsid w:val="000C0E26"/>
    <w:rsid w:val="000C2916"/>
    <w:rsid w:val="000C2B97"/>
    <w:rsid w:val="000C3CDB"/>
    <w:rsid w:val="000C4A2F"/>
    <w:rsid w:val="000C7329"/>
    <w:rsid w:val="000D1B4A"/>
    <w:rsid w:val="000D653D"/>
    <w:rsid w:val="000D66E6"/>
    <w:rsid w:val="000D6EBF"/>
    <w:rsid w:val="000D7ED3"/>
    <w:rsid w:val="000E0B1D"/>
    <w:rsid w:val="000E106B"/>
    <w:rsid w:val="000E1C18"/>
    <w:rsid w:val="000E1C58"/>
    <w:rsid w:val="000E1CA3"/>
    <w:rsid w:val="000E3ACC"/>
    <w:rsid w:val="000E3ED8"/>
    <w:rsid w:val="000E6359"/>
    <w:rsid w:val="000E710D"/>
    <w:rsid w:val="000E792C"/>
    <w:rsid w:val="000E7970"/>
    <w:rsid w:val="000F0461"/>
    <w:rsid w:val="000F161C"/>
    <w:rsid w:val="000F35F9"/>
    <w:rsid w:val="000F3FAD"/>
    <w:rsid w:val="000F3FD7"/>
    <w:rsid w:val="000F5839"/>
    <w:rsid w:val="000F5E06"/>
    <w:rsid w:val="000F6088"/>
    <w:rsid w:val="000F6D0F"/>
    <w:rsid w:val="000F6DC5"/>
    <w:rsid w:val="000F7939"/>
    <w:rsid w:val="0010017F"/>
    <w:rsid w:val="00102989"/>
    <w:rsid w:val="00106649"/>
    <w:rsid w:val="00106DE8"/>
    <w:rsid w:val="00107345"/>
    <w:rsid w:val="00107644"/>
    <w:rsid w:val="00107F48"/>
    <w:rsid w:val="00110561"/>
    <w:rsid w:val="0011191B"/>
    <w:rsid w:val="0011331D"/>
    <w:rsid w:val="00113799"/>
    <w:rsid w:val="00114194"/>
    <w:rsid w:val="0011456C"/>
    <w:rsid w:val="00116F6A"/>
    <w:rsid w:val="001178CA"/>
    <w:rsid w:val="001217A7"/>
    <w:rsid w:val="00122FD9"/>
    <w:rsid w:val="00124809"/>
    <w:rsid w:val="0012591F"/>
    <w:rsid w:val="001302AE"/>
    <w:rsid w:val="001318E8"/>
    <w:rsid w:val="00133256"/>
    <w:rsid w:val="001333AA"/>
    <w:rsid w:val="001334B3"/>
    <w:rsid w:val="00136A24"/>
    <w:rsid w:val="00137304"/>
    <w:rsid w:val="001406A8"/>
    <w:rsid w:val="001407C1"/>
    <w:rsid w:val="00141AA2"/>
    <w:rsid w:val="00141E33"/>
    <w:rsid w:val="00141E46"/>
    <w:rsid w:val="001420BE"/>
    <w:rsid w:val="00144377"/>
    <w:rsid w:val="00144F85"/>
    <w:rsid w:val="00145700"/>
    <w:rsid w:val="001517CD"/>
    <w:rsid w:val="00153401"/>
    <w:rsid w:val="001536A4"/>
    <w:rsid w:val="0015613E"/>
    <w:rsid w:val="00157742"/>
    <w:rsid w:val="00157818"/>
    <w:rsid w:val="0016151A"/>
    <w:rsid w:val="0016242F"/>
    <w:rsid w:val="00162B5F"/>
    <w:rsid w:val="00163694"/>
    <w:rsid w:val="00164E9E"/>
    <w:rsid w:val="00170174"/>
    <w:rsid w:val="0017079F"/>
    <w:rsid w:val="0017126A"/>
    <w:rsid w:val="00174428"/>
    <w:rsid w:val="00176AE3"/>
    <w:rsid w:val="00176D2C"/>
    <w:rsid w:val="00177A8A"/>
    <w:rsid w:val="00180FA4"/>
    <w:rsid w:val="00183CDD"/>
    <w:rsid w:val="00185B39"/>
    <w:rsid w:val="00187CF8"/>
    <w:rsid w:val="00191955"/>
    <w:rsid w:val="00191C7A"/>
    <w:rsid w:val="00191D88"/>
    <w:rsid w:val="00191D9F"/>
    <w:rsid w:val="0019374E"/>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C24FA"/>
    <w:rsid w:val="001C5DC4"/>
    <w:rsid w:val="001C5EEF"/>
    <w:rsid w:val="001C68F1"/>
    <w:rsid w:val="001C7A65"/>
    <w:rsid w:val="001D2424"/>
    <w:rsid w:val="001D255D"/>
    <w:rsid w:val="001D2E9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C55"/>
    <w:rsid w:val="00201CDC"/>
    <w:rsid w:val="00203B25"/>
    <w:rsid w:val="002042F9"/>
    <w:rsid w:val="00204E04"/>
    <w:rsid w:val="00204E3F"/>
    <w:rsid w:val="00204EB8"/>
    <w:rsid w:val="00206BC7"/>
    <w:rsid w:val="002078C0"/>
    <w:rsid w:val="00207D0D"/>
    <w:rsid w:val="00210573"/>
    <w:rsid w:val="002105A3"/>
    <w:rsid w:val="002127A7"/>
    <w:rsid w:val="00212A53"/>
    <w:rsid w:val="00212BAE"/>
    <w:rsid w:val="00216211"/>
    <w:rsid w:val="00220BC5"/>
    <w:rsid w:val="002217A5"/>
    <w:rsid w:val="00221B68"/>
    <w:rsid w:val="00222054"/>
    <w:rsid w:val="00223389"/>
    <w:rsid w:val="00224BBA"/>
    <w:rsid w:val="00225E19"/>
    <w:rsid w:val="00230539"/>
    <w:rsid w:val="00231143"/>
    <w:rsid w:val="0023141B"/>
    <w:rsid w:val="0023361D"/>
    <w:rsid w:val="00233F58"/>
    <w:rsid w:val="00236E42"/>
    <w:rsid w:val="00237F66"/>
    <w:rsid w:val="00242094"/>
    <w:rsid w:val="0024396C"/>
    <w:rsid w:val="0024488C"/>
    <w:rsid w:val="002454E4"/>
    <w:rsid w:val="00245E6E"/>
    <w:rsid w:val="002461B2"/>
    <w:rsid w:val="00247248"/>
    <w:rsid w:val="0024763B"/>
    <w:rsid w:val="00247BAF"/>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1858"/>
    <w:rsid w:val="002720F3"/>
    <w:rsid w:val="00272267"/>
    <w:rsid w:val="00274913"/>
    <w:rsid w:val="0027536B"/>
    <w:rsid w:val="00276883"/>
    <w:rsid w:val="00277164"/>
    <w:rsid w:val="00277910"/>
    <w:rsid w:val="00281A31"/>
    <w:rsid w:val="00282E2B"/>
    <w:rsid w:val="00282E95"/>
    <w:rsid w:val="0028353B"/>
    <w:rsid w:val="00283C4D"/>
    <w:rsid w:val="00285C51"/>
    <w:rsid w:val="00285FE2"/>
    <w:rsid w:val="00286D88"/>
    <w:rsid w:val="00287651"/>
    <w:rsid w:val="00291241"/>
    <w:rsid w:val="00291A7C"/>
    <w:rsid w:val="002A0DE6"/>
    <w:rsid w:val="002A4440"/>
    <w:rsid w:val="002A4955"/>
    <w:rsid w:val="002A61D5"/>
    <w:rsid w:val="002A704E"/>
    <w:rsid w:val="002A7878"/>
    <w:rsid w:val="002B1949"/>
    <w:rsid w:val="002B20F1"/>
    <w:rsid w:val="002B28E0"/>
    <w:rsid w:val="002B3DB2"/>
    <w:rsid w:val="002B5135"/>
    <w:rsid w:val="002B5646"/>
    <w:rsid w:val="002B7D4D"/>
    <w:rsid w:val="002C1589"/>
    <w:rsid w:val="002C27F5"/>
    <w:rsid w:val="002C3A79"/>
    <w:rsid w:val="002C4C90"/>
    <w:rsid w:val="002C51F4"/>
    <w:rsid w:val="002C5B3D"/>
    <w:rsid w:val="002C7BB3"/>
    <w:rsid w:val="002D0EA2"/>
    <w:rsid w:val="002D1A6E"/>
    <w:rsid w:val="002D23C7"/>
    <w:rsid w:val="002D52B8"/>
    <w:rsid w:val="002D5A4D"/>
    <w:rsid w:val="002D5C5F"/>
    <w:rsid w:val="002E0113"/>
    <w:rsid w:val="002E023D"/>
    <w:rsid w:val="002E0A02"/>
    <w:rsid w:val="002E0E19"/>
    <w:rsid w:val="002E1134"/>
    <w:rsid w:val="002E1D87"/>
    <w:rsid w:val="002E2F03"/>
    <w:rsid w:val="002E324F"/>
    <w:rsid w:val="002E36E6"/>
    <w:rsid w:val="002E4D35"/>
    <w:rsid w:val="002E59B7"/>
    <w:rsid w:val="002F2399"/>
    <w:rsid w:val="002F31A8"/>
    <w:rsid w:val="002F3470"/>
    <w:rsid w:val="002F3D28"/>
    <w:rsid w:val="002F4727"/>
    <w:rsid w:val="002F57E7"/>
    <w:rsid w:val="002F5D9C"/>
    <w:rsid w:val="00301231"/>
    <w:rsid w:val="0030306B"/>
    <w:rsid w:val="0030344D"/>
    <w:rsid w:val="003063C1"/>
    <w:rsid w:val="00306A91"/>
    <w:rsid w:val="003108FC"/>
    <w:rsid w:val="0031277A"/>
    <w:rsid w:val="00314EA3"/>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24FBC"/>
    <w:rsid w:val="00326D1D"/>
    <w:rsid w:val="00330CF9"/>
    <w:rsid w:val="0033143A"/>
    <w:rsid w:val="0033336C"/>
    <w:rsid w:val="00334629"/>
    <w:rsid w:val="00334B60"/>
    <w:rsid w:val="003370C7"/>
    <w:rsid w:val="00337DAC"/>
    <w:rsid w:val="00340A2B"/>
    <w:rsid w:val="00345ED9"/>
    <w:rsid w:val="00347533"/>
    <w:rsid w:val="00347F90"/>
    <w:rsid w:val="003525A6"/>
    <w:rsid w:val="00352A82"/>
    <w:rsid w:val="00352A8E"/>
    <w:rsid w:val="00354EB2"/>
    <w:rsid w:val="00355939"/>
    <w:rsid w:val="00356C65"/>
    <w:rsid w:val="003631EE"/>
    <w:rsid w:val="0036433B"/>
    <w:rsid w:val="00364B78"/>
    <w:rsid w:val="003657D6"/>
    <w:rsid w:val="00365C75"/>
    <w:rsid w:val="00366FDC"/>
    <w:rsid w:val="00370670"/>
    <w:rsid w:val="00370A1F"/>
    <w:rsid w:val="00370E5E"/>
    <w:rsid w:val="00372B82"/>
    <w:rsid w:val="00373EC5"/>
    <w:rsid w:val="0037478B"/>
    <w:rsid w:val="00375F7D"/>
    <w:rsid w:val="00376221"/>
    <w:rsid w:val="003777FB"/>
    <w:rsid w:val="003811A2"/>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1D23"/>
    <w:rsid w:val="003A21A8"/>
    <w:rsid w:val="003A2FBC"/>
    <w:rsid w:val="003A384D"/>
    <w:rsid w:val="003A5018"/>
    <w:rsid w:val="003A5057"/>
    <w:rsid w:val="003A6A50"/>
    <w:rsid w:val="003A6CBD"/>
    <w:rsid w:val="003A6DE6"/>
    <w:rsid w:val="003A7509"/>
    <w:rsid w:val="003B191F"/>
    <w:rsid w:val="003B1A15"/>
    <w:rsid w:val="003B2A92"/>
    <w:rsid w:val="003B2BF5"/>
    <w:rsid w:val="003B4026"/>
    <w:rsid w:val="003B45DF"/>
    <w:rsid w:val="003B6361"/>
    <w:rsid w:val="003B7BF8"/>
    <w:rsid w:val="003C02D4"/>
    <w:rsid w:val="003C0BC2"/>
    <w:rsid w:val="003C19C8"/>
    <w:rsid w:val="003C2199"/>
    <w:rsid w:val="003C3455"/>
    <w:rsid w:val="003C408A"/>
    <w:rsid w:val="003C45B7"/>
    <w:rsid w:val="003C57E9"/>
    <w:rsid w:val="003C6BA5"/>
    <w:rsid w:val="003C7996"/>
    <w:rsid w:val="003D1CA2"/>
    <w:rsid w:val="003D33F2"/>
    <w:rsid w:val="003D4281"/>
    <w:rsid w:val="003D4AB0"/>
    <w:rsid w:val="003D739B"/>
    <w:rsid w:val="003D7474"/>
    <w:rsid w:val="003D7955"/>
    <w:rsid w:val="003D7C28"/>
    <w:rsid w:val="003E106A"/>
    <w:rsid w:val="003E10BA"/>
    <w:rsid w:val="003E15CB"/>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4963"/>
    <w:rsid w:val="003F5687"/>
    <w:rsid w:val="003F56E3"/>
    <w:rsid w:val="003F5F98"/>
    <w:rsid w:val="003F7052"/>
    <w:rsid w:val="003F7D8F"/>
    <w:rsid w:val="004029AA"/>
    <w:rsid w:val="00403930"/>
    <w:rsid w:val="004050BA"/>
    <w:rsid w:val="004059FD"/>
    <w:rsid w:val="00405C03"/>
    <w:rsid w:val="004101F0"/>
    <w:rsid w:val="00411035"/>
    <w:rsid w:val="00415117"/>
    <w:rsid w:val="004153CD"/>
    <w:rsid w:val="004168AA"/>
    <w:rsid w:val="00417060"/>
    <w:rsid w:val="00417D3D"/>
    <w:rsid w:val="0042154C"/>
    <w:rsid w:val="004221C2"/>
    <w:rsid w:val="004247FE"/>
    <w:rsid w:val="00430739"/>
    <w:rsid w:val="00434C96"/>
    <w:rsid w:val="00434E63"/>
    <w:rsid w:val="00437BCE"/>
    <w:rsid w:val="00443583"/>
    <w:rsid w:val="00446099"/>
    <w:rsid w:val="00446D63"/>
    <w:rsid w:val="004474A0"/>
    <w:rsid w:val="00447BBC"/>
    <w:rsid w:val="0045015E"/>
    <w:rsid w:val="00450931"/>
    <w:rsid w:val="00450C65"/>
    <w:rsid w:val="00451E91"/>
    <w:rsid w:val="00451EBA"/>
    <w:rsid w:val="00455240"/>
    <w:rsid w:val="004564E1"/>
    <w:rsid w:val="00457345"/>
    <w:rsid w:val="004576BE"/>
    <w:rsid w:val="00460511"/>
    <w:rsid w:val="00461FCB"/>
    <w:rsid w:val="00465678"/>
    <w:rsid w:val="00465D4C"/>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0447"/>
    <w:rsid w:val="004A1827"/>
    <w:rsid w:val="004A3921"/>
    <w:rsid w:val="004A490E"/>
    <w:rsid w:val="004A4CE9"/>
    <w:rsid w:val="004A61EB"/>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875"/>
    <w:rsid w:val="004D1A5B"/>
    <w:rsid w:val="004D66B7"/>
    <w:rsid w:val="004D7395"/>
    <w:rsid w:val="004D79A6"/>
    <w:rsid w:val="004D7CC5"/>
    <w:rsid w:val="004E1D8B"/>
    <w:rsid w:val="004E22DD"/>
    <w:rsid w:val="004E282D"/>
    <w:rsid w:val="004E35B1"/>
    <w:rsid w:val="004E36BD"/>
    <w:rsid w:val="004E43A0"/>
    <w:rsid w:val="004E568D"/>
    <w:rsid w:val="004E60BE"/>
    <w:rsid w:val="004E67CE"/>
    <w:rsid w:val="004F00AC"/>
    <w:rsid w:val="004F099C"/>
    <w:rsid w:val="004F0E53"/>
    <w:rsid w:val="004F300C"/>
    <w:rsid w:val="004F4034"/>
    <w:rsid w:val="004F517E"/>
    <w:rsid w:val="004F64B1"/>
    <w:rsid w:val="004F6704"/>
    <w:rsid w:val="004F7390"/>
    <w:rsid w:val="004F7986"/>
    <w:rsid w:val="00500C79"/>
    <w:rsid w:val="00503731"/>
    <w:rsid w:val="005046FE"/>
    <w:rsid w:val="005068CD"/>
    <w:rsid w:val="0050695F"/>
    <w:rsid w:val="00506B61"/>
    <w:rsid w:val="005074E0"/>
    <w:rsid w:val="0050777D"/>
    <w:rsid w:val="00510D04"/>
    <w:rsid w:val="00515BD8"/>
    <w:rsid w:val="00515E68"/>
    <w:rsid w:val="005216EF"/>
    <w:rsid w:val="005225B4"/>
    <w:rsid w:val="00522770"/>
    <w:rsid w:val="005229CE"/>
    <w:rsid w:val="00523C48"/>
    <w:rsid w:val="00524987"/>
    <w:rsid w:val="00525501"/>
    <w:rsid w:val="005267E6"/>
    <w:rsid w:val="00526D17"/>
    <w:rsid w:val="00527431"/>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62ADD"/>
    <w:rsid w:val="00562BD4"/>
    <w:rsid w:val="00563C44"/>
    <w:rsid w:val="005647A9"/>
    <w:rsid w:val="0056742D"/>
    <w:rsid w:val="00567CC1"/>
    <w:rsid w:val="00567CC8"/>
    <w:rsid w:val="00570619"/>
    <w:rsid w:val="00571F8E"/>
    <w:rsid w:val="0057381A"/>
    <w:rsid w:val="00573DFC"/>
    <w:rsid w:val="0057476E"/>
    <w:rsid w:val="00574AD4"/>
    <w:rsid w:val="00575741"/>
    <w:rsid w:val="00575C10"/>
    <w:rsid w:val="0057655B"/>
    <w:rsid w:val="00584EFF"/>
    <w:rsid w:val="005855DC"/>
    <w:rsid w:val="0058592F"/>
    <w:rsid w:val="005865AD"/>
    <w:rsid w:val="00586871"/>
    <w:rsid w:val="005903A9"/>
    <w:rsid w:val="00591381"/>
    <w:rsid w:val="00591BAF"/>
    <w:rsid w:val="00593240"/>
    <w:rsid w:val="00593F17"/>
    <w:rsid w:val="00594A85"/>
    <w:rsid w:val="005956E9"/>
    <w:rsid w:val="00595761"/>
    <w:rsid w:val="00596AB5"/>
    <w:rsid w:val="005972B7"/>
    <w:rsid w:val="00597617"/>
    <w:rsid w:val="005A03DB"/>
    <w:rsid w:val="005A2ABD"/>
    <w:rsid w:val="005A2FCC"/>
    <w:rsid w:val="005A47D2"/>
    <w:rsid w:val="005A73A2"/>
    <w:rsid w:val="005A741E"/>
    <w:rsid w:val="005A7830"/>
    <w:rsid w:val="005B132B"/>
    <w:rsid w:val="005B19BA"/>
    <w:rsid w:val="005B2097"/>
    <w:rsid w:val="005B30B9"/>
    <w:rsid w:val="005B31B7"/>
    <w:rsid w:val="005B4887"/>
    <w:rsid w:val="005B5364"/>
    <w:rsid w:val="005B740C"/>
    <w:rsid w:val="005B752E"/>
    <w:rsid w:val="005B7940"/>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F1D6E"/>
    <w:rsid w:val="005F1DB5"/>
    <w:rsid w:val="005F2D77"/>
    <w:rsid w:val="005F32C7"/>
    <w:rsid w:val="005F36A2"/>
    <w:rsid w:val="005F39A9"/>
    <w:rsid w:val="005F5EAD"/>
    <w:rsid w:val="005F71F9"/>
    <w:rsid w:val="005F78BF"/>
    <w:rsid w:val="00600646"/>
    <w:rsid w:val="00603296"/>
    <w:rsid w:val="006036B7"/>
    <w:rsid w:val="006038F2"/>
    <w:rsid w:val="00603D50"/>
    <w:rsid w:val="00606036"/>
    <w:rsid w:val="00606F7E"/>
    <w:rsid w:val="0060769C"/>
    <w:rsid w:val="00607885"/>
    <w:rsid w:val="00610233"/>
    <w:rsid w:val="006108ED"/>
    <w:rsid w:val="00610FC1"/>
    <w:rsid w:val="006114A6"/>
    <w:rsid w:val="0061225A"/>
    <w:rsid w:val="00612345"/>
    <w:rsid w:val="00612F57"/>
    <w:rsid w:val="0061302E"/>
    <w:rsid w:val="0061382C"/>
    <w:rsid w:val="0061456E"/>
    <w:rsid w:val="00614A9A"/>
    <w:rsid w:val="00614FD3"/>
    <w:rsid w:val="00615AEF"/>
    <w:rsid w:val="00615CA2"/>
    <w:rsid w:val="00616F85"/>
    <w:rsid w:val="006200E6"/>
    <w:rsid w:val="006217D7"/>
    <w:rsid w:val="00623207"/>
    <w:rsid w:val="006232B2"/>
    <w:rsid w:val="00624F89"/>
    <w:rsid w:val="00626F82"/>
    <w:rsid w:val="0062723C"/>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2DFB"/>
    <w:rsid w:val="006533B5"/>
    <w:rsid w:val="006548D4"/>
    <w:rsid w:val="00655219"/>
    <w:rsid w:val="006569F5"/>
    <w:rsid w:val="0065725C"/>
    <w:rsid w:val="00657580"/>
    <w:rsid w:val="00657E35"/>
    <w:rsid w:val="006605ED"/>
    <w:rsid w:val="00661673"/>
    <w:rsid w:val="006619B7"/>
    <w:rsid w:val="00662201"/>
    <w:rsid w:val="00662A78"/>
    <w:rsid w:val="006636A3"/>
    <w:rsid w:val="006639C7"/>
    <w:rsid w:val="006649AD"/>
    <w:rsid w:val="00670AC3"/>
    <w:rsid w:val="006728D6"/>
    <w:rsid w:val="0067422E"/>
    <w:rsid w:val="00675267"/>
    <w:rsid w:val="0067609D"/>
    <w:rsid w:val="00680FD5"/>
    <w:rsid w:val="0068178B"/>
    <w:rsid w:val="00681AB9"/>
    <w:rsid w:val="0068277E"/>
    <w:rsid w:val="00687339"/>
    <w:rsid w:val="00687971"/>
    <w:rsid w:val="00691047"/>
    <w:rsid w:val="00691566"/>
    <w:rsid w:val="00691E45"/>
    <w:rsid w:val="00691EE7"/>
    <w:rsid w:val="006926CD"/>
    <w:rsid w:val="00693806"/>
    <w:rsid w:val="0069528D"/>
    <w:rsid w:val="0069635D"/>
    <w:rsid w:val="006964A5"/>
    <w:rsid w:val="006A0227"/>
    <w:rsid w:val="006A1E48"/>
    <w:rsid w:val="006A2D1D"/>
    <w:rsid w:val="006A53FA"/>
    <w:rsid w:val="006A6380"/>
    <w:rsid w:val="006A6A73"/>
    <w:rsid w:val="006A71B7"/>
    <w:rsid w:val="006B122C"/>
    <w:rsid w:val="006B3E41"/>
    <w:rsid w:val="006B63CB"/>
    <w:rsid w:val="006B77C7"/>
    <w:rsid w:val="006C1ADE"/>
    <w:rsid w:val="006C2417"/>
    <w:rsid w:val="006C496F"/>
    <w:rsid w:val="006C5061"/>
    <w:rsid w:val="006C60C3"/>
    <w:rsid w:val="006D2305"/>
    <w:rsid w:val="006D5042"/>
    <w:rsid w:val="006D5ACD"/>
    <w:rsid w:val="006E02A8"/>
    <w:rsid w:val="006E0EFC"/>
    <w:rsid w:val="006E1950"/>
    <w:rsid w:val="006E32B3"/>
    <w:rsid w:val="006F0082"/>
    <w:rsid w:val="006F04DD"/>
    <w:rsid w:val="006F0C0E"/>
    <w:rsid w:val="006F1245"/>
    <w:rsid w:val="006F1254"/>
    <w:rsid w:val="006F2506"/>
    <w:rsid w:val="006F3C83"/>
    <w:rsid w:val="006F6DFE"/>
    <w:rsid w:val="0070094A"/>
    <w:rsid w:val="00700ACE"/>
    <w:rsid w:val="00701335"/>
    <w:rsid w:val="00701491"/>
    <w:rsid w:val="0070165C"/>
    <w:rsid w:val="00701E1C"/>
    <w:rsid w:val="00703486"/>
    <w:rsid w:val="00703922"/>
    <w:rsid w:val="00703F14"/>
    <w:rsid w:val="00706590"/>
    <w:rsid w:val="00707370"/>
    <w:rsid w:val="0070770C"/>
    <w:rsid w:val="00710C8E"/>
    <w:rsid w:val="00711F92"/>
    <w:rsid w:val="007143B2"/>
    <w:rsid w:val="00714567"/>
    <w:rsid w:val="00715570"/>
    <w:rsid w:val="00716507"/>
    <w:rsid w:val="007165BA"/>
    <w:rsid w:val="007167CF"/>
    <w:rsid w:val="00716B50"/>
    <w:rsid w:val="00716D07"/>
    <w:rsid w:val="007171DE"/>
    <w:rsid w:val="00720A63"/>
    <w:rsid w:val="00721136"/>
    <w:rsid w:val="0072371A"/>
    <w:rsid w:val="00726C06"/>
    <w:rsid w:val="0072722A"/>
    <w:rsid w:val="007274B2"/>
    <w:rsid w:val="00727B4C"/>
    <w:rsid w:val="0073066B"/>
    <w:rsid w:val="0073220C"/>
    <w:rsid w:val="00734A64"/>
    <w:rsid w:val="00735BBC"/>
    <w:rsid w:val="007375A5"/>
    <w:rsid w:val="00737DBA"/>
    <w:rsid w:val="00741522"/>
    <w:rsid w:val="00741EFF"/>
    <w:rsid w:val="007424B4"/>
    <w:rsid w:val="0074255A"/>
    <w:rsid w:val="00743900"/>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4A44"/>
    <w:rsid w:val="00755226"/>
    <w:rsid w:val="00755667"/>
    <w:rsid w:val="0075577E"/>
    <w:rsid w:val="007565A6"/>
    <w:rsid w:val="00763174"/>
    <w:rsid w:val="00763C45"/>
    <w:rsid w:val="0076573A"/>
    <w:rsid w:val="0076624F"/>
    <w:rsid w:val="00766E03"/>
    <w:rsid w:val="00767ED5"/>
    <w:rsid w:val="00771E25"/>
    <w:rsid w:val="007727DF"/>
    <w:rsid w:val="0077611A"/>
    <w:rsid w:val="007778E8"/>
    <w:rsid w:val="00777925"/>
    <w:rsid w:val="0078055F"/>
    <w:rsid w:val="007831E5"/>
    <w:rsid w:val="0078371C"/>
    <w:rsid w:val="00784523"/>
    <w:rsid w:val="00790052"/>
    <w:rsid w:val="00791F30"/>
    <w:rsid w:val="00793E28"/>
    <w:rsid w:val="00795F14"/>
    <w:rsid w:val="0079781E"/>
    <w:rsid w:val="00797ABE"/>
    <w:rsid w:val="007A1BFB"/>
    <w:rsid w:val="007A3EBB"/>
    <w:rsid w:val="007A4D39"/>
    <w:rsid w:val="007A6AAD"/>
    <w:rsid w:val="007B1A04"/>
    <w:rsid w:val="007B241A"/>
    <w:rsid w:val="007B3BCB"/>
    <w:rsid w:val="007B4933"/>
    <w:rsid w:val="007B6390"/>
    <w:rsid w:val="007C2415"/>
    <w:rsid w:val="007C2688"/>
    <w:rsid w:val="007C3F0F"/>
    <w:rsid w:val="007C41A6"/>
    <w:rsid w:val="007C51AA"/>
    <w:rsid w:val="007C58BE"/>
    <w:rsid w:val="007C6C3F"/>
    <w:rsid w:val="007D0938"/>
    <w:rsid w:val="007D0AAC"/>
    <w:rsid w:val="007D1397"/>
    <w:rsid w:val="007D36BE"/>
    <w:rsid w:val="007D395B"/>
    <w:rsid w:val="007D48CF"/>
    <w:rsid w:val="007D654A"/>
    <w:rsid w:val="007D7E64"/>
    <w:rsid w:val="007E3426"/>
    <w:rsid w:val="007E3BA5"/>
    <w:rsid w:val="007E4545"/>
    <w:rsid w:val="007E47DD"/>
    <w:rsid w:val="007E777A"/>
    <w:rsid w:val="007F1048"/>
    <w:rsid w:val="007F24B7"/>
    <w:rsid w:val="007F3072"/>
    <w:rsid w:val="007F3586"/>
    <w:rsid w:val="007F3BA6"/>
    <w:rsid w:val="007F3C2E"/>
    <w:rsid w:val="007F4219"/>
    <w:rsid w:val="007F4AE6"/>
    <w:rsid w:val="007F5E64"/>
    <w:rsid w:val="007F67BC"/>
    <w:rsid w:val="007F78AE"/>
    <w:rsid w:val="0080045C"/>
    <w:rsid w:val="008016B3"/>
    <w:rsid w:val="0080378D"/>
    <w:rsid w:val="008050B9"/>
    <w:rsid w:val="0080538A"/>
    <w:rsid w:val="00806D1C"/>
    <w:rsid w:val="00806DAF"/>
    <w:rsid w:val="0081136C"/>
    <w:rsid w:val="0081143D"/>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DC5"/>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525C"/>
    <w:rsid w:val="00867E01"/>
    <w:rsid w:val="008704A3"/>
    <w:rsid w:val="00870ED2"/>
    <w:rsid w:val="00872F78"/>
    <w:rsid w:val="008735CD"/>
    <w:rsid w:val="008770CC"/>
    <w:rsid w:val="008775F9"/>
    <w:rsid w:val="00882C3A"/>
    <w:rsid w:val="008832CF"/>
    <w:rsid w:val="00884687"/>
    <w:rsid w:val="008848CF"/>
    <w:rsid w:val="008867B9"/>
    <w:rsid w:val="008871B9"/>
    <w:rsid w:val="00887929"/>
    <w:rsid w:val="0089245B"/>
    <w:rsid w:val="00893075"/>
    <w:rsid w:val="00894A4A"/>
    <w:rsid w:val="00897079"/>
    <w:rsid w:val="008A0B27"/>
    <w:rsid w:val="008A1DDF"/>
    <w:rsid w:val="008A2C3C"/>
    <w:rsid w:val="008A321C"/>
    <w:rsid w:val="008A3232"/>
    <w:rsid w:val="008A61F5"/>
    <w:rsid w:val="008B31E7"/>
    <w:rsid w:val="008B6867"/>
    <w:rsid w:val="008B6B8E"/>
    <w:rsid w:val="008B79AF"/>
    <w:rsid w:val="008C0DA9"/>
    <w:rsid w:val="008C2E86"/>
    <w:rsid w:val="008C3FD4"/>
    <w:rsid w:val="008C4EFC"/>
    <w:rsid w:val="008C4FA8"/>
    <w:rsid w:val="008C56F2"/>
    <w:rsid w:val="008C6C65"/>
    <w:rsid w:val="008D0A3C"/>
    <w:rsid w:val="008D23B2"/>
    <w:rsid w:val="008D5268"/>
    <w:rsid w:val="008D6EE4"/>
    <w:rsid w:val="008E15FF"/>
    <w:rsid w:val="008E174E"/>
    <w:rsid w:val="008E1842"/>
    <w:rsid w:val="008E36C2"/>
    <w:rsid w:val="008E4CE6"/>
    <w:rsid w:val="008E51CA"/>
    <w:rsid w:val="008E5434"/>
    <w:rsid w:val="008E5D73"/>
    <w:rsid w:val="008F15A9"/>
    <w:rsid w:val="008F232A"/>
    <w:rsid w:val="008F26F6"/>
    <w:rsid w:val="008F3C74"/>
    <w:rsid w:val="008F43B1"/>
    <w:rsid w:val="008F5017"/>
    <w:rsid w:val="009001F9"/>
    <w:rsid w:val="00900A53"/>
    <w:rsid w:val="0090111A"/>
    <w:rsid w:val="009012DE"/>
    <w:rsid w:val="0090190C"/>
    <w:rsid w:val="00901CB6"/>
    <w:rsid w:val="00906E96"/>
    <w:rsid w:val="009101EE"/>
    <w:rsid w:val="00910B16"/>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57C"/>
    <w:rsid w:val="00933CB5"/>
    <w:rsid w:val="00933FC4"/>
    <w:rsid w:val="009362A7"/>
    <w:rsid w:val="0093631C"/>
    <w:rsid w:val="00937D1D"/>
    <w:rsid w:val="009419F0"/>
    <w:rsid w:val="00943D6E"/>
    <w:rsid w:val="00943DFF"/>
    <w:rsid w:val="009442F4"/>
    <w:rsid w:val="00944D0D"/>
    <w:rsid w:val="009456A2"/>
    <w:rsid w:val="009515D3"/>
    <w:rsid w:val="0095176B"/>
    <w:rsid w:val="0095199B"/>
    <w:rsid w:val="00952245"/>
    <w:rsid w:val="0095381B"/>
    <w:rsid w:val="009538A3"/>
    <w:rsid w:val="00953B2E"/>
    <w:rsid w:val="00953F9E"/>
    <w:rsid w:val="00954CAD"/>
    <w:rsid w:val="009570D3"/>
    <w:rsid w:val="009626FE"/>
    <w:rsid w:val="0096384A"/>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94C"/>
    <w:rsid w:val="00975FC5"/>
    <w:rsid w:val="009765A7"/>
    <w:rsid w:val="00980A80"/>
    <w:rsid w:val="009812DE"/>
    <w:rsid w:val="00981890"/>
    <w:rsid w:val="00981EB4"/>
    <w:rsid w:val="009824F1"/>
    <w:rsid w:val="00982A96"/>
    <w:rsid w:val="00984DBD"/>
    <w:rsid w:val="00984DE3"/>
    <w:rsid w:val="009850DA"/>
    <w:rsid w:val="00985B07"/>
    <w:rsid w:val="00985F33"/>
    <w:rsid w:val="009877B5"/>
    <w:rsid w:val="009925C1"/>
    <w:rsid w:val="009927B8"/>
    <w:rsid w:val="00992FB6"/>
    <w:rsid w:val="00993EA7"/>
    <w:rsid w:val="0099549D"/>
    <w:rsid w:val="0099651A"/>
    <w:rsid w:val="009A0751"/>
    <w:rsid w:val="009A1FED"/>
    <w:rsid w:val="009A2CF2"/>
    <w:rsid w:val="009A37C4"/>
    <w:rsid w:val="009A41A8"/>
    <w:rsid w:val="009A60F6"/>
    <w:rsid w:val="009A6E34"/>
    <w:rsid w:val="009A734F"/>
    <w:rsid w:val="009B00E6"/>
    <w:rsid w:val="009B3CC5"/>
    <w:rsid w:val="009B66F0"/>
    <w:rsid w:val="009B6FEE"/>
    <w:rsid w:val="009B7393"/>
    <w:rsid w:val="009B73DF"/>
    <w:rsid w:val="009C0B6B"/>
    <w:rsid w:val="009C2762"/>
    <w:rsid w:val="009C4344"/>
    <w:rsid w:val="009C6599"/>
    <w:rsid w:val="009C73B6"/>
    <w:rsid w:val="009D1ADC"/>
    <w:rsid w:val="009D48E4"/>
    <w:rsid w:val="009D4A9C"/>
    <w:rsid w:val="009D53B5"/>
    <w:rsid w:val="009D7132"/>
    <w:rsid w:val="009E0ECB"/>
    <w:rsid w:val="009E50A9"/>
    <w:rsid w:val="009F0020"/>
    <w:rsid w:val="009F00FE"/>
    <w:rsid w:val="009F14D3"/>
    <w:rsid w:val="009F3233"/>
    <w:rsid w:val="009F6102"/>
    <w:rsid w:val="009F643F"/>
    <w:rsid w:val="009F6647"/>
    <w:rsid w:val="009F6DAD"/>
    <w:rsid w:val="009F72F2"/>
    <w:rsid w:val="009F7C58"/>
    <w:rsid w:val="00A00FC9"/>
    <w:rsid w:val="00A01269"/>
    <w:rsid w:val="00A01C2E"/>
    <w:rsid w:val="00A01CE4"/>
    <w:rsid w:val="00A03B45"/>
    <w:rsid w:val="00A03D36"/>
    <w:rsid w:val="00A05CC6"/>
    <w:rsid w:val="00A071FF"/>
    <w:rsid w:val="00A10416"/>
    <w:rsid w:val="00A11E4D"/>
    <w:rsid w:val="00A132CE"/>
    <w:rsid w:val="00A1349B"/>
    <w:rsid w:val="00A140D4"/>
    <w:rsid w:val="00A145B4"/>
    <w:rsid w:val="00A15096"/>
    <w:rsid w:val="00A15A34"/>
    <w:rsid w:val="00A15D7C"/>
    <w:rsid w:val="00A169F9"/>
    <w:rsid w:val="00A17FE2"/>
    <w:rsid w:val="00A20982"/>
    <w:rsid w:val="00A20CD7"/>
    <w:rsid w:val="00A212B8"/>
    <w:rsid w:val="00A2268F"/>
    <w:rsid w:val="00A22B94"/>
    <w:rsid w:val="00A2379A"/>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43F62"/>
    <w:rsid w:val="00A44A47"/>
    <w:rsid w:val="00A47064"/>
    <w:rsid w:val="00A51FE9"/>
    <w:rsid w:val="00A53EC3"/>
    <w:rsid w:val="00A548B0"/>
    <w:rsid w:val="00A5718A"/>
    <w:rsid w:val="00A6031C"/>
    <w:rsid w:val="00A6072C"/>
    <w:rsid w:val="00A620AD"/>
    <w:rsid w:val="00A628E3"/>
    <w:rsid w:val="00A62B2C"/>
    <w:rsid w:val="00A63AFB"/>
    <w:rsid w:val="00A63C67"/>
    <w:rsid w:val="00A64F97"/>
    <w:rsid w:val="00A66073"/>
    <w:rsid w:val="00A673F5"/>
    <w:rsid w:val="00A6740F"/>
    <w:rsid w:val="00A70455"/>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4C7B"/>
    <w:rsid w:val="00A8708E"/>
    <w:rsid w:val="00A87C83"/>
    <w:rsid w:val="00A91109"/>
    <w:rsid w:val="00A911D5"/>
    <w:rsid w:val="00A928BA"/>
    <w:rsid w:val="00A94082"/>
    <w:rsid w:val="00A94729"/>
    <w:rsid w:val="00A976AB"/>
    <w:rsid w:val="00AA1AB0"/>
    <w:rsid w:val="00AA2523"/>
    <w:rsid w:val="00AA2A55"/>
    <w:rsid w:val="00AA2F3C"/>
    <w:rsid w:val="00AA5450"/>
    <w:rsid w:val="00AA5C5D"/>
    <w:rsid w:val="00AA6E6E"/>
    <w:rsid w:val="00AB1AF4"/>
    <w:rsid w:val="00AB3397"/>
    <w:rsid w:val="00AB39A3"/>
    <w:rsid w:val="00AB400A"/>
    <w:rsid w:val="00AB60D6"/>
    <w:rsid w:val="00AB7F98"/>
    <w:rsid w:val="00AC05AE"/>
    <w:rsid w:val="00AC0DAB"/>
    <w:rsid w:val="00AC13EA"/>
    <w:rsid w:val="00AC2AB4"/>
    <w:rsid w:val="00AC356B"/>
    <w:rsid w:val="00AC4283"/>
    <w:rsid w:val="00AC497E"/>
    <w:rsid w:val="00AC4D0C"/>
    <w:rsid w:val="00AC6D1F"/>
    <w:rsid w:val="00AC72D4"/>
    <w:rsid w:val="00AC7ABE"/>
    <w:rsid w:val="00AD100D"/>
    <w:rsid w:val="00AD3D1D"/>
    <w:rsid w:val="00AD5546"/>
    <w:rsid w:val="00AD5D2E"/>
    <w:rsid w:val="00AE2BE8"/>
    <w:rsid w:val="00AE38FE"/>
    <w:rsid w:val="00AE42D8"/>
    <w:rsid w:val="00AE4914"/>
    <w:rsid w:val="00AE4E6F"/>
    <w:rsid w:val="00AE7BF2"/>
    <w:rsid w:val="00AE7C7E"/>
    <w:rsid w:val="00AF08B2"/>
    <w:rsid w:val="00AF0D63"/>
    <w:rsid w:val="00AF20BA"/>
    <w:rsid w:val="00AF28B6"/>
    <w:rsid w:val="00AF3C4B"/>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2DA1"/>
    <w:rsid w:val="00B14634"/>
    <w:rsid w:val="00B15A64"/>
    <w:rsid w:val="00B17415"/>
    <w:rsid w:val="00B17A79"/>
    <w:rsid w:val="00B17E72"/>
    <w:rsid w:val="00B20060"/>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5958"/>
    <w:rsid w:val="00B55B54"/>
    <w:rsid w:val="00B57E4A"/>
    <w:rsid w:val="00B62DF8"/>
    <w:rsid w:val="00B666A5"/>
    <w:rsid w:val="00B67A16"/>
    <w:rsid w:val="00B70CFB"/>
    <w:rsid w:val="00B7269B"/>
    <w:rsid w:val="00B72DD2"/>
    <w:rsid w:val="00B73881"/>
    <w:rsid w:val="00B7421F"/>
    <w:rsid w:val="00B7602E"/>
    <w:rsid w:val="00B80743"/>
    <w:rsid w:val="00B8090F"/>
    <w:rsid w:val="00B80C6C"/>
    <w:rsid w:val="00B80D8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B0F95"/>
    <w:rsid w:val="00BB2048"/>
    <w:rsid w:val="00BB5BE0"/>
    <w:rsid w:val="00BB697D"/>
    <w:rsid w:val="00BC24E1"/>
    <w:rsid w:val="00BC28EE"/>
    <w:rsid w:val="00BC5CAC"/>
    <w:rsid w:val="00BC75A2"/>
    <w:rsid w:val="00BD0B0F"/>
    <w:rsid w:val="00BD2100"/>
    <w:rsid w:val="00BD2388"/>
    <w:rsid w:val="00BD3623"/>
    <w:rsid w:val="00BD4C1A"/>
    <w:rsid w:val="00BD6CB9"/>
    <w:rsid w:val="00BD7C5A"/>
    <w:rsid w:val="00BE1781"/>
    <w:rsid w:val="00BE2C54"/>
    <w:rsid w:val="00BE3B61"/>
    <w:rsid w:val="00BE4081"/>
    <w:rsid w:val="00BE4393"/>
    <w:rsid w:val="00BE6558"/>
    <w:rsid w:val="00BF5543"/>
    <w:rsid w:val="00BF5593"/>
    <w:rsid w:val="00BF6A50"/>
    <w:rsid w:val="00BF7B9B"/>
    <w:rsid w:val="00C01C4E"/>
    <w:rsid w:val="00C05A59"/>
    <w:rsid w:val="00C078F4"/>
    <w:rsid w:val="00C103A1"/>
    <w:rsid w:val="00C10EA6"/>
    <w:rsid w:val="00C13072"/>
    <w:rsid w:val="00C149CA"/>
    <w:rsid w:val="00C14DD1"/>
    <w:rsid w:val="00C150ED"/>
    <w:rsid w:val="00C1675B"/>
    <w:rsid w:val="00C20C52"/>
    <w:rsid w:val="00C21216"/>
    <w:rsid w:val="00C21CDF"/>
    <w:rsid w:val="00C23288"/>
    <w:rsid w:val="00C23647"/>
    <w:rsid w:val="00C24EAB"/>
    <w:rsid w:val="00C267AF"/>
    <w:rsid w:val="00C26FC7"/>
    <w:rsid w:val="00C31FD8"/>
    <w:rsid w:val="00C327EB"/>
    <w:rsid w:val="00C32E65"/>
    <w:rsid w:val="00C34D85"/>
    <w:rsid w:val="00C36099"/>
    <w:rsid w:val="00C37BB2"/>
    <w:rsid w:val="00C40E33"/>
    <w:rsid w:val="00C42644"/>
    <w:rsid w:val="00C45BB9"/>
    <w:rsid w:val="00C46065"/>
    <w:rsid w:val="00C46A13"/>
    <w:rsid w:val="00C46C10"/>
    <w:rsid w:val="00C50132"/>
    <w:rsid w:val="00C51070"/>
    <w:rsid w:val="00C55A24"/>
    <w:rsid w:val="00C55C4F"/>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571"/>
    <w:rsid w:val="00C76C59"/>
    <w:rsid w:val="00C76EE8"/>
    <w:rsid w:val="00C80799"/>
    <w:rsid w:val="00C8092C"/>
    <w:rsid w:val="00C816F0"/>
    <w:rsid w:val="00C82EDD"/>
    <w:rsid w:val="00C82FA8"/>
    <w:rsid w:val="00C83317"/>
    <w:rsid w:val="00C843B5"/>
    <w:rsid w:val="00C8645E"/>
    <w:rsid w:val="00C91C19"/>
    <w:rsid w:val="00C9606A"/>
    <w:rsid w:val="00CA276B"/>
    <w:rsid w:val="00CA2E88"/>
    <w:rsid w:val="00CA4B23"/>
    <w:rsid w:val="00CA5357"/>
    <w:rsid w:val="00CA58A7"/>
    <w:rsid w:val="00CA5BFC"/>
    <w:rsid w:val="00CA6521"/>
    <w:rsid w:val="00CA653F"/>
    <w:rsid w:val="00CB2DFA"/>
    <w:rsid w:val="00CB4182"/>
    <w:rsid w:val="00CB4E2F"/>
    <w:rsid w:val="00CB5B38"/>
    <w:rsid w:val="00CB60F9"/>
    <w:rsid w:val="00CB75BA"/>
    <w:rsid w:val="00CC0EED"/>
    <w:rsid w:val="00CC12F5"/>
    <w:rsid w:val="00CC311B"/>
    <w:rsid w:val="00CC36CA"/>
    <w:rsid w:val="00CC4D63"/>
    <w:rsid w:val="00CC7DDC"/>
    <w:rsid w:val="00CD0455"/>
    <w:rsid w:val="00CD0BA6"/>
    <w:rsid w:val="00CD1FED"/>
    <w:rsid w:val="00CD265A"/>
    <w:rsid w:val="00CD3C84"/>
    <w:rsid w:val="00CD58AF"/>
    <w:rsid w:val="00CD5A9E"/>
    <w:rsid w:val="00CD70A6"/>
    <w:rsid w:val="00CE07DC"/>
    <w:rsid w:val="00CE3DC0"/>
    <w:rsid w:val="00CE6D45"/>
    <w:rsid w:val="00CE795C"/>
    <w:rsid w:val="00CF1E32"/>
    <w:rsid w:val="00CF406C"/>
    <w:rsid w:val="00CF47EB"/>
    <w:rsid w:val="00CF5287"/>
    <w:rsid w:val="00CF5C80"/>
    <w:rsid w:val="00CF79DC"/>
    <w:rsid w:val="00D005D8"/>
    <w:rsid w:val="00D00C95"/>
    <w:rsid w:val="00D022B1"/>
    <w:rsid w:val="00D05BF0"/>
    <w:rsid w:val="00D05E6A"/>
    <w:rsid w:val="00D10BE8"/>
    <w:rsid w:val="00D12097"/>
    <w:rsid w:val="00D12184"/>
    <w:rsid w:val="00D17C15"/>
    <w:rsid w:val="00D21A8C"/>
    <w:rsid w:val="00D23FE8"/>
    <w:rsid w:val="00D27532"/>
    <w:rsid w:val="00D27FF1"/>
    <w:rsid w:val="00D31A0D"/>
    <w:rsid w:val="00D3420F"/>
    <w:rsid w:val="00D352DC"/>
    <w:rsid w:val="00D35DD7"/>
    <w:rsid w:val="00D41E0C"/>
    <w:rsid w:val="00D41FEB"/>
    <w:rsid w:val="00D42003"/>
    <w:rsid w:val="00D44C80"/>
    <w:rsid w:val="00D47875"/>
    <w:rsid w:val="00D50D64"/>
    <w:rsid w:val="00D512A1"/>
    <w:rsid w:val="00D51CDD"/>
    <w:rsid w:val="00D53595"/>
    <w:rsid w:val="00D54E7F"/>
    <w:rsid w:val="00D556AA"/>
    <w:rsid w:val="00D55CBC"/>
    <w:rsid w:val="00D5782F"/>
    <w:rsid w:val="00D57C1F"/>
    <w:rsid w:val="00D60CB6"/>
    <w:rsid w:val="00D62534"/>
    <w:rsid w:val="00D62640"/>
    <w:rsid w:val="00D62C0E"/>
    <w:rsid w:val="00D630F7"/>
    <w:rsid w:val="00D64632"/>
    <w:rsid w:val="00D6484D"/>
    <w:rsid w:val="00D653F5"/>
    <w:rsid w:val="00D66872"/>
    <w:rsid w:val="00D70783"/>
    <w:rsid w:val="00D70AAD"/>
    <w:rsid w:val="00D71DA1"/>
    <w:rsid w:val="00D7378F"/>
    <w:rsid w:val="00D7692B"/>
    <w:rsid w:val="00D771BA"/>
    <w:rsid w:val="00D77E78"/>
    <w:rsid w:val="00D82AFC"/>
    <w:rsid w:val="00D84DC1"/>
    <w:rsid w:val="00D84ECD"/>
    <w:rsid w:val="00D861D9"/>
    <w:rsid w:val="00D86EE7"/>
    <w:rsid w:val="00D8772E"/>
    <w:rsid w:val="00D87E93"/>
    <w:rsid w:val="00D900E7"/>
    <w:rsid w:val="00D93BAE"/>
    <w:rsid w:val="00D94186"/>
    <w:rsid w:val="00D94731"/>
    <w:rsid w:val="00D95F61"/>
    <w:rsid w:val="00D96D52"/>
    <w:rsid w:val="00D973FA"/>
    <w:rsid w:val="00D97924"/>
    <w:rsid w:val="00DA1D9C"/>
    <w:rsid w:val="00DA418A"/>
    <w:rsid w:val="00DA470C"/>
    <w:rsid w:val="00DA55A2"/>
    <w:rsid w:val="00DA56A4"/>
    <w:rsid w:val="00DA6FFC"/>
    <w:rsid w:val="00DB0483"/>
    <w:rsid w:val="00DB3EBB"/>
    <w:rsid w:val="00DB754A"/>
    <w:rsid w:val="00DB7B3F"/>
    <w:rsid w:val="00DC1EB6"/>
    <w:rsid w:val="00DC32FB"/>
    <w:rsid w:val="00DC438D"/>
    <w:rsid w:val="00DC441B"/>
    <w:rsid w:val="00DC466C"/>
    <w:rsid w:val="00DC4F83"/>
    <w:rsid w:val="00DC623F"/>
    <w:rsid w:val="00DC66F9"/>
    <w:rsid w:val="00DD236C"/>
    <w:rsid w:val="00DD24AF"/>
    <w:rsid w:val="00DD293D"/>
    <w:rsid w:val="00DD373A"/>
    <w:rsid w:val="00DD4E44"/>
    <w:rsid w:val="00DE04E2"/>
    <w:rsid w:val="00DE101A"/>
    <w:rsid w:val="00DE22CC"/>
    <w:rsid w:val="00DE66CC"/>
    <w:rsid w:val="00DF0E6A"/>
    <w:rsid w:val="00DF24FC"/>
    <w:rsid w:val="00DF2C5E"/>
    <w:rsid w:val="00DF6779"/>
    <w:rsid w:val="00DF6F10"/>
    <w:rsid w:val="00E0025D"/>
    <w:rsid w:val="00E0041D"/>
    <w:rsid w:val="00E00CC3"/>
    <w:rsid w:val="00E01452"/>
    <w:rsid w:val="00E015DF"/>
    <w:rsid w:val="00E03E18"/>
    <w:rsid w:val="00E06F93"/>
    <w:rsid w:val="00E079E3"/>
    <w:rsid w:val="00E109FF"/>
    <w:rsid w:val="00E11749"/>
    <w:rsid w:val="00E12380"/>
    <w:rsid w:val="00E12869"/>
    <w:rsid w:val="00E13C2C"/>
    <w:rsid w:val="00E13DF8"/>
    <w:rsid w:val="00E17427"/>
    <w:rsid w:val="00E21233"/>
    <w:rsid w:val="00E219D6"/>
    <w:rsid w:val="00E22185"/>
    <w:rsid w:val="00E245F8"/>
    <w:rsid w:val="00E25A3E"/>
    <w:rsid w:val="00E26F3F"/>
    <w:rsid w:val="00E26F98"/>
    <w:rsid w:val="00E275C7"/>
    <w:rsid w:val="00E326F8"/>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898"/>
    <w:rsid w:val="00E63DD0"/>
    <w:rsid w:val="00E65C2B"/>
    <w:rsid w:val="00E665E9"/>
    <w:rsid w:val="00E66C17"/>
    <w:rsid w:val="00E6700A"/>
    <w:rsid w:val="00E71E5A"/>
    <w:rsid w:val="00E72523"/>
    <w:rsid w:val="00E73385"/>
    <w:rsid w:val="00E748F7"/>
    <w:rsid w:val="00E77DCE"/>
    <w:rsid w:val="00E80286"/>
    <w:rsid w:val="00E802E2"/>
    <w:rsid w:val="00E80BF3"/>
    <w:rsid w:val="00E84229"/>
    <w:rsid w:val="00E84888"/>
    <w:rsid w:val="00E9388A"/>
    <w:rsid w:val="00E94C68"/>
    <w:rsid w:val="00E96ACA"/>
    <w:rsid w:val="00EA1AC4"/>
    <w:rsid w:val="00EA2161"/>
    <w:rsid w:val="00EA4FC7"/>
    <w:rsid w:val="00EA61F6"/>
    <w:rsid w:val="00EA6E4F"/>
    <w:rsid w:val="00EB21FA"/>
    <w:rsid w:val="00EB32ED"/>
    <w:rsid w:val="00EB3E93"/>
    <w:rsid w:val="00EB4366"/>
    <w:rsid w:val="00EB43C5"/>
    <w:rsid w:val="00EB682C"/>
    <w:rsid w:val="00EC01AE"/>
    <w:rsid w:val="00EC18F1"/>
    <w:rsid w:val="00EC233A"/>
    <w:rsid w:val="00EC29AB"/>
    <w:rsid w:val="00EC325B"/>
    <w:rsid w:val="00EC3717"/>
    <w:rsid w:val="00EC7513"/>
    <w:rsid w:val="00ED006D"/>
    <w:rsid w:val="00ED02C9"/>
    <w:rsid w:val="00ED359B"/>
    <w:rsid w:val="00ED3995"/>
    <w:rsid w:val="00ED4F08"/>
    <w:rsid w:val="00ED4F15"/>
    <w:rsid w:val="00ED7211"/>
    <w:rsid w:val="00ED772E"/>
    <w:rsid w:val="00EE17EF"/>
    <w:rsid w:val="00EE4A34"/>
    <w:rsid w:val="00EE5264"/>
    <w:rsid w:val="00EE565A"/>
    <w:rsid w:val="00EE7EF3"/>
    <w:rsid w:val="00EF0E7D"/>
    <w:rsid w:val="00EF28B4"/>
    <w:rsid w:val="00EF371B"/>
    <w:rsid w:val="00EF3ECF"/>
    <w:rsid w:val="00EF42AF"/>
    <w:rsid w:val="00EF4FEA"/>
    <w:rsid w:val="00EF5F79"/>
    <w:rsid w:val="00EF6AF8"/>
    <w:rsid w:val="00F00234"/>
    <w:rsid w:val="00F02372"/>
    <w:rsid w:val="00F07534"/>
    <w:rsid w:val="00F07647"/>
    <w:rsid w:val="00F07A80"/>
    <w:rsid w:val="00F07D0B"/>
    <w:rsid w:val="00F12A23"/>
    <w:rsid w:val="00F135FF"/>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6DD4"/>
    <w:rsid w:val="00F4097C"/>
    <w:rsid w:val="00F41F57"/>
    <w:rsid w:val="00F42066"/>
    <w:rsid w:val="00F43A6F"/>
    <w:rsid w:val="00F44223"/>
    <w:rsid w:val="00F449B3"/>
    <w:rsid w:val="00F45F35"/>
    <w:rsid w:val="00F477B6"/>
    <w:rsid w:val="00F510C1"/>
    <w:rsid w:val="00F5155A"/>
    <w:rsid w:val="00F5240E"/>
    <w:rsid w:val="00F5697A"/>
    <w:rsid w:val="00F56D64"/>
    <w:rsid w:val="00F5704F"/>
    <w:rsid w:val="00F6067B"/>
    <w:rsid w:val="00F60B88"/>
    <w:rsid w:val="00F62C9F"/>
    <w:rsid w:val="00F64103"/>
    <w:rsid w:val="00F65033"/>
    <w:rsid w:val="00F66122"/>
    <w:rsid w:val="00F66D0A"/>
    <w:rsid w:val="00F70CE6"/>
    <w:rsid w:val="00F72395"/>
    <w:rsid w:val="00F7286F"/>
    <w:rsid w:val="00F72974"/>
    <w:rsid w:val="00F72DB9"/>
    <w:rsid w:val="00F739CB"/>
    <w:rsid w:val="00F73A1D"/>
    <w:rsid w:val="00F76C88"/>
    <w:rsid w:val="00F7722C"/>
    <w:rsid w:val="00F77CB8"/>
    <w:rsid w:val="00F817CB"/>
    <w:rsid w:val="00F82AFA"/>
    <w:rsid w:val="00F83C76"/>
    <w:rsid w:val="00F855A5"/>
    <w:rsid w:val="00F864E0"/>
    <w:rsid w:val="00F865CA"/>
    <w:rsid w:val="00F91109"/>
    <w:rsid w:val="00F9152F"/>
    <w:rsid w:val="00F9180E"/>
    <w:rsid w:val="00F91A47"/>
    <w:rsid w:val="00F921CF"/>
    <w:rsid w:val="00F9414D"/>
    <w:rsid w:val="00F9442D"/>
    <w:rsid w:val="00F95F8A"/>
    <w:rsid w:val="00F977A9"/>
    <w:rsid w:val="00FA1453"/>
    <w:rsid w:val="00FA22A8"/>
    <w:rsid w:val="00FA2AD8"/>
    <w:rsid w:val="00FA5421"/>
    <w:rsid w:val="00FB0B18"/>
    <w:rsid w:val="00FB3952"/>
    <w:rsid w:val="00FB6A60"/>
    <w:rsid w:val="00FC47B2"/>
    <w:rsid w:val="00FC6B1B"/>
    <w:rsid w:val="00FC73EF"/>
    <w:rsid w:val="00FC7928"/>
    <w:rsid w:val="00FC7FE3"/>
    <w:rsid w:val="00FD0B7B"/>
    <w:rsid w:val="00FD1519"/>
    <w:rsid w:val="00FD2634"/>
    <w:rsid w:val="00FD2736"/>
    <w:rsid w:val="00FD3524"/>
    <w:rsid w:val="00FD3BDF"/>
    <w:rsid w:val="00FD7F83"/>
    <w:rsid w:val="00FE0147"/>
    <w:rsid w:val="00FE1C67"/>
    <w:rsid w:val="00FE269C"/>
    <w:rsid w:val="00FE2F49"/>
    <w:rsid w:val="00FE30C7"/>
    <w:rsid w:val="00FE3F58"/>
    <w:rsid w:val="00FF00BE"/>
    <w:rsid w:val="00FF3A63"/>
    <w:rsid w:val="00FF5039"/>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1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DA470C"/>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04377E"/>
  </w:style>
  <w:style w:type="paragraph" w:customStyle="1" w:styleId="m-9087921065745647082msolistparagraph">
    <w:name w:val="m_-9087921065745647082msolistparagraph"/>
    <w:basedOn w:val="Normal"/>
    <w:rsid w:val="006926CD"/>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24996157">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10059156">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9410816">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23861677">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022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roit.org/english/principles/netting/netting-principles2013-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valdis.Davidovics@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ants.Tiesnieks@fm.gov.lv" TargetMode="External"/><Relationship Id="rId4" Type="http://schemas.openxmlformats.org/officeDocument/2006/relationships/settings" Target="settings.xml"/><Relationship Id="rId9" Type="http://schemas.openxmlformats.org/officeDocument/2006/relationships/hyperlink" Target="https://www.readkong.com/page/2018-isda-model-netting-act-and-guide-7237164?p=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srb.europa.eu/pub/pdf/occasional/20130917_occasional_paper_4.pdf" TargetMode="External"/><Relationship Id="rId2" Type="http://schemas.openxmlformats.org/officeDocument/2006/relationships/hyperlink" Target="https://www.bu.edu/ilj/files/2015/04/Johnson-The-Case-against-Close-out-Netting.pdf" TargetMode="External"/><Relationship Id="rId1" Type="http://schemas.openxmlformats.org/officeDocument/2006/relationships/hyperlink" Target="https://eur-lex.europa.eu/LexUriServ/LexUriServ.do?uri=OJ:L:2003:124:0036:004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E953-A260-488B-98C9-E86D424F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66854</Words>
  <Characters>38107</Characters>
  <Application>Microsoft Office Word</Application>
  <DocSecurity>0</DocSecurity>
  <Lines>317</Lines>
  <Paragraphs>209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"Izslēdzošā ieskaita piemērošanas kvalificētajiem finanšu darījumiem likums"</vt:lpstr>
      <vt:lpstr>Izziņa par atzinumos sniegtajiem iebildumiem par likumprojektu "Izslēdzošā ieskaita piemērošanas kvalificētajiem finanšu darījumiem likums"</vt:lpstr>
    </vt:vector>
  </TitlesOfParts>
  <Manager/>
  <LinksUpToDate>false</LinksUpToDate>
  <CharactersWithSpaces>104752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"Izslēdzošā ieskaita piemērošanas kvalificētajiem finanšu darījumiem likums"</dc:title>
  <dc:creator/>
  <dc:description>gunvaldis.davidovics@fm.gov.lv, 67083931</dc:description>
  <cp:lastModifiedBy/>
  <cp:revision>1</cp:revision>
  <dcterms:created xsi:type="dcterms:W3CDTF">2020-12-23T09:36:00Z</dcterms:created>
  <dcterms:modified xsi:type="dcterms:W3CDTF">2020-12-23T09:36:00Z</dcterms:modified>
</cp:coreProperties>
</file>