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F1B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136A24">
        <w:rPr>
          <w:rFonts w:ascii="Times New Roman" w:eastAsia="Times New Roman" w:hAnsi="Times New Roman" w:cs="Times New Roman"/>
          <w:sz w:val="20"/>
          <w:lang w:eastAsia="lv-LV"/>
        </w:rPr>
        <w:t>Izziņa par atzinumos sniegtajiem iebildumiem</w:t>
      </w:r>
      <w:bookmarkEnd w:id="0"/>
      <w:bookmarkEnd w:id="1"/>
    </w:p>
    <w:p w14:paraId="2E9BEFF2"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4A71047D"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2F50D10F" w14:textId="4950C570" w:rsidR="00022A62" w:rsidRPr="00AA4451" w:rsidRDefault="00AB400A" w:rsidP="00067C91">
            <w:pPr>
              <w:spacing w:before="100" w:beforeAutospacing="1" w:after="0" w:line="240" w:lineRule="auto"/>
              <w:jc w:val="center"/>
              <w:rPr>
                <w:rFonts w:ascii="Times New Roman" w:eastAsia="Times New Roman" w:hAnsi="Times New Roman" w:cs="Times New Roman"/>
                <w:sz w:val="28"/>
                <w:szCs w:val="28"/>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AA4451" w:rsidRPr="00601065">
              <w:rPr>
                <w:rFonts w:ascii="Times New Roman" w:eastAsia="Times New Roman" w:hAnsi="Times New Roman" w:cs="Times New Roman"/>
                <w:sz w:val="20"/>
                <w:szCs w:val="20"/>
              </w:rPr>
              <w:t xml:space="preserve">Grozījumi </w:t>
            </w:r>
            <w:r w:rsidR="00AA4451" w:rsidRPr="00601065">
              <w:rPr>
                <w:rFonts w:ascii="Times New Roman" w:hAnsi="Times New Roman" w:cs="Times New Roman"/>
                <w:bCs/>
                <w:sz w:val="20"/>
                <w:szCs w:val="20"/>
              </w:rPr>
              <w:t>Kredītiestāžu likumā</w:t>
            </w:r>
            <w:r w:rsidR="007D7E64" w:rsidRPr="00136A24">
              <w:rPr>
                <w:rFonts w:ascii="Times New Roman" w:hAnsi="Times New Roman"/>
                <w:iCs/>
                <w:sz w:val="20"/>
                <w:szCs w:val="24"/>
                <w:lang w:eastAsia="lv-LV"/>
              </w:rPr>
              <w:t>" (VSS-</w:t>
            </w:r>
            <w:r w:rsidR="00EB3E93">
              <w:rPr>
                <w:rFonts w:ascii="Times New Roman" w:hAnsi="Times New Roman"/>
                <w:iCs/>
                <w:sz w:val="20"/>
                <w:szCs w:val="24"/>
                <w:lang w:eastAsia="lv-LV"/>
              </w:rPr>
              <w:t>4</w:t>
            </w:r>
            <w:r w:rsidR="00DA470C">
              <w:rPr>
                <w:rFonts w:ascii="Times New Roman" w:hAnsi="Times New Roman"/>
                <w:iCs/>
                <w:sz w:val="20"/>
                <w:szCs w:val="24"/>
                <w:lang w:eastAsia="lv-LV"/>
              </w:rPr>
              <w:t>2</w:t>
            </w:r>
            <w:r w:rsidR="00067C91">
              <w:rPr>
                <w:rFonts w:ascii="Times New Roman" w:hAnsi="Times New Roman"/>
                <w:iCs/>
                <w:sz w:val="20"/>
                <w:szCs w:val="24"/>
                <w:lang w:eastAsia="lv-LV"/>
              </w:rPr>
              <w:t>1</w:t>
            </w:r>
            <w:r w:rsidR="007D7E64" w:rsidRPr="00136A24">
              <w:rPr>
                <w:rFonts w:ascii="Times New Roman" w:hAnsi="Times New Roman"/>
                <w:iCs/>
                <w:sz w:val="20"/>
                <w:szCs w:val="24"/>
                <w:lang w:eastAsia="lv-LV"/>
              </w:rPr>
              <w:t>)</w:t>
            </w:r>
          </w:p>
        </w:tc>
      </w:tr>
    </w:tbl>
    <w:bookmarkEnd w:id="5"/>
    <w:bookmarkEnd w:id="6"/>
    <w:p w14:paraId="6CC619A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6D3319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6F22A64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63057C42"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F50E621"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D9943A5"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7BC511F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524F28D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41DEA08A"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14C19F35"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258A63BE"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647CDF2B"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492131CF" w14:textId="77777777" w:rsidR="00A33F1F" w:rsidRPr="00136A24" w:rsidRDefault="00A33F1F" w:rsidP="00D60CB6">
      <w:pPr>
        <w:pStyle w:val="naisf"/>
        <w:spacing w:before="0" w:after="0"/>
        <w:ind w:firstLine="0"/>
        <w:rPr>
          <w:sz w:val="20"/>
          <w:szCs w:val="22"/>
        </w:rPr>
      </w:pPr>
    </w:p>
    <w:p w14:paraId="1980BE7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Informācija par starpministriju (starpinstitūciju) sanāksmi vai elektronisko saskaņošanu</w:t>
      </w:r>
    </w:p>
    <w:p w14:paraId="7B17ED7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0C6A9D82" w14:textId="77777777" w:rsidTr="0001655E">
        <w:trPr>
          <w:gridAfter w:val="1"/>
          <w:wAfter w:w="1425" w:type="dxa"/>
        </w:trPr>
        <w:tc>
          <w:tcPr>
            <w:tcW w:w="8505" w:type="dxa"/>
            <w:hideMark/>
          </w:tcPr>
          <w:p w14:paraId="5FFEC3D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4BAB79C0" w14:textId="77777777" w:rsidR="00022A62" w:rsidRPr="00136A24" w:rsidRDefault="002217A5" w:rsidP="002D69D8">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A071FF" w:rsidRPr="00136A24">
              <w:rPr>
                <w:rFonts w:ascii="Times New Roman" w:eastAsia="Times New Roman" w:hAnsi="Times New Roman" w:cs="Times New Roman"/>
                <w:sz w:val="20"/>
                <w:lang w:eastAsia="lv-LV"/>
              </w:rPr>
              <w:t>2</w:t>
            </w:r>
            <w:r w:rsidR="00DA470C">
              <w:rPr>
                <w:rFonts w:ascii="Times New Roman" w:eastAsia="Times New Roman" w:hAnsi="Times New Roman" w:cs="Times New Roman"/>
                <w:sz w:val="20"/>
                <w:lang w:eastAsia="lv-LV"/>
              </w:rPr>
              <w:t>8</w:t>
            </w:r>
            <w:r w:rsidR="00AB400A" w:rsidRPr="00136A24">
              <w:rPr>
                <w:rFonts w:ascii="Times New Roman" w:eastAsia="Times New Roman" w:hAnsi="Times New Roman" w:cs="Times New Roman"/>
                <w:sz w:val="20"/>
                <w:lang w:eastAsia="lv-LV"/>
              </w:rPr>
              <w:t>.05.2020</w:t>
            </w:r>
            <w:r w:rsidR="000F5839" w:rsidRPr="00136A24">
              <w:rPr>
                <w:rFonts w:ascii="Times New Roman" w:eastAsia="Times New Roman" w:hAnsi="Times New Roman" w:cs="Times New Roman"/>
                <w:sz w:val="20"/>
                <w:lang w:eastAsia="lv-LV"/>
              </w:rPr>
              <w:t xml:space="preserve">, saskaņošana </w:t>
            </w:r>
            <w:r w:rsidR="002D69D8">
              <w:rPr>
                <w:rFonts w:ascii="Times New Roman" w:eastAsia="Times New Roman" w:hAnsi="Times New Roman" w:cs="Times New Roman"/>
                <w:sz w:val="20"/>
                <w:lang w:eastAsia="lv-LV"/>
              </w:rPr>
              <w:t>26</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w:t>
            </w:r>
            <w:r w:rsidR="00DA470C">
              <w:rPr>
                <w:rFonts w:ascii="Times New Roman" w:eastAsia="Times New Roman" w:hAnsi="Times New Roman" w:cs="Times New Roman"/>
                <w:sz w:val="20"/>
                <w:lang w:eastAsia="lv-LV"/>
              </w:rPr>
              <w:t>8</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20</w:t>
            </w:r>
            <w:r w:rsidR="00D27532" w:rsidRPr="00136A24">
              <w:rPr>
                <w:rFonts w:ascii="Times New Roman" w:eastAsia="Times New Roman" w:hAnsi="Times New Roman" w:cs="Times New Roman"/>
                <w:sz w:val="20"/>
                <w:lang w:eastAsia="lv-LV"/>
              </w:rPr>
              <w:t>)</w:t>
            </w:r>
          </w:p>
        </w:tc>
      </w:tr>
      <w:tr w:rsidR="00022A62" w:rsidRPr="00136A24" w14:paraId="6D4662AD" w14:textId="77777777" w:rsidTr="0001655E">
        <w:trPr>
          <w:gridAfter w:val="1"/>
          <w:wAfter w:w="1425" w:type="dxa"/>
        </w:trPr>
        <w:tc>
          <w:tcPr>
            <w:tcW w:w="8505" w:type="dxa"/>
          </w:tcPr>
          <w:p w14:paraId="7129472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579AEB6C"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38144D1D" w14:textId="77777777" w:rsidTr="0001655E">
        <w:trPr>
          <w:gridAfter w:val="1"/>
          <w:wAfter w:w="1425" w:type="dxa"/>
        </w:trPr>
        <w:tc>
          <w:tcPr>
            <w:tcW w:w="8505" w:type="dxa"/>
            <w:hideMark/>
          </w:tcPr>
          <w:p w14:paraId="40447BE3"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1E5182D1" w14:textId="77777777" w:rsidR="00022A62" w:rsidRPr="00136A24" w:rsidRDefault="009A1FED" w:rsidP="001B7BB4">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867479">
              <w:rPr>
                <w:rFonts w:ascii="Times New Roman" w:eastAsia="Times New Roman" w:hAnsi="Times New Roman" w:cs="Times New Roman"/>
                <w:sz w:val="20"/>
                <w:lang w:eastAsia="lv-LV"/>
              </w:rPr>
              <w:t xml:space="preserve">, Finanšu un kapitāla tirgus </w:t>
            </w:r>
            <w:r w:rsidR="001B7BB4">
              <w:rPr>
                <w:rFonts w:ascii="Times New Roman" w:eastAsia="Times New Roman" w:hAnsi="Times New Roman" w:cs="Times New Roman"/>
                <w:sz w:val="20"/>
                <w:lang w:eastAsia="lv-LV"/>
              </w:rPr>
              <w:t>komisija</w:t>
            </w:r>
            <w:r w:rsidR="00867479">
              <w:rPr>
                <w:rFonts w:ascii="Times New Roman" w:eastAsia="Times New Roman" w:hAnsi="Times New Roman" w:cs="Times New Roman"/>
                <w:sz w:val="20"/>
                <w:lang w:eastAsia="lv-LV"/>
              </w:rPr>
              <w:t>, Latvijas Banka, Valsts kase</w:t>
            </w:r>
          </w:p>
        </w:tc>
      </w:tr>
      <w:tr w:rsidR="00022A62" w:rsidRPr="00136A24" w14:paraId="13B87764" w14:textId="77777777" w:rsidTr="0001655E">
        <w:trPr>
          <w:trHeight w:val="80"/>
        </w:trPr>
        <w:tc>
          <w:tcPr>
            <w:tcW w:w="8505" w:type="dxa"/>
          </w:tcPr>
          <w:p w14:paraId="7DDF2C6B"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75B811B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18D45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3D1DA893" w14:textId="77777777" w:rsidTr="0001655E">
        <w:trPr>
          <w:trHeight w:val="501"/>
        </w:trPr>
        <w:tc>
          <w:tcPr>
            <w:tcW w:w="8505" w:type="dxa"/>
            <w:hideMark/>
          </w:tcPr>
          <w:p w14:paraId="26C8FF1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07EFAF77"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12B16FD"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2436C039" w14:textId="77777777" w:rsidTr="003B1A15">
        <w:trPr>
          <w:gridAfter w:val="1"/>
          <w:wAfter w:w="1425" w:type="dxa"/>
          <w:trHeight w:val="679"/>
        </w:trPr>
        <w:tc>
          <w:tcPr>
            <w:tcW w:w="8505" w:type="dxa"/>
            <w:hideMark/>
          </w:tcPr>
          <w:p w14:paraId="35D8DFE0" w14:textId="77777777" w:rsidR="00114194"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5C11715C"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63791077" w14:textId="77777777" w:rsidR="00022A62" w:rsidRPr="00136A24" w:rsidRDefault="00A33F1F" w:rsidP="00D60CB6">
      <w:pPr>
        <w:pStyle w:val="naisf"/>
        <w:spacing w:before="0" w:after="0"/>
        <w:ind w:left="360" w:firstLine="0"/>
        <w:jc w:val="center"/>
        <w:rPr>
          <w:sz w:val="20"/>
          <w:szCs w:val="22"/>
        </w:rPr>
      </w:pPr>
      <w:r w:rsidRPr="00136A24">
        <w:rPr>
          <w:sz w:val="20"/>
          <w:szCs w:val="22"/>
        </w:rPr>
        <w:t xml:space="preserve">II </w:t>
      </w:r>
      <w:r w:rsidR="00022A62" w:rsidRPr="00136A24">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243"/>
        <w:gridCol w:w="1023"/>
        <w:gridCol w:w="3496"/>
        <w:gridCol w:w="2620"/>
        <w:gridCol w:w="401"/>
        <w:gridCol w:w="3220"/>
      </w:tblGrid>
      <w:tr w:rsidR="001A4587" w:rsidRPr="00136A24" w14:paraId="035C3087"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36798331"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6EAAC018"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Saskaņošanai nosūtītā projekta redakcija (konkrēta punkta (panta) redakcija)</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27985BFF" w14:textId="77777777" w:rsidR="000239F9" w:rsidRPr="00136A24" w:rsidRDefault="000239F9" w:rsidP="00D60CB6">
            <w:pPr>
              <w:spacing w:after="0" w:line="240" w:lineRule="auto"/>
              <w:ind w:right="3"/>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1228" w:type="pct"/>
            <w:gridSpan w:val="2"/>
            <w:tcBorders>
              <w:top w:val="single" w:sz="6" w:space="0" w:color="000000"/>
              <w:left w:val="single" w:sz="6" w:space="0" w:color="000000"/>
              <w:bottom w:val="single" w:sz="6" w:space="0" w:color="000000"/>
              <w:right w:val="single" w:sz="6" w:space="0" w:color="000000"/>
            </w:tcBorders>
            <w:vAlign w:val="center"/>
            <w:hideMark/>
          </w:tcPr>
          <w:p w14:paraId="1B0E021B"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712" w:type="pct"/>
            <w:tcBorders>
              <w:top w:val="single" w:sz="4" w:space="0" w:color="auto"/>
              <w:left w:val="single" w:sz="4" w:space="0" w:color="auto"/>
              <w:bottom w:val="single" w:sz="4" w:space="0" w:color="auto"/>
              <w:right w:val="single" w:sz="4" w:space="0" w:color="auto"/>
            </w:tcBorders>
            <w:vAlign w:val="center"/>
            <w:hideMark/>
          </w:tcPr>
          <w:p w14:paraId="03738FB1"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1A4587" w:rsidRPr="00136A24" w14:paraId="04169BD7"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02BE5981"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5B7C4EA7"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2</w:t>
            </w:r>
          </w:p>
        </w:tc>
        <w:tc>
          <w:tcPr>
            <w:tcW w:w="1153" w:type="pct"/>
            <w:tcBorders>
              <w:top w:val="single" w:sz="6" w:space="0" w:color="000000"/>
              <w:left w:val="single" w:sz="6" w:space="0" w:color="000000"/>
              <w:bottom w:val="single" w:sz="6" w:space="0" w:color="000000"/>
              <w:right w:val="single" w:sz="6" w:space="0" w:color="000000"/>
            </w:tcBorders>
            <w:hideMark/>
          </w:tcPr>
          <w:p w14:paraId="4AE23DA1"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3</w:t>
            </w:r>
          </w:p>
        </w:tc>
        <w:tc>
          <w:tcPr>
            <w:tcW w:w="1228" w:type="pct"/>
            <w:gridSpan w:val="2"/>
            <w:tcBorders>
              <w:top w:val="single" w:sz="6" w:space="0" w:color="000000"/>
              <w:left w:val="single" w:sz="6" w:space="0" w:color="000000"/>
              <w:bottom w:val="single" w:sz="6" w:space="0" w:color="000000"/>
              <w:right w:val="single" w:sz="6" w:space="0" w:color="000000"/>
            </w:tcBorders>
            <w:hideMark/>
          </w:tcPr>
          <w:p w14:paraId="6463159D"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4</w:t>
            </w:r>
          </w:p>
        </w:tc>
        <w:tc>
          <w:tcPr>
            <w:tcW w:w="712" w:type="pct"/>
            <w:tcBorders>
              <w:top w:val="single" w:sz="4" w:space="0" w:color="auto"/>
              <w:left w:val="single" w:sz="4" w:space="0" w:color="auto"/>
              <w:bottom w:val="single" w:sz="4" w:space="0" w:color="auto"/>
              <w:right w:val="single" w:sz="4" w:space="0" w:color="auto"/>
            </w:tcBorders>
            <w:hideMark/>
          </w:tcPr>
          <w:p w14:paraId="484116DB"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5</w:t>
            </w:r>
          </w:p>
        </w:tc>
      </w:tr>
      <w:tr w:rsidR="0037478B" w:rsidRPr="00136A24" w14:paraId="3000FDC0" w14:textId="77777777" w:rsidTr="0037478B">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72653722" w14:textId="77777777" w:rsidR="0037478B" w:rsidRPr="002E1134" w:rsidRDefault="00067C91" w:rsidP="00067C91">
            <w:pPr>
              <w:spacing w:after="0" w:line="240" w:lineRule="auto"/>
              <w:jc w:val="center"/>
              <w:rPr>
                <w:rFonts w:ascii="Times New Roman" w:hAnsi="Times New Roman" w:cs="Times New Roman"/>
                <w:b/>
                <w:sz w:val="20"/>
              </w:rPr>
            </w:pPr>
            <w:r>
              <w:rPr>
                <w:rFonts w:ascii="Times New Roman" w:hAnsi="Times New Roman" w:cs="Times New Roman"/>
                <w:b/>
                <w:sz w:val="20"/>
              </w:rPr>
              <w:t>Ti</w:t>
            </w:r>
            <w:r w:rsidR="00D82CEF">
              <w:rPr>
                <w:rFonts w:ascii="Times New Roman" w:hAnsi="Times New Roman" w:cs="Times New Roman"/>
                <w:b/>
                <w:sz w:val="20"/>
              </w:rPr>
              <w:t>e</w:t>
            </w:r>
            <w:r>
              <w:rPr>
                <w:rFonts w:ascii="Times New Roman" w:hAnsi="Times New Roman" w:cs="Times New Roman"/>
                <w:b/>
                <w:sz w:val="20"/>
              </w:rPr>
              <w:t>slietu ministrijas</w:t>
            </w:r>
            <w:r w:rsidR="0037478B" w:rsidRPr="003D33F2">
              <w:rPr>
                <w:rFonts w:ascii="Times New Roman" w:hAnsi="Times New Roman" w:cs="Times New Roman"/>
                <w:b/>
                <w:sz w:val="20"/>
              </w:rPr>
              <w:t xml:space="preserve"> </w:t>
            </w:r>
            <w:r>
              <w:rPr>
                <w:rFonts w:ascii="Times New Roman" w:hAnsi="Times New Roman" w:cs="Times New Roman"/>
                <w:b/>
                <w:sz w:val="20"/>
              </w:rPr>
              <w:t>20</w:t>
            </w:r>
            <w:r w:rsidR="00DA470C" w:rsidRPr="003D33F2">
              <w:rPr>
                <w:rFonts w:ascii="Times New Roman" w:hAnsi="Times New Roman" w:cs="Times New Roman"/>
                <w:b/>
                <w:sz w:val="20"/>
              </w:rPr>
              <w:t>.07.2020</w:t>
            </w:r>
            <w:r w:rsidR="003D33F2" w:rsidRPr="003D33F2">
              <w:rPr>
                <w:rFonts w:ascii="Times New Roman" w:hAnsi="Times New Roman" w:cs="Times New Roman"/>
                <w:b/>
                <w:sz w:val="20"/>
              </w:rPr>
              <w:t>.</w:t>
            </w:r>
            <w:r w:rsidR="0037478B" w:rsidRPr="002E1134">
              <w:rPr>
                <w:rFonts w:ascii="Times New Roman" w:hAnsi="Times New Roman" w:cs="Times New Roman"/>
                <w:b/>
                <w:sz w:val="20"/>
              </w:rPr>
              <w:t xml:space="preserve"> atzinumā </w:t>
            </w:r>
            <w:r w:rsidR="00A15096">
              <w:rPr>
                <w:rFonts w:ascii="Times New Roman" w:hAnsi="Times New Roman" w:cs="Times New Roman"/>
                <w:b/>
                <w:sz w:val="20"/>
              </w:rPr>
              <w:t xml:space="preserve">Nr. </w:t>
            </w:r>
            <w:r>
              <w:rPr>
                <w:rFonts w:ascii="Times New Roman" w:hAnsi="Times New Roman" w:cs="Times New Roman"/>
                <w:b/>
                <w:sz w:val="20"/>
              </w:rPr>
              <w:t>1-9.1/763</w:t>
            </w:r>
            <w:r w:rsidR="00A15096">
              <w:rPr>
                <w:rFonts w:ascii="Times New Roman" w:hAnsi="Times New Roman" w:cs="Times New Roman"/>
                <w:b/>
                <w:sz w:val="20"/>
              </w:rPr>
              <w:t xml:space="preserve"> </w:t>
            </w:r>
            <w:r w:rsidR="0037478B" w:rsidRPr="002E1134">
              <w:rPr>
                <w:rFonts w:ascii="Times New Roman" w:hAnsi="Times New Roman" w:cs="Times New Roman"/>
                <w:b/>
                <w:sz w:val="20"/>
              </w:rPr>
              <w:t>izteiktie iebildumi</w:t>
            </w:r>
          </w:p>
        </w:tc>
      </w:tr>
      <w:tr w:rsidR="0037478B" w:rsidRPr="00136A24" w14:paraId="79E4BD85"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5CE8AA9" w14:textId="77777777" w:rsidR="0037478B" w:rsidRDefault="0037478B" w:rsidP="00D60CB6">
            <w:pPr>
              <w:pStyle w:val="ListParagraph"/>
              <w:numPr>
                <w:ilvl w:val="0"/>
                <w:numId w:val="4"/>
              </w:numPr>
              <w:spacing w:after="0" w:line="240" w:lineRule="auto"/>
              <w:ind w:firstLine="0"/>
              <w:rPr>
                <w:rFonts w:ascii="Times New Roman" w:hAnsi="Times New Roman" w:cs="Times New Roman"/>
                <w:lang w:eastAsia="lv-LV"/>
              </w:rPr>
            </w:pPr>
          </w:p>
          <w:p w14:paraId="6110C09A" w14:textId="77777777" w:rsidR="00815DFB" w:rsidRPr="00815DFB" w:rsidRDefault="00815DFB" w:rsidP="00815DFB">
            <w:pPr>
              <w:rPr>
                <w:lang w:eastAsia="lv-LV"/>
              </w:rPr>
            </w:pPr>
          </w:p>
          <w:p w14:paraId="2066A888" w14:textId="77777777" w:rsidR="00815DFB" w:rsidRPr="00815DFB" w:rsidRDefault="00815DFB" w:rsidP="00815DFB">
            <w:pPr>
              <w:rPr>
                <w:lang w:eastAsia="lv-LV"/>
              </w:rPr>
            </w:pPr>
          </w:p>
          <w:p w14:paraId="71EC7A59" w14:textId="2E501244" w:rsidR="00815DFB" w:rsidRDefault="00815DFB" w:rsidP="00815DFB">
            <w:pPr>
              <w:rPr>
                <w:rFonts w:ascii="Times New Roman" w:hAnsi="Times New Roman" w:cs="Times New Roman"/>
                <w:lang w:eastAsia="lv-LV"/>
              </w:rPr>
            </w:pPr>
          </w:p>
          <w:p w14:paraId="50D98A34" w14:textId="77777777" w:rsidR="00815DFB" w:rsidRPr="00815DFB" w:rsidRDefault="00815DFB" w:rsidP="00815DFB">
            <w:pPr>
              <w:rPr>
                <w:rFonts w:ascii="Times New Roman" w:hAnsi="Times New Roman" w:cs="Times New Roman"/>
                <w:lang w:eastAsia="lv-LV"/>
              </w:rPr>
            </w:pPr>
          </w:p>
          <w:p w14:paraId="6A17CE3E" w14:textId="77777777" w:rsidR="00815DFB" w:rsidRPr="00815DFB" w:rsidRDefault="00815DFB" w:rsidP="00815DFB">
            <w:pPr>
              <w:rPr>
                <w:lang w:eastAsia="lv-LV"/>
              </w:rPr>
            </w:pPr>
          </w:p>
          <w:p w14:paraId="311385E5" w14:textId="1D5C1DB5" w:rsidR="00815DFB" w:rsidRPr="00815DFB" w:rsidRDefault="00815DFB" w:rsidP="00815DFB">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5045F2F" w14:textId="77777777" w:rsidR="0037478B" w:rsidRPr="00067C91" w:rsidRDefault="00067C91" w:rsidP="008D735B">
            <w:pPr>
              <w:shd w:val="clear" w:color="auto" w:fill="FFFFFF"/>
              <w:spacing w:after="0" w:line="240" w:lineRule="auto"/>
              <w:jc w:val="both"/>
              <w:rPr>
                <w:rFonts w:ascii="Times New Roman" w:eastAsia="Times New Roman" w:hAnsi="Times New Roman" w:cs="Times New Roman"/>
                <w:bCs/>
                <w:sz w:val="20"/>
                <w:szCs w:val="20"/>
                <w:lang w:eastAsia="lv-LV"/>
              </w:rPr>
            </w:pPr>
            <w:r w:rsidRPr="00067C91">
              <w:rPr>
                <w:rFonts w:ascii="Times New Roman" w:eastAsia="Times New Roman" w:hAnsi="Times New Roman" w:cs="Times New Roman"/>
                <w:bCs/>
                <w:sz w:val="20"/>
                <w:szCs w:val="20"/>
                <w:lang w:eastAsia="lv-LV"/>
              </w:rPr>
              <w:lastRenderedPageBreak/>
              <w:t>Likumprojekta 2.pants:</w:t>
            </w:r>
          </w:p>
          <w:p w14:paraId="23C4625F" w14:textId="77777777" w:rsidR="00067C91" w:rsidRPr="00067C91" w:rsidRDefault="00067C91" w:rsidP="00067C91">
            <w:pPr>
              <w:spacing w:after="0" w:line="240" w:lineRule="auto"/>
              <w:jc w:val="both"/>
              <w:rPr>
                <w:rFonts w:ascii="Times New Roman" w:eastAsia="Times New Roman" w:hAnsi="Times New Roman" w:cs="Times New Roman"/>
                <w:sz w:val="20"/>
                <w:szCs w:val="20"/>
              </w:rPr>
            </w:pPr>
            <w:r w:rsidRPr="00067C91">
              <w:rPr>
                <w:rFonts w:ascii="Times New Roman" w:eastAsia="Times New Roman" w:hAnsi="Times New Roman" w:cs="Times New Roman"/>
                <w:bCs/>
                <w:sz w:val="20"/>
                <w:szCs w:val="20"/>
                <w:lang w:eastAsia="lv-LV"/>
              </w:rPr>
              <w:t>„</w:t>
            </w:r>
            <w:r w:rsidRPr="00067C91">
              <w:rPr>
                <w:rFonts w:ascii="Times New Roman" w:eastAsia="Times New Roman" w:hAnsi="Times New Roman" w:cs="Times New Roman"/>
                <w:sz w:val="20"/>
                <w:szCs w:val="20"/>
              </w:rPr>
              <w:t>Papildināt 4.pantu ar trešo daļu šādā redakcijā:</w:t>
            </w:r>
          </w:p>
          <w:p w14:paraId="3FFE9740" w14:textId="77777777" w:rsidR="00067C91" w:rsidRPr="00067C91" w:rsidRDefault="00067C91" w:rsidP="00067C91">
            <w:pPr>
              <w:spacing w:after="0" w:line="240" w:lineRule="auto"/>
              <w:jc w:val="both"/>
              <w:rPr>
                <w:rFonts w:ascii="Times New Roman" w:eastAsia="Times New Roman" w:hAnsi="Times New Roman" w:cs="Times New Roman"/>
                <w:sz w:val="20"/>
                <w:szCs w:val="20"/>
              </w:rPr>
            </w:pPr>
            <w:r w:rsidRPr="00067C91">
              <w:rPr>
                <w:rFonts w:ascii="Times New Roman" w:hAnsi="Times New Roman" w:cs="Times New Roman"/>
                <w:sz w:val="20"/>
                <w:szCs w:val="20"/>
              </w:rPr>
              <w:t xml:space="preserve">„(3) Šā likuma noteikumi attiecībā uz kredītiestādes noslēgtajiem finanšu nodrošinājuma darījumiem un noslēgtajiem atvasinātajiem finanšu instrumentu darījumiem </w:t>
            </w:r>
            <w:r w:rsidRPr="00067C91">
              <w:rPr>
                <w:rFonts w:ascii="Times New Roman" w:hAnsi="Times New Roman" w:cs="Times New Roman"/>
                <w:sz w:val="20"/>
                <w:szCs w:val="20"/>
              </w:rPr>
              <w:lastRenderedPageBreak/>
              <w:t>piemērojami tiktāl, ciktāl Finanšu nodrošinājuma likumā un Izslēdzošā ieskaita piemērošanas atvasināto finanšu instrumentu darījumos likumā nav noteikts citādi.”</w:t>
            </w:r>
            <w:r>
              <w:rPr>
                <w:rFonts w:ascii="Times New Roman" w:hAnsi="Times New Roman" w:cs="Times New Roman"/>
                <w:sz w:val="20"/>
                <w:szCs w:val="20"/>
              </w:rPr>
              <w:t>”</w:t>
            </w:r>
          </w:p>
          <w:p w14:paraId="24FD49B1" w14:textId="77777777" w:rsidR="00067C91" w:rsidRPr="00614FD3" w:rsidRDefault="00067C91" w:rsidP="008D735B">
            <w:pPr>
              <w:shd w:val="clear" w:color="auto" w:fill="FFFFFF"/>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2400E42B" w14:textId="77777777" w:rsidR="00067C91" w:rsidRPr="00067C91" w:rsidRDefault="00067C91" w:rsidP="00257D22">
            <w:pPr>
              <w:pStyle w:val="NormalWeb"/>
              <w:spacing w:before="0" w:after="0"/>
              <w:ind w:right="13" w:firstLine="330"/>
              <w:jc w:val="both"/>
              <w:rPr>
                <w:sz w:val="20"/>
                <w:szCs w:val="20"/>
              </w:rPr>
            </w:pPr>
            <w:r w:rsidRPr="00067C91">
              <w:rPr>
                <w:sz w:val="20"/>
                <w:szCs w:val="20"/>
              </w:rPr>
              <w:lastRenderedPageBreak/>
              <w:t>Tieslietu ministrija ir izskatījusi likumprojektu “Grozījumi Kredītiestāžu likumā” (Likumprojekts), tā anotāciju un informē, ka atbalsta tā tālāku virzību, izsakot šādu iebildumu:</w:t>
            </w:r>
          </w:p>
          <w:p w14:paraId="513E096E" w14:textId="77777777" w:rsidR="00067C91" w:rsidRPr="00067C91" w:rsidRDefault="00067C91" w:rsidP="00257D22">
            <w:pPr>
              <w:pStyle w:val="NormalWeb"/>
              <w:spacing w:before="0" w:after="0"/>
              <w:ind w:right="13" w:firstLine="330"/>
              <w:jc w:val="both"/>
              <w:rPr>
                <w:sz w:val="20"/>
                <w:szCs w:val="20"/>
              </w:rPr>
            </w:pPr>
            <w:r w:rsidRPr="00067C91">
              <w:rPr>
                <w:sz w:val="20"/>
                <w:szCs w:val="20"/>
              </w:rPr>
              <w:t xml:space="preserve">Likumprojekta 2. panta paredz papildināt Kredītiestāžu likuma 4. pantu ar trešo daļu šādā redakcijā: “Šā likuma noteikumi attiecībā uz kredītiestādes noslēgtajiem finanšu nodrošinājuma darījumiem un noslēgtajiem atvasinātajiem finanšu instrumentu darījumiem piemērojami </w:t>
            </w:r>
            <w:r w:rsidRPr="00067C91">
              <w:rPr>
                <w:sz w:val="20"/>
                <w:szCs w:val="20"/>
              </w:rPr>
              <w:lastRenderedPageBreak/>
              <w:t>tiktāl, ciktāl Finanšu nodrošinājuma likumā un Izslēdzošā ieskaita piemērošanas atvasināto finanšu instrumentu darījumos likumā nav noteikts citādi.”</w:t>
            </w:r>
          </w:p>
          <w:p w14:paraId="53FCA98F" w14:textId="77777777" w:rsidR="00067C91" w:rsidRPr="00067C91" w:rsidRDefault="00067C91" w:rsidP="00257D22">
            <w:pPr>
              <w:pStyle w:val="NormalWeb"/>
              <w:spacing w:before="0" w:after="0"/>
              <w:ind w:right="13" w:firstLine="330"/>
              <w:jc w:val="both"/>
              <w:rPr>
                <w:sz w:val="20"/>
                <w:szCs w:val="20"/>
              </w:rPr>
            </w:pPr>
            <w:r w:rsidRPr="00067C91">
              <w:rPr>
                <w:sz w:val="20"/>
                <w:szCs w:val="20"/>
              </w:rPr>
              <w:t xml:space="preserve">Tieslietu ministrijas ieskatā minētā tiesību norma nerisina iespējamos kolīziju jautājumus un tiesību sistēmas saskaņotību. Ja Likumprojekts “Izslēdzošā ieskaita piemērošanas atvasināto finanšu instrumentu darījumos likums” (Izslēdzošā ieskaita likumprojekts) un Finanšu nodrošinājuma likums ir attiecīgie normatīvie akti, kas regulē izslēdzošā ieskaita piemērošanu konkrētajām darījumu kategorijām un tajos noteikto nav nepieciešams mainīt Kredītiestāžu regulējumā, nav skaidrs, kādēļ vispār ir nepieciešamas norādes normas. Ja Kredītiestāžu likumā paredzētajiem noteikumiem ir jāatbilst minētajos likumos ietvertajai sistēmai, Kredītiestāžu regulējuma normas par attiecīgajam darījumiem vienkārši ir saskaņojamas ar konkrētajos likumos ietverto modeli. Savukārt savstarpējas norādes normas, kas dod norādi uz otru likumu, rada neskaidrības par to, kas tad ir uzskatāms par vispārējo regulējumu un kas par speciālo un kas konkrētā dzīves gadījumā ir piemērojams. </w:t>
            </w:r>
          </w:p>
          <w:p w14:paraId="1F01C2AB" w14:textId="77777777" w:rsidR="00067C91" w:rsidRPr="00067C91" w:rsidRDefault="00067C91" w:rsidP="00257D22">
            <w:pPr>
              <w:pStyle w:val="NormalWeb"/>
              <w:spacing w:before="0" w:after="0"/>
              <w:ind w:right="13" w:firstLine="330"/>
              <w:jc w:val="both"/>
              <w:rPr>
                <w:sz w:val="20"/>
                <w:szCs w:val="20"/>
              </w:rPr>
            </w:pPr>
            <w:r w:rsidRPr="00067C91">
              <w:rPr>
                <w:sz w:val="20"/>
                <w:szCs w:val="20"/>
              </w:rPr>
              <w:t xml:space="preserve">Saglabājot šo normu, veidotos sistēma, ka Izslēdzošā ieskaita likumprojekts paredz, ka tas tiek piemērots tiktāl, ciktāl Kredītiestāžu likumā nav noteikts citādi. Savukārt Kredītiestāžu likums paredzētu, ka attiecībā uz Izslēdzošā ieskaita piemērošanas jomu tas ir piemērojams tiktāl, ciktāl Izslēdzošā ieskaita likumprojekts neparedz citādi. T.i., abi likumi atsaucas uz otra piemērošanu. Ja Izslēdzošā ieskaita likumprojektu ir paredzēts piemērot plašākam tiesisko attiecību lokam, būtu apsverama minētā likumprojekta tvēruma paplašināšana. Savukārt, ja konkrētos darījumu veidos ir paredzēts, ka Kredītiestāžu likuma noteikumi nepārkāpj Izslēdzošā ieskaita likumprojektā paredzēto, Kredītiestāžu likuma noteikumi vienkārši ir saskaņojami ar konkrētā </w:t>
            </w:r>
            <w:r w:rsidRPr="00067C91">
              <w:rPr>
                <w:sz w:val="20"/>
                <w:szCs w:val="20"/>
              </w:rPr>
              <w:lastRenderedPageBreak/>
              <w:t xml:space="preserve">likumprojekta noteikumiem. Tādējādi ir iespējams izvairīties no savstarpējām norādes normām, kuru ietvaros ir ļoti grūti identificēt to tvērumu un atšķetināt no tām izrietošo pretrunu. </w:t>
            </w:r>
          </w:p>
          <w:p w14:paraId="2195ED4B" w14:textId="77777777" w:rsidR="00067C91" w:rsidRPr="00067C91" w:rsidRDefault="00067C91" w:rsidP="00257D22">
            <w:pPr>
              <w:pStyle w:val="NormalWeb"/>
              <w:spacing w:before="0" w:after="0"/>
              <w:ind w:right="13" w:firstLine="330"/>
              <w:jc w:val="both"/>
              <w:rPr>
                <w:sz w:val="20"/>
                <w:szCs w:val="20"/>
              </w:rPr>
            </w:pPr>
            <w:r w:rsidRPr="00067C91">
              <w:rPr>
                <w:sz w:val="20"/>
                <w:szCs w:val="20"/>
              </w:rPr>
              <w:t xml:space="preserve">Vienlaikus vēršam uzmanību, ka izmantotā terminoloģija rada neskaidrības. Likumprojektā ir lietots jēdziens “atvasinātie finanšu instrumentu darījumi”, kas arī ir lietots Izslēdzošā ieskaita likumprojekta nosaukumā un anotācijā. Vienlaikus Izslēdzošā ieskaita likumprojekts paredz, ka tas attiecas tikai uz “kvalificētiem finanšu darījumiem”, kuri definēti pašā likumprojektā, citos likumos, kā arī ir paredzētas Finanšu un kapitāla tirgus komisijas tiesības izdot noteikumus, par tādiem klasificējot arī citus darījumus. No Likumprojektiem un to anotācijām nav īsti skaidrs vai jēdzieni “atvasinātie finanšu instrumentu darījumi” un “kvalificētie finanšu darījumi” ir paredzēti kā sinonīmi, vai tomēr tādi, kur viens ir plašāks vai šaurāks saturā par otru. </w:t>
            </w:r>
          </w:p>
          <w:p w14:paraId="0FBD218D" w14:textId="77777777" w:rsidR="00067C91" w:rsidRPr="00067C91" w:rsidRDefault="00067C91" w:rsidP="00257D22">
            <w:pPr>
              <w:pStyle w:val="NormalWeb"/>
              <w:spacing w:before="0" w:after="0"/>
              <w:ind w:right="13" w:firstLine="330"/>
              <w:jc w:val="both"/>
              <w:rPr>
                <w:sz w:val="20"/>
                <w:szCs w:val="20"/>
              </w:rPr>
            </w:pPr>
            <w:r w:rsidRPr="00067C91">
              <w:rPr>
                <w:sz w:val="20"/>
                <w:szCs w:val="20"/>
              </w:rPr>
              <w:t xml:space="preserve">Ievērojot minēto, </w:t>
            </w:r>
            <w:r w:rsidRPr="00067C91">
              <w:rPr>
                <w:sz w:val="20"/>
                <w:szCs w:val="20"/>
                <w:u w:val="single"/>
              </w:rPr>
              <w:t>lūdzam izvērtēt Likumprojekta 2. panta redakciju, nepieciešamības gadījumā to precizējot, kā arī papildināt Likumprojekta anotāciju ar skaidrojumu ar izstrādātāja redzējumu par izslēdzošam ieskaitam piemērojamām tiesību normām dažādās situācijās.</w:t>
            </w:r>
          </w:p>
          <w:p w14:paraId="65BCE6C0" w14:textId="77777777" w:rsidR="0037478B" w:rsidRPr="008D735B" w:rsidRDefault="0037478B" w:rsidP="002E1134">
            <w:pPr>
              <w:suppressAutoHyphens/>
              <w:spacing w:after="0" w:line="240" w:lineRule="auto"/>
              <w:jc w:val="both"/>
              <w:rPr>
                <w:rFonts w:ascii="Times New Roman" w:hAnsi="Times New Roman" w:cs="Times New Roman"/>
                <w:iCs/>
                <w:sz w:val="20"/>
                <w:szCs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1AED4D5C" w14:textId="77777777" w:rsidR="0037478B" w:rsidRDefault="002B7D4D" w:rsidP="00D31A0D">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Iebildums ņemts vērā.</w:t>
            </w:r>
          </w:p>
          <w:p w14:paraId="1CBD94B2" w14:textId="77777777" w:rsidR="00067C91" w:rsidRPr="00067C91" w:rsidRDefault="00067C91" w:rsidP="002150B3">
            <w:pPr>
              <w:shd w:val="clear" w:color="auto" w:fill="FFFFFF"/>
              <w:spacing w:after="0" w:line="240" w:lineRule="auto"/>
              <w:ind w:firstLine="341"/>
              <w:jc w:val="both"/>
              <w:rPr>
                <w:rFonts w:ascii="Times New Roman" w:hAnsi="Times New Roman" w:cs="Times New Roman"/>
                <w:bCs/>
                <w:sz w:val="20"/>
                <w:szCs w:val="20"/>
                <w:shd w:val="clear" w:color="auto" w:fill="FFFFFF"/>
              </w:rPr>
            </w:pPr>
            <w:r w:rsidRPr="00067C91">
              <w:rPr>
                <w:rFonts w:ascii="Times New Roman" w:eastAsia="Times New Roman" w:hAnsi="Times New Roman" w:cs="Times New Roman"/>
                <w:b/>
                <w:bCs/>
                <w:sz w:val="20"/>
                <w:szCs w:val="20"/>
              </w:rPr>
              <w:t>1.1.</w:t>
            </w:r>
            <w:r w:rsidRPr="00067C91">
              <w:rPr>
                <w:rFonts w:ascii="Times New Roman" w:eastAsia="Times New Roman" w:hAnsi="Times New Roman" w:cs="Times New Roman"/>
                <w:bCs/>
                <w:sz w:val="20"/>
                <w:szCs w:val="20"/>
              </w:rPr>
              <w:t xml:space="preserve"> </w:t>
            </w:r>
            <w:r w:rsidRPr="00067C91">
              <w:rPr>
                <w:rFonts w:ascii="Times New Roman" w:hAnsi="Times New Roman" w:cs="Times New Roman"/>
                <w:bCs/>
                <w:sz w:val="20"/>
                <w:szCs w:val="20"/>
                <w:shd w:val="clear" w:color="auto" w:fill="FFFFFF"/>
              </w:rPr>
              <w:t>Attiecībā par terminoloģijas lietojumu paskaidrojam</w:t>
            </w:r>
            <w:r>
              <w:rPr>
                <w:rFonts w:ascii="Times New Roman" w:hAnsi="Times New Roman" w:cs="Times New Roman"/>
                <w:bCs/>
                <w:sz w:val="20"/>
                <w:szCs w:val="20"/>
                <w:shd w:val="clear" w:color="auto" w:fill="FFFFFF"/>
              </w:rPr>
              <w:t>s</w:t>
            </w:r>
            <w:r w:rsidRPr="00067C91">
              <w:rPr>
                <w:rFonts w:ascii="Times New Roman" w:hAnsi="Times New Roman" w:cs="Times New Roman"/>
                <w:bCs/>
                <w:sz w:val="20"/>
                <w:szCs w:val="20"/>
                <w:shd w:val="clear" w:color="auto" w:fill="FFFFFF"/>
              </w:rPr>
              <w:t xml:space="preserve">, ka </w:t>
            </w:r>
            <w:r>
              <w:rPr>
                <w:rFonts w:ascii="Times New Roman" w:hAnsi="Times New Roman" w:cs="Times New Roman"/>
                <w:bCs/>
                <w:sz w:val="20"/>
                <w:szCs w:val="20"/>
                <w:shd w:val="clear" w:color="auto" w:fill="FFFFFF"/>
              </w:rPr>
              <w:t xml:space="preserve">precizētā </w:t>
            </w:r>
            <w:r w:rsidRPr="00067C91">
              <w:rPr>
                <w:rFonts w:ascii="Times New Roman" w:hAnsi="Times New Roman" w:cs="Times New Roman"/>
                <w:bCs/>
                <w:sz w:val="20"/>
                <w:szCs w:val="20"/>
                <w:shd w:val="clear" w:color="auto" w:fill="FFFFFF"/>
              </w:rPr>
              <w:t>likumprojekta „Izslēdzošā ieskaita piemērošanas atvasinātajiem finanšu instrumentiem likums” nosaukum</w:t>
            </w:r>
            <w:r>
              <w:rPr>
                <w:rFonts w:ascii="Times New Roman" w:hAnsi="Times New Roman" w:cs="Times New Roman"/>
                <w:bCs/>
                <w:sz w:val="20"/>
                <w:szCs w:val="20"/>
                <w:shd w:val="clear" w:color="auto" w:fill="FFFFFF"/>
              </w:rPr>
              <w:t>s ir grozīts</w:t>
            </w:r>
            <w:r w:rsidRPr="00067C91">
              <w:rPr>
                <w:rFonts w:ascii="Times New Roman" w:hAnsi="Times New Roman" w:cs="Times New Roman"/>
                <w:bCs/>
                <w:sz w:val="20"/>
                <w:szCs w:val="20"/>
                <w:shd w:val="clear" w:color="auto" w:fill="FFFFFF"/>
              </w:rPr>
              <w:t xml:space="preserve"> uz likumprojekts „Izslēdzošā ieskaita piemērošanas kvalificētajiem finanšu darījumiem likums”, lai tādējādi likumprojekta nosaukumā precīzāk atspoguļotu šajā likumprojektā regulētos jautājumus.</w:t>
            </w:r>
          </w:p>
          <w:p w14:paraId="2FFE3513" w14:textId="77777777" w:rsidR="00067C91" w:rsidRPr="00067C91" w:rsidRDefault="00067C91" w:rsidP="002150B3">
            <w:pPr>
              <w:shd w:val="clear" w:color="auto" w:fill="FFFFFF"/>
              <w:spacing w:after="0" w:line="240" w:lineRule="auto"/>
              <w:ind w:firstLine="341"/>
              <w:jc w:val="both"/>
              <w:rPr>
                <w:rFonts w:ascii="Times New Roman" w:hAnsi="Times New Roman" w:cs="Times New Roman"/>
                <w:sz w:val="20"/>
                <w:szCs w:val="20"/>
                <w:shd w:val="clear" w:color="auto" w:fill="FFFFFF"/>
              </w:rPr>
            </w:pPr>
            <w:r w:rsidRPr="00067C91">
              <w:rPr>
                <w:rFonts w:ascii="Times New Roman" w:eastAsia="Times New Roman" w:hAnsi="Times New Roman" w:cs="Times New Roman"/>
                <w:b/>
                <w:bCs/>
                <w:sz w:val="20"/>
                <w:szCs w:val="20"/>
              </w:rPr>
              <w:lastRenderedPageBreak/>
              <w:t>1.2.</w:t>
            </w:r>
            <w:r w:rsidRPr="00067C91">
              <w:rPr>
                <w:rFonts w:ascii="Times New Roman" w:eastAsia="Times New Roman" w:hAnsi="Times New Roman" w:cs="Times New Roman"/>
                <w:bCs/>
                <w:sz w:val="20"/>
                <w:szCs w:val="20"/>
              </w:rPr>
              <w:t xml:space="preserve"> </w:t>
            </w:r>
            <w:r w:rsidR="00D940EB">
              <w:rPr>
                <w:rFonts w:ascii="Times New Roman" w:hAnsi="Times New Roman" w:cs="Times New Roman"/>
                <w:sz w:val="20"/>
                <w:szCs w:val="20"/>
                <w:shd w:val="clear" w:color="auto" w:fill="FFFFFF"/>
              </w:rPr>
              <w:t>Att</w:t>
            </w:r>
            <w:r w:rsidRPr="00067C91">
              <w:rPr>
                <w:rFonts w:ascii="Times New Roman" w:hAnsi="Times New Roman" w:cs="Times New Roman"/>
                <w:sz w:val="20"/>
                <w:szCs w:val="20"/>
                <w:shd w:val="clear" w:color="auto" w:fill="FFFFFF"/>
              </w:rPr>
              <w:t>iecībā uz Kredītiestāžu likuma normu saskaņotību ar citiem tiesību aktiem, kas regulē izslēdzošo ieskaitu</w:t>
            </w:r>
            <w:r>
              <w:rPr>
                <w:rFonts w:ascii="Times New Roman" w:hAnsi="Times New Roman" w:cs="Times New Roman"/>
                <w:sz w:val="20"/>
                <w:szCs w:val="20"/>
                <w:shd w:val="clear" w:color="auto" w:fill="FFFFFF"/>
              </w:rPr>
              <w:t>, norādāms</w:t>
            </w:r>
            <w:r w:rsidRPr="00067C91">
              <w:rPr>
                <w:rFonts w:ascii="Times New Roman" w:hAnsi="Times New Roman" w:cs="Times New Roman"/>
                <w:sz w:val="20"/>
                <w:szCs w:val="20"/>
                <w:shd w:val="clear" w:color="auto" w:fill="FFFFFF"/>
              </w:rPr>
              <w:t>, ka Maksātnespējas likum</w:t>
            </w:r>
            <w:r>
              <w:rPr>
                <w:rFonts w:ascii="Times New Roman" w:hAnsi="Times New Roman" w:cs="Times New Roman"/>
                <w:sz w:val="20"/>
                <w:szCs w:val="20"/>
                <w:shd w:val="clear" w:color="auto" w:fill="FFFFFF"/>
              </w:rPr>
              <w:t xml:space="preserve">s </w:t>
            </w:r>
            <w:r w:rsidRPr="00067C91">
              <w:rPr>
                <w:rFonts w:ascii="Times New Roman" w:hAnsi="Times New Roman" w:cs="Times New Roman"/>
                <w:sz w:val="20"/>
                <w:szCs w:val="20"/>
                <w:shd w:val="clear" w:color="auto" w:fill="FFFFFF"/>
              </w:rPr>
              <w:t>kopumā nepieļauj izslēdzošā ieskaita piemērošanu, jo t</w:t>
            </w:r>
            <w:r>
              <w:rPr>
                <w:rFonts w:ascii="Times New Roman" w:hAnsi="Times New Roman" w:cs="Times New Roman"/>
                <w:sz w:val="20"/>
                <w:szCs w:val="20"/>
                <w:shd w:val="clear" w:color="auto" w:fill="FFFFFF"/>
              </w:rPr>
              <w:t>a</w:t>
            </w:r>
            <w:r w:rsidRPr="00067C91">
              <w:rPr>
                <w:rFonts w:ascii="Times New Roman" w:hAnsi="Times New Roman" w:cs="Times New Roman"/>
                <w:sz w:val="20"/>
                <w:szCs w:val="20"/>
                <w:shd w:val="clear" w:color="auto" w:fill="FFFFFF"/>
              </w:rPr>
              <w:t>s satur normas gan par ieskaita aizliegumu, gan arī paredz tiesības</w:t>
            </w:r>
            <w:r w:rsidR="002150B3">
              <w:rPr>
                <w:rFonts w:ascii="Times New Roman" w:hAnsi="Times New Roman" w:cs="Times New Roman"/>
                <w:sz w:val="20"/>
                <w:szCs w:val="20"/>
                <w:shd w:val="clear" w:color="auto" w:fill="FFFFFF"/>
              </w:rPr>
              <w:t xml:space="preserve"> maksātnespējas procesa</w:t>
            </w:r>
            <w:r w:rsidRPr="00067C91">
              <w:rPr>
                <w:rFonts w:ascii="Times New Roman" w:hAnsi="Times New Roman" w:cs="Times New Roman"/>
                <w:sz w:val="20"/>
                <w:szCs w:val="20"/>
                <w:shd w:val="clear" w:color="auto" w:fill="FFFFFF"/>
              </w:rPr>
              <w:t xml:space="preserve"> administratoram vienpusēji atkāpties no līguma vai prasīt atzī</w:t>
            </w:r>
            <w:r w:rsidR="00D940EB">
              <w:rPr>
                <w:rFonts w:ascii="Times New Roman" w:hAnsi="Times New Roman" w:cs="Times New Roman"/>
                <w:sz w:val="20"/>
                <w:szCs w:val="20"/>
                <w:shd w:val="clear" w:color="auto" w:fill="FFFFFF"/>
              </w:rPr>
              <w:t>t līgumu par spēkā neesošu. Tādē</w:t>
            </w:r>
            <w:r w:rsidRPr="00067C91">
              <w:rPr>
                <w:rFonts w:ascii="Times New Roman" w:hAnsi="Times New Roman" w:cs="Times New Roman"/>
                <w:sz w:val="20"/>
                <w:szCs w:val="20"/>
                <w:shd w:val="clear" w:color="auto" w:fill="FFFFFF"/>
              </w:rPr>
              <w:t>jādi otra līdzēja, kas nav kredītiestāde, maksātnespējas gadījumā izslēdzošais ieskaits nevar tikt piemē</w:t>
            </w:r>
            <w:r>
              <w:rPr>
                <w:rFonts w:ascii="Times New Roman" w:hAnsi="Times New Roman" w:cs="Times New Roman"/>
                <w:sz w:val="20"/>
                <w:szCs w:val="20"/>
                <w:shd w:val="clear" w:color="auto" w:fill="FFFFFF"/>
              </w:rPr>
              <w:t>rots.</w:t>
            </w:r>
          </w:p>
          <w:p w14:paraId="4646ED86" w14:textId="77777777" w:rsidR="00067C91" w:rsidRPr="00067C91" w:rsidRDefault="00067C91" w:rsidP="002150B3">
            <w:pPr>
              <w:shd w:val="clear" w:color="auto" w:fill="FFFFFF"/>
              <w:spacing w:after="0" w:line="240" w:lineRule="auto"/>
              <w:ind w:firstLine="341"/>
              <w:jc w:val="both"/>
              <w:rPr>
                <w:rFonts w:ascii="Times New Roman" w:hAnsi="Times New Roman" w:cs="Times New Roman"/>
                <w:sz w:val="20"/>
                <w:szCs w:val="20"/>
              </w:rPr>
            </w:pPr>
            <w:r w:rsidRPr="00067C91">
              <w:rPr>
                <w:rFonts w:ascii="Times New Roman" w:hAnsi="Times New Roman" w:cs="Times New Roman"/>
                <w:sz w:val="20"/>
                <w:szCs w:val="20"/>
                <w:shd w:val="clear" w:color="auto" w:fill="FFFFFF"/>
              </w:rPr>
              <w:t xml:space="preserve">Kredītiestāžu likumā nav tieši pateikts, kuros gadījumos izslēdzošais ieskaits varētu tikt piemērots kredītiestādes maksātnespējas gadījumā. Kredītiestāžu likuma </w:t>
            </w:r>
            <w:r w:rsidRPr="00067C91">
              <w:rPr>
                <w:rFonts w:ascii="Times New Roman" w:hAnsi="Times New Roman" w:cs="Times New Roman"/>
                <w:sz w:val="20"/>
                <w:szCs w:val="20"/>
              </w:rPr>
              <w:t>158.panta trešajā</w:t>
            </w:r>
            <w:r w:rsidRPr="00067C91">
              <w:rPr>
                <w:rFonts w:ascii="Times New Roman" w:hAnsi="Times New Roman" w:cs="Times New Roman"/>
                <w:sz w:val="20"/>
                <w:szCs w:val="20"/>
                <w:vertAlign w:val="superscript"/>
              </w:rPr>
              <w:t>1</w:t>
            </w:r>
            <w:r w:rsidRPr="00067C91">
              <w:rPr>
                <w:rFonts w:ascii="Times New Roman" w:hAnsi="Times New Roman" w:cs="Times New Roman"/>
                <w:sz w:val="20"/>
                <w:szCs w:val="20"/>
              </w:rPr>
              <w:t xml:space="preserve"> daļā ir ietverts prasījumu un saistību dzēšanas (jeb citiem vārdiem ieskaita) aizliegums. Tāpat Kredītiestāžu likumā līdzīgi kā Maksātnespējas </w:t>
            </w:r>
            <w:r>
              <w:rPr>
                <w:rFonts w:ascii="Times New Roman" w:hAnsi="Times New Roman" w:cs="Times New Roman"/>
                <w:sz w:val="20"/>
                <w:szCs w:val="20"/>
              </w:rPr>
              <w:t>likum</w:t>
            </w:r>
            <w:r w:rsidR="002150B3">
              <w:rPr>
                <w:rFonts w:ascii="Times New Roman" w:hAnsi="Times New Roman" w:cs="Times New Roman"/>
                <w:sz w:val="20"/>
                <w:szCs w:val="20"/>
              </w:rPr>
              <w:t>ā</w:t>
            </w:r>
            <w:r>
              <w:rPr>
                <w:rFonts w:ascii="Times New Roman" w:hAnsi="Times New Roman" w:cs="Times New Roman"/>
                <w:sz w:val="20"/>
                <w:szCs w:val="20"/>
              </w:rPr>
              <w:t xml:space="preserve"> </w:t>
            </w:r>
            <w:r w:rsidRPr="00067C91">
              <w:rPr>
                <w:rFonts w:ascii="Times New Roman" w:hAnsi="Times New Roman" w:cs="Times New Roman"/>
                <w:sz w:val="20"/>
                <w:szCs w:val="20"/>
              </w:rPr>
              <w:t xml:space="preserve">ir iekļautas normas, kas </w:t>
            </w:r>
            <w:r>
              <w:rPr>
                <w:rFonts w:ascii="Times New Roman" w:hAnsi="Times New Roman" w:cs="Times New Roman"/>
                <w:sz w:val="20"/>
                <w:szCs w:val="20"/>
              </w:rPr>
              <w:t xml:space="preserve">maksātnespējas procesa </w:t>
            </w:r>
            <w:r w:rsidRPr="00067C91">
              <w:rPr>
                <w:rFonts w:ascii="Times New Roman" w:hAnsi="Times New Roman" w:cs="Times New Roman"/>
                <w:sz w:val="20"/>
                <w:szCs w:val="20"/>
              </w:rPr>
              <w:t>administratoram dod tiesības prasīt atzīt par spēkā neesošiem kredītiestādes darījumus vai vienpusēji atkāpties no līguma izpildes (piemēram, Kredītiestāžu likuma 161.panta ceturtās daļas 3. un 3.</w:t>
            </w:r>
            <w:r w:rsidRPr="00067C91">
              <w:rPr>
                <w:rFonts w:ascii="Times New Roman" w:hAnsi="Times New Roman" w:cs="Times New Roman"/>
                <w:sz w:val="20"/>
                <w:szCs w:val="20"/>
                <w:vertAlign w:val="superscript"/>
              </w:rPr>
              <w:t>1</w:t>
            </w:r>
            <w:r w:rsidRPr="00067C91">
              <w:rPr>
                <w:rFonts w:ascii="Times New Roman" w:hAnsi="Times New Roman" w:cs="Times New Roman"/>
                <w:sz w:val="20"/>
                <w:szCs w:val="20"/>
              </w:rPr>
              <w:t xml:space="preserve">punkts). Līdz ar to Kredītiestāžu likums nenodrošina izslēdzošā ieskaita izpildāmību, jo kredītiestādes maksātnespējas gadījumā, tiesību normas, kas regulē kredītiestādes maksātnespēju, tajā skaitā arī visu kreditoru vienlīdzības principu, </w:t>
            </w:r>
            <w:r w:rsidRPr="00067C91">
              <w:rPr>
                <w:rFonts w:ascii="Times New Roman" w:hAnsi="Times New Roman" w:cs="Times New Roman"/>
                <w:sz w:val="20"/>
                <w:szCs w:val="20"/>
                <w:shd w:val="clear" w:color="auto" w:fill="FFFFFF"/>
              </w:rPr>
              <w:t>ieskaita aizliegumu vai tiesības</w:t>
            </w:r>
            <w:r>
              <w:rPr>
                <w:rFonts w:ascii="Times New Roman" w:hAnsi="Times New Roman" w:cs="Times New Roman"/>
                <w:sz w:val="20"/>
                <w:szCs w:val="20"/>
                <w:shd w:val="clear" w:color="auto" w:fill="FFFFFF"/>
              </w:rPr>
              <w:t xml:space="preserve"> maksātnespējas procesa</w:t>
            </w:r>
            <w:r w:rsidRPr="00067C91">
              <w:rPr>
                <w:rFonts w:ascii="Times New Roman" w:hAnsi="Times New Roman" w:cs="Times New Roman"/>
                <w:sz w:val="20"/>
                <w:szCs w:val="20"/>
                <w:shd w:val="clear" w:color="auto" w:fill="FFFFFF"/>
              </w:rPr>
              <w:t xml:space="preserve"> administratoram vienpusēji atkāpties no līguma </w:t>
            </w:r>
            <w:r w:rsidRPr="00067C91">
              <w:rPr>
                <w:rFonts w:ascii="Times New Roman" w:hAnsi="Times New Roman" w:cs="Times New Roman"/>
                <w:sz w:val="20"/>
                <w:szCs w:val="20"/>
              </w:rPr>
              <w:t xml:space="preserve">būs prevalējošas pār jebkādu līdzēju vienošanos, kas ietverta tā saucamajā jumta līgumā (Master Agreement). </w:t>
            </w:r>
          </w:p>
          <w:p w14:paraId="2A12FC6E" w14:textId="77777777" w:rsidR="00067C91" w:rsidRPr="00067C91" w:rsidRDefault="00067C91" w:rsidP="002150B3">
            <w:pPr>
              <w:shd w:val="clear" w:color="auto" w:fill="FFFFFF"/>
              <w:spacing w:after="0" w:line="240" w:lineRule="auto"/>
              <w:ind w:firstLine="341"/>
              <w:jc w:val="both"/>
              <w:rPr>
                <w:rFonts w:ascii="Times New Roman" w:hAnsi="Times New Roman" w:cs="Times New Roman"/>
                <w:sz w:val="20"/>
                <w:szCs w:val="20"/>
                <w:shd w:val="clear" w:color="auto" w:fill="FFFFFF"/>
              </w:rPr>
            </w:pPr>
            <w:r w:rsidRPr="00067C91">
              <w:rPr>
                <w:rFonts w:ascii="Times New Roman" w:hAnsi="Times New Roman" w:cs="Times New Roman"/>
                <w:sz w:val="20"/>
                <w:szCs w:val="20"/>
              </w:rPr>
              <w:t>Vienlaikus atzīmējams, ka, pārņemot Eiropas Savienības direktīvas, izslēdzošā ieskaita regulējums Latvijā ir iekļauts divos tiesību aktos: 1)</w:t>
            </w:r>
            <w:r w:rsidR="002150B3">
              <w:rPr>
                <w:rFonts w:ascii="Times New Roman" w:hAnsi="Times New Roman" w:cs="Times New Roman"/>
                <w:sz w:val="20"/>
                <w:szCs w:val="20"/>
              </w:rPr>
              <w:t> </w:t>
            </w:r>
            <w:r w:rsidRPr="00067C91">
              <w:rPr>
                <w:rFonts w:ascii="Times New Roman" w:hAnsi="Times New Roman" w:cs="Times New Roman"/>
                <w:sz w:val="20"/>
                <w:szCs w:val="20"/>
              </w:rPr>
              <w:t>Finanšu nodrošinājuma likumā un 2)</w:t>
            </w:r>
            <w:r w:rsidR="002150B3">
              <w:rPr>
                <w:rFonts w:ascii="Times New Roman" w:hAnsi="Times New Roman" w:cs="Times New Roman"/>
                <w:sz w:val="20"/>
                <w:szCs w:val="20"/>
              </w:rPr>
              <w:t> </w:t>
            </w:r>
            <w:r w:rsidRPr="00067C91">
              <w:rPr>
                <w:rFonts w:ascii="Times New Roman" w:hAnsi="Times New Roman" w:cs="Times New Roman"/>
                <w:sz w:val="20"/>
                <w:szCs w:val="20"/>
                <w:shd w:val="clear" w:color="auto" w:fill="FFFFFF"/>
              </w:rPr>
              <w:t xml:space="preserve">likumā „Par norēķinu galīgumu maksājumu un finanšu instrumentu norēķinu sistēmās”. Lai kredītiestādes maksātnespējas gadījumā šajos tiesību aktos noteiktais nebūt pretrunā ar Kredītiestāžu likuma normām, kas nepieļauj izslēdzošā ieskaita piemērošanu, Kredītiestāžu likumā ir iekļautas divas atsauces normas. Kredītiestāžu </w:t>
            </w:r>
            <w:r w:rsidRPr="00067C91">
              <w:rPr>
                <w:rFonts w:ascii="Times New Roman" w:hAnsi="Times New Roman" w:cs="Times New Roman"/>
                <w:sz w:val="20"/>
                <w:szCs w:val="20"/>
                <w:shd w:val="clear" w:color="auto" w:fill="FFFFFF"/>
              </w:rPr>
              <w:lastRenderedPageBreak/>
              <w:t xml:space="preserve">likuma 2.panta trešā daļa noteic, ka </w:t>
            </w:r>
            <w:r w:rsidR="006A28CA" w:rsidRPr="006A28CA">
              <w:rPr>
                <w:rFonts w:ascii="Times New Roman" w:hAnsi="Times New Roman" w:cs="Times New Roman"/>
                <w:bCs/>
                <w:i/>
                <w:sz w:val="20"/>
                <w:szCs w:val="20"/>
                <w:shd w:val="clear" w:color="auto" w:fill="FFFFFF"/>
              </w:rPr>
              <w:t>„</w:t>
            </w:r>
            <w:r w:rsidRPr="00067C91">
              <w:rPr>
                <w:rFonts w:ascii="Times New Roman" w:hAnsi="Times New Roman" w:cs="Times New Roman"/>
                <w:i/>
                <w:sz w:val="20"/>
                <w:szCs w:val="20"/>
                <w:shd w:val="clear" w:color="auto" w:fill="FFFFFF"/>
              </w:rPr>
              <w:t>Ja kredītiestāde saskaņā ar likumu "Par norēķinu galīgumu maksājumu un finanšu instrumentu norēķinu sistēmās" ir sistēmas dalībnieks, kredītiestādes maksātnespējas procesā, kā arī tad, ja Finanšu un kapitāla tirgus komisija kredītiestādei daļēji vai pilnīgi apturējusi finanšu pakalpojumu sniegšanu, attiecībā uz norēķinu galīguma nodrošināšanu maksājumu un finanšu instrumentu norēķinu sistēmā piemēro likumu "Par norēķinu galīgumu maksājumu un finanšu instrumentu norēķinu sistēmās</w:t>
            </w:r>
            <w:r w:rsidRPr="00067C91">
              <w:rPr>
                <w:rFonts w:ascii="Times New Roman" w:hAnsi="Times New Roman" w:cs="Times New Roman"/>
                <w:sz w:val="20"/>
                <w:szCs w:val="20"/>
                <w:shd w:val="clear" w:color="auto" w:fill="FFFFFF"/>
              </w:rPr>
              <w:t>". Līdzīgi arī Kredītiestāžu likuma 10.</w:t>
            </w:r>
            <w:r w:rsidRPr="00067C91">
              <w:rPr>
                <w:rFonts w:ascii="Times New Roman" w:hAnsi="Times New Roman" w:cs="Times New Roman"/>
                <w:sz w:val="20"/>
                <w:szCs w:val="20"/>
                <w:shd w:val="clear" w:color="auto" w:fill="FFFFFF"/>
                <w:vertAlign w:val="superscript"/>
              </w:rPr>
              <w:t>2</w:t>
            </w:r>
            <w:r w:rsidRPr="00067C91">
              <w:rPr>
                <w:rFonts w:ascii="Times New Roman" w:hAnsi="Times New Roman" w:cs="Times New Roman"/>
                <w:sz w:val="20"/>
                <w:szCs w:val="20"/>
                <w:shd w:val="clear" w:color="auto" w:fill="FFFFFF"/>
              </w:rPr>
              <w:t xml:space="preserve">pants noteic, ka </w:t>
            </w:r>
            <w:r w:rsidR="006A28CA" w:rsidRPr="006A28CA">
              <w:rPr>
                <w:rFonts w:ascii="Times New Roman" w:hAnsi="Times New Roman" w:cs="Times New Roman"/>
                <w:bCs/>
                <w:i/>
                <w:sz w:val="20"/>
                <w:szCs w:val="20"/>
                <w:shd w:val="clear" w:color="auto" w:fill="FFFFFF"/>
              </w:rPr>
              <w:t>„</w:t>
            </w:r>
            <w:r w:rsidRPr="00067C91">
              <w:rPr>
                <w:rFonts w:ascii="Times New Roman" w:hAnsi="Times New Roman" w:cs="Times New Roman"/>
                <w:i/>
                <w:sz w:val="20"/>
                <w:szCs w:val="20"/>
                <w:shd w:val="clear" w:color="auto" w:fill="FFFFFF"/>
              </w:rPr>
              <w:t xml:space="preserve">Ar finanšu nodrošinājumu saistītās tiesiskās attiecības regulē atsevišķs likums.” </w:t>
            </w:r>
            <w:r w:rsidRPr="00067C91">
              <w:rPr>
                <w:rFonts w:ascii="Times New Roman" w:hAnsi="Times New Roman" w:cs="Times New Roman"/>
                <w:sz w:val="20"/>
                <w:szCs w:val="20"/>
                <w:shd w:val="clear" w:color="auto" w:fill="FFFFFF"/>
              </w:rPr>
              <w:t>Minētās atsauces normas novērš situāciju, ka kredītiestādes maksātnespējas gadījumā, izslēdzošais ieskaits, varētu netikt piemērots.</w:t>
            </w:r>
          </w:p>
          <w:p w14:paraId="356ADE21" w14:textId="77777777" w:rsidR="00067C91" w:rsidRPr="00067C91" w:rsidRDefault="00067C91" w:rsidP="002150B3">
            <w:pPr>
              <w:shd w:val="clear" w:color="auto" w:fill="FFFFFF"/>
              <w:spacing w:after="0" w:line="240" w:lineRule="auto"/>
              <w:ind w:firstLine="341"/>
              <w:jc w:val="both"/>
              <w:rPr>
                <w:rFonts w:ascii="Times New Roman" w:hAnsi="Times New Roman" w:cs="Times New Roman"/>
                <w:sz w:val="20"/>
                <w:szCs w:val="20"/>
              </w:rPr>
            </w:pPr>
            <w:r w:rsidRPr="00067C91">
              <w:rPr>
                <w:rFonts w:ascii="Times New Roman" w:hAnsi="Times New Roman" w:cs="Times New Roman"/>
                <w:sz w:val="20"/>
                <w:szCs w:val="20"/>
                <w:shd w:val="clear" w:color="auto" w:fill="FFFFFF"/>
              </w:rPr>
              <w:t xml:space="preserve">Ņemot vērā juridisko tehniku, kādā veidā Kredītiestāžu likuma regulējums ir saskaņots ar Finanšu nodrošinājuma likumu un likumu „Par norēķinu galīgumu maksājumu un finanšu instrumentu norēķinu sistēmās”, precizētajā </w:t>
            </w:r>
            <w:r>
              <w:rPr>
                <w:rFonts w:ascii="Times New Roman" w:hAnsi="Times New Roman" w:cs="Times New Roman"/>
                <w:sz w:val="20"/>
                <w:szCs w:val="20"/>
                <w:shd w:val="clear" w:color="auto" w:fill="FFFFFF"/>
              </w:rPr>
              <w:t>L</w:t>
            </w:r>
            <w:r w:rsidRPr="00067C91">
              <w:rPr>
                <w:rFonts w:ascii="Times New Roman" w:hAnsi="Times New Roman" w:cs="Times New Roman"/>
                <w:sz w:val="20"/>
                <w:szCs w:val="20"/>
                <w:shd w:val="clear" w:color="auto" w:fill="FFFFFF"/>
              </w:rPr>
              <w:t xml:space="preserve">ikumprojektā ir paredzēts iekļaut līdzīgu atsauces normu uz </w:t>
            </w:r>
            <w:r>
              <w:rPr>
                <w:rFonts w:ascii="Times New Roman" w:hAnsi="Times New Roman" w:cs="Times New Roman"/>
                <w:sz w:val="20"/>
                <w:szCs w:val="20"/>
                <w:shd w:val="clear" w:color="auto" w:fill="FFFFFF"/>
              </w:rPr>
              <w:t>likumprojektu „</w:t>
            </w:r>
            <w:r w:rsidRPr="00067C91">
              <w:rPr>
                <w:rFonts w:ascii="Times New Roman" w:hAnsi="Times New Roman" w:cs="Times New Roman"/>
                <w:sz w:val="20"/>
                <w:szCs w:val="20"/>
                <w:shd w:val="clear" w:color="auto" w:fill="FFFFFF"/>
              </w:rPr>
              <w:t>Izslēdzošā ieskaita piemērošanas kvalificētajiem finanšu darījumiem likum</w:t>
            </w:r>
            <w:r>
              <w:rPr>
                <w:rFonts w:ascii="Times New Roman" w:hAnsi="Times New Roman" w:cs="Times New Roman"/>
                <w:sz w:val="20"/>
                <w:szCs w:val="20"/>
                <w:shd w:val="clear" w:color="auto" w:fill="FFFFFF"/>
              </w:rPr>
              <w:t>s”</w:t>
            </w:r>
            <w:r w:rsidRPr="00067C91">
              <w:rPr>
                <w:rFonts w:ascii="Times New Roman" w:hAnsi="Times New Roman" w:cs="Times New Roman"/>
                <w:sz w:val="20"/>
                <w:szCs w:val="20"/>
                <w:shd w:val="clear" w:color="auto" w:fill="FFFFFF"/>
              </w:rPr>
              <w:t>. Proti, p</w:t>
            </w:r>
            <w:r>
              <w:rPr>
                <w:rFonts w:ascii="Times New Roman" w:eastAsia="Times New Roman" w:hAnsi="Times New Roman" w:cs="Times New Roman"/>
                <w:bCs/>
                <w:sz w:val="20"/>
                <w:szCs w:val="20"/>
              </w:rPr>
              <w:t>recizēt</w:t>
            </w:r>
            <w:r w:rsidRPr="00067C91">
              <w:rPr>
                <w:rFonts w:ascii="Times New Roman" w:eastAsia="Times New Roman" w:hAnsi="Times New Roman" w:cs="Times New Roman"/>
                <w:bCs/>
                <w:sz w:val="20"/>
                <w:szCs w:val="20"/>
              </w:rPr>
              <w:t>ā Likumprojekt</w:t>
            </w:r>
            <w:r>
              <w:rPr>
                <w:rFonts w:ascii="Times New Roman" w:eastAsia="Times New Roman" w:hAnsi="Times New Roman" w:cs="Times New Roman"/>
                <w:bCs/>
                <w:sz w:val="20"/>
                <w:szCs w:val="20"/>
              </w:rPr>
              <w:t>a</w:t>
            </w:r>
            <w:r w:rsidRPr="00067C91">
              <w:rPr>
                <w:rFonts w:ascii="Times New Roman" w:eastAsia="Times New Roman" w:hAnsi="Times New Roman" w:cs="Times New Roman"/>
                <w:bCs/>
                <w:sz w:val="20"/>
                <w:szCs w:val="20"/>
              </w:rPr>
              <w:t xml:space="preserve"> </w:t>
            </w:r>
            <w:r w:rsidRPr="00067C91">
              <w:rPr>
                <w:rFonts w:ascii="Times New Roman" w:hAnsi="Times New Roman" w:cs="Times New Roman"/>
                <w:sz w:val="20"/>
                <w:szCs w:val="20"/>
                <w:shd w:val="clear" w:color="auto" w:fill="FFFFFF"/>
              </w:rPr>
              <w:t xml:space="preserve">2.pants, kas iepriekš paredzēja papildināt Kredītiestāžu likuma </w:t>
            </w:r>
            <w:r w:rsidRPr="00067C91">
              <w:rPr>
                <w:rFonts w:ascii="Times New Roman" w:eastAsia="Times New Roman" w:hAnsi="Times New Roman" w:cs="Times New Roman"/>
                <w:sz w:val="20"/>
                <w:szCs w:val="20"/>
              </w:rPr>
              <w:t xml:space="preserve">4.pantu ar trešo daļu, ir izteikts jaunā redakcijā, kas paredz papildināt likumu ar </w:t>
            </w:r>
            <w:r w:rsidRPr="00067C91">
              <w:rPr>
                <w:rFonts w:ascii="Times New Roman" w:hAnsi="Times New Roman" w:cs="Times New Roman"/>
                <w:sz w:val="20"/>
                <w:szCs w:val="20"/>
                <w:shd w:val="clear" w:color="auto" w:fill="FFFFFF"/>
              </w:rPr>
              <w:t>10.</w:t>
            </w:r>
            <w:r w:rsidRPr="00067C91">
              <w:rPr>
                <w:rFonts w:ascii="Times New Roman" w:hAnsi="Times New Roman" w:cs="Times New Roman"/>
                <w:sz w:val="20"/>
                <w:szCs w:val="20"/>
                <w:shd w:val="clear" w:color="auto" w:fill="FFFFFF"/>
                <w:vertAlign w:val="superscript"/>
              </w:rPr>
              <w:t>3</w:t>
            </w:r>
            <w:r w:rsidRPr="00067C91">
              <w:rPr>
                <w:rFonts w:ascii="Times New Roman" w:hAnsi="Times New Roman" w:cs="Times New Roman"/>
                <w:sz w:val="20"/>
                <w:szCs w:val="20"/>
                <w:shd w:val="clear" w:color="auto" w:fill="FFFFFF"/>
              </w:rPr>
              <w:t xml:space="preserve">pantu un kas noteic, ka </w:t>
            </w:r>
            <w:r w:rsidR="002A3210" w:rsidRPr="002A3210">
              <w:rPr>
                <w:rFonts w:ascii="Times New Roman" w:hAnsi="Times New Roman" w:cs="Times New Roman"/>
                <w:bCs/>
                <w:i/>
                <w:sz w:val="20"/>
                <w:szCs w:val="20"/>
                <w:shd w:val="clear" w:color="auto" w:fill="FFFFFF"/>
              </w:rPr>
              <w:t>„</w:t>
            </w:r>
            <w:r w:rsidRPr="00067C91">
              <w:rPr>
                <w:rFonts w:ascii="Times New Roman" w:hAnsi="Times New Roman" w:cs="Times New Roman"/>
                <w:i/>
                <w:sz w:val="20"/>
                <w:szCs w:val="20"/>
                <w:shd w:val="clear" w:color="auto" w:fill="FFFFFF"/>
              </w:rPr>
              <w:t>Izslēdzošā ieskaita piemērošanu kvalificētajiem finanšu darījumiem regulē Izslēdzošā ieskaita piemērošanas kvalificētajiem finanšu darījumiem likums”</w:t>
            </w:r>
            <w:r w:rsidRPr="00067C91">
              <w:rPr>
                <w:rFonts w:ascii="Times New Roman" w:hAnsi="Times New Roman" w:cs="Times New Roman"/>
                <w:sz w:val="20"/>
                <w:szCs w:val="20"/>
                <w:shd w:val="clear" w:color="auto" w:fill="FFFFFF"/>
              </w:rPr>
              <w:t>.</w:t>
            </w:r>
          </w:p>
          <w:p w14:paraId="5FD86D7B" w14:textId="77777777" w:rsidR="002B7D4D" w:rsidRPr="002B7D4D" w:rsidRDefault="00067C91" w:rsidP="003F71BE">
            <w:pPr>
              <w:shd w:val="clear" w:color="auto" w:fill="FFFFFF"/>
              <w:spacing w:after="0" w:line="240" w:lineRule="auto"/>
              <w:ind w:firstLine="341"/>
              <w:jc w:val="both"/>
              <w:rPr>
                <w:rFonts w:ascii="Times New Roman" w:eastAsia="Times New Roman" w:hAnsi="Times New Roman" w:cs="Times New Roman"/>
                <w:bCs/>
                <w:sz w:val="20"/>
                <w:lang w:eastAsia="lv-LV"/>
              </w:rPr>
            </w:pPr>
            <w:r w:rsidRPr="00067C91">
              <w:rPr>
                <w:rFonts w:ascii="Times New Roman" w:hAnsi="Times New Roman" w:cs="Times New Roman"/>
                <w:b/>
                <w:sz w:val="20"/>
                <w:szCs w:val="20"/>
              </w:rPr>
              <w:t>1.3.</w:t>
            </w:r>
            <w:r w:rsidRPr="00067C91">
              <w:rPr>
                <w:rFonts w:ascii="Times New Roman" w:hAnsi="Times New Roman" w:cs="Times New Roman"/>
                <w:sz w:val="20"/>
                <w:szCs w:val="20"/>
              </w:rPr>
              <w:t xml:space="preserve"> Papildus vēr</w:t>
            </w:r>
            <w:r>
              <w:rPr>
                <w:rFonts w:ascii="Times New Roman" w:hAnsi="Times New Roman" w:cs="Times New Roman"/>
                <w:sz w:val="20"/>
                <w:szCs w:val="20"/>
              </w:rPr>
              <w:t>ša</w:t>
            </w:r>
            <w:r w:rsidRPr="00067C91">
              <w:rPr>
                <w:rFonts w:ascii="Times New Roman" w:hAnsi="Times New Roman" w:cs="Times New Roman"/>
                <w:sz w:val="20"/>
                <w:szCs w:val="20"/>
              </w:rPr>
              <w:t>m uzmanību, ka Kredītiestāžu likuma 158.panta pirmā daļa pieļauj izslēdzošā ieskaita piemērošanu kredītiestādes reorganizācijas un li</w:t>
            </w:r>
            <w:r w:rsidR="002150B3">
              <w:rPr>
                <w:rFonts w:ascii="Times New Roman" w:hAnsi="Times New Roman" w:cs="Times New Roman"/>
                <w:sz w:val="20"/>
                <w:szCs w:val="20"/>
              </w:rPr>
              <w:t>kvidācijas gadījumā ar atrunu „</w:t>
            </w:r>
            <w:r w:rsidRPr="00067C91">
              <w:rPr>
                <w:rFonts w:ascii="Times New Roman" w:hAnsi="Times New Roman" w:cs="Times New Roman"/>
                <w:sz w:val="20"/>
                <w:szCs w:val="20"/>
              </w:rPr>
              <w:t xml:space="preserve">ja šādas darbības pieļauj likums attiecībā uz kredītiestādes prasījumiem”. Turklāt </w:t>
            </w:r>
            <w:r w:rsidRPr="00067C91">
              <w:rPr>
                <w:rFonts w:ascii="Times New Roman" w:hAnsi="Times New Roman" w:cs="Times New Roman"/>
                <w:bCs/>
                <w:sz w:val="20"/>
                <w:szCs w:val="20"/>
                <w:shd w:val="clear" w:color="auto" w:fill="FFFFFF"/>
              </w:rPr>
              <w:t xml:space="preserve">Kredītiestāžu likuma 4.panta otrā daļa noteic, ka </w:t>
            </w:r>
            <w:r w:rsidR="002A3210" w:rsidRPr="002A3210">
              <w:rPr>
                <w:rFonts w:ascii="Times New Roman" w:hAnsi="Times New Roman" w:cs="Times New Roman"/>
                <w:bCs/>
                <w:i/>
                <w:sz w:val="20"/>
                <w:szCs w:val="20"/>
                <w:shd w:val="clear" w:color="auto" w:fill="FFFFFF"/>
              </w:rPr>
              <w:t>„</w:t>
            </w:r>
            <w:r w:rsidRPr="00067C91">
              <w:rPr>
                <w:rFonts w:ascii="Times New Roman" w:hAnsi="Times New Roman" w:cs="Times New Roman"/>
                <w:i/>
                <w:sz w:val="20"/>
                <w:szCs w:val="20"/>
                <w:shd w:val="clear" w:color="auto" w:fill="FFFFFF"/>
              </w:rPr>
              <w:t xml:space="preserve">Šā likuma noteikumi kredītiestādes darbības atjaunošanai un noregulējumam piemērojami tiktāl, ciktāl Kredītiestāžu un ieguldījumu brokeru sabiedrību </w:t>
            </w:r>
            <w:r w:rsidRPr="00067C91">
              <w:rPr>
                <w:rFonts w:ascii="Times New Roman" w:hAnsi="Times New Roman" w:cs="Times New Roman"/>
                <w:i/>
                <w:sz w:val="20"/>
                <w:szCs w:val="20"/>
                <w:shd w:val="clear" w:color="auto" w:fill="FFFFFF"/>
              </w:rPr>
              <w:lastRenderedPageBreak/>
              <w:t>darbības atjaunošanas un noregulējuma likumā nav noteikts citādi.”</w:t>
            </w:r>
            <w:r w:rsidRPr="00067C91">
              <w:rPr>
                <w:rFonts w:ascii="Times New Roman" w:hAnsi="Times New Roman" w:cs="Times New Roman"/>
                <w:sz w:val="20"/>
                <w:szCs w:val="20"/>
                <w:shd w:val="clear" w:color="auto" w:fill="FFFFFF"/>
              </w:rPr>
              <w:t>. Lai saskaņotu</w:t>
            </w:r>
            <w:r w:rsidR="002150B3">
              <w:rPr>
                <w:rFonts w:ascii="Times New Roman" w:hAnsi="Times New Roman" w:cs="Times New Roman"/>
                <w:sz w:val="20"/>
                <w:szCs w:val="20"/>
                <w:shd w:val="clear" w:color="auto" w:fill="FFFFFF"/>
              </w:rPr>
              <w:t xml:space="preserve"> likumprojekta</w:t>
            </w:r>
            <w:r w:rsidRPr="00067C91">
              <w:rPr>
                <w:rFonts w:ascii="Times New Roman" w:hAnsi="Times New Roman" w:cs="Times New Roman"/>
                <w:sz w:val="20"/>
                <w:szCs w:val="20"/>
                <w:shd w:val="clear" w:color="auto" w:fill="FFFFFF"/>
              </w:rPr>
              <w:t xml:space="preserve"> </w:t>
            </w:r>
            <w:r w:rsidR="002150B3">
              <w:rPr>
                <w:rFonts w:ascii="Times New Roman" w:hAnsi="Times New Roman" w:cs="Times New Roman"/>
                <w:sz w:val="20"/>
                <w:szCs w:val="20"/>
                <w:shd w:val="clear" w:color="auto" w:fill="FFFFFF"/>
              </w:rPr>
              <w:t>„</w:t>
            </w:r>
            <w:r w:rsidRPr="00067C91">
              <w:rPr>
                <w:rFonts w:ascii="Times New Roman" w:hAnsi="Times New Roman" w:cs="Times New Roman"/>
                <w:sz w:val="20"/>
                <w:szCs w:val="20"/>
                <w:shd w:val="clear" w:color="auto" w:fill="FFFFFF"/>
              </w:rPr>
              <w:t>Izslēdzošā ieskaita piemērošanas kvalificētajiem finanšu darījumiem</w:t>
            </w:r>
            <w:r w:rsidR="002150B3">
              <w:rPr>
                <w:rFonts w:ascii="Times New Roman" w:hAnsi="Times New Roman" w:cs="Times New Roman"/>
                <w:sz w:val="20"/>
                <w:szCs w:val="20"/>
                <w:shd w:val="clear" w:color="auto" w:fill="FFFFFF"/>
              </w:rPr>
              <w:t xml:space="preserve">” </w:t>
            </w:r>
            <w:r w:rsidRPr="00067C91">
              <w:rPr>
                <w:rFonts w:ascii="Times New Roman" w:hAnsi="Times New Roman" w:cs="Times New Roman"/>
                <w:sz w:val="20"/>
                <w:szCs w:val="20"/>
                <w:shd w:val="clear" w:color="auto" w:fill="FFFFFF"/>
              </w:rPr>
              <w:t xml:space="preserve">normas ar Kredītiestāžu likuma 4.panta otro daļu, 158.panta pirmo daļu, kā arī ar Kredītiestāžu un ieguldījumu brokeru sabiedrību darbības atjaunošanas un noregulējuma likuma normām, </w:t>
            </w:r>
            <w:r w:rsidR="002150B3">
              <w:rPr>
                <w:rFonts w:ascii="Times New Roman" w:hAnsi="Times New Roman" w:cs="Times New Roman"/>
                <w:sz w:val="20"/>
                <w:szCs w:val="20"/>
                <w:shd w:val="clear" w:color="auto" w:fill="FFFFFF"/>
              </w:rPr>
              <w:t>pre</w:t>
            </w:r>
            <w:r w:rsidR="003F71BE">
              <w:rPr>
                <w:rFonts w:ascii="Times New Roman" w:hAnsi="Times New Roman" w:cs="Times New Roman"/>
                <w:sz w:val="20"/>
                <w:szCs w:val="20"/>
                <w:shd w:val="clear" w:color="auto" w:fill="FFFFFF"/>
              </w:rPr>
              <w:t>c</w:t>
            </w:r>
            <w:r w:rsidR="002150B3">
              <w:rPr>
                <w:rFonts w:ascii="Times New Roman" w:hAnsi="Times New Roman" w:cs="Times New Roman"/>
                <w:sz w:val="20"/>
                <w:szCs w:val="20"/>
                <w:shd w:val="clear" w:color="auto" w:fill="FFFFFF"/>
              </w:rPr>
              <w:t xml:space="preserve">izētā </w:t>
            </w:r>
            <w:r w:rsidRPr="00067C91">
              <w:rPr>
                <w:rFonts w:ascii="Times New Roman" w:hAnsi="Times New Roman" w:cs="Times New Roman"/>
                <w:sz w:val="20"/>
                <w:szCs w:val="20"/>
                <w:shd w:val="clear" w:color="auto" w:fill="FFFFFF"/>
              </w:rPr>
              <w:t>likumprojekta „Izslēdzošā ieskaita piemērošanas kvalificētajiem fin</w:t>
            </w:r>
            <w:r w:rsidR="002150B3">
              <w:rPr>
                <w:rFonts w:ascii="Times New Roman" w:hAnsi="Times New Roman" w:cs="Times New Roman"/>
                <w:sz w:val="20"/>
                <w:szCs w:val="20"/>
                <w:shd w:val="clear" w:color="auto" w:fill="FFFFFF"/>
              </w:rPr>
              <w:t xml:space="preserve">anšu darījumiem likums” 3.panta </w:t>
            </w:r>
            <w:r w:rsidRPr="00067C91">
              <w:rPr>
                <w:rFonts w:ascii="Times New Roman" w:hAnsi="Times New Roman" w:cs="Times New Roman"/>
                <w:sz w:val="20"/>
                <w:szCs w:val="20"/>
                <w:shd w:val="clear" w:color="auto" w:fill="FFFFFF"/>
              </w:rPr>
              <w:t>treš</w:t>
            </w:r>
            <w:r>
              <w:rPr>
                <w:rFonts w:ascii="Times New Roman" w:hAnsi="Times New Roman" w:cs="Times New Roman"/>
                <w:sz w:val="20"/>
                <w:szCs w:val="20"/>
                <w:shd w:val="clear" w:color="auto" w:fill="FFFFFF"/>
              </w:rPr>
              <w:t>ā daļa ir</w:t>
            </w:r>
            <w:r w:rsidRPr="00067C9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izteikta</w:t>
            </w:r>
            <w:r w:rsidRPr="00067C91">
              <w:rPr>
                <w:rFonts w:ascii="Times New Roman" w:hAnsi="Times New Roman" w:cs="Times New Roman"/>
                <w:sz w:val="20"/>
                <w:szCs w:val="20"/>
                <w:shd w:val="clear" w:color="auto" w:fill="FFFFFF"/>
              </w:rPr>
              <w:t xml:space="preserve"> jaunā redakcijā, kas noteic, ka </w:t>
            </w:r>
            <w:r w:rsidRPr="002A3210">
              <w:rPr>
                <w:rFonts w:ascii="Times New Roman" w:hAnsi="Times New Roman" w:cs="Times New Roman"/>
                <w:i/>
                <w:sz w:val="20"/>
                <w:szCs w:val="20"/>
                <w:shd w:val="clear" w:color="auto" w:fill="FFFFFF"/>
              </w:rPr>
              <w:t>„</w:t>
            </w:r>
            <w:r w:rsidR="002A3210" w:rsidRPr="002A3210">
              <w:rPr>
                <w:rFonts w:ascii="Times New Roman" w:eastAsia="Times New Roman" w:hAnsi="Times New Roman"/>
                <w:i/>
                <w:sz w:val="20"/>
                <w:szCs w:val="20"/>
              </w:rPr>
              <w:t xml:space="preserve">Krīzes novēršanas pasākuma un krīzes vadības pasākuma piemērošanas gadījumā </w:t>
            </w:r>
            <w:r w:rsidR="002A3210" w:rsidRPr="002A3210">
              <w:rPr>
                <w:rFonts w:ascii="Times New Roman" w:hAnsi="Times New Roman"/>
                <w:i/>
                <w:sz w:val="20"/>
                <w:szCs w:val="20"/>
                <w:shd w:val="clear" w:color="auto" w:fill="FFFFFF"/>
              </w:rPr>
              <w:t>vai jebkura notikuma, kas ir tieši saistīts ar šāda pasākuma piemērošanu, gadījumā</w:t>
            </w:r>
            <w:r w:rsidR="002A3210" w:rsidRPr="002A3210">
              <w:rPr>
                <w:rFonts w:ascii="Arial" w:hAnsi="Arial" w:cs="Arial"/>
                <w:i/>
                <w:sz w:val="20"/>
                <w:szCs w:val="20"/>
                <w:shd w:val="clear" w:color="auto" w:fill="FFFFFF"/>
              </w:rPr>
              <w:t xml:space="preserve"> </w:t>
            </w:r>
            <w:r w:rsidR="002A3210" w:rsidRPr="002A3210">
              <w:rPr>
                <w:rFonts w:ascii="Times New Roman" w:hAnsi="Times New Roman"/>
                <w:i/>
                <w:sz w:val="20"/>
                <w:szCs w:val="20"/>
                <w:shd w:val="clear" w:color="auto" w:fill="FFFFFF"/>
              </w:rPr>
              <w:t xml:space="preserve">šo likumu piemēro tiktāl, ciktāl </w:t>
            </w:r>
            <w:r w:rsidR="002A3210" w:rsidRPr="002A3210">
              <w:rPr>
                <w:rFonts w:ascii="Times New Roman" w:hAnsi="Times New Roman"/>
                <w:bCs/>
                <w:i/>
                <w:sz w:val="20"/>
                <w:szCs w:val="20"/>
                <w:shd w:val="clear" w:color="auto" w:fill="FFFFFF"/>
              </w:rPr>
              <w:t>Kredītiestāžu un ieguldījumu brokeru sabiedrību darbības atjaunošanas un noregulējuma likumā nav noteikts citādi</w:t>
            </w:r>
            <w:r w:rsidRPr="002A3210">
              <w:rPr>
                <w:rFonts w:ascii="Times New Roman" w:hAnsi="Times New Roman" w:cs="Times New Roman"/>
                <w:bCs/>
                <w:i/>
                <w:sz w:val="20"/>
                <w:szCs w:val="20"/>
                <w:shd w:val="clear" w:color="auto" w:fill="FFFFFF"/>
              </w:rPr>
              <w:t>.”</w:t>
            </w:r>
          </w:p>
        </w:tc>
        <w:tc>
          <w:tcPr>
            <w:tcW w:w="712" w:type="pct"/>
            <w:tcBorders>
              <w:top w:val="single" w:sz="4" w:space="0" w:color="auto"/>
              <w:left w:val="single" w:sz="4" w:space="0" w:color="auto"/>
              <w:bottom w:val="single" w:sz="4" w:space="0" w:color="auto"/>
              <w:right w:val="single" w:sz="4" w:space="0" w:color="auto"/>
            </w:tcBorders>
          </w:tcPr>
          <w:p w14:paraId="0CECEB31" w14:textId="77777777" w:rsidR="000427FB" w:rsidRPr="000427FB" w:rsidRDefault="000427FB" w:rsidP="00067C91">
            <w:pPr>
              <w:spacing w:after="0" w:line="240" w:lineRule="auto"/>
              <w:jc w:val="both"/>
              <w:rPr>
                <w:rFonts w:ascii="Times New Roman" w:eastAsia="Times New Roman" w:hAnsi="Times New Roman" w:cs="Times New Roman"/>
                <w:sz w:val="20"/>
                <w:szCs w:val="20"/>
              </w:rPr>
            </w:pPr>
            <w:r w:rsidRPr="000427FB">
              <w:rPr>
                <w:rFonts w:ascii="Times New Roman" w:eastAsia="Times New Roman" w:hAnsi="Times New Roman" w:cs="Times New Roman"/>
                <w:sz w:val="20"/>
                <w:szCs w:val="20"/>
              </w:rPr>
              <w:lastRenderedPageBreak/>
              <w:t>Likumprojekta 2.pants izteikts šādā redakcijā:</w:t>
            </w:r>
          </w:p>
          <w:p w14:paraId="780772AA" w14:textId="77777777" w:rsidR="00067C91" w:rsidRPr="000427FB" w:rsidRDefault="000427FB" w:rsidP="00067C91">
            <w:pPr>
              <w:spacing w:after="0" w:line="240" w:lineRule="auto"/>
              <w:jc w:val="both"/>
              <w:rPr>
                <w:rFonts w:ascii="Times New Roman" w:eastAsia="Times New Roman" w:hAnsi="Times New Roman" w:cs="Times New Roman"/>
                <w:i/>
                <w:sz w:val="20"/>
                <w:szCs w:val="20"/>
              </w:rPr>
            </w:pPr>
            <w:r w:rsidRPr="000427FB">
              <w:rPr>
                <w:rFonts w:ascii="Times New Roman" w:eastAsia="Times New Roman" w:hAnsi="Times New Roman" w:cs="Times New Roman"/>
                <w:i/>
                <w:sz w:val="20"/>
                <w:szCs w:val="20"/>
              </w:rPr>
              <w:t>„</w:t>
            </w:r>
            <w:r w:rsidR="00067C91" w:rsidRPr="000427FB">
              <w:rPr>
                <w:rFonts w:ascii="Times New Roman" w:eastAsia="Times New Roman" w:hAnsi="Times New Roman" w:cs="Times New Roman"/>
                <w:i/>
                <w:sz w:val="20"/>
                <w:szCs w:val="20"/>
              </w:rPr>
              <w:t>Papildināt likumu ar 10.</w:t>
            </w:r>
            <w:r w:rsidR="00067C91" w:rsidRPr="000427FB">
              <w:rPr>
                <w:rFonts w:ascii="Times New Roman" w:eastAsia="Times New Roman" w:hAnsi="Times New Roman" w:cs="Times New Roman"/>
                <w:i/>
                <w:sz w:val="20"/>
                <w:szCs w:val="20"/>
                <w:vertAlign w:val="superscript"/>
              </w:rPr>
              <w:t>3</w:t>
            </w:r>
            <w:r w:rsidR="00067C91" w:rsidRPr="000427FB">
              <w:rPr>
                <w:rFonts w:ascii="Times New Roman" w:eastAsia="Times New Roman" w:hAnsi="Times New Roman" w:cs="Times New Roman"/>
                <w:i/>
                <w:sz w:val="20"/>
                <w:szCs w:val="20"/>
              </w:rPr>
              <w:t>pantu šādā redakcijā:</w:t>
            </w:r>
          </w:p>
          <w:p w14:paraId="50C6E8FB" w14:textId="77777777" w:rsidR="0006235E" w:rsidRPr="008D735B" w:rsidRDefault="00067C91" w:rsidP="00067C91">
            <w:pPr>
              <w:shd w:val="clear" w:color="auto" w:fill="FFFFFF"/>
              <w:spacing w:after="0" w:line="240" w:lineRule="auto"/>
              <w:jc w:val="both"/>
              <w:rPr>
                <w:rFonts w:ascii="Times New Roman" w:eastAsia="Times New Roman" w:hAnsi="Times New Roman" w:cs="Times New Roman"/>
                <w:i/>
                <w:sz w:val="20"/>
                <w:lang w:eastAsia="lv-LV"/>
              </w:rPr>
            </w:pPr>
            <w:r w:rsidRPr="000427FB">
              <w:rPr>
                <w:rFonts w:ascii="Times New Roman" w:hAnsi="Times New Roman" w:cs="Times New Roman"/>
                <w:i/>
                <w:sz w:val="20"/>
                <w:szCs w:val="20"/>
              </w:rPr>
              <w:t>„</w:t>
            </w:r>
            <w:r w:rsidRPr="000427FB">
              <w:rPr>
                <w:rFonts w:ascii="Times New Roman" w:hAnsi="Times New Roman" w:cs="Times New Roman"/>
                <w:i/>
                <w:sz w:val="20"/>
                <w:szCs w:val="20"/>
                <w:shd w:val="clear" w:color="auto" w:fill="FFFFFF"/>
              </w:rPr>
              <w:t>Izslēdzošā ieskaita piemērošanu kvalificētajiem finanšu darījumiem regulē Izslēdzošā ieskaita piemērošanas kvalificētajiem finanšu darījumiem likums</w:t>
            </w:r>
            <w:r w:rsidR="000427FB" w:rsidRPr="000427FB">
              <w:rPr>
                <w:rFonts w:ascii="Times New Roman" w:hAnsi="Times New Roman" w:cs="Times New Roman"/>
                <w:i/>
                <w:sz w:val="20"/>
                <w:szCs w:val="20"/>
                <w:shd w:val="clear" w:color="auto" w:fill="FFFFFF"/>
              </w:rPr>
              <w:t>.””</w:t>
            </w:r>
          </w:p>
        </w:tc>
      </w:tr>
      <w:tr w:rsidR="006C2417" w:rsidRPr="00136A24" w14:paraId="40AC0F69" w14:textId="77777777" w:rsidTr="00E11749">
        <w:trPr>
          <w:trHeight w:val="140"/>
        </w:trPr>
        <w:tc>
          <w:tcPr>
            <w:tcW w:w="2354" w:type="pct"/>
            <w:gridSpan w:val="4"/>
            <w:tcBorders>
              <w:top w:val="nil"/>
              <w:left w:val="nil"/>
              <w:bottom w:val="nil"/>
              <w:right w:val="nil"/>
            </w:tcBorders>
          </w:tcPr>
          <w:p w14:paraId="57479D70" w14:textId="77777777" w:rsidR="006C2417" w:rsidRPr="00136A24" w:rsidRDefault="006C2417" w:rsidP="006C2417">
            <w:pPr>
              <w:spacing w:after="0" w:line="240" w:lineRule="auto"/>
              <w:rPr>
                <w:rFonts w:ascii="Times New Roman" w:eastAsia="Times New Roman" w:hAnsi="Times New Roman" w:cs="Times New Roman"/>
                <w:sz w:val="20"/>
                <w:lang w:eastAsia="lv-LV"/>
              </w:rPr>
            </w:pPr>
          </w:p>
          <w:p w14:paraId="716FB0EB"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c>
          <w:tcPr>
            <w:tcW w:w="950" w:type="pct"/>
            <w:tcBorders>
              <w:top w:val="nil"/>
              <w:left w:val="nil"/>
              <w:bottom w:val="nil"/>
              <w:right w:val="nil"/>
            </w:tcBorders>
          </w:tcPr>
          <w:p w14:paraId="64E32267" w14:textId="77777777" w:rsidR="006C2417" w:rsidRPr="00136A24" w:rsidRDefault="006C2417" w:rsidP="006C2417">
            <w:pPr>
              <w:spacing w:after="0" w:line="240" w:lineRule="auto"/>
              <w:rPr>
                <w:rFonts w:ascii="Times New Roman" w:eastAsia="Times New Roman" w:hAnsi="Times New Roman" w:cs="Times New Roman"/>
                <w:sz w:val="20"/>
                <w:lang w:eastAsia="lv-LV"/>
              </w:rPr>
            </w:pPr>
          </w:p>
        </w:tc>
        <w:tc>
          <w:tcPr>
            <w:tcW w:w="821" w:type="pct"/>
            <w:gridSpan w:val="2"/>
          </w:tcPr>
          <w:p w14:paraId="78ABAD25" w14:textId="77777777" w:rsidR="006C2417" w:rsidRPr="00136A24" w:rsidRDefault="006C2417" w:rsidP="006C2417">
            <w:pPr>
              <w:spacing w:after="0" w:line="240" w:lineRule="auto"/>
              <w:rPr>
                <w:rFonts w:ascii="Times New Roman" w:eastAsia="Calibri" w:hAnsi="Times New Roman" w:cs="Times New Roman"/>
                <w:sz w:val="20"/>
                <w:lang w:eastAsia="lv-LV"/>
              </w:rPr>
            </w:pPr>
          </w:p>
        </w:tc>
        <w:tc>
          <w:tcPr>
            <w:tcW w:w="875" w:type="pct"/>
          </w:tcPr>
          <w:p w14:paraId="6D1E5B93" w14:textId="77777777" w:rsidR="006C2417" w:rsidRPr="00136A24"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36A24" w14:paraId="229C1B0E" w14:textId="77777777" w:rsidTr="00E11749">
        <w:trPr>
          <w:gridAfter w:val="3"/>
          <w:wAfter w:w="1696" w:type="pct"/>
          <w:trHeight w:val="140"/>
        </w:trPr>
        <w:tc>
          <w:tcPr>
            <w:tcW w:w="2354" w:type="pct"/>
            <w:gridSpan w:val="4"/>
            <w:tcBorders>
              <w:top w:val="nil"/>
              <w:left w:val="nil"/>
              <w:bottom w:val="nil"/>
              <w:right w:val="nil"/>
            </w:tcBorders>
          </w:tcPr>
          <w:p w14:paraId="23D81679"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p>
        </w:tc>
        <w:tc>
          <w:tcPr>
            <w:tcW w:w="950" w:type="pct"/>
            <w:tcBorders>
              <w:top w:val="single" w:sz="6" w:space="0" w:color="000000"/>
              <w:left w:val="nil"/>
              <w:bottom w:val="single" w:sz="6" w:space="0" w:color="000000"/>
              <w:right w:val="nil"/>
            </w:tcBorders>
            <w:hideMark/>
          </w:tcPr>
          <w:p w14:paraId="33E2E5F1"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59C6AD05"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35E876DA"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32246176" w14:textId="77777777" w:rsidR="000239F9" w:rsidRPr="00136A24" w:rsidRDefault="008867B9"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Gunvaldis Davidovičs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56A9E86" w14:textId="77777777" w:rsidTr="007831E5">
        <w:trPr>
          <w:trHeight w:val="731"/>
        </w:trPr>
        <w:tc>
          <w:tcPr>
            <w:tcW w:w="9214" w:type="dxa"/>
            <w:tcBorders>
              <w:top w:val="nil"/>
              <w:left w:val="nil"/>
              <w:bottom w:val="single" w:sz="4" w:space="0" w:color="000000"/>
              <w:right w:val="nil"/>
            </w:tcBorders>
            <w:hideMark/>
          </w:tcPr>
          <w:p w14:paraId="38BBC4A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1674443D" w14:textId="77777777" w:rsidR="000239F9" w:rsidRPr="00136A24" w:rsidRDefault="00EE17EF"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8867B9">
              <w:rPr>
                <w:rFonts w:ascii="Times New Roman" w:eastAsia="Times New Roman" w:hAnsi="Times New Roman" w:cs="Times New Roman"/>
                <w:sz w:val="20"/>
                <w:lang w:eastAsia="lv-LV"/>
              </w:rPr>
              <w:t>jurists</w:t>
            </w:r>
          </w:p>
        </w:tc>
      </w:tr>
      <w:tr w:rsidR="000239F9" w:rsidRPr="00136A24" w14:paraId="2A80C34E" w14:textId="77777777" w:rsidTr="007831E5">
        <w:trPr>
          <w:trHeight w:val="229"/>
        </w:trPr>
        <w:tc>
          <w:tcPr>
            <w:tcW w:w="9214" w:type="dxa"/>
            <w:tcBorders>
              <w:top w:val="single" w:sz="4" w:space="0" w:color="000000"/>
              <w:left w:val="nil"/>
              <w:bottom w:val="nil"/>
              <w:right w:val="nil"/>
            </w:tcBorders>
            <w:hideMark/>
          </w:tcPr>
          <w:p w14:paraId="66501D4B"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7EB2E4C1" w14:textId="77777777" w:rsidTr="007831E5">
        <w:trPr>
          <w:trHeight w:val="243"/>
        </w:trPr>
        <w:tc>
          <w:tcPr>
            <w:tcW w:w="9214" w:type="dxa"/>
            <w:tcBorders>
              <w:top w:val="nil"/>
              <w:left w:val="nil"/>
              <w:bottom w:val="single" w:sz="4" w:space="0" w:color="000000"/>
              <w:right w:val="nil"/>
            </w:tcBorders>
            <w:hideMark/>
          </w:tcPr>
          <w:p w14:paraId="28D140E2" w14:textId="77777777" w:rsidR="000239F9" w:rsidRPr="00136A24" w:rsidRDefault="000239F9"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8867B9">
              <w:rPr>
                <w:rFonts w:ascii="Times New Roman" w:eastAsia="Times New Roman" w:hAnsi="Times New Roman" w:cs="Times New Roman"/>
                <w:sz w:val="20"/>
                <w:lang w:eastAsia="lv-LV"/>
              </w:rPr>
              <w:t>83931</w:t>
            </w:r>
          </w:p>
        </w:tc>
      </w:tr>
      <w:tr w:rsidR="000239F9" w:rsidRPr="00136A24" w14:paraId="5CCB423C" w14:textId="77777777" w:rsidTr="007831E5">
        <w:trPr>
          <w:trHeight w:val="243"/>
        </w:trPr>
        <w:tc>
          <w:tcPr>
            <w:tcW w:w="9214" w:type="dxa"/>
            <w:tcBorders>
              <w:top w:val="single" w:sz="4" w:space="0" w:color="000000"/>
              <w:left w:val="nil"/>
              <w:bottom w:val="nil"/>
              <w:right w:val="nil"/>
            </w:tcBorders>
            <w:hideMark/>
          </w:tcPr>
          <w:p w14:paraId="2FFECB5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5C8826C5" w14:textId="77777777" w:rsidTr="007831E5">
        <w:trPr>
          <w:trHeight w:val="229"/>
        </w:trPr>
        <w:tc>
          <w:tcPr>
            <w:tcW w:w="9214" w:type="dxa"/>
            <w:tcBorders>
              <w:top w:val="nil"/>
              <w:left w:val="nil"/>
              <w:bottom w:val="single" w:sz="4" w:space="0" w:color="000000"/>
              <w:right w:val="nil"/>
            </w:tcBorders>
            <w:hideMark/>
          </w:tcPr>
          <w:p w14:paraId="7CB8E723" w14:textId="77777777" w:rsidR="000239F9" w:rsidRPr="00136A24" w:rsidRDefault="00CB7D80" w:rsidP="008867B9">
            <w:pPr>
              <w:spacing w:after="0" w:line="240" w:lineRule="auto"/>
              <w:rPr>
                <w:rFonts w:ascii="Times New Roman" w:eastAsia="Times New Roman" w:hAnsi="Times New Roman" w:cs="Times New Roman"/>
                <w:sz w:val="20"/>
                <w:szCs w:val="24"/>
                <w:lang w:eastAsia="lv-LV"/>
              </w:rPr>
            </w:pPr>
            <w:hyperlink r:id="rId8" w:history="1">
              <w:r w:rsidR="008867B9">
                <w:rPr>
                  <w:rStyle w:val="Hyperlink"/>
                  <w:rFonts w:ascii="Times New Roman" w:hAnsi="Times New Roman" w:cs="Times New Roman"/>
                  <w:sz w:val="20"/>
                  <w:szCs w:val="24"/>
                </w:rPr>
                <w:t>Gunvaldis.Davidovics</w:t>
              </w:r>
              <w:r w:rsidR="008867B9" w:rsidRPr="00136A24">
                <w:rPr>
                  <w:rStyle w:val="Hyperlink"/>
                  <w:rFonts w:ascii="Times New Roman" w:hAnsi="Times New Roman" w:cs="Times New Roman"/>
                  <w:sz w:val="20"/>
                  <w:szCs w:val="24"/>
                </w:rPr>
                <w:t xml:space="preserve"> </w:t>
              </w:r>
              <w:r w:rsidR="00EE17EF" w:rsidRPr="00136A24">
                <w:rPr>
                  <w:rStyle w:val="Hyperlink"/>
                  <w:rFonts w:ascii="Times New Roman" w:hAnsi="Times New Roman" w:cs="Times New Roman"/>
                  <w:sz w:val="20"/>
                  <w:szCs w:val="24"/>
                </w:rPr>
                <w:t>@fm.gov.lv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497A75D9" w14:textId="77777777" w:rsidTr="007831E5">
        <w:trPr>
          <w:trHeight w:val="243"/>
        </w:trPr>
        <w:tc>
          <w:tcPr>
            <w:tcW w:w="9214" w:type="dxa"/>
            <w:tcBorders>
              <w:top w:val="single" w:sz="4" w:space="0" w:color="000000"/>
              <w:left w:val="nil"/>
              <w:bottom w:val="nil"/>
              <w:right w:val="nil"/>
            </w:tcBorders>
            <w:hideMark/>
          </w:tcPr>
          <w:p w14:paraId="6E44338C"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A07E690"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8867B9">
        <w:rPr>
          <w:rFonts w:ascii="Times New Roman" w:hAnsi="Times New Roman" w:cs="Times New Roman"/>
          <w:sz w:val="20"/>
          <w:szCs w:val="20"/>
        </w:rPr>
        <w:t>Gunvaldis Davidovičs</w:t>
      </w:r>
    </w:p>
    <w:p w14:paraId="1C250F43" w14:textId="77777777" w:rsidR="00726C06" w:rsidRPr="00136A24" w:rsidRDefault="00726C06" w:rsidP="00D60CB6">
      <w:pPr>
        <w:spacing w:after="0" w:line="240" w:lineRule="auto"/>
        <w:rPr>
          <w:rFonts w:ascii="Times New Roman" w:hAnsi="Times New Roman" w:cs="Times New Roman"/>
          <w:sz w:val="20"/>
          <w:szCs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w:t>
      </w:r>
      <w:r w:rsidR="008867B9">
        <w:rPr>
          <w:rFonts w:ascii="Times New Roman" w:hAnsi="Times New Roman" w:cs="Times New Roman"/>
          <w:sz w:val="20"/>
          <w:szCs w:val="20"/>
        </w:rPr>
        <w:t>83931</w:t>
      </w:r>
      <w:r w:rsidRPr="00136A24">
        <w:rPr>
          <w:rFonts w:ascii="Times New Roman" w:hAnsi="Times New Roman" w:cs="Times New Roman"/>
          <w:sz w:val="20"/>
          <w:szCs w:val="20"/>
        </w:rPr>
        <w:t xml:space="preserve">, </w:t>
      </w:r>
      <w:hyperlink r:id="rId9" w:history="1">
        <w:r w:rsidR="008867B9" w:rsidRPr="00083387">
          <w:rPr>
            <w:rStyle w:val="Hyperlink"/>
            <w:rFonts w:ascii="Times New Roman" w:hAnsi="Times New Roman" w:cs="Times New Roman"/>
            <w:sz w:val="20"/>
            <w:szCs w:val="20"/>
          </w:rPr>
          <w:t>Gunvaldis.Davidovics@fm.gov.lv</w:t>
        </w:r>
      </w:hyperlink>
      <w:r w:rsidRPr="00136A24">
        <w:rPr>
          <w:rFonts w:ascii="Times New Roman" w:hAnsi="Times New Roman" w:cs="Times New Roman"/>
          <w:sz w:val="20"/>
          <w:szCs w:val="20"/>
        </w:rPr>
        <w:t xml:space="preserve"> </w:t>
      </w:r>
    </w:p>
    <w:p w14:paraId="54C73503" w14:textId="77777777" w:rsidR="00614A9A" w:rsidRPr="00136A24" w:rsidRDefault="00614A9A" w:rsidP="00D60CB6">
      <w:pPr>
        <w:spacing w:after="0" w:line="240" w:lineRule="auto"/>
        <w:rPr>
          <w:rFonts w:ascii="Times New Roman" w:hAnsi="Times New Roman" w:cs="Times New Roman"/>
          <w:sz w:val="20"/>
        </w:rPr>
      </w:pPr>
    </w:p>
    <w:sectPr w:rsidR="00614A9A" w:rsidRPr="00136A24" w:rsidSect="00815DFB">
      <w:headerReference w:type="default" r:id="rId10"/>
      <w:footerReference w:type="default" r:id="rId11"/>
      <w:footerReference w:type="first" r:id="rId12"/>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CE33D" w14:textId="77777777" w:rsidR="00CB7D80" w:rsidRDefault="00CB7D80" w:rsidP="003A0F64">
      <w:pPr>
        <w:spacing w:after="0" w:line="240" w:lineRule="auto"/>
      </w:pPr>
      <w:r>
        <w:separator/>
      </w:r>
    </w:p>
  </w:endnote>
  <w:endnote w:type="continuationSeparator" w:id="0">
    <w:p w14:paraId="4705F23A" w14:textId="77777777" w:rsidR="00CB7D80" w:rsidRDefault="00CB7D80"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5261" w14:textId="77777777" w:rsidR="00CC4D63" w:rsidRPr="00F66122" w:rsidRDefault="00CB7D80" w:rsidP="0095381B">
    <w:pPr>
      <w:pStyle w:val="Footer"/>
      <w:tabs>
        <w:tab w:val="clear" w:pos="4153"/>
        <w:tab w:val="clear" w:pos="8306"/>
        <w:tab w:val="left" w:pos="1860"/>
        <w:tab w:val="left" w:pos="4230"/>
      </w:tabs>
      <w:rPr>
        <w:sz w:val="20"/>
      </w:rPr>
    </w:pPr>
    <w:r>
      <w:fldChar w:fldCharType="begin"/>
    </w:r>
    <w:r>
      <w:instrText xml:space="preserve"> FILENAME   \* MERGEFORMAT </w:instrText>
    </w:r>
    <w:r>
      <w:fldChar w:fldCharType="separate"/>
    </w:r>
    <w:r w:rsidR="00CC4D63">
      <w:rPr>
        <w:noProof/>
        <w:sz w:val="20"/>
      </w:rPr>
      <w:t>FMIzz_1</w:t>
    </w:r>
    <w:r w:rsidR="00694969">
      <w:rPr>
        <w:noProof/>
        <w:sz w:val="20"/>
      </w:rPr>
      <w:t>8</w:t>
    </w:r>
    <w:r w:rsidR="00CC4D63">
      <w:rPr>
        <w:noProof/>
        <w:sz w:val="20"/>
      </w:rPr>
      <w:t>0820_</w:t>
    </w:r>
    <w:r w:rsidR="00D265C9">
      <w:rPr>
        <w:noProof/>
        <w:sz w:val="20"/>
      </w:rPr>
      <w:t>KIL</w:t>
    </w:r>
    <w:r w:rsidR="00CC4D63" w:rsidRPr="006649AD">
      <w:rPr>
        <w:noProof/>
        <w:sz w:val="20"/>
      </w:rPr>
      <w:t>.docx</w:t>
    </w:r>
    <w:r>
      <w:rPr>
        <w:noProof/>
        <w:sz w:val="20"/>
      </w:rPr>
      <w:fldChar w:fldCharType="end"/>
    </w:r>
    <w:r w:rsidR="00CC4D63">
      <w:rPr>
        <w:sz w:val="20"/>
      </w:rPr>
      <w:tab/>
    </w:r>
    <w:r w:rsidR="00CC4D63">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FF76" w14:textId="3A3A7C9A" w:rsidR="00694969" w:rsidRDefault="002507C7">
    <w:pPr>
      <w:pStyle w:val="Footer"/>
    </w:pPr>
    <w:fldSimple w:instr=" FILENAME   \* MERGEFORMAT ">
      <w:r w:rsidR="00815DFB">
        <w:rPr>
          <w:noProof/>
          <w:sz w:val="20"/>
        </w:rPr>
        <w:t>FMIzz_180820_KIL</w:t>
      </w:r>
      <w:r w:rsidR="00815DFB" w:rsidRPr="006649AD">
        <w:rPr>
          <w:noProof/>
          <w:sz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368E" w14:textId="77777777" w:rsidR="00CB7D80" w:rsidRDefault="00CB7D80" w:rsidP="003A0F64">
      <w:pPr>
        <w:spacing w:after="0" w:line="240" w:lineRule="auto"/>
      </w:pPr>
      <w:r>
        <w:separator/>
      </w:r>
    </w:p>
  </w:footnote>
  <w:footnote w:type="continuationSeparator" w:id="0">
    <w:p w14:paraId="32645FDA" w14:textId="77777777" w:rsidR="00CB7D80" w:rsidRDefault="00CB7D80"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0420" w14:textId="2F6D01B4" w:rsidR="00CC4D63" w:rsidRDefault="007738B3">
    <w:pPr>
      <w:pStyle w:val="Header"/>
      <w:jc w:val="center"/>
    </w:pPr>
    <w:r>
      <w:fldChar w:fldCharType="begin"/>
    </w:r>
    <w:r w:rsidR="0002562B">
      <w:instrText xml:space="preserve"> PAGE   \* MERGEFORMAT </w:instrText>
    </w:r>
    <w:r>
      <w:fldChar w:fldCharType="separate"/>
    </w:r>
    <w:r w:rsidR="00BE46C7">
      <w:rPr>
        <w:noProof/>
      </w:rPr>
      <w:t>2</w:t>
    </w:r>
    <w:r>
      <w:rPr>
        <w:noProof/>
      </w:rPr>
      <w:fldChar w:fldCharType="end"/>
    </w:r>
  </w:p>
  <w:p w14:paraId="6CF101A2" w14:textId="77777777" w:rsidR="00CC4D63" w:rsidRDefault="00CC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7"/>
  </w:num>
  <w:num w:numId="5">
    <w:abstractNumId w:val="13"/>
  </w:num>
  <w:num w:numId="6">
    <w:abstractNumId w:val="1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5"/>
  </w:num>
  <w:num w:numId="12">
    <w:abstractNumId w:val="0"/>
  </w:num>
  <w:num w:numId="13">
    <w:abstractNumId w:val="7"/>
  </w:num>
  <w:num w:numId="14">
    <w:abstractNumId w:val="6"/>
  </w:num>
  <w:num w:numId="15">
    <w:abstractNumId w:val="4"/>
  </w:num>
  <w:num w:numId="16">
    <w:abstractNumId w:val="1"/>
  </w:num>
  <w:num w:numId="17">
    <w:abstractNumId w:val="14"/>
  </w:num>
  <w:num w:numId="18">
    <w:abstractNumId w:val="3"/>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5AAE"/>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62B"/>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7FB"/>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B77"/>
    <w:rsid w:val="000657C1"/>
    <w:rsid w:val="000661D9"/>
    <w:rsid w:val="00067911"/>
    <w:rsid w:val="00067C9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7F38"/>
    <w:rsid w:val="000A00C2"/>
    <w:rsid w:val="000A3B3C"/>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6DE8"/>
    <w:rsid w:val="00107345"/>
    <w:rsid w:val="00107644"/>
    <w:rsid w:val="00107F48"/>
    <w:rsid w:val="00110561"/>
    <w:rsid w:val="0011191B"/>
    <w:rsid w:val="0011331D"/>
    <w:rsid w:val="00113860"/>
    <w:rsid w:val="00114194"/>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B7BB4"/>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150B3"/>
    <w:rsid w:val="00216E86"/>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07C7"/>
    <w:rsid w:val="002513AF"/>
    <w:rsid w:val="002536EE"/>
    <w:rsid w:val="00253A1A"/>
    <w:rsid w:val="00253A44"/>
    <w:rsid w:val="002544AA"/>
    <w:rsid w:val="00254F0E"/>
    <w:rsid w:val="00256A45"/>
    <w:rsid w:val="00256F49"/>
    <w:rsid w:val="00257D22"/>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6883"/>
    <w:rsid w:val="00277910"/>
    <w:rsid w:val="00281A31"/>
    <w:rsid w:val="00282E2B"/>
    <w:rsid w:val="00282E95"/>
    <w:rsid w:val="0028353B"/>
    <w:rsid w:val="00283C4D"/>
    <w:rsid w:val="00285C51"/>
    <w:rsid w:val="00285FE2"/>
    <w:rsid w:val="00286D88"/>
    <w:rsid w:val="00287651"/>
    <w:rsid w:val="00291241"/>
    <w:rsid w:val="00291A7C"/>
    <w:rsid w:val="002A0DE6"/>
    <w:rsid w:val="002A24FA"/>
    <w:rsid w:val="002A3210"/>
    <w:rsid w:val="002A4955"/>
    <w:rsid w:val="002A61D5"/>
    <w:rsid w:val="002A704E"/>
    <w:rsid w:val="002A7878"/>
    <w:rsid w:val="002B1949"/>
    <w:rsid w:val="002B20F1"/>
    <w:rsid w:val="002B28E0"/>
    <w:rsid w:val="002B3DB2"/>
    <w:rsid w:val="002B5135"/>
    <w:rsid w:val="002B5646"/>
    <w:rsid w:val="002B7D4D"/>
    <w:rsid w:val="002C1589"/>
    <w:rsid w:val="002C27F5"/>
    <w:rsid w:val="002C3A79"/>
    <w:rsid w:val="002C4C90"/>
    <w:rsid w:val="002C51F4"/>
    <w:rsid w:val="002C7BB3"/>
    <w:rsid w:val="002D0EA2"/>
    <w:rsid w:val="002D1A6E"/>
    <w:rsid w:val="002D23C7"/>
    <w:rsid w:val="002D52B8"/>
    <w:rsid w:val="002D5A4D"/>
    <w:rsid w:val="002D5C5F"/>
    <w:rsid w:val="002D69D8"/>
    <w:rsid w:val="002E0113"/>
    <w:rsid w:val="002E023D"/>
    <w:rsid w:val="002E0A02"/>
    <w:rsid w:val="002E0E19"/>
    <w:rsid w:val="002E1134"/>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5D68"/>
    <w:rsid w:val="00306A91"/>
    <w:rsid w:val="003108FC"/>
    <w:rsid w:val="0031277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0CF9"/>
    <w:rsid w:val="0033143A"/>
    <w:rsid w:val="0033336C"/>
    <w:rsid w:val="00334629"/>
    <w:rsid w:val="003370C7"/>
    <w:rsid w:val="00337DAC"/>
    <w:rsid w:val="00340A2B"/>
    <w:rsid w:val="00345ED9"/>
    <w:rsid w:val="00347533"/>
    <w:rsid w:val="00347F90"/>
    <w:rsid w:val="003525A6"/>
    <w:rsid w:val="00352A82"/>
    <w:rsid w:val="00352A8E"/>
    <w:rsid w:val="00354EB2"/>
    <w:rsid w:val="00355939"/>
    <w:rsid w:val="00356C65"/>
    <w:rsid w:val="0036433B"/>
    <w:rsid w:val="0036472E"/>
    <w:rsid w:val="00364B78"/>
    <w:rsid w:val="003657D6"/>
    <w:rsid w:val="00366FDC"/>
    <w:rsid w:val="00370670"/>
    <w:rsid w:val="00370A1F"/>
    <w:rsid w:val="00370E5E"/>
    <w:rsid w:val="00372B82"/>
    <w:rsid w:val="00373EC5"/>
    <w:rsid w:val="0037478B"/>
    <w:rsid w:val="00376221"/>
    <w:rsid w:val="003777FB"/>
    <w:rsid w:val="003811A2"/>
    <w:rsid w:val="00383090"/>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33F2"/>
    <w:rsid w:val="003D4281"/>
    <w:rsid w:val="003D4AB0"/>
    <w:rsid w:val="003D739B"/>
    <w:rsid w:val="003D7474"/>
    <w:rsid w:val="003D7955"/>
    <w:rsid w:val="003D7C28"/>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4D76"/>
    <w:rsid w:val="003F5687"/>
    <w:rsid w:val="003F56E3"/>
    <w:rsid w:val="003F7052"/>
    <w:rsid w:val="003F71BE"/>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0E53"/>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A25"/>
    <w:rsid w:val="00571F8E"/>
    <w:rsid w:val="0057381A"/>
    <w:rsid w:val="00573DFC"/>
    <w:rsid w:val="00575741"/>
    <w:rsid w:val="00575C10"/>
    <w:rsid w:val="0057655B"/>
    <w:rsid w:val="00584EFF"/>
    <w:rsid w:val="005855DC"/>
    <w:rsid w:val="0058592F"/>
    <w:rsid w:val="005865AD"/>
    <w:rsid w:val="00586871"/>
    <w:rsid w:val="00591381"/>
    <w:rsid w:val="00591BAF"/>
    <w:rsid w:val="00593240"/>
    <w:rsid w:val="00593F17"/>
    <w:rsid w:val="005944D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E5174"/>
    <w:rsid w:val="005F1D6E"/>
    <w:rsid w:val="005F1DB5"/>
    <w:rsid w:val="005F2D77"/>
    <w:rsid w:val="005F32C7"/>
    <w:rsid w:val="005F36A2"/>
    <w:rsid w:val="005F39A9"/>
    <w:rsid w:val="005F5EAD"/>
    <w:rsid w:val="005F71F9"/>
    <w:rsid w:val="005F78BF"/>
    <w:rsid w:val="00600646"/>
    <w:rsid w:val="00601065"/>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422E"/>
    <w:rsid w:val="00675267"/>
    <w:rsid w:val="0067609D"/>
    <w:rsid w:val="00680FD5"/>
    <w:rsid w:val="0068178B"/>
    <w:rsid w:val="00681AB9"/>
    <w:rsid w:val="0068277E"/>
    <w:rsid w:val="00687339"/>
    <w:rsid w:val="00687971"/>
    <w:rsid w:val="00691047"/>
    <w:rsid w:val="00691566"/>
    <w:rsid w:val="00691E45"/>
    <w:rsid w:val="00691EE7"/>
    <w:rsid w:val="00693806"/>
    <w:rsid w:val="00694969"/>
    <w:rsid w:val="0069528D"/>
    <w:rsid w:val="0069635D"/>
    <w:rsid w:val="006964A5"/>
    <w:rsid w:val="006A0227"/>
    <w:rsid w:val="006A1E48"/>
    <w:rsid w:val="006A28CA"/>
    <w:rsid w:val="006A2D1D"/>
    <w:rsid w:val="006A53FA"/>
    <w:rsid w:val="006A6380"/>
    <w:rsid w:val="006A71B7"/>
    <w:rsid w:val="006B122C"/>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B3"/>
    <w:rsid w:val="006F0082"/>
    <w:rsid w:val="006F04D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38B3"/>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2DEE"/>
    <w:rsid w:val="007A3EBB"/>
    <w:rsid w:val="007A4D39"/>
    <w:rsid w:val="007A6AAD"/>
    <w:rsid w:val="007B1A04"/>
    <w:rsid w:val="007B241A"/>
    <w:rsid w:val="007B3BCB"/>
    <w:rsid w:val="007B4933"/>
    <w:rsid w:val="007B6390"/>
    <w:rsid w:val="007C2415"/>
    <w:rsid w:val="007C2688"/>
    <w:rsid w:val="007C3F0F"/>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777A"/>
    <w:rsid w:val="007F1048"/>
    <w:rsid w:val="007F24B7"/>
    <w:rsid w:val="007F3072"/>
    <w:rsid w:val="007F3BA6"/>
    <w:rsid w:val="007F3C2E"/>
    <w:rsid w:val="007F4177"/>
    <w:rsid w:val="007F4219"/>
    <w:rsid w:val="007F4AE6"/>
    <w:rsid w:val="007F5E64"/>
    <w:rsid w:val="007F67BC"/>
    <w:rsid w:val="008016B3"/>
    <w:rsid w:val="0080378D"/>
    <w:rsid w:val="008050B9"/>
    <w:rsid w:val="0080538A"/>
    <w:rsid w:val="00806DAF"/>
    <w:rsid w:val="00810820"/>
    <w:rsid w:val="0081136C"/>
    <w:rsid w:val="0081143D"/>
    <w:rsid w:val="00812682"/>
    <w:rsid w:val="00815199"/>
    <w:rsid w:val="00815DFB"/>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479"/>
    <w:rsid w:val="00867E01"/>
    <w:rsid w:val="008704A3"/>
    <w:rsid w:val="00870671"/>
    <w:rsid w:val="00870ED2"/>
    <w:rsid w:val="008735CD"/>
    <w:rsid w:val="008770CC"/>
    <w:rsid w:val="008775F9"/>
    <w:rsid w:val="00882C3A"/>
    <w:rsid w:val="008832CF"/>
    <w:rsid w:val="00884687"/>
    <w:rsid w:val="008867B9"/>
    <w:rsid w:val="008871B9"/>
    <w:rsid w:val="00887929"/>
    <w:rsid w:val="0089245B"/>
    <w:rsid w:val="00893075"/>
    <w:rsid w:val="00894A4A"/>
    <w:rsid w:val="00897079"/>
    <w:rsid w:val="008A1DDF"/>
    <w:rsid w:val="008A2C3C"/>
    <w:rsid w:val="008A321C"/>
    <w:rsid w:val="008A3232"/>
    <w:rsid w:val="008A61F5"/>
    <w:rsid w:val="008B1639"/>
    <w:rsid w:val="008B31E7"/>
    <w:rsid w:val="008B6867"/>
    <w:rsid w:val="008B6B8E"/>
    <w:rsid w:val="008C0DA9"/>
    <w:rsid w:val="008C2E86"/>
    <w:rsid w:val="008C3FD4"/>
    <w:rsid w:val="008C4FA8"/>
    <w:rsid w:val="008C56F2"/>
    <w:rsid w:val="008C6C65"/>
    <w:rsid w:val="008D0A3C"/>
    <w:rsid w:val="008D23B2"/>
    <w:rsid w:val="008D43C8"/>
    <w:rsid w:val="008D5268"/>
    <w:rsid w:val="008D6EE4"/>
    <w:rsid w:val="008D735B"/>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2762"/>
    <w:rsid w:val="009C4344"/>
    <w:rsid w:val="009C6599"/>
    <w:rsid w:val="009C73B6"/>
    <w:rsid w:val="009D1ADC"/>
    <w:rsid w:val="009D48E4"/>
    <w:rsid w:val="009D4A9C"/>
    <w:rsid w:val="009D53B5"/>
    <w:rsid w:val="009D7132"/>
    <w:rsid w:val="009E0ECB"/>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28BA"/>
    <w:rsid w:val="00A94082"/>
    <w:rsid w:val="00A94729"/>
    <w:rsid w:val="00A976AB"/>
    <w:rsid w:val="00AA1AB0"/>
    <w:rsid w:val="00AA2523"/>
    <w:rsid w:val="00AA2A55"/>
    <w:rsid w:val="00AA2F3C"/>
    <w:rsid w:val="00AA3A1F"/>
    <w:rsid w:val="00AA4451"/>
    <w:rsid w:val="00AA5450"/>
    <w:rsid w:val="00AA5C5D"/>
    <w:rsid w:val="00AB39A3"/>
    <w:rsid w:val="00AB400A"/>
    <w:rsid w:val="00AB60D6"/>
    <w:rsid w:val="00AB7F98"/>
    <w:rsid w:val="00AC05AE"/>
    <w:rsid w:val="00AC0DAB"/>
    <w:rsid w:val="00AC13EA"/>
    <w:rsid w:val="00AC2AB4"/>
    <w:rsid w:val="00AC356B"/>
    <w:rsid w:val="00AC4283"/>
    <w:rsid w:val="00AC497E"/>
    <w:rsid w:val="00AC4D0C"/>
    <w:rsid w:val="00AC6D1F"/>
    <w:rsid w:val="00AC72D4"/>
    <w:rsid w:val="00AC7ABE"/>
    <w:rsid w:val="00AD3D1D"/>
    <w:rsid w:val="00AD3E27"/>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4CD4"/>
    <w:rsid w:val="00BB5BE0"/>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393"/>
    <w:rsid w:val="00BE46C7"/>
    <w:rsid w:val="00BF5543"/>
    <w:rsid w:val="00BF5593"/>
    <w:rsid w:val="00BF6A50"/>
    <w:rsid w:val="00BF7B9B"/>
    <w:rsid w:val="00C01C4E"/>
    <w:rsid w:val="00C05A59"/>
    <w:rsid w:val="00C06C37"/>
    <w:rsid w:val="00C078F4"/>
    <w:rsid w:val="00C10EA6"/>
    <w:rsid w:val="00C13072"/>
    <w:rsid w:val="00C149CA"/>
    <w:rsid w:val="00C14DD1"/>
    <w:rsid w:val="00C1633F"/>
    <w:rsid w:val="00C1675B"/>
    <w:rsid w:val="00C20C52"/>
    <w:rsid w:val="00C21216"/>
    <w:rsid w:val="00C21CDF"/>
    <w:rsid w:val="00C23288"/>
    <w:rsid w:val="00C23647"/>
    <w:rsid w:val="00C238C3"/>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01A"/>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B7D80"/>
    <w:rsid w:val="00CC0EED"/>
    <w:rsid w:val="00CC12F5"/>
    <w:rsid w:val="00CC36CA"/>
    <w:rsid w:val="00CC4D63"/>
    <w:rsid w:val="00CC7DDC"/>
    <w:rsid w:val="00CD0455"/>
    <w:rsid w:val="00CD0BA6"/>
    <w:rsid w:val="00CD1FED"/>
    <w:rsid w:val="00CD265A"/>
    <w:rsid w:val="00CD3C84"/>
    <w:rsid w:val="00CD58AF"/>
    <w:rsid w:val="00CD70A6"/>
    <w:rsid w:val="00CE07DC"/>
    <w:rsid w:val="00CE6D45"/>
    <w:rsid w:val="00CE795C"/>
    <w:rsid w:val="00CF1E32"/>
    <w:rsid w:val="00CF406C"/>
    <w:rsid w:val="00CF47EB"/>
    <w:rsid w:val="00CF5287"/>
    <w:rsid w:val="00CF5C80"/>
    <w:rsid w:val="00D005D8"/>
    <w:rsid w:val="00D00C95"/>
    <w:rsid w:val="00D022B1"/>
    <w:rsid w:val="00D05BF0"/>
    <w:rsid w:val="00D05E6A"/>
    <w:rsid w:val="00D10BE8"/>
    <w:rsid w:val="00D12097"/>
    <w:rsid w:val="00D12184"/>
    <w:rsid w:val="00D17C15"/>
    <w:rsid w:val="00D21A8C"/>
    <w:rsid w:val="00D23FE8"/>
    <w:rsid w:val="00D265C9"/>
    <w:rsid w:val="00D27532"/>
    <w:rsid w:val="00D27FF1"/>
    <w:rsid w:val="00D31A0D"/>
    <w:rsid w:val="00D33F57"/>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2CEF"/>
    <w:rsid w:val="00D84DC1"/>
    <w:rsid w:val="00D84ECD"/>
    <w:rsid w:val="00D861D9"/>
    <w:rsid w:val="00D86EE7"/>
    <w:rsid w:val="00D87E93"/>
    <w:rsid w:val="00D900E7"/>
    <w:rsid w:val="00D940EB"/>
    <w:rsid w:val="00D94186"/>
    <w:rsid w:val="00D94731"/>
    <w:rsid w:val="00D95F61"/>
    <w:rsid w:val="00D96D52"/>
    <w:rsid w:val="00D973FA"/>
    <w:rsid w:val="00D97924"/>
    <w:rsid w:val="00DA1D9C"/>
    <w:rsid w:val="00DA418A"/>
    <w:rsid w:val="00DA470C"/>
    <w:rsid w:val="00DA55A2"/>
    <w:rsid w:val="00DA56A4"/>
    <w:rsid w:val="00DA6FFC"/>
    <w:rsid w:val="00DB0483"/>
    <w:rsid w:val="00DB3EBB"/>
    <w:rsid w:val="00DB7B3F"/>
    <w:rsid w:val="00DC1EB6"/>
    <w:rsid w:val="00DC32FB"/>
    <w:rsid w:val="00DC438D"/>
    <w:rsid w:val="00DC441B"/>
    <w:rsid w:val="00DC466C"/>
    <w:rsid w:val="00DC4F83"/>
    <w:rsid w:val="00DC623F"/>
    <w:rsid w:val="00DC66F9"/>
    <w:rsid w:val="00DC731A"/>
    <w:rsid w:val="00DD236C"/>
    <w:rsid w:val="00DD24AF"/>
    <w:rsid w:val="00DD373A"/>
    <w:rsid w:val="00DD4E44"/>
    <w:rsid w:val="00DE04E2"/>
    <w:rsid w:val="00DE101A"/>
    <w:rsid w:val="00DE22CC"/>
    <w:rsid w:val="00DE66CC"/>
    <w:rsid w:val="00DF0E2F"/>
    <w:rsid w:val="00DF0E6A"/>
    <w:rsid w:val="00DF2C5E"/>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A1AC4"/>
    <w:rsid w:val="00EA2161"/>
    <w:rsid w:val="00EA4FC7"/>
    <w:rsid w:val="00EA61F6"/>
    <w:rsid w:val="00EB21FA"/>
    <w:rsid w:val="00EB32ED"/>
    <w:rsid w:val="00EB3E93"/>
    <w:rsid w:val="00EB4366"/>
    <w:rsid w:val="00EB43C5"/>
    <w:rsid w:val="00EB682C"/>
    <w:rsid w:val="00EC01AE"/>
    <w:rsid w:val="00EC18F1"/>
    <w:rsid w:val="00EC233A"/>
    <w:rsid w:val="00EC29AB"/>
    <w:rsid w:val="00EC325B"/>
    <w:rsid w:val="00EC3717"/>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2945"/>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3FF9"/>
    <w:rsid w:val="00F5697A"/>
    <w:rsid w:val="00F62C9F"/>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E10"/>
    <w:rsid w:val="00F95F8A"/>
    <w:rsid w:val="00F977A9"/>
    <w:rsid w:val="00FA1453"/>
    <w:rsid w:val="00FA22A8"/>
    <w:rsid w:val="00FA2AD8"/>
    <w:rsid w:val="00FA5421"/>
    <w:rsid w:val="00FB0B18"/>
    <w:rsid w:val="00FB3952"/>
    <w:rsid w:val="00FB6A60"/>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valdis.Davidovic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B2D6-EE71-4CA0-A63F-ACED7B38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7464</Words>
  <Characters>4256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Kredītiestāžu likumā"</vt:lpstr>
      <vt:lpstr>Izziņa par atzinumos sniegtajiem iebildumiem par likumprojektu "Grozījumi Kredītiestāžu likumā"</vt:lpstr>
    </vt:vector>
  </TitlesOfParts>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Kredītiestāžu likumā"</dc:title>
  <dc:creator/>
  <dc:description>gunvaldis.davidovics@fm.gov.lv, 67083931</dc:description>
  <cp:lastModifiedBy/>
  <cp:revision>1</cp:revision>
  <dcterms:created xsi:type="dcterms:W3CDTF">2020-12-23T09:47:00Z</dcterms:created>
  <dcterms:modified xsi:type="dcterms:W3CDTF">2020-12-23T09:47:00Z</dcterms:modified>
</cp:coreProperties>
</file>