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F2A24" w14:textId="5A42E2AB" w:rsidR="0097093B" w:rsidRPr="008F33E5" w:rsidRDefault="0097093B" w:rsidP="0097093B">
      <w:pPr>
        <w:spacing w:after="0" w:line="240" w:lineRule="auto"/>
        <w:jc w:val="center"/>
        <w:rPr>
          <w:rFonts w:ascii="Times New Roman" w:hAnsi="Times New Roman" w:cs="Times New Roman"/>
          <w:b/>
          <w:sz w:val="24"/>
          <w:szCs w:val="24"/>
        </w:rPr>
      </w:pPr>
      <w:r w:rsidRPr="008F33E5">
        <w:rPr>
          <w:rFonts w:ascii="Times New Roman" w:hAnsi="Times New Roman" w:cs="Times New Roman"/>
          <w:b/>
          <w:sz w:val="24"/>
          <w:szCs w:val="24"/>
        </w:rPr>
        <w:t>Ministru kabineta noteikum</w:t>
      </w:r>
      <w:r w:rsidR="00940B09" w:rsidRPr="008F33E5">
        <w:rPr>
          <w:rFonts w:ascii="Times New Roman" w:hAnsi="Times New Roman" w:cs="Times New Roman"/>
          <w:b/>
          <w:sz w:val="24"/>
          <w:szCs w:val="24"/>
        </w:rPr>
        <w:t xml:space="preserve">u </w:t>
      </w:r>
    </w:p>
    <w:p w14:paraId="32F19ACE" w14:textId="77777777" w:rsidR="00940B09" w:rsidRPr="008F33E5" w:rsidRDefault="009B4744" w:rsidP="0097093B">
      <w:pPr>
        <w:spacing w:after="0" w:line="240" w:lineRule="auto"/>
        <w:jc w:val="center"/>
        <w:rPr>
          <w:rFonts w:ascii="Times New Roman" w:eastAsia="Times New Roman" w:hAnsi="Times New Roman" w:cs="Times New Roman"/>
          <w:b/>
          <w:bCs/>
          <w:sz w:val="24"/>
          <w:szCs w:val="24"/>
          <w:lang w:eastAsia="lv-LV"/>
        </w:rPr>
      </w:pPr>
      <w:r w:rsidRPr="008F33E5">
        <w:rPr>
          <w:rFonts w:ascii="Times New Roman" w:hAnsi="Times New Roman" w:cs="Times New Roman"/>
          <w:b/>
          <w:sz w:val="24"/>
          <w:szCs w:val="24"/>
        </w:rPr>
        <w:t>“</w:t>
      </w:r>
      <w:r w:rsidR="0097093B" w:rsidRPr="008F33E5">
        <w:rPr>
          <w:rFonts w:ascii="Times New Roman" w:hAnsi="Times New Roman" w:cs="Times New Roman"/>
          <w:b/>
          <w:sz w:val="24"/>
          <w:szCs w:val="24"/>
        </w:rPr>
        <w:t>Kārtība, kādā ziņo par sprāgstvielu prekursoriem</w:t>
      </w:r>
      <w:r w:rsidRPr="008F33E5">
        <w:rPr>
          <w:rFonts w:ascii="Times New Roman" w:hAnsi="Times New Roman" w:cs="Times New Roman"/>
          <w:b/>
          <w:sz w:val="24"/>
          <w:szCs w:val="24"/>
        </w:rPr>
        <w:t>”</w:t>
      </w:r>
      <w:r w:rsidR="00940B09" w:rsidRPr="008F33E5">
        <w:rPr>
          <w:rFonts w:ascii="Times New Roman" w:eastAsia="Times New Roman" w:hAnsi="Times New Roman" w:cs="Times New Roman"/>
          <w:b/>
          <w:bCs/>
          <w:sz w:val="24"/>
          <w:szCs w:val="24"/>
          <w:lang w:eastAsia="lv-LV"/>
        </w:rPr>
        <w:t xml:space="preserve"> </w:t>
      </w:r>
    </w:p>
    <w:p w14:paraId="5504E052" w14:textId="3AED89D5" w:rsidR="00162457" w:rsidRPr="008F33E5" w:rsidRDefault="00940B09" w:rsidP="00940B09">
      <w:pPr>
        <w:spacing w:after="0" w:line="240" w:lineRule="auto"/>
        <w:jc w:val="center"/>
        <w:rPr>
          <w:rFonts w:ascii="Times New Roman" w:hAnsi="Times New Roman" w:cs="Times New Roman"/>
          <w:b/>
          <w:sz w:val="24"/>
          <w:szCs w:val="24"/>
        </w:rPr>
      </w:pPr>
      <w:r w:rsidRPr="008F33E5">
        <w:rPr>
          <w:rFonts w:ascii="Times New Roman" w:eastAsia="Times New Roman" w:hAnsi="Times New Roman" w:cs="Times New Roman"/>
          <w:b/>
          <w:bCs/>
          <w:sz w:val="24"/>
          <w:szCs w:val="24"/>
          <w:lang w:eastAsia="lv-LV"/>
        </w:rPr>
        <w:t>sākotnējās ietekmes novērtējuma ziņojums (anotācija)</w:t>
      </w:r>
    </w:p>
    <w:p w14:paraId="45CD7FBA" w14:textId="77777777" w:rsidR="00940B09" w:rsidRPr="008F33E5" w:rsidRDefault="00940B09" w:rsidP="00940B09">
      <w:pPr>
        <w:spacing w:after="0" w:line="240" w:lineRule="auto"/>
        <w:jc w:val="center"/>
        <w:rPr>
          <w:rFonts w:ascii="Times New Roman" w:hAnsi="Times New Roman" w:cs="Times New Roman"/>
          <w:b/>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954"/>
      </w:tblGrid>
      <w:tr w:rsidR="008F33E5" w:rsidRPr="008F33E5" w14:paraId="3169171C" w14:textId="77777777" w:rsidTr="00876FFB">
        <w:trPr>
          <w:cantSplit/>
        </w:trPr>
        <w:tc>
          <w:tcPr>
            <w:tcW w:w="9209" w:type="dxa"/>
            <w:gridSpan w:val="2"/>
            <w:shd w:val="clear" w:color="auto" w:fill="FFFFFF"/>
            <w:vAlign w:val="center"/>
            <w:hideMark/>
          </w:tcPr>
          <w:p w14:paraId="2651F678" w14:textId="77777777" w:rsidR="00382704" w:rsidRPr="008F33E5" w:rsidRDefault="00382704" w:rsidP="00382704">
            <w:pPr>
              <w:spacing w:after="0" w:line="240" w:lineRule="auto"/>
              <w:jc w:val="center"/>
              <w:rPr>
                <w:rFonts w:ascii="Times New Roman" w:hAnsi="Times New Roman" w:cs="Times New Roman"/>
                <w:b/>
                <w:iCs/>
                <w:sz w:val="24"/>
                <w:szCs w:val="24"/>
              </w:rPr>
            </w:pPr>
            <w:r w:rsidRPr="008F33E5">
              <w:rPr>
                <w:rFonts w:ascii="Times New Roman" w:hAnsi="Times New Roman" w:cs="Times New Roman"/>
                <w:b/>
                <w:iCs/>
                <w:sz w:val="24"/>
                <w:szCs w:val="24"/>
              </w:rPr>
              <w:t>Tiesību akta projekta anotācijas kopsavilkums</w:t>
            </w:r>
          </w:p>
        </w:tc>
      </w:tr>
      <w:tr w:rsidR="008F33E5" w:rsidRPr="008F33E5" w14:paraId="0ECAF3D8" w14:textId="77777777" w:rsidTr="00162457">
        <w:trPr>
          <w:cantSplit/>
          <w:trHeight w:val="976"/>
        </w:trPr>
        <w:tc>
          <w:tcPr>
            <w:tcW w:w="3256" w:type="dxa"/>
            <w:shd w:val="clear" w:color="auto" w:fill="FFFFFF"/>
            <w:hideMark/>
          </w:tcPr>
          <w:p w14:paraId="27A86BE2" w14:textId="77777777" w:rsidR="00382704" w:rsidRPr="008F33E5" w:rsidRDefault="00382704" w:rsidP="00A4555F">
            <w:pPr>
              <w:spacing w:after="0" w:line="240" w:lineRule="auto"/>
              <w:rPr>
                <w:rFonts w:ascii="Times New Roman" w:hAnsi="Times New Roman" w:cs="Times New Roman"/>
                <w:iCs/>
                <w:sz w:val="24"/>
                <w:szCs w:val="24"/>
              </w:rPr>
            </w:pPr>
            <w:r w:rsidRPr="008F33E5">
              <w:rPr>
                <w:rFonts w:ascii="Times New Roman" w:hAnsi="Times New Roman" w:cs="Times New Roman"/>
                <w:iCs/>
                <w:sz w:val="24"/>
                <w:szCs w:val="24"/>
              </w:rPr>
              <w:t>Mērķis, risinājums un projekta spēkā stāšanās laiks (500 zīmes bez atstarpēm)</w:t>
            </w:r>
          </w:p>
        </w:tc>
        <w:tc>
          <w:tcPr>
            <w:tcW w:w="5953" w:type="dxa"/>
            <w:shd w:val="clear" w:color="auto" w:fill="FFFFFF"/>
            <w:hideMark/>
          </w:tcPr>
          <w:p w14:paraId="37388820" w14:textId="0D6827EF" w:rsidR="00AF5559" w:rsidRPr="008F33E5" w:rsidRDefault="0085349F" w:rsidP="00E52CAF">
            <w:pPr>
              <w:pStyle w:val="Heading3"/>
              <w:jc w:val="both"/>
              <w:rPr>
                <w:b w:val="0"/>
                <w:sz w:val="24"/>
                <w:szCs w:val="24"/>
                <w:lang w:val="lv-LV"/>
              </w:rPr>
            </w:pPr>
            <w:r w:rsidRPr="008F33E5">
              <w:rPr>
                <w:b w:val="0"/>
                <w:iCs/>
                <w:sz w:val="24"/>
                <w:szCs w:val="24"/>
                <w:lang w:val="lv-LV"/>
              </w:rPr>
              <w:t>Ministru kabineta noteikumu projekta “Kārtība, kādā ziņo par sprāgstvielu prekursoriem</w:t>
            </w:r>
            <w:r w:rsidRPr="008F33E5">
              <w:rPr>
                <w:b w:val="0"/>
                <w:bCs w:val="0"/>
                <w:iCs/>
                <w:sz w:val="24"/>
                <w:szCs w:val="24"/>
                <w:lang w:val="lv-LV"/>
              </w:rPr>
              <w:t xml:space="preserve">” </w:t>
            </w:r>
            <w:r w:rsidRPr="008F33E5">
              <w:rPr>
                <w:b w:val="0"/>
                <w:iCs/>
                <w:sz w:val="24"/>
                <w:szCs w:val="24"/>
                <w:lang w:val="lv-LV"/>
              </w:rPr>
              <w:t xml:space="preserve">mērķis ir atbilstoši </w:t>
            </w:r>
            <w:r w:rsidRPr="008F33E5">
              <w:rPr>
                <w:b w:val="0"/>
                <w:sz w:val="24"/>
                <w:szCs w:val="24"/>
                <w:lang w:val="lv-LV"/>
              </w:rPr>
              <w:t>Eiropas Parla</w:t>
            </w:r>
            <w:r w:rsidR="00121D7D" w:rsidRPr="008F33E5">
              <w:rPr>
                <w:b w:val="0"/>
                <w:sz w:val="24"/>
                <w:szCs w:val="24"/>
                <w:lang w:val="lv-LV"/>
              </w:rPr>
              <w:t>menta un Padomes 2019. gada 20. </w:t>
            </w:r>
            <w:r w:rsidRPr="008F33E5">
              <w:rPr>
                <w:b w:val="0"/>
                <w:sz w:val="24"/>
                <w:szCs w:val="24"/>
                <w:lang w:val="lv-LV"/>
              </w:rPr>
              <w:t xml:space="preserve">jūnija Regulas (ES) Nr. </w:t>
            </w:r>
            <w:r w:rsidR="00B52F3E">
              <w:fldChar w:fldCharType="begin"/>
            </w:r>
            <w:r w:rsidR="00B52F3E" w:rsidRPr="00B52F3E">
              <w:rPr>
                <w:lang w:val="lv-LV"/>
              </w:rPr>
              <w:instrText xml:space="preserve"> HYPERLINK "https://eur-lex.europa.eu/legal-content/LV/TXT/?uri=CELEX:32019R1148" \t "_blank" </w:instrText>
            </w:r>
            <w:r w:rsidR="00B52F3E">
              <w:fldChar w:fldCharType="separate"/>
            </w:r>
            <w:r w:rsidR="00FD0FEA" w:rsidRPr="008F33E5">
              <w:rPr>
                <w:rStyle w:val="Hyperlink"/>
                <w:b w:val="0"/>
                <w:color w:val="auto"/>
                <w:sz w:val="24"/>
                <w:szCs w:val="24"/>
                <w:lang w:val="lv-LV"/>
              </w:rPr>
              <w:t>2019/1148</w:t>
            </w:r>
            <w:r w:rsidR="00B52F3E">
              <w:rPr>
                <w:rStyle w:val="Hyperlink"/>
                <w:b w:val="0"/>
                <w:color w:val="auto"/>
                <w:sz w:val="24"/>
                <w:szCs w:val="24"/>
                <w:lang w:val="lv-LV"/>
              </w:rPr>
              <w:fldChar w:fldCharType="end"/>
            </w:r>
            <w:r w:rsidRPr="008F33E5">
              <w:rPr>
                <w:b w:val="0"/>
                <w:sz w:val="24"/>
                <w:szCs w:val="24"/>
                <w:lang w:val="lv-LV"/>
              </w:rPr>
              <w:t xml:space="preserve"> par sprāgstvielu prek</w:t>
            </w:r>
            <w:r w:rsidR="00E52CAF" w:rsidRPr="008F33E5">
              <w:rPr>
                <w:b w:val="0"/>
                <w:sz w:val="24"/>
                <w:szCs w:val="24"/>
                <w:lang w:val="lv-LV"/>
              </w:rPr>
              <w:t>ursoru tirdzniecību un lietošanu</w:t>
            </w:r>
            <w:r w:rsidR="00E52CAF" w:rsidRPr="008F33E5">
              <w:rPr>
                <w:sz w:val="24"/>
                <w:szCs w:val="24"/>
                <w:shd w:val="clear" w:color="auto" w:fill="FFFFFF"/>
                <w:lang w:val="lv-LV"/>
              </w:rPr>
              <w:t xml:space="preserve">, </w:t>
            </w:r>
            <w:r w:rsidR="00E52CAF" w:rsidRPr="008F33E5">
              <w:rPr>
                <w:b w:val="0"/>
                <w:sz w:val="24"/>
                <w:szCs w:val="24"/>
                <w:shd w:val="clear" w:color="auto" w:fill="FFFFFF"/>
                <w:lang w:val="lv-LV"/>
              </w:rPr>
              <w:t xml:space="preserve">ar ko groza Regulu (EK) Nr. 1907/2006 un atceļ Regulu (ES) Nr. 98/2013, </w:t>
            </w:r>
            <w:r w:rsidRPr="008F33E5">
              <w:rPr>
                <w:b w:val="0"/>
                <w:sz w:val="24"/>
                <w:szCs w:val="24"/>
                <w:lang w:val="lv-LV"/>
              </w:rPr>
              <w:t xml:space="preserve">prasībām </w:t>
            </w:r>
            <w:r w:rsidR="00EA15FA" w:rsidRPr="008F33E5">
              <w:rPr>
                <w:b w:val="0"/>
                <w:sz w:val="24"/>
                <w:szCs w:val="24"/>
                <w:lang w:val="lv-LV"/>
              </w:rPr>
              <w:t xml:space="preserve">nodrošināt  </w:t>
            </w:r>
            <w:r w:rsidRPr="008F33E5">
              <w:rPr>
                <w:b w:val="0"/>
                <w:sz w:val="24"/>
                <w:szCs w:val="24"/>
                <w:lang w:val="lv-LV"/>
              </w:rPr>
              <w:t xml:space="preserve"> </w:t>
            </w:r>
            <w:r w:rsidR="00EA15FA" w:rsidRPr="008F33E5">
              <w:rPr>
                <w:b w:val="0"/>
                <w:sz w:val="24"/>
                <w:szCs w:val="24"/>
                <w:lang w:val="lv-LV"/>
              </w:rPr>
              <w:t xml:space="preserve">atbilstošu ziņošanas kārtību </w:t>
            </w:r>
            <w:r w:rsidRPr="008F33E5">
              <w:rPr>
                <w:b w:val="0"/>
                <w:iCs/>
                <w:sz w:val="24"/>
                <w:szCs w:val="24"/>
                <w:lang w:val="lv-LV"/>
              </w:rPr>
              <w:t xml:space="preserve">par darbībām ar sprāgstvielu prekursoriem. </w:t>
            </w:r>
          </w:p>
        </w:tc>
      </w:tr>
    </w:tbl>
    <w:p w14:paraId="5C4A37F7" w14:textId="77777777" w:rsidR="00382704" w:rsidRPr="008F33E5"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808"/>
        <w:gridCol w:w="5946"/>
      </w:tblGrid>
      <w:tr w:rsidR="008F33E5" w:rsidRPr="008F33E5" w14:paraId="7FD91FED" w14:textId="77777777" w:rsidTr="00940B0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369BC6" w14:textId="77777777" w:rsidR="004D15A9" w:rsidRPr="008F33E5" w:rsidRDefault="004D15A9" w:rsidP="00382704">
            <w:pPr>
              <w:spacing w:after="0" w:line="240" w:lineRule="auto"/>
              <w:jc w:val="center"/>
              <w:rPr>
                <w:rFonts w:ascii="Times New Roman" w:eastAsia="Times New Roman" w:hAnsi="Times New Roman" w:cs="Times New Roman"/>
                <w:b/>
                <w:bCs/>
                <w:sz w:val="24"/>
                <w:szCs w:val="24"/>
                <w:lang w:eastAsia="lv-LV"/>
              </w:rPr>
            </w:pPr>
            <w:r w:rsidRPr="008F33E5">
              <w:rPr>
                <w:rFonts w:ascii="Times New Roman" w:eastAsia="Times New Roman" w:hAnsi="Times New Roman" w:cs="Times New Roman"/>
                <w:b/>
                <w:bCs/>
                <w:sz w:val="24"/>
                <w:szCs w:val="24"/>
                <w:lang w:eastAsia="lv-LV"/>
              </w:rPr>
              <w:t>I. Tiesību akta projekta izstrādes nepieciešamība</w:t>
            </w:r>
          </w:p>
          <w:p w14:paraId="3C2202FB" w14:textId="77777777" w:rsidR="00876FFB" w:rsidRPr="008F33E5" w:rsidRDefault="00876FFB" w:rsidP="00382704">
            <w:pPr>
              <w:spacing w:after="0" w:line="240" w:lineRule="auto"/>
              <w:jc w:val="center"/>
              <w:rPr>
                <w:rFonts w:ascii="Times New Roman" w:eastAsia="Times New Roman" w:hAnsi="Times New Roman" w:cs="Times New Roman"/>
                <w:b/>
                <w:bCs/>
                <w:sz w:val="24"/>
                <w:szCs w:val="24"/>
                <w:lang w:eastAsia="lv-LV"/>
              </w:rPr>
            </w:pPr>
          </w:p>
        </w:tc>
      </w:tr>
      <w:tr w:rsidR="008F33E5" w:rsidRPr="008F33E5" w14:paraId="3A5B0966" w14:textId="77777777" w:rsidTr="00940B09">
        <w:trPr>
          <w:trHeight w:val="405"/>
        </w:trPr>
        <w:tc>
          <w:tcPr>
            <w:tcW w:w="245"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Pamatojums</w:t>
            </w:r>
          </w:p>
        </w:tc>
        <w:tc>
          <w:tcPr>
            <w:tcW w:w="3230" w:type="pct"/>
            <w:tcBorders>
              <w:top w:val="outset" w:sz="6" w:space="0" w:color="414142"/>
              <w:left w:val="outset" w:sz="6" w:space="0" w:color="414142"/>
              <w:bottom w:val="outset" w:sz="6" w:space="0" w:color="414142"/>
              <w:right w:val="outset" w:sz="6" w:space="0" w:color="414142"/>
            </w:tcBorders>
            <w:hideMark/>
          </w:tcPr>
          <w:p w14:paraId="2D43AB1D" w14:textId="04C4853D" w:rsidR="0085349F" w:rsidRPr="008F33E5" w:rsidRDefault="0085349F" w:rsidP="00303ABD">
            <w:pPr>
              <w:pStyle w:val="Heading3"/>
              <w:spacing w:before="0" w:beforeAutospacing="0" w:after="0" w:afterAutospacing="0"/>
              <w:jc w:val="both"/>
              <w:rPr>
                <w:b w:val="0"/>
                <w:sz w:val="24"/>
                <w:szCs w:val="24"/>
                <w:lang w:val="lv-LV"/>
              </w:rPr>
            </w:pPr>
            <w:r w:rsidRPr="008F33E5">
              <w:rPr>
                <w:b w:val="0"/>
                <w:sz w:val="24"/>
                <w:szCs w:val="24"/>
                <w:lang w:val="lv-LV"/>
              </w:rPr>
              <w:t xml:space="preserve">1. </w:t>
            </w:r>
            <w:r w:rsidR="00E52CAF" w:rsidRPr="008F33E5">
              <w:rPr>
                <w:b w:val="0"/>
                <w:sz w:val="24"/>
                <w:szCs w:val="24"/>
                <w:lang w:val="lv-LV"/>
              </w:rPr>
              <w:t xml:space="preserve">Eiropas Parlamenta un Padomes 2019. gada 20. jūnija Regula (ES) Nr. </w:t>
            </w:r>
            <w:hyperlink r:id="rId8" w:tgtFrame="_blank" w:history="1">
              <w:r w:rsidR="00FD0FEA" w:rsidRPr="008F33E5">
                <w:rPr>
                  <w:rStyle w:val="Hyperlink"/>
                  <w:b w:val="0"/>
                  <w:color w:val="auto"/>
                  <w:sz w:val="24"/>
                  <w:szCs w:val="24"/>
                  <w:lang w:val="lv-LV"/>
                </w:rPr>
                <w:t>2019/1148</w:t>
              </w:r>
            </w:hyperlink>
            <w:r w:rsidR="00FD0FEA" w:rsidRPr="008F33E5">
              <w:rPr>
                <w:b w:val="0"/>
                <w:sz w:val="24"/>
                <w:szCs w:val="24"/>
                <w:lang w:val="lv-LV"/>
              </w:rPr>
              <w:t xml:space="preserve"> </w:t>
            </w:r>
            <w:r w:rsidR="00E52CAF" w:rsidRPr="008F33E5">
              <w:rPr>
                <w:b w:val="0"/>
                <w:sz w:val="24"/>
                <w:szCs w:val="24"/>
                <w:lang w:val="lv-LV"/>
              </w:rPr>
              <w:t xml:space="preserve"> par sprāgstvielu prekursoru tirdzniecību un lietošanu</w:t>
            </w:r>
            <w:r w:rsidR="00E52CAF" w:rsidRPr="008F33E5">
              <w:rPr>
                <w:sz w:val="24"/>
                <w:szCs w:val="24"/>
                <w:shd w:val="clear" w:color="auto" w:fill="FFFFFF"/>
                <w:lang w:val="lv-LV"/>
              </w:rPr>
              <w:t xml:space="preserve">, </w:t>
            </w:r>
            <w:r w:rsidR="00E52CAF" w:rsidRPr="008F33E5">
              <w:rPr>
                <w:b w:val="0"/>
                <w:sz w:val="24"/>
                <w:szCs w:val="24"/>
                <w:shd w:val="clear" w:color="auto" w:fill="FFFFFF"/>
                <w:lang w:val="lv-LV"/>
              </w:rPr>
              <w:t>ar ko groza Regulu (EK) Nr. 1907/2006 un atceļ Regulu (ES) Nr. 98/2013</w:t>
            </w:r>
            <w:r w:rsidR="0097093B" w:rsidRPr="008F33E5">
              <w:rPr>
                <w:b w:val="0"/>
                <w:sz w:val="24"/>
                <w:szCs w:val="24"/>
                <w:lang w:val="lv-LV"/>
              </w:rPr>
              <w:t xml:space="preserve">. </w:t>
            </w:r>
            <w:r w:rsidRPr="008F33E5">
              <w:rPr>
                <w:b w:val="0"/>
                <w:sz w:val="24"/>
                <w:szCs w:val="24"/>
                <w:lang w:val="lv-LV"/>
              </w:rPr>
              <w:t xml:space="preserve"> </w:t>
            </w:r>
          </w:p>
          <w:p w14:paraId="6BA2FCCF" w14:textId="77777777" w:rsidR="0085349F" w:rsidRPr="008F33E5" w:rsidRDefault="00422993" w:rsidP="00303ABD">
            <w:pPr>
              <w:pStyle w:val="Heading3"/>
              <w:spacing w:before="0" w:beforeAutospacing="0" w:after="0" w:afterAutospacing="0"/>
              <w:jc w:val="both"/>
              <w:rPr>
                <w:b w:val="0"/>
                <w:sz w:val="24"/>
                <w:szCs w:val="24"/>
                <w:lang w:val="lv-LV" w:eastAsia="lv-LV"/>
              </w:rPr>
            </w:pPr>
            <w:r w:rsidRPr="008F33E5">
              <w:rPr>
                <w:b w:val="0"/>
                <w:sz w:val="24"/>
                <w:szCs w:val="24"/>
                <w:lang w:val="lv-LV"/>
              </w:rPr>
              <w:t>2</w:t>
            </w:r>
            <w:r w:rsidR="0085349F" w:rsidRPr="008F33E5">
              <w:rPr>
                <w:b w:val="0"/>
                <w:sz w:val="24"/>
                <w:szCs w:val="24"/>
                <w:lang w:val="lv-LV"/>
              </w:rPr>
              <w:t xml:space="preserve">. </w:t>
            </w:r>
            <w:r w:rsidR="0085349F" w:rsidRPr="008F33E5">
              <w:rPr>
                <w:b w:val="0"/>
                <w:sz w:val="24"/>
                <w:szCs w:val="24"/>
                <w:lang w:val="lv-LV" w:eastAsia="lv-LV"/>
              </w:rPr>
              <w:t>Likums “Grozījumi Valsts drošības iestāžu likumā”. Stājās spēkā 2019. gada 1. janvārī.</w:t>
            </w:r>
          </w:p>
          <w:p w14:paraId="49F4407E" w14:textId="21A5AB22" w:rsidR="00DC1501" w:rsidRPr="008F33E5" w:rsidRDefault="00DC1501" w:rsidP="00303ABD">
            <w:pPr>
              <w:pStyle w:val="Heading3"/>
              <w:spacing w:before="0" w:beforeAutospacing="0" w:after="0" w:afterAutospacing="0"/>
              <w:jc w:val="both"/>
              <w:rPr>
                <w:b w:val="0"/>
                <w:sz w:val="24"/>
                <w:szCs w:val="24"/>
                <w:lang w:val="lv-LV"/>
              </w:rPr>
            </w:pPr>
          </w:p>
        </w:tc>
      </w:tr>
      <w:tr w:rsidR="008F33E5" w:rsidRPr="008F33E5" w14:paraId="27BA0D56" w14:textId="77777777" w:rsidTr="00940B09">
        <w:trPr>
          <w:trHeight w:val="465"/>
        </w:trPr>
        <w:tc>
          <w:tcPr>
            <w:tcW w:w="245"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60C62006" w14:textId="67D56AEA" w:rsidR="00B52F3E"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BDBB25F" w14:textId="77777777" w:rsidR="00B52F3E" w:rsidRPr="00B52F3E" w:rsidRDefault="00B52F3E" w:rsidP="00B52F3E">
            <w:pPr>
              <w:rPr>
                <w:rFonts w:ascii="Times New Roman" w:eastAsia="Times New Roman" w:hAnsi="Times New Roman" w:cs="Times New Roman"/>
                <w:sz w:val="24"/>
                <w:szCs w:val="24"/>
                <w:lang w:eastAsia="lv-LV"/>
              </w:rPr>
            </w:pPr>
          </w:p>
          <w:p w14:paraId="3BE9CE2A" w14:textId="77777777" w:rsidR="00B52F3E" w:rsidRPr="00B52F3E" w:rsidRDefault="00B52F3E" w:rsidP="00B52F3E">
            <w:pPr>
              <w:rPr>
                <w:rFonts w:ascii="Times New Roman" w:eastAsia="Times New Roman" w:hAnsi="Times New Roman" w:cs="Times New Roman"/>
                <w:sz w:val="24"/>
                <w:szCs w:val="24"/>
                <w:lang w:eastAsia="lv-LV"/>
              </w:rPr>
            </w:pPr>
          </w:p>
          <w:p w14:paraId="238D4FD9" w14:textId="77777777" w:rsidR="00B52F3E" w:rsidRPr="00B52F3E" w:rsidRDefault="00B52F3E" w:rsidP="00B52F3E">
            <w:pPr>
              <w:rPr>
                <w:rFonts w:ascii="Times New Roman" w:eastAsia="Times New Roman" w:hAnsi="Times New Roman" w:cs="Times New Roman"/>
                <w:sz w:val="24"/>
                <w:szCs w:val="24"/>
                <w:lang w:eastAsia="lv-LV"/>
              </w:rPr>
            </w:pPr>
          </w:p>
          <w:p w14:paraId="63913407" w14:textId="77777777" w:rsidR="00B52F3E" w:rsidRPr="00B52F3E" w:rsidRDefault="00B52F3E" w:rsidP="00B52F3E">
            <w:pPr>
              <w:rPr>
                <w:rFonts w:ascii="Times New Roman" w:eastAsia="Times New Roman" w:hAnsi="Times New Roman" w:cs="Times New Roman"/>
                <w:sz w:val="24"/>
                <w:szCs w:val="24"/>
                <w:lang w:eastAsia="lv-LV"/>
              </w:rPr>
            </w:pPr>
          </w:p>
          <w:p w14:paraId="2DABCC83" w14:textId="77777777" w:rsidR="00B52F3E" w:rsidRPr="00B52F3E" w:rsidRDefault="00B52F3E" w:rsidP="00B52F3E">
            <w:pPr>
              <w:rPr>
                <w:rFonts w:ascii="Times New Roman" w:eastAsia="Times New Roman" w:hAnsi="Times New Roman" w:cs="Times New Roman"/>
                <w:sz w:val="24"/>
                <w:szCs w:val="24"/>
                <w:lang w:eastAsia="lv-LV"/>
              </w:rPr>
            </w:pPr>
          </w:p>
          <w:p w14:paraId="2E23E334" w14:textId="77777777" w:rsidR="00B52F3E" w:rsidRPr="00B52F3E" w:rsidRDefault="00B52F3E" w:rsidP="00B52F3E">
            <w:pPr>
              <w:rPr>
                <w:rFonts w:ascii="Times New Roman" w:eastAsia="Times New Roman" w:hAnsi="Times New Roman" w:cs="Times New Roman"/>
                <w:sz w:val="24"/>
                <w:szCs w:val="24"/>
                <w:lang w:eastAsia="lv-LV"/>
              </w:rPr>
            </w:pPr>
          </w:p>
          <w:p w14:paraId="14C24945" w14:textId="77777777" w:rsidR="00B52F3E" w:rsidRPr="00B52F3E" w:rsidRDefault="00B52F3E" w:rsidP="00B52F3E">
            <w:pPr>
              <w:rPr>
                <w:rFonts w:ascii="Times New Roman" w:eastAsia="Times New Roman" w:hAnsi="Times New Roman" w:cs="Times New Roman"/>
                <w:sz w:val="24"/>
                <w:szCs w:val="24"/>
                <w:lang w:eastAsia="lv-LV"/>
              </w:rPr>
            </w:pPr>
          </w:p>
          <w:p w14:paraId="1024E7EA" w14:textId="77777777" w:rsidR="00B52F3E" w:rsidRPr="00B52F3E" w:rsidRDefault="00B52F3E" w:rsidP="00B52F3E">
            <w:pPr>
              <w:rPr>
                <w:rFonts w:ascii="Times New Roman" w:eastAsia="Times New Roman" w:hAnsi="Times New Roman" w:cs="Times New Roman"/>
                <w:sz w:val="24"/>
                <w:szCs w:val="24"/>
                <w:lang w:eastAsia="lv-LV"/>
              </w:rPr>
            </w:pPr>
          </w:p>
          <w:p w14:paraId="586EEA33" w14:textId="77777777" w:rsidR="00B52F3E" w:rsidRPr="00B52F3E" w:rsidRDefault="00B52F3E" w:rsidP="00B52F3E">
            <w:pPr>
              <w:rPr>
                <w:rFonts w:ascii="Times New Roman" w:eastAsia="Times New Roman" w:hAnsi="Times New Roman" w:cs="Times New Roman"/>
                <w:sz w:val="24"/>
                <w:szCs w:val="24"/>
                <w:lang w:eastAsia="lv-LV"/>
              </w:rPr>
            </w:pPr>
          </w:p>
          <w:p w14:paraId="64ADE118" w14:textId="77777777" w:rsidR="00B52F3E" w:rsidRPr="00B52F3E" w:rsidRDefault="00B52F3E" w:rsidP="00B52F3E">
            <w:pPr>
              <w:rPr>
                <w:rFonts w:ascii="Times New Roman" w:eastAsia="Times New Roman" w:hAnsi="Times New Roman" w:cs="Times New Roman"/>
                <w:sz w:val="24"/>
                <w:szCs w:val="24"/>
                <w:lang w:eastAsia="lv-LV"/>
              </w:rPr>
            </w:pPr>
          </w:p>
          <w:p w14:paraId="2DFA77FB" w14:textId="77777777" w:rsidR="00B52F3E" w:rsidRPr="00B52F3E" w:rsidRDefault="00B52F3E" w:rsidP="00B52F3E">
            <w:pPr>
              <w:rPr>
                <w:rFonts w:ascii="Times New Roman" w:eastAsia="Times New Roman" w:hAnsi="Times New Roman" w:cs="Times New Roman"/>
                <w:sz w:val="24"/>
                <w:szCs w:val="24"/>
                <w:lang w:eastAsia="lv-LV"/>
              </w:rPr>
            </w:pPr>
          </w:p>
          <w:p w14:paraId="01737FF5" w14:textId="7DA13EFD" w:rsidR="004D15A9" w:rsidRPr="00B52F3E" w:rsidRDefault="004D15A9" w:rsidP="00B52F3E">
            <w:pPr>
              <w:jc w:val="center"/>
              <w:rPr>
                <w:rFonts w:ascii="Times New Roman" w:eastAsia="Times New Roman" w:hAnsi="Times New Roman" w:cs="Times New Roman"/>
                <w:sz w:val="24"/>
                <w:szCs w:val="24"/>
                <w:lang w:eastAsia="lv-LV"/>
              </w:rPr>
            </w:pPr>
          </w:p>
        </w:tc>
        <w:tc>
          <w:tcPr>
            <w:tcW w:w="3230" w:type="pct"/>
            <w:tcBorders>
              <w:top w:val="outset" w:sz="6" w:space="0" w:color="414142"/>
              <w:left w:val="outset" w:sz="6" w:space="0" w:color="414142"/>
              <w:bottom w:val="outset" w:sz="6" w:space="0" w:color="414142"/>
              <w:right w:val="outset" w:sz="6" w:space="0" w:color="414142"/>
            </w:tcBorders>
          </w:tcPr>
          <w:p w14:paraId="07F03299" w14:textId="7E326538" w:rsidR="00DC1501" w:rsidRPr="008F33E5" w:rsidRDefault="00DC1501" w:rsidP="00DC1501">
            <w:pPr>
              <w:spacing w:after="0" w:line="240" w:lineRule="auto"/>
              <w:ind w:firstLine="720"/>
              <w:jc w:val="both"/>
              <w:rPr>
                <w:rFonts w:ascii="Times New Roman" w:eastAsia="Times New Roman" w:hAnsi="Times New Roman" w:cs="Times New Roman"/>
                <w:sz w:val="24"/>
                <w:szCs w:val="24"/>
                <w:lang w:eastAsia="en-GB"/>
              </w:rPr>
            </w:pPr>
            <w:r w:rsidRPr="008F33E5">
              <w:rPr>
                <w:rFonts w:ascii="Times New Roman" w:eastAsia="Times New Roman" w:hAnsi="Times New Roman" w:cs="Times New Roman"/>
                <w:sz w:val="24"/>
                <w:szCs w:val="24"/>
                <w:lang w:eastAsia="en-GB"/>
              </w:rPr>
              <w:t xml:space="preserve">Līdz šim sprāgstvielu prekursoru tirdzniecība un lietošana tika atrunāta Eiropas Parlamenta un Padomes 2013.gada 15.janvāra Regulā (ES) Nr.98/2013 par sprāgstvielu prekursoru tirdzniecību un lietošanu (turpmāk – Regula Nr. 98/2013). </w:t>
            </w:r>
          </w:p>
          <w:p w14:paraId="72469CC8" w14:textId="77777777" w:rsidR="00DC1501" w:rsidRPr="008F33E5" w:rsidRDefault="00DC1501" w:rsidP="00DC1501">
            <w:pPr>
              <w:spacing w:after="0" w:line="240" w:lineRule="auto"/>
              <w:ind w:firstLine="720"/>
              <w:jc w:val="both"/>
              <w:rPr>
                <w:rFonts w:ascii="Times New Roman" w:eastAsia="Times New Roman" w:hAnsi="Times New Roman" w:cs="Times New Roman"/>
                <w:sz w:val="24"/>
                <w:szCs w:val="24"/>
                <w:lang w:eastAsia="en-GB"/>
              </w:rPr>
            </w:pPr>
            <w:r w:rsidRPr="008F33E5">
              <w:rPr>
                <w:rFonts w:ascii="Times New Roman" w:eastAsia="Times New Roman" w:hAnsi="Times New Roman" w:cs="Times New Roman"/>
                <w:sz w:val="24"/>
                <w:szCs w:val="24"/>
                <w:lang w:eastAsia="en-GB"/>
              </w:rPr>
              <w:t xml:space="preserve">2019.gada 20.jūnijā tika pieņemta jauna Eiropas Parlamenta un Padomes 2019.gada 20.jūnija Regula (ES) Nr. 2019/1148 par sprāgstvielu prekursoru tirdzniecību un lietošanu, ar ko groza Regulu (EK) Nr. 1907/2006 un atceļ Regulu (ES) Nr.98/2013 (turpmāk – Regula Nr. 2019/1148), kura ar 2021.gada 1.februāri aizstās lietošanu Regulu Nr.98/2013. </w:t>
            </w:r>
          </w:p>
          <w:p w14:paraId="24D1DC4B" w14:textId="28557A6E" w:rsidR="00DC1501" w:rsidRPr="008F33E5" w:rsidRDefault="00DC1501" w:rsidP="00DC1501">
            <w:pPr>
              <w:spacing w:after="0" w:line="240" w:lineRule="auto"/>
              <w:ind w:firstLine="720"/>
              <w:jc w:val="both"/>
              <w:rPr>
                <w:rFonts w:ascii="Times New Roman" w:eastAsia="Times New Roman" w:hAnsi="Times New Roman" w:cs="Times New Roman"/>
                <w:sz w:val="24"/>
                <w:szCs w:val="24"/>
                <w:lang w:eastAsia="en-GB"/>
              </w:rPr>
            </w:pPr>
            <w:r w:rsidRPr="008F33E5">
              <w:rPr>
                <w:rFonts w:ascii="Times New Roman" w:eastAsia="Times New Roman" w:hAnsi="Times New Roman" w:cs="Times New Roman"/>
                <w:sz w:val="24"/>
                <w:szCs w:val="24"/>
                <w:lang w:eastAsia="en-GB"/>
              </w:rPr>
              <w:t>Regula Nr.2019/1148 pēc savas būtības satur Regulai Nr.98/2013 līdzīgu regulējumu, tomēr paredzot papildu prasības un precizējot Regulā Nr. 98/2013 ietvertās prasības.</w:t>
            </w:r>
          </w:p>
          <w:p w14:paraId="21FCF261" w14:textId="77777777" w:rsidR="00DC1501" w:rsidRPr="008F33E5" w:rsidRDefault="00DC1501" w:rsidP="00DC1501">
            <w:pPr>
              <w:spacing w:after="0" w:line="240" w:lineRule="auto"/>
              <w:ind w:firstLine="720"/>
              <w:jc w:val="both"/>
              <w:rPr>
                <w:rFonts w:ascii="Times New Roman" w:eastAsia="Times New Roman" w:hAnsi="Times New Roman" w:cs="Times New Roman"/>
                <w:sz w:val="24"/>
                <w:szCs w:val="24"/>
                <w:lang w:eastAsia="en-GB"/>
              </w:rPr>
            </w:pPr>
            <w:r w:rsidRPr="008F33E5">
              <w:rPr>
                <w:rFonts w:ascii="Times New Roman" w:eastAsia="Times New Roman" w:hAnsi="Times New Roman" w:cs="Times New Roman"/>
                <w:sz w:val="24"/>
                <w:szCs w:val="24"/>
                <w:lang w:eastAsia="en-GB"/>
              </w:rPr>
              <w:t xml:space="preserve">Regula Nr.2019/1148 paredz, ka plašas sabiedrības locekļiem nevajadzētu būt atļautam iegādāties, ievest, turēt īpašumā vai lietot konkrētus sprāgstvielu prekursorus koncentrācijā, kas pārsniedz konkrētas robežvērtības masas procentos (masas %) saskaņā ar šīs regulas I pielikumu. Tātad Regula Nr.2019/1148 neaizliedz kādu konkrēto preču (vai preču grupu) apriti, bet gan nosaka tirdzniecības ierobežojumus noteiktajiem sprāgstvielu prekursoriem, kuri savukārt tiek izmantoti dažādās jomās (piemērām, lauksaimniecībā, medicīnā, ražošanā utt.) un tikai noteiktajā koncentrācijā. Ņemot vērā minēto, nepastāv nozares likums, kurā varētu paredzēt regulējumu šīs regulas īstenošanai. </w:t>
            </w:r>
          </w:p>
          <w:p w14:paraId="7FEB3180" w14:textId="19B4D7FB" w:rsidR="00DC1501" w:rsidRPr="008F33E5" w:rsidRDefault="00DC1501" w:rsidP="00DC1501">
            <w:pPr>
              <w:spacing w:after="0" w:line="240" w:lineRule="auto"/>
              <w:ind w:firstLine="720"/>
              <w:jc w:val="both"/>
              <w:rPr>
                <w:rFonts w:ascii="Times New Roman" w:eastAsia="Times New Roman" w:hAnsi="Times New Roman" w:cs="Times New Roman"/>
                <w:sz w:val="24"/>
                <w:szCs w:val="24"/>
                <w:lang w:eastAsia="en-GB"/>
              </w:rPr>
            </w:pPr>
            <w:r w:rsidRPr="008F33E5">
              <w:rPr>
                <w:rFonts w:ascii="Times New Roman" w:eastAsia="Times New Roman" w:hAnsi="Times New Roman" w:cs="Times New Roman"/>
                <w:sz w:val="24"/>
                <w:szCs w:val="24"/>
                <w:lang w:eastAsia="en-GB"/>
              </w:rPr>
              <w:t xml:space="preserve">Regulas Nr.2019/1148 noteikumi nosaka kā darīt pieejamas, ievest, turēt īpašumā un lietot tādas vielas vai </w:t>
            </w:r>
            <w:r w:rsidRPr="008F33E5">
              <w:rPr>
                <w:rFonts w:ascii="Times New Roman" w:eastAsia="Times New Roman" w:hAnsi="Times New Roman" w:cs="Times New Roman"/>
                <w:sz w:val="24"/>
                <w:szCs w:val="24"/>
                <w:lang w:eastAsia="en-GB"/>
              </w:rPr>
              <w:lastRenderedPageBreak/>
              <w:t>maisījumus, ko varētu ļaunprātīgi izmantot sprāgstvielu nelikumīgai izgatavošanai, nolūkā ierobežot attiecīgo vielu vai maisījumu pieejamību plašas sabiedrības locekļiem un nodrošināt atbilstīgu ziņošanu par aizdomīgiem darījumiem visā piegādes ķēdē.</w:t>
            </w:r>
          </w:p>
          <w:p w14:paraId="119186B6" w14:textId="77777777" w:rsidR="00DC1501" w:rsidRPr="008F33E5" w:rsidRDefault="00DC1501" w:rsidP="00DC1501">
            <w:pPr>
              <w:spacing w:after="0" w:line="240" w:lineRule="auto"/>
              <w:ind w:firstLine="720"/>
              <w:jc w:val="both"/>
              <w:rPr>
                <w:rFonts w:ascii="Times New Roman" w:eastAsia="Times New Roman" w:hAnsi="Times New Roman" w:cs="Times New Roman"/>
                <w:sz w:val="24"/>
                <w:szCs w:val="24"/>
                <w:lang w:eastAsia="en-GB"/>
              </w:rPr>
            </w:pPr>
            <w:r w:rsidRPr="008F33E5">
              <w:rPr>
                <w:rFonts w:ascii="Times New Roman" w:eastAsia="Times New Roman" w:hAnsi="Times New Roman" w:cs="Times New Roman"/>
                <w:sz w:val="24"/>
                <w:szCs w:val="24"/>
                <w:lang w:eastAsia="en-GB"/>
              </w:rPr>
              <w:t xml:space="preserve">Vēršama uzmanība, ka  Regulas Nr. 2019/1148 5.panta 3.punkts satur rīcības brīvību dalībvalstīm saglabāt vai noteikt licencēšanas režīmu, ar kuru konkrētus ierobežotus sprāgstvielu prekursorus koncentrācijā, kas nepārsniedz attiecīgās augšējās robežvērtības, kuras izklāstītas I pielikuma tabulas 3. slejā, atļauj darīt pieejamus plašas sabiedrības locekļiem, tiem tos ievest, turēt īpašumā vai lietot. </w:t>
            </w:r>
          </w:p>
          <w:p w14:paraId="7CD6F987" w14:textId="69812800" w:rsidR="00DC1501" w:rsidRPr="008F33E5" w:rsidRDefault="00DC1501" w:rsidP="00DC1501">
            <w:pPr>
              <w:spacing w:after="0" w:line="240" w:lineRule="auto"/>
              <w:ind w:firstLine="720"/>
              <w:jc w:val="both"/>
              <w:rPr>
                <w:rFonts w:ascii="Times New Roman" w:eastAsia="Times New Roman" w:hAnsi="Times New Roman" w:cs="Times New Roman"/>
                <w:sz w:val="24"/>
                <w:szCs w:val="24"/>
                <w:lang w:eastAsia="en-GB"/>
              </w:rPr>
            </w:pPr>
            <w:r w:rsidRPr="008F33E5">
              <w:rPr>
                <w:rFonts w:ascii="Times New Roman" w:eastAsia="Times New Roman" w:hAnsi="Times New Roman" w:cs="Times New Roman"/>
                <w:sz w:val="24"/>
                <w:szCs w:val="24"/>
                <w:lang w:eastAsia="en-GB"/>
              </w:rPr>
              <w:t xml:space="preserve">2013.gadā Iekšlietu ministrija saistībā ar </w:t>
            </w:r>
            <w:r w:rsidR="000E29AD" w:rsidRPr="008F33E5">
              <w:rPr>
                <w:rFonts w:ascii="Times New Roman" w:eastAsia="Times New Roman" w:hAnsi="Times New Roman" w:cs="Times New Roman"/>
                <w:sz w:val="24"/>
                <w:szCs w:val="24"/>
                <w:lang w:eastAsia="en-GB"/>
              </w:rPr>
              <w:t xml:space="preserve">Regulas </w:t>
            </w:r>
            <w:r w:rsidRPr="008F33E5">
              <w:rPr>
                <w:rFonts w:ascii="Times New Roman" w:eastAsia="Times New Roman" w:hAnsi="Times New Roman" w:cs="Times New Roman"/>
                <w:sz w:val="24"/>
                <w:szCs w:val="24"/>
                <w:lang w:eastAsia="en-GB"/>
              </w:rPr>
              <w:t xml:space="preserve">Nr.98/2013 prasību īstenošanu veica aptauju starp dažādās jomās atbildīgajām institūcijām (Zemkopības ministrija, Ekonomikas ministrija, Veselības ministrija, Vides aizsardzības un reģionālās attīstības ministrija) par nepieciešamību noteikt licenču izsniegšanas procedūru sprāgstvielu prekursoriem vai saglabāt jau esošu licencēšanas mehānismu, ja tāds pastāv. Iekšlietu ministrijā netika saņemta informācija no minētajām institūcijām, ka šāds regulējums nozarēs būtu nepieciešams vai, ka būtu nepieciešams saglabāt esošo licencēšanas mehānismu. Līdz ar to tirgū plašas sabiedrības locekļiem var nonākt tikai reglamentētie sprāgstvielu prekursori un Regulas Nr.2019/1148 5. un 6. panta noteikumi Latvijas Republikā nav īstenojami un piemērojami. </w:t>
            </w:r>
          </w:p>
          <w:p w14:paraId="5E2F9DF6" w14:textId="77777777" w:rsidR="00DC1501" w:rsidRPr="008F33E5" w:rsidRDefault="00DC1501" w:rsidP="00DC1501">
            <w:pPr>
              <w:spacing w:after="0" w:line="240" w:lineRule="auto"/>
              <w:ind w:firstLine="720"/>
              <w:jc w:val="both"/>
              <w:rPr>
                <w:rFonts w:ascii="Times New Roman" w:eastAsia="Times New Roman" w:hAnsi="Times New Roman" w:cs="Times New Roman"/>
                <w:sz w:val="24"/>
                <w:szCs w:val="24"/>
                <w:lang w:eastAsia="en-GB"/>
              </w:rPr>
            </w:pPr>
            <w:r w:rsidRPr="008F33E5">
              <w:rPr>
                <w:rFonts w:ascii="Times New Roman" w:eastAsia="Times New Roman" w:hAnsi="Times New Roman" w:cs="Times New Roman"/>
                <w:sz w:val="24"/>
                <w:szCs w:val="24"/>
                <w:lang w:eastAsia="en-GB"/>
              </w:rPr>
              <w:t>Saskaņā ar Līguma par Eiropas Savienības darbību 288.panta otro daļu regulas ir vispārpiemērojami tiesību akti, kas uzliek saistības kopumā un ir tieši piemērojamas visās dalībvalstīs. No regulu tiešās iedarbības kritērija izriet regulu pārrakstīšanas aizliegums. Līdz ar to dalībvalstīm ir jānodrošina tikai to Regulas Nr.2019/1148 noteikumu īstenošanu, kuros tas ir nepaprotami norādīts.</w:t>
            </w:r>
          </w:p>
          <w:p w14:paraId="63CBD230" w14:textId="4502D30D" w:rsidR="00DC1501" w:rsidRPr="008F33E5" w:rsidRDefault="00DC1501" w:rsidP="00DC1501">
            <w:pPr>
              <w:spacing w:after="0" w:line="240" w:lineRule="auto"/>
              <w:ind w:firstLine="720"/>
              <w:jc w:val="both"/>
              <w:rPr>
                <w:rFonts w:ascii="Times New Roman" w:eastAsia="Times New Roman" w:hAnsi="Times New Roman" w:cs="Times New Roman"/>
                <w:sz w:val="24"/>
                <w:szCs w:val="24"/>
                <w:lang w:eastAsia="en-GB"/>
              </w:rPr>
            </w:pPr>
            <w:r w:rsidRPr="008F33E5">
              <w:rPr>
                <w:rFonts w:ascii="Times New Roman" w:eastAsia="Times New Roman" w:hAnsi="Times New Roman" w:cs="Times New Roman"/>
                <w:sz w:val="24"/>
                <w:szCs w:val="24"/>
                <w:lang w:eastAsia="en-GB"/>
              </w:rPr>
              <w:t xml:space="preserve">Ar Regulas Nr.2019/1148 9.panta 3.punktu dalībvalstīm ir uzdots nodrošināt Regulas Nr.2019/1148 tehnisko jautājumu īstenošanas izpildi, proti, izveidot kontaktpunktu. </w:t>
            </w:r>
          </w:p>
          <w:p w14:paraId="1D4B63E4" w14:textId="0E7DFE7B" w:rsidR="00DC1501" w:rsidRPr="008F33E5" w:rsidRDefault="00DC1501" w:rsidP="00DC1501">
            <w:pPr>
              <w:spacing w:after="0" w:line="240" w:lineRule="auto"/>
              <w:ind w:firstLine="720"/>
              <w:jc w:val="both"/>
              <w:rPr>
                <w:rFonts w:ascii="Times New Roman" w:eastAsia="Times New Roman" w:hAnsi="Times New Roman" w:cs="Times New Roman"/>
                <w:sz w:val="24"/>
                <w:szCs w:val="24"/>
                <w:lang w:eastAsia="en-GB"/>
              </w:rPr>
            </w:pPr>
            <w:r w:rsidRPr="008F33E5">
              <w:rPr>
                <w:rFonts w:ascii="Times New Roman" w:eastAsia="Times New Roman" w:hAnsi="Times New Roman" w:cs="Times New Roman"/>
                <w:sz w:val="24"/>
                <w:szCs w:val="24"/>
                <w:lang w:eastAsia="en-GB"/>
              </w:rPr>
              <w:t xml:space="preserve">Ņemot vērā minēto, kā arī to, ka nepastāv tāds nozares likums, kurā varētu iestrādāt </w:t>
            </w:r>
            <w:r w:rsidR="000E29AD" w:rsidRPr="008F33E5">
              <w:rPr>
                <w:rFonts w:ascii="Times New Roman" w:eastAsia="Times New Roman" w:hAnsi="Times New Roman" w:cs="Times New Roman"/>
                <w:sz w:val="24"/>
                <w:szCs w:val="24"/>
                <w:lang w:eastAsia="en-GB"/>
              </w:rPr>
              <w:t>Regulas Nr.2019/1148 prasību</w:t>
            </w:r>
            <w:r w:rsidRPr="008F33E5">
              <w:rPr>
                <w:rFonts w:ascii="Times New Roman" w:eastAsia="Times New Roman" w:hAnsi="Times New Roman" w:cs="Times New Roman"/>
                <w:sz w:val="24"/>
                <w:szCs w:val="24"/>
                <w:lang w:eastAsia="en-GB"/>
              </w:rPr>
              <w:t xml:space="preserve"> īstenošanai nepieciešamu regulējumu, ir izstrādāts Ministru kabineta noteikumu projekts, lai nodrošinātu Regulas Nr.2019/1148 prasību attiecībā uz kontaktpunkta ziņošanai par aizdomīgiem darījumiem ar sprāgstvielu prekursoriem un to pazušanas vai zādzības gadījumiem izveidošanu izpildi. </w:t>
            </w:r>
          </w:p>
          <w:p w14:paraId="7043DD3E" w14:textId="77777777" w:rsidR="00DC1501" w:rsidRPr="008F33E5" w:rsidRDefault="00DC1501" w:rsidP="00DC1501">
            <w:pPr>
              <w:spacing w:after="0" w:line="240" w:lineRule="auto"/>
              <w:ind w:firstLine="720"/>
              <w:jc w:val="both"/>
              <w:rPr>
                <w:rFonts w:ascii="Times New Roman" w:eastAsia="Times New Roman" w:hAnsi="Times New Roman" w:cs="Times New Roman"/>
                <w:sz w:val="24"/>
                <w:szCs w:val="24"/>
                <w:lang w:eastAsia="en-GB"/>
              </w:rPr>
            </w:pPr>
            <w:r w:rsidRPr="008F33E5">
              <w:rPr>
                <w:rFonts w:ascii="Times New Roman" w:eastAsia="Times New Roman" w:hAnsi="Times New Roman" w:cs="Times New Roman"/>
                <w:sz w:val="24"/>
                <w:szCs w:val="24"/>
                <w:lang w:eastAsia="en-GB"/>
              </w:rPr>
              <w:t>Pašlaik Regulā Nr.98/2013 noteikto prasību īstenošanu atti</w:t>
            </w:r>
            <w:bookmarkStart w:id="0" w:name="_GoBack"/>
            <w:bookmarkEnd w:id="0"/>
            <w:r w:rsidRPr="008F33E5">
              <w:rPr>
                <w:rFonts w:ascii="Times New Roman" w:eastAsia="Times New Roman" w:hAnsi="Times New Roman" w:cs="Times New Roman"/>
                <w:sz w:val="24"/>
                <w:szCs w:val="24"/>
                <w:lang w:eastAsia="en-GB"/>
              </w:rPr>
              <w:t xml:space="preserve">ecībā uz komersantu (ekonomikas dalībnieku) ziņošanas pienākumu nodrošina Ministru kabineta 2015.gada 3.marta noteikumi Nr.110 “Kārtība, kādā ziņo par sprāgstvielu prekursoriem” (turpmāk – Noteikumi Nr.110), kas nosaka kārtību, kādā komersants (ekonomikas dalībnieks) ziņo par aizdomīgiem darījumiem ar Regulas Nr. 98/2013 I </w:t>
            </w:r>
            <w:r w:rsidRPr="008F33E5">
              <w:rPr>
                <w:rFonts w:ascii="Times New Roman" w:eastAsia="Times New Roman" w:hAnsi="Times New Roman" w:cs="Times New Roman"/>
                <w:sz w:val="24"/>
                <w:szCs w:val="24"/>
                <w:lang w:eastAsia="en-GB"/>
              </w:rPr>
              <w:lastRenderedPageBreak/>
              <w:t>un II pielikumā uzskaitītajām vielām un tās saturošiem maisījumiem vai vielām, kā arī par minēto maisījumu un vielu būtiskiem pazušanas gadījumiem un zādzībām.</w:t>
            </w:r>
          </w:p>
          <w:p w14:paraId="768B954C" w14:textId="77777777" w:rsidR="00DC1501" w:rsidRPr="008F33E5" w:rsidRDefault="00DC1501" w:rsidP="00DC1501">
            <w:pPr>
              <w:spacing w:after="0" w:line="240" w:lineRule="auto"/>
              <w:ind w:firstLine="720"/>
              <w:jc w:val="both"/>
              <w:rPr>
                <w:rFonts w:ascii="Times New Roman" w:eastAsia="Times New Roman" w:hAnsi="Times New Roman" w:cs="Times New Roman"/>
                <w:sz w:val="24"/>
                <w:szCs w:val="24"/>
                <w:lang w:eastAsia="en-GB"/>
              </w:rPr>
            </w:pPr>
            <w:r w:rsidRPr="008F33E5">
              <w:rPr>
                <w:rFonts w:ascii="Times New Roman" w:eastAsia="Times New Roman" w:hAnsi="Times New Roman" w:cs="Times New Roman"/>
                <w:sz w:val="24"/>
                <w:szCs w:val="24"/>
                <w:lang w:eastAsia="en-GB"/>
              </w:rPr>
              <w:t>Izvērtējot sakarā ar jaunas Regulas Nr.2019/1148 spēkā stāšanos nepieciešamo grozījumu apjomu, ir secināts, ka nepieciešams izstrādāt jaunu Ministru kabineta noteikumu projektu “Kārtība, kādā ziņo par sprāgstvielu prekursoriem” (turpmāk – projekts), savukārt Noteikumus Nr.110 atzīt par spēkā neesošiem.</w:t>
            </w:r>
          </w:p>
          <w:p w14:paraId="6F963163" w14:textId="77777777" w:rsidR="00A03C78" w:rsidRPr="008F33E5" w:rsidRDefault="00A03C78" w:rsidP="00A03C78">
            <w:pPr>
              <w:spacing w:after="0" w:line="240" w:lineRule="auto"/>
              <w:ind w:firstLine="720"/>
              <w:jc w:val="both"/>
              <w:rPr>
                <w:rFonts w:ascii="Times New Roman" w:eastAsia="Times New Roman" w:hAnsi="Times New Roman" w:cs="Times New Roman"/>
                <w:sz w:val="24"/>
                <w:szCs w:val="24"/>
                <w:lang w:eastAsia="en-GB"/>
              </w:rPr>
            </w:pPr>
            <w:r w:rsidRPr="008F33E5">
              <w:rPr>
                <w:rFonts w:ascii="Times New Roman" w:eastAsia="Times New Roman" w:hAnsi="Times New Roman" w:cs="Times New Roman"/>
                <w:sz w:val="24"/>
                <w:szCs w:val="24"/>
                <w:lang w:eastAsia="en-GB"/>
              </w:rPr>
              <w:t xml:space="preserve">Regulas Nr.2019/1148 9.panta 3.punkts nosaka, ka katra dalībvalsts izveido vienu vai vairākus valsts kontaktpunktus ziņošanai par aizdomīgiem darījumiem un būtiskiem pazušanas gadījumiem un zādzībām, precīzi norādot to tālruņa numuru un e-pasta adresi, kā arī tīmekļa veidlapu vai jebkuru citu efektīvu rīku. Dalībvalstīm ir jānodrošina, ka minētā ziņošana ir ātra, savukārt atbildīgās iestādes reakcija – operatīva un efektīva. </w:t>
            </w:r>
          </w:p>
          <w:p w14:paraId="6FF18EC9" w14:textId="77777777" w:rsidR="00A03C78" w:rsidRPr="008F33E5" w:rsidRDefault="00A03C78" w:rsidP="00A03C78">
            <w:pPr>
              <w:spacing w:after="0" w:line="240" w:lineRule="auto"/>
              <w:ind w:firstLine="720"/>
              <w:jc w:val="both"/>
              <w:rPr>
                <w:rFonts w:ascii="Times New Roman" w:hAnsi="Times New Roman" w:cs="Times New Roman"/>
                <w:sz w:val="24"/>
                <w:szCs w:val="24"/>
                <w:bdr w:val="none" w:sz="0" w:space="0" w:color="auto" w:frame="1"/>
              </w:rPr>
            </w:pPr>
            <w:r w:rsidRPr="008F33E5">
              <w:rPr>
                <w:rFonts w:ascii="Times New Roman" w:hAnsi="Times New Roman" w:cs="Times New Roman"/>
                <w:sz w:val="24"/>
                <w:szCs w:val="24"/>
              </w:rPr>
              <w:t xml:space="preserve">Regulas Nr. 2019/1148 paskaidrojuma rakstā (dokumenta Nr. COM (2018) 209 </w:t>
            </w:r>
            <w:proofErr w:type="spellStart"/>
            <w:r w:rsidRPr="008F33E5">
              <w:rPr>
                <w:rFonts w:ascii="Times New Roman" w:hAnsi="Times New Roman" w:cs="Times New Roman"/>
                <w:sz w:val="24"/>
                <w:szCs w:val="24"/>
              </w:rPr>
              <w:t>final</w:t>
            </w:r>
            <w:proofErr w:type="spellEnd"/>
            <w:r w:rsidRPr="008F33E5">
              <w:rPr>
                <w:rFonts w:ascii="Times New Roman" w:hAnsi="Times New Roman" w:cs="Times New Roman"/>
                <w:sz w:val="24"/>
                <w:szCs w:val="24"/>
              </w:rPr>
              <w:t xml:space="preserve">, 2018/0103 (COD)) ir minēts, ka sprāgstvielu prekursoru </w:t>
            </w:r>
            <w:r w:rsidRPr="008F33E5">
              <w:rPr>
                <w:rFonts w:ascii="Times New Roman" w:hAnsi="Times New Roman" w:cs="Times New Roman"/>
                <w:sz w:val="24"/>
                <w:szCs w:val="24"/>
                <w:bdr w:val="none" w:sz="0" w:space="0" w:color="auto" w:frame="1"/>
              </w:rPr>
              <w:t>tirdzniecības un lietošanas ierobežojumi un kontroles pasākumi ir nozīmīgi teroristu tīklu darbību izjaukšanā, apgrūtinot uzbrukšanu mērķiem un piekļūšanu bīstamām vielām, kā arī to izvietošanu. Līdz ar to attiecīgā kontaktpunkta izveidošana ir viens no mehānismiem terorisma novēršanas un apkarošanas jomā.</w:t>
            </w:r>
          </w:p>
          <w:p w14:paraId="20FF9D8C" w14:textId="77777777" w:rsidR="00A03C78" w:rsidRPr="008F33E5" w:rsidRDefault="00A03C78" w:rsidP="00A03C78">
            <w:pPr>
              <w:spacing w:after="0" w:line="240" w:lineRule="auto"/>
              <w:ind w:firstLine="720"/>
              <w:jc w:val="both"/>
              <w:rPr>
                <w:rFonts w:ascii="Times New Roman" w:eastAsia="Times New Roman" w:hAnsi="Times New Roman" w:cs="Times New Roman"/>
                <w:sz w:val="24"/>
                <w:szCs w:val="24"/>
                <w:lang w:eastAsia="en-GB"/>
              </w:rPr>
            </w:pPr>
            <w:r w:rsidRPr="008F33E5">
              <w:rPr>
                <w:rFonts w:ascii="Times New Roman" w:hAnsi="Times New Roman" w:cs="Times New Roman"/>
                <w:sz w:val="24"/>
                <w:szCs w:val="24"/>
                <w:bdr w:val="none" w:sz="0" w:space="0" w:color="auto" w:frame="1"/>
              </w:rPr>
              <w:t xml:space="preserve">Valsts drošības dienestā ir izveidota speciālā elektroniskā adrese un tālrunis, kuru izmanto attiecīgas amatpersonas, lai nodrošinātu operatīvu saņemtas informācijas apstrādi. </w:t>
            </w:r>
            <w:r w:rsidRPr="008F33E5">
              <w:rPr>
                <w:rFonts w:ascii="Times New Roman" w:hAnsi="Times New Roman" w:cs="Times New Roman"/>
                <w:sz w:val="24"/>
                <w:szCs w:val="24"/>
              </w:rPr>
              <w:t xml:space="preserve">Attiecīgā informācija tiek saņemta uzreiz, turklāt pieejama tieši amatpersonai, kura ar šādiem jautājumiem strādā, tādējādi nepieciešamības gadījumā nodrošinot ātru un efektīvu rīcību sabiedrības drošības apdraudējuma gadījumā. Jāvērš uzmanība, ka minētais specializēts e-pasts un tālrunis primāri ir domāts steidzamas informācijas nodošanai, nevis tādai “oficiālai” saziņai, kas būtu līdzvērtīga ierakstītai vēstulei. Minētā saziņas kanāla izveidošana neliedz personām vērsties Valsts drošības dienestā, izmantojot oficiālo elektronisko adresi vai citus pieejamus saziņas kanālus. </w:t>
            </w:r>
          </w:p>
          <w:p w14:paraId="63EB7586" w14:textId="72F7A31A" w:rsidR="00DC1501" w:rsidRPr="008F33E5" w:rsidRDefault="00DC1501" w:rsidP="00DC1501">
            <w:pPr>
              <w:spacing w:after="0" w:line="240" w:lineRule="auto"/>
              <w:ind w:firstLine="720"/>
              <w:jc w:val="both"/>
              <w:rPr>
                <w:rFonts w:ascii="Times New Roman" w:eastAsia="Times New Roman" w:hAnsi="Times New Roman" w:cs="Times New Roman"/>
                <w:sz w:val="24"/>
                <w:szCs w:val="24"/>
                <w:lang w:eastAsia="en-GB"/>
              </w:rPr>
            </w:pPr>
            <w:r w:rsidRPr="008F33E5">
              <w:rPr>
                <w:rFonts w:ascii="Times New Roman" w:eastAsia="Times New Roman" w:hAnsi="Times New Roman" w:cs="Times New Roman"/>
                <w:sz w:val="24"/>
                <w:szCs w:val="24"/>
                <w:lang w:eastAsia="en-GB"/>
              </w:rPr>
              <w:t xml:space="preserve">Savukārt minētā panta 4.punktā ir noteikts, ka ekonomikas dalībnieki un tiešsaistes tirdzniecības vietas drīkst atteikt aizdomīgu darījumu. Tās ziņo par aizdomīgo darījumu vai aizdomīga darījuma mēģinājumu 24 stundu laikā, kopš konstatēts, ka tas ir aizdomīgs. Turklāt minētā panta 5.punkts paredz, ka ekonomikas dalībnieki un profesionāli lietotāji ziņo par būtiskiem reglamentētu sprāgstvielu prekursoru pazušanas gadījumiem un zādzībām 24 stundu laikā, kopš tas konstatēts, ziņojumu sniedzot tās dalībvalsts valsts kontaktpunktam, kurā pazušanas gadījums vai zādzība notikusi. </w:t>
            </w:r>
          </w:p>
          <w:p w14:paraId="5B088BB1" w14:textId="77777777" w:rsidR="00DC1501" w:rsidRPr="008F33E5" w:rsidRDefault="00DC1501" w:rsidP="00DC1501">
            <w:pPr>
              <w:spacing w:after="0" w:line="240" w:lineRule="auto"/>
              <w:ind w:firstLine="720"/>
              <w:jc w:val="both"/>
              <w:rPr>
                <w:rFonts w:ascii="Times New Roman" w:eastAsia="Times New Roman" w:hAnsi="Times New Roman" w:cs="Times New Roman"/>
                <w:sz w:val="24"/>
                <w:szCs w:val="24"/>
                <w:lang w:eastAsia="en-GB"/>
              </w:rPr>
            </w:pPr>
            <w:r w:rsidRPr="008F33E5">
              <w:rPr>
                <w:rFonts w:ascii="Times New Roman" w:eastAsia="Times New Roman" w:hAnsi="Times New Roman" w:cs="Times New Roman"/>
                <w:sz w:val="24"/>
                <w:szCs w:val="24"/>
                <w:lang w:eastAsia="en-GB"/>
              </w:rPr>
              <w:t xml:space="preserve">Ņemot vērā minēto, projekts attiecīgi paredz, ka par sprāgstvielu prekursoru aizdomīgiem darījumiem, pazušanas </w:t>
            </w:r>
            <w:r w:rsidRPr="008F33E5">
              <w:rPr>
                <w:rFonts w:ascii="Times New Roman" w:eastAsia="Times New Roman" w:hAnsi="Times New Roman" w:cs="Times New Roman"/>
                <w:sz w:val="24"/>
                <w:szCs w:val="24"/>
                <w:lang w:eastAsia="en-GB"/>
              </w:rPr>
              <w:lastRenderedPageBreak/>
              <w:t xml:space="preserve">gadījumiem un zādzībām ziņo ne tikai ekonomikas dalībnieks, bet attiecīgi arī tiešsaistes tirdzniecības vietas un profesionāli lietotāji. Tāpat, ņemot vērā veiktos grozījumus Valsts drošības iestāžu likumā attiecībā uz iestādes nosaukumu un kontaktinformāciju projektā ir attiecīgi precizēta informācija par Latvijas kontaktpunkta nosaukumu un kontaktpunkta kontaktinformāciju. </w:t>
            </w:r>
          </w:p>
          <w:p w14:paraId="4E6FD430" w14:textId="78DDF938" w:rsidR="00DC1501" w:rsidRPr="008F33E5" w:rsidRDefault="00DC1501" w:rsidP="00DC1501">
            <w:pPr>
              <w:spacing w:after="0" w:line="240" w:lineRule="auto"/>
              <w:ind w:firstLine="720"/>
              <w:jc w:val="both"/>
              <w:rPr>
                <w:rFonts w:ascii="Times New Roman" w:eastAsia="Times New Roman" w:hAnsi="Times New Roman" w:cs="Times New Roman"/>
                <w:sz w:val="24"/>
                <w:szCs w:val="24"/>
                <w:lang w:eastAsia="en-GB"/>
              </w:rPr>
            </w:pPr>
            <w:r w:rsidRPr="008F33E5">
              <w:rPr>
                <w:rFonts w:ascii="Times New Roman" w:eastAsia="Times New Roman" w:hAnsi="Times New Roman" w:cs="Times New Roman"/>
                <w:sz w:val="24"/>
                <w:szCs w:val="24"/>
                <w:lang w:eastAsia="en-GB"/>
              </w:rPr>
              <w:t>Vienlaikus i</w:t>
            </w:r>
            <w:r w:rsidR="000E29AD" w:rsidRPr="008F33E5">
              <w:rPr>
                <w:rFonts w:ascii="Times New Roman" w:eastAsia="Times New Roman" w:hAnsi="Times New Roman" w:cs="Times New Roman"/>
                <w:sz w:val="24"/>
                <w:szCs w:val="24"/>
                <w:lang w:eastAsia="en-GB"/>
              </w:rPr>
              <w:t xml:space="preserve">r atzīmējams, ka, ievērojot </w:t>
            </w:r>
            <w:r w:rsidRPr="008F33E5">
              <w:rPr>
                <w:rFonts w:ascii="Times New Roman" w:eastAsia="Times New Roman" w:hAnsi="Times New Roman" w:cs="Times New Roman"/>
                <w:sz w:val="24"/>
                <w:szCs w:val="24"/>
                <w:lang w:eastAsia="en-GB"/>
              </w:rPr>
              <w:t>Regulas Nr.2019/1148 10.pant</w:t>
            </w:r>
            <w:r w:rsidR="000E29AD" w:rsidRPr="008F33E5">
              <w:rPr>
                <w:rFonts w:ascii="Times New Roman" w:eastAsia="Times New Roman" w:hAnsi="Times New Roman" w:cs="Times New Roman"/>
                <w:sz w:val="24"/>
                <w:szCs w:val="24"/>
                <w:lang w:eastAsia="en-GB"/>
              </w:rPr>
              <w:t xml:space="preserve">u </w:t>
            </w:r>
            <w:r w:rsidRPr="008F33E5">
              <w:rPr>
                <w:rFonts w:ascii="Times New Roman" w:eastAsia="Times New Roman" w:hAnsi="Times New Roman" w:cs="Times New Roman"/>
                <w:sz w:val="24"/>
                <w:szCs w:val="24"/>
                <w:lang w:eastAsia="en-GB"/>
              </w:rPr>
              <w:t>Valsts drošības dienests organizē ikgadēju semināru komersantiem (ekonomikas dalībniekiem) un atsevišķām valsts institūcijām (Zemkopības ministrija, Valsts augu aizsardzības dienests, Valsts vides dienests) par Eiropas Savienības normatīvo regulējumu saistībā ar prekursoru tirdzniecību un lietošanu. Semināra laikā dalībniekiem tiek skaidrota Eiropas Savienības tiesību regulējuma būtība, norādīts uz apstākļiem, kas jāņem vērā organizējot darbu ar prekursorus saturošajiem produktiem, tiek runāts arī par valstī esošo normatīvo regulējumu, komersanti (ekonomikas dalībnieki) tiek informēti, kā uzlabot preču uzglabāšanas drošību. Seminārā, atbilstoši aktualitātēm un nepieciešamībai tiek ietvertas arī citas tēmas.</w:t>
            </w:r>
          </w:p>
          <w:p w14:paraId="5B6715A2" w14:textId="77777777" w:rsidR="001F4D51" w:rsidRPr="008F33E5" w:rsidRDefault="001F4D51" w:rsidP="001F4D51">
            <w:pPr>
              <w:spacing w:after="0" w:line="240" w:lineRule="auto"/>
              <w:ind w:firstLine="720"/>
              <w:jc w:val="both"/>
              <w:rPr>
                <w:rFonts w:ascii="Times New Roman" w:eastAsia="Times New Roman" w:hAnsi="Times New Roman" w:cs="Times New Roman"/>
                <w:sz w:val="24"/>
                <w:szCs w:val="24"/>
                <w:lang w:eastAsia="en-GB"/>
              </w:rPr>
            </w:pPr>
            <w:r w:rsidRPr="008F33E5">
              <w:rPr>
                <w:rFonts w:ascii="Times New Roman" w:eastAsia="Times New Roman" w:hAnsi="Times New Roman" w:cs="Times New Roman"/>
                <w:sz w:val="24"/>
                <w:szCs w:val="24"/>
                <w:lang w:eastAsia="en-GB"/>
              </w:rPr>
              <w:t>Regulas Nr.2019/1148 11.panta 1.punktā ir noteikts, ka katra dalībvalsts nodrošina, ka ir izveidotas kompetentas iestādes, kas pārbauda un kontrolē pareizu Regulas Nr.2019/1148 5. – 9.panta piemērošanu (“valsts inspekcijas iestādes”). Savukārt 11.panta 2.punktā ir paredzēts, ka katra dalībvalsts nodrošina, ka valsts inspekcijas iestādēm ir līdzekļi un izmeklēšanas pilnvaras, kas vajadzīgas, lai nodrošinātu pienācīgu to uzdevumu pārvaldību saskaņā ar šo regulu.   Ņemot vērā, ka Regulā Nr.2019/1148 noteiktā inspekcijas funkcija ietver sevī tiesības izmeklēt, no kurām izriet tiesības nepieciešamības gadījumā arī sodīt, Valsts policija ir uzskatāma par valsts inspekcijas iestādi Regulas Nr.2019/1148 11.panta izpratnē. Vienlaikus norādāms, ka Valsts drošības dienests, pildot kontaktpunkta funkciju, kam ziņo par aizdomīgiem darījumiem ar sprāgstvielu prekursoriem un to pazušanas vai zādzības gadījumiem, analizē ar paziņotajiem gadījumiem saistītos riskus un nepieciešamības gadījumā sniedz atbilstošo informāciju Valsts policijai tās funkciju izpildei.</w:t>
            </w:r>
          </w:p>
          <w:p w14:paraId="332C1D84" w14:textId="2D058A80" w:rsidR="00DC1501" w:rsidRPr="008F33E5" w:rsidRDefault="00DC1501" w:rsidP="00DC1501">
            <w:pPr>
              <w:spacing w:after="0" w:line="240" w:lineRule="auto"/>
              <w:ind w:firstLine="578"/>
              <w:jc w:val="both"/>
              <w:rPr>
                <w:rFonts w:ascii="Times New Roman" w:eastAsia="Times New Roman" w:hAnsi="Times New Roman" w:cs="Times New Roman"/>
                <w:sz w:val="24"/>
                <w:szCs w:val="24"/>
              </w:rPr>
            </w:pPr>
            <w:r w:rsidRPr="008F33E5">
              <w:rPr>
                <w:rFonts w:ascii="Times New Roman" w:eastAsia="Times New Roman" w:hAnsi="Times New Roman" w:cs="Times New Roman"/>
                <w:sz w:val="24"/>
                <w:szCs w:val="24"/>
              </w:rPr>
              <w:t xml:space="preserve">Regulas </w:t>
            </w:r>
            <w:r w:rsidRPr="008F33E5">
              <w:rPr>
                <w:rFonts w:ascii="Times New Roman" w:hAnsi="Times New Roman" w:cs="Times New Roman"/>
                <w:sz w:val="24"/>
                <w:szCs w:val="24"/>
              </w:rPr>
              <w:t>Nr.</w:t>
            </w:r>
            <w:r w:rsidRPr="008F33E5">
              <w:rPr>
                <w:rFonts w:ascii="Times New Roman" w:hAnsi="Times New Roman" w:cs="Times New Roman"/>
                <w:iCs/>
                <w:sz w:val="24"/>
                <w:szCs w:val="24"/>
              </w:rPr>
              <w:t> 2019/1148 13.pants nosaka</w:t>
            </w:r>
            <w:r w:rsidRPr="008F33E5">
              <w:rPr>
                <w:rFonts w:ascii="Times New Roman" w:hAnsi="Times New Roman" w:cs="Times New Roman"/>
                <w:sz w:val="24"/>
                <w:szCs w:val="24"/>
              </w:rPr>
              <w:t xml:space="preserve"> d</w:t>
            </w:r>
            <w:r w:rsidRPr="008F33E5">
              <w:rPr>
                <w:rFonts w:ascii="Times New Roman" w:hAnsi="Times New Roman" w:cs="Times New Roman"/>
                <w:iCs/>
                <w:sz w:val="24"/>
                <w:szCs w:val="24"/>
              </w:rPr>
              <w:t>alībvalstīm pienākumu paredzēt noteikumus par sankcijām, kas piemērojamas par šīs regulas pārkāpumiem, un vei</w:t>
            </w:r>
            <w:r w:rsidR="001F4D51" w:rsidRPr="008F33E5">
              <w:rPr>
                <w:rFonts w:ascii="Times New Roman" w:hAnsi="Times New Roman" w:cs="Times New Roman"/>
                <w:iCs/>
                <w:sz w:val="24"/>
                <w:szCs w:val="24"/>
              </w:rPr>
              <w:t>kt</w:t>
            </w:r>
            <w:r w:rsidRPr="008F33E5">
              <w:rPr>
                <w:rFonts w:ascii="Times New Roman" w:hAnsi="Times New Roman" w:cs="Times New Roman"/>
                <w:iCs/>
                <w:sz w:val="24"/>
                <w:szCs w:val="24"/>
              </w:rPr>
              <w:t xml:space="preserve"> visus vajadzīgos pasākumus, lai nodrošinātu to īstenošanu. Izvērtējot </w:t>
            </w:r>
            <w:r w:rsidRPr="008F33E5">
              <w:rPr>
                <w:rFonts w:ascii="Times New Roman" w:eastAsia="Times New Roman" w:hAnsi="Times New Roman" w:cs="Times New Roman"/>
                <w:sz w:val="24"/>
                <w:szCs w:val="24"/>
              </w:rPr>
              <w:t xml:space="preserve">Regulas </w:t>
            </w:r>
            <w:r w:rsidRPr="008F33E5">
              <w:rPr>
                <w:rFonts w:ascii="Times New Roman" w:hAnsi="Times New Roman" w:cs="Times New Roman"/>
                <w:sz w:val="24"/>
                <w:szCs w:val="24"/>
              </w:rPr>
              <w:t>Nr.</w:t>
            </w:r>
            <w:r w:rsidRPr="008F33E5">
              <w:rPr>
                <w:rFonts w:ascii="Times New Roman" w:hAnsi="Times New Roman" w:cs="Times New Roman"/>
                <w:iCs/>
                <w:sz w:val="24"/>
                <w:szCs w:val="24"/>
              </w:rPr>
              <w:t> 2019/1148 normas ir nosakāmā administratīvā atbildība par nodarbināto neinstruēšanu vai apmācības neveikšanu jautājumos par sprāgstvielu prekursoru tirdzniecību un ziņošanas pienākumu pārkāpumiem, par ne</w:t>
            </w:r>
            <w:r w:rsidRPr="008F33E5">
              <w:rPr>
                <w:rFonts w:ascii="Times New Roman" w:eastAsia="Times New Roman" w:hAnsi="Times New Roman" w:cs="Times New Roman"/>
                <w:bCs/>
                <w:sz w:val="24"/>
                <w:szCs w:val="24"/>
                <w:lang w:eastAsia="lv-LV"/>
              </w:rPr>
              <w:t>ziņošanu par sprāgstvielu prekursoru aizdomīgiem darījumiem, pazušanas gadījumiem un zādzībām,</w:t>
            </w:r>
            <w:r w:rsidRPr="008F33E5">
              <w:rPr>
                <w:rFonts w:ascii="Times New Roman" w:hAnsi="Times New Roman" w:cs="Times New Roman"/>
                <w:iCs/>
                <w:sz w:val="24"/>
                <w:szCs w:val="24"/>
              </w:rPr>
              <w:t xml:space="preserve"> kā arī </w:t>
            </w:r>
            <w:r w:rsidRPr="008F33E5">
              <w:rPr>
                <w:rFonts w:ascii="Times New Roman" w:eastAsia="Times New Roman" w:hAnsi="Times New Roman" w:cs="Times New Roman"/>
                <w:sz w:val="24"/>
                <w:szCs w:val="24"/>
              </w:rPr>
              <w:t xml:space="preserve">par ierobežotu sprāgstvielu prekursoru neatļautu pārdošanu, lietošanu, iegādāšanos un glabāšanu plašas sabiedrības </w:t>
            </w:r>
            <w:r w:rsidRPr="008F33E5">
              <w:rPr>
                <w:rFonts w:ascii="Times New Roman" w:eastAsia="Times New Roman" w:hAnsi="Times New Roman" w:cs="Times New Roman"/>
                <w:sz w:val="24"/>
                <w:szCs w:val="24"/>
              </w:rPr>
              <w:lastRenderedPageBreak/>
              <w:t xml:space="preserve">locekļiem. </w:t>
            </w:r>
            <w:r w:rsidR="001F4D51" w:rsidRPr="008F33E5">
              <w:rPr>
                <w:rFonts w:ascii="Times New Roman" w:eastAsia="Times New Roman" w:hAnsi="Times New Roman" w:cs="Times New Roman"/>
                <w:sz w:val="24"/>
                <w:szCs w:val="24"/>
              </w:rPr>
              <w:t xml:space="preserve">Likumprojekts, kas nosaka atbildību par administratīvajiem pārkāpumiem, kas ir saistīti ar sprāgstvielu prekursoru apriti, ir izstrādāts un izsludināts Valsts sekretāru </w:t>
            </w:r>
            <w:r w:rsidR="000E29AD" w:rsidRPr="008F33E5">
              <w:rPr>
                <w:rFonts w:ascii="Times New Roman" w:eastAsia="Times New Roman" w:hAnsi="Times New Roman" w:cs="Times New Roman"/>
                <w:sz w:val="24"/>
                <w:szCs w:val="24"/>
              </w:rPr>
              <w:t xml:space="preserve">2020.gada 29.oktobra </w:t>
            </w:r>
            <w:r w:rsidR="001F4D51" w:rsidRPr="008F33E5">
              <w:rPr>
                <w:rFonts w:ascii="Times New Roman" w:eastAsia="Times New Roman" w:hAnsi="Times New Roman" w:cs="Times New Roman"/>
                <w:sz w:val="24"/>
                <w:szCs w:val="24"/>
              </w:rPr>
              <w:t>sanāksmē (VSS-914).</w:t>
            </w:r>
          </w:p>
          <w:p w14:paraId="6B89FCF4" w14:textId="5D66AE9E" w:rsidR="008A62FA" w:rsidRPr="008F33E5" w:rsidRDefault="00DC1501" w:rsidP="00DC1501">
            <w:pPr>
              <w:spacing w:after="0" w:line="240" w:lineRule="auto"/>
              <w:ind w:firstLine="720"/>
              <w:jc w:val="both"/>
              <w:rPr>
                <w:rFonts w:ascii="Times New Roman" w:eastAsia="Times New Roman" w:hAnsi="Times New Roman" w:cs="Times New Roman"/>
                <w:sz w:val="24"/>
                <w:szCs w:val="24"/>
                <w:lang w:eastAsia="en-GB"/>
              </w:rPr>
            </w:pPr>
            <w:r w:rsidRPr="008F33E5">
              <w:rPr>
                <w:rFonts w:ascii="Times New Roman" w:eastAsia="Times New Roman" w:hAnsi="Times New Roman" w:cs="Times New Roman"/>
                <w:sz w:val="24"/>
                <w:szCs w:val="24"/>
                <w:lang w:eastAsia="en-GB"/>
              </w:rPr>
              <w:t>Vienlaikus atzīmējams, ka ziņošanas pienākumu atbilstoši Regulas Nr.2019/1148 19., 20. un 21.pantam nodrošina Valsts drošības dienests.</w:t>
            </w:r>
          </w:p>
        </w:tc>
      </w:tr>
      <w:tr w:rsidR="008F33E5" w:rsidRPr="008F33E5" w14:paraId="39F73ACE" w14:textId="77777777" w:rsidTr="00940B09">
        <w:trPr>
          <w:trHeight w:val="465"/>
        </w:trPr>
        <w:tc>
          <w:tcPr>
            <w:tcW w:w="245" w:type="pct"/>
            <w:tcBorders>
              <w:top w:val="outset" w:sz="6" w:space="0" w:color="414142"/>
              <w:left w:val="outset" w:sz="6" w:space="0" w:color="414142"/>
              <w:bottom w:val="outset" w:sz="6" w:space="0" w:color="414142"/>
              <w:right w:val="outset" w:sz="6" w:space="0" w:color="414142"/>
            </w:tcBorders>
            <w:hideMark/>
          </w:tcPr>
          <w:p w14:paraId="279E56EA" w14:textId="2C8801F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Projekta izstrādē iesaistītās institūcijas</w:t>
            </w:r>
          </w:p>
        </w:tc>
        <w:tc>
          <w:tcPr>
            <w:tcW w:w="3230" w:type="pct"/>
            <w:tcBorders>
              <w:top w:val="outset" w:sz="6" w:space="0" w:color="414142"/>
              <w:left w:val="outset" w:sz="6" w:space="0" w:color="414142"/>
              <w:bottom w:val="outset" w:sz="6" w:space="0" w:color="414142"/>
              <w:right w:val="outset" w:sz="6" w:space="0" w:color="414142"/>
            </w:tcBorders>
          </w:tcPr>
          <w:p w14:paraId="5BD29DA9" w14:textId="77710F01" w:rsidR="00AA3B77" w:rsidRPr="008F33E5" w:rsidRDefault="00B90938" w:rsidP="00B90938">
            <w:pPr>
              <w:spacing w:after="0" w:line="240" w:lineRule="auto"/>
              <w:ind w:right="82"/>
              <w:contextualSpacing/>
              <w:jc w:val="both"/>
              <w:rPr>
                <w:rFonts w:ascii="Times New Roman" w:eastAsia="Times New Roman" w:hAnsi="Times New Roman" w:cs="Times New Roman"/>
                <w:sz w:val="24"/>
                <w:szCs w:val="24"/>
                <w:lang w:eastAsia="lv-LV"/>
              </w:rPr>
            </w:pPr>
            <w:r w:rsidRPr="008F33E5">
              <w:rPr>
                <w:rFonts w:ascii="Times New Roman" w:eastAsia="Times New Roman" w:hAnsi="Times New Roman" w:cs="Times New Roman"/>
                <w:bCs/>
                <w:sz w:val="24"/>
                <w:szCs w:val="24"/>
                <w:lang w:eastAsia="lv-LV"/>
              </w:rPr>
              <w:t>Valsts drošības dienests</w:t>
            </w:r>
            <w:r w:rsidR="003A63C0" w:rsidRPr="008F33E5">
              <w:rPr>
                <w:rFonts w:ascii="Times New Roman" w:eastAsia="Times New Roman" w:hAnsi="Times New Roman" w:cs="Times New Roman"/>
                <w:bCs/>
                <w:sz w:val="24"/>
                <w:szCs w:val="24"/>
                <w:lang w:eastAsia="lv-LV"/>
              </w:rPr>
              <w:t>,</w:t>
            </w:r>
            <w:r w:rsidRPr="008F33E5">
              <w:rPr>
                <w:rFonts w:ascii="Times New Roman" w:eastAsia="Times New Roman" w:hAnsi="Times New Roman" w:cs="Times New Roman"/>
                <w:bCs/>
                <w:sz w:val="24"/>
                <w:szCs w:val="24"/>
                <w:lang w:eastAsia="lv-LV"/>
              </w:rPr>
              <w:t xml:space="preserve"> </w:t>
            </w:r>
            <w:r w:rsidR="003A63C0" w:rsidRPr="008F33E5">
              <w:rPr>
                <w:rFonts w:ascii="Times New Roman" w:eastAsia="Times New Roman" w:hAnsi="Times New Roman" w:cs="Times New Roman"/>
                <w:bCs/>
                <w:sz w:val="24"/>
                <w:szCs w:val="24"/>
                <w:lang w:eastAsia="lv-LV"/>
              </w:rPr>
              <w:t>Iekšlietu ministrija.</w:t>
            </w:r>
          </w:p>
        </w:tc>
      </w:tr>
      <w:tr w:rsidR="008F33E5" w:rsidRPr="008F33E5" w14:paraId="03CD0B32" w14:textId="77777777" w:rsidTr="00940B09">
        <w:tc>
          <w:tcPr>
            <w:tcW w:w="245"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Cita informācija</w:t>
            </w:r>
          </w:p>
        </w:tc>
        <w:tc>
          <w:tcPr>
            <w:tcW w:w="323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8F33E5" w:rsidRDefault="00DC2A57" w:rsidP="00515CEE">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Nav.</w:t>
            </w:r>
          </w:p>
        </w:tc>
      </w:tr>
      <w:tr w:rsidR="008F33E5" w:rsidRPr="008F33E5" w14:paraId="0225DD88" w14:textId="77777777" w:rsidTr="00940B09">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8F33E5"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ab/>
            </w:r>
          </w:p>
        </w:tc>
      </w:tr>
      <w:tr w:rsidR="008F33E5" w:rsidRPr="008F33E5" w14:paraId="654B0191" w14:textId="77777777" w:rsidTr="00940B09">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1B058CA" w14:textId="4CBA4548" w:rsidR="00876FFB" w:rsidRPr="008F33E5" w:rsidRDefault="004D15A9" w:rsidP="00876FFB">
            <w:pPr>
              <w:spacing w:after="0" w:line="240" w:lineRule="auto"/>
              <w:ind w:firstLine="300"/>
              <w:jc w:val="center"/>
              <w:rPr>
                <w:rFonts w:ascii="Times New Roman" w:eastAsia="Times New Roman" w:hAnsi="Times New Roman" w:cs="Times New Roman"/>
                <w:b/>
                <w:bCs/>
                <w:sz w:val="24"/>
                <w:szCs w:val="24"/>
                <w:lang w:eastAsia="lv-LV"/>
              </w:rPr>
            </w:pPr>
            <w:r w:rsidRPr="008F33E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F33E5" w:rsidRPr="008F33E5" w14:paraId="60A946F9" w14:textId="77777777" w:rsidTr="00940B09">
        <w:trPr>
          <w:trHeight w:val="465"/>
        </w:trPr>
        <w:tc>
          <w:tcPr>
            <w:tcW w:w="245"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Sabiedrības mērķgrupas, kuras tiesiskais regulējums ietekmē vai varētu ietekmēt</w:t>
            </w:r>
          </w:p>
        </w:tc>
        <w:tc>
          <w:tcPr>
            <w:tcW w:w="3230" w:type="pct"/>
            <w:tcBorders>
              <w:top w:val="outset" w:sz="6" w:space="0" w:color="414142"/>
              <w:left w:val="outset" w:sz="6" w:space="0" w:color="414142"/>
              <w:bottom w:val="outset" w:sz="6" w:space="0" w:color="414142"/>
              <w:right w:val="outset" w:sz="6" w:space="0" w:color="414142"/>
            </w:tcBorders>
            <w:hideMark/>
          </w:tcPr>
          <w:p w14:paraId="4929B8F4" w14:textId="2F435554" w:rsidR="007D67A4" w:rsidRPr="008F33E5" w:rsidRDefault="00227B96" w:rsidP="00E52CAF">
            <w:pPr>
              <w:spacing w:after="0" w:line="240" w:lineRule="auto"/>
              <w:jc w:val="both"/>
              <w:rPr>
                <w:rFonts w:ascii="Times New Roman" w:hAnsi="Times New Roman" w:cs="Times New Roman"/>
                <w:sz w:val="24"/>
                <w:szCs w:val="24"/>
              </w:rPr>
            </w:pPr>
            <w:r w:rsidRPr="008F33E5">
              <w:rPr>
                <w:rFonts w:ascii="Times New Roman" w:hAnsi="Times New Roman" w:cs="Times New Roman"/>
                <w:sz w:val="24"/>
                <w:szCs w:val="24"/>
              </w:rPr>
              <w:t xml:space="preserve">Projekts </w:t>
            </w:r>
            <w:r w:rsidR="00303ABD" w:rsidRPr="008F33E5">
              <w:rPr>
                <w:rFonts w:ascii="Times New Roman" w:hAnsi="Times New Roman" w:cs="Times New Roman"/>
                <w:sz w:val="24"/>
                <w:szCs w:val="24"/>
              </w:rPr>
              <w:t>attiecas uz atsevišķu personu loku, kuri saistīti ar sprāgstvielu prekursoru tirdzniecību un lietošanu.</w:t>
            </w:r>
          </w:p>
        </w:tc>
      </w:tr>
      <w:tr w:rsidR="008F33E5" w:rsidRPr="008F33E5" w14:paraId="09227F87" w14:textId="77777777" w:rsidTr="00940B09">
        <w:trPr>
          <w:trHeight w:val="510"/>
        </w:trPr>
        <w:tc>
          <w:tcPr>
            <w:tcW w:w="245"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Tiesiskā regulējuma ietekme uz tautsaimniecību un administratīvo slogu</w:t>
            </w:r>
          </w:p>
        </w:tc>
        <w:tc>
          <w:tcPr>
            <w:tcW w:w="3230"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8F33E5" w:rsidRDefault="008E3881" w:rsidP="008E3881">
            <w:pPr>
              <w:spacing w:after="0" w:line="240" w:lineRule="auto"/>
              <w:jc w:val="both"/>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bidi="lo-LA"/>
              </w:rPr>
              <w:t>Pr</w:t>
            </w:r>
            <w:r w:rsidR="000E7421" w:rsidRPr="008F33E5">
              <w:rPr>
                <w:rFonts w:ascii="Times New Roman" w:eastAsia="Times New Roman" w:hAnsi="Times New Roman" w:cs="Times New Roman"/>
                <w:sz w:val="24"/>
                <w:szCs w:val="24"/>
                <w:lang w:bidi="lo-LA"/>
              </w:rPr>
              <w:t>ojekts šo jomu neskar</w:t>
            </w:r>
            <w:r w:rsidR="000E7421" w:rsidRPr="008F33E5">
              <w:rPr>
                <w:rFonts w:ascii="Times New Roman" w:eastAsia="Times New Roman" w:hAnsi="Times New Roman" w:cs="Times New Roman"/>
                <w:sz w:val="24"/>
                <w:szCs w:val="24"/>
                <w:lang w:eastAsia="lv-LV"/>
              </w:rPr>
              <w:t xml:space="preserve">. </w:t>
            </w:r>
            <w:r w:rsidR="001139C6" w:rsidRPr="008F33E5">
              <w:rPr>
                <w:rFonts w:ascii="Times New Roman" w:hAnsi="Times New Roman" w:cs="Times New Roman"/>
                <w:sz w:val="24"/>
                <w:szCs w:val="24"/>
              </w:rPr>
              <w:t xml:space="preserve"> </w:t>
            </w:r>
          </w:p>
        </w:tc>
      </w:tr>
      <w:tr w:rsidR="008F33E5" w:rsidRPr="008F33E5" w14:paraId="423B2CA8" w14:textId="77777777" w:rsidTr="00940B09">
        <w:trPr>
          <w:trHeight w:val="510"/>
        </w:trPr>
        <w:tc>
          <w:tcPr>
            <w:tcW w:w="245"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3.</w:t>
            </w:r>
          </w:p>
        </w:tc>
        <w:tc>
          <w:tcPr>
            <w:tcW w:w="1525"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Administratīvo izmaksu monetārs novērtējums</w:t>
            </w:r>
          </w:p>
        </w:tc>
        <w:tc>
          <w:tcPr>
            <w:tcW w:w="3230"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8F33E5" w:rsidRDefault="008E3881" w:rsidP="00A86704">
            <w:pPr>
              <w:spacing w:after="0" w:line="240" w:lineRule="auto"/>
              <w:jc w:val="both"/>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bidi="lo-LA"/>
              </w:rPr>
              <w:t>Pr</w:t>
            </w:r>
            <w:r w:rsidR="000E7421" w:rsidRPr="008F33E5">
              <w:rPr>
                <w:rFonts w:ascii="Times New Roman" w:eastAsia="Times New Roman" w:hAnsi="Times New Roman" w:cs="Times New Roman"/>
                <w:sz w:val="24"/>
                <w:szCs w:val="24"/>
                <w:lang w:bidi="lo-LA"/>
              </w:rPr>
              <w:t>ojekts šo jomu neskar</w:t>
            </w:r>
            <w:r w:rsidR="000E7421" w:rsidRPr="008F33E5">
              <w:rPr>
                <w:rFonts w:ascii="Times New Roman" w:eastAsia="Times New Roman" w:hAnsi="Times New Roman" w:cs="Times New Roman"/>
                <w:sz w:val="24"/>
                <w:szCs w:val="24"/>
                <w:lang w:eastAsia="lv-LV"/>
              </w:rPr>
              <w:t>.</w:t>
            </w:r>
          </w:p>
        </w:tc>
      </w:tr>
      <w:tr w:rsidR="008F33E5" w:rsidRPr="008F33E5" w14:paraId="2EB5FC80" w14:textId="77777777" w:rsidTr="00940B09">
        <w:trPr>
          <w:trHeight w:val="345"/>
        </w:trPr>
        <w:tc>
          <w:tcPr>
            <w:tcW w:w="245" w:type="pct"/>
            <w:tcBorders>
              <w:top w:val="outset" w:sz="6" w:space="0" w:color="414142"/>
              <w:left w:val="outset" w:sz="6" w:space="0" w:color="414142"/>
              <w:bottom w:val="outset" w:sz="6" w:space="0" w:color="414142"/>
              <w:right w:val="outset" w:sz="6" w:space="0" w:color="414142"/>
            </w:tcBorders>
          </w:tcPr>
          <w:p w14:paraId="732CEF29" w14:textId="329EEF4A" w:rsidR="004D15A9" w:rsidRPr="008F33E5" w:rsidRDefault="00A86704"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4.</w:t>
            </w:r>
          </w:p>
        </w:tc>
        <w:tc>
          <w:tcPr>
            <w:tcW w:w="1525" w:type="pct"/>
            <w:tcBorders>
              <w:top w:val="outset" w:sz="6" w:space="0" w:color="414142"/>
              <w:left w:val="outset" w:sz="6" w:space="0" w:color="414142"/>
              <w:bottom w:val="outset" w:sz="6" w:space="0" w:color="414142"/>
              <w:right w:val="outset" w:sz="6" w:space="0" w:color="414142"/>
            </w:tcBorders>
          </w:tcPr>
          <w:p w14:paraId="1DDFF8B3" w14:textId="4E4286FE" w:rsidR="004D15A9" w:rsidRPr="008F33E5" w:rsidRDefault="00A86704"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Atbilstības izmaksu monetārs novērtējums</w:t>
            </w:r>
          </w:p>
        </w:tc>
        <w:tc>
          <w:tcPr>
            <w:tcW w:w="3230" w:type="pct"/>
            <w:tcBorders>
              <w:top w:val="outset" w:sz="6" w:space="0" w:color="414142"/>
              <w:left w:val="outset" w:sz="6" w:space="0" w:color="414142"/>
              <w:bottom w:val="outset" w:sz="6" w:space="0" w:color="414142"/>
              <w:right w:val="outset" w:sz="6" w:space="0" w:color="414142"/>
            </w:tcBorders>
          </w:tcPr>
          <w:p w14:paraId="3454A7CC" w14:textId="7E865BAF" w:rsidR="001C7A1E" w:rsidRPr="008F33E5" w:rsidRDefault="008E3881" w:rsidP="001C7A1E">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bidi="lo-LA"/>
              </w:rPr>
              <w:t>Pr</w:t>
            </w:r>
            <w:r w:rsidR="000E7421" w:rsidRPr="008F33E5">
              <w:rPr>
                <w:rFonts w:ascii="Times New Roman" w:eastAsia="Times New Roman" w:hAnsi="Times New Roman" w:cs="Times New Roman"/>
                <w:sz w:val="24"/>
                <w:szCs w:val="24"/>
                <w:lang w:bidi="lo-LA"/>
              </w:rPr>
              <w:t>ojekts šo jomu neskar</w:t>
            </w:r>
            <w:r w:rsidR="000E7421" w:rsidRPr="008F33E5">
              <w:rPr>
                <w:rFonts w:ascii="Times New Roman" w:eastAsia="Times New Roman" w:hAnsi="Times New Roman" w:cs="Times New Roman"/>
                <w:sz w:val="24"/>
                <w:szCs w:val="24"/>
                <w:lang w:eastAsia="lv-LV"/>
              </w:rPr>
              <w:t>.</w:t>
            </w:r>
          </w:p>
        </w:tc>
      </w:tr>
      <w:tr w:rsidR="008F33E5" w:rsidRPr="008F33E5" w14:paraId="36ED7869" w14:textId="77777777" w:rsidTr="00940B09">
        <w:trPr>
          <w:trHeight w:val="345"/>
        </w:trPr>
        <w:tc>
          <w:tcPr>
            <w:tcW w:w="245" w:type="pct"/>
            <w:tcBorders>
              <w:top w:val="outset" w:sz="6" w:space="0" w:color="414142"/>
              <w:left w:val="outset" w:sz="6" w:space="0" w:color="414142"/>
              <w:bottom w:val="outset" w:sz="6" w:space="0" w:color="414142"/>
              <w:right w:val="outset" w:sz="6" w:space="0" w:color="414142"/>
            </w:tcBorders>
          </w:tcPr>
          <w:p w14:paraId="00E4FF0E" w14:textId="514A8361" w:rsidR="00A86704" w:rsidRPr="008F33E5" w:rsidRDefault="00A86704" w:rsidP="00A86704">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5.</w:t>
            </w:r>
          </w:p>
        </w:tc>
        <w:tc>
          <w:tcPr>
            <w:tcW w:w="1525" w:type="pct"/>
            <w:tcBorders>
              <w:top w:val="outset" w:sz="6" w:space="0" w:color="414142"/>
              <w:left w:val="outset" w:sz="6" w:space="0" w:color="414142"/>
              <w:bottom w:val="outset" w:sz="6" w:space="0" w:color="414142"/>
              <w:right w:val="outset" w:sz="6" w:space="0" w:color="414142"/>
            </w:tcBorders>
          </w:tcPr>
          <w:p w14:paraId="6C196E49" w14:textId="65ED5C61" w:rsidR="00A86704" w:rsidRPr="008F33E5" w:rsidRDefault="00A86704" w:rsidP="00A86704">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Cita informācija</w:t>
            </w:r>
          </w:p>
        </w:tc>
        <w:tc>
          <w:tcPr>
            <w:tcW w:w="3230" w:type="pct"/>
            <w:tcBorders>
              <w:top w:val="outset" w:sz="6" w:space="0" w:color="414142"/>
              <w:left w:val="outset" w:sz="6" w:space="0" w:color="414142"/>
              <w:bottom w:val="outset" w:sz="6" w:space="0" w:color="414142"/>
              <w:right w:val="outset" w:sz="6" w:space="0" w:color="414142"/>
            </w:tcBorders>
          </w:tcPr>
          <w:p w14:paraId="26A8DB30" w14:textId="5DFDF597" w:rsidR="00A86704" w:rsidRPr="008F33E5" w:rsidRDefault="00A86704" w:rsidP="00A86704">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Nav.</w:t>
            </w:r>
          </w:p>
        </w:tc>
      </w:tr>
      <w:tr w:rsidR="008F33E5" w:rsidRPr="008F33E5" w14:paraId="40F2F543" w14:textId="77777777" w:rsidTr="00940B09">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8F33E5" w:rsidRDefault="00A86704" w:rsidP="00A86704">
            <w:pPr>
              <w:spacing w:after="0" w:line="240" w:lineRule="auto"/>
              <w:rPr>
                <w:rFonts w:ascii="Times New Roman" w:eastAsia="Times New Roman" w:hAnsi="Times New Roman" w:cs="Times New Roman"/>
                <w:sz w:val="24"/>
                <w:szCs w:val="24"/>
                <w:lang w:eastAsia="lv-LV"/>
              </w:rPr>
            </w:pPr>
          </w:p>
        </w:tc>
      </w:tr>
      <w:tr w:rsidR="008F33E5" w:rsidRPr="008F33E5" w14:paraId="024FD6D5" w14:textId="77777777" w:rsidTr="00940B09">
        <w:trPr>
          <w:trHeight w:val="360"/>
        </w:trPr>
        <w:tc>
          <w:tcPr>
            <w:tcW w:w="5000" w:type="pct"/>
            <w:gridSpan w:val="3"/>
            <w:tcBorders>
              <w:top w:val="nil"/>
              <w:left w:val="outset" w:sz="6" w:space="0" w:color="414142"/>
              <w:bottom w:val="single" w:sz="4" w:space="0" w:color="auto"/>
              <w:right w:val="outset" w:sz="6" w:space="0" w:color="414142"/>
            </w:tcBorders>
            <w:vAlign w:val="center"/>
            <w:hideMark/>
          </w:tcPr>
          <w:p w14:paraId="43B7EEC5" w14:textId="77777777" w:rsidR="00A86704" w:rsidRPr="008F33E5"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8F33E5">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8F33E5" w14:paraId="06E2BF75" w14:textId="77777777" w:rsidTr="00940B09">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4BF165FF" w14:textId="21D279C0" w:rsidR="00A86704" w:rsidRPr="008F33E5"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sidRPr="008F33E5">
              <w:rPr>
                <w:rFonts w:ascii="Times New Roman" w:eastAsia="Times New Roman" w:hAnsi="Times New Roman" w:cs="Times New Roman"/>
                <w:bCs/>
                <w:sz w:val="24"/>
                <w:szCs w:val="24"/>
                <w:lang w:eastAsia="lv-LV"/>
              </w:rPr>
              <w:t>Projekts šo jomu neskar.</w:t>
            </w:r>
          </w:p>
        </w:tc>
      </w:tr>
    </w:tbl>
    <w:p w14:paraId="0EB11B7E" w14:textId="77777777" w:rsidR="00BB4D7E" w:rsidRPr="008F33E5" w:rsidRDefault="00BB4D7E" w:rsidP="00DA596D">
      <w:pPr>
        <w:spacing w:after="0" w:line="240" w:lineRule="auto"/>
        <w:rPr>
          <w:rFonts w:ascii="Times New Roman" w:eastAsia="Times New Roman" w:hAnsi="Times New Roman" w:cs="Times New Roman"/>
          <w:sz w:val="24"/>
          <w:szCs w:val="24"/>
          <w:lang w:eastAsia="lv-LV"/>
        </w:rPr>
      </w:pPr>
    </w:p>
    <w:tbl>
      <w:tblPr>
        <w:tblW w:w="499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055"/>
        <w:gridCol w:w="6945"/>
        <w:gridCol w:w="50"/>
      </w:tblGrid>
      <w:tr w:rsidR="008F33E5" w:rsidRPr="008F33E5" w14:paraId="679A1437" w14:textId="77777777" w:rsidTr="000C1F7C">
        <w:trPr>
          <w:gridAfter w:val="1"/>
          <w:wAfter w:w="3" w:type="pct"/>
          <w:trHeight w:val="450"/>
          <w:tblCellSpacing w:w="15" w:type="dxa"/>
          <w:jc w:val="center"/>
        </w:trPr>
        <w:tc>
          <w:tcPr>
            <w:tcW w:w="4947" w:type="pct"/>
            <w:gridSpan w:val="2"/>
            <w:vAlign w:val="center"/>
            <w:hideMark/>
          </w:tcPr>
          <w:p w14:paraId="7C1C5FF4" w14:textId="77777777" w:rsidR="00E52CAF" w:rsidRPr="008F33E5" w:rsidRDefault="00E52CAF" w:rsidP="00817B43">
            <w:pPr>
              <w:spacing w:after="0" w:line="240" w:lineRule="auto"/>
              <w:ind w:firstLine="300"/>
              <w:jc w:val="center"/>
              <w:rPr>
                <w:rFonts w:ascii="Times New Roman" w:eastAsia="Times New Roman" w:hAnsi="Times New Roman" w:cs="Times New Roman"/>
                <w:b/>
                <w:bCs/>
                <w:sz w:val="24"/>
                <w:szCs w:val="24"/>
                <w:lang w:eastAsia="lv-LV"/>
              </w:rPr>
            </w:pPr>
            <w:r w:rsidRPr="008F33E5">
              <w:rPr>
                <w:rFonts w:ascii="Times New Roman" w:eastAsia="Times New Roman" w:hAnsi="Times New Roman" w:cs="Times New Roman"/>
                <w:b/>
                <w:bCs/>
                <w:sz w:val="24"/>
                <w:szCs w:val="24"/>
                <w:lang w:eastAsia="lv-LV"/>
              </w:rPr>
              <w:t>IV. Tiesību akta projekta ietekme uz spēkā esošo tiesību normu sistēmu</w:t>
            </w:r>
          </w:p>
        </w:tc>
      </w:tr>
      <w:tr w:rsidR="008F33E5" w:rsidRPr="008F33E5" w14:paraId="4735EFD5" w14:textId="77777777" w:rsidTr="000C1F7C">
        <w:trPr>
          <w:tblCellSpacing w:w="15" w:type="dxa"/>
          <w:jc w:val="center"/>
        </w:trPr>
        <w:tc>
          <w:tcPr>
            <w:tcW w:w="1114" w:type="pct"/>
            <w:hideMark/>
          </w:tcPr>
          <w:p w14:paraId="1D06767F" w14:textId="77777777" w:rsidR="00E52CAF" w:rsidRPr="008F33E5" w:rsidRDefault="00E52CAF" w:rsidP="00817B43">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Nepieciešamie saistītie tiesību aktu projekti</w:t>
            </w:r>
          </w:p>
        </w:tc>
        <w:tc>
          <w:tcPr>
            <w:tcW w:w="3836" w:type="pct"/>
            <w:gridSpan w:val="2"/>
            <w:hideMark/>
          </w:tcPr>
          <w:p w14:paraId="6997C157" w14:textId="79890944" w:rsidR="00191EC7" w:rsidRPr="008F33E5" w:rsidRDefault="00191EC7" w:rsidP="00191EC7">
            <w:pPr>
              <w:spacing w:after="0" w:line="240" w:lineRule="auto"/>
              <w:ind w:firstLine="578"/>
              <w:jc w:val="both"/>
              <w:rPr>
                <w:rFonts w:ascii="Times New Roman" w:eastAsia="Times New Roman" w:hAnsi="Times New Roman" w:cs="Times New Roman"/>
                <w:sz w:val="24"/>
                <w:szCs w:val="24"/>
              </w:rPr>
            </w:pPr>
            <w:r w:rsidRPr="008F33E5">
              <w:rPr>
                <w:rFonts w:ascii="Times New Roman" w:eastAsia="Times New Roman" w:hAnsi="Times New Roman" w:cs="Times New Roman"/>
                <w:sz w:val="24"/>
                <w:szCs w:val="24"/>
              </w:rPr>
              <w:t xml:space="preserve">Regulas </w:t>
            </w:r>
            <w:r w:rsidRPr="008F33E5">
              <w:rPr>
                <w:rFonts w:ascii="Times New Roman" w:hAnsi="Times New Roman" w:cs="Times New Roman"/>
                <w:sz w:val="24"/>
                <w:szCs w:val="24"/>
              </w:rPr>
              <w:t>Nr.</w:t>
            </w:r>
            <w:r w:rsidRPr="008F33E5">
              <w:rPr>
                <w:rFonts w:ascii="Times New Roman" w:hAnsi="Times New Roman" w:cs="Times New Roman"/>
                <w:iCs/>
                <w:sz w:val="24"/>
                <w:szCs w:val="24"/>
              </w:rPr>
              <w:t> 2019/1148 13.pants nosaka</w:t>
            </w:r>
            <w:r w:rsidRPr="008F33E5">
              <w:t xml:space="preserve"> d</w:t>
            </w:r>
            <w:r w:rsidRPr="008F33E5">
              <w:rPr>
                <w:rFonts w:ascii="Times New Roman" w:hAnsi="Times New Roman" w:cs="Times New Roman"/>
                <w:iCs/>
                <w:sz w:val="24"/>
                <w:szCs w:val="24"/>
              </w:rPr>
              <w:t xml:space="preserve">alībvalstīm pienākumu paredzēt noteikumus par sankcijām, kas piemērojamas par šīs regulas pārkāpumiem, un veic visus vajadzīgos pasākumus, lai nodrošinātu to īstenošanu. Izvērtējot </w:t>
            </w:r>
            <w:r w:rsidRPr="008F33E5">
              <w:rPr>
                <w:rFonts w:ascii="Times New Roman" w:eastAsia="Times New Roman" w:hAnsi="Times New Roman" w:cs="Times New Roman"/>
                <w:sz w:val="24"/>
                <w:szCs w:val="24"/>
              </w:rPr>
              <w:t xml:space="preserve">Regulas </w:t>
            </w:r>
            <w:r w:rsidRPr="008F33E5">
              <w:rPr>
                <w:rFonts w:ascii="Times New Roman" w:hAnsi="Times New Roman" w:cs="Times New Roman"/>
                <w:sz w:val="24"/>
                <w:szCs w:val="24"/>
              </w:rPr>
              <w:t>Nr.</w:t>
            </w:r>
            <w:r w:rsidRPr="008F33E5">
              <w:rPr>
                <w:rFonts w:ascii="Times New Roman" w:hAnsi="Times New Roman" w:cs="Times New Roman"/>
                <w:iCs/>
                <w:sz w:val="24"/>
                <w:szCs w:val="24"/>
              </w:rPr>
              <w:t xml:space="preserve"> 2019/1148 normas ir nosakāmā administratīvā atbildība par nodarbināto neinstruēšanu vai apmācības neveikšanu jautājumos par sprāgstvielu prekursoru tirdzniecību un ziņošanas pienākumu pārkāpumiem, </w:t>
            </w:r>
            <w:r w:rsidR="00693300" w:rsidRPr="008F33E5">
              <w:rPr>
                <w:rFonts w:ascii="Times New Roman" w:hAnsi="Times New Roman" w:cs="Times New Roman"/>
                <w:iCs/>
                <w:sz w:val="24"/>
                <w:szCs w:val="24"/>
              </w:rPr>
              <w:t>par ne</w:t>
            </w:r>
            <w:r w:rsidR="00693300" w:rsidRPr="008F33E5">
              <w:rPr>
                <w:rFonts w:ascii="Times New Roman" w:eastAsia="Times New Roman" w:hAnsi="Times New Roman" w:cs="Times New Roman"/>
                <w:bCs/>
                <w:sz w:val="24"/>
                <w:szCs w:val="24"/>
                <w:lang w:eastAsia="lv-LV"/>
              </w:rPr>
              <w:t>ziņošanu par sprāgstvielu prekursoru aizdomīgiem darījumiem, pazušanas gadījumiem un zādzībām,</w:t>
            </w:r>
            <w:r w:rsidR="00693300" w:rsidRPr="008F33E5">
              <w:rPr>
                <w:rFonts w:ascii="Times New Roman" w:hAnsi="Times New Roman" w:cs="Times New Roman"/>
                <w:iCs/>
                <w:sz w:val="24"/>
                <w:szCs w:val="24"/>
              </w:rPr>
              <w:t xml:space="preserve"> </w:t>
            </w:r>
            <w:r w:rsidRPr="008F33E5">
              <w:rPr>
                <w:rFonts w:ascii="Times New Roman" w:hAnsi="Times New Roman" w:cs="Times New Roman"/>
                <w:iCs/>
                <w:sz w:val="24"/>
                <w:szCs w:val="24"/>
              </w:rPr>
              <w:t xml:space="preserve">kā arī </w:t>
            </w:r>
            <w:r w:rsidRPr="008F33E5">
              <w:rPr>
                <w:rFonts w:ascii="Times New Roman" w:eastAsia="Times New Roman" w:hAnsi="Times New Roman" w:cs="Times New Roman"/>
                <w:sz w:val="24"/>
                <w:szCs w:val="24"/>
              </w:rPr>
              <w:t xml:space="preserve">par ierobežotu sprāgstvielu prekursoru neatļautu pārdošanu, lietošanu, iegādāšanos un glabāšanu plašas sabiedrības locekļiem. </w:t>
            </w:r>
          </w:p>
          <w:p w14:paraId="1BFCAAEC" w14:textId="61DF1D0B" w:rsidR="00E52CAF" w:rsidRPr="008F33E5" w:rsidRDefault="00191EC7" w:rsidP="000E29AD">
            <w:pPr>
              <w:spacing w:after="0" w:line="240" w:lineRule="auto"/>
              <w:ind w:firstLine="578"/>
              <w:jc w:val="both"/>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rPr>
              <w:t xml:space="preserve">Likumprojekts, kas nosaka atbildību par administratīvajiem pārkāpumiem, kas ir saistīti ar sprāgstvielu prekursoru apriti, ir izstrādāts un izsludināts Valsts sekretāru </w:t>
            </w:r>
            <w:r w:rsidR="000E29AD" w:rsidRPr="008F33E5">
              <w:rPr>
                <w:rFonts w:ascii="Times New Roman" w:eastAsia="Times New Roman" w:hAnsi="Times New Roman" w:cs="Times New Roman"/>
                <w:sz w:val="24"/>
                <w:szCs w:val="24"/>
              </w:rPr>
              <w:t xml:space="preserve">2020.gada 29.oktobra </w:t>
            </w:r>
            <w:r w:rsidRPr="008F33E5">
              <w:rPr>
                <w:rFonts w:ascii="Times New Roman" w:eastAsia="Times New Roman" w:hAnsi="Times New Roman" w:cs="Times New Roman"/>
                <w:sz w:val="24"/>
                <w:szCs w:val="24"/>
              </w:rPr>
              <w:t>sanāksmē (VSS-914).</w:t>
            </w:r>
          </w:p>
        </w:tc>
      </w:tr>
      <w:tr w:rsidR="008F33E5" w:rsidRPr="008F33E5" w14:paraId="509E3930" w14:textId="77777777" w:rsidTr="000C1F7C">
        <w:trPr>
          <w:tblCellSpacing w:w="15" w:type="dxa"/>
          <w:jc w:val="center"/>
        </w:trPr>
        <w:tc>
          <w:tcPr>
            <w:tcW w:w="1114" w:type="pct"/>
            <w:hideMark/>
          </w:tcPr>
          <w:p w14:paraId="7B3E9EE2" w14:textId="77777777" w:rsidR="00E52CAF" w:rsidRPr="008F33E5" w:rsidRDefault="00E52CAF" w:rsidP="00817B43">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Atbildīgā institūcija</w:t>
            </w:r>
          </w:p>
        </w:tc>
        <w:tc>
          <w:tcPr>
            <w:tcW w:w="3836" w:type="pct"/>
            <w:gridSpan w:val="2"/>
            <w:hideMark/>
          </w:tcPr>
          <w:p w14:paraId="2C624282" w14:textId="77777777" w:rsidR="00E52CAF" w:rsidRPr="008F33E5" w:rsidRDefault="00E52CAF" w:rsidP="00817B43">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Iekšlietu ministrija.</w:t>
            </w:r>
          </w:p>
        </w:tc>
      </w:tr>
      <w:tr w:rsidR="00E52CAF" w:rsidRPr="008F33E5" w14:paraId="4B0193B9" w14:textId="77777777" w:rsidTr="000C1F7C">
        <w:trPr>
          <w:trHeight w:val="448"/>
          <w:tblCellSpacing w:w="15" w:type="dxa"/>
          <w:jc w:val="center"/>
        </w:trPr>
        <w:tc>
          <w:tcPr>
            <w:tcW w:w="1114" w:type="pct"/>
            <w:hideMark/>
          </w:tcPr>
          <w:p w14:paraId="6104B69C" w14:textId="77777777" w:rsidR="00E52CAF" w:rsidRPr="008F33E5" w:rsidRDefault="00E52CAF" w:rsidP="00817B43">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lastRenderedPageBreak/>
              <w:t>Cita informācija</w:t>
            </w:r>
          </w:p>
        </w:tc>
        <w:tc>
          <w:tcPr>
            <w:tcW w:w="3836" w:type="pct"/>
            <w:gridSpan w:val="2"/>
            <w:hideMark/>
          </w:tcPr>
          <w:p w14:paraId="0CDE6627" w14:textId="2C5E5FF2" w:rsidR="00E52CAF" w:rsidRPr="008F33E5" w:rsidRDefault="00E52CAF" w:rsidP="00817B43">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 xml:space="preserve">Ar Projekta spēkā stāšanās datumu spēku zaudēs </w:t>
            </w:r>
            <w:r w:rsidRPr="008F33E5">
              <w:rPr>
                <w:rFonts w:ascii="Times New Roman" w:eastAsia="Times New Roman" w:hAnsi="Times New Roman" w:cs="Times New Roman"/>
                <w:bCs/>
                <w:sz w:val="24"/>
                <w:szCs w:val="24"/>
                <w:lang w:eastAsia="lv-LV"/>
              </w:rPr>
              <w:t>Ministru kabineta 2015. gada 3. marta noteikumi Nr. 110 “Kārtība, kādā ziņo par sprāgstvielu prekursoriem”.</w:t>
            </w:r>
          </w:p>
        </w:tc>
      </w:tr>
    </w:tbl>
    <w:p w14:paraId="03EE8150" w14:textId="684BC394" w:rsidR="00E52CAF" w:rsidRPr="008F33E5" w:rsidRDefault="00E52CAF" w:rsidP="00DA596D">
      <w:pPr>
        <w:spacing w:after="0" w:line="240" w:lineRule="auto"/>
        <w:rPr>
          <w:rFonts w:ascii="Times New Roman" w:eastAsia="Times New Roman" w:hAnsi="Times New Roman" w:cs="Times New Roman"/>
          <w:sz w:val="24"/>
          <w:szCs w:val="24"/>
          <w:lang w:eastAsia="lv-LV"/>
        </w:rPr>
      </w:pPr>
    </w:p>
    <w:p w14:paraId="3D9AF323" w14:textId="77777777" w:rsidR="00E52CAF" w:rsidRPr="008F33E5" w:rsidRDefault="00E52CAF" w:rsidP="00DA596D">
      <w:pPr>
        <w:spacing w:after="0" w:line="240" w:lineRule="auto"/>
        <w:rPr>
          <w:rFonts w:ascii="Times New Roman" w:eastAsia="Times New Roman" w:hAnsi="Times New Roman" w:cs="Times New Roman"/>
          <w:sz w:val="24"/>
          <w:szCs w:val="24"/>
          <w:lang w:eastAsia="lv-LV"/>
        </w:rPr>
      </w:pPr>
    </w:p>
    <w:tbl>
      <w:tblPr>
        <w:tblW w:w="9356"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67"/>
        <w:gridCol w:w="3119"/>
        <w:gridCol w:w="5670"/>
      </w:tblGrid>
      <w:tr w:rsidR="008F33E5" w:rsidRPr="008F33E5" w14:paraId="0F2E2C03" w14:textId="77777777" w:rsidTr="00A91764">
        <w:tc>
          <w:tcPr>
            <w:tcW w:w="9356" w:type="dxa"/>
            <w:gridSpan w:val="3"/>
            <w:tcBorders>
              <w:top w:val="outset" w:sz="6" w:space="0" w:color="auto"/>
              <w:left w:val="outset" w:sz="6" w:space="0" w:color="auto"/>
              <w:bottom w:val="outset" w:sz="6" w:space="0" w:color="auto"/>
              <w:right w:val="outset" w:sz="6" w:space="0" w:color="auto"/>
            </w:tcBorders>
            <w:vAlign w:val="center"/>
            <w:hideMark/>
          </w:tcPr>
          <w:p w14:paraId="33C7B316" w14:textId="77777777" w:rsidR="00BC0F79" w:rsidRPr="008F33E5" w:rsidRDefault="00BC0F79" w:rsidP="00A91764">
            <w:pPr>
              <w:spacing w:after="0" w:line="240" w:lineRule="auto"/>
              <w:jc w:val="center"/>
              <w:rPr>
                <w:rFonts w:ascii="Times New Roman" w:hAnsi="Times New Roman" w:cs="Times New Roman"/>
                <w:b/>
                <w:sz w:val="24"/>
                <w:szCs w:val="24"/>
              </w:rPr>
            </w:pPr>
            <w:r w:rsidRPr="008F33E5">
              <w:rPr>
                <w:rFonts w:ascii="Times New Roman" w:hAnsi="Times New Roman" w:cs="Times New Roman"/>
                <w:b/>
                <w:sz w:val="24"/>
                <w:szCs w:val="24"/>
              </w:rPr>
              <w:t>V. Tiesību akta projekta atbilstība Latvijas Republikas starptautiskajām saistībām</w:t>
            </w:r>
          </w:p>
        </w:tc>
      </w:tr>
      <w:tr w:rsidR="008F33E5" w:rsidRPr="008F33E5" w14:paraId="35CCBDA2" w14:textId="77777777" w:rsidTr="00A91764">
        <w:tc>
          <w:tcPr>
            <w:tcW w:w="567" w:type="dxa"/>
            <w:tcBorders>
              <w:top w:val="outset" w:sz="6" w:space="0" w:color="auto"/>
              <w:left w:val="outset" w:sz="6" w:space="0" w:color="auto"/>
              <w:bottom w:val="outset" w:sz="6" w:space="0" w:color="auto"/>
              <w:right w:val="outset" w:sz="6" w:space="0" w:color="auto"/>
            </w:tcBorders>
            <w:hideMark/>
          </w:tcPr>
          <w:p w14:paraId="795B1A78" w14:textId="77777777" w:rsidR="00BC0F79" w:rsidRPr="008F33E5" w:rsidRDefault="00BC0F79" w:rsidP="00A91764">
            <w:pPr>
              <w:ind w:left="57"/>
              <w:rPr>
                <w:rFonts w:ascii="Times New Roman" w:hAnsi="Times New Roman" w:cs="Times New Roman"/>
                <w:sz w:val="24"/>
                <w:szCs w:val="24"/>
              </w:rPr>
            </w:pPr>
            <w:r w:rsidRPr="008F33E5">
              <w:rPr>
                <w:rFonts w:ascii="Times New Roman" w:hAnsi="Times New Roman" w:cs="Times New Roman"/>
                <w:sz w:val="24"/>
                <w:szCs w:val="24"/>
              </w:rPr>
              <w:t>1.</w:t>
            </w:r>
          </w:p>
        </w:tc>
        <w:tc>
          <w:tcPr>
            <w:tcW w:w="3119" w:type="dxa"/>
            <w:tcBorders>
              <w:top w:val="outset" w:sz="6" w:space="0" w:color="auto"/>
              <w:left w:val="outset" w:sz="6" w:space="0" w:color="auto"/>
              <w:bottom w:val="outset" w:sz="6" w:space="0" w:color="auto"/>
              <w:right w:val="outset" w:sz="6" w:space="0" w:color="auto"/>
            </w:tcBorders>
            <w:hideMark/>
          </w:tcPr>
          <w:p w14:paraId="37137451" w14:textId="77777777" w:rsidR="00BC0F79" w:rsidRPr="008F33E5" w:rsidRDefault="00BC0F79" w:rsidP="00A91764">
            <w:pPr>
              <w:spacing w:after="0" w:line="240" w:lineRule="auto"/>
              <w:ind w:left="57"/>
              <w:rPr>
                <w:rFonts w:ascii="Times New Roman" w:hAnsi="Times New Roman" w:cs="Times New Roman"/>
                <w:sz w:val="24"/>
                <w:szCs w:val="24"/>
              </w:rPr>
            </w:pPr>
            <w:r w:rsidRPr="008F33E5">
              <w:rPr>
                <w:rFonts w:ascii="Times New Roman" w:hAnsi="Times New Roman" w:cs="Times New Roman"/>
                <w:sz w:val="24"/>
                <w:szCs w:val="24"/>
              </w:rPr>
              <w:t>Saistības pret Eiropas Savienību</w:t>
            </w:r>
          </w:p>
        </w:tc>
        <w:tc>
          <w:tcPr>
            <w:tcW w:w="5670" w:type="dxa"/>
            <w:tcBorders>
              <w:top w:val="outset" w:sz="6" w:space="0" w:color="auto"/>
              <w:left w:val="outset" w:sz="6" w:space="0" w:color="auto"/>
              <w:bottom w:val="outset" w:sz="6" w:space="0" w:color="auto"/>
              <w:right w:val="outset" w:sz="6" w:space="0" w:color="auto"/>
            </w:tcBorders>
            <w:hideMark/>
          </w:tcPr>
          <w:p w14:paraId="6F1FE623" w14:textId="30F41183" w:rsidR="00723C5D" w:rsidRPr="008F33E5" w:rsidRDefault="00723C5D" w:rsidP="00CF5F2C">
            <w:pPr>
              <w:spacing w:after="0" w:line="240" w:lineRule="auto"/>
              <w:ind w:left="57"/>
              <w:jc w:val="both"/>
              <w:rPr>
                <w:rFonts w:ascii="Times New Roman" w:eastAsia="Times New Roman" w:hAnsi="Times New Roman" w:cs="Times New Roman"/>
                <w:sz w:val="24"/>
                <w:szCs w:val="24"/>
                <w:lang w:eastAsia="lv-LV"/>
              </w:rPr>
            </w:pPr>
            <w:r w:rsidRPr="008F33E5">
              <w:rPr>
                <w:rFonts w:ascii="Times New Roman" w:hAnsi="Times New Roman" w:cs="Times New Roman"/>
                <w:iCs/>
                <w:sz w:val="24"/>
                <w:szCs w:val="24"/>
              </w:rPr>
              <w:t>Projekts atbilst saistībām pret Eiropas Savienību.</w:t>
            </w:r>
          </w:p>
        </w:tc>
      </w:tr>
      <w:tr w:rsidR="008F33E5" w:rsidRPr="008F33E5" w14:paraId="48FAD87B" w14:textId="77777777" w:rsidTr="00A91764">
        <w:tc>
          <w:tcPr>
            <w:tcW w:w="567" w:type="dxa"/>
            <w:tcBorders>
              <w:top w:val="outset" w:sz="6" w:space="0" w:color="auto"/>
              <w:left w:val="outset" w:sz="6" w:space="0" w:color="auto"/>
              <w:bottom w:val="outset" w:sz="6" w:space="0" w:color="auto"/>
              <w:right w:val="outset" w:sz="6" w:space="0" w:color="auto"/>
            </w:tcBorders>
            <w:hideMark/>
          </w:tcPr>
          <w:p w14:paraId="0A93BF81" w14:textId="77777777" w:rsidR="00BC0F79" w:rsidRPr="008F33E5" w:rsidRDefault="00BC0F79" w:rsidP="00A91764">
            <w:pPr>
              <w:ind w:left="57"/>
              <w:rPr>
                <w:rFonts w:ascii="Times New Roman" w:hAnsi="Times New Roman" w:cs="Times New Roman"/>
                <w:sz w:val="24"/>
                <w:szCs w:val="24"/>
              </w:rPr>
            </w:pPr>
            <w:r w:rsidRPr="008F33E5">
              <w:rPr>
                <w:rFonts w:ascii="Times New Roman" w:hAnsi="Times New Roman" w:cs="Times New Roman"/>
                <w:sz w:val="24"/>
                <w:szCs w:val="24"/>
              </w:rPr>
              <w:t>2.</w:t>
            </w:r>
          </w:p>
        </w:tc>
        <w:tc>
          <w:tcPr>
            <w:tcW w:w="3119" w:type="dxa"/>
            <w:tcBorders>
              <w:top w:val="outset" w:sz="6" w:space="0" w:color="auto"/>
              <w:left w:val="outset" w:sz="6" w:space="0" w:color="auto"/>
              <w:bottom w:val="outset" w:sz="6" w:space="0" w:color="auto"/>
              <w:right w:val="outset" w:sz="6" w:space="0" w:color="auto"/>
            </w:tcBorders>
            <w:hideMark/>
          </w:tcPr>
          <w:p w14:paraId="61266E8F" w14:textId="77777777" w:rsidR="00BC0F79" w:rsidRPr="008F33E5" w:rsidRDefault="00BC0F79" w:rsidP="00A91764">
            <w:pPr>
              <w:spacing w:after="0" w:line="240" w:lineRule="auto"/>
              <w:ind w:left="57"/>
              <w:rPr>
                <w:rFonts w:ascii="Times New Roman" w:hAnsi="Times New Roman" w:cs="Times New Roman"/>
                <w:sz w:val="24"/>
                <w:szCs w:val="24"/>
              </w:rPr>
            </w:pPr>
            <w:r w:rsidRPr="008F33E5">
              <w:rPr>
                <w:rFonts w:ascii="Times New Roman" w:hAnsi="Times New Roman" w:cs="Times New Roman"/>
                <w:sz w:val="24"/>
                <w:szCs w:val="24"/>
              </w:rPr>
              <w:t>Citas starptautiskās saistības</w:t>
            </w:r>
          </w:p>
        </w:tc>
        <w:tc>
          <w:tcPr>
            <w:tcW w:w="5670" w:type="dxa"/>
            <w:tcBorders>
              <w:top w:val="outset" w:sz="6" w:space="0" w:color="auto"/>
              <w:left w:val="outset" w:sz="6" w:space="0" w:color="auto"/>
              <w:bottom w:val="outset" w:sz="6" w:space="0" w:color="auto"/>
              <w:right w:val="outset" w:sz="6" w:space="0" w:color="auto"/>
            </w:tcBorders>
            <w:hideMark/>
          </w:tcPr>
          <w:p w14:paraId="1A6C54B8" w14:textId="0EE372B9" w:rsidR="00BC0F79" w:rsidRPr="008F33E5" w:rsidRDefault="00436699" w:rsidP="00A91764">
            <w:pPr>
              <w:spacing w:after="0" w:line="240" w:lineRule="auto"/>
              <w:ind w:left="57"/>
              <w:rPr>
                <w:rFonts w:ascii="Times New Roman" w:hAnsi="Times New Roman" w:cs="Times New Roman"/>
                <w:i/>
                <w:sz w:val="24"/>
                <w:szCs w:val="24"/>
              </w:rPr>
            </w:pPr>
            <w:r w:rsidRPr="008F33E5">
              <w:rPr>
                <w:rFonts w:ascii="Times New Roman" w:hAnsi="Times New Roman" w:cs="Times New Roman"/>
                <w:sz w:val="24"/>
                <w:szCs w:val="24"/>
              </w:rPr>
              <w:t xml:space="preserve">Projekts </w:t>
            </w:r>
            <w:r w:rsidR="00BC0F79" w:rsidRPr="008F33E5">
              <w:rPr>
                <w:rFonts w:ascii="Times New Roman" w:hAnsi="Times New Roman" w:cs="Times New Roman"/>
                <w:sz w:val="24"/>
                <w:szCs w:val="24"/>
              </w:rPr>
              <w:t>šo jomu neskar</w:t>
            </w:r>
          </w:p>
        </w:tc>
      </w:tr>
      <w:tr w:rsidR="008F33E5" w:rsidRPr="008F33E5" w14:paraId="24797A63" w14:textId="77777777" w:rsidTr="00A91764">
        <w:tc>
          <w:tcPr>
            <w:tcW w:w="567" w:type="dxa"/>
            <w:tcBorders>
              <w:top w:val="outset" w:sz="6" w:space="0" w:color="auto"/>
              <w:left w:val="outset" w:sz="6" w:space="0" w:color="auto"/>
              <w:bottom w:val="outset" w:sz="6" w:space="0" w:color="auto"/>
              <w:right w:val="outset" w:sz="6" w:space="0" w:color="auto"/>
            </w:tcBorders>
            <w:hideMark/>
          </w:tcPr>
          <w:p w14:paraId="5A4FC504" w14:textId="77777777" w:rsidR="00BC0F79" w:rsidRPr="008F33E5" w:rsidRDefault="00BC0F79" w:rsidP="00A91764">
            <w:pPr>
              <w:ind w:left="57"/>
              <w:rPr>
                <w:rFonts w:ascii="Times New Roman" w:hAnsi="Times New Roman" w:cs="Times New Roman"/>
                <w:sz w:val="24"/>
                <w:szCs w:val="24"/>
              </w:rPr>
            </w:pPr>
            <w:r w:rsidRPr="008F33E5">
              <w:rPr>
                <w:rFonts w:ascii="Times New Roman" w:hAnsi="Times New Roman" w:cs="Times New Roman"/>
                <w:sz w:val="24"/>
                <w:szCs w:val="24"/>
              </w:rPr>
              <w:t>3.</w:t>
            </w:r>
          </w:p>
        </w:tc>
        <w:tc>
          <w:tcPr>
            <w:tcW w:w="3119" w:type="dxa"/>
            <w:tcBorders>
              <w:top w:val="outset" w:sz="6" w:space="0" w:color="auto"/>
              <w:left w:val="outset" w:sz="6" w:space="0" w:color="auto"/>
              <w:bottom w:val="outset" w:sz="6" w:space="0" w:color="auto"/>
              <w:right w:val="outset" w:sz="6" w:space="0" w:color="auto"/>
            </w:tcBorders>
            <w:hideMark/>
          </w:tcPr>
          <w:p w14:paraId="41461E98" w14:textId="77777777" w:rsidR="00BC0F79" w:rsidRPr="008F33E5" w:rsidRDefault="00BC0F79" w:rsidP="00A91764">
            <w:pPr>
              <w:spacing w:after="0" w:line="240" w:lineRule="auto"/>
              <w:ind w:left="57"/>
              <w:rPr>
                <w:rFonts w:ascii="Times New Roman" w:hAnsi="Times New Roman" w:cs="Times New Roman"/>
                <w:sz w:val="24"/>
                <w:szCs w:val="24"/>
              </w:rPr>
            </w:pPr>
            <w:r w:rsidRPr="008F33E5">
              <w:rPr>
                <w:rFonts w:ascii="Times New Roman" w:hAnsi="Times New Roman" w:cs="Times New Roman"/>
                <w:sz w:val="24"/>
                <w:szCs w:val="24"/>
              </w:rPr>
              <w:t>Cita informācija</w:t>
            </w:r>
          </w:p>
        </w:tc>
        <w:tc>
          <w:tcPr>
            <w:tcW w:w="5670" w:type="dxa"/>
            <w:tcBorders>
              <w:top w:val="outset" w:sz="6" w:space="0" w:color="auto"/>
              <w:left w:val="outset" w:sz="6" w:space="0" w:color="auto"/>
              <w:bottom w:val="outset" w:sz="6" w:space="0" w:color="auto"/>
              <w:right w:val="outset" w:sz="6" w:space="0" w:color="auto"/>
            </w:tcBorders>
            <w:hideMark/>
          </w:tcPr>
          <w:p w14:paraId="3A107586" w14:textId="77777777" w:rsidR="00BC0F79" w:rsidRPr="008F33E5" w:rsidRDefault="00BC0F79" w:rsidP="00A91764">
            <w:pPr>
              <w:spacing w:after="0" w:line="240" w:lineRule="auto"/>
              <w:ind w:left="57"/>
              <w:jc w:val="both"/>
              <w:rPr>
                <w:rFonts w:ascii="Times New Roman" w:hAnsi="Times New Roman" w:cs="Times New Roman"/>
                <w:sz w:val="24"/>
                <w:szCs w:val="24"/>
              </w:rPr>
            </w:pPr>
            <w:r w:rsidRPr="008F33E5">
              <w:rPr>
                <w:rFonts w:ascii="Times New Roman" w:hAnsi="Times New Roman" w:cs="Times New Roman"/>
                <w:sz w:val="24"/>
                <w:szCs w:val="24"/>
              </w:rPr>
              <w:t>Nav</w:t>
            </w:r>
          </w:p>
        </w:tc>
      </w:tr>
    </w:tbl>
    <w:p w14:paraId="39E3F2BC" w14:textId="711F1CA8" w:rsidR="00436699" w:rsidRPr="008F33E5" w:rsidRDefault="00436699" w:rsidP="00BC0F79">
      <w:pPr>
        <w:shd w:val="clear" w:color="auto" w:fill="FFFFFF"/>
        <w:rPr>
          <w:rFonts w:ascii="Times New Roman" w:hAnsi="Times New Roman" w:cs="Times New Roman"/>
          <w:sz w:val="24"/>
          <w:szCs w:val="24"/>
        </w:rPr>
      </w:pPr>
    </w:p>
    <w:tbl>
      <w:tblPr>
        <w:tblW w:w="9356"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362"/>
        <w:gridCol w:w="2600"/>
        <w:gridCol w:w="1984"/>
        <w:gridCol w:w="2410"/>
      </w:tblGrid>
      <w:tr w:rsidR="008F33E5" w:rsidRPr="008F33E5" w14:paraId="2F90D9C9" w14:textId="77777777" w:rsidTr="00A91764">
        <w:trPr>
          <w:trHeight w:val="709"/>
        </w:trPr>
        <w:tc>
          <w:tcPr>
            <w:tcW w:w="9356" w:type="dxa"/>
            <w:gridSpan w:val="4"/>
            <w:tcBorders>
              <w:top w:val="outset" w:sz="6" w:space="0" w:color="auto"/>
              <w:left w:val="outset" w:sz="6" w:space="0" w:color="auto"/>
              <w:bottom w:val="outset" w:sz="6" w:space="0" w:color="auto"/>
              <w:right w:val="outset" w:sz="6" w:space="0" w:color="auto"/>
            </w:tcBorders>
            <w:vAlign w:val="center"/>
            <w:hideMark/>
          </w:tcPr>
          <w:p w14:paraId="639F4772" w14:textId="77777777" w:rsidR="00BC0F79" w:rsidRPr="008F33E5" w:rsidRDefault="00BC0F79" w:rsidP="00A91764">
            <w:pPr>
              <w:spacing w:after="0" w:line="240" w:lineRule="auto"/>
              <w:ind w:left="57"/>
              <w:jc w:val="center"/>
              <w:rPr>
                <w:rFonts w:ascii="Times New Roman" w:eastAsia="Times New Roman" w:hAnsi="Times New Roman" w:cs="Times New Roman"/>
                <w:b/>
                <w:sz w:val="24"/>
                <w:szCs w:val="24"/>
              </w:rPr>
            </w:pPr>
            <w:r w:rsidRPr="008F33E5">
              <w:rPr>
                <w:rFonts w:ascii="Times New Roman" w:eastAsia="Times New Roman" w:hAnsi="Times New Roman" w:cs="Times New Roman"/>
                <w:b/>
                <w:sz w:val="24"/>
                <w:szCs w:val="24"/>
              </w:rPr>
              <w:t>1.tabula</w:t>
            </w:r>
          </w:p>
          <w:p w14:paraId="7084BE99" w14:textId="77777777" w:rsidR="00BC0F79" w:rsidRPr="008F33E5" w:rsidRDefault="00BC0F79" w:rsidP="00A91764">
            <w:pPr>
              <w:spacing w:after="0" w:line="240" w:lineRule="auto"/>
              <w:ind w:left="57"/>
              <w:jc w:val="center"/>
              <w:rPr>
                <w:rFonts w:ascii="Times New Roman" w:eastAsia="Times New Roman" w:hAnsi="Times New Roman" w:cs="Times New Roman"/>
                <w:sz w:val="24"/>
                <w:szCs w:val="24"/>
              </w:rPr>
            </w:pPr>
            <w:r w:rsidRPr="008F33E5">
              <w:rPr>
                <w:rFonts w:ascii="Times New Roman" w:eastAsia="Times New Roman" w:hAnsi="Times New Roman" w:cs="Times New Roman"/>
                <w:b/>
                <w:sz w:val="24"/>
                <w:szCs w:val="24"/>
              </w:rPr>
              <w:t>Tiesību akta projekta atbilstība ES tiesību aktiem</w:t>
            </w:r>
          </w:p>
        </w:tc>
      </w:tr>
      <w:tr w:rsidR="008F33E5" w:rsidRPr="008F33E5" w14:paraId="7296918D" w14:textId="77777777" w:rsidTr="00A91764">
        <w:trPr>
          <w:trHeight w:val="1377"/>
        </w:trPr>
        <w:tc>
          <w:tcPr>
            <w:tcW w:w="2362" w:type="dxa"/>
            <w:tcBorders>
              <w:top w:val="outset" w:sz="6" w:space="0" w:color="auto"/>
              <w:left w:val="outset" w:sz="6" w:space="0" w:color="auto"/>
              <w:bottom w:val="outset" w:sz="6" w:space="0" w:color="auto"/>
              <w:right w:val="outset" w:sz="6" w:space="0" w:color="auto"/>
            </w:tcBorders>
            <w:hideMark/>
          </w:tcPr>
          <w:p w14:paraId="62FFC491" w14:textId="77777777" w:rsidR="00BC0F79" w:rsidRPr="008F33E5" w:rsidRDefault="00BC0F79" w:rsidP="00A91764">
            <w:pPr>
              <w:spacing w:after="0" w:line="240" w:lineRule="auto"/>
              <w:ind w:right="108"/>
              <w:rPr>
                <w:rFonts w:ascii="Times New Roman" w:eastAsia="Times New Roman" w:hAnsi="Times New Roman" w:cs="Times New Roman"/>
                <w:sz w:val="24"/>
                <w:szCs w:val="24"/>
              </w:rPr>
            </w:pPr>
            <w:r w:rsidRPr="008F33E5">
              <w:rPr>
                <w:rFonts w:ascii="Times New Roman" w:eastAsia="Times New Roman" w:hAnsi="Times New Roman" w:cs="Times New Roman"/>
                <w:sz w:val="24"/>
                <w:szCs w:val="24"/>
              </w:rPr>
              <w:t>Attiecīgā ES tiesību akta datums, numurs un nosaukums</w:t>
            </w:r>
          </w:p>
        </w:tc>
        <w:tc>
          <w:tcPr>
            <w:tcW w:w="6994" w:type="dxa"/>
            <w:gridSpan w:val="3"/>
            <w:tcBorders>
              <w:top w:val="outset" w:sz="6" w:space="0" w:color="auto"/>
              <w:left w:val="outset" w:sz="6" w:space="0" w:color="auto"/>
              <w:bottom w:val="outset" w:sz="6" w:space="0" w:color="auto"/>
              <w:right w:val="outset" w:sz="6" w:space="0" w:color="auto"/>
            </w:tcBorders>
            <w:hideMark/>
          </w:tcPr>
          <w:p w14:paraId="015D47C2" w14:textId="247F6259" w:rsidR="00BC0F79" w:rsidRPr="008F33E5" w:rsidRDefault="00CF5F2C" w:rsidP="00CF5F2C">
            <w:pPr>
              <w:spacing w:after="0" w:line="240" w:lineRule="auto"/>
              <w:ind w:right="108"/>
              <w:jc w:val="both"/>
              <w:rPr>
                <w:rFonts w:ascii="Times New Roman" w:eastAsia="Times New Roman" w:hAnsi="Times New Roman" w:cs="Times New Roman"/>
                <w:sz w:val="24"/>
                <w:szCs w:val="24"/>
                <w:lang w:eastAsia="lv-LV"/>
              </w:rPr>
            </w:pPr>
            <w:r w:rsidRPr="008F33E5">
              <w:rPr>
                <w:rFonts w:ascii="Times New Roman" w:hAnsi="Times New Roman" w:cs="Times New Roman"/>
                <w:sz w:val="24"/>
                <w:szCs w:val="24"/>
              </w:rPr>
              <w:t xml:space="preserve">Eiropas Parlamenta un Padomes 2019. gada 20. jūnija Regula (ES) Nr. </w:t>
            </w:r>
            <w:hyperlink r:id="rId9" w:tgtFrame="_blank" w:history="1">
              <w:r w:rsidR="00FD0FEA" w:rsidRPr="008F33E5">
                <w:rPr>
                  <w:rStyle w:val="Hyperlink"/>
                  <w:rFonts w:ascii="Times New Roman" w:hAnsi="Times New Roman" w:cs="Times New Roman"/>
                  <w:color w:val="auto"/>
                  <w:sz w:val="24"/>
                  <w:szCs w:val="24"/>
                </w:rPr>
                <w:t>2019/1148</w:t>
              </w:r>
            </w:hyperlink>
            <w:r w:rsidRPr="008F33E5">
              <w:rPr>
                <w:rFonts w:ascii="Times New Roman" w:hAnsi="Times New Roman" w:cs="Times New Roman"/>
                <w:sz w:val="24"/>
                <w:szCs w:val="24"/>
              </w:rPr>
              <w:t xml:space="preserve"> par sprāgstvielu prekursoru tirdzniecību un lietošanu</w:t>
            </w:r>
            <w:r w:rsidRPr="008F33E5">
              <w:rPr>
                <w:rFonts w:ascii="Times New Roman" w:hAnsi="Times New Roman" w:cs="Times New Roman"/>
                <w:sz w:val="24"/>
                <w:szCs w:val="24"/>
                <w:shd w:val="clear" w:color="auto" w:fill="FFFFFF"/>
              </w:rPr>
              <w:t>, ar ko groza Regulu (EK) Nr. 1907/2006 un atceļ Regulu (ES) Nr. 98/2013</w:t>
            </w:r>
          </w:p>
        </w:tc>
      </w:tr>
      <w:tr w:rsidR="008F33E5" w:rsidRPr="008F33E5" w14:paraId="3E25AD60" w14:textId="77777777" w:rsidTr="00A91764">
        <w:trPr>
          <w:trHeight w:val="378"/>
        </w:trPr>
        <w:tc>
          <w:tcPr>
            <w:tcW w:w="2362" w:type="dxa"/>
            <w:tcBorders>
              <w:top w:val="outset" w:sz="6" w:space="0" w:color="auto"/>
              <w:left w:val="outset" w:sz="6" w:space="0" w:color="auto"/>
              <w:bottom w:val="outset" w:sz="6" w:space="0" w:color="auto"/>
              <w:right w:val="outset" w:sz="6" w:space="0" w:color="auto"/>
            </w:tcBorders>
            <w:vAlign w:val="center"/>
            <w:hideMark/>
          </w:tcPr>
          <w:p w14:paraId="155AB148" w14:textId="77777777" w:rsidR="00BC0F79" w:rsidRPr="008F33E5" w:rsidRDefault="00BC0F79" w:rsidP="00A91764">
            <w:pPr>
              <w:spacing w:after="0" w:line="240" w:lineRule="auto"/>
              <w:ind w:left="57"/>
              <w:jc w:val="center"/>
              <w:rPr>
                <w:rFonts w:ascii="Times New Roman" w:eastAsia="Times New Roman" w:hAnsi="Times New Roman" w:cs="Times New Roman"/>
                <w:sz w:val="24"/>
                <w:szCs w:val="24"/>
              </w:rPr>
            </w:pPr>
            <w:r w:rsidRPr="008F33E5">
              <w:rPr>
                <w:rFonts w:ascii="Times New Roman" w:eastAsia="Times New Roman" w:hAnsi="Times New Roman" w:cs="Times New Roman"/>
                <w:sz w:val="24"/>
                <w:szCs w:val="24"/>
              </w:rPr>
              <w:t>A</w:t>
            </w:r>
          </w:p>
        </w:tc>
        <w:tc>
          <w:tcPr>
            <w:tcW w:w="2600" w:type="dxa"/>
            <w:tcBorders>
              <w:top w:val="outset" w:sz="6" w:space="0" w:color="auto"/>
              <w:left w:val="outset" w:sz="6" w:space="0" w:color="auto"/>
              <w:bottom w:val="outset" w:sz="6" w:space="0" w:color="auto"/>
              <w:right w:val="outset" w:sz="6" w:space="0" w:color="auto"/>
            </w:tcBorders>
            <w:vAlign w:val="center"/>
            <w:hideMark/>
          </w:tcPr>
          <w:p w14:paraId="534FDB1E" w14:textId="77777777" w:rsidR="00BC0F79" w:rsidRPr="008F33E5" w:rsidRDefault="00BC0F79" w:rsidP="00A91764">
            <w:pPr>
              <w:spacing w:after="0" w:line="240" w:lineRule="auto"/>
              <w:ind w:left="57"/>
              <w:jc w:val="center"/>
              <w:rPr>
                <w:rFonts w:ascii="Times New Roman" w:eastAsia="Times New Roman" w:hAnsi="Times New Roman" w:cs="Times New Roman"/>
                <w:sz w:val="24"/>
                <w:szCs w:val="24"/>
              </w:rPr>
            </w:pPr>
            <w:r w:rsidRPr="008F33E5">
              <w:rPr>
                <w:rFonts w:ascii="Times New Roman" w:eastAsia="Times New Roman" w:hAnsi="Times New Roman" w:cs="Times New Roman"/>
                <w:sz w:val="24"/>
                <w:szCs w:val="24"/>
              </w:rPr>
              <w:t>B</w:t>
            </w:r>
          </w:p>
        </w:tc>
        <w:tc>
          <w:tcPr>
            <w:tcW w:w="1984" w:type="dxa"/>
            <w:tcBorders>
              <w:top w:val="outset" w:sz="6" w:space="0" w:color="auto"/>
              <w:left w:val="outset" w:sz="6" w:space="0" w:color="auto"/>
              <w:bottom w:val="outset" w:sz="6" w:space="0" w:color="auto"/>
              <w:right w:val="outset" w:sz="6" w:space="0" w:color="auto"/>
            </w:tcBorders>
            <w:vAlign w:val="center"/>
            <w:hideMark/>
          </w:tcPr>
          <w:p w14:paraId="3995DE13" w14:textId="77777777" w:rsidR="00BC0F79" w:rsidRPr="008F33E5" w:rsidRDefault="00BC0F79" w:rsidP="00A91764">
            <w:pPr>
              <w:spacing w:after="0" w:line="240" w:lineRule="auto"/>
              <w:ind w:left="57"/>
              <w:jc w:val="center"/>
              <w:rPr>
                <w:rFonts w:ascii="Times New Roman" w:eastAsia="Times New Roman" w:hAnsi="Times New Roman" w:cs="Times New Roman"/>
                <w:sz w:val="24"/>
                <w:szCs w:val="24"/>
              </w:rPr>
            </w:pPr>
            <w:r w:rsidRPr="008F33E5">
              <w:rPr>
                <w:rFonts w:ascii="Times New Roman" w:eastAsia="Times New Roman" w:hAnsi="Times New Roman" w:cs="Times New Roman"/>
                <w:sz w:val="24"/>
                <w:szCs w:val="24"/>
              </w:rPr>
              <w:t>C</w:t>
            </w:r>
          </w:p>
        </w:tc>
        <w:tc>
          <w:tcPr>
            <w:tcW w:w="2410" w:type="dxa"/>
            <w:tcBorders>
              <w:top w:val="outset" w:sz="6" w:space="0" w:color="auto"/>
              <w:left w:val="outset" w:sz="6" w:space="0" w:color="auto"/>
              <w:bottom w:val="outset" w:sz="6" w:space="0" w:color="auto"/>
              <w:right w:val="outset" w:sz="6" w:space="0" w:color="auto"/>
            </w:tcBorders>
            <w:vAlign w:val="center"/>
            <w:hideMark/>
          </w:tcPr>
          <w:p w14:paraId="45754004" w14:textId="77777777" w:rsidR="00BC0F79" w:rsidRPr="008F33E5" w:rsidRDefault="00BC0F79" w:rsidP="00A91764">
            <w:pPr>
              <w:spacing w:after="0" w:line="240" w:lineRule="auto"/>
              <w:ind w:left="57"/>
              <w:jc w:val="center"/>
              <w:rPr>
                <w:rFonts w:ascii="Times New Roman" w:eastAsia="Times New Roman" w:hAnsi="Times New Roman" w:cs="Times New Roman"/>
                <w:sz w:val="24"/>
                <w:szCs w:val="24"/>
              </w:rPr>
            </w:pPr>
            <w:r w:rsidRPr="008F33E5">
              <w:rPr>
                <w:rFonts w:ascii="Times New Roman" w:eastAsia="Times New Roman" w:hAnsi="Times New Roman" w:cs="Times New Roman"/>
                <w:sz w:val="24"/>
                <w:szCs w:val="24"/>
              </w:rPr>
              <w:t>D</w:t>
            </w:r>
          </w:p>
        </w:tc>
      </w:tr>
      <w:tr w:rsidR="008F33E5" w:rsidRPr="008F33E5" w14:paraId="37A04EBE" w14:textId="77777777" w:rsidTr="00A91764">
        <w:trPr>
          <w:trHeight w:val="1829"/>
        </w:trPr>
        <w:tc>
          <w:tcPr>
            <w:tcW w:w="2362" w:type="dxa"/>
            <w:tcBorders>
              <w:top w:val="outset" w:sz="6" w:space="0" w:color="auto"/>
              <w:left w:val="outset" w:sz="6" w:space="0" w:color="auto"/>
              <w:bottom w:val="outset" w:sz="6" w:space="0" w:color="auto"/>
              <w:right w:val="outset" w:sz="6" w:space="0" w:color="auto"/>
            </w:tcBorders>
            <w:hideMark/>
          </w:tcPr>
          <w:p w14:paraId="46790022" w14:textId="77777777" w:rsidR="00BC0F79" w:rsidRPr="008F33E5" w:rsidRDefault="00BC0F79" w:rsidP="00A91764">
            <w:pPr>
              <w:spacing w:after="0" w:line="240" w:lineRule="auto"/>
              <w:ind w:right="108"/>
              <w:rPr>
                <w:rFonts w:ascii="Times New Roman" w:eastAsia="Times New Roman" w:hAnsi="Times New Roman" w:cs="Times New Roman"/>
                <w:spacing w:val="-3"/>
                <w:sz w:val="24"/>
                <w:szCs w:val="24"/>
              </w:rPr>
            </w:pPr>
            <w:r w:rsidRPr="008F33E5">
              <w:rPr>
                <w:rFonts w:ascii="Times New Roman" w:eastAsia="Times New Roman" w:hAnsi="Times New Roman" w:cs="Times New Roman"/>
                <w:spacing w:val="-3"/>
                <w:sz w:val="24"/>
                <w:szCs w:val="24"/>
              </w:rPr>
              <w:t>Attiecīgā ES tiesību akta panta numurs (uzskaitot katru tiesību akta vienību – pantu, daļu, punktu, apakšpunktu)</w:t>
            </w:r>
          </w:p>
        </w:tc>
        <w:tc>
          <w:tcPr>
            <w:tcW w:w="2600" w:type="dxa"/>
            <w:tcBorders>
              <w:top w:val="outset" w:sz="6" w:space="0" w:color="auto"/>
              <w:left w:val="outset" w:sz="6" w:space="0" w:color="auto"/>
              <w:bottom w:val="outset" w:sz="6" w:space="0" w:color="auto"/>
              <w:right w:val="outset" w:sz="6" w:space="0" w:color="auto"/>
            </w:tcBorders>
            <w:hideMark/>
          </w:tcPr>
          <w:p w14:paraId="2B070466" w14:textId="77777777" w:rsidR="00BC0F79" w:rsidRPr="008F33E5" w:rsidRDefault="00BC0F79" w:rsidP="00A91764">
            <w:pPr>
              <w:spacing w:after="0" w:line="240" w:lineRule="auto"/>
              <w:ind w:right="108"/>
              <w:rPr>
                <w:rFonts w:ascii="Times New Roman" w:eastAsia="Times New Roman" w:hAnsi="Times New Roman" w:cs="Times New Roman"/>
                <w:spacing w:val="-3"/>
                <w:sz w:val="24"/>
                <w:szCs w:val="24"/>
              </w:rPr>
            </w:pPr>
            <w:r w:rsidRPr="008F33E5">
              <w:rPr>
                <w:rFonts w:ascii="Times New Roman" w:eastAsia="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1984" w:type="dxa"/>
            <w:tcBorders>
              <w:top w:val="outset" w:sz="6" w:space="0" w:color="auto"/>
              <w:left w:val="outset" w:sz="6" w:space="0" w:color="auto"/>
              <w:bottom w:val="outset" w:sz="6" w:space="0" w:color="auto"/>
              <w:right w:val="outset" w:sz="6" w:space="0" w:color="auto"/>
            </w:tcBorders>
            <w:hideMark/>
          </w:tcPr>
          <w:p w14:paraId="4740940C" w14:textId="77777777" w:rsidR="00BC0F79" w:rsidRPr="008F33E5" w:rsidRDefault="00BC0F79" w:rsidP="00A91764">
            <w:pPr>
              <w:spacing w:after="0" w:line="240" w:lineRule="auto"/>
              <w:ind w:right="108"/>
              <w:rPr>
                <w:rFonts w:ascii="Times New Roman" w:eastAsia="Times New Roman" w:hAnsi="Times New Roman" w:cs="Times New Roman"/>
                <w:spacing w:val="-3"/>
                <w:sz w:val="24"/>
                <w:szCs w:val="24"/>
              </w:rPr>
            </w:pPr>
            <w:r w:rsidRPr="008F33E5">
              <w:rPr>
                <w:rFonts w:ascii="Times New Roman" w:eastAsia="Times New Roman" w:hAnsi="Times New Roman" w:cs="Times New Roman"/>
                <w:spacing w:val="-3"/>
                <w:sz w:val="24"/>
                <w:szCs w:val="24"/>
              </w:rPr>
              <w:t>Informācija par to, vai šīs tabulas A ailē minētās ES tiesību akta vienības tiek pārņemtas vai ieviestas pilnībā vai daļēji.</w:t>
            </w:r>
          </w:p>
          <w:p w14:paraId="137C65C8" w14:textId="77777777" w:rsidR="00BC0F79" w:rsidRPr="008F33E5" w:rsidRDefault="00BC0F79" w:rsidP="00A91764">
            <w:pPr>
              <w:spacing w:after="0" w:line="240" w:lineRule="auto"/>
              <w:ind w:right="108"/>
              <w:rPr>
                <w:rFonts w:ascii="Times New Roman" w:eastAsia="Times New Roman" w:hAnsi="Times New Roman" w:cs="Times New Roman"/>
                <w:spacing w:val="-3"/>
                <w:sz w:val="24"/>
                <w:szCs w:val="24"/>
              </w:rPr>
            </w:pPr>
            <w:r w:rsidRPr="008F33E5">
              <w:rPr>
                <w:rFonts w:ascii="Times New Roman" w:eastAsia="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26595FD5" w14:textId="77777777" w:rsidR="00BC0F79" w:rsidRPr="008F33E5" w:rsidRDefault="00BC0F79" w:rsidP="00A91764">
            <w:pPr>
              <w:spacing w:after="0" w:line="240" w:lineRule="auto"/>
              <w:ind w:right="108"/>
              <w:rPr>
                <w:rFonts w:ascii="Times New Roman" w:eastAsia="Times New Roman" w:hAnsi="Times New Roman" w:cs="Times New Roman"/>
                <w:spacing w:val="-3"/>
                <w:sz w:val="24"/>
                <w:szCs w:val="24"/>
              </w:rPr>
            </w:pPr>
            <w:r w:rsidRPr="008F33E5">
              <w:rPr>
                <w:rFonts w:ascii="Times New Roman" w:eastAsia="Times New Roman" w:hAnsi="Times New Roman" w:cs="Times New Roman"/>
                <w:spacing w:val="-3"/>
                <w:sz w:val="24"/>
                <w:szCs w:val="24"/>
              </w:rPr>
              <w:t>Norāda institūciju, kas ir atbildīga par šo saistību izpildi pilnībā</w:t>
            </w:r>
          </w:p>
        </w:tc>
        <w:tc>
          <w:tcPr>
            <w:tcW w:w="2410" w:type="dxa"/>
            <w:tcBorders>
              <w:top w:val="outset" w:sz="6" w:space="0" w:color="auto"/>
              <w:left w:val="outset" w:sz="6" w:space="0" w:color="auto"/>
              <w:bottom w:val="outset" w:sz="6" w:space="0" w:color="auto"/>
              <w:right w:val="outset" w:sz="6" w:space="0" w:color="auto"/>
            </w:tcBorders>
            <w:hideMark/>
          </w:tcPr>
          <w:p w14:paraId="4DBE2E5E" w14:textId="77777777" w:rsidR="00BC0F79" w:rsidRPr="008F33E5" w:rsidRDefault="00BC0F79" w:rsidP="00A91764">
            <w:pPr>
              <w:spacing w:after="0" w:line="240" w:lineRule="auto"/>
              <w:ind w:right="108"/>
              <w:rPr>
                <w:rFonts w:ascii="Times New Roman" w:eastAsia="Times New Roman" w:hAnsi="Times New Roman" w:cs="Times New Roman"/>
                <w:sz w:val="24"/>
                <w:szCs w:val="24"/>
              </w:rPr>
            </w:pPr>
            <w:r w:rsidRPr="008F33E5">
              <w:rPr>
                <w:rFonts w:ascii="Times New Roman" w:eastAsia="Times New Roman" w:hAnsi="Times New Roman" w:cs="Times New Roman"/>
                <w:spacing w:val="-3"/>
                <w:sz w:val="24"/>
                <w:szCs w:val="24"/>
              </w:rPr>
              <w:t xml:space="preserve">Informācija par to, vai šīs </w:t>
            </w:r>
            <w:r w:rsidRPr="008F33E5">
              <w:rPr>
                <w:rFonts w:ascii="Times New Roman" w:eastAsia="Times New Roman" w:hAnsi="Times New Roman" w:cs="Times New Roman"/>
                <w:sz w:val="24"/>
                <w:szCs w:val="24"/>
              </w:rPr>
              <w:t>tabulas B ailē minētās projekta vienības paredz stingrākas prasības nekā šīs tabulas A ailē minētās ES tiesību akta vienības.</w:t>
            </w:r>
          </w:p>
          <w:p w14:paraId="1405AAA3" w14:textId="77777777" w:rsidR="00BC0F79" w:rsidRPr="008F33E5" w:rsidRDefault="00BC0F79" w:rsidP="00A91764">
            <w:pPr>
              <w:spacing w:after="0" w:line="240" w:lineRule="auto"/>
              <w:ind w:right="108"/>
              <w:rPr>
                <w:rFonts w:ascii="Times New Roman" w:eastAsia="Times New Roman" w:hAnsi="Times New Roman" w:cs="Times New Roman"/>
                <w:sz w:val="24"/>
                <w:szCs w:val="24"/>
              </w:rPr>
            </w:pPr>
            <w:r w:rsidRPr="008F33E5">
              <w:rPr>
                <w:rFonts w:ascii="Times New Roman" w:eastAsia="Times New Roman" w:hAnsi="Times New Roman" w:cs="Times New Roman"/>
                <w:sz w:val="24"/>
                <w:szCs w:val="24"/>
              </w:rPr>
              <w:t>Ja projekts satur stingrākas prasības nekā attiecīgais ES tiesību akts, norāda pamatojumu un samērīgumu.</w:t>
            </w:r>
          </w:p>
          <w:p w14:paraId="386FE491" w14:textId="77777777" w:rsidR="00BC0F79" w:rsidRPr="008F33E5" w:rsidRDefault="00BC0F79" w:rsidP="00A91764">
            <w:pPr>
              <w:spacing w:after="0" w:line="240" w:lineRule="auto"/>
              <w:ind w:right="108"/>
              <w:rPr>
                <w:rFonts w:ascii="Times New Roman" w:eastAsia="Times New Roman" w:hAnsi="Times New Roman" w:cs="Times New Roman"/>
                <w:spacing w:val="-3"/>
                <w:sz w:val="24"/>
                <w:szCs w:val="24"/>
              </w:rPr>
            </w:pPr>
            <w:r w:rsidRPr="008F33E5">
              <w:rPr>
                <w:rFonts w:ascii="Times New Roman" w:eastAsia="Times New Roman" w:hAnsi="Times New Roman" w:cs="Times New Roman"/>
                <w:sz w:val="24"/>
                <w:szCs w:val="24"/>
              </w:rPr>
              <w:t>Norāda iespējamās alternatīvas (t.sk. alternatīvas, kas neparedz tiesiskā regulējuma izstrādi) – kādos gadījumos būtu iespējams izvairīties no stingrāku prasību</w:t>
            </w:r>
            <w:r w:rsidRPr="008F33E5">
              <w:rPr>
                <w:rFonts w:ascii="Times New Roman" w:eastAsia="Times New Roman" w:hAnsi="Times New Roman" w:cs="Times New Roman"/>
                <w:spacing w:val="-3"/>
                <w:sz w:val="24"/>
                <w:szCs w:val="24"/>
              </w:rPr>
              <w:t xml:space="preserve"> noteikšanas, nekā paredzēts attiecīgajos ES tiesību aktos</w:t>
            </w:r>
          </w:p>
        </w:tc>
      </w:tr>
      <w:tr w:rsidR="008F33E5" w:rsidRPr="008F33E5" w14:paraId="7A783AA2" w14:textId="77777777" w:rsidTr="00026A41">
        <w:trPr>
          <w:trHeight w:val="522"/>
        </w:trPr>
        <w:tc>
          <w:tcPr>
            <w:tcW w:w="2362" w:type="dxa"/>
            <w:tcBorders>
              <w:top w:val="outset" w:sz="6" w:space="0" w:color="auto"/>
              <w:left w:val="outset" w:sz="6" w:space="0" w:color="auto"/>
              <w:bottom w:val="outset" w:sz="6" w:space="0" w:color="auto"/>
              <w:right w:val="outset" w:sz="6" w:space="0" w:color="auto"/>
            </w:tcBorders>
            <w:shd w:val="clear" w:color="auto" w:fill="auto"/>
          </w:tcPr>
          <w:p w14:paraId="568C0831" w14:textId="77777777" w:rsidR="00FD0FEA" w:rsidRPr="008F33E5" w:rsidRDefault="00FD0FEA" w:rsidP="00FD0FEA">
            <w:pPr>
              <w:spacing w:after="0" w:line="240" w:lineRule="auto"/>
              <w:ind w:right="108"/>
              <w:rPr>
                <w:rFonts w:ascii="Times New Roman" w:eastAsia="Times New Roman" w:hAnsi="Times New Roman" w:cs="Times New Roman"/>
                <w:bCs/>
                <w:sz w:val="24"/>
                <w:szCs w:val="24"/>
                <w:lang w:eastAsia="lv-LV"/>
              </w:rPr>
            </w:pPr>
            <w:r w:rsidRPr="008F33E5">
              <w:rPr>
                <w:rFonts w:ascii="Times New Roman" w:eastAsia="Times New Roman" w:hAnsi="Times New Roman" w:cs="Times New Roman"/>
                <w:bCs/>
                <w:sz w:val="24"/>
                <w:szCs w:val="24"/>
                <w:lang w:eastAsia="lv-LV"/>
              </w:rPr>
              <w:t xml:space="preserve">Regulas </w:t>
            </w:r>
            <w:hyperlink r:id="rId10" w:tgtFrame="_blank" w:history="1">
              <w:r w:rsidRPr="008F33E5">
                <w:rPr>
                  <w:rStyle w:val="Hyperlink"/>
                  <w:rFonts w:ascii="Times New Roman" w:hAnsi="Times New Roman" w:cs="Times New Roman"/>
                  <w:color w:val="auto"/>
                  <w:sz w:val="24"/>
                  <w:szCs w:val="24"/>
                </w:rPr>
                <w:t>2019/1148</w:t>
              </w:r>
            </w:hyperlink>
          </w:p>
          <w:p w14:paraId="640AFD1F" w14:textId="065C2E5D" w:rsidR="00FD0FEA" w:rsidRPr="008F33E5" w:rsidRDefault="00FD0FEA" w:rsidP="00FD0FEA">
            <w:pPr>
              <w:spacing w:after="0" w:line="240" w:lineRule="auto"/>
              <w:ind w:right="108"/>
              <w:rPr>
                <w:rFonts w:ascii="Times New Roman" w:eastAsia="Times New Roman" w:hAnsi="Times New Roman" w:cs="Times New Roman"/>
                <w:bCs/>
                <w:sz w:val="24"/>
                <w:szCs w:val="24"/>
                <w:lang w:eastAsia="lv-LV"/>
              </w:rPr>
            </w:pPr>
            <w:r w:rsidRPr="008F33E5">
              <w:rPr>
                <w:rFonts w:ascii="Times New Roman" w:eastAsia="Times New Roman" w:hAnsi="Times New Roman" w:cs="Times New Roman"/>
                <w:bCs/>
                <w:sz w:val="24"/>
                <w:szCs w:val="24"/>
                <w:lang w:eastAsia="lv-LV"/>
              </w:rPr>
              <w:t>3. panta 7. punkts</w:t>
            </w:r>
          </w:p>
        </w:tc>
        <w:tc>
          <w:tcPr>
            <w:tcW w:w="2600" w:type="dxa"/>
            <w:tcBorders>
              <w:top w:val="outset" w:sz="6" w:space="0" w:color="auto"/>
              <w:left w:val="outset" w:sz="6" w:space="0" w:color="auto"/>
              <w:bottom w:val="outset" w:sz="6" w:space="0" w:color="auto"/>
              <w:right w:val="outset" w:sz="6" w:space="0" w:color="auto"/>
            </w:tcBorders>
            <w:shd w:val="clear" w:color="auto" w:fill="auto"/>
          </w:tcPr>
          <w:p w14:paraId="149D6CFA" w14:textId="4CFA4043" w:rsidR="00FD0FEA" w:rsidRPr="008F33E5" w:rsidRDefault="00FD0FEA" w:rsidP="00A91764">
            <w:pPr>
              <w:spacing w:after="0" w:line="240" w:lineRule="auto"/>
              <w:ind w:right="108"/>
              <w:rPr>
                <w:rFonts w:ascii="Times New Roman" w:eastAsia="Times New Roman" w:hAnsi="Times New Roman" w:cs="Times New Roman"/>
                <w:spacing w:val="-3"/>
                <w:sz w:val="24"/>
                <w:szCs w:val="24"/>
              </w:rPr>
            </w:pPr>
            <w:r w:rsidRPr="008F33E5">
              <w:rPr>
                <w:rFonts w:ascii="Times New Roman" w:eastAsia="Times New Roman" w:hAnsi="Times New Roman" w:cs="Times New Roman"/>
                <w:spacing w:val="-3"/>
                <w:sz w:val="24"/>
                <w:szCs w:val="24"/>
              </w:rPr>
              <w:t>2. punkts</w:t>
            </w:r>
          </w:p>
        </w:tc>
        <w:tc>
          <w:tcPr>
            <w:tcW w:w="1984" w:type="dxa"/>
            <w:tcBorders>
              <w:top w:val="outset" w:sz="6" w:space="0" w:color="auto"/>
              <w:left w:val="outset" w:sz="6" w:space="0" w:color="auto"/>
              <w:bottom w:val="outset" w:sz="6" w:space="0" w:color="auto"/>
              <w:right w:val="outset" w:sz="6" w:space="0" w:color="auto"/>
            </w:tcBorders>
            <w:shd w:val="clear" w:color="auto" w:fill="auto"/>
          </w:tcPr>
          <w:p w14:paraId="766A622C" w14:textId="3EEEBB70" w:rsidR="00FD0FEA" w:rsidRPr="008F33E5" w:rsidRDefault="00FD0FEA" w:rsidP="00FD0FEA">
            <w:pPr>
              <w:spacing w:after="0" w:line="240" w:lineRule="auto"/>
              <w:ind w:right="108"/>
              <w:rPr>
                <w:rFonts w:ascii="Times New Roman" w:hAnsi="Times New Roman" w:cs="Times New Roman"/>
                <w:sz w:val="24"/>
                <w:szCs w:val="24"/>
              </w:rPr>
            </w:pPr>
            <w:r w:rsidRPr="008F33E5">
              <w:rPr>
                <w:rFonts w:ascii="Times New Roman" w:hAnsi="Times New Roman" w:cs="Times New Roman"/>
                <w:sz w:val="24"/>
                <w:szCs w:val="24"/>
              </w:rPr>
              <w:t>Regulas Nr.</w:t>
            </w:r>
            <w:r w:rsidRPr="008F33E5">
              <w:rPr>
                <w:rFonts w:ascii="Times New Roman" w:hAnsi="Times New Roman" w:cs="Times New Roman"/>
                <w:iCs/>
                <w:sz w:val="24"/>
                <w:szCs w:val="24"/>
              </w:rPr>
              <w:t xml:space="preserve"> 2019/1148 </w:t>
            </w:r>
            <w:r w:rsidRPr="008F33E5">
              <w:rPr>
                <w:rFonts w:ascii="Times New Roman" w:hAnsi="Times New Roman" w:cs="Times New Roman"/>
                <w:sz w:val="24"/>
                <w:szCs w:val="24"/>
              </w:rPr>
              <w:lastRenderedPageBreak/>
              <w:t>3. panta 7. punkta īstenošana tiks nodrošināta pilnībā</w:t>
            </w:r>
          </w:p>
        </w:tc>
        <w:tc>
          <w:tcPr>
            <w:tcW w:w="2410" w:type="dxa"/>
            <w:tcBorders>
              <w:top w:val="outset" w:sz="6" w:space="0" w:color="auto"/>
              <w:left w:val="outset" w:sz="6" w:space="0" w:color="auto"/>
              <w:bottom w:val="outset" w:sz="6" w:space="0" w:color="auto"/>
              <w:right w:val="outset" w:sz="6" w:space="0" w:color="auto"/>
            </w:tcBorders>
            <w:shd w:val="clear" w:color="auto" w:fill="auto"/>
          </w:tcPr>
          <w:p w14:paraId="6A452A64" w14:textId="097D10DC" w:rsidR="00FD0FEA" w:rsidRPr="008F33E5" w:rsidRDefault="00FD0FEA" w:rsidP="00A91764">
            <w:pPr>
              <w:spacing w:after="0" w:line="240" w:lineRule="auto"/>
              <w:ind w:right="108"/>
              <w:rPr>
                <w:rFonts w:ascii="Times New Roman" w:eastAsia="Times New Roman" w:hAnsi="Times New Roman" w:cs="Times New Roman"/>
                <w:spacing w:val="-3"/>
                <w:sz w:val="24"/>
                <w:szCs w:val="24"/>
              </w:rPr>
            </w:pPr>
            <w:r w:rsidRPr="008F33E5">
              <w:rPr>
                <w:rFonts w:ascii="Times New Roman" w:eastAsia="Times New Roman" w:hAnsi="Times New Roman" w:cs="Times New Roman"/>
                <w:spacing w:val="-3"/>
                <w:sz w:val="24"/>
                <w:szCs w:val="24"/>
              </w:rPr>
              <w:lastRenderedPageBreak/>
              <w:t xml:space="preserve">Projekts nesatur stingrākas prasības </w:t>
            </w:r>
            <w:r w:rsidRPr="008F33E5">
              <w:rPr>
                <w:rFonts w:ascii="Times New Roman" w:eastAsia="Times New Roman" w:hAnsi="Times New Roman" w:cs="Times New Roman"/>
                <w:spacing w:val="-3"/>
                <w:sz w:val="24"/>
                <w:szCs w:val="24"/>
              </w:rPr>
              <w:lastRenderedPageBreak/>
              <w:t>nekā attiecīgais ES tiesību akts.</w:t>
            </w:r>
          </w:p>
        </w:tc>
      </w:tr>
      <w:tr w:rsidR="008F33E5" w:rsidRPr="008F33E5" w14:paraId="3CE17249" w14:textId="77777777" w:rsidTr="00026A41">
        <w:trPr>
          <w:trHeight w:val="522"/>
        </w:trPr>
        <w:tc>
          <w:tcPr>
            <w:tcW w:w="2362" w:type="dxa"/>
            <w:tcBorders>
              <w:top w:val="outset" w:sz="6" w:space="0" w:color="auto"/>
              <w:left w:val="outset" w:sz="6" w:space="0" w:color="auto"/>
              <w:bottom w:val="outset" w:sz="6" w:space="0" w:color="auto"/>
              <w:right w:val="outset" w:sz="6" w:space="0" w:color="auto"/>
            </w:tcBorders>
            <w:shd w:val="clear" w:color="auto" w:fill="auto"/>
          </w:tcPr>
          <w:p w14:paraId="460916D5" w14:textId="77777777" w:rsidR="00FD0FEA" w:rsidRPr="008F33E5" w:rsidRDefault="00FD0FEA" w:rsidP="00FD0FEA">
            <w:pPr>
              <w:spacing w:after="0" w:line="240" w:lineRule="auto"/>
              <w:ind w:right="108"/>
              <w:rPr>
                <w:rFonts w:ascii="Times New Roman" w:eastAsia="Times New Roman" w:hAnsi="Times New Roman" w:cs="Times New Roman"/>
                <w:bCs/>
                <w:sz w:val="24"/>
                <w:szCs w:val="24"/>
                <w:lang w:eastAsia="lv-LV"/>
              </w:rPr>
            </w:pPr>
            <w:r w:rsidRPr="008F33E5">
              <w:rPr>
                <w:rFonts w:ascii="Times New Roman" w:eastAsia="Times New Roman" w:hAnsi="Times New Roman" w:cs="Times New Roman"/>
                <w:bCs/>
                <w:sz w:val="24"/>
                <w:szCs w:val="24"/>
                <w:lang w:eastAsia="lv-LV"/>
              </w:rPr>
              <w:lastRenderedPageBreak/>
              <w:t xml:space="preserve">Regulas </w:t>
            </w:r>
            <w:hyperlink r:id="rId11" w:tgtFrame="_blank" w:history="1">
              <w:r w:rsidRPr="008F33E5">
                <w:rPr>
                  <w:rStyle w:val="Hyperlink"/>
                  <w:rFonts w:ascii="Times New Roman" w:hAnsi="Times New Roman" w:cs="Times New Roman"/>
                  <w:color w:val="auto"/>
                  <w:sz w:val="24"/>
                  <w:szCs w:val="24"/>
                </w:rPr>
                <w:t>2019/1148</w:t>
              </w:r>
            </w:hyperlink>
          </w:p>
          <w:p w14:paraId="31B65CA4" w14:textId="0B873F00" w:rsidR="00FD0FEA" w:rsidRPr="008F33E5" w:rsidRDefault="00FD0FEA" w:rsidP="00FD0FEA">
            <w:pPr>
              <w:spacing w:after="0" w:line="240" w:lineRule="auto"/>
              <w:ind w:right="108"/>
              <w:rPr>
                <w:rFonts w:ascii="Times New Roman" w:eastAsia="Times New Roman" w:hAnsi="Times New Roman" w:cs="Times New Roman"/>
                <w:bCs/>
                <w:sz w:val="24"/>
                <w:szCs w:val="24"/>
                <w:lang w:eastAsia="lv-LV"/>
              </w:rPr>
            </w:pPr>
            <w:r w:rsidRPr="008F33E5">
              <w:rPr>
                <w:rFonts w:ascii="Times New Roman" w:eastAsia="Times New Roman" w:hAnsi="Times New Roman" w:cs="Times New Roman"/>
                <w:bCs/>
                <w:sz w:val="24"/>
                <w:szCs w:val="24"/>
                <w:lang w:eastAsia="lv-LV"/>
              </w:rPr>
              <w:t>3. panta 9. punkts</w:t>
            </w:r>
          </w:p>
        </w:tc>
        <w:tc>
          <w:tcPr>
            <w:tcW w:w="2600" w:type="dxa"/>
            <w:tcBorders>
              <w:top w:val="outset" w:sz="6" w:space="0" w:color="auto"/>
              <w:left w:val="outset" w:sz="6" w:space="0" w:color="auto"/>
              <w:bottom w:val="outset" w:sz="6" w:space="0" w:color="auto"/>
              <w:right w:val="outset" w:sz="6" w:space="0" w:color="auto"/>
            </w:tcBorders>
            <w:shd w:val="clear" w:color="auto" w:fill="auto"/>
          </w:tcPr>
          <w:p w14:paraId="3C0CD945" w14:textId="5A700764" w:rsidR="00FD0FEA" w:rsidRPr="008F33E5" w:rsidRDefault="00FD0FEA" w:rsidP="00FD0FEA">
            <w:pPr>
              <w:spacing w:after="0" w:line="240" w:lineRule="auto"/>
              <w:ind w:right="108"/>
              <w:rPr>
                <w:rFonts w:ascii="Times New Roman" w:eastAsia="Times New Roman" w:hAnsi="Times New Roman" w:cs="Times New Roman"/>
                <w:spacing w:val="-3"/>
                <w:sz w:val="24"/>
                <w:szCs w:val="24"/>
              </w:rPr>
            </w:pPr>
            <w:r w:rsidRPr="008F33E5">
              <w:rPr>
                <w:rFonts w:ascii="Times New Roman" w:eastAsia="Times New Roman" w:hAnsi="Times New Roman" w:cs="Times New Roman"/>
                <w:spacing w:val="-3"/>
                <w:sz w:val="24"/>
                <w:szCs w:val="24"/>
              </w:rPr>
              <w:t>2. punkts</w:t>
            </w:r>
          </w:p>
        </w:tc>
        <w:tc>
          <w:tcPr>
            <w:tcW w:w="1984" w:type="dxa"/>
            <w:tcBorders>
              <w:top w:val="outset" w:sz="6" w:space="0" w:color="auto"/>
              <w:left w:val="outset" w:sz="6" w:space="0" w:color="auto"/>
              <w:bottom w:val="outset" w:sz="6" w:space="0" w:color="auto"/>
              <w:right w:val="outset" w:sz="6" w:space="0" w:color="auto"/>
            </w:tcBorders>
            <w:shd w:val="clear" w:color="auto" w:fill="auto"/>
          </w:tcPr>
          <w:p w14:paraId="53F7EFCD" w14:textId="5D1453A2" w:rsidR="00FD0FEA" w:rsidRPr="008F33E5" w:rsidRDefault="00FD0FEA" w:rsidP="00FD0FEA">
            <w:pPr>
              <w:spacing w:after="0" w:line="240" w:lineRule="auto"/>
              <w:ind w:right="108"/>
              <w:rPr>
                <w:rFonts w:ascii="Times New Roman" w:hAnsi="Times New Roman" w:cs="Times New Roman"/>
                <w:sz w:val="24"/>
                <w:szCs w:val="24"/>
              </w:rPr>
            </w:pPr>
            <w:r w:rsidRPr="008F33E5">
              <w:rPr>
                <w:rFonts w:ascii="Times New Roman" w:hAnsi="Times New Roman" w:cs="Times New Roman"/>
                <w:sz w:val="24"/>
                <w:szCs w:val="24"/>
              </w:rPr>
              <w:t>Regulas Nr.</w:t>
            </w:r>
            <w:r w:rsidRPr="008F33E5">
              <w:rPr>
                <w:rFonts w:ascii="Times New Roman" w:hAnsi="Times New Roman" w:cs="Times New Roman"/>
                <w:iCs/>
                <w:sz w:val="24"/>
                <w:szCs w:val="24"/>
              </w:rPr>
              <w:t xml:space="preserve"> 2019/1148 </w:t>
            </w:r>
            <w:r w:rsidRPr="008F33E5">
              <w:rPr>
                <w:rFonts w:ascii="Times New Roman" w:hAnsi="Times New Roman" w:cs="Times New Roman"/>
                <w:sz w:val="24"/>
                <w:szCs w:val="24"/>
              </w:rPr>
              <w:t>3. panta 7. punkta īstenošana tiks nodrošināta pilnībā</w:t>
            </w:r>
          </w:p>
        </w:tc>
        <w:tc>
          <w:tcPr>
            <w:tcW w:w="2410" w:type="dxa"/>
            <w:tcBorders>
              <w:top w:val="outset" w:sz="6" w:space="0" w:color="auto"/>
              <w:left w:val="outset" w:sz="6" w:space="0" w:color="auto"/>
              <w:bottom w:val="outset" w:sz="6" w:space="0" w:color="auto"/>
              <w:right w:val="outset" w:sz="6" w:space="0" w:color="auto"/>
            </w:tcBorders>
            <w:shd w:val="clear" w:color="auto" w:fill="auto"/>
          </w:tcPr>
          <w:p w14:paraId="69B76D1A" w14:textId="1DFC7BC6" w:rsidR="00FD0FEA" w:rsidRPr="008F33E5" w:rsidRDefault="00FD0FEA" w:rsidP="00FD0FEA">
            <w:pPr>
              <w:spacing w:after="0" w:line="240" w:lineRule="auto"/>
              <w:ind w:right="108"/>
              <w:rPr>
                <w:rFonts w:ascii="Times New Roman" w:eastAsia="Times New Roman" w:hAnsi="Times New Roman" w:cs="Times New Roman"/>
                <w:spacing w:val="-3"/>
                <w:sz w:val="24"/>
                <w:szCs w:val="24"/>
              </w:rPr>
            </w:pPr>
            <w:r w:rsidRPr="008F33E5">
              <w:rPr>
                <w:rFonts w:ascii="Times New Roman" w:eastAsia="Times New Roman" w:hAnsi="Times New Roman" w:cs="Times New Roman"/>
                <w:spacing w:val="-3"/>
                <w:sz w:val="24"/>
                <w:szCs w:val="24"/>
              </w:rPr>
              <w:t>Projekts nesatur stingrākas prasības nekā attiecīgais ES tiesību akts.</w:t>
            </w:r>
          </w:p>
        </w:tc>
      </w:tr>
      <w:tr w:rsidR="008F33E5" w:rsidRPr="008F33E5" w14:paraId="662DC4A3" w14:textId="77777777" w:rsidTr="00026A41">
        <w:trPr>
          <w:trHeight w:val="522"/>
        </w:trPr>
        <w:tc>
          <w:tcPr>
            <w:tcW w:w="2362" w:type="dxa"/>
            <w:tcBorders>
              <w:top w:val="outset" w:sz="6" w:space="0" w:color="auto"/>
              <w:left w:val="outset" w:sz="6" w:space="0" w:color="auto"/>
              <w:bottom w:val="outset" w:sz="6" w:space="0" w:color="auto"/>
              <w:right w:val="outset" w:sz="6" w:space="0" w:color="auto"/>
            </w:tcBorders>
            <w:shd w:val="clear" w:color="auto" w:fill="auto"/>
          </w:tcPr>
          <w:p w14:paraId="3A17029D" w14:textId="77777777" w:rsidR="00FD0FEA" w:rsidRPr="008F33E5" w:rsidRDefault="00FD0FEA" w:rsidP="00FD0FEA">
            <w:pPr>
              <w:spacing w:after="0" w:line="240" w:lineRule="auto"/>
              <w:ind w:right="108"/>
              <w:rPr>
                <w:rFonts w:ascii="Times New Roman" w:eastAsia="Times New Roman" w:hAnsi="Times New Roman" w:cs="Times New Roman"/>
                <w:bCs/>
                <w:sz w:val="24"/>
                <w:szCs w:val="24"/>
                <w:lang w:eastAsia="lv-LV"/>
              </w:rPr>
            </w:pPr>
            <w:r w:rsidRPr="008F33E5">
              <w:rPr>
                <w:rFonts w:ascii="Times New Roman" w:eastAsia="Times New Roman" w:hAnsi="Times New Roman" w:cs="Times New Roman"/>
                <w:bCs/>
                <w:sz w:val="24"/>
                <w:szCs w:val="24"/>
                <w:lang w:eastAsia="lv-LV"/>
              </w:rPr>
              <w:t xml:space="preserve">Regulas </w:t>
            </w:r>
            <w:hyperlink r:id="rId12" w:tgtFrame="_blank" w:history="1">
              <w:r w:rsidRPr="008F33E5">
                <w:rPr>
                  <w:rStyle w:val="Hyperlink"/>
                  <w:rFonts w:ascii="Times New Roman" w:hAnsi="Times New Roman" w:cs="Times New Roman"/>
                  <w:color w:val="auto"/>
                  <w:sz w:val="24"/>
                  <w:szCs w:val="24"/>
                </w:rPr>
                <w:t>2019/1148</w:t>
              </w:r>
            </w:hyperlink>
          </w:p>
          <w:p w14:paraId="45FA8741" w14:textId="373E4C4C" w:rsidR="00FD0FEA" w:rsidRPr="008F33E5" w:rsidRDefault="00FD0FEA" w:rsidP="00FD0FEA">
            <w:pPr>
              <w:spacing w:after="0" w:line="240" w:lineRule="auto"/>
              <w:ind w:right="108"/>
              <w:rPr>
                <w:rFonts w:ascii="Times New Roman" w:eastAsia="Times New Roman" w:hAnsi="Times New Roman" w:cs="Times New Roman"/>
                <w:bCs/>
                <w:sz w:val="24"/>
                <w:szCs w:val="24"/>
                <w:lang w:eastAsia="lv-LV"/>
              </w:rPr>
            </w:pPr>
            <w:r w:rsidRPr="008F33E5">
              <w:rPr>
                <w:rFonts w:ascii="Times New Roman" w:eastAsia="Times New Roman" w:hAnsi="Times New Roman" w:cs="Times New Roman"/>
                <w:bCs/>
                <w:sz w:val="24"/>
                <w:szCs w:val="24"/>
                <w:lang w:eastAsia="lv-LV"/>
              </w:rPr>
              <w:t>3. panta 10. punkts</w:t>
            </w:r>
          </w:p>
        </w:tc>
        <w:tc>
          <w:tcPr>
            <w:tcW w:w="2600" w:type="dxa"/>
            <w:tcBorders>
              <w:top w:val="outset" w:sz="6" w:space="0" w:color="auto"/>
              <w:left w:val="outset" w:sz="6" w:space="0" w:color="auto"/>
              <w:bottom w:val="outset" w:sz="6" w:space="0" w:color="auto"/>
              <w:right w:val="outset" w:sz="6" w:space="0" w:color="auto"/>
            </w:tcBorders>
            <w:shd w:val="clear" w:color="auto" w:fill="auto"/>
          </w:tcPr>
          <w:p w14:paraId="3723A72C" w14:textId="16D872C7" w:rsidR="00FD0FEA" w:rsidRPr="008F33E5" w:rsidRDefault="00FD0FEA" w:rsidP="00FD0FEA">
            <w:pPr>
              <w:spacing w:after="0" w:line="240" w:lineRule="auto"/>
              <w:ind w:right="108"/>
              <w:rPr>
                <w:rFonts w:ascii="Times New Roman" w:eastAsia="Times New Roman" w:hAnsi="Times New Roman" w:cs="Times New Roman"/>
                <w:spacing w:val="-3"/>
                <w:sz w:val="24"/>
                <w:szCs w:val="24"/>
              </w:rPr>
            </w:pPr>
            <w:r w:rsidRPr="008F33E5">
              <w:rPr>
                <w:rFonts w:ascii="Times New Roman" w:eastAsia="Times New Roman" w:hAnsi="Times New Roman" w:cs="Times New Roman"/>
                <w:spacing w:val="-3"/>
                <w:sz w:val="24"/>
                <w:szCs w:val="24"/>
              </w:rPr>
              <w:t>2. punkts</w:t>
            </w:r>
          </w:p>
        </w:tc>
        <w:tc>
          <w:tcPr>
            <w:tcW w:w="1984" w:type="dxa"/>
            <w:tcBorders>
              <w:top w:val="outset" w:sz="6" w:space="0" w:color="auto"/>
              <w:left w:val="outset" w:sz="6" w:space="0" w:color="auto"/>
              <w:bottom w:val="outset" w:sz="6" w:space="0" w:color="auto"/>
              <w:right w:val="outset" w:sz="6" w:space="0" w:color="auto"/>
            </w:tcBorders>
            <w:shd w:val="clear" w:color="auto" w:fill="auto"/>
          </w:tcPr>
          <w:p w14:paraId="6DD125AA" w14:textId="14752A2D" w:rsidR="00FD0FEA" w:rsidRPr="008F33E5" w:rsidRDefault="00FD0FEA" w:rsidP="00FD0FEA">
            <w:pPr>
              <w:spacing w:after="0" w:line="240" w:lineRule="auto"/>
              <w:ind w:right="108"/>
              <w:rPr>
                <w:rFonts w:ascii="Times New Roman" w:hAnsi="Times New Roman" w:cs="Times New Roman"/>
                <w:sz w:val="24"/>
                <w:szCs w:val="24"/>
              </w:rPr>
            </w:pPr>
            <w:r w:rsidRPr="008F33E5">
              <w:rPr>
                <w:rFonts w:ascii="Times New Roman" w:hAnsi="Times New Roman" w:cs="Times New Roman"/>
                <w:sz w:val="24"/>
                <w:szCs w:val="24"/>
              </w:rPr>
              <w:t>Regulas Nr.</w:t>
            </w:r>
            <w:r w:rsidRPr="008F33E5">
              <w:rPr>
                <w:rFonts w:ascii="Times New Roman" w:hAnsi="Times New Roman" w:cs="Times New Roman"/>
                <w:iCs/>
                <w:sz w:val="24"/>
                <w:szCs w:val="24"/>
              </w:rPr>
              <w:t xml:space="preserve"> 2019/1148 </w:t>
            </w:r>
            <w:r w:rsidRPr="008F33E5">
              <w:rPr>
                <w:rFonts w:ascii="Times New Roman" w:hAnsi="Times New Roman" w:cs="Times New Roman"/>
                <w:sz w:val="24"/>
                <w:szCs w:val="24"/>
              </w:rPr>
              <w:t>3. panta 7. punkta īstenošana tiks nodrošināta pilnībā</w:t>
            </w:r>
          </w:p>
        </w:tc>
        <w:tc>
          <w:tcPr>
            <w:tcW w:w="2410" w:type="dxa"/>
            <w:tcBorders>
              <w:top w:val="outset" w:sz="6" w:space="0" w:color="auto"/>
              <w:left w:val="outset" w:sz="6" w:space="0" w:color="auto"/>
              <w:bottom w:val="outset" w:sz="6" w:space="0" w:color="auto"/>
              <w:right w:val="outset" w:sz="6" w:space="0" w:color="auto"/>
            </w:tcBorders>
            <w:shd w:val="clear" w:color="auto" w:fill="auto"/>
          </w:tcPr>
          <w:p w14:paraId="0B9ECD11" w14:textId="7A252914" w:rsidR="00FD0FEA" w:rsidRPr="008F33E5" w:rsidRDefault="00FD0FEA" w:rsidP="00FD0FEA">
            <w:pPr>
              <w:spacing w:after="0" w:line="240" w:lineRule="auto"/>
              <w:ind w:right="108"/>
              <w:rPr>
                <w:rFonts w:ascii="Times New Roman" w:eastAsia="Times New Roman" w:hAnsi="Times New Roman" w:cs="Times New Roman"/>
                <w:spacing w:val="-3"/>
                <w:sz w:val="24"/>
                <w:szCs w:val="24"/>
              </w:rPr>
            </w:pPr>
            <w:r w:rsidRPr="008F33E5">
              <w:rPr>
                <w:rFonts w:ascii="Times New Roman" w:eastAsia="Times New Roman" w:hAnsi="Times New Roman" w:cs="Times New Roman"/>
                <w:spacing w:val="-3"/>
                <w:sz w:val="24"/>
                <w:szCs w:val="24"/>
              </w:rPr>
              <w:t>Projekts nesatur stingrākas prasības nekā attiecīgais ES tiesību akts.</w:t>
            </w:r>
          </w:p>
        </w:tc>
      </w:tr>
      <w:tr w:rsidR="008F33E5" w:rsidRPr="008F33E5" w14:paraId="007A9493" w14:textId="77777777" w:rsidTr="00026A41">
        <w:trPr>
          <w:trHeight w:val="522"/>
        </w:trPr>
        <w:tc>
          <w:tcPr>
            <w:tcW w:w="2362" w:type="dxa"/>
            <w:tcBorders>
              <w:top w:val="outset" w:sz="6" w:space="0" w:color="auto"/>
              <w:left w:val="outset" w:sz="6" w:space="0" w:color="auto"/>
              <w:bottom w:val="outset" w:sz="6" w:space="0" w:color="auto"/>
              <w:right w:val="outset" w:sz="6" w:space="0" w:color="auto"/>
            </w:tcBorders>
            <w:shd w:val="clear" w:color="auto" w:fill="auto"/>
          </w:tcPr>
          <w:p w14:paraId="73C579D4" w14:textId="77777777" w:rsidR="00FD0FEA" w:rsidRPr="008F33E5" w:rsidRDefault="00FD0FEA" w:rsidP="00FD0FEA">
            <w:pPr>
              <w:spacing w:after="0" w:line="240" w:lineRule="auto"/>
              <w:ind w:right="108"/>
              <w:rPr>
                <w:rFonts w:ascii="Times New Roman" w:eastAsia="Times New Roman" w:hAnsi="Times New Roman" w:cs="Times New Roman"/>
                <w:bCs/>
                <w:sz w:val="24"/>
                <w:szCs w:val="24"/>
                <w:lang w:eastAsia="lv-LV"/>
              </w:rPr>
            </w:pPr>
            <w:r w:rsidRPr="008F33E5">
              <w:rPr>
                <w:rFonts w:ascii="Times New Roman" w:eastAsia="Times New Roman" w:hAnsi="Times New Roman" w:cs="Times New Roman"/>
                <w:bCs/>
                <w:sz w:val="24"/>
                <w:szCs w:val="24"/>
                <w:lang w:eastAsia="lv-LV"/>
              </w:rPr>
              <w:t xml:space="preserve">Regulas </w:t>
            </w:r>
            <w:hyperlink r:id="rId13" w:tgtFrame="_blank" w:history="1">
              <w:r w:rsidRPr="008F33E5">
                <w:rPr>
                  <w:rStyle w:val="Hyperlink"/>
                  <w:rFonts w:ascii="Times New Roman" w:hAnsi="Times New Roman" w:cs="Times New Roman"/>
                  <w:color w:val="auto"/>
                  <w:sz w:val="24"/>
                  <w:szCs w:val="24"/>
                </w:rPr>
                <w:t>2019/1148</w:t>
              </w:r>
            </w:hyperlink>
          </w:p>
          <w:p w14:paraId="0B6F1026" w14:textId="1D284C27" w:rsidR="00FD0FEA" w:rsidRPr="008F33E5" w:rsidRDefault="00FD0FEA" w:rsidP="00FD0FEA">
            <w:pPr>
              <w:spacing w:after="0" w:line="240" w:lineRule="auto"/>
              <w:ind w:right="108"/>
              <w:rPr>
                <w:rFonts w:ascii="Times New Roman" w:eastAsia="Times New Roman" w:hAnsi="Times New Roman" w:cs="Times New Roman"/>
                <w:bCs/>
                <w:sz w:val="24"/>
                <w:szCs w:val="24"/>
                <w:lang w:eastAsia="lv-LV"/>
              </w:rPr>
            </w:pPr>
            <w:r w:rsidRPr="008F33E5">
              <w:rPr>
                <w:rFonts w:ascii="Times New Roman" w:eastAsia="Times New Roman" w:hAnsi="Times New Roman" w:cs="Times New Roman"/>
                <w:bCs/>
                <w:sz w:val="24"/>
                <w:szCs w:val="24"/>
                <w:lang w:eastAsia="lv-LV"/>
              </w:rPr>
              <w:t>3. panta 11. punkts</w:t>
            </w:r>
          </w:p>
        </w:tc>
        <w:tc>
          <w:tcPr>
            <w:tcW w:w="2600" w:type="dxa"/>
            <w:tcBorders>
              <w:top w:val="outset" w:sz="6" w:space="0" w:color="auto"/>
              <w:left w:val="outset" w:sz="6" w:space="0" w:color="auto"/>
              <w:bottom w:val="outset" w:sz="6" w:space="0" w:color="auto"/>
              <w:right w:val="outset" w:sz="6" w:space="0" w:color="auto"/>
            </w:tcBorders>
            <w:shd w:val="clear" w:color="auto" w:fill="auto"/>
          </w:tcPr>
          <w:p w14:paraId="3ECB2ED6" w14:textId="08B801E8" w:rsidR="00FD0FEA" w:rsidRPr="008F33E5" w:rsidRDefault="00FD0FEA" w:rsidP="00FD0FEA">
            <w:pPr>
              <w:spacing w:after="0" w:line="240" w:lineRule="auto"/>
              <w:ind w:right="108"/>
              <w:rPr>
                <w:rFonts w:ascii="Times New Roman" w:eastAsia="Times New Roman" w:hAnsi="Times New Roman" w:cs="Times New Roman"/>
                <w:spacing w:val="-3"/>
                <w:sz w:val="24"/>
                <w:szCs w:val="24"/>
              </w:rPr>
            </w:pPr>
            <w:r w:rsidRPr="008F33E5">
              <w:rPr>
                <w:rFonts w:ascii="Times New Roman" w:eastAsia="Times New Roman" w:hAnsi="Times New Roman" w:cs="Times New Roman"/>
                <w:spacing w:val="-3"/>
                <w:sz w:val="24"/>
                <w:szCs w:val="24"/>
              </w:rPr>
              <w:t>2. punkts</w:t>
            </w:r>
          </w:p>
        </w:tc>
        <w:tc>
          <w:tcPr>
            <w:tcW w:w="1984" w:type="dxa"/>
            <w:tcBorders>
              <w:top w:val="outset" w:sz="6" w:space="0" w:color="auto"/>
              <w:left w:val="outset" w:sz="6" w:space="0" w:color="auto"/>
              <w:bottom w:val="outset" w:sz="6" w:space="0" w:color="auto"/>
              <w:right w:val="outset" w:sz="6" w:space="0" w:color="auto"/>
            </w:tcBorders>
            <w:shd w:val="clear" w:color="auto" w:fill="auto"/>
          </w:tcPr>
          <w:p w14:paraId="13D0A7F4" w14:textId="07082F8A" w:rsidR="00FD0FEA" w:rsidRPr="008F33E5" w:rsidRDefault="00FD0FEA" w:rsidP="00FD0FEA">
            <w:pPr>
              <w:spacing w:after="0" w:line="240" w:lineRule="auto"/>
              <w:ind w:right="108"/>
              <w:rPr>
                <w:rFonts w:ascii="Times New Roman" w:hAnsi="Times New Roman" w:cs="Times New Roman"/>
                <w:sz w:val="24"/>
                <w:szCs w:val="24"/>
              </w:rPr>
            </w:pPr>
            <w:r w:rsidRPr="008F33E5">
              <w:rPr>
                <w:rFonts w:ascii="Times New Roman" w:hAnsi="Times New Roman" w:cs="Times New Roman"/>
                <w:sz w:val="24"/>
                <w:szCs w:val="24"/>
              </w:rPr>
              <w:t>Regulas Nr.</w:t>
            </w:r>
            <w:r w:rsidRPr="008F33E5">
              <w:rPr>
                <w:rFonts w:ascii="Times New Roman" w:hAnsi="Times New Roman" w:cs="Times New Roman"/>
                <w:iCs/>
                <w:sz w:val="24"/>
                <w:szCs w:val="24"/>
              </w:rPr>
              <w:t xml:space="preserve"> 2019/1148 </w:t>
            </w:r>
            <w:r w:rsidRPr="008F33E5">
              <w:rPr>
                <w:rFonts w:ascii="Times New Roman" w:hAnsi="Times New Roman" w:cs="Times New Roman"/>
                <w:sz w:val="24"/>
                <w:szCs w:val="24"/>
              </w:rPr>
              <w:t>3. panta 7. punkta īstenošana tiks nodrošināta pilnībā</w:t>
            </w:r>
          </w:p>
        </w:tc>
        <w:tc>
          <w:tcPr>
            <w:tcW w:w="2410" w:type="dxa"/>
            <w:tcBorders>
              <w:top w:val="outset" w:sz="6" w:space="0" w:color="auto"/>
              <w:left w:val="outset" w:sz="6" w:space="0" w:color="auto"/>
              <w:bottom w:val="outset" w:sz="6" w:space="0" w:color="auto"/>
              <w:right w:val="outset" w:sz="6" w:space="0" w:color="auto"/>
            </w:tcBorders>
            <w:shd w:val="clear" w:color="auto" w:fill="auto"/>
          </w:tcPr>
          <w:p w14:paraId="46C7F7CF" w14:textId="7EA5CF69" w:rsidR="00FD0FEA" w:rsidRPr="008F33E5" w:rsidRDefault="00FD0FEA" w:rsidP="00FD0FEA">
            <w:pPr>
              <w:spacing w:after="0" w:line="240" w:lineRule="auto"/>
              <w:ind w:right="108"/>
              <w:rPr>
                <w:rFonts w:ascii="Times New Roman" w:eastAsia="Times New Roman" w:hAnsi="Times New Roman" w:cs="Times New Roman"/>
                <w:spacing w:val="-3"/>
                <w:sz w:val="24"/>
                <w:szCs w:val="24"/>
              </w:rPr>
            </w:pPr>
            <w:r w:rsidRPr="008F33E5">
              <w:rPr>
                <w:rFonts w:ascii="Times New Roman" w:eastAsia="Times New Roman" w:hAnsi="Times New Roman" w:cs="Times New Roman"/>
                <w:spacing w:val="-3"/>
                <w:sz w:val="24"/>
                <w:szCs w:val="24"/>
              </w:rPr>
              <w:t>Projekts nesatur stingrākas prasības nekā attiecīgais ES tiesību akts.</w:t>
            </w:r>
          </w:p>
        </w:tc>
      </w:tr>
      <w:tr w:rsidR="008F33E5" w:rsidRPr="008F33E5" w14:paraId="216E3337" w14:textId="77777777" w:rsidTr="00A91764">
        <w:trPr>
          <w:trHeight w:val="522"/>
        </w:trPr>
        <w:tc>
          <w:tcPr>
            <w:tcW w:w="2362" w:type="dxa"/>
            <w:tcBorders>
              <w:top w:val="outset" w:sz="6" w:space="0" w:color="auto"/>
              <w:left w:val="outset" w:sz="6" w:space="0" w:color="auto"/>
              <w:bottom w:val="outset" w:sz="6" w:space="0" w:color="auto"/>
              <w:right w:val="outset" w:sz="6" w:space="0" w:color="auto"/>
            </w:tcBorders>
          </w:tcPr>
          <w:p w14:paraId="2DB14C81" w14:textId="25126E51" w:rsidR="00FD0FEA" w:rsidRPr="008F33E5" w:rsidRDefault="00FD0FEA" w:rsidP="00FD0FEA">
            <w:pPr>
              <w:spacing w:after="0" w:line="240" w:lineRule="auto"/>
              <w:ind w:right="108"/>
              <w:rPr>
                <w:rFonts w:ascii="Times New Roman" w:eastAsia="Times New Roman" w:hAnsi="Times New Roman" w:cs="Times New Roman"/>
                <w:bCs/>
                <w:sz w:val="24"/>
                <w:szCs w:val="24"/>
                <w:lang w:eastAsia="lv-LV"/>
              </w:rPr>
            </w:pPr>
            <w:r w:rsidRPr="008F33E5">
              <w:rPr>
                <w:rFonts w:ascii="Times New Roman" w:eastAsia="Times New Roman" w:hAnsi="Times New Roman" w:cs="Times New Roman"/>
                <w:bCs/>
                <w:sz w:val="24"/>
                <w:szCs w:val="24"/>
                <w:lang w:eastAsia="lv-LV"/>
              </w:rPr>
              <w:t xml:space="preserve">Regulas </w:t>
            </w:r>
            <w:hyperlink r:id="rId14" w:tgtFrame="_blank" w:history="1">
              <w:r w:rsidRPr="008F33E5">
                <w:rPr>
                  <w:rStyle w:val="Hyperlink"/>
                  <w:rFonts w:ascii="Times New Roman" w:hAnsi="Times New Roman" w:cs="Times New Roman"/>
                  <w:color w:val="auto"/>
                  <w:sz w:val="24"/>
                  <w:szCs w:val="24"/>
                </w:rPr>
                <w:t>2019/1148</w:t>
              </w:r>
            </w:hyperlink>
          </w:p>
          <w:p w14:paraId="7909700B" w14:textId="30E18E76" w:rsidR="00FD0FEA" w:rsidRPr="008F33E5" w:rsidRDefault="00FD0FEA" w:rsidP="00FD0FEA">
            <w:pPr>
              <w:spacing w:after="0" w:line="240" w:lineRule="auto"/>
              <w:ind w:right="108"/>
              <w:rPr>
                <w:rFonts w:ascii="Times New Roman" w:eastAsia="Times New Roman" w:hAnsi="Times New Roman" w:cs="Times New Roman"/>
                <w:bCs/>
                <w:sz w:val="24"/>
                <w:szCs w:val="24"/>
                <w:lang w:eastAsia="lv-LV"/>
              </w:rPr>
            </w:pPr>
            <w:r w:rsidRPr="008F33E5">
              <w:rPr>
                <w:rFonts w:ascii="Times New Roman" w:eastAsia="Times New Roman" w:hAnsi="Times New Roman" w:cs="Times New Roman"/>
                <w:bCs/>
                <w:sz w:val="24"/>
                <w:szCs w:val="24"/>
                <w:lang w:eastAsia="lv-LV"/>
              </w:rPr>
              <w:t>9. panta 3. punkts</w:t>
            </w:r>
          </w:p>
        </w:tc>
        <w:tc>
          <w:tcPr>
            <w:tcW w:w="2600" w:type="dxa"/>
            <w:tcBorders>
              <w:top w:val="outset" w:sz="6" w:space="0" w:color="auto"/>
              <w:left w:val="outset" w:sz="6" w:space="0" w:color="auto"/>
              <w:bottom w:val="outset" w:sz="6" w:space="0" w:color="auto"/>
              <w:right w:val="outset" w:sz="6" w:space="0" w:color="auto"/>
            </w:tcBorders>
          </w:tcPr>
          <w:p w14:paraId="7A1C4CE7" w14:textId="51C06C94" w:rsidR="00FD0FEA" w:rsidRPr="008F33E5" w:rsidRDefault="00FD0FEA" w:rsidP="00FD0FEA">
            <w:pPr>
              <w:spacing w:after="0" w:line="240" w:lineRule="auto"/>
              <w:ind w:right="108"/>
              <w:rPr>
                <w:rFonts w:ascii="Times New Roman" w:eastAsia="Times New Roman" w:hAnsi="Times New Roman" w:cs="Times New Roman"/>
                <w:spacing w:val="-3"/>
                <w:sz w:val="24"/>
                <w:szCs w:val="24"/>
              </w:rPr>
            </w:pPr>
            <w:r w:rsidRPr="008F33E5">
              <w:rPr>
                <w:rFonts w:ascii="Times New Roman" w:eastAsia="Times New Roman" w:hAnsi="Times New Roman" w:cs="Times New Roman"/>
                <w:spacing w:val="-3"/>
                <w:sz w:val="24"/>
                <w:szCs w:val="24"/>
              </w:rPr>
              <w:t xml:space="preserve">3. punkts </w:t>
            </w:r>
          </w:p>
        </w:tc>
        <w:tc>
          <w:tcPr>
            <w:tcW w:w="1984" w:type="dxa"/>
            <w:tcBorders>
              <w:top w:val="outset" w:sz="6" w:space="0" w:color="auto"/>
              <w:left w:val="outset" w:sz="6" w:space="0" w:color="auto"/>
              <w:bottom w:val="outset" w:sz="6" w:space="0" w:color="auto"/>
              <w:right w:val="outset" w:sz="6" w:space="0" w:color="auto"/>
            </w:tcBorders>
          </w:tcPr>
          <w:p w14:paraId="2ABF4450" w14:textId="3ECDA3DC" w:rsidR="00FD0FEA" w:rsidRPr="008F33E5" w:rsidRDefault="00FD0FEA" w:rsidP="00FD0FEA">
            <w:pPr>
              <w:spacing w:after="0" w:line="240" w:lineRule="auto"/>
              <w:ind w:right="108"/>
              <w:rPr>
                <w:rFonts w:ascii="Times New Roman" w:eastAsia="Times New Roman" w:hAnsi="Times New Roman" w:cs="Times New Roman"/>
                <w:spacing w:val="-2"/>
                <w:sz w:val="24"/>
                <w:szCs w:val="24"/>
              </w:rPr>
            </w:pPr>
            <w:r w:rsidRPr="008F33E5">
              <w:rPr>
                <w:rFonts w:ascii="Times New Roman" w:hAnsi="Times New Roman" w:cs="Times New Roman"/>
                <w:sz w:val="24"/>
                <w:szCs w:val="24"/>
              </w:rPr>
              <w:t>Regulas Nr.</w:t>
            </w:r>
            <w:r w:rsidRPr="008F33E5">
              <w:rPr>
                <w:rFonts w:ascii="Times New Roman" w:hAnsi="Times New Roman" w:cs="Times New Roman"/>
                <w:iCs/>
                <w:sz w:val="24"/>
                <w:szCs w:val="24"/>
              </w:rPr>
              <w:t xml:space="preserve"> 2019/1148 </w:t>
            </w:r>
            <w:r w:rsidRPr="008F33E5">
              <w:rPr>
                <w:rFonts w:ascii="Times New Roman" w:hAnsi="Times New Roman" w:cs="Times New Roman"/>
                <w:sz w:val="24"/>
                <w:szCs w:val="24"/>
              </w:rPr>
              <w:t>9. panta 3. punkta īstenošana tiks nodrošināta pilnībā</w:t>
            </w:r>
          </w:p>
        </w:tc>
        <w:tc>
          <w:tcPr>
            <w:tcW w:w="2410" w:type="dxa"/>
            <w:tcBorders>
              <w:top w:val="outset" w:sz="6" w:space="0" w:color="auto"/>
              <w:left w:val="outset" w:sz="6" w:space="0" w:color="auto"/>
              <w:bottom w:val="outset" w:sz="6" w:space="0" w:color="auto"/>
              <w:right w:val="outset" w:sz="6" w:space="0" w:color="auto"/>
            </w:tcBorders>
          </w:tcPr>
          <w:p w14:paraId="06AC776D" w14:textId="575FDE11" w:rsidR="00FD0FEA" w:rsidRPr="008F33E5" w:rsidRDefault="00FD0FEA" w:rsidP="00FD0FEA">
            <w:pPr>
              <w:spacing w:after="0" w:line="240" w:lineRule="auto"/>
              <w:ind w:right="108"/>
              <w:rPr>
                <w:rFonts w:ascii="Times New Roman" w:eastAsia="Times New Roman" w:hAnsi="Times New Roman" w:cs="Times New Roman"/>
                <w:spacing w:val="-3"/>
                <w:sz w:val="24"/>
                <w:szCs w:val="24"/>
              </w:rPr>
            </w:pPr>
            <w:r w:rsidRPr="008F33E5">
              <w:rPr>
                <w:rFonts w:ascii="Times New Roman" w:eastAsia="Times New Roman" w:hAnsi="Times New Roman" w:cs="Times New Roman"/>
                <w:spacing w:val="-3"/>
                <w:sz w:val="24"/>
                <w:szCs w:val="24"/>
              </w:rPr>
              <w:t>Projekts nesatur stingrākas prasības nekā attiecīgais ES tiesību akts.</w:t>
            </w:r>
          </w:p>
        </w:tc>
      </w:tr>
      <w:tr w:rsidR="008F33E5" w:rsidRPr="008F33E5" w14:paraId="39D7E393" w14:textId="77777777" w:rsidTr="00A91764">
        <w:trPr>
          <w:trHeight w:val="522"/>
        </w:trPr>
        <w:tc>
          <w:tcPr>
            <w:tcW w:w="2362" w:type="dxa"/>
            <w:tcBorders>
              <w:top w:val="outset" w:sz="6" w:space="0" w:color="auto"/>
              <w:left w:val="outset" w:sz="6" w:space="0" w:color="auto"/>
              <w:bottom w:val="outset" w:sz="6" w:space="0" w:color="auto"/>
              <w:right w:val="outset" w:sz="6" w:space="0" w:color="auto"/>
            </w:tcBorders>
          </w:tcPr>
          <w:p w14:paraId="570AA3F8" w14:textId="701F981E" w:rsidR="00FD0FEA" w:rsidRPr="008F33E5" w:rsidRDefault="00FD0FEA" w:rsidP="00FD0FEA">
            <w:pPr>
              <w:spacing w:after="0" w:line="240" w:lineRule="auto"/>
              <w:ind w:right="108"/>
              <w:rPr>
                <w:rFonts w:ascii="Times New Roman" w:eastAsia="Times New Roman" w:hAnsi="Times New Roman" w:cs="Times New Roman"/>
                <w:bCs/>
                <w:sz w:val="24"/>
                <w:szCs w:val="24"/>
                <w:lang w:eastAsia="lv-LV"/>
              </w:rPr>
            </w:pPr>
            <w:r w:rsidRPr="008F33E5">
              <w:rPr>
                <w:rFonts w:ascii="Times New Roman" w:eastAsia="Times New Roman" w:hAnsi="Times New Roman" w:cs="Times New Roman"/>
                <w:bCs/>
                <w:sz w:val="24"/>
                <w:szCs w:val="24"/>
                <w:lang w:eastAsia="lv-LV"/>
              </w:rPr>
              <w:t xml:space="preserve">Regulas </w:t>
            </w:r>
            <w:hyperlink r:id="rId15" w:tgtFrame="_blank" w:history="1">
              <w:r w:rsidRPr="008F33E5">
                <w:rPr>
                  <w:rStyle w:val="Hyperlink"/>
                  <w:rFonts w:ascii="Times New Roman" w:hAnsi="Times New Roman" w:cs="Times New Roman"/>
                  <w:color w:val="auto"/>
                  <w:sz w:val="24"/>
                  <w:szCs w:val="24"/>
                </w:rPr>
                <w:t>2019/1148</w:t>
              </w:r>
            </w:hyperlink>
          </w:p>
          <w:p w14:paraId="4E415887" w14:textId="1E35C88E" w:rsidR="00FD0FEA" w:rsidRPr="008F33E5" w:rsidRDefault="00FD0FEA" w:rsidP="00FD0FEA">
            <w:pPr>
              <w:spacing w:after="0" w:line="240" w:lineRule="auto"/>
              <w:ind w:right="108"/>
              <w:rPr>
                <w:rFonts w:ascii="Times New Roman" w:hAnsi="Times New Roman" w:cs="Times New Roman"/>
                <w:sz w:val="24"/>
                <w:szCs w:val="24"/>
                <w:shd w:val="clear" w:color="auto" w:fill="FFFFFF"/>
              </w:rPr>
            </w:pPr>
            <w:r w:rsidRPr="008F33E5">
              <w:rPr>
                <w:rFonts w:ascii="Times New Roman" w:hAnsi="Times New Roman" w:cs="Times New Roman"/>
                <w:sz w:val="24"/>
                <w:szCs w:val="24"/>
                <w:shd w:val="clear" w:color="auto" w:fill="FFFFFF"/>
              </w:rPr>
              <w:t>9.panta 4.punkts</w:t>
            </w:r>
          </w:p>
        </w:tc>
        <w:tc>
          <w:tcPr>
            <w:tcW w:w="2600" w:type="dxa"/>
            <w:tcBorders>
              <w:top w:val="outset" w:sz="6" w:space="0" w:color="auto"/>
              <w:left w:val="outset" w:sz="6" w:space="0" w:color="auto"/>
              <w:bottom w:val="outset" w:sz="6" w:space="0" w:color="auto"/>
              <w:right w:val="outset" w:sz="6" w:space="0" w:color="auto"/>
            </w:tcBorders>
          </w:tcPr>
          <w:p w14:paraId="3BEE216A" w14:textId="7213FA72" w:rsidR="00FD0FEA" w:rsidRPr="008F33E5" w:rsidRDefault="00FD0FEA" w:rsidP="00FD0FEA">
            <w:pPr>
              <w:spacing w:after="0" w:line="240" w:lineRule="auto"/>
              <w:ind w:right="108"/>
              <w:rPr>
                <w:rFonts w:ascii="Times New Roman" w:eastAsia="Times New Roman" w:hAnsi="Times New Roman" w:cs="Times New Roman"/>
                <w:spacing w:val="-3"/>
                <w:sz w:val="24"/>
                <w:szCs w:val="24"/>
              </w:rPr>
            </w:pPr>
            <w:r w:rsidRPr="008F33E5">
              <w:rPr>
                <w:rFonts w:ascii="Times New Roman" w:eastAsia="Times New Roman" w:hAnsi="Times New Roman" w:cs="Times New Roman"/>
                <w:spacing w:val="-3"/>
                <w:sz w:val="24"/>
                <w:szCs w:val="24"/>
              </w:rPr>
              <w:t xml:space="preserve"> 4.punkts</w:t>
            </w:r>
          </w:p>
        </w:tc>
        <w:tc>
          <w:tcPr>
            <w:tcW w:w="1984" w:type="dxa"/>
            <w:tcBorders>
              <w:top w:val="outset" w:sz="6" w:space="0" w:color="auto"/>
              <w:left w:val="outset" w:sz="6" w:space="0" w:color="auto"/>
              <w:bottom w:val="outset" w:sz="6" w:space="0" w:color="auto"/>
              <w:right w:val="outset" w:sz="6" w:space="0" w:color="auto"/>
            </w:tcBorders>
          </w:tcPr>
          <w:p w14:paraId="3984A857" w14:textId="0FDD7B3E" w:rsidR="00FD0FEA" w:rsidRPr="008F33E5" w:rsidRDefault="00FD0FEA" w:rsidP="00FD0FEA">
            <w:pPr>
              <w:spacing w:after="0" w:line="240" w:lineRule="auto"/>
              <w:ind w:right="108"/>
              <w:rPr>
                <w:rFonts w:ascii="Times New Roman" w:eastAsia="Times New Roman" w:hAnsi="Times New Roman" w:cs="Times New Roman"/>
                <w:spacing w:val="-2"/>
                <w:sz w:val="24"/>
                <w:szCs w:val="24"/>
              </w:rPr>
            </w:pPr>
            <w:r w:rsidRPr="008F33E5">
              <w:rPr>
                <w:rFonts w:ascii="Times New Roman" w:hAnsi="Times New Roman" w:cs="Times New Roman"/>
                <w:sz w:val="24"/>
                <w:szCs w:val="24"/>
              </w:rPr>
              <w:t>Regulas Nr.</w:t>
            </w:r>
            <w:r w:rsidRPr="008F33E5">
              <w:rPr>
                <w:rFonts w:ascii="Times New Roman" w:hAnsi="Times New Roman" w:cs="Times New Roman"/>
                <w:iCs/>
                <w:sz w:val="24"/>
                <w:szCs w:val="24"/>
              </w:rPr>
              <w:t xml:space="preserve"> 2019/1148 </w:t>
            </w:r>
            <w:r w:rsidRPr="008F33E5">
              <w:rPr>
                <w:rFonts w:ascii="Times New Roman" w:hAnsi="Times New Roman" w:cs="Times New Roman"/>
                <w:sz w:val="24"/>
                <w:szCs w:val="24"/>
              </w:rPr>
              <w:t>9. panta 4. punkta īstenošana tiks nodrošināta pilnībā</w:t>
            </w:r>
          </w:p>
        </w:tc>
        <w:tc>
          <w:tcPr>
            <w:tcW w:w="2410" w:type="dxa"/>
            <w:tcBorders>
              <w:top w:val="outset" w:sz="6" w:space="0" w:color="auto"/>
              <w:left w:val="outset" w:sz="6" w:space="0" w:color="auto"/>
              <w:bottom w:val="outset" w:sz="6" w:space="0" w:color="auto"/>
              <w:right w:val="outset" w:sz="6" w:space="0" w:color="auto"/>
            </w:tcBorders>
          </w:tcPr>
          <w:p w14:paraId="313ADA5D" w14:textId="0A9966A0" w:rsidR="00FD0FEA" w:rsidRPr="008F33E5" w:rsidRDefault="00FD0FEA" w:rsidP="00FD0FEA">
            <w:pPr>
              <w:spacing w:after="0" w:line="240" w:lineRule="auto"/>
              <w:ind w:right="108"/>
              <w:rPr>
                <w:rFonts w:ascii="Times New Roman" w:eastAsia="Times New Roman" w:hAnsi="Times New Roman" w:cs="Times New Roman"/>
                <w:spacing w:val="-2"/>
                <w:sz w:val="24"/>
                <w:szCs w:val="24"/>
              </w:rPr>
            </w:pPr>
            <w:r w:rsidRPr="008F33E5">
              <w:rPr>
                <w:rFonts w:ascii="Times New Roman" w:eastAsia="Times New Roman" w:hAnsi="Times New Roman" w:cs="Times New Roman"/>
                <w:spacing w:val="-3"/>
                <w:sz w:val="24"/>
                <w:szCs w:val="24"/>
              </w:rPr>
              <w:t xml:space="preserve">Projekts </w:t>
            </w:r>
            <w:r w:rsidRPr="008F33E5">
              <w:rPr>
                <w:rFonts w:ascii="Times New Roman" w:hAnsi="Times New Roman" w:cs="Times New Roman"/>
                <w:sz w:val="24"/>
                <w:szCs w:val="24"/>
                <w:shd w:val="clear" w:color="auto" w:fill="FFFFFF"/>
              </w:rPr>
              <w:t>nesatur stingrākas prasības nekā attiecīgais ES tiesību akts.</w:t>
            </w:r>
          </w:p>
        </w:tc>
      </w:tr>
      <w:tr w:rsidR="008F33E5" w:rsidRPr="008F33E5" w14:paraId="6D3330FE" w14:textId="77777777" w:rsidTr="00A91764">
        <w:trPr>
          <w:trHeight w:val="522"/>
        </w:trPr>
        <w:tc>
          <w:tcPr>
            <w:tcW w:w="2362" w:type="dxa"/>
            <w:tcBorders>
              <w:top w:val="outset" w:sz="6" w:space="0" w:color="auto"/>
              <w:left w:val="outset" w:sz="6" w:space="0" w:color="auto"/>
              <w:bottom w:val="outset" w:sz="6" w:space="0" w:color="auto"/>
              <w:right w:val="outset" w:sz="6" w:space="0" w:color="auto"/>
            </w:tcBorders>
          </w:tcPr>
          <w:p w14:paraId="2A424450" w14:textId="48E564E3" w:rsidR="00FD0FEA" w:rsidRPr="008F33E5" w:rsidRDefault="00FD0FEA" w:rsidP="00FD0FEA">
            <w:pPr>
              <w:spacing w:after="0" w:line="240" w:lineRule="auto"/>
              <w:ind w:right="108"/>
              <w:rPr>
                <w:rFonts w:ascii="Times New Roman" w:eastAsia="Times New Roman" w:hAnsi="Times New Roman" w:cs="Times New Roman"/>
                <w:bCs/>
                <w:sz w:val="24"/>
                <w:szCs w:val="24"/>
                <w:lang w:eastAsia="lv-LV"/>
              </w:rPr>
            </w:pPr>
            <w:r w:rsidRPr="008F33E5">
              <w:rPr>
                <w:rFonts w:ascii="Times New Roman" w:eastAsia="Times New Roman" w:hAnsi="Times New Roman" w:cs="Times New Roman"/>
                <w:bCs/>
                <w:sz w:val="24"/>
                <w:szCs w:val="24"/>
                <w:lang w:eastAsia="lv-LV"/>
              </w:rPr>
              <w:t xml:space="preserve">Regulas </w:t>
            </w:r>
            <w:hyperlink r:id="rId16" w:tgtFrame="_blank" w:history="1">
              <w:r w:rsidRPr="008F33E5">
                <w:rPr>
                  <w:rStyle w:val="Hyperlink"/>
                  <w:rFonts w:ascii="Times New Roman" w:hAnsi="Times New Roman" w:cs="Times New Roman"/>
                  <w:color w:val="auto"/>
                  <w:sz w:val="24"/>
                  <w:szCs w:val="24"/>
                </w:rPr>
                <w:t>2019/1148</w:t>
              </w:r>
            </w:hyperlink>
          </w:p>
          <w:p w14:paraId="4B437698" w14:textId="43FB63F0" w:rsidR="00FD0FEA" w:rsidRPr="008F33E5" w:rsidRDefault="00FD0FEA" w:rsidP="00FD0FEA">
            <w:pPr>
              <w:spacing w:after="0" w:line="240" w:lineRule="auto"/>
              <w:ind w:right="108"/>
              <w:rPr>
                <w:rFonts w:ascii="Times New Roman" w:eastAsia="Times New Roman" w:hAnsi="Times New Roman" w:cs="Times New Roman"/>
                <w:bCs/>
                <w:sz w:val="24"/>
                <w:szCs w:val="24"/>
                <w:lang w:eastAsia="lv-LV"/>
              </w:rPr>
            </w:pPr>
            <w:r w:rsidRPr="008F33E5">
              <w:rPr>
                <w:rFonts w:ascii="Times New Roman" w:eastAsia="Times New Roman" w:hAnsi="Times New Roman" w:cs="Times New Roman"/>
                <w:bCs/>
                <w:sz w:val="24"/>
                <w:szCs w:val="24"/>
                <w:lang w:eastAsia="lv-LV"/>
              </w:rPr>
              <w:t>9 panta 5. punkts</w:t>
            </w:r>
          </w:p>
          <w:p w14:paraId="762994A2" w14:textId="77777777" w:rsidR="00FD0FEA" w:rsidRPr="008F33E5" w:rsidRDefault="00FD0FEA" w:rsidP="00FD0FEA">
            <w:pPr>
              <w:spacing w:after="0" w:line="240" w:lineRule="auto"/>
              <w:ind w:right="108"/>
              <w:rPr>
                <w:rFonts w:ascii="Times New Roman" w:eastAsia="Times New Roman" w:hAnsi="Times New Roman" w:cs="Times New Roman"/>
                <w:bCs/>
                <w:sz w:val="24"/>
                <w:szCs w:val="24"/>
                <w:lang w:eastAsia="lv-LV"/>
              </w:rPr>
            </w:pPr>
          </w:p>
        </w:tc>
        <w:tc>
          <w:tcPr>
            <w:tcW w:w="2600" w:type="dxa"/>
            <w:tcBorders>
              <w:top w:val="outset" w:sz="6" w:space="0" w:color="auto"/>
              <w:left w:val="outset" w:sz="6" w:space="0" w:color="auto"/>
              <w:bottom w:val="outset" w:sz="6" w:space="0" w:color="auto"/>
              <w:right w:val="outset" w:sz="6" w:space="0" w:color="auto"/>
            </w:tcBorders>
          </w:tcPr>
          <w:p w14:paraId="34380EE0" w14:textId="037BEB38" w:rsidR="00FD0FEA" w:rsidRPr="008F33E5" w:rsidRDefault="00FD0FEA" w:rsidP="00FD0FEA">
            <w:pPr>
              <w:spacing w:after="0" w:line="240" w:lineRule="auto"/>
              <w:ind w:right="108"/>
              <w:rPr>
                <w:rFonts w:ascii="Times New Roman" w:eastAsia="Times New Roman" w:hAnsi="Times New Roman" w:cs="Times New Roman"/>
                <w:spacing w:val="-3"/>
                <w:sz w:val="24"/>
                <w:szCs w:val="24"/>
              </w:rPr>
            </w:pPr>
            <w:r w:rsidRPr="008F33E5">
              <w:rPr>
                <w:rFonts w:ascii="Times New Roman" w:eastAsia="Times New Roman" w:hAnsi="Times New Roman" w:cs="Times New Roman"/>
                <w:spacing w:val="-3"/>
                <w:sz w:val="24"/>
                <w:szCs w:val="24"/>
              </w:rPr>
              <w:t>4. punkts</w:t>
            </w:r>
          </w:p>
        </w:tc>
        <w:tc>
          <w:tcPr>
            <w:tcW w:w="1984" w:type="dxa"/>
            <w:tcBorders>
              <w:top w:val="outset" w:sz="6" w:space="0" w:color="auto"/>
              <w:left w:val="outset" w:sz="6" w:space="0" w:color="auto"/>
              <w:bottom w:val="outset" w:sz="6" w:space="0" w:color="auto"/>
              <w:right w:val="outset" w:sz="6" w:space="0" w:color="auto"/>
            </w:tcBorders>
          </w:tcPr>
          <w:p w14:paraId="659F834F" w14:textId="0A84487C" w:rsidR="00FD0FEA" w:rsidRPr="008F33E5" w:rsidRDefault="00FD0FEA" w:rsidP="00FD0FEA">
            <w:pPr>
              <w:spacing w:after="0" w:line="240" w:lineRule="auto"/>
              <w:ind w:right="108"/>
              <w:rPr>
                <w:rFonts w:ascii="Times New Roman" w:eastAsia="Times New Roman" w:hAnsi="Times New Roman" w:cs="Times New Roman"/>
                <w:spacing w:val="-2"/>
                <w:sz w:val="24"/>
                <w:szCs w:val="24"/>
              </w:rPr>
            </w:pPr>
            <w:r w:rsidRPr="008F33E5">
              <w:rPr>
                <w:rFonts w:ascii="Times New Roman" w:hAnsi="Times New Roman" w:cs="Times New Roman"/>
                <w:sz w:val="24"/>
                <w:szCs w:val="24"/>
              </w:rPr>
              <w:t>Regulas Nr.</w:t>
            </w:r>
            <w:r w:rsidRPr="008F33E5">
              <w:rPr>
                <w:rFonts w:ascii="Times New Roman" w:hAnsi="Times New Roman" w:cs="Times New Roman"/>
                <w:iCs/>
                <w:sz w:val="24"/>
                <w:szCs w:val="24"/>
              </w:rPr>
              <w:t xml:space="preserve"> 2019/1148 </w:t>
            </w:r>
            <w:r w:rsidRPr="008F33E5">
              <w:rPr>
                <w:rFonts w:ascii="Times New Roman" w:hAnsi="Times New Roman" w:cs="Times New Roman"/>
                <w:sz w:val="24"/>
                <w:szCs w:val="24"/>
              </w:rPr>
              <w:t>9. panta 5. punkta īstenošana tiks nodrošināta pilnībā</w:t>
            </w:r>
          </w:p>
        </w:tc>
        <w:tc>
          <w:tcPr>
            <w:tcW w:w="2410" w:type="dxa"/>
            <w:tcBorders>
              <w:top w:val="outset" w:sz="6" w:space="0" w:color="auto"/>
              <w:left w:val="outset" w:sz="6" w:space="0" w:color="auto"/>
              <w:bottom w:val="outset" w:sz="6" w:space="0" w:color="auto"/>
              <w:right w:val="outset" w:sz="6" w:space="0" w:color="auto"/>
            </w:tcBorders>
          </w:tcPr>
          <w:p w14:paraId="337D6908" w14:textId="0F9A66B7" w:rsidR="00FD0FEA" w:rsidRPr="008F33E5" w:rsidRDefault="00FD0FEA" w:rsidP="00FD0FEA">
            <w:pPr>
              <w:spacing w:after="0" w:line="240" w:lineRule="auto"/>
              <w:ind w:right="108"/>
              <w:rPr>
                <w:rFonts w:ascii="Times New Roman" w:eastAsia="Times New Roman" w:hAnsi="Times New Roman" w:cs="Times New Roman"/>
                <w:spacing w:val="-2"/>
                <w:sz w:val="24"/>
                <w:szCs w:val="24"/>
              </w:rPr>
            </w:pPr>
            <w:r w:rsidRPr="008F33E5">
              <w:rPr>
                <w:rFonts w:ascii="Times New Roman" w:eastAsia="Times New Roman" w:hAnsi="Times New Roman" w:cs="Times New Roman"/>
                <w:spacing w:val="-3"/>
                <w:sz w:val="24"/>
                <w:szCs w:val="24"/>
              </w:rPr>
              <w:t xml:space="preserve">Projekts </w:t>
            </w:r>
            <w:r w:rsidRPr="008F33E5">
              <w:rPr>
                <w:rFonts w:ascii="Times New Roman" w:hAnsi="Times New Roman" w:cs="Times New Roman"/>
                <w:sz w:val="24"/>
                <w:szCs w:val="24"/>
                <w:shd w:val="clear" w:color="auto" w:fill="FFFFFF"/>
              </w:rPr>
              <w:t>nesatur stingrākas prasības nekā attiecīgais ES tiesību akts.</w:t>
            </w:r>
          </w:p>
        </w:tc>
      </w:tr>
      <w:tr w:rsidR="008F33E5" w:rsidRPr="008F33E5" w14:paraId="3E2B969E" w14:textId="77777777" w:rsidTr="00A91764">
        <w:trPr>
          <w:trHeight w:val="281"/>
        </w:trPr>
        <w:tc>
          <w:tcPr>
            <w:tcW w:w="2362" w:type="dxa"/>
            <w:tcBorders>
              <w:top w:val="outset" w:sz="6" w:space="0" w:color="auto"/>
              <w:left w:val="outset" w:sz="6" w:space="0" w:color="auto"/>
              <w:bottom w:val="outset" w:sz="6" w:space="0" w:color="auto"/>
              <w:right w:val="outset" w:sz="6" w:space="0" w:color="auto"/>
            </w:tcBorders>
            <w:hideMark/>
          </w:tcPr>
          <w:p w14:paraId="6558560B" w14:textId="77777777" w:rsidR="00FD0FEA" w:rsidRPr="008F33E5" w:rsidRDefault="00FD0FEA" w:rsidP="00FD0FEA">
            <w:pPr>
              <w:spacing w:after="0" w:line="240" w:lineRule="auto"/>
              <w:ind w:right="108"/>
              <w:rPr>
                <w:rFonts w:ascii="Times New Roman" w:eastAsia="Times New Roman" w:hAnsi="Times New Roman" w:cs="Times New Roman"/>
                <w:spacing w:val="-3"/>
                <w:sz w:val="24"/>
                <w:szCs w:val="24"/>
              </w:rPr>
            </w:pPr>
            <w:r w:rsidRPr="008F33E5">
              <w:rPr>
                <w:rFonts w:ascii="Times New Roman" w:eastAsia="Times New Roman" w:hAnsi="Times New Roman" w:cs="Times New Roman"/>
                <w:spacing w:val="-3"/>
                <w:sz w:val="24"/>
                <w:szCs w:val="24"/>
              </w:rPr>
              <w:t>Kā ir izmantota ES tiesību aktā paredzētā rīcības brīvība dalībvalstij pārņemt vai ieviest noteiktas ES tiesību akta normas?</w:t>
            </w:r>
          </w:p>
          <w:p w14:paraId="08E9E0FB" w14:textId="77777777" w:rsidR="00FD0FEA" w:rsidRPr="008F33E5" w:rsidRDefault="00FD0FEA" w:rsidP="00FD0FEA">
            <w:pPr>
              <w:spacing w:after="0" w:line="240" w:lineRule="auto"/>
              <w:ind w:right="108"/>
              <w:rPr>
                <w:rFonts w:ascii="Times New Roman" w:eastAsia="Times New Roman" w:hAnsi="Times New Roman" w:cs="Times New Roman"/>
                <w:spacing w:val="-3"/>
                <w:sz w:val="24"/>
                <w:szCs w:val="24"/>
              </w:rPr>
            </w:pPr>
            <w:r w:rsidRPr="008F33E5">
              <w:rPr>
                <w:rFonts w:ascii="Times New Roman" w:eastAsia="Times New Roman" w:hAnsi="Times New Roman" w:cs="Times New Roman"/>
                <w:spacing w:val="-3"/>
                <w:sz w:val="24"/>
                <w:szCs w:val="24"/>
              </w:rPr>
              <w:t>Kādēļ?</w:t>
            </w:r>
          </w:p>
        </w:tc>
        <w:tc>
          <w:tcPr>
            <w:tcW w:w="6994" w:type="dxa"/>
            <w:gridSpan w:val="3"/>
            <w:tcBorders>
              <w:top w:val="outset" w:sz="6" w:space="0" w:color="auto"/>
              <w:left w:val="outset" w:sz="6" w:space="0" w:color="auto"/>
              <w:bottom w:val="outset" w:sz="6" w:space="0" w:color="auto"/>
              <w:right w:val="outset" w:sz="6" w:space="0" w:color="auto"/>
            </w:tcBorders>
            <w:hideMark/>
          </w:tcPr>
          <w:p w14:paraId="38EF9BD1" w14:textId="7481C58D" w:rsidR="00B6440A" w:rsidRPr="008F33E5" w:rsidRDefault="00B6440A" w:rsidP="00B6440A">
            <w:pPr>
              <w:spacing w:after="0" w:line="240" w:lineRule="auto"/>
              <w:ind w:left="57"/>
              <w:jc w:val="both"/>
            </w:pPr>
            <w:r w:rsidRPr="008F33E5">
              <w:t xml:space="preserve"> </w:t>
            </w:r>
          </w:p>
          <w:p w14:paraId="0F68AFC3" w14:textId="0A711E2A" w:rsidR="00FD0FEA" w:rsidRPr="008F33E5" w:rsidRDefault="00B6440A" w:rsidP="0046519A">
            <w:pPr>
              <w:spacing w:after="0" w:line="240" w:lineRule="auto"/>
              <w:ind w:left="57"/>
              <w:jc w:val="both"/>
              <w:rPr>
                <w:rFonts w:ascii="Times New Roman" w:eastAsia="Times New Roman" w:hAnsi="Times New Roman" w:cs="Times New Roman"/>
                <w:sz w:val="24"/>
                <w:szCs w:val="24"/>
              </w:rPr>
            </w:pPr>
            <w:r w:rsidRPr="008F33E5">
              <w:rPr>
                <w:rFonts w:ascii="Times New Roman" w:eastAsia="Times New Roman" w:hAnsi="Times New Roman" w:cs="Times New Roman"/>
                <w:sz w:val="24"/>
                <w:szCs w:val="24"/>
              </w:rPr>
              <w:t xml:space="preserve">Regulas </w:t>
            </w:r>
            <w:r w:rsidRPr="008F33E5">
              <w:rPr>
                <w:rFonts w:ascii="Times New Roman" w:hAnsi="Times New Roman" w:cs="Times New Roman"/>
                <w:sz w:val="24"/>
                <w:szCs w:val="24"/>
              </w:rPr>
              <w:t>Nr.</w:t>
            </w:r>
            <w:r w:rsidRPr="008F33E5">
              <w:rPr>
                <w:rFonts w:ascii="Times New Roman" w:hAnsi="Times New Roman" w:cs="Times New Roman"/>
                <w:iCs/>
                <w:sz w:val="24"/>
                <w:szCs w:val="24"/>
              </w:rPr>
              <w:t xml:space="preserve"> 2019/1148 </w:t>
            </w:r>
            <w:r w:rsidRPr="008F33E5">
              <w:rPr>
                <w:rFonts w:ascii="Times New Roman" w:eastAsia="Times New Roman" w:hAnsi="Times New Roman" w:cs="Times New Roman"/>
                <w:sz w:val="24"/>
                <w:szCs w:val="24"/>
              </w:rPr>
              <w:t xml:space="preserve">5.panta 3.punkts satur rīcības brīvību dalībvalstīm saglabāt vai noteikt licencēšanas režīmu, ar kuru konkrētus ierobežotus sprāgstvielu prekursorus koncentrācijā, kas nepārsniedz attiecīgās augšējās robežvērtības, kuras izklāstītas I pielikuma tabulas 3. slejā, atļauj darīt pieejamus plašas sabiedrības locekļiem, tiem tos ievest, turēt īpašumā vai lietot. Minētā rīcības brīvība </w:t>
            </w:r>
            <w:r w:rsidR="0026384E" w:rsidRPr="008F33E5">
              <w:rPr>
                <w:rFonts w:ascii="Times New Roman" w:eastAsia="Times New Roman" w:hAnsi="Times New Roman" w:cs="Times New Roman"/>
                <w:sz w:val="24"/>
                <w:szCs w:val="24"/>
              </w:rPr>
              <w:t xml:space="preserve">netiek </w:t>
            </w:r>
            <w:r w:rsidRPr="008F33E5">
              <w:rPr>
                <w:rFonts w:ascii="Times New Roman" w:eastAsia="Times New Roman" w:hAnsi="Times New Roman" w:cs="Times New Roman"/>
                <w:sz w:val="24"/>
                <w:szCs w:val="24"/>
              </w:rPr>
              <w:t>īstenota</w:t>
            </w:r>
            <w:r w:rsidR="0026384E" w:rsidRPr="008F33E5">
              <w:rPr>
                <w:rFonts w:ascii="Times New Roman" w:eastAsia="Times New Roman" w:hAnsi="Times New Roman" w:cs="Times New Roman"/>
                <w:sz w:val="24"/>
                <w:szCs w:val="24"/>
              </w:rPr>
              <w:t xml:space="preserve">, jo nav informācijas no iestādēm, ka šāds regulējums nozarēs būtu </w:t>
            </w:r>
            <w:r w:rsidR="0046519A" w:rsidRPr="008F33E5">
              <w:rPr>
                <w:rFonts w:ascii="Times New Roman" w:eastAsia="Times New Roman" w:hAnsi="Times New Roman" w:cs="Times New Roman"/>
                <w:sz w:val="24"/>
                <w:szCs w:val="24"/>
              </w:rPr>
              <w:t>nepieciešams</w:t>
            </w:r>
            <w:r w:rsidR="0026384E" w:rsidRPr="008F33E5">
              <w:rPr>
                <w:rFonts w:ascii="Times New Roman" w:eastAsia="Times New Roman" w:hAnsi="Times New Roman" w:cs="Times New Roman"/>
                <w:sz w:val="24"/>
                <w:szCs w:val="24"/>
              </w:rPr>
              <w:t xml:space="preserve">. </w:t>
            </w:r>
          </w:p>
        </w:tc>
      </w:tr>
      <w:tr w:rsidR="008F33E5" w:rsidRPr="008F33E5" w14:paraId="45F66F3E" w14:textId="77777777" w:rsidTr="00A91764">
        <w:trPr>
          <w:trHeight w:val="913"/>
        </w:trPr>
        <w:tc>
          <w:tcPr>
            <w:tcW w:w="2362" w:type="dxa"/>
            <w:tcBorders>
              <w:top w:val="outset" w:sz="6" w:space="0" w:color="auto"/>
              <w:left w:val="outset" w:sz="6" w:space="0" w:color="auto"/>
              <w:bottom w:val="outset" w:sz="6" w:space="0" w:color="auto"/>
              <w:right w:val="outset" w:sz="6" w:space="0" w:color="auto"/>
            </w:tcBorders>
            <w:hideMark/>
          </w:tcPr>
          <w:p w14:paraId="293E0FE1" w14:textId="77777777" w:rsidR="00FD0FEA" w:rsidRPr="008F33E5" w:rsidRDefault="00FD0FEA" w:rsidP="00FD0FEA">
            <w:pPr>
              <w:spacing w:after="0" w:line="240" w:lineRule="auto"/>
              <w:ind w:left="57"/>
              <w:rPr>
                <w:rFonts w:ascii="Times New Roman" w:eastAsia="Times New Roman" w:hAnsi="Times New Roman" w:cs="Times New Roman"/>
                <w:spacing w:val="-3"/>
                <w:sz w:val="24"/>
                <w:szCs w:val="24"/>
              </w:rPr>
            </w:pPr>
            <w:r w:rsidRPr="008F33E5">
              <w:rPr>
                <w:rFonts w:ascii="Times New Roman" w:eastAsia="Times New Roman" w:hAnsi="Times New Roman" w:cs="Times New Roman"/>
                <w:spacing w:val="-4"/>
                <w:sz w:val="24"/>
                <w:szCs w:val="24"/>
              </w:rPr>
              <w:lastRenderedPageBreak/>
              <w:t xml:space="preserve">Saistības sniegt paziņojumu ES institūcijām un ES dalībvalstīm atbilstoši normatīvajiem aktiem, kas regulē informācijas sniegšanu par tehnisko noteikumu, valsts atbalsta piešķiršanas un finanšu noteikumu (attiecībā uz </w:t>
            </w:r>
            <w:proofErr w:type="spellStart"/>
            <w:r w:rsidRPr="008F33E5">
              <w:rPr>
                <w:rFonts w:ascii="Times New Roman" w:eastAsia="Times New Roman" w:hAnsi="Times New Roman" w:cs="Times New Roman"/>
                <w:spacing w:val="-4"/>
                <w:sz w:val="24"/>
                <w:szCs w:val="24"/>
              </w:rPr>
              <w:t>monetāropolitiku</w:t>
            </w:r>
            <w:proofErr w:type="spellEnd"/>
            <w:r w:rsidRPr="008F33E5">
              <w:rPr>
                <w:rFonts w:ascii="Times New Roman" w:eastAsia="Times New Roman" w:hAnsi="Times New Roman" w:cs="Times New Roman"/>
                <w:spacing w:val="-4"/>
                <w:sz w:val="24"/>
                <w:szCs w:val="24"/>
              </w:rPr>
              <w:t>) projektiem</w:t>
            </w:r>
          </w:p>
        </w:tc>
        <w:tc>
          <w:tcPr>
            <w:tcW w:w="6994" w:type="dxa"/>
            <w:gridSpan w:val="3"/>
            <w:tcBorders>
              <w:top w:val="outset" w:sz="6" w:space="0" w:color="auto"/>
              <w:left w:val="outset" w:sz="6" w:space="0" w:color="auto"/>
              <w:bottom w:val="outset" w:sz="6" w:space="0" w:color="auto"/>
              <w:right w:val="outset" w:sz="6" w:space="0" w:color="auto"/>
            </w:tcBorders>
            <w:hideMark/>
          </w:tcPr>
          <w:p w14:paraId="4CF3F478" w14:textId="77777777" w:rsidR="00FD0FEA" w:rsidRPr="008F33E5" w:rsidRDefault="00FD0FEA" w:rsidP="00FD0FEA">
            <w:pPr>
              <w:spacing w:after="0" w:line="240" w:lineRule="auto"/>
              <w:ind w:left="57"/>
              <w:rPr>
                <w:rFonts w:ascii="Times New Roman" w:eastAsia="Times New Roman" w:hAnsi="Times New Roman" w:cs="Times New Roman"/>
                <w:sz w:val="24"/>
                <w:szCs w:val="24"/>
              </w:rPr>
            </w:pPr>
            <w:r w:rsidRPr="008F33E5">
              <w:rPr>
                <w:rFonts w:ascii="Times New Roman" w:eastAsia="Times New Roman" w:hAnsi="Times New Roman" w:cs="Times New Roman"/>
                <w:sz w:val="24"/>
                <w:szCs w:val="24"/>
              </w:rPr>
              <w:t>Projekts šo jomu neskar</w:t>
            </w:r>
          </w:p>
        </w:tc>
      </w:tr>
      <w:tr w:rsidR="008F33E5" w:rsidRPr="008F33E5" w14:paraId="4CCEB731" w14:textId="77777777" w:rsidTr="00A91764">
        <w:trPr>
          <w:trHeight w:val="432"/>
        </w:trPr>
        <w:tc>
          <w:tcPr>
            <w:tcW w:w="2362" w:type="dxa"/>
            <w:tcBorders>
              <w:top w:val="outset" w:sz="6" w:space="0" w:color="auto"/>
              <w:left w:val="outset" w:sz="6" w:space="0" w:color="auto"/>
              <w:bottom w:val="outset" w:sz="6" w:space="0" w:color="auto"/>
              <w:right w:val="outset" w:sz="6" w:space="0" w:color="auto"/>
            </w:tcBorders>
            <w:hideMark/>
          </w:tcPr>
          <w:p w14:paraId="1A167A96" w14:textId="77777777" w:rsidR="00FD0FEA" w:rsidRPr="008F33E5" w:rsidRDefault="00FD0FEA" w:rsidP="00FD0FEA">
            <w:pPr>
              <w:spacing w:after="0" w:line="240" w:lineRule="auto"/>
              <w:ind w:left="57"/>
              <w:rPr>
                <w:rFonts w:ascii="Times New Roman" w:eastAsia="Times New Roman" w:hAnsi="Times New Roman" w:cs="Times New Roman"/>
                <w:sz w:val="24"/>
                <w:szCs w:val="24"/>
              </w:rPr>
            </w:pPr>
            <w:r w:rsidRPr="008F33E5">
              <w:rPr>
                <w:rFonts w:ascii="Times New Roman" w:eastAsia="Times New Roman" w:hAnsi="Times New Roman" w:cs="Times New Roman"/>
                <w:sz w:val="24"/>
                <w:szCs w:val="24"/>
              </w:rPr>
              <w:t>Cita informācija</w:t>
            </w:r>
          </w:p>
        </w:tc>
        <w:tc>
          <w:tcPr>
            <w:tcW w:w="6994" w:type="dxa"/>
            <w:gridSpan w:val="3"/>
            <w:tcBorders>
              <w:top w:val="outset" w:sz="6" w:space="0" w:color="auto"/>
              <w:left w:val="outset" w:sz="6" w:space="0" w:color="auto"/>
              <w:bottom w:val="outset" w:sz="6" w:space="0" w:color="auto"/>
              <w:right w:val="outset" w:sz="6" w:space="0" w:color="auto"/>
            </w:tcBorders>
            <w:hideMark/>
          </w:tcPr>
          <w:p w14:paraId="6B6996E5" w14:textId="6D971A9C" w:rsidR="00FD0FEA" w:rsidRPr="008F33E5" w:rsidRDefault="00FD0FEA" w:rsidP="00FD0FEA">
            <w:pPr>
              <w:spacing w:after="0" w:line="240" w:lineRule="auto"/>
              <w:jc w:val="both"/>
              <w:rPr>
                <w:rFonts w:ascii="Times New Roman" w:eastAsia="Times New Roman" w:hAnsi="Times New Roman" w:cs="Times New Roman"/>
                <w:sz w:val="24"/>
                <w:szCs w:val="24"/>
              </w:rPr>
            </w:pPr>
            <w:r w:rsidRPr="008F33E5">
              <w:rPr>
                <w:rFonts w:ascii="Times New Roman" w:hAnsi="Times New Roman" w:cs="Times New Roman"/>
                <w:iCs/>
                <w:sz w:val="24"/>
                <w:szCs w:val="24"/>
              </w:rPr>
              <w:t>Latvijas Republikai jānodrošina Regulas Nr. 2019/1148 izpilde sākot ar 2020. gada 1.februāri.</w:t>
            </w:r>
          </w:p>
        </w:tc>
      </w:tr>
      <w:tr w:rsidR="008F33E5" w:rsidRPr="008F33E5" w14:paraId="65D6597D" w14:textId="77777777" w:rsidTr="00A91764">
        <w:trPr>
          <w:trHeight w:val="579"/>
        </w:trPr>
        <w:tc>
          <w:tcPr>
            <w:tcW w:w="9356" w:type="dxa"/>
            <w:gridSpan w:val="4"/>
            <w:tcBorders>
              <w:top w:val="outset" w:sz="6" w:space="0" w:color="auto"/>
              <w:left w:val="outset" w:sz="6" w:space="0" w:color="auto"/>
              <w:bottom w:val="outset" w:sz="6" w:space="0" w:color="auto"/>
              <w:right w:val="outset" w:sz="6" w:space="0" w:color="auto"/>
            </w:tcBorders>
          </w:tcPr>
          <w:p w14:paraId="3156B123" w14:textId="77777777" w:rsidR="00FD0FEA" w:rsidRPr="008F33E5" w:rsidRDefault="00FD0FEA" w:rsidP="00FD0FEA">
            <w:pPr>
              <w:spacing w:after="0" w:line="240" w:lineRule="auto"/>
              <w:jc w:val="center"/>
              <w:rPr>
                <w:rFonts w:ascii="Times New Roman" w:eastAsia="Times New Roman" w:hAnsi="Times New Roman" w:cs="Times New Roman"/>
                <w:sz w:val="24"/>
                <w:szCs w:val="24"/>
              </w:rPr>
            </w:pPr>
            <w:r w:rsidRPr="008F33E5">
              <w:rPr>
                <w:rFonts w:ascii="Times New Roman" w:hAnsi="Times New Roman" w:cs="Times New Roman"/>
                <w:b/>
                <w:bCs/>
                <w:sz w:val="24"/>
                <w:szCs w:val="24"/>
                <w:shd w:val="clear" w:color="auto" w:fill="FFFFFF"/>
              </w:rPr>
              <w:t>2. tabula</w:t>
            </w:r>
            <w:r w:rsidRPr="008F33E5">
              <w:rPr>
                <w:rFonts w:ascii="Times New Roman" w:hAnsi="Times New Roman" w:cs="Times New Roman"/>
                <w:b/>
                <w:bCs/>
                <w:sz w:val="24"/>
                <w:szCs w:val="24"/>
              </w:rPr>
              <w:br/>
            </w:r>
            <w:r w:rsidRPr="008F33E5">
              <w:rPr>
                <w:rFonts w:ascii="Times New Roman" w:hAnsi="Times New Roman" w:cs="Times New Roman"/>
                <w:b/>
                <w:bCs/>
                <w:sz w:val="24"/>
                <w:szCs w:val="24"/>
                <w:shd w:val="clear" w:color="auto" w:fill="FFFFFF"/>
              </w:rPr>
              <w:t>Ar tiesību akta projektu izpildītās vai uzņemtās saistības, kas izriet no starptautiskajiem tiesību aktiem vai starptautiskas institūcijas vai organizācijas dokumentiem.</w:t>
            </w:r>
            <w:r w:rsidRPr="008F33E5">
              <w:rPr>
                <w:rFonts w:ascii="Times New Roman" w:hAnsi="Times New Roman" w:cs="Times New Roman"/>
                <w:b/>
                <w:bCs/>
                <w:sz w:val="24"/>
                <w:szCs w:val="24"/>
              </w:rPr>
              <w:br/>
            </w:r>
            <w:r w:rsidRPr="008F33E5">
              <w:rPr>
                <w:rFonts w:ascii="Times New Roman" w:hAnsi="Times New Roman" w:cs="Times New Roman"/>
                <w:b/>
                <w:bCs/>
                <w:sz w:val="24"/>
                <w:szCs w:val="24"/>
                <w:shd w:val="clear" w:color="auto" w:fill="FFFFFF"/>
              </w:rPr>
              <w:t>Pasākumi šo saistību izpildei.</w:t>
            </w:r>
          </w:p>
        </w:tc>
      </w:tr>
      <w:tr w:rsidR="008F33E5" w:rsidRPr="008F33E5" w14:paraId="44CD86F8" w14:textId="77777777" w:rsidTr="00A91764">
        <w:trPr>
          <w:trHeight w:val="367"/>
        </w:trPr>
        <w:tc>
          <w:tcPr>
            <w:tcW w:w="9356" w:type="dxa"/>
            <w:gridSpan w:val="4"/>
            <w:tcBorders>
              <w:top w:val="outset" w:sz="6" w:space="0" w:color="auto"/>
              <w:left w:val="outset" w:sz="6" w:space="0" w:color="auto"/>
              <w:bottom w:val="outset" w:sz="6" w:space="0" w:color="auto"/>
              <w:right w:val="outset" w:sz="6" w:space="0" w:color="auto"/>
            </w:tcBorders>
          </w:tcPr>
          <w:p w14:paraId="6B33FF14" w14:textId="7D37EC93" w:rsidR="00FD0FEA" w:rsidRPr="008F33E5" w:rsidRDefault="00FD0FEA" w:rsidP="00FD0FEA">
            <w:pPr>
              <w:spacing w:after="0" w:line="240" w:lineRule="auto"/>
              <w:jc w:val="center"/>
              <w:rPr>
                <w:rFonts w:ascii="Times New Roman" w:hAnsi="Times New Roman" w:cs="Times New Roman"/>
                <w:b/>
                <w:bCs/>
                <w:sz w:val="24"/>
                <w:szCs w:val="24"/>
                <w:shd w:val="clear" w:color="auto" w:fill="FFFFFF"/>
              </w:rPr>
            </w:pPr>
            <w:r w:rsidRPr="008F33E5">
              <w:rPr>
                <w:rFonts w:ascii="Times New Roman" w:hAnsi="Times New Roman" w:cs="Times New Roman"/>
                <w:bCs/>
                <w:sz w:val="24"/>
                <w:szCs w:val="24"/>
              </w:rPr>
              <w:t>Projekts šo jomu neskar</w:t>
            </w:r>
          </w:p>
        </w:tc>
      </w:tr>
    </w:tbl>
    <w:p w14:paraId="008EA14F"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1670"/>
        <w:gridCol w:w="7295"/>
      </w:tblGrid>
      <w:tr w:rsidR="008F33E5" w:rsidRPr="008F33E5" w14:paraId="70733C20" w14:textId="77777777" w:rsidTr="00940B09">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8F33E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F33E5">
              <w:rPr>
                <w:rFonts w:ascii="Times New Roman" w:eastAsia="Times New Roman" w:hAnsi="Times New Roman" w:cs="Times New Roman"/>
                <w:b/>
                <w:bCs/>
                <w:sz w:val="24"/>
                <w:szCs w:val="24"/>
                <w:lang w:eastAsia="lv-LV"/>
              </w:rPr>
              <w:t>VI. Sabiedrības līdzdalība un komunikācijas aktivitātes</w:t>
            </w:r>
          </w:p>
        </w:tc>
      </w:tr>
      <w:tr w:rsidR="008F33E5" w:rsidRPr="008F33E5" w14:paraId="69CC66BB" w14:textId="77777777" w:rsidTr="00940B09">
        <w:trPr>
          <w:trHeight w:val="540"/>
        </w:trPr>
        <w:tc>
          <w:tcPr>
            <w:tcW w:w="246"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1.</w:t>
            </w:r>
          </w:p>
        </w:tc>
        <w:tc>
          <w:tcPr>
            <w:tcW w:w="1541"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Plānotās sabiedrības līdzdalības un komunikācijas aktivitātes saistībā ar projektu</w:t>
            </w:r>
          </w:p>
        </w:tc>
        <w:tc>
          <w:tcPr>
            <w:tcW w:w="3213" w:type="pct"/>
            <w:tcBorders>
              <w:top w:val="outset" w:sz="6" w:space="0" w:color="414142"/>
              <w:left w:val="outset" w:sz="6" w:space="0" w:color="414142"/>
              <w:bottom w:val="outset" w:sz="6" w:space="0" w:color="414142"/>
              <w:right w:val="outset" w:sz="6" w:space="0" w:color="414142"/>
            </w:tcBorders>
            <w:hideMark/>
          </w:tcPr>
          <w:p w14:paraId="18E37A02" w14:textId="05B6C45B" w:rsidR="008E4E93" w:rsidRPr="008F33E5" w:rsidRDefault="0035528F" w:rsidP="00303ABD">
            <w:pPr>
              <w:spacing w:after="0" w:line="240" w:lineRule="auto"/>
              <w:jc w:val="both"/>
              <w:rPr>
                <w:rFonts w:ascii="Times New Roman" w:hAnsi="Times New Roman" w:cs="Times New Roman"/>
                <w:sz w:val="24"/>
                <w:szCs w:val="24"/>
              </w:rPr>
            </w:pPr>
            <w:r w:rsidRPr="008F33E5">
              <w:rPr>
                <w:rFonts w:ascii="Times New Roman" w:eastAsia="Times New Roman" w:hAnsi="Times New Roman"/>
                <w:sz w:val="24"/>
                <w:szCs w:val="24"/>
                <w:lang w:eastAsia="lv-LV"/>
              </w:rPr>
              <w:t>Atbilstoši Ministru kabineta 2009. gada 25. augusta noteikumiem Nr. 970 "Sabiedrības līdzdalības kārtība attīstības plānošanas procesā", lai informētu sabiedrību par Ministru kabineta noteikumu projektu un dotu iespēju izteikt viedokli, informācija par Ministru kabineta noteikumu projektu ievietota Iekšlietu ministrijas un Valsts kancelejas tīmekļa vietnē.</w:t>
            </w:r>
            <w:r w:rsidRPr="008F33E5" w:rsidDel="00222618">
              <w:rPr>
                <w:rFonts w:ascii="Times New Roman" w:hAnsi="Times New Roman"/>
                <w:sz w:val="24"/>
                <w:szCs w:val="24"/>
              </w:rPr>
              <w:t xml:space="preserve"> </w:t>
            </w:r>
          </w:p>
        </w:tc>
      </w:tr>
      <w:tr w:rsidR="008F33E5" w:rsidRPr="008F33E5" w14:paraId="64CAF9A5" w14:textId="77777777" w:rsidTr="00940B09">
        <w:trPr>
          <w:trHeight w:val="330"/>
        </w:trPr>
        <w:tc>
          <w:tcPr>
            <w:tcW w:w="246"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2.</w:t>
            </w:r>
          </w:p>
        </w:tc>
        <w:tc>
          <w:tcPr>
            <w:tcW w:w="1541"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Sabiedrības līdzdalība projekta izstrādē</w:t>
            </w:r>
          </w:p>
        </w:tc>
        <w:tc>
          <w:tcPr>
            <w:tcW w:w="3213" w:type="pct"/>
            <w:tcBorders>
              <w:top w:val="outset" w:sz="6" w:space="0" w:color="414142"/>
              <w:left w:val="outset" w:sz="6" w:space="0" w:color="414142"/>
              <w:bottom w:val="outset" w:sz="6" w:space="0" w:color="414142"/>
              <w:right w:val="outset" w:sz="6" w:space="0" w:color="414142"/>
            </w:tcBorders>
            <w:hideMark/>
          </w:tcPr>
          <w:p w14:paraId="553C7871" w14:textId="5803359B" w:rsidR="003578DB" w:rsidRPr="008F33E5" w:rsidRDefault="0035528F" w:rsidP="00E84DE9">
            <w:pPr>
              <w:spacing w:after="0" w:line="240" w:lineRule="auto"/>
              <w:jc w:val="both"/>
              <w:rPr>
                <w:rFonts w:ascii="Times New Roman" w:hAnsi="Times New Roman" w:cs="Times New Roman"/>
                <w:sz w:val="24"/>
                <w:szCs w:val="24"/>
                <w:lang w:eastAsia="lv-LV"/>
              </w:rPr>
            </w:pPr>
            <w:r w:rsidRPr="008F33E5">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rakstiski sniegt viedokli par </w:t>
            </w:r>
            <w:r w:rsidRPr="008F33E5">
              <w:rPr>
                <w:rFonts w:ascii="Times New Roman" w:eastAsia="Times New Roman" w:hAnsi="Times New Roman" w:cs="Times New Roman"/>
                <w:sz w:val="24"/>
                <w:szCs w:val="24"/>
                <w:lang w:eastAsia="lv-LV"/>
              </w:rPr>
              <w:t>Ministru kabineta noteikumu projektu</w:t>
            </w:r>
            <w:r w:rsidRPr="008F33E5">
              <w:rPr>
                <w:rFonts w:ascii="Times New Roman" w:eastAsia="Times New Roman" w:hAnsi="Times New Roman" w:cs="Times New Roman"/>
                <w:iCs/>
                <w:sz w:val="24"/>
                <w:szCs w:val="24"/>
                <w:lang w:eastAsia="lv-LV"/>
              </w:rPr>
              <w:t xml:space="preserve"> tā izstrādes stadijā, </w:t>
            </w:r>
            <w:r w:rsidRPr="008F33E5">
              <w:rPr>
                <w:rFonts w:ascii="Times New Roman" w:eastAsia="Times New Roman" w:hAnsi="Times New Roman" w:cs="Times New Roman"/>
                <w:sz w:val="24"/>
                <w:szCs w:val="24"/>
                <w:lang w:eastAsia="lv-LV"/>
              </w:rPr>
              <w:t>2020. gada 29.jūnijā informācija par Ministru kabineta noteikumu projektu ievietota Iekšlietu ministrijas tīmekļa vietnē</w:t>
            </w:r>
            <w:r w:rsidR="003578DB" w:rsidRPr="008F33E5">
              <w:rPr>
                <w:rFonts w:ascii="Times New Roman" w:eastAsia="Times New Roman" w:hAnsi="Times New Roman" w:cs="Times New Roman"/>
                <w:sz w:val="24"/>
                <w:szCs w:val="24"/>
                <w:lang w:eastAsia="lv-LV"/>
              </w:rPr>
              <w:t xml:space="preserve"> (</w:t>
            </w:r>
            <w:hyperlink r:id="rId17" w:history="1">
              <w:r w:rsidR="003578DB" w:rsidRPr="008F33E5">
                <w:rPr>
                  <w:rStyle w:val="Hyperlink"/>
                  <w:rFonts w:ascii="Times New Roman" w:hAnsi="Times New Roman" w:cs="Times New Roman"/>
                  <w:color w:val="auto"/>
                  <w:sz w:val="24"/>
                  <w:szCs w:val="24"/>
                </w:rPr>
                <w:t>http://iem.gov.lv/lat/sadarbiba_ar_nvo/diskusiju_dokumenti/?doc=43162</w:t>
              </w:r>
            </w:hyperlink>
            <w:r w:rsidR="003578DB" w:rsidRPr="008F33E5">
              <w:rPr>
                <w:rStyle w:val="Hyperlink"/>
                <w:rFonts w:ascii="Times New Roman" w:hAnsi="Times New Roman" w:cs="Times New Roman"/>
                <w:color w:val="auto"/>
                <w:sz w:val="24"/>
                <w:szCs w:val="24"/>
              </w:rPr>
              <w:t xml:space="preserve">), </w:t>
            </w:r>
            <w:r w:rsidR="003578DB" w:rsidRPr="008F33E5">
              <w:rPr>
                <w:rFonts w:ascii="Times New Roman" w:eastAsia="Times New Roman" w:hAnsi="Times New Roman" w:cs="Times New Roman"/>
                <w:sz w:val="24"/>
                <w:szCs w:val="24"/>
                <w:lang w:eastAsia="lv-LV"/>
              </w:rPr>
              <w:t xml:space="preserve">aicinot sabiedrību viedokļus par Ministru kabineta noteikumu projektu sniegt līdz 2020. gada 12.jūlijam. Vienlaikus </w:t>
            </w:r>
            <w:r w:rsidR="003578DB" w:rsidRPr="008F33E5">
              <w:rPr>
                <w:rFonts w:ascii="Times New Roman" w:eastAsia="Times New Roman" w:hAnsi="Times New Roman" w:cs="Times New Roman"/>
                <w:iCs/>
                <w:sz w:val="24"/>
                <w:szCs w:val="24"/>
                <w:lang w:eastAsia="lv-LV"/>
              </w:rPr>
              <w:t xml:space="preserve">Iekšlietu ministrija, izpildot Ministru kabineta 2009.gada 25.augusta noteikumu Nr.970 “Sabiedrības līdzdalības kārtība attīstības plānošanas procesā” 14.punktu, projektu  </w:t>
            </w:r>
            <w:r w:rsidR="003578DB" w:rsidRPr="008F33E5">
              <w:rPr>
                <w:rFonts w:ascii="Times New Roman" w:eastAsia="Times New Roman" w:hAnsi="Times New Roman" w:cs="Times New Roman"/>
                <w:sz w:val="24"/>
                <w:szCs w:val="24"/>
                <w:lang w:eastAsia="lv-LV"/>
              </w:rPr>
              <w:t xml:space="preserve">2020. gada 29.jūnijā </w:t>
            </w:r>
            <w:r w:rsidR="003578DB" w:rsidRPr="008F33E5">
              <w:rPr>
                <w:rFonts w:ascii="Times New Roman" w:eastAsia="Times New Roman" w:hAnsi="Times New Roman" w:cs="Times New Roman"/>
                <w:iCs/>
                <w:sz w:val="24"/>
                <w:szCs w:val="24"/>
                <w:lang w:eastAsia="lv-LV"/>
              </w:rPr>
              <w:t>nosūtīja Valsts kancelejai</w:t>
            </w:r>
            <w:r w:rsidR="003578DB" w:rsidRPr="008F33E5">
              <w:rPr>
                <w:rFonts w:ascii="Times New Roman" w:eastAsia="Times New Roman" w:hAnsi="Times New Roman" w:cs="Times New Roman"/>
                <w:sz w:val="24"/>
                <w:szCs w:val="24"/>
                <w:lang w:eastAsia="lv-LV"/>
              </w:rPr>
              <w:t xml:space="preserve"> publicēšanai tās tīmekļa vietnē (</w:t>
            </w:r>
            <w:hyperlink r:id="rId18" w:history="1">
              <w:r w:rsidR="003578DB" w:rsidRPr="008F33E5">
                <w:rPr>
                  <w:rStyle w:val="Hyperlink"/>
                  <w:rFonts w:ascii="Times New Roman" w:hAnsi="Times New Roman" w:cs="Times New Roman"/>
                  <w:color w:val="auto"/>
                  <w:sz w:val="24"/>
                  <w:szCs w:val="24"/>
                </w:rPr>
                <w:t>https://mk.gov.lv/content/ministru-kabineta-diskusiju-dokumenti</w:t>
              </w:r>
            </w:hyperlink>
            <w:r w:rsidR="003578DB" w:rsidRPr="008F33E5">
              <w:rPr>
                <w:rStyle w:val="Hyperlink"/>
                <w:rFonts w:ascii="Times New Roman" w:hAnsi="Times New Roman" w:cs="Times New Roman"/>
                <w:color w:val="auto"/>
                <w:sz w:val="24"/>
                <w:szCs w:val="24"/>
              </w:rPr>
              <w:t>)</w:t>
            </w:r>
            <w:r w:rsidR="003578DB" w:rsidRPr="008F33E5">
              <w:rPr>
                <w:rFonts w:ascii="Times New Roman" w:eastAsia="Times New Roman" w:hAnsi="Times New Roman" w:cs="Times New Roman"/>
                <w:sz w:val="24"/>
                <w:szCs w:val="24"/>
                <w:lang w:eastAsia="lv-LV"/>
              </w:rPr>
              <w:t xml:space="preserve">. </w:t>
            </w:r>
          </w:p>
          <w:p w14:paraId="2CE64391" w14:textId="6CF20F8D" w:rsidR="0035528F" w:rsidRPr="008F33E5" w:rsidRDefault="003578DB" w:rsidP="00E84DE9">
            <w:pPr>
              <w:spacing w:after="0" w:line="240" w:lineRule="auto"/>
              <w:jc w:val="both"/>
              <w:rPr>
                <w:rFonts w:ascii="Times New Roman" w:hAnsi="Times New Roman" w:cs="Times New Roman"/>
                <w:sz w:val="24"/>
                <w:szCs w:val="24"/>
                <w:lang w:eastAsia="lv-LV"/>
              </w:rPr>
            </w:pPr>
            <w:r w:rsidRPr="008F33E5">
              <w:rPr>
                <w:rStyle w:val="Hyperlink"/>
                <w:rFonts w:ascii="Times New Roman" w:hAnsi="Times New Roman" w:cs="Times New Roman"/>
                <w:color w:val="auto"/>
                <w:sz w:val="24"/>
              </w:rPr>
              <w:t xml:space="preserve"> </w:t>
            </w:r>
            <w:r w:rsidR="0035528F" w:rsidRPr="008F33E5">
              <w:rPr>
                <w:rFonts w:ascii="Times New Roman" w:eastAsia="Times New Roman" w:hAnsi="Times New Roman"/>
                <w:sz w:val="24"/>
                <w:szCs w:val="24"/>
                <w:lang w:eastAsia="lv-LV"/>
              </w:rPr>
              <w:t xml:space="preserve"> </w:t>
            </w:r>
          </w:p>
          <w:p w14:paraId="6CADDB82" w14:textId="0E803593" w:rsidR="004D15A9" w:rsidRPr="008F33E5" w:rsidRDefault="0035528F">
            <w:pPr>
              <w:rPr>
                <w:rFonts w:ascii="Times New Roman" w:hAnsi="Times New Roman" w:cs="Times New Roman"/>
                <w:sz w:val="24"/>
                <w:szCs w:val="24"/>
              </w:rPr>
            </w:pPr>
            <w:r w:rsidRPr="008F33E5" w:rsidDel="0035528F">
              <w:rPr>
                <w:rFonts w:ascii="Times New Roman" w:eastAsia="Times New Roman" w:hAnsi="Times New Roman" w:cs="Times New Roman"/>
                <w:sz w:val="24"/>
                <w:szCs w:val="24"/>
                <w:lang w:eastAsia="lv-LV"/>
              </w:rPr>
              <w:t xml:space="preserve"> </w:t>
            </w:r>
          </w:p>
        </w:tc>
      </w:tr>
      <w:tr w:rsidR="008F33E5" w:rsidRPr="008F33E5" w14:paraId="2699F20D" w14:textId="77777777" w:rsidTr="00940B09">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59D80CAD" w14:textId="7870474E"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3.</w:t>
            </w:r>
          </w:p>
        </w:tc>
        <w:tc>
          <w:tcPr>
            <w:tcW w:w="1541"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Sabiedrības līdzdalības rezultāti</w:t>
            </w:r>
          </w:p>
        </w:tc>
        <w:tc>
          <w:tcPr>
            <w:tcW w:w="3213" w:type="pct"/>
            <w:tcBorders>
              <w:top w:val="outset" w:sz="6" w:space="0" w:color="414142"/>
              <w:left w:val="outset" w:sz="6" w:space="0" w:color="414142"/>
              <w:bottom w:val="outset" w:sz="6" w:space="0" w:color="414142"/>
              <w:right w:val="outset" w:sz="6" w:space="0" w:color="414142"/>
            </w:tcBorders>
            <w:hideMark/>
          </w:tcPr>
          <w:p w14:paraId="3A749C38" w14:textId="3371F591" w:rsidR="004D15A9" w:rsidRPr="008F33E5" w:rsidRDefault="003578DB" w:rsidP="00E84DE9">
            <w:pPr>
              <w:jc w:val="both"/>
              <w:rPr>
                <w:rFonts w:ascii="Times New Roman" w:hAnsi="Times New Roman" w:cs="Times New Roman"/>
                <w:sz w:val="24"/>
                <w:szCs w:val="24"/>
              </w:rPr>
            </w:pPr>
            <w:r w:rsidRPr="008F33E5">
              <w:rPr>
                <w:rFonts w:ascii="Times New Roman" w:eastAsia="Times New Roman" w:hAnsi="Times New Roman" w:cs="Times New Roman"/>
                <w:sz w:val="24"/>
                <w:szCs w:val="24"/>
                <w:lang w:eastAsia="lv-LV"/>
              </w:rPr>
              <w:t>Sabiedrības līdzdalības rezultātā priekšlikumi no sabiedrības locekļiem netika saņemti.</w:t>
            </w:r>
          </w:p>
        </w:tc>
      </w:tr>
      <w:tr w:rsidR="004D15A9" w:rsidRPr="008F33E5" w14:paraId="0E937D8F" w14:textId="77777777" w:rsidTr="00940B09">
        <w:trPr>
          <w:trHeight w:val="306"/>
        </w:trPr>
        <w:tc>
          <w:tcPr>
            <w:tcW w:w="246"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4.</w:t>
            </w:r>
          </w:p>
        </w:tc>
        <w:tc>
          <w:tcPr>
            <w:tcW w:w="1541"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Cita informācija</w:t>
            </w:r>
          </w:p>
        </w:tc>
        <w:tc>
          <w:tcPr>
            <w:tcW w:w="321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8F33E5" w:rsidRDefault="00494B83" w:rsidP="00612A92">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Nav.</w:t>
            </w:r>
          </w:p>
        </w:tc>
      </w:tr>
    </w:tbl>
    <w:p w14:paraId="4B448B79"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7"/>
        <w:gridCol w:w="5915"/>
      </w:tblGrid>
      <w:tr w:rsidR="008F33E5" w:rsidRPr="008F33E5" w14:paraId="79047FEC" w14:textId="77777777" w:rsidTr="00940B09">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8F33E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F33E5">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8F33E5" w:rsidRPr="008F33E5" w14:paraId="144D72D6" w14:textId="77777777" w:rsidTr="00940B09">
        <w:trPr>
          <w:trHeight w:val="420"/>
        </w:trPr>
        <w:tc>
          <w:tcPr>
            <w:tcW w:w="246"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1.</w:t>
            </w:r>
          </w:p>
        </w:tc>
        <w:tc>
          <w:tcPr>
            <w:tcW w:w="1541"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Projekta izpildē iesaistītās institūcijas</w:t>
            </w:r>
          </w:p>
        </w:tc>
        <w:tc>
          <w:tcPr>
            <w:tcW w:w="3213" w:type="pct"/>
            <w:tcBorders>
              <w:top w:val="outset" w:sz="6" w:space="0" w:color="414142"/>
              <w:left w:val="outset" w:sz="6" w:space="0" w:color="414142"/>
              <w:bottom w:val="outset" w:sz="6" w:space="0" w:color="414142"/>
              <w:right w:val="outset" w:sz="6" w:space="0" w:color="414142"/>
            </w:tcBorders>
            <w:hideMark/>
          </w:tcPr>
          <w:p w14:paraId="1A2B9059" w14:textId="08A8EF57" w:rsidR="004D15A9" w:rsidRPr="008F33E5" w:rsidRDefault="004325AA" w:rsidP="00CD09EC">
            <w:pPr>
              <w:spacing w:after="0" w:line="240" w:lineRule="auto"/>
              <w:contextualSpacing/>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 xml:space="preserve">Valsts drošības dienests </w:t>
            </w:r>
          </w:p>
        </w:tc>
      </w:tr>
      <w:tr w:rsidR="008F33E5" w:rsidRPr="008F33E5" w14:paraId="35430141" w14:textId="77777777" w:rsidTr="00940B09">
        <w:trPr>
          <w:trHeight w:val="450"/>
        </w:trPr>
        <w:tc>
          <w:tcPr>
            <w:tcW w:w="246"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2.</w:t>
            </w:r>
          </w:p>
        </w:tc>
        <w:tc>
          <w:tcPr>
            <w:tcW w:w="1541"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8F33E5" w:rsidRDefault="004D15A9" w:rsidP="005F191C">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3" w:type="pct"/>
            <w:tcBorders>
              <w:top w:val="outset" w:sz="6" w:space="0" w:color="414142"/>
              <w:left w:val="outset" w:sz="6" w:space="0" w:color="414142"/>
              <w:bottom w:val="outset" w:sz="6" w:space="0" w:color="414142"/>
              <w:right w:val="outset" w:sz="6" w:space="0" w:color="414142"/>
            </w:tcBorders>
            <w:hideMark/>
          </w:tcPr>
          <w:p w14:paraId="37B76D95" w14:textId="77777777" w:rsidR="00D9458F" w:rsidRPr="008F33E5" w:rsidRDefault="00D9458F" w:rsidP="00D9458F">
            <w:pPr>
              <w:tabs>
                <w:tab w:val="center" w:pos="4153"/>
                <w:tab w:val="right" w:pos="8306"/>
              </w:tabs>
              <w:spacing w:after="0" w:line="240" w:lineRule="auto"/>
              <w:contextualSpacing/>
              <w:jc w:val="both"/>
              <w:rPr>
                <w:rFonts w:ascii="Times New Roman" w:hAnsi="Times New Roman" w:cs="Times New Roman"/>
                <w:sz w:val="24"/>
                <w:szCs w:val="24"/>
              </w:rPr>
            </w:pPr>
            <w:r w:rsidRPr="008F33E5">
              <w:rPr>
                <w:rFonts w:ascii="Times New Roman" w:hAnsi="Times New Roman" w:cs="Times New Roman"/>
                <w:sz w:val="24"/>
                <w:szCs w:val="24"/>
              </w:rPr>
              <w:t>Jaunu institūciju izveide, esošu institūciju likvidācija vai reorganizācija nebūs nepieciešama.</w:t>
            </w:r>
          </w:p>
          <w:p w14:paraId="2C10F62F" w14:textId="77777777" w:rsidR="00D9458F" w:rsidRPr="008F33E5" w:rsidRDefault="00D9458F" w:rsidP="00D9458F">
            <w:pPr>
              <w:tabs>
                <w:tab w:val="center" w:pos="4153"/>
                <w:tab w:val="right" w:pos="8306"/>
              </w:tabs>
              <w:spacing w:after="0" w:line="240" w:lineRule="auto"/>
              <w:contextualSpacing/>
              <w:jc w:val="both"/>
              <w:rPr>
                <w:rFonts w:ascii="Times New Roman" w:hAnsi="Times New Roman" w:cs="Times New Roman"/>
                <w:sz w:val="24"/>
                <w:szCs w:val="24"/>
              </w:rPr>
            </w:pPr>
          </w:p>
          <w:p w14:paraId="12F3BFC7" w14:textId="77777777" w:rsidR="00D9458F" w:rsidRPr="008F33E5" w:rsidRDefault="00D9458F" w:rsidP="00D9458F">
            <w:pPr>
              <w:tabs>
                <w:tab w:val="center" w:pos="4153"/>
                <w:tab w:val="right" w:pos="8306"/>
              </w:tabs>
              <w:spacing w:after="0" w:line="240" w:lineRule="auto"/>
              <w:contextualSpacing/>
              <w:jc w:val="both"/>
              <w:rPr>
                <w:rFonts w:ascii="Times New Roman" w:hAnsi="Times New Roman" w:cs="Times New Roman"/>
                <w:sz w:val="24"/>
                <w:szCs w:val="24"/>
              </w:rPr>
            </w:pPr>
            <w:r w:rsidRPr="008F33E5">
              <w:rPr>
                <w:rFonts w:ascii="Times New Roman" w:hAnsi="Times New Roman" w:cs="Times New Roman"/>
                <w:sz w:val="24"/>
                <w:szCs w:val="24"/>
              </w:rPr>
              <w:t>Projekta izpilde notiks esošo pārvaldes funkciju ietvaros.</w:t>
            </w:r>
          </w:p>
          <w:p w14:paraId="744FD248" w14:textId="6DE9A6F8" w:rsidR="004D15A9" w:rsidRPr="008F33E5"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8F33E5" w14:paraId="5062E92A" w14:textId="77777777" w:rsidTr="00940B09">
        <w:trPr>
          <w:trHeight w:val="390"/>
        </w:trPr>
        <w:tc>
          <w:tcPr>
            <w:tcW w:w="246"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3.</w:t>
            </w:r>
          </w:p>
        </w:tc>
        <w:tc>
          <w:tcPr>
            <w:tcW w:w="1541"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8F33E5" w:rsidRDefault="004D15A9" w:rsidP="00DA596D">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Cita informācija</w:t>
            </w:r>
          </w:p>
        </w:tc>
        <w:tc>
          <w:tcPr>
            <w:tcW w:w="321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8F33E5" w:rsidRDefault="00494B83" w:rsidP="00841836">
            <w:pPr>
              <w:spacing w:after="0" w:line="240" w:lineRule="auto"/>
              <w:rPr>
                <w:rFonts w:ascii="Times New Roman" w:eastAsia="Times New Roman" w:hAnsi="Times New Roman" w:cs="Times New Roman"/>
                <w:sz w:val="24"/>
                <w:szCs w:val="24"/>
                <w:lang w:eastAsia="lv-LV"/>
              </w:rPr>
            </w:pPr>
            <w:r w:rsidRPr="008F33E5">
              <w:rPr>
                <w:rFonts w:ascii="Times New Roman" w:eastAsia="Times New Roman" w:hAnsi="Times New Roman" w:cs="Times New Roman"/>
                <w:sz w:val="24"/>
                <w:szCs w:val="24"/>
                <w:lang w:eastAsia="lv-LV"/>
              </w:rPr>
              <w:t>Nav.</w:t>
            </w:r>
          </w:p>
        </w:tc>
      </w:tr>
    </w:tbl>
    <w:p w14:paraId="3554537B" w14:textId="77777777" w:rsidR="00876FFB" w:rsidRPr="008F33E5" w:rsidRDefault="00876FFB" w:rsidP="00C07135">
      <w:pPr>
        <w:spacing w:after="0" w:line="240" w:lineRule="auto"/>
        <w:jc w:val="both"/>
        <w:rPr>
          <w:rFonts w:ascii="Times New Roman" w:hAnsi="Times New Roman" w:cs="Times New Roman"/>
          <w:sz w:val="24"/>
          <w:szCs w:val="24"/>
        </w:rPr>
      </w:pPr>
    </w:p>
    <w:p w14:paraId="4EEF4985" w14:textId="278B7130" w:rsidR="00940B09" w:rsidRDefault="00940B09" w:rsidP="00C07135">
      <w:pPr>
        <w:spacing w:after="0" w:line="240" w:lineRule="auto"/>
        <w:jc w:val="both"/>
        <w:rPr>
          <w:rFonts w:ascii="Times New Roman" w:hAnsi="Times New Roman" w:cs="Times New Roman"/>
          <w:sz w:val="24"/>
          <w:szCs w:val="24"/>
        </w:rPr>
      </w:pPr>
    </w:p>
    <w:p w14:paraId="2B81FD3B" w14:textId="77777777" w:rsidR="008F33E5" w:rsidRPr="008F33E5" w:rsidRDefault="008F33E5" w:rsidP="00C07135">
      <w:pPr>
        <w:spacing w:after="0" w:line="240" w:lineRule="auto"/>
        <w:jc w:val="both"/>
        <w:rPr>
          <w:rFonts w:ascii="Times New Roman" w:hAnsi="Times New Roman" w:cs="Times New Roman"/>
          <w:sz w:val="24"/>
          <w:szCs w:val="24"/>
        </w:rPr>
      </w:pPr>
    </w:p>
    <w:p w14:paraId="1D2E0A35" w14:textId="4C8617AD" w:rsidR="005F191C" w:rsidRPr="008F33E5" w:rsidRDefault="005F191C" w:rsidP="00C07135">
      <w:pPr>
        <w:tabs>
          <w:tab w:val="left" w:pos="6237"/>
        </w:tabs>
        <w:spacing w:after="0" w:line="240" w:lineRule="auto"/>
        <w:jc w:val="both"/>
        <w:rPr>
          <w:rFonts w:ascii="Times New Roman" w:hAnsi="Times New Roman" w:cs="Times New Roman"/>
          <w:sz w:val="24"/>
          <w:szCs w:val="24"/>
        </w:rPr>
      </w:pPr>
      <w:r w:rsidRPr="008F33E5">
        <w:rPr>
          <w:rFonts w:ascii="Times New Roman" w:hAnsi="Times New Roman" w:cs="Times New Roman"/>
          <w:sz w:val="24"/>
          <w:szCs w:val="24"/>
        </w:rPr>
        <w:t>Iekšlietu ministrs</w:t>
      </w:r>
      <w:r w:rsidRPr="008F33E5">
        <w:rPr>
          <w:rFonts w:ascii="Times New Roman" w:hAnsi="Times New Roman" w:cs="Times New Roman"/>
          <w:sz w:val="24"/>
          <w:szCs w:val="24"/>
        </w:rPr>
        <w:tab/>
        <w:t xml:space="preserve">              </w:t>
      </w:r>
      <w:r w:rsidR="00494175" w:rsidRPr="008F33E5">
        <w:rPr>
          <w:rFonts w:ascii="Times New Roman" w:hAnsi="Times New Roman" w:cs="Times New Roman"/>
          <w:sz w:val="24"/>
          <w:szCs w:val="24"/>
        </w:rPr>
        <w:tab/>
      </w:r>
      <w:r w:rsidRPr="008F33E5">
        <w:rPr>
          <w:rFonts w:ascii="Times New Roman" w:hAnsi="Times New Roman" w:cs="Times New Roman"/>
          <w:sz w:val="24"/>
          <w:szCs w:val="24"/>
        </w:rPr>
        <w:t xml:space="preserve">  </w:t>
      </w:r>
      <w:r w:rsidR="00494175" w:rsidRPr="008F33E5">
        <w:rPr>
          <w:rFonts w:ascii="Times New Roman" w:hAnsi="Times New Roman" w:cs="Times New Roman"/>
          <w:sz w:val="24"/>
          <w:szCs w:val="24"/>
        </w:rPr>
        <w:t xml:space="preserve">S. </w:t>
      </w:r>
      <w:proofErr w:type="spellStart"/>
      <w:r w:rsidR="00494175" w:rsidRPr="008F33E5">
        <w:rPr>
          <w:rFonts w:ascii="Times New Roman" w:hAnsi="Times New Roman" w:cs="Times New Roman"/>
          <w:sz w:val="24"/>
          <w:szCs w:val="24"/>
        </w:rPr>
        <w:t>Ģirģens</w:t>
      </w:r>
      <w:proofErr w:type="spellEnd"/>
      <w:r w:rsidR="00494175" w:rsidRPr="008F33E5">
        <w:rPr>
          <w:rFonts w:ascii="Times New Roman" w:hAnsi="Times New Roman" w:cs="Times New Roman"/>
          <w:sz w:val="24"/>
          <w:szCs w:val="24"/>
        </w:rPr>
        <w:t xml:space="preserve"> </w:t>
      </w:r>
    </w:p>
    <w:p w14:paraId="05CE085B" w14:textId="77777777" w:rsidR="004325AA" w:rsidRPr="008F33E5" w:rsidRDefault="004325AA" w:rsidP="00C07135">
      <w:pPr>
        <w:spacing w:after="0" w:line="240" w:lineRule="auto"/>
        <w:jc w:val="both"/>
        <w:rPr>
          <w:rFonts w:ascii="Times New Roman" w:hAnsi="Times New Roman" w:cs="Times New Roman"/>
          <w:sz w:val="24"/>
          <w:szCs w:val="24"/>
        </w:rPr>
      </w:pPr>
    </w:p>
    <w:p w14:paraId="4CE445E3" w14:textId="77777777" w:rsidR="00940B09" w:rsidRPr="008F33E5" w:rsidRDefault="00940B09" w:rsidP="00C07135">
      <w:pPr>
        <w:spacing w:after="0" w:line="240" w:lineRule="auto"/>
        <w:jc w:val="both"/>
        <w:rPr>
          <w:rFonts w:ascii="Times New Roman" w:hAnsi="Times New Roman" w:cs="Times New Roman"/>
          <w:sz w:val="24"/>
          <w:szCs w:val="24"/>
        </w:rPr>
      </w:pPr>
    </w:p>
    <w:p w14:paraId="2A91475E" w14:textId="7422FE84" w:rsidR="005F191C" w:rsidRPr="008F33E5" w:rsidRDefault="00FC0DE9" w:rsidP="00C07135">
      <w:pPr>
        <w:spacing w:after="0" w:line="240" w:lineRule="auto"/>
        <w:jc w:val="both"/>
        <w:rPr>
          <w:rFonts w:ascii="Times New Roman" w:hAnsi="Times New Roman" w:cs="Times New Roman"/>
          <w:sz w:val="24"/>
          <w:szCs w:val="24"/>
        </w:rPr>
      </w:pPr>
      <w:r w:rsidRPr="008F33E5">
        <w:rPr>
          <w:rFonts w:ascii="Times New Roman" w:hAnsi="Times New Roman" w:cs="Times New Roman"/>
          <w:sz w:val="24"/>
          <w:szCs w:val="24"/>
        </w:rPr>
        <w:t xml:space="preserve">Vīza: </w:t>
      </w:r>
      <w:r w:rsidR="005F191C" w:rsidRPr="008F33E5">
        <w:rPr>
          <w:rFonts w:ascii="Times New Roman" w:hAnsi="Times New Roman" w:cs="Times New Roman"/>
          <w:sz w:val="24"/>
          <w:szCs w:val="24"/>
        </w:rPr>
        <w:tab/>
        <w:t xml:space="preserve">valsts sekretārs                                                          </w:t>
      </w:r>
      <w:r w:rsidR="006C5402" w:rsidRPr="008F33E5">
        <w:rPr>
          <w:rFonts w:ascii="Times New Roman" w:hAnsi="Times New Roman" w:cs="Times New Roman"/>
          <w:sz w:val="24"/>
          <w:szCs w:val="24"/>
        </w:rPr>
        <w:t xml:space="preserve">       </w:t>
      </w:r>
      <w:r w:rsidRPr="008F33E5">
        <w:rPr>
          <w:rFonts w:ascii="Times New Roman" w:hAnsi="Times New Roman" w:cs="Times New Roman"/>
          <w:sz w:val="24"/>
          <w:szCs w:val="24"/>
        </w:rPr>
        <w:t xml:space="preserve">                 </w:t>
      </w:r>
      <w:r w:rsidR="005F191C" w:rsidRPr="008F33E5">
        <w:rPr>
          <w:rFonts w:ascii="Times New Roman" w:hAnsi="Times New Roman" w:cs="Times New Roman"/>
          <w:sz w:val="24"/>
          <w:szCs w:val="24"/>
        </w:rPr>
        <w:t xml:space="preserve">   D. </w:t>
      </w:r>
      <w:proofErr w:type="spellStart"/>
      <w:r w:rsidR="005F191C" w:rsidRPr="008F33E5">
        <w:rPr>
          <w:rFonts w:ascii="Times New Roman" w:hAnsi="Times New Roman" w:cs="Times New Roman"/>
          <w:sz w:val="24"/>
          <w:szCs w:val="24"/>
        </w:rPr>
        <w:t>Trofimovs</w:t>
      </w:r>
      <w:proofErr w:type="spellEnd"/>
    </w:p>
    <w:p w14:paraId="7F135718" w14:textId="77777777" w:rsidR="00876FFB" w:rsidRPr="008F33E5" w:rsidRDefault="00876FFB" w:rsidP="00C07135">
      <w:pPr>
        <w:spacing w:after="0" w:line="240" w:lineRule="auto"/>
        <w:jc w:val="both"/>
        <w:rPr>
          <w:rFonts w:ascii="Times New Roman" w:hAnsi="Times New Roman" w:cs="Times New Roman"/>
          <w:sz w:val="24"/>
          <w:szCs w:val="24"/>
        </w:rPr>
      </w:pPr>
    </w:p>
    <w:p w14:paraId="523589E3" w14:textId="41340A7F" w:rsidR="00940B09" w:rsidRDefault="00940B09" w:rsidP="00C07135">
      <w:pPr>
        <w:spacing w:after="0" w:line="240" w:lineRule="auto"/>
        <w:jc w:val="both"/>
        <w:rPr>
          <w:rFonts w:ascii="Times New Roman" w:hAnsi="Times New Roman" w:cs="Times New Roman"/>
          <w:sz w:val="24"/>
          <w:szCs w:val="24"/>
        </w:rPr>
      </w:pPr>
    </w:p>
    <w:p w14:paraId="0483778B" w14:textId="294A05AE" w:rsidR="008F33E5" w:rsidRDefault="008F33E5" w:rsidP="00C07135">
      <w:pPr>
        <w:spacing w:after="0" w:line="240" w:lineRule="auto"/>
        <w:jc w:val="both"/>
        <w:rPr>
          <w:rFonts w:ascii="Times New Roman" w:hAnsi="Times New Roman" w:cs="Times New Roman"/>
          <w:sz w:val="24"/>
          <w:szCs w:val="24"/>
        </w:rPr>
      </w:pPr>
    </w:p>
    <w:p w14:paraId="17C8B25D" w14:textId="5FC93A39" w:rsidR="008F33E5" w:rsidRDefault="008F33E5" w:rsidP="00C07135">
      <w:pPr>
        <w:spacing w:after="0" w:line="240" w:lineRule="auto"/>
        <w:jc w:val="both"/>
        <w:rPr>
          <w:rFonts w:ascii="Times New Roman" w:hAnsi="Times New Roman" w:cs="Times New Roman"/>
          <w:sz w:val="24"/>
          <w:szCs w:val="24"/>
        </w:rPr>
      </w:pPr>
    </w:p>
    <w:p w14:paraId="45CB74BF" w14:textId="1E006778" w:rsidR="008F33E5" w:rsidRDefault="008F33E5" w:rsidP="00C07135">
      <w:pPr>
        <w:spacing w:after="0" w:line="240" w:lineRule="auto"/>
        <w:jc w:val="both"/>
        <w:rPr>
          <w:rFonts w:ascii="Times New Roman" w:hAnsi="Times New Roman" w:cs="Times New Roman"/>
          <w:sz w:val="24"/>
          <w:szCs w:val="24"/>
        </w:rPr>
      </w:pPr>
    </w:p>
    <w:p w14:paraId="108E3A24" w14:textId="05BDE4BD" w:rsidR="008F33E5" w:rsidRDefault="008F33E5" w:rsidP="00C07135">
      <w:pPr>
        <w:spacing w:after="0" w:line="240" w:lineRule="auto"/>
        <w:jc w:val="both"/>
        <w:rPr>
          <w:rFonts w:ascii="Times New Roman" w:hAnsi="Times New Roman" w:cs="Times New Roman"/>
          <w:sz w:val="24"/>
          <w:szCs w:val="24"/>
        </w:rPr>
      </w:pPr>
    </w:p>
    <w:p w14:paraId="60FCE752" w14:textId="78D8F9F8" w:rsidR="008F33E5" w:rsidRDefault="008F33E5" w:rsidP="00C07135">
      <w:pPr>
        <w:spacing w:after="0" w:line="240" w:lineRule="auto"/>
        <w:jc w:val="both"/>
        <w:rPr>
          <w:rFonts w:ascii="Times New Roman" w:hAnsi="Times New Roman" w:cs="Times New Roman"/>
          <w:sz w:val="24"/>
          <w:szCs w:val="24"/>
        </w:rPr>
      </w:pPr>
    </w:p>
    <w:p w14:paraId="36FA8B37" w14:textId="0B8C2BA3" w:rsidR="008F33E5" w:rsidRDefault="008F33E5" w:rsidP="00C07135">
      <w:pPr>
        <w:spacing w:after="0" w:line="240" w:lineRule="auto"/>
        <w:jc w:val="both"/>
        <w:rPr>
          <w:rFonts w:ascii="Times New Roman" w:hAnsi="Times New Roman" w:cs="Times New Roman"/>
          <w:sz w:val="24"/>
          <w:szCs w:val="24"/>
        </w:rPr>
      </w:pPr>
    </w:p>
    <w:p w14:paraId="1B72C922" w14:textId="6F9FBB9A" w:rsidR="008F33E5" w:rsidRDefault="008F33E5" w:rsidP="00C07135">
      <w:pPr>
        <w:spacing w:after="0" w:line="240" w:lineRule="auto"/>
        <w:jc w:val="both"/>
        <w:rPr>
          <w:rFonts w:ascii="Times New Roman" w:hAnsi="Times New Roman" w:cs="Times New Roman"/>
          <w:sz w:val="24"/>
          <w:szCs w:val="24"/>
        </w:rPr>
      </w:pPr>
    </w:p>
    <w:p w14:paraId="5DED05B2" w14:textId="14FF0C21" w:rsidR="008F33E5" w:rsidRDefault="008F33E5" w:rsidP="00C07135">
      <w:pPr>
        <w:spacing w:after="0" w:line="240" w:lineRule="auto"/>
        <w:jc w:val="both"/>
        <w:rPr>
          <w:rFonts w:ascii="Times New Roman" w:hAnsi="Times New Roman" w:cs="Times New Roman"/>
          <w:sz w:val="24"/>
          <w:szCs w:val="24"/>
        </w:rPr>
      </w:pPr>
    </w:p>
    <w:p w14:paraId="17811579" w14:textId="4E83E110" w:rsidR="008F33E5" w:rsidRDefault="008F33E5" w:rsidP="00C07135">
      <w:pPr>
        <w:spacing w:after="0" w:line="240" w:lineRule="auto"/>
        <w:jc w:val="both"/>
        <w:rPr>
          <w:rFonts w:ascii="Times New Roman" w:hAnsi="Times New Roman" w:cs="Times New Roman"/>
          <w:sz w:val="24"/>
          <w:szCs w:val="24"/>
        </w:rPr>
      </w:pPr>
    </w:p>
    <w:p w14:paraId="345E0173" w14:textId="2E1EAFD7" w:rsidR="008F33E5" w:rsidRDefault="008F33E5" w:rsidP="00C07135">
      <w:pPr>
        <w:spacing w:after="0" w:line="240" w:lineRule="auto"/>
        <w:jc w:val="both"/>
        <w:rPr>
          <w:rFonts w:ascii="Times New Roman" w:hAnsi="Times New Roman" w:cs="Times New Roman"/>
          <w:sz w:val="24"/>
          <w:szCs w:val="24"/>
        </w:rPr>
      </w:pPr>
    </w:p>
    <w:p w14:paraId="6A4C9BA7" w14:textId="7D08AB2E" w:rsidR="008F33E5" w:rsidRDefault="008F33E5" w:rsidP="00C07135">
      <w:pPr>
        <w:spacing w:after="0" w:line="240" w:lineRule="auto"/>
        <w:jc w:val="both"/>
        <w:rPr>
          <w:rFonts w:ascii="Times New Roman" w:hAnsi="Times New Roman" w:cs="Times New Roman"/>
          <w:sz w:val="24"/>
          <w:szCs w:val="24"/>
        </w:rPr>
      </w:pPr>
    </w:p>
    <w:p w14:paraId="509C0483" w14:textId="06CF0AB0" w:rsidR="008F33E5" w:rsidRDefault="008F33E5" w:rsidP="00C07135">
      <w:pPr>
        <w:spacing w:after="0" w:line="240" w:lineRule="auto"/>
        <w:jc w:val="both"/>
        <w:rPr>
          <w:rFonts w:ascii="Times New Roman" w:hAnsi="Times New Roman" w:cs="Times New Roman"/>
          <w:sz w:val="24"/>
          <w:szCs w:val="24"/>
        </w:rPr>
      </w:pPr>
    </w:p>
    <w:p w14:paraId="4FD9B1E4" w14:textId="5E83DD4A" w:rsidR="008F33E5" w:rsidRDefault="008F33E5" w:rsidP="00C07135">
      <w:pPr>
        <w:spacing w:after="0" w:line="240" w:lineRule="auto"/>
        <w:jc w:val="both"/>
        <w:rPr>
          <w:rFonts w:ascii="Times New Roman" w:hAnsi="Times New Roman" w:cs="Times New Roman"/>
          <w:sz w:val="24"/>
          <w:szCs w:val="24"/>
        </w:rPr>
      </w:pPr>
    </w:p>
    <w:p w14:paraId="03CD45B7" w14:textId="0D7504BC" w:rsidR="008F33E5" w:rsidRDefault="008F33E5" w:rsidP="00C07135">
      <w:pPr>
        <w:spacing w:after="0" w:line="240" w:lineRule="auto"/>
        <w:jc w:val="both"/>
        <w:rPr>
          <w:rFonts w:ascii="Times New Roman" w:hAnsi="Times New Roman" w:cs="Times New Roman"/>
          <w:sz w:val="24"/>
          <w:szCs w:val="24"/>
        </w:rPr>
      </w:pPr>
    </w:p>
    <w:p w14:paraId="5D4358B7" w14:textId="6FCF3BEC" w:rsidR="008F33E5" w:rsidRDefault="008F33E5" w:rsidP="00C07135">
      <w:pPr>
        <w:spacing w:after="0" w:line="240" w:lineRule="auto"/>
        <w:jc w:val="both"/>
        <w:rPr>
          <w:rFonts w:ascii="Times New Roman" w:hAnsi="Times New Roman" w:cs="Times New Roman"/>
          <w:sz w:val="24"/>
          <w:szCs w:val="24"/>
        </w:rPr>
      </w:pPr>
    </w:p>
    <w:p w14:paraId="7C3AC391" w14:textId="1D8B46AC" w:rsidR="008F33E5" w:rsidRDefault="008F33E5" w:rsidP="00C07135">
      <w:pPr>
        <w:spacing w:after="0" w:line="240" w:lineRule="auto"/>
        <w:jc w:val="both"/>
        <w:rPr>
          <w:rFonts w:ascii="Times New Roman" w:hAnsi="Times New Roman" w:cs="Times New Roman"/>
          <w:sz w:val="24"/>
          <w:szCs w:val="24"/>
        </w:rPr>
      </w:pPr>
    </w:p>
    <w:p w14:paraId="0322EFAF" w14:textId="368A4F5E" w:rsidR="008F33E5" w:rsidRDefault="008F33E5" w:rsidP="00C07135">
      <w:pPr>
        <w:spacing w:after="0" w:line="240" w:lineRule="auto"/>
        <w:jc w:val="both"/>
        <w:rPr>
          <w:rFonts w:ascii="Times New Roman" w:hAnsi="Times New Roman" w:cs="Times New Roman"/>
          <w:sz w:val="24"/>
          <w:szCs w:val="24"/>
        </w:rPr>
      </w:pPr>
    </w:p>
    <w:p w14:paraId="7313A7B5" w14:textId="6F36AF2F" w:rsidR="008F33E5" w:rsidRDefault="008F33E5" w:rsidP="00C07135">
      <w:pPr>
        <w:spacing w:after="0" w:line="240" w:lineRule="auto"/>
        <w:jc w:val="both"/>
        <w:rPr>
          <w:rFonts w:ascii="Times New Roman" w:hAnsi="Times New Roman" w:cs="Times New Roman"/>
          <w:sz w:val="24"/>
          <w:szCs w:val="24"/>
        </w:rPr>
      </w:pPr>
    </w:p>
    <w:p w14:paraId="1FEB9463" w14:textId="0CE0DA1E" w:rsidR="008F33E5" w:rsidRDefault="008F33E5" w:rsidP="00C07135">
      <w:pPr>
        <w:spacing w:after="0" w:line="240" w:lineRule="auto"/>
        <w:jc w:val="both"/>
        <w:rPr>
          <w:rFonts w:ascii="Times New Roman" w:hAnsi="Times New Roman" w:cs="Times New Roman"/>
          <w:sz w:val="24"/>
          <w:szCs w:val="24"/>
        </w:rPr>
      </w:pPr>
    </w:p>
    <w:p w14:paraId="291C5B3C" w14:textId="7AE7F8BC" w:rsidR="008F33E5" w:rsidRDefault="008F33E5" w:rsidP="00C07135">
      <w:pPr>
        <w:spacing w:after="0" w:line="240" w:lineRule="auto"/>
        <w:jc w:val="both"/>
        <w:rPr>
          <w:rFonts w:ascii="Times New Roman" w:hAnsi="Times New Roman" w:cs="Times New Roman"/>
          <w:sz w:val="24"/>
          <w:szCs w:val="24"/>
        </w:rPr>
      </w:pPr>
    </w:p>
    <w:p w14:paraId="303E3E0F" w14:textId="350C0A8E" w:rsidR="008F33E5" w:rsidRDefault="008F33E5" w:rsidP="00C07135">
      <w:pPr>
        <w:spacing w:after="0" w:line="240" w:lineRule="auto"/>
        <w:jc w:val="both"/>
        <w:rPr>
          <w:rFonts w:ascii="Times New Roman" w:hAnsi="Times New Roman" w:cs="Times New Roman"/>
          <w:sz w:val="24"/>
          <w:szCs w:val="24"/>
        </w:rPr>
      </w:pPr>
    </w:p>
    <w:p w14:paraId="29FDB1AB" w14:textId="09FFF4AD" w:rsidR="008F33E5" w:rsidRDefault="008F33E5" w:rsidP="00C07135">
      <w:pPr>
        <w:spacing w:after="0" w:line="240" w:lineRule="auto"/>
        <w:jc w:val="both"/>
        <w:rPr>
          <w:rFonts w:ascii="Times New Roman" w:hAnsi="Times New Roman" w:cs="Times New Roman"/>
          <w:sz w:val="24"/>
          <w:szCs w:val="24"/>
        </w:rPr>
      </w:pPr>
    </w:p>
    <w:p w14:paraId="3B5A534F" w14:textId="4C5911C6" w:rsidR="008F33E5" w:rsidRDefault="008F33E5" w:rsidP="00C07135">
      <w:pPr>
        <w:spacing w:after="0" w:line="240" w:lineRule="auto"/>
        <w:jc w:val="both"/>
        <w:rPr>
          <w:rFonts w:ascii="Times New Roman" w:hAnsi="Times New Roman" w:cs="Times New Roman"/>
          <w:sz w:val="24"/>
          <w:szCs w:val="24"/>
        </w:rPr>
      </w:pPr>
    </w:p>
    <w:p w14:paraId="100BBD43" w14:textId="77777777" w:rsidR="008F33E5" w:rsidRPr="008F33E5" w:rsidRDefault="008F33E5" w:rsidP="00C07135">
      <w:pPr>
        <w:spacing w:after="0" w:line="240" w:lineRule="auto"/>
        <w:jc w:val="both"/>
        <w:rPr>
          <w:rFonts w:ascii="Times New Roman" w:hAnsi="Times New Roman" w:cs="Times New Roman"/>
          <w:sz w:val="24"/>
          <w:szCs w:val="24"/>
        </w:rPr>
      </w:pPr>
    </w:p>
    <w:p w14:paraId="6259258C" w14:textId="1819E7A6" w:rsidR="00191EC7" w:rsidRPr="008F33E5" w:rsidRDefault="00191EC7" w:rsidP="00D32D37">
      <w:pPr>
        <w:spacing w:after="0" w:line="240" w:lineRule="auto"/>
        <w:jc w:val="both"/>
        <w:rPr>
          <w:rFonts w:ascii="Times New Roman" w:hAnsi="Times New Roman" w:cs="Times New Roman"/>
          <w:sz w:val="18"/>
          <w:szCs w:val="18"/>
        </w:rPr>
      </w:pPr>
      <w:proofErr w:type="spellStart"/>
      <w:r w:rsidRPr="008F33E5">
        <w:rPr>
          <w:rFonts w:ascii="Times New Roman" w:hAnsi="Times New Roman" w:cs="Times New Roman"/>
          <w:sz w:val="18"/>
          <w:szCs w:val="18"/>
        </w:rPr>
        <w:t>Pavļuka</w:t>
      </w:r>
      <w:proofErr w:type="spellEnd"/>
      <w:r w:rsidRPr="008F33E5">
        <w:rPr>
          <w:rFonts w:ascii="Times New Roman" w:hAnsi="Times New Roman" w:cs="Times New Roman"/>
          <w:sz w:val="18"/>
          <w:szCs w:val="18"/>
        </w:rPr>
        <w:t xml:space="preserve"> 67219584</w:t>
      </w:r>
    </w:p>
    <w:p w14:paraId="39E89016" w14:textId="5C6D5533" w:rsidR="00191EC7" w:rsidRPr="008F33E5" w:rsidRDefault="00191EC7" w:rsidP="00D32D37">
      <w:pPr>
        <w:spacing w:after="0" w:line="240" w:lineRule="auto"/>
        <w:jc w:val="both"/>
        <w:rPr>
          <w:rFonts w:ascii="Times New Roman" w:hAnsi="Times New Roman" w:cs="Times New Roman"/>
          <w:sz w:val="18"/>
          <w:szCs w:val="18"/>
        </w:rPr>
      </w:pPr>
      <w:r w:rsidRPr="008F33E5">
        <w:rPr>
          <w:rFonts w:ascii="Times New Roman" w:hAnsi="Times New Roman" w:cs="Times New Roman"/>
          <w:sz w:val="18"/>
          <w:szCs w:val="18"/>
        </w:rPr>
        <w:t>olesja.pavluka@iem.gov.lv</w:t>
      </w:r>
    </w:p>
    <w:sectPr w:rsidR="00191EC7" w:rsidRPr="008F33E5" w:rsidSect="003E23AB">
      <w:headerReference w:type="default" r:id="rId19"/>
      <w:footerReference w:type="default" r:id="rId20"/>
      <w:footerReference w:type="first" r:id="rId21"/>
      <w:pgSz w:w="11906" w:h="16838"/>
      <w:pgMar w:top="1134" w:right="1134" w:bottom="1134" w:left="1701" w:header="70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99DEF" w14:textId="77777777" w:rsidR="00116344" w:rsidRDefault="00116344" w:rsidP="004D15A9">
      <w:pPr>
        <w:spacing w:after="0" w:line="240" w:lineRule="auto"/>
      </w:pPr>
      <w:r>
        <w:separator/>
      </w:r>
    </w:p>
  </w:endnote>
  <w:endnote w:type="continuationSeparator" w:id="0">
    <w:p w14:paraId="432AD61B" w14:textId="77777777" w:rsidR="00116344" w:rsidRDefault="0011634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80BDB" w14:textId="6BD496E2" w:rsidR="000E7421" w:rsidRPr="006950D7" w:rsidRDefault="006950D7" w:rsidP="006950D7">
    <w:pPr>
      <w:autoSpaceDE w:val="0"/>
      <w:spacing w:after="0"/>
      <w:rPr>
        <w:b/>
        <w:sz w:val="16"/>
        <w:szCs w:val="16"/>
      </w:rPr>
    </w:pPr>
    <w:r w:rsidRPr="006950D7">
      <w:rPr>
        <w:rFonts w:ascii="Times New Roman" w:hAnsi="Times New Roman" w:cs="Times New Roman"/>
        <w:sz w:val="16"/>
        <w:szCs w:val="16"/>
      </w:rPr>
      <w:fldChar w:fldCharType="begin"/>
    </w:r>
    <w:r w:rsidRPr="006950D7">
      <w:rPr>
        <w:rFonts w:ascii="Times New Roman" w:hAnsi="Times New Roman" w:cs="Times New Roman"/>
        <w:sz w:val="16"/>
        <w:szCs w:val="16"/>
      </w:rPr>
      <w:instrText xml:space="preserve"> TITLE   \* MERGEFORMAT </w:instrText>
    </w:r>
    <w:r w:rsidRPr="006950D7">
      <w:rPr>
        <w:rFonts w:ascii="Times New Roman" w:hAnsi="Times New Roman" w:cs="Times New Roman"/>
        <w:sz w:val="16"/>
        <w:szCs w:val="16"/>
      </w:rPr>
      <w:fldChar w:fldCharType="end"/>
    </w:r>
    <w:r w:rsidRPr="006950D7">
      <w:rPr>
        <w:rFonts w:ascii="Times New Roman" w:hAnsi="Times New Roman" w:cs="Times New Roman"/>
        <w:sz w:val="16"/>
        <w:szCs w:val="16"/>
      </w:rPr>
      <w:fldChar w:fldCharType="begin"/>
    </w:r>
    <w:r w:rsidRPr="006950D7">
      <w:rPr>
        <w:rFonts w:ascii="Times New Roman" w:hAnsi="Times New Roman" w:cs="Times New Roman"/>
        <w:sz w:val="16"/>
        <w:szCs w:val="16"/>
      </w:rPr>
      <w:instrText xml:space="preserve"> FILENAME   \* MERGEFORMAT </w:instrText>
    </w:r>
    <w:r w:rsidRPr="006950D7">
      <w:rPr>
        <w:rFonts w:ascii="Times New Roman" w:hAnsi="Times New Roman" w:cs="Times New Roman"/>
        <w:sz w:val="16"/>
        <w:szCs w:val="16"/>
      </w:rPr>
      <w:fldChar w:fldCharType="separate"/>
    </w:r>
    <w:r w:rsidR="0024444E">
      <w:rPr>
        <w:rFonts w:ascii="Times New Roman" w:hAnsi="Times New Roman" w:cs="Times New Roman"/>
        <w:noProof/>
        <w:sz w:val="16"/>
        <w:szCs w:val="16"/>
      </w:rPr>
      <w:t>I</w:t>
    </w:r>
    <w:r w:rsidR="008F33E5">
      <w:rPr>
        <w:rFonts w:ascii="Times New Roman" w:hAnsi="Times New Roman" w:cs="Times New Roman"/>
        <w:noProof/>
        <w:sz w:val="16"/>
        <w:szCs w:val="16"/>
      </w:rPr>
      <w:t>E</w:t>
    </w:r>
    <w:r w:rsidR="0024444E">
      <w:rPr>
        <w:rFonts w:ascii="Times New Roman" w:hAnsi="Times New Roman" w:cs="Times New Roman"/>
        <w:noProof/>
        <w:sz w:val="16"/>
        <w:szCs w:val="16"/>
      </w:rPr>
      <w:t>MAnot_15122020_</w:t>
    </w:r>
    <w:r w:rsidR="00B52F3E">
      <w:rPr>
        <w:rFonts w:ascii="Times New Roman" w:hAnsi="Times New Roman" w:cs="Times New Roman"/>
        <w:noProof/>
        <w:sz w:val="16"/>
        <w:szCs w:val="16"/>
      </w:rPr>
      <w:t>prekursori</w:t>
    </w:r>
    <w:r w:rsidRPr="006950D7">
      <w:rPr>
        <w:rFonts w:ascii="Times New Roman" w:hAnsi="Times New Roman" w:cs="Times New Roman"/>
        <w:sz w:val="16"/>
        <w:szCs w:val="16"/>
      </w:rPr>
      <w:fldChar w:fldCharType="end"/>
    </w:r>
    <w:r w:rsidR="00096CAF" w:rsidRPr="006950D7">
      <w:rPr>
        <w:rFonts w:ascii="Times New Roman" w:hAnsi="Times New Roman" w:cs="Times New Roman"/>
        <w:sz w:val="16"/>
        <w:szCs w:val="16"/>
      </w:rPr>
      <w:t xml:space="preserve">; </w:t>
    </w:r>
    <w:r w:rsidR="005A0AFE" w:rsidRPr="006950D7">
      <w:rPr>
        <w:rFonts w:ascii="Times New Roman" w:hAnsi="Times New Roman" w:cs="Times New Roman"/>
        <w:sz w:val="16"/>
        <w:szCs w:val="16"/>
      </w:rPr>
      <w:t>Ministru kabineta noteikum</w:t>
    </w:r>
    <w:r w:rsidR="00940B09" w:rsidRPr="006950D7">
      <w:rPr>
        <w:rFonts w:ascii="Times New Roman" w:hAnsi="Times New Roman" w:cs="Times New Roman"/>
        <w:sz w:val="16"/>
        <w:szCs w:val="16"/>
      </w:rPr>
      <w:t xml:space="preserve">u </w:t>
    </w:r>
    <w:r w:rsidR="005A0AFE" w:rsidRPr="006950D7">
      <w:rPr>
        <w:rFonts w:ascii="Times New Roman" w:hAnsi="Times New Roman" w:cs="Times New Roman"/>
        <w:sz w:val="16"/>
        <w:szCs w:val="16"/>
      </w:rPr>
      <w:t xml:space="preserve"> “Kārtība, kādā ziņo par sprāgstvielu prekursoriem”</w:t>
    </w:r>
    <w:r w:rsidR="00940B09" w:rsidRPr="006950D7">
      <w:rPr>
        <w:rFonts w:ascii="Times New Roman" w:hAnsi="Times New Roman" w:cs="Times New Roman"/>
        <w:sz w:val="16"/>
        <w:szCs w:val="16"/>
      </w:rPr>
      <w:t xml:space="preserve"> </w:t>
    </w:r>
    <w:r w:rsidR="00940B09" w:rsidRPr="006950D7">
      <w:rPr>
        <w:rFonts w:ascii="Times New Roman" w:eastAsia="Times New Roman" w:hAnsi="Times New Roman" w:cs="Times New Roman"/>
        <w:bCs/>
        <w:sz w:val="16"/>
        <w:szCs w:val="16"/>
        <w:lang w:eastAsia="lv-LV"/>
      </w:rPr>
      <w:t>sākotnējās ietekmes</w:t>
    </w:r>
    <w:r w:rsidR="00940B09" w:rsidRPr="002247F3">
      <w:rPr>
        <w:rFonts w:ascii="Times New Roman" w:eastAsia="Times New Roman" w:hAnsi="Times New Roman" w:cs="Times New Roman"/>
        <w:bCs/>
        <w:sz w:val="16"/>
        <w:szCs w:val="16"/>
        <w:lang w:eastAsia="lv-LV"/>
      </w:rPr>
      <w:t xml:space="preserve">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C9765" w14:textId="10B011A2" w:rsidR="00940B09" w:rsidRPr="00940B09" w:rsidRDefault="006950D7" w:rsidP="00940B09">
    <w:pPr>
      <w:pStyle w:val="Footer"/>
      <w:jc w:val="both"/>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sidR="008F33E5">
      <w:rPr>
        <w:rFonts w:ascii="Times New Roman" w:hAnsi="Times New Roman" w:cs="Times New Roman"/>
        <w:noProof/>
        <w:sz w:val="16"/>
        <w:szCs w:val="16"/>
      </w:rPr>
      <w:t>IE</w:t>
    </w:r>
    <w:r w:rsidR="0024444E">
      <w:rPr>
        <w:rFonts w:ascii="Times New Roman" w:hAnsi="Times New Roman" w:cs="Times New Roman"/>
        <w:noProof/>
        <w:sz w:val="16"/>
        <w:szCs w:val="16"/>
      </w:rPr>
      <w:t>MAnot_15122020</w:t>
    </w:r>
    <w:r w:rsidR="00B52F3E">
      <w:rPr>
        <w:rFonts w:ascii="Times New Roman" w:hAnsi="Times New Roman" w:cs="Times New Roman"/>
        <w:noProof/>
        <w:sz w:val="16"/>
        <w:szCs w:val="16"/>
      </w:rPr>
      <w:t>_prekursori</w:t>
    </w:r>
    <w:r>
      <w:rPr>
        <w:rFonts w:ascii="Times New Roman" w:hAnsi="Times New Roman" w:cs="Times New Roman"/>
        <w:sz w:val="16"/>
        <w:szCs w:val="16"/>
      </w:rPr>
      <w:fldChar w:fldCharType="end"/>
    </w:r>
    <w:r w:rsidR="00940B09" w:rsidRPr="00940B09">
      <w:rPr>
        <w:rFonts w:ascii="Times New Roman" w:hAnsi="Times New Roman" w:cs="Times New Roman"/>
        <w:sz w:val="16"/>
        <w:szCs w:val="16"/>
      </w:rPr>
      <w:t xml:space="preserve">; Ministru kabineta noteikumu “Kārtība, kādā ziņo par sprāgstvielu prekursoriem” </w:t>
    </w:r>
    <w:r w:rsidR="00940B09" w:rsidRPr="00940B09">
      <w:rPr>
        <w:rFonts w:ascii="Times New Roman" w:hAnsi="Times New Roman" w:cs="Times New Roman"/>
        <w:bCs/>
        <w:sz w:val="16"/>
        <w:szCs w:val="16"/>
      </w:rPr>
      <w:t>sākotnējās ietekmes novērtējuma ziņojums (anotācija)</w:t>
    </w:r>
  </w:p>
  <w:p w14:paraId="780BBB0B" w14:textId="42BD40C6" w:rsidR="00AF6DCA" w:rsidRPr="004325AA" w:rsidRDefault="00AF6DCA" w:rsidP="004325AA">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6C48C" w14:textId="77777777" w:rsidR="00116344" w:rsidRDefault="00116344" w:rsidP="004D15A9">
      <w:pPr>
        <w:spacing w:after="0" w:line="240" w:lineRule="auto"/>
      </w:pPr>
      <w:r>
        <w:separator/>
      </w:r>
    </w:p>
  </w:footnote>
  <w:footnote w:type="continuationSeparator" w:id="0">
    <w:p w14:paraId="65F58ED3" w14:textId="77777777" w:rsidR="00116344" w:rsidRDefault="00116344"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36230928"/>
      <w:docPartObj>
        <w:docPartGallery w:val="Page Numbers (Top of Page)"/>
        <w:docPartUnique/>
      </w:docPartObj>
    </w:sdtPr>
    <w:sdtEndPr>
      <w:rPr>
        <w:rFonts w:ascii="Times New Roman" w:hAnsi="Times New Roman" w:cs="Times New Roman"/>
      </w:rPr>
    </w:sdtEndPr>
    <w:sdtContent>
      <w:p w14:paraId="4CB5EE4A" w14:textId="62AB1537" w:rsidR="00AF6DCA" w:rsidRPr="002247F3" w:rsidRDefault="00AF6DCA" w:rsidP="00940B09">
        <w:pPr>
          <w:pStyle w:val="Header"/>
          <w:jc w:val="center"/>
          <w:rPr>
            <w:rFonts w:ascii="Times New Roman" w:hAnsi="Times New Roman" w:cs="Times New Roman"/>
            <w:sz w:val="16"/>
            <w:szCs w:val="16"/>
          </w:rPr>
        </w:pPr>
        <w:r w:rsidRPr="002247F3">
          <w:rPr>
            <w:rFonts w:ascii="Times New Roman" w:hAnsi="Times New Roman" w:cs="Times New Roman"/>
            <w:sz w:val="16"/>
            <w:szCs w:val="16"/>
          </w:rPr>
          <w:fldChar w:fldCharType="begin"/>
        </w:r>
        <w:r w:rsidRPr="002247F3">
          <w:rPr>
            <w:rFonts w:ascii="Times New Roman" w:hAnsi="Times New Roman" w:cs="Times New Roman"/>
            <w:sz w:val="16"/>
            <w:szCs w:val="16"/>
          </w:rPr>
          <w:instrText>PAGE   \* MERGEFORMAT</w:instrText>
        </w:r>
        <w:r w:rsidRPr="002247F3">
          <w:rPr>
            <w:rFonts w:ascii="Times New Roman" w:hAnsi="Times New Roman" w:cs="Times New Roman"/>
            <w:sz w:val="16"/>
            <w:szCs w:val="16"/>
          </w:rPr>
          <w:fldChar w:fldCharType="separate"/>
        </w:r>
        <w:r w:rsidR="00B52F3E">
          <w:rPr>
            <w:rFonts w:ascii="Times New Roman" w:hAnsi="Times New Roman" w:cs="Times New Roman"/>
            <w:noProof/>
            <w:sz w:val="16"/>
            <w:szCs w:val="16"/>
          </w:rPr>
          <w:t>9</w:t>
        </w:r>
        <w:r w:rsidRPr="002247F3">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F6102"/>
    <w:multiLevelType w:val="hybridMultilevel"/>
    <w:tmpl w:val="354861CE"/>
    <w:lvl w:ilvl="0" w:tplc="9C7A7C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E02EC0"/>
    <w:multiLevelType w:val="hybridMultilevel"/>
    <w:tmpl w:val="AE52F11E"/>
    <w:lvl w:ilvl="0" w:tplc="1C6CC330">
      <w:start w:val="1"/>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9"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3"/>
  </w:num>
  <w:num w:numId="6">
    <w:abstractNumId w:val="1"/>
  </w:num>
  <w:num w:numId="7">
    <w:abstractNumId w:val="10"/>
  </w:num>
  <w:num w:numId="8">
    <w:abstractNumId w:val="4"/>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13B64"/>
    <w:rsid w:val="000158DF"/>
    <w:rsid w:val="0002190D"/>
    <w:rsid w:val="00022FCC"/>
    <w:rsid w:val="0002314D"/>
    <w:rsid w:val="00023A6E"/>
    <w:rsid w:val="00025233"/>
    <w:rsid w:val="00026A41"/>
    <w:rsid w:val="00026B70"/>
    <w:rsid w:val="00027590"/>
    <w:rsid w:val="00027620"/>
    <w:rsid w:val="00031256"/>
    <w:rsid w:val="00036D1F"/>
    <w:rsid w:val="00044A0C"/>
    <w:rsid w:val="00060BCA"/>
    <w:rsid w:val="00062767"/>
    <w:rsid w:val="000800E0"/>
    <w:rsid w:val="00080D8C"/>
    <w:rsid w:val="0008129B"/>
    <w:rsid w:val="00084728"/>
    <w:rsid w:val="00087AE4"/>
    <w:rsid w:val="00092DF8"/>
    <w:rsid w:val="00096CAF"/>
    <w:rsid w:val="000A2465"/>
    <w:rsid w:val="000A368D"/>
    <w:rsid w:val="000B228C"/>
    <w:rsid w:val="000B5709"/>
    <w:rsid w:val="000B7854"/>
    <w:rsid w:val="000B7F85"/>
    <w:rsid w:val="000C12C0"/>
    <w:rsid w:val="000C1F7C"/>
    <w:rsid w:val="000C24F2"/>
    <w:rsid w:val="000D5103"/>
    <w:rsid w:val="000D5587"/>
    <w:rsid w:val="000E05F5"/>
    <w:rsid w:val="000E29AD"/>
    <w:rsid w:val="000E7421"/>
    <w:rsid w:val="000F4961"/>
    <w:rsid w:val="00101101"/>
    <w:rsid w:val="00101CD5"/>
    <w:rsid w:val="00110EFE"/>
    <w:rsid w:val="001113D9"/>
    <w:rsid w:val="00112733"/>
    <w:rsid w:val="001139C6"/>
    <w:rsid w:val="00114EDA"/>
    <w:rsid w:val="00116344"/>
    <w:rsid w:val="001202FF"/>
    <w:rsid w:val="00121D7D"/>
    <w:rsid w:val="00122A6C"/>
    <w:rsid w:val="00123434"/>
    <w:rsid w:val="001277B2"/>
    <w:rsid w:val="00130029"/>
    <w:rsid w:val="00132959"/>
    <w:rsid w:val="00147651"/>
    <w:rsid w:val="00147EC6"/>
    <w:rsid w:val="0015107E"/>
    <w:rsid w:val="00157630"/>
    <w:rsid w:val="00162457"/>
    <w:rsid w:val="00164B63"/>
    <w:rsid w:val="00167254"/>
    <w:rsid w:val="00170024"/>
    <w:rsid w:val="0017030E"/>
    <w:rsid w:val="00171F7A"/>
    <w:rsid w:val="00176F15"/>
    <w:rsid w:val="00187543"/>
    <w:rsid w:val="00191EC7"/>
    <w:rsid w:val="00195A51"/>
    <w:rsid w:val="001A27E7"/>
    <w:rsid w:val="001A4505"/>
    <w:rsid w:val="001A452B"/>
    <w:rsid w:val="001C7A1E"/>
    <w:rsid w:val="001D3D28"/>
    <w:rsid w:val="001E0CE5"/>
    <w:rsid w:val="001E57CB"/>
    <w:rsid w:val="001F4D51"/>
    <w:rsid w:val="00204677"/>
    <w:rsid w:val="0020705B"/>
    <w:rsid w:val="002072BF"/>
    <w:rsid w:val="00212912"/>
    <w:rsid w:val="0021300A"/>
    <w:rsid w:val="002140F0"/>
    <w:rsid w:val="0021473A"/>
    <w:rsid w:val="00222618"/>
    <w:rsid w:val="002247F3"/>
    <w:rsid w:val="00225313"/>
    <w:rsid w:val="00226D89"/>
    <w:rsid w:val="00227B96"/>
    <w:rsid w:val="00231DFD"/>
    <w:rsid w:val="00233155"/>
    <w:rsid w:val="00241708"/>
    <w:rsid w:val="0024444E"/>
    <w:rsid w:val="002447B1"/>
    <w:rsid w:val="00246069"/>
    <w:rsid w:val="00247880"/>
    <w:rsid w:val="00251524"/>
    <w:rsid w:val="0026384E"/>
    <w:rsid w:val="002658F8"/>
    <w:rsid w:val="00273EBE"/>
    <w:rsid w:val="0027546A"/>
    <w:rsid w:val="002770A1"/>
    <w:rsid w:val="0028388D"/>
    <w:rsid w:val="002927A4"/>
    <w:rsid w:val="002A594B"/>
    <w:rsid w:val="002B0CD9"/>
    <w:rsid w:val="002B2AB3"/>
    <w:rsid w:val="002B56DA"/>
    <w:rsid w:val="002B67E3"/>
    <w:rsid w:val="002C0E4A"/>
    <w:rsid w:val="002C22FC"/>
    <w:rsid w:val="002C41DE"/>
    <w:rsid w:val="002C7356"/>
    <w:rsid w:val="002D060B"/>
    <w:rsid w:val="002D1B55"/>
    <w:rsid w:val="002D26D9"/>
    <w:rsid w:val="002D2810"/>
    <w:rsid w:val="002D2B9D"/>
    <w:rsid w:val="002D5D32"/>
    <w:rsid w:val="002E1613"/>
    <w:rsid w:val="002E4191"/>
    <w:rsid w:val="002E5359"/>
    <w:rsid w:val="002E64C5"/>
    <w:rsid w:val="002E655D"/>
    <w:rsid w:val="002F0D41"/>
    <w:rsid w:val="00303ABD"/>
    <w:rsid w:val="00305493"/>
    <w:rsid w:val="00310213"/>
    <w:rsid w:val="00310286"/>
    <w:rsid w:val="003141EE"/>
    <w:rsid w:val="00320BDB"/>
    <w:rsid w:val="00332A21"/>
    <w:rsid w:val="00335F07"/>
    <w:rsid w:val="00336BFE"/>
    <w:rsid w:val="00341442"/>
    <w:rsid w:val="00346A5A"/>
    <w:rsid w:val="0035528F"/>
    <w:rsid w:val="003578DB"/>
    <w:rsid w:val="00365559"/>
    <w:rsid w:val="00365602"/>
    <w:rsid w:val="00365A7A"/>
    <w:rsid w:val="00366148"/>
    <w:rsid w:val="00367752"/>
    <w:rsid w:val="00371198"/>
    <w:rsid w:val="0037160C"/>
    <w:rsid w:val="0038224C"/>
    <w:rsid w:val="00382704"/>
    <w:rsid w:val="00383264"/>
    <w:rsid w:val="003922B0"/>
    <w:rsid w:val="00394BC1"/>
    <w:rsid w:val="003968AD"/>
    <w:rsid w:val="003A2A0B"/>
    <w:rsid w:val="003A5338"/>
    <w:rsid w:val="003A63C0"/>
    <w:rsid w:val="003B3543"/>
    <w:rsid w:val="003D7E9D"/>
    <w:rsid w:val="003E08AB"/>
    <w:rsid w:val="003E1C79"/>
    <w:rsid w:val="003E23AB"/>
    <w:rsid w:val="003E7472"/>
    <w:rsid w:val="003F2765"/>
    <w:rsid w:val="003F5F0D"/>
    <w:rsid w:val="003F65B0"/>
    <w:rsid w:val="004105A8"/>
    <w:rsid w:val="004131F6"/>
    <w:rsid w:val="0041691A"/>
    <w:rsid w:val="00417431"/>
    <w:rsid w:val="00417CF5"/>
    <w:rsid w:val="0042025D"/>
    <w:rsid w:val="00422993"/>
    <w:rsid w:val="00422B7A"/>
    <w:rsid w:val="004325AA"/>
    <w:rsid w:val="00436699"/>
    <w:rsid w:val="00437441"/>
    <w:rsid w:val="00440DCC"/>
    <w:rsid w:val="004548A6"/>
    <w:rsid w:val="004579C9"/>
    <w:rsid w:val="00461275"/>
    <w:rsid w:val="00461E13"/>
    <w:rsid w:val="0046519A"/>
    <w:rsid w:val="0047574C"/>
    <w:rsid w:val="00475F45"/>
    <w:rsid w:val="0048561D"/>
    <w:rsid w:val="00490B18"/>
    <w:rsid w:val="0049295E"/>
    <w:rsid w:val="00493164"/>
    <w:rsid w:val="00494175"/>
    <w:rsid w:val="00494B83"/>
    <w:rsid w:val="00497F79"/>
    <w:rsid w:val="004A2574"/>
    <w:rsid w:val="004A29D6"/>
    <w:rsid w:val="004B6DCD"/>
    <w:rsid w:val="004B7F4B"/>
    <w:rsid w:val="004C6BBF"/>
    <w:rsid w:val="004D15A9"/>
    <w:rsid w:val="004D36B2"/>
    <w:rsid w:val="004E0D05"/>
    <w:rsid w:val="004E173B"/>
    <w:rsid w:val="004E2A41"/>
    <w:rsid w:val="004F3112"/>
    <w:rsid w:val="004F44DC"/>
    <w:rsid w:val="004F6142"/>
    <w:rsid w:val="004F6F30"/>
    <w:rsid w:val="00507164"/>
    <w:rsid w:val="00507741"/>
    <w:rsid w:val="00507B11"/>
    <w:rsid w:val="00510282"/>
    <w:rsid w:val="00510E35"/>
    <w:rsid w:val="00511961"/>
    <w:rsid w:val="005137AA"/>
    <w:rsid w:val="00515CEE"/>
    <w:rsid w:val="00515DA1"/>
    <w:rsid w:val="00517F68"/>
    <w:rsid w:val="00520647"/>
    <w:rsid w:val="005206CA"/>
    <w:rsid w:val="00521EB3"/>
    <w:rsid w:val="0055603A"/>
    <w:rsid w:val="00571733"/>
    <w:rsid w:val="00571858"/>
    <w:rsid w:val="00576583"/>
    <w:rsid w:val="0058231F"/>
    <w:rsid w:val="00585268"/>
    <w:rsid w:val="005857C1"/>
    <w:rsid w:val="00590F3D"/>
    <w:rsid w:val="005919F4"/>
    <w:rsid w:val="00593A3C"/>
    <w:rsid w:val="00593F06"/>
    <w:rsid w:val="00595E1C"/>
    <w:rsid w:val="00597635"/>
    <w:rsid w:val="005A0AFE"/>
    <w:rsid w:val="005A152B"/>
    <w:rsid w:val="005B0E9C"/>
    <w:rsid w:val="005B3047"/>
    <w:rsid w:val="005C20FF"/>
    <w:rsid w:val="005C54FB"/>
    <w:rsid w:val="005D315A"/>
    <w:rsid w:val="005D3283"/>
    <w:rsid w:val="005D3317"/>
    <w:rsid w:val="005D4E8A"/>
    <w:rsid w:val="005D51CD"/>
    <w:rsid w:val="005E2ECE"/>
    <w:rsid w:val="005E5216"/>
    <w:rsid w:val="005E7ED4"/>
    <w:rsid w:val="005F191C"/>
    <w:rsid w:val="005F5203"/>
    <w:rsid w:val="00600FF0"/>
    <w:rsid w:val="00606DAF"/>
    <w:rsid w:val="00612A92"/>
    <w:rsid w:val="006200E8"/>
    <w:rsid w:val="00620E37"/>
    <w:rsid w:val="0062148C"/>
    <w:rsid w:val="00623931"/>
    <w:rsid w:val="00631CE4"/>
    <w:rsid w:val="00636793"/>
    <w:rsid w:val="00641442"/>
    <w:rsid w:val="00644627"/>
    <w:rsid w:val="00654C90"/>
    <w:rsid w:val="00657AF5"/>
    <w:rsid w:val="00660136"/>
    <w:rsid w:val="006614F6"/>
    <w:rsid w:val="00661558"/>
    <w:rsid w:val="00677EF3"/>
    <w:rsid w:val="0068034D"/>
    <w:rsid w:val="00683265"/>
    <w:rsid w:val="00692214"/>
    <w:rsid w:val="00693300"/>
    <w:rsid w:val="00693350"/>
    <w:rsid w:val="006950D7"/>
    <w:rsid w:val="006A2195"/>
    <w:rsid w:val="006A76EA"/>
    <w:rsid w:val="006A77B2"/>
    <w:rsid w:val="006B11FC"/>
    <w:rsid w:val="006B3585"/>
    <w:rsid w:val="006B7C6C"/>
    <w:rsid w:val="006B7CBF"/>
    <w:rsid w:val="006C5402"/>
    <w:rsid w:val="006D377A"/>
    <w:rsid w:val="006F0423"/>
    <w:rsid w:val="006F240F"/>
    <w:rsid w:val="006F5E36"/>
    <w:rsid w:val="00705D70"/>
    <w:rsid w:val="00705FA9"/>
    <w:rsid w:val="007117BB"/>
    <w:rsid w:val="007127A6"/>
    <w:rsid w:val="0071293B"/>
    <w:rsid w:val="00713854"/>
    <w:rsid w:val="00717394"/>
    <w:rsid w:val="00720D07"/>
    <w:rsid w:val="00722181"/>
    <w:rsid w:val="00723C5D"/>
    <w:rsid w:val="00723E36"/>
    <w:rsid w:val="007428C1"/>
    <w:rsid w:val="00753CB5"/>
    <w:rsid w:val="00761117"/>
    <w:rsid w:val="0076457C"/>
    <w:rsid w:val="007659C2"/>
    <w:rsid w:val="00771F7F"/>
    <w:rsid w:val="00774543"/>
    <w:rsid w:val="00775927"/>
    <w:rsid w:val="0077701B"/>
    <w:rsid w:val="0079080A"/>
    <w:rsid w:val="0079081E"/>
    <w:rsid w:val="007A050E"/>
    <w:rsid w:val="007B514E"/>
    <w:rsid w:val="007B7F74"/>
    <w:rsid w:val="007C2423"/>
    <w:rsid w:val="007C3DDB"/>
    <w:rsid w:val="007C5FF1"/>
    <w:rsid w:val="007C68F9"/>
    <w:rsid w:val="007D4142"/>
    <w:rsid w:val="007D5BC8"/>
    <w:rsid w:val="007D67A4"/>
    <w:rsid w:val="007D6B35"/>
    <w:rsid w:val="007D7B47"/>
    <w:rsid w:val="007E43F6"/>
    <w:rsid w:val="007E5036"/>
    <w:rsid w:val="007E63CB"/>
    <w:rsid w:val="007E6B77"/>
    <w:rsid w:val="007F1C8A"/>
    <w:rsid w:val="007F1FE5"/>
    <w:rsid w:val="007F2FAA"/>
    <w:rsid w:val="007F52F8"/>
    <w:rsid w:val="007F707B"/>
    <w:rsid w:val="00802FE7"/>
    <w:rsid w:val="00811F7E"/>
    <w:rsid w:val="0081203F"/>
    <w:rsid w:val="0082247C"/>
    <w:rsid w:val="008245DE"/>
    <w:rsid w:val="00826B33"/>
    <w:rsid w:val="00835590"/>
    <w:rsid w:val="00841836"/>
    <w:rsid w:val="00842216"/>
    <w:rsid w:val="00844B64"/>
    <w:rsid w:val="0085349F"/>
    <w:rsid w:val="00860B63"/>
    <w:rsid w:val="008665E0"/>
    <w:rsid w:val="00876FFB"/>
    <w:rsid w:val="00884BAE"/>
    <w:rsid w:val="00886B4E"/>
    <w:rsid w:val="008A1CD4"/>
    <w:rsid w:val="008A6173"/>
    <w:rsid w:val="008A62FA"/>
    <w:rsid w:val="008B65D3"/>
    <w:rsid w:val="008B673D"/>
    <w:rsid w:val="008C477E"/>
    <w:rsid w:val="008D20D1"/>
    <w:rsid w:val="008D51E4"/>
    <w:rsid w:val="008E2F21"/>
    <w:rsid w:val="008E3881"/>
    <w:rsid w:val="008E4300"/>
    <w:rsid w:val="008E4346"/>
    <w:rsid w:val="008E4CAD"/>
    <w:rsid w:val="008E4E93"/>
    <w:rsid w:val="008E70AA"/>
    <w:rsid w:val="008F1D91"/>
    <w:rsid w:val="008F33E5"/>
    <w:rsid w:val="008F380F"/>
    <w:rsid w:val="008F40AA"/>
    <w:rsid w:val="008F4194"/>
    <w:rsid w:val="008F5402"/>
    <w:rsid w:val="008F7F61"/>
    <w:rsid w:val="009009F4"/>
    <w:rsid w:val="009100A2"/>
    <w:rsid w:val="009137D1"/>
    <w:rsid w:val="009138AC"/>
    <w:rsid w:val="009219C1"/>
    <w:rsid w:val="00921C2B"/>
    <w:rsid w:val="00923C34"/>
    <w:rsid w:val="00924938"/>
    <w:rsid w:val="00930DAF"/>
    <w:rsid w:val="00937BCA"/>
    <w:rsid w:val="00940B09"/>
    <w:rsid w:val="00945BB6"/>
    <w:rsid w:val="009518B3"/>
    <w:rsid w:val="00952FF4"/>
    <w:rsid w:val="009536F4"/>
    <w:rsid w:val="00960036"/>
    <w:rsid w:val="00964B92"/>
    <w:rsid w:val="0097093B"/>
    <w:rsid w:val="00971362"/>
    <w:rsid w:val="009726CB"/>
    <w:rsid w:val="009733BB"/>
    <w:rsid w:val="0097690A"/>
    <w:rsid w:val="00981061"/>
    <w:rsid w:val="0098464F"/>
    <w:rsid w:val="00986533"/>
    <w:rsid w:val="009922A5"/>
    <w:rsid w:val="0099258A"/>
    <w:rsid w:val="00997954"/>
    <w:rsid w:val="009A36EB"/>
    <w:rsid w:val="009B1B72"/>
    <w:rsid w:val="009B2E11"/>
    <w:rsid w:val="009B4744"/>
    <w:rsid w:val="009B6C1D"/>
    <w:rsid w:val="009B739F"/>
    <w:rsid w:val="009D03F8"/>
    <w:rsid w:val="009E3428"/>
    <w:rsid w:val="009E44BF"/>
    <w:rsid w:val="009F14F6"/>
    <w:rsid w:val="00A00DFE"/>
    <w:rsid w:val="00A02CC5"/>
    <w:rsid w:val="00A0353D"/>
    <w:rsid w:val="00A03C78"/>
    <w:rsid w:val="00A07648"/>
    <w:rsid w:val="00A1270F"/>
    <w:rsid w:val="00A20195"/>
    <w:rsid w:val="00A21556"/>
    <w:rsid w:val="00A21699"/>
    <w:rsid w:val="00A313E1"/>
    <w:rsid w:val="00A37E28"/>
    <w:rsid w:val="00A432B1"/>
    <w:rsid w:val="00A4339B"/>
    <w:rsid w:val="00A4555F"/>
    <w:rsid w:val="00A53412"/>
    <w:rsid w:val="00A538EF"/>
    <w:rsid w:val="00A54978"/>
    <w:rsid w:val="00A559F5"/>
    <w:rsid w:val="00A64835"/>
    <w:rsid w:val="00A76D80"/>
    <w:rsid w:val="00A7720C"/>
    <w:rsid w:val="00A82D86"/>
    <w:rsid w:val="00A86704"/>
    <w:rsid w:val="00A87A29"/>
    <w:rsid w:val="00A91C11"/>
    <w:rsid w:val="00A94B78"/>
    <w:rsid w:val="00A95650"/>
    <w:rsid w:val="00AA3B77"/>
    <w:rsid w:val="00AA40CE"/>
    <w:rsid w:val="00AB46DD"/>
    <w:rsid w:val="00AB6562"/>
    <w:rsid w:val="00AD5640"/>
    <w:rsid w:val="00AD7806"/>
    <w:rsid w:val="00AE0135"/>
    <w:rsid w:val="00AE0274"/>
    <w:rsid w:val="00AE0458"/>
    <w:rsid w:val="00AE7F1D"/>
    <w:rsid w:val="00AF5559"/>
    <w:rsid w:val="00AF6DCA"/>
    <w:rsid w:val="00B1359E"/>
    <w:rsid w:val="00B16873"/>
    <w:rsid w:val="00B23A09"/>
    <w:rsid w:val="00B3105F"/>
    <w:rsid w:val="00B310C8"/>
    <w:rsid w:val="00B33104"/>
    <w:rsid w:val="00B41EE6"/>
    <w:rsid w:val="00B45F1E"/>
    <w:rsid w:val="00B478C9"/>
    <w:rsid w:val="00B5101D"/>
    <w:rsid w:val="00B52F3E"/>
    <w:rsid w:val="00B620BC"/>
    <w:rsid w:val="00B6440A"/>
    <w:rsid w:val="00B64632"/>
    <w:rsid w:val="00B65B03"/>
    <w:rsid w:val="00B74BB5"/>
    <w:rsid w:val="00B805DA"/>
    <w:rsid w:val="00B82830"/>
    <w:rsid w:val="00B83E85"/>
    <w:rsid w:val="00B8454A"/>
    <w:rsid w:val="00B86042"/>
    <w:rsid w:val="00B90938"/>
    <w:rsid w:val="00B9527F"/>
    <w:rsid w:val="00BB1F46"/>
    <w:rsid w:val="00BB4D7E"/>
    <w:rsid w:val="00BC0F79"/>
    <w:rsid w:val="00BC5520"/>
    <w:rsid w:val="00BC6584"/>
    <w:rsid w:val="00BD2256"/>
    <w:rsid w:val="00BE20A6"/>
    <w:rsid w:val="00BE5424"/>
    <w:rsid w:val="00BE6A1C"/>
    <w:rsid w:val="00BE7666"/>
    <w:rsid w:val="00BF3D99"/>
    <w:rsid w:val="00BF6C77"/>
    <w:rsid w:val="00C00150"/>
    <w:rsid w:val="00C07135"/>
    <w:rsid w:val="00C10A98"/>
    <w:rsid w:val="00C113C2"/>
    <w:rsid w:val="00C1453B"/>
    <w:rsid w:val="00C14FCB"/>
    <w:rsid w:val="00C20CC3"/>
    <w:rsid w:val="00C374DC"/>
    <w:rsid w:val="00C37C55"/>
    <w:rsid w:val="00C37C7A"/>
    <w:rsid w:val="00C40F88"/>
    <w:rsid w:val="00C54BA3"/>
    <w:rsid w:val="00C642A7"/>
    <w:rsid w:val="00C76567"/>
    <w:rsid w:val="00C81AAA"/>
    <w:rsid w:val="00C9337B"/>
    <w:rsid w:val="00C934D3"/>
    <w:rsid w:val="00CA11E0"/>
    <w:rsid w:val="00CB0778"/>
    <w:rsid w:val="00CB14D7"/>
    <w:rsid w:val="00CB2AEC"/>
    <w:rsid w:val="00CB6B75"/>
    <w:rsid w:val="00CC36A4"/>
    <w:rsid w:val="00CC54BD"/>
    <w:rsid w:val="00CC756D"/>
    <w:rsid w:val="00CD09EC"/>
    <w:rsid w:val="00CD20FA"/>
    <w:rsid w:val="00CD5722"/>
    <w:rsid w:val="00CD791A"/>
    <w:rsid w:val="00CE00FF"/>
    <w:rsid w:val="00CE3ED1"/>
    <w:rsid w:val="00CF59F6"/>
    <w:rsid w:val="00CF5F2C"/>
    <w:rsid w:val="00D02DFB"/>
    <w:rsid w:val="00D0424D"/>
    <w:rsid w:val="00D173E3"/>
    <w:rsid w:val="00D21CE4"/>
    <w:rsid w:val="00D232BE"/>
    <w:rsid w:val="00D27B1B"/>
    <w:rsid w:val="00D313D5"/>
    <w:rsid w:val="00D32D37"/>
    <w:rsid w:val="00D332F3"/>
    <w:rsid w:val="00D37B45"/>
    <w:rsid w:val="00D456EF"/>
    <w:rsid w:val="00D6209F"/>
    <w:rsid w:val="00D651EE"/>
    <w:rsid w:val="00D678A4"/>
    <w:rsid w:val="00D76F34"/>
    <w:rsid w:val="00D85B1F"/>
    <w:rsid w:val="00D9458F"/>
    <w:rsid w:val="00D95D66"/>
    <w:rsid w:val="00D971D6"/>
    <w:rsid w:val="00DA29ED"/>
    <w:rsid w:val="00DA596D"/>
    <w:rsid w:val="00DB124E"/>
    <w:rsid w:val="00DB12BF"/>
    <w:rsid w:val="00DB2B8F"/>
    <w:rsid w:val="00DB759E"/>
    <w:rsid w:val="00DC1501"/>
    <w:rsid w:val="00DC2A57"/>
    <w:rsid w:val="00DC6050"/>
    <w:rsid w:val="00DD081E"/>
    <w:rsid w:val="00DD7FF2"/>
    <w:rsid w:val="00DE7642"/>
    <w:rsid w:val="00DE78C6"/>
    <w:rsid w:val="00DE7F00"/>
    <w:rsid w:val="00E04927"/>
    <w:rsid w:val="00E04933"/>
    <w:rsid w:val="00E104A9"/>
    <w:rsid w:val="00E14621"/>
    <w:rsid w:val="00E148F3"/>
    <w:rsid w:val="00E15CBD"/>
    <w:rsid w:val="00E21130"/>
    <w:rsid w:val="00E24388"/>
    <w:rsid w:val="00E3181A"/>
    <w:rsid w:val="00E329FA"/>
    <w:rsid w:val="00E32D61"/>
    <w:rsid w:val="00E40A6C"/>
    <w:rsid w:val="00E413E4"/>
    <w:rsid w:val="00E47BA2"/>
    <w:rsid w:val="00E52CAF"/>
    <w:rsid w:val="00E53F95"/>
    <w:rsid w:val="00E60E48"/>
    <w:rsid w:val="00E62003"/>
    <w:rsid w:val="00E62E1A"/>
    <w:rsid w:val="00E63B4B"/>
    <w:rsid w:val="00E66466"/>
    <w:rsid w:val="00E75DF2"/>
    <w:rsid w:val="00E8125E"/>
    <w:rsid w:val="00E84DE9"/>
    <w:rsid w:val="00EA00E5"/>
    <w:rsid w:val="00EA15FA"/>
    <w:rsid w:val="00EA2AAB"/>
    <w:rsid w:val="00EA5A6D"/>
    <w:rsid w:val="00EA658B"/>
    <w:rsid w:val="00EB1086"/>
    <w:rsid w:val="00EB180B"/>
    <w:rsid w:val="00EB7ED9"/>
    <w:rsid w:val="00EC034F"/>
    <w:rsid w:val="00EC0EBC"/>
    <w:rsid w:val="00ED573E"/>
    <w:rsid w:val="00EE26B6"/>
    <w:rsid w:val="00EE3498"/>
    <w:rsid w:val="00EF18AB"/>
    <w:rsid w:val="00F02152"/>
    <w:rsid w:val="00F03B13"/>
    <w:rsid w:val="00F13FF0"/>
    <w:rsid w:val="00F2263C"/>
    <w:rsid w:val="00F24BD8"/>
    <w:rsid w:val="00F315AB"/>
    <w:rsid w:val="00F36122"/>
    <w:rsid w:val="00F37CE7"/>
    <w:rsid w:val="00F42693"/>
    <w:rsid w:val="00F44280"/>
    <w:rsid w:val="00F50545"/>
    <w:rsid w:val="00F6215D"/>
    <w:rsid w:val="00F648E1"/>
    <w:rsid w:val="00F65E0B"/>
    <w:rsid w:val="00F6690F"/>
    <w:rsid w:val="00F733B7"/>
    <w:rsid w:val="00F74B8D"/>
    <w:rsid w:val="00F85B06"/>
    <w:rsid w:val="00F962F4"/>
    <w:rsid w:val="00F9667B"/>
    <w:rsid w:val="00F96AD4"/>
    <w:rsid w:val="00FA2F3F"/>
    <w:rsid w:val="00FB0FBF"/>
    <w:rsid w:val="00FC0DE9"/>
    <w:rsid w:val="00FC3B16"/>
    <w:rsid w:val="00FC4AA4"/>
    <w:rsid w:val="00FD0FEA"/>
    <w:rsid w:val="00FE0384"/>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093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spelle">
    <w:name w:val="spelle"/>
    <w:basedOn w:val="DefaultParagraphFont"/>
    <w:rsid w:val="004E0D05"/>
  </w:style>
  <w:style w:type="character" w:customStyle="1" w:styleId="Heading3Char">
    <w:name w:val="Heading 3 Char"/>
    <w:basedOn w:val="DefaultParagraphFont"/>
    <w:link w:val="Heading3"/>
    <w:uiPriority w:val="9"/>
    <w:rsid w:val="0097093B"/>
    <w:rPr>
      <w:rFonts w:ascii="Times New Roman" w:eastAsia="Times New Roman" w:hAnsi="Times New Roman" w:cs="Times New Roman"/>
      <w:b/>
      <w:bCs/>
      <w:sz w:val="27"/>
      <w:szCs w:val="27"/>
      <w:lang w:val="en-US"/>
    </w:rPr>
  </w:style>
  <w:style w:type="character" w:styleId="FollowedHyperlink">
    <w:name w:val="FollowedHyperlink"/>
    <w:basedOn w:val="DefaultParagraphFont"/>
    <w:uiPriority w:val="99"/>
    <w:semiHidden/>
    <w:unhideWhenUsed/>
    <w:rsid w:val="00AE0135"/>
    <w:rPr>
      <w:color w:val="800080" w:themeColor="followedHyperlink"/>
      <w:u w:val="single"/>
    </w:rPr>
  </w:style>
  <w:style w:type="paragraph" w:styleId="EndnoteText">
    <w:name w:val="endnote text"/>
    <w:basedOn w:val="Normal"/>
    <w:link w:val="EndnoteTextChar"/>
    <w:uiPriority w:val="99"/>
    <w:semiHidden/>
    <w:unhideWhenUsed/>
    <w:rsid w:val="003552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528F"/>
    <w:rPr>
      <w:sz w:val="20"/>
      <w:szCs w:val="20"/>
    </w:rPr>
  </w:style>
  <w:style w:type="character" w:styleId="EndnoteReference">
    <w:name w:val="endnote reference"/>
    <w:basedOn w:val="DefaultParagraphFont"/>
    <w:uiPriority w:val="99"/>
    <w:semiHidden/>
    <w:unhideWhenUsed/>
    <w:rsid w:val="003552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1442">
      <w:bodyDiv w:val="1"/>
      <w:marLeft w:val="0"/>
      <w:marRight w:val="0"/>
      <w:marTop w:val="0"/>
      <w:marBottom w:val="0"/>
      <w:divBdr>
        <w:top w:val="none" w:sz="0" w:space="0" w:color="auto"/>
        <w:left w:val="none" w:sz="0" w:space="0" w:color="auto"/>
        <w:bottom w:val="none" w:sz="0" w:space="0" w:color="auto"/>
        <w:right w:val="none" w:sz="0" w:space="0" w:color="auto"/>
      </w:divBdr>
    </w:div>
    <w:div w:id="100153466">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064908232">
      <w:bodyDiv w:val="1"/>
      <w:marLeft w:val="0"/>
      <w:marRight w:val="0"/>
      <w:marTop w:val="0"/>
      <w:marBottom w:val="0"/>
      <w:divBdr>
        <w:top w:val="none" w:sz="0" w:space="0" w:color="auto"/>
        <w:left w:val="none" w:sz="0" w:space="0" w:color="auto"/>
        <w:bottom w:val="none" w:sz="0" w:space="0" w:color="auto"/>
        <w:right w:val="none" w:sz="0" w:space="0" w:color="auto"/>
      </w:divBdr>
    </w:div>
    <w:div w:id="1098214487">
      <w:bodyDiv w:val="1"/>
      <w:marLeft w:val="0"/>
      <w:marRight w:val="0"/>
      <w:marTop w:val="0"/>
      <w:marBottom w:val="0"/>
      <w:divBdr>
        <w:top w:val="none" w:sz="0" w:space="0" w:color="auto"/>
        <w:left w:val="none" w:sz="0" w:space="0" w:color="auto"/>
        <w:bottom w:val="none" w:sz="0" w:space="0" w:color="auto"/>
        <w:right w:val="none" w:sz="0" w:space="0" w:color="auto"/>
      </w:divBdr>
    </w:div>
    <w:div w:id="1279026921">
      <w:bodyDiv w:val="1"/>
      <w:marLeft w:val="0"/>
      <w:marRight w:val="0"/>
      <w:marTop w:val="0"/>
      <w:marBottom w:val="0"/>
      <w:divBdr>
        <w:top w:val="none" w:sz="0" w:space="0" w:color="auto"/>
        <w:left w:val="none" w:sz="0" w:space="0" w:color="auto"/>
        <w:bottom w:val="none" w:sz="0" w:space="0" w:color="auto"/>
        <w:right w:val="none" w:sz="0" w:space="0" w:color="auto"/>
      </w:divBdr>
    </w:div>
    <w:div w:id="1429540812">
      <w:bodyDiv w:val="1"/>
      <w:marLeft w:val="0"/>
      <w:marRight w:val="0"/>
      <w:marTop w:val="0"/>
      <w:marBottom w:val="0"/>
      <w:divBdr>
        <w:top w:val="none" w:sz="0" w:space="0" w:color="auto"/>
        <w:left w:val="none" w:sz="0" w:space="0" w:color="auto"/>
        <w:bottom w:val="none" w:sz="0" w:space="0" w:color="auto"/>
        <w:right w:val="none" w:sz="0" w:space="0" w:color="auto"/>
      </w:divBdr>
    </w:div>
    <w:div w:id="1691760467">
      <w:bodyDiv w:val="1"/>
      <w:marLeft w:val="0"/>
      <w:marRight w:val="0"/>
      <w:marTop w:val="0"/>
      <w:marBottom w:val="0"/>
      <w:divBdr>
        <w:top w:val="none" w:sz="0" w:space="0" w:color="auto"/>
        <w:left w:val="none" w:sz="0" w:space="0" w:color="auto"/>
        <w:bottom w:val="none" w:sz="0" w:space="0" w:color="auto"/>
        <w:right w:val="none" w:sz="0" w:space="0" w:color="auto"/>
      </w:divBdr>
    </w:div>
    <w:div w:id="1889418039">
      <w:bodyDiv w:val="1"/>
      <w:marLeft w:val="0"/>
      <w:marRight w:val="0"/>
      <w:marTop w:val="0"/>
      <w:marBottom w:val="0"/>
      <w:divBdr>
        <w:top w:val="none" w:sz="0" w:space="0" w:color="auto"/>
        <w:left w:val="none" w:sz="0" w:space="0" w:color="auto"/>
        <w:bottom w:val="none" w:sz="0" w:space="0" w:color="auto"/>
        <w:right w:val="none" w:sz="0" w:space="0" w:color="auto"/>
      </w:divBdr>
      <w:divsChild>
        <w:div w:id="1054156103">
          <w:marLeft w:val="0"/>
          <w:marRight w:val="0"/>
          <w:marTop w:val="0"/>
          <w:marBottom w:val="0"/>
          <w:divBdr>
            <w:top w:val="none" w:sz="0" w:space="0" w:color="auto"/>
            <w:left w:val="none" w:sz="0" w:space="0" w:color="auto"/>
            <w:bottom w:val="none" w:sz="0" w:space="0" w:color="auto"/>
            <w:right w:val="none" w:sz="0" w:space="0" w:color="auto"/>
          </w:divBdr>
        </w:div>
        <w:div w:id="716706186">
          <w:marLeft w:val="0"/>
          <w:marRight w:val="0"/>
          <w:marTop w:val="0"/>
          <w:marBottom w:val="0"/>
          <w:divBdr>
            <w:top w:val="none" w:sz="0" w:space="0" w:color="auto"/>
            <w:left w:val="none" w:sz="0" w:space="0" w:color="auto"/>
            <w:bottom w:val="none" w:sz="0" w:space="0" w:color="auto"/>
            <w:right w:val="none" w:sz="0" w:space="0" w:color="auto"/>
          </w:divBdr>
        </w:div>
      </w:divsChild>
    </w:div>
    <w:div w:id="194380510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2019R1148" TargetMode="External"/><Relationship Id="rId13" Type="http://schemas.openxmlformats.org/officeDocument/2006/relationships/hyperlink" Target="https://eur-lex.europa.eu/legal-content/LV/TXT/?uri=CELEX:32019R1148" TargetMode="External"/><Relationship Id="rId18" Type="http://schemas.openxmlformats.org/officeDocument/2006/relationships/hyperlink" Target="https://mk.gov.lv/content/ministru-kabineta-diskusiju-dokument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ur-lex.europa.eu/legal-content/LV/TXT/?uri=CELEX:32019R1148" TargetMode="External"/><Relationship Id="rId17" Type="http://schemas.openxmlformats.org/officeDocument/2006/relationships/hyperlink" Target="http://iem.gov.lv/lat/sadarbiba_ar_nvo/diskusiju_dokumenti/?doc=43162" TargetMode="External"/><Relationship Id="rId2" Type="http://schemas.openxmlformats.org/officeDocument/2006/relationships/numbering" Target="numbering.xml"/><Relationship Id="rId16" Type="http://schemas.openxmlformats.org/officeDocument/2006/relationships/hyperlink" Target="https://eur-lex.europa.eu/legal-content/LV/TXT/?uri=CELEX:32019R114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LV/TXT/?uri=CELEX:32019R1148" TargetMode="External"/><Relationship Id="rId5" Type="http://schemas.openxmlformats.org/officeDocument/2006/relationships/webSettings" Target="webSettings.xml"/><Relationship Id="rId15" Type="http://schemas.openxmlformats.org/officeDocument/2006/relationships/hyperlink" Target="https://eur-lex.europa.eu/legal-content/LV/TXT/?uri=CELEX:32019R1148" TargetMode="External"/><Relationship Id="rId23" Type="http://schemas.openxmlformats.org/officeDocument/2006/relationships/theme" Target="theme/theme1.xml"/><Relationship Id="rId10" Type="http://schemas.openxmlformats.org/officeDocument/2006/relationships/hyperlink" Target="https://eur-lex.europa.eu/legal-content/LV/TXT/?uri=CELEX:32019R114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LV/TXT/?uri=CELEX:32019R1148" TargetMode="External"/><Relationship Id="rId14" Type="http://schemas.openxmlformats.org/officeDocument/2006/relationships/hyperlink" Target="https://eur-lex.europa.eu/legal-content/LV/TXT/?uri=CELEX:32019R1148"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27FE4-4B2F-485E-9E74-85CA6718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13638</Words>
  <Characters>7774</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Oļesja Pavļuka</dc:creator>
  <cp:lastModifiedBy>Karina Zagoskina</cp:lastModifiedBy>
  <cp:revision>7</cp:revision>
  <cp:lastPrinted>2020-12-28T12:14:00Z</cp:lastPrinted>
  <dcterms:created xsi:type="dcterms:W3CDTF">2020-12-15T08:46:00Z</dcterms:created>
  <dcterms:modified xsi:type="dcterms:W3CDTF">2020-12-28T12:46:00Z</dcterms:modified>
</cp:coreProperties>
</file>