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3C" w:rsidRDefault="00753FD9">
      <w:pPr>
        <w:tabs>
          <w:tab w:val="left" w:pos="6663"/>
        </w:tabs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  <w:lang w:eastAsia="zh-CN"/>
        </w:rPr>
        <w:t>PROJEKTS</w:t>
      </w:r>
    </w:p>
    <w:p w:rsidR="00A23B3C" w:rsidRDefault="00A23B3C">
      <w:pPr>
        <w:tabs>
          <w:tab w:val="left" w:pos="6663"/>
        </w:tabs>
        <w:ind w:firstLine="720"/>
        <w:rPr>
          <w:sz w:val="28"/>
          <w:szCs w:val="28"/>
        </w:rPr>
      </w:pPr>
    </w:p>
    <w:p w:rsidR="00A23B3C" w:rsidRDefault="00A23B3C">
      <w:pPr>
        <w:tabs>
          <w:tab w:val="left" w:pos="6663"/>
        </w:tabs>
        <w:ind w:firstLine="720"/>
        <w:rPr>
          <w:sz w:val="28"/>
          <w:szCs w:val="28"/>
        </w:rPr>
      </w:pPr>
    </w:p>
    <w:p w:rsidR="00A23B3C" w:rsidRDefault="00753FD9">
      <w:pPr>
        <w:tabs>
          <w:tab w:val="left" w:pos="68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2021. gada     </w:t>
      </w:r>
      <w:r>
        <w:rPr>
          <w:sz w:val="28"/>
          <w:szCs w:val="28"/>
        </w:rPr>
        <w:tab/>
        <w:t xml:space="preserve">Noteikumi Nr.    </w:t>
      </w:r>
    </w:p>
    <w:p w:rsidR="00A23B3C" w:rsidRDefault="00753FD9">
      <w:pPr>
        <w:tabs>
          <w:tab w:val="left" w:pos="680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          .§)</w:t>
      </w:r>
    </w:p>
    <w:p w:rsidR="00A23B3C" w:rsidRDefault="00A23B3C">
      <w:pPr>
        <w:ind w:firstLine="720"/>
        <w:jc w:val="center"/>
        <w:rPr>
          <w:b/>
          <w:sz w:val="28"/>
          <w:szCs w:val="28"/>
        </w:rPr>
      </w:pPr>
    </w:p>
    <w:p w:rsidR="00A23B3C" w:rsidRDefault="00753F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Ministru kabineta 2017. gada 19. septembra </w:t>
      </w:r>
    </w:p>
    <w:p w:rsidR="00A23B3C" w:rsidRDefault="00753FD9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noteikumos Nr. 566 "</w:t>
      </w:r>
      <w:r>
        <w:rPr>
          <w:b/>
          <w:bCs/>
          <w:sz w:val="28"/>
          <w:szCs w:val="28"/>
        </w:rPr>
        <w:t xml:space="preserve">Noteikumi par informācijas institūcijām un institūcijām, kas izsniedz ārvalstīs iegūtās profesionālās </w:t>
      </w:r>
      <w:r>
        <w:rPr>
          <w:b/>
          <w:bCs/>
          <w:sz w:val="28"/>
          <w:szCs w:val="28"/>
        </w:rPr>
        <w:t>kvalifikācijas atzīšanas apliecības reglamentētajās profesijās</w:t>
      </w:r>
      <w:r>
        <w:rPr>
          <w:b/>
          <w:sz w:val="28"/>
          <w:szCs w:val="28"/>
        </w:rPr>
        <w:t>"</w:t>
      </w:r>
    </w:p>
    <w:p w:rsidR="00A23B3C" w:rsidRDefault="00A23B3C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23B3C" w:rsidRDefault="00753FD9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rFonts w:cs="Arial"/>
          <w:color w:val="414142"/>
          <w:sz w:val="28"/>
          <w:szCs w:val="28"/>
        </w:rPr>
        <w:t>Izdoti saskaņā ar likuma</w:t>
      </w:r>
      <w:r>
        <w:rPr>
          <w:rFonts w:cs="Arial"/>
          <w:i/>
          <w:iCs/>
          <w:color w:val="414142"/>
          <w:sz w:val="28"/>
          <w:szCs w:val="28"/>
        </w:rPr>
        <w:br/>
      </w:r>
      <w:r>
        <w:rPr>
          <w:rFonts w:cs="Arial"/>
          <w:sz w:val="28"/>
          <w:szCs w:val="28"/>
        </w:rPr>
        <w:t>"Par reglamentētajām profesijām un</w:t>
      </w:r>
      <w:r>
        <w:rPr>
          <w:rFonts w:cs="Arial"/>
          <w:sz w:val="28"/>
          <w:szCs w:val="28"/>
        </w:rPr>
        <w:br/>
        <w:t>profesionālās kvalifikācijas atzīšanu"</w:t>
      </w:r>
      <w:r>
        <w:rPr>
          <w:rFonts w:cs="Arial"/>
          <w:sz w:val="28"/>
          <w:szCs w:val="28"/>
        </w:rPr>
        <w:br/>
      </w:r>
      <w:r>
        <w:rPr>
          <w:rFonts w:cs="Arial"/>
          <w:color w:val="414142"/>
          <w:sz w:val="28"/>
          <w:szCs w:val="28"/>
        </w:rPr>
        <w:t>36. panta 3. punktu</w:t>
      </w:r>
      <w:r>
        <w:rPr>
          <w:rFonts w:ascii="Arial" w:hAnsi="Arial" w:cs="Arial"/>
          <w:i/>
          <w:iCs/>
          <w:color w:val="414142"/>
          <w:sz w:val="28"/>
          <w:szCs w:val="28"/>
        </w:rPr>
        <w:br/>
      </w:r>
    </w:p>
    <w:p w:rsidR="00A23B3C" w:rsidRDefault="00753FD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Izdarīt Ministru kabineta 2017. gada 19. septembra noteikumos Nr. 566 "</w:t>
      </w:r>
      <w:r>
        <w:rPr>
          <w:szCs w:val="28"/>
        </w:rPr>
        <w:t>Noteikumi par informācijas institūcijām un institūcijām, kas izsniedz ārvalstīs iegūtās profesionālās kvalifikācijas atzīšanas apliecības reglamentētajās profesijās" (Latvijas Vēstnesis, 2017, 188. nr.; 2019, 63. nr.) šādus grozījumus:</w:t>
      </w:r>
    </w:p>
    <w:p w:rsidR="00A23B3C" w:rsidRDefault="00A23B3C">
      <w:pPr>
        <w:pStyle w:val="Title"/>
        <w:ind w:firstLine="720"/>
        <w:jc w:val="both"/>
        <w:outlineLvl w:val="0"/>
        <w:rPr>
          <w:szCs w:val="28"/>
        </w:rPr>
      </w:pPr>
    </w:p>
    <w:p w:rsidR="00A23B3C" w:rsidRDefault="00753FD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1. Svītrot 1. pieli</w:t>
      </w:r>
      <w:r>
        <w:rPr>
          <w:szCs w:val="28"/>
        </w:rPr>
        <w:t>kuma 1., 2. un 3. punktu.</w:t>
      </w:r>
    </w:p>
    <w:p w:rsidR="00A23B3C" w:rsidRDefault="00A23B3C">
      <w:pPr>
        <w:pStyle w:val="Title"/>
        <w:ind w:firstLine="720"/>
        <w:jc w:val="both"/>
        <w:outlineLvl w:val="0"/>
        <w:rPr>
          <w:szCs w:val="28"/>
        </w:rPr>
      </w:pPr>
    </w:p>
    <w:p w:rsidR="00A23B3C" w:rsidRDefault="00753FD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2. Svītrot 1. pielikuma 5. punktu.</w:t>
      </w:r>
    </w:p>
    <w:p w:rsidR="00A23B3C" w:rsidRDefault="00A23B3C">
      <w:pPr>
        <w:pStyle w:val="Title"/>
        <w:ind w:firstLine="720"/>
        <w:jc w:val="both"/>
        <w:outlineLvl w:val="0"/>
        <w:rPr>
          <w:szCs w:val="28"/>
        </w:rPr>
      </w:pPr>
    </w:p>
    <w:p w:rsidR="00A23B3C" w:rsidRDefault="00753FD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3. Svītrot 1. pielikuma 7. punktu.</w:t>
      </w:r>
    </w:p>
    <w:p w:rsidR="00A23B3C" w:rsidRDefault="00A23B3C">
      <w:pPr>
        <w:pStyle w:val="Title"/>
        <w:ind w:firstLine="720"/>
        <w:jc w:val="both"/>
        <w:outlineLvl w:val="0"/>
        <w:rPr>
          <w:szCs w:val="28"/>
        </w:rPr>
      </w:pPr>
    </w:p>
    <w:p w:rsidR="00A23B3C" w:rsidRDefault="00753FD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4. Aizstāt 2. pielikuma 6. punktā vārdus “Māsas (medicīnas māsas)” ar vārdiem “Māsas (vispārējās aprūpes māsas)”. </w:t>
      </w:r>
    </w:p>
    <w:p w:rsidR="00A23B3C" w:rsidRDefault="00A23B3C">
      <w:pPr>
        <w:pStyle w:val="Title"/>
        <w:jc w:val="both"/>
        <w:outlineLvl w:val="0"/>
        <w:rPr>
          <w:szCs w:val="28"/>
        </w:rPr>
      </w:pPr>
    </w:p>
    <w:p w:rsidR="00A23B3C" w:rsidRDefault="00753FD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5. Svītrot 2. pielikuma 25., 26. un 27</w:t>
      </w:r>
      <w:r>
        <w:rPr>
          <w:szCs w:val="28"/>
        </w:rPr>
        <w:t>. punktu.</w:t>
      </w:r>
    </w:p>
    <w:p w:rsidR="00A23B3C" w:rsidRDefault="00A23B3C">
      <w:pPr>
        <w:pStyle w:val="Title"/>
        <w:ind w:firstLine="720"/>
        <w:jc w:val="both"/>
        <w:outlineLvl w:val="0"/>
        <w:rPr>
          <w:szCs w:val="28"/>
        </w:rPr>
      </w:pPr>
    </w:p>
    <w:p w:rsidR="00A23B3C" w:rsidRDefault="00753FD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6. Svītrot 2. pielikuma 29. punktu.</w:t>
      </w:r>
    </w:p>
    <w:p w:rsidR="00A23B3C" w:rsidRDefault="00A23B3C">
      <w:pPr>
        <w:pStyle w:val="Title"/>
        <w:ind w:firstLine="720"/>
        <w:jc w:val="both"/>
        <w:outlineLvl w:val="0"/>
        <w:rPr>
          <w:szCs w:val="28"/>
        </w:rPr>
      </w:pPr>
    </w:p>
    <w:p w:rsidR="00A23B3C" w:rsidRDefault="00753FD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7. Svītrot 2. pielikuma 31. punktu.</w:t>
      </w:r>
    </w:p>
    <w:p w:rsidR="00A23B3C" w:rsidRDefault="00753FD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:rsidR="00A23B3C" w:rsidRDefault="00753FD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8. Aizstāt 2. pielikuma 32. punktā vārdus “Māsa (medicīnas māsa)” ar vārdiem “Māsa (vispārējās aprūpes māsa)”.</w:t>
      </w:r>
    </w:p>
    <w:p w:rsidR="00A23B3C" w:rsidRDefault="00A23B3C">
      <w:pPr>
        <w:pStyle w:val="Title"/>
        <w:ind w:firstLine="720"/>
        <w:jc w:val="both"/>
        <w:outlineLvl w:val="0"/>
        <w:rPr>
          <w:szCs w:val="28"/>
        </w:rPr>
      </w:pPr>
    </w:p>
    <w:p w:rsidR="00A23B3C" w:rsidRDefault="00A23B3C">
      <w:pPr>
        <w:ind w:firstLine="720"/>
        <w:jc w:val="both"/>
        <w:outlineLvl w:val="0"/>
        <w:rPr>
          <w:sz w:val="28"/>
          <w:szCs w:val="28"/>
        </w:rPr>
      </w:pPr>
    </w:p>
    <w:p w:rsidR="00A23B3C" w:rsidRDefault="00753FD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 Kariņš</w:t>
      </w:r>
    </w:p>
    <w:p w:rsidR="00A23B3C" w:rsidRDefault="00A23B3C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:rsidR="00A23B3C" w:rsidRDefault="00753F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</w:t>
      </w:r>
      <w:r>
        <w:rPr>
          <w:sz w:val="28"/>
          <w:szCs w:val="28"/>
        </w:rPr>
        <w:t>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 Šuplinska</w:t>
      </w:r>
    </w:p>
    <w:p w:rsidR="00A23B3C" w:rsidRDefault="00A23B3C">
      <w:pPr>
        <w:ind w:firstLine="720"/>
        <w:rPr>
          <w:sz w:val="28"/>
          <w:szCs w:val="28"/>
        </w:rPr>
      </w:pPr>
    </w:p>
    <w:p w:rsidR="00A23B3C" w:rsidRDefault="00A23B3C">
      <w:pPr>
        <w:ind w:firstLine="720"/>
        <w:rPr>
          <w:sz w:val="28"/>
          <w:szCs w:val="28"/>
        </w:rPr>
      </w:pPr>
    </w:p>
    <w:p w:rsidR="00A23B3C" w:rsidRDefault="00753FD9">
      <w:pPr>
        <w:pStyle w:val="NoSpacing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A23B3C" w:rsidRDefault="00753FD9">
      <w:pPr>
        <w:pStyle w:val="NoSpacing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I. Šuplinska</w:t>
      </w:r>
    </w:p>
    <w:p w:rsidR="00A23B3C" w:rsidRDefault="00A23B3C">
      <w:pPr>
        <w:pStyle w:val="NoSpacing1"/>
        <w:jc w:val="both"/>
        <w:rPr>
          <w:sz w:val="28"/>
          <w:szCs w:val="28"/>
          <w:lang w:val="lv-LV"/>
        </w:rPr>
      </w:pPr>
    </w:p>
    <w:p w:rsidR="00A23B3C" w:rsidRDefault="00A23B3C">
      <w:pPr>
        <w:pStyle w:val="NoSpacing1"/>
        <w:jc w:val="both"/>
        <w:rPr>
          <w:sz w:val="28"/>
          <w:szCs w:val="28"/>
          <w:lang w:val="lv-LV"/>
        </w:rPr>
      </w:pPr>
    </w:p>
    <w:p w:rsidR="00A23B3C" w:rsidRDefault="00753FD9">
      <w:pPr>
        <w:pStyle w:val="NoSpacing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Vizē:</w:t>
      </w:r>
    </w:p>
    <w:p w:rsidR="00A23B3C" w:rsidRDefault="00753FD9">
      <w:pPr>
        <w:pStyle w:val="BodyTextIndent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Valsts sekretārs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J. Volberts</w:t>
      </w:r>
    </w:p>
    <w:p w:rsidR="00A23B3C" w:rsidRDefault="00A23B3C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p w:rsidR="00A23B3C" w:rsidRDefault="00A23B3C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p w:rsidR="00A23B3C" w:rsidRDefault="00A23B3C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p w:rsidR="00A23B3C" w:rsidRDefault="00753FD9">
      <w:pPr>
        <w:tabs>
          <w:tab w:val="left" w:pos="6521"/>
          <w:tab w:val="right" w:pos="8820"/>
        </w:tabs>
        <w:ind w:firstLine="72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Jurkevica, </w:t>
      </w:r>
      <w:r>
        <w:rPr>
          <w:color w:val="000000"/>
          <w:sz w:val="22"/>
          <w:szCs w:val="22"/>
        </w:rPr>
        <w:t>67047979</w:t>
      </w:r>
    </w:p>
    <w:p w:rsidR="00A23B3C" w:rsidRDefault="00753FD9">
      <w:pPr>
        <w:tabs>
          <w:tab w:val="left" w:pos="6521"/>
          <w:tab w:val="right" w:pos="882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Baiba.Jurkevica@izm.gov.lv</w:t>
      </w:r>
    </w:p>
    <w:sectPr w:rsidR="00A23B3C">
      <w:headerReference w:type="default" r:id="rId7"/>
      <w:footerReference w:type="default" r:id="rId8"/>
      <w:footerReference w:type="first" r:id="rId9"/>
      <w:pgSz w:w="11906" w:h="16838"/>
      <w:pgMar w:top="1417" w:right="1134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D9" w:rsidRDefault="00753FD9">
      <w:r>
        <w:separator/>
      </w:r>
    </w:p>
  </w:endnote>
  <w:endnote w:type="continuationSeparator" w:id="0">
    <w:p w:rsidR="00753FD9" w:rsidRDefault="0075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3C" w:rsidRDefault="00753FD9">
    <w:pPr>
      <w:pStyle w:val="Footer"/>
    </w:pPr>
    <w:r>
      <w:rPr>
        <w:sz w:val="20"/>
        <w:szCs w:val="20"/>
      </w:rPr>
      <w:t>IZMNot_060121_groz566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3C" w:rsidRDefault="00753FD9">
    <w:pPr>
      <w:pStyle w:val="Footer"/>
    </w:pPr>
    <w:r>
      <w:rPr>
        <w:sz w:val="20"/>
        <w:szCs w:val="20"/>
      </w:rPr>
      <w:t>IZMNot_060121_groz566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D9" w:rsidRDefault="00753FD9">
      <w:r>
        <w:separator/>
      </w:r>
    </w:p>
  </w:footnote>
  <w:footnote w:type="continuationSeparator" w:id="0">
    <w:p w:rsidR="00753FD9" w:rsidRDefault="0075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944615"/>
      <w:docPartObj>
        <w:docPartGallery w:val="Page Numbers (Top of Page)"/>
        <w:docPartUnique/>
      </w:docPartObj>
    </w:sdtPr>
    <w:sdtEndPr/>
    <w:sdtContent>
      <w:p w:rsidR="00A23B3C" w:rsidRDefault="00753FD9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57868">
          <w:rPr>
            <w:noProof/>
          </w:rPr>
          <w:t>2</w:t>
        </w:r>
        <w:r>
          <w:fldChar w:fldCharType="end"/>
        </w:r>
      </w:p>
    </w:sdtContent>
  </w:sdt>
  <w:p w:rsidR="00A23B3C" w:rsidRDefault="00A23B3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3C"/>
    <w:rsid w:val="00057868"/>
    <w:rsid w:val="00753FD9"/>
    <w:rsid w:val="00A2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6A03E-DADE-4D90-8BCE-1699E5A7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BB487A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F258D"/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3B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460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460CE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460CE"/>
    <w:rPr>
      <w:rFonts w:ascii="Times New Roman" w:eastAsia="Times New Roman" w:hAnsi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1D4C0F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pacing w:before="600" w:after="600"/>
      <w:ind w:right="4820"/>
    </w:pPr>
    <w:rPr>
      <w:b/>
      <w:sz w:val="26"/>
      <w:szCs w:val="20"/>
      <w:lang w:val="en-AU" w:eastAsia="en-US"/>
    </w:rPr>
  </w:style>
  <w:style w:type="paragraph" w:styleId="EnvelopeReturn">
    <w:name w:val="envelope return"/>
    <w:basedOn w:val="Normal"/>
    <w:unhideWhenUsed/>
    <w:qFormat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3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46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460CE"/>
    <w:rPr>
      <w:b/>
      <w:bCs/>
    </w:rPr>
  </w:style>
  <w:style w:type="paragraph" w:customStyle="1" w:styleId="naisf">
    <w:name w:val="naisf"/>
    <w:basedOn w:val="Normal"/>
    <w:qFormat/>
    <w:rsid w:val="006457F2"/>
    <w:pPr>
      <w:spacing w:before="75" w:after="75"/>
      <w:ind w:firstLine="375"/>
      <w:jc w:val="both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4C0F"/>
    <w:pPr>
      <w:spacing w:after="120"/>
      <w:ind w:left="283"/>
    </w:pPr>
  </w:style>
  <w:style w:type="paragraph" w:customStyle="1" w:styleId="NoSpacing1">
    <w:name w:val="No Spacing1"/>
    <w:uiPriority w:val="99"/>
    <w:qFormat/>
    <w:rsid w:val="001D4C0F"/>
    <w:pPr>
      <w:suppressAutoHyphens w:val="0"/>
      <w:ind w:firstLine="72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Revision">
    <w:name w:val="Revision"/>
    <w:uiPriority w:val="99"/>
    <w:semiHidden/>
    <w:qFormat/>
    <w:rsid w:val="009A7246"/>
    <w:pPr>
      <w:suppressAutoHyphens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900A-E3D0-4D66-BBD1-F039980B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Sandra Obodova</cp:lastModifiedBy>
  <cp:revision>2</cp:revision>
  <cp:lastPrinted>2016-04-15T08:44:00Z</cp:lastPrinted>
  <dcterms:created xsi:type="dcterms:W3CDTF">2021-02-01T12:05:00Z</dcterms:created>
  <dcterms:modified xsi:type="dcterms:W3CDTF">2021-02-01T12:05:00Z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Iestādes nosaukums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