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BC560" w14:textId="77777777" w:rsidR="00F35B5D" w:rsidRPr="00752833" w:rsidRDefault="00F35B5D" w:rsidP="00D84411">
      <w:pPr>
        <w:jc w:val="center"/>
        <w:rPr>
          <w:rFonts w:ascii="Times New Roman" w:hAnsi="Times New Roman" w:cs="Times New Roman"/>
          <w:b/>
          <w:sz w:val="28"/>
          <w:szCs w:val="28"/>
          <w:lang w:val="lv-LV"/>
        </w:rPr>
      </w:pPr>
      <w:bookmarkStart w:id="0" w:name="_GoBack"/>
      <w:bookmarkEnd w:id="0"/>
      <w:r w:rsidRPr="00752833">
        <w:rPr>
          <w:rFonts w:ascii="Times New Roman" w:hAnsi="Times New Roman" w:cs="Times New Roman"/>
          <w:b/>
          <w:sz w:val="28"/>
          <w:szCs w:val="28"/>
          <w:lang w:val="lv-LV"/>
        </w:rPr>
        <w:t>Informatīvais ziņojums</w:t>
      </w:r>
    </w:p>
    <w:p w14:paraId="22EBC561" w14:textId="77777777" w:rsidR="00F35B5D" w:rsidRPr="00752833" w:rsidRDefault="00F35B5D" w:rsidP="00F35B5D">
      <w:pPr>
        <w:jc w:val="center"/>
        <w:rPr>
          <w:rFonts w:ascii="Times New Roman" w:hAnsi="Times New Roman" w:cs="Times New Roman"/>
          <w:b/>
          <w:sz w:val="28"/>
          <w:szCs w:val="28"/>
          <w:lang w:val="lv-LV"/>
        </w:rPr>
      </w:pPr>
      <w:r w:rsidRPr="00752833">
        <w:rPr>
          <w:rFonts w:ascii="Times New Roman" w:hAnsi="Times New Roman" w:cs="Times New Roman"/>
          <w:b/>
          <w:sz w:val="28"/>
          <w:szCs w:val="28"/>
          <w:lang w:val="lv-LV"/>
        </w:rPr>
        <w:t>Par Darbības programmas ”Izaugsme un nodarbinātība”</w:t>
      </w:r>
      <w:r w:rsidRPr="00752833">
        <w:rPr>
          <w:rFonts w:ascii="Times New Roman" w:hAnsi="Times New Roman" w:cs="Times New Roman"/>
          <w:b/>
          <w:bCs/>
          <w:color w:val="414142"/>
          <w:sz w:val="28"/>
          <w:szCs w:val="28"/>
          <w:shd w:val="clear" w:color="auto" w:fill="FFFFFF"/>
          <w:lang w:val="lv-LV"/>
        </w:rPr>
        <w:t xml:space="preserve"> </w:t>
      </w:r>
      <w:r w:rsidRPr="00752833">
        <w:rPr>
          <w:rFonts w:ascii="Times New Roman" w:hAnsi="Times New Roman" w:cs="Times New Roman"/>
          <w:b/>
          <w:sz w:val="28"/>
          <w:szCs w:val="28"/>
          <w:lang w:val="lv-LV"/>
        </w:rPr>
        <w:t>8.3.3. specifiskā atbalsta mērķa “Attīstīt NEET jauniešu prasmes un veicināt to iesaisti izglītībā, NVA īstenotajos pasākumos Jauniešu garantijas ietvaros un nevalstisko organizāciju vai jauniešu centru darbībā”</w:t>
      </w:r>
    </w:p>
    <w:p w14:paraId="22EBC562" w14:textId="77777777" w:rsidR="00F35B5D" w:rsidRDefault="00F35B5D" w:rsidP="00F35B5D">
      <w:pPr>
        <w:jc w:val="center"/>
        <w:rPr>
          <w:rFonts w:ascii="Times New Roman" w:hAnsi="Times New Roman" w:cs="Times New Roman"/>
          <w:b/>
          <w:sz w:val="28"/>
          <w:szCs w:val="28"/>
          <w:lang w:val="lv-LV"/>
        </w:rPr>
      </w:pPr>
      <w:r w:rsidRPr="00752833">
        <w:rPr>
          <w:rFonts w:ascii="Times New Roman" w:hAnsi="Times New Roman" w:cs="Times New Roman"/>
          <w:b/>
          <w:sz w:val="28"/>
          <w:szCs w:val="28"/>
          <w:lang w:val="lv-LV"/>
        </w:rPr>
        <w:t>īstenošanas progresu un priekšlikumiem atbalsta turpināšanai</w:t>
      </w:r>
    </w:p>
    <w:p w14:paraId="33039CF8" w14:textId="77777777" w:rsidR="008C2A08" w:rsidRPr="00752833" w:rsidRDefault="008C2A08" w:rsidP="00F35B5D">
      <w:pPr>
        <w:jc w:val="center"/>
        <w:rPr>
          <w:rFonts w:ascii="Times New Roman" w:hAnsi="Times New Roman" w:cs="Times New Roman"/>
          <w:b/>
          <w:sz w:val="28"/>
          <w:szCs w:val="28"/>
          <w:lang w:val="lv-LV"/>
        </w:rPr>
      </w:pPr>
    </w:p>
    <w:p w14:paraId="22EBC563"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Izglītības un zinātnes ministrija (turpmāk – ministrija) informatīvajā ziņojumā “Par Darbības programmas „Izaugsme un nodarbinātība”</w:t>
      </w:r>
      <w:r w:rsidRPr="00752833">
        <w:rPr>
          <w:rFonts w:ascii="Times New Roman" w:hAnsi="Times New Roman" w:cs="Times New Roman"/>
          <w:b/>
          <w:bCs/>
          <w:color w:val="414142"/>
          <w:sz w:val="28"/>
          <w:szCs w:val="28"/>
          <w:shd w:val="clear" w:color="auto" w:fill="FFFFFF"/>
          <w:lang w:val="lv-LV"/>
        </w:rPr>
        <w:t xml:space="preserve"> </w:t>
      </w:r>
      <w:r w:rsidRPr="00752833">
        <w:rPr>
          <w:rFonts w:ascii="Times New Roman" w:hAnsi="Times New Roman" w:cs="Times New Roman"/>
          <w:sz w:val="28"/>
          <w:szCs w:val="28"/>
          <w:lang w:val="lv-LV"/>
        </w:rPr>
        <w:t>8.3.3. specifiskā atbalsta mērķa “Attīstīt NEET jauniešu prasmes un veicināt to iesaisti izglītībā, NVA īstenotajos pasākumos Jauniešu garantijas ietvaros un nevalstisko organizāciju vai jauniešu centru darbībā” ieviešanas progresu un priekšlikumiem atbalsta turpināšanai” informē par projekta ieviešanas progresu, sasniegtajiem rezultātiem un priekšlikumiem atbalsta turpināšanai</w:t>
      </w:r>
      <w:r w:rsidRPr="00752833">
        <w:rPr>
          <w:rFonts w:ascii="Times New Roman" w:hAnsi="Times New Roman" w:cs="Times New Roman"/>
          <w:color w:val="000000" w:themeColor="text1"/>
          <w:sz w:val="28"/>
          <w:szCs w:val="28"/>
          <w:lang w:val="lv-LV"/>
        </w:rPr>
        <w:t>.</w:t>
      </w:r>
    </w:p>
    <w:p w14:paraId="22EBC564" w14:textId="77777777" w:rsidR="00F35B5D" w:rsidRPr="00752833" w:rsidRDefault="00F35B5D" w:rsidP="00F35B5D">
      <w:pPr>
        <w:pStyle w:val="NoSpacing"/>
        <w:spacing w:after="120" w:line="259" w:lineRule="auto"/>
        <w:ind w:firstLine="720"/>
        <w:jc w:val="both"/>
        <w:rPr>
          <w:rFonts w:ascii="Times New Roman" w:eastAsiaTheme="minorHAnsi" w:hAnsi="Times New Roman"/>
          <w:sz w:val="28"/>
          <w:szCs w:val="28"/>
          <w:lang w:val="lv-LV"/>
        </w:rPr>
      </w:pPr>
      <w:r w:rsidRPr="00752833">
        <w:rPr>
          <w:rFonts w:ascii="Times New Roman" w:eastAsiaTheme="minorHAnsi" w:hAnsi="Times New Roman"/>
          <w:sz w:val="28"/>
          <w:szCs w:val="28"/>
          <w:lang w:val="lv-LV"/>
        </w:rPr>
        <w:t xml:space="preserve">Informatīvais ziņojums sagatavots, sadarbojoties ar Jaunatnes starptautisko programmu aģentūru </w:t>
      </w:r>
      <w:r w:rsidRPr="00752833">
        <w:rPr>
          <w:rFonts w:ascii="Times New Roman" w:hAnsi="Times New Roman"/>
          <w:sz w:val="28"/>
          <w:szCs w:val="28"/>
          <w:lang w:val="lv-LV"/>
        </w:rPr>
        <w:t>(turpmāk – JSPA)</w:t>
      </w:r>
      <w:r w:rsidRPr="00752833">
        <w:rPr>
          <w:rFonts w:ascii="Times New Roman" w:eastAsiaTheme="minorHAnsi" w:hAnsi="Times New Roman"/>
          <w:sz w:val="28"/>
          <w:szCs w:val="28"/>
          <w:lang w:val="lv-LV"/>
        </w:rPr>
        <w:t xml:space="preserve">, kas ir finansējuma saņēmējs 8.3.3. specifiskā atbalsta mērķa “Attīstīt NEET jauniešu prasmes un veicināt to iesaisti izglītībā, NVA īstenotajos pasākumos Jauniešu garantijas ietvaros un nevalstisko organizāciju vai jauniešu centru darbībā” (turpmāk – 8.3.3.SAM) projekta „PROTI un DARI!” </w:t>
      </w:r>
      <w:r>
        <w:rPr>
          <w:rFonts w:ascii="Times New Roman" w:eastAsiaTheme="minorHAnsi" w:hAnsi="Times New Roman"/>
          <w:sz w:val="28"/>
          <w:szCs w:val="28"/>
          <w:lang w:val="lv-LV"/>
        </w:rPr>
        <w:t xml:space="preserve">(turpmāk – projekts) </w:t>
      </w:r>
      <w:r w:rsidRPr="00752833">
        <w:rPr>
          <w:rFonts w:ascii="Times New Roman" w:eastAsiaTheme="minorHAnsi" w:hAnsi="Times New Roman"/>
          <w:sz w:val="28"/>
          <w:szCs w:val="28"/>
          <w:lang w:val="lv-LV"/>
        </w:rPr>
        <w:t>ietvaros.</w:t>
      </w:r>
    </w:p>
    <w:p w14:paraId="22EBC565" w14:textId="77777777" w:rsidR="00F35B5D" w:rsidRDefault="00F35B5D" w:rsidP="00F35B5D">
      <w:pPr>
        <w:pStyle w:val="NoSpacing"/>
        <w:spacing w:after="120" w:line="259" w:lineRule="auto"/>
        <w:ind w:firstLine="720"/>
        <w:jc w:val="both"/>
        <w:rPr>
          <w:rFonts w:ascii="Times New Roman" w:eastAsiaTheme="minorHAnsi" w:hAnsi="Times New Roman"/>
          <w:sz w:val="28"/>
          <w:szCs w:val="28"/>
          <w:lang w:val="lv-LV"/>
        </w:rPr>
      </w:pPr>
      <w:r w:rsidRPr="00752833">
        <w:rPr>
          <w:rFonts w:ascii="Times New Roman" w:eastAsiaTheme="minorHAnsi" w:hAnsi="Times New Roman"/>
          <w:sz w:val="28"/>
          <w:szCs w:val="28"/>
          <w:lang w:val="lv-LV"/>
        </w:rPr>
        <w:t>Informatīvais ziņojums sagatavots, izpildot Valdības rīcības plānā</w:t>
      </w:r>
      <w:r w:rsidRPr="00752833">
        <w:rPr>
          <w:rStyle w:val="FootnoteReference"/>
          <w:rFonts w:ascii="Times New Roman" w:eastAsiaTheme="minorHAnsi" w:hAnsi="Times New Roman"/>
          <w:sz w:val="28"/>
          <w:szCs w:val="28"/>
          <w:lang w:val="lv-LV"/>
        </w:rPr>
        <w:footnoteReference w:id="1"/>
      </w:r>
      <w:r w:rsidRPr="00752833">
        <w:rPr>
          <w:rFonts w:ascii="Times New Roman" w:eastAsiaTheme="minorHAnsi" w:hAnsi="Times New Roman"/>
          <w:sz w:val="28"/>
          <w:szCs w:val="28"/>
          <w:lang w:val="lv-LV"/>
        </w:rPr>
        <w:t xml:space="preserve"> iekļautā pasākuma „Turpināt sniegt atbalstu jauniešiem, kas nav iesaistīti ne nodarbinātībā, ne izglītībā, ne mācībās, attīstot viņu prasmes un veicinot viņu iesaisti izglītībā, mācībās un nodarbinātībā.” (117.2.) 2.uzdevumu – </w:t>
      </w:r>
      <w:r w:rsidRPr="00752833">
        <w:rPr>
          <w:rFonts w:ascii="Times New Roman" w:eastAsiaTheme="minorHAnsi" w:hAnsi="Times New Roman"/>
          <w:sz w:val="28"/>
          <w:szCs w:val="28"/>
          <w:u w:val="single"/>
          <w:lang w:val="lv-LV"/>
        </w:rPr>
        <w:t>Sagatavoti un iesniegti izskatīšanai MK priekšlikumi SAM 8.3.3. projekta turpināšanai un atbalsta sistēmas darbības nodrošināšanai pēc SAM 8.3.3. projekta pabeigšanas</w:t>
      </w:r>
      <w:r w:rsidRPr="00752833">
        <w:rPr>
          <w:rFonts w:ascii="Times New Roman" w:eastAsiaTheme="minorHAnsi" w:hAnsi="Times New Roman"/>
          <w:sz w:val="28"/>
          <w:szCs w:val="28"/>
          <w:lang w:val="lv-LV"/>
        </w:rPr>
        <w:t>.</w:t>
      </w:r>
    </w:p>
    <w:p w14:paraId="22EBC566" w14:textId="77777777" w:rsidR="009958E1" w:rsidRPr="00752833" w:rsidRDefault="009958E1" w:rsidP="00F35B5D">
      <w:pPr>
        <w:pStyle w:val="NoSpacing"/>
        <w:spacing w:after="120" w:line="259" w:lineRule="auto"/>
        <w:ind w:firstLine="720"/>
        <w:jc w:val="both"/>
        <w:rPr>
          <w:rFonts w:ascii="Times New Roman" w:eastAsiaTheme="minorHAnsi" w:hAnsi="Times New Roman"/>
          <w:sz w:val="28"/>
          <w:szCs w:val="28"/>
          <w:lang w:val="lv-LV"/>
        </w:rPr>
      </w:pPr>
    </w:p>
    <w:p w14:paraId="22EBC567" w14:textId="77777777" w:rsidR="00F35B5D" w:rsidRDefault="00F35B5D" w:rsidP="00F35B5D">
      <w:pPr>
        <w:pStyle w:val="Heading1"/>
        <w:numPr>
          <w:ilvl w:val="0"/>
          <w:numId w:val="20"/>
        </w:numPr>
        <w:jc w:val="center"/>
        <w:rPr>
          <w:rFonts w:cs="Times New Roman"/>
          <w:sz w:val="28"/>
          <w:szCs w:val="28"/>
        </w:rPr>
      </w:pPr>
      <w:bookmarkStart w:id="1" w:name="_Toc13148336"/>
      <w:r w:rsidRPr="00752833">
        <w:rPr>
          <w:rFonts w:cs="Times New Roman"/>
          <w:sz w:val="28"/>
          <w:szCs w:val="28"/>
        </w:rPr>
        <w:t>Pašreizējās situācijas raksturojums</w:t>
      </w:r>
      <w:bookmarkEnd w:id="1"/>
    </w:p>
    <w:p w14:paraId="22EBC569" w14:textId="77777777" w:rsidR="00F35B5D" w:rsidRPr="00752833" w:rsidRDefault="00F35B5D" w:rsidP="00F35B5D">
      <w:pPr>
        <w:spacing w:line="240" w:lineRule="auto"/>
        <w:ind w:firstLine="720"/>
        <w:jc w:val="both"/>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t>Latvijā un Eiropā palielinās demogrāfiskās slodzes līmenis, jauniešu īpatsvars Latvijā un arī Eiropas valstīs samazinās, līdz ar ko aktuālāka kļūst nepieciešamība pēc jaunu cilvēku veiksmīgas iesaistes darba tirgū</w:t>
      </w:r>
      <w:r w:rsidRPr="00752833">
        <w:rPr>
          <w:rStyle w:val="FootnoteReference"/>
          <w:rFonts w:ascii="Times New Roman" w:eastAsia="Times New Roman" w:hAnsi="Times New Roman" w:cs="Times New Roman"/>
          <w:sz w:val="28"/>
          <w:szCs w:val="28"/>
          <w:lang w:val="lv-LV" w:eastAsia="zh-CN"/>
        </w:rPr>
        <w:footnoteReference w:id="2"/>
      </w:r>
      <w:r w:rsidRPr="00752833">
        <w:rPr>
          <w:rFonts w:ascii="Times New Roman" w:eastAsia="Times New Roman" w:hAnsi="Times New Roman" w:cs="Times New Roman"/>
          <w:sz w:val="28"/>
          <w:szCs w:val="28"/>
          <w:lang w:val="lv-LV" w:eastAsia="zh-CN"/>
        </w:rPr>
        <w:t xml:space="preserve">. Ne tikai jauniešu, bet arī kopumā </w:t>
      </w:r>
      <w:r w:rsidRPr="00752833">
        <w:rPr>
          <w:rFonts w:ascii="Times New Roman" w:eastAsia="Times New Roman" w:hAnsi="Times New Roman" w:cs="Times New Roman"/>
          <w:sz w:val="28"/>
          <w:szCs w:val="28"/>
          <w:lang w:val="lv-LV" w:eastAsia="zh-CN"/>
        </w:rPr>
        <w:lastRenderedPageBreak/>
        <w:t xml:space="preserve">iedzīvotāju skaita samazināšanās un sabiedrības novecošanās ir nopietns izaicinājums valstu attīstībai Eiropas Savienībā. Pēc </w:t>
      </w:r>
      <w:r w:rsidRPr="00752833">
        <w:rPr>
          <w:rFonts w:ascii="Times New Roman" w:eastAsia="Times New Roman" w:hAnsi="Times New Roman" w:cs="Times New Roman"/>
          <w:i/>
          <w:sz w:val="28"/>
          <w:szCs w:val="28"/>
          <w:lang w:val="lv-LV" w:eastAsia="zh-CN"/>
        </w:rPr>
        <w:t>Eurostat</w:t>
      </w:r>
      <w:r w:rsidRPr="00752833">
        <w:rPr>
          <w:rFonts w:ascii="Times New Roman" w:eastAsia="Times New Roman" w:hAnsi="Times New Roman" w:cs="Times New Roman"/>
          <w:sz w:val="28"/>
          <w:szCs w:val="28"/>
          <w:lang w:val="lv-LV" w:eastAsia="zh-CN"/>
        </w:rPr>
        <w:t xml:space="preserve"> aplēsēm, Latvijā 2040.gadā puse iedzīvotāju būs vecāki par 50 gadiem, bet gados vecāko iedzīvotāju īpatsvars sasniegs tikai 1/3 no iedzīvotāju kopskaita.</w:t>
      </w:r>
    </w:p>
    <w:p w14:paraId="22EBC56A" w14:textId="77777777" w:rsidR="00F35B5D" w:rsidRPr="00752833" w:rsidRDefault="00F35B5D" w:rsidP="00F35B5D">
      <w:pPr>
        <w:spacing w:line="240" w:lineRule="auto"/>
        <w:ind w:firstLine="720"/>
        <w:jc w:val="both"/>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t>Latvijā laikā no 2010.gada līdz 2020.gadam jauniešu skaits vecuma grupā no 15-29 gadiem samazinājies par 161 tūkst. jauniešu. Pēdējās dekādes ietvaros jauniešu skaits vecumā no 15-29 gadiem katru gadu mazinājies par vidēji 15 tūkst jauniešu, 2020.gadā to skaitam nokrītoties līdz zemākajam rādītājam pēdējo četrpadsmit gadu laikā – 289,10 tūkst. jauniešu. Papildus negatīvām demogrāfiskajām tendencēm, Latvijā dzīvojošo jauniešu skaitu būtiski ietekmē arī emigrācijas rādītāji. Kā liecina 2017.gada pētījuma „Jaunatnes politikas analītisks pārskats” dati</w:t>
      </w:r>
      <w:r w:rsidRPr="00752833">
        <w:rPr>
          <w:rStyle w:val="FootnoteReference"/>
          <w:rFonts w:ascii="Times New Roman" w:eastAsia="Times New Roman" w:hAnsi="Times New Roman" w:cs="Times New Roman"/>
          <w:sz w:val="28"/>
          <w:szCs w:val="28"/>
          <w:lang w:val="lv-LV" w:eastAsia="zh-CN"/>
        </w:rPr>
        <w:footnoteReference w:id="3"/>
      </w:r>
      <w:r w:rsidRPr="00752833">
        <w:rPr>
          <w:rFonts w:ascii="Times New Roman" w:eastAsia="Times New Roman" w:hAnsi="Times New Roman" w:cs="Times New Roman"/>
          <w:sz w:val="28"/>
          <w:szCs w:val="28"/>
          <w:lang w:val="lv-LV" w:eastAsia="zh-CN"/>
        </w:rPr>
        <w:t>, tad būtiskākie iemesli, kas mudinājuši jauniešus emigrēt no Latvijas pēdējo desmit gadu laikā, minētas finansiālās grūtības, vēlme uzlabot dzīves kvalitāti un iespēja labāk nopelnīt ārvalstīs. Pēdējo 15 gadu laikā no Latvijas emigrējuši vairāk nekā 120 000 jaunieši vecuma grupā no 15-30 gadiem</w:t>
      </w:r>
      <w:r w:rsidRPr="00752833">
        <w:rPr>
          <w:rStyle w:val="FootnoteReference"/>
          <w:rFonts w:ascii="Times New Roman" w:eastAsia="Times New Roman" w:hAnsi="Times New Roman" w:cs="Times New Roman"/>
          <w:sz w:val="28"/>
          <w:szCs w:val="28"/>
          <w:lang w:val="lv-LV" w:eastAsia="zh-CN"/>
        </w:rPr>
        <w:footnoteReference w:id="4"/>
      </w:r>
      <w:r w:rsidRPr="00752833">
        <w:rPr>
          <w:rFonts w:ascii="Times New Roman" w:eastAsia="Times New Roman" w:hAnsi="Times New Roman" w:cs="Times New Roman"/>
          <w:sz w:val="28"/>
          <w:szCs w:val="28"/>
          <w:lang w:val="lv-LV" w:eastAsia="zh-CN"/>
        </w:rPr>
        <w:t>, tāpēc ir būtiski radīt jauniešiem tādus dzīves apstākļus, kas motivē jaunus cilvēkus realizēt savas iespējas Latvijā.</w:t>
      </w:r>
    </w:p>
    <w:p w14:paraId="22EBC56B" w14:textId="77777777" w:rsidR="00F35B5D" w:rsidRPr="00752833" w:rsidRDefault="00F35B5D" w:rsidP="00F35B5D">
      <w:pPr>
        <w:spacing w:line="240" w:lineRule="auto"/>
        <w:ind w:firstLine="720"/>
        <w:jc w:val="right"/>
        <w:rPr>
          <w:rFonts w:ascii="Times New Roman" w:eastAsia="Times New Roman" w:hAnsi="Times New Roman" w:cs="Times New Roman"/>
          <w:sz w:val="28"/>
          <w:szCs w:val="28"/>
          <w:lang w:val="lv-LV" w:eastAsia="zh-CN"/>
        </w:rPr>
      </w:pPr>
      <w:r w:rsidRPr="00752833">
        <w:rPr>
          <w:rFonts w:ascii="Times New Roman" w:hAnsi="Times New Roman" w:cs="Times New Roman"/>
          <w:noProof/>
          <w:sz w:val="28"/>
          <w:szCs w:val="28"/>
          <w:lang w:val="lv-LV" w:eastAsia="lv-LV"/>
        </w:rPr>
        <w:drawing>
          <wp:anchor distT="0" distB="0" distL="114300" distR="114300" simplePos="0" relativeHeight="251659264" behindDoc="1" locked="0" layoutInCell="1" allowOverlap="1" wp14:anchorId="22EBC617" wp14:editId="22EBC618">
            <wp:simplePos x="0" y="0"/>
            <wp:positionH relativeFrom="margin">
              <wp:posOffset>167171</wp:posOffset>
            </wp:positionH>
            <wp:positionV relativeFrom="paragraph">
              <wp:posOffset>459657</wp:posOffset>
            </wp:positionV>
            <wp:extent cx="5639435" cy="2933700"/>
            <wp:effectExtent l="0" t="0" r="0" b="0"/>
            <wp:wrapTight wrapText="bothSides">
              <wp:wrapPolygon edited="0">
                <wp:start x="0" y="0"/>
                <wp:lineTo x="0" y="21460"/>
                <wp:lineTo x="21525" y="21460"/>
                <wp:lineTo x="21525"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752833">
        <w:rPr>
          <w:rFonts w:ascii="Times New Roman" w:eastAsia="Times New Roman" w:hAnsi="Times New Roman" w:cs="Times New Roman"/>
          <w:sz w:val="28"/>
          <w:szCs w:val="28"/>
          <w:lang w:val="lv-LV" w:eastAsia="zh-CN"/>
        </w:rPr>
        <w:t>1.attēls</w:t>
      </w:r>
    </w:p>
    <w:p w14:paraId="22EBC56C" w14:textId="77777777" w:rsidR="00F35B5D" w:rsidRPr="004B72D0" w:rsidRDefault="00F35B5D" w:rsidP="00F35B5D">
      <w:pPr>
        <w:spacing w:line="240" w:lineRule="auto"/>
        <w:ind w:firstLine="720"/>
        <w:rPr>
          <w:rFonts w:ascii="Times New Roman" w:eastAsia="Times New Roman" w:hAnsi="Times New Roman" w:cs="Times New Roman"/>
          <w:i/>
          <w:sz w:val="24"/>
          <w:szCs w:val="24"/>
          <w:lang w:val="lv-LV" w:eastAsia="zh-CN"/>
        </w:rPr>
      </w:pPr>
      <w:r w:rsidRPr="004B72D0">
        <w:rPr>
          <w:rFonts w:ascii="Times New Roman" w:eastAsia="Times New Roman" w:hAnsi="Times New Roman" w:cs="Times New Roman"/>
          <w:i/>
          <w:sz w:val="24"/>
          <w:szCs w:val="24"/>
          <w:lang w:val="lv-LV" w:eastAsia="zh-CN"/>
        </w:rPr>
        <w:t>Avots: CSP, https://data1.csb.gov.lv:443/sq/35749</w:t>
      </w:r>
    </w:p>
    <w:p w14:paraId="22EBC56D" w14:textId="77777777" w:rsidR="00F35B5D" w:rsidRPr="00752833" w:rsidRDefault="00F35B5D" w:rsidP="00F35B5D">
      <w:pPr>
        <w:spacing w:line="240" w:lineRule="auto"/>
        <w:ind w:firstLine="720"/>
        <w:jc w:val="both"/>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lastRenderedPageBreak/>
        <w:t>Jauniešu vecumā no 15-29 gadiem dalījumā pēc dzimuma pēdējo 13 gadu laikā ir vērojama nemainīga tendence, kur katru gadu jauniešu vīriešu skaits šajā vecuma grupā ir vidēji par 8 līdz 10 tūkstošiem vairāk nekā sieviešu.</w:t>
      </w:r>
    </w:p>
    <w:p w14:paraId="22EBC56E" w14:textId="77777777" w:rsidR="00F35B5D" w:rsidRPr="00752833" w:rsidRDefault="00F35B5D" w:rsidP="00F35B5D">
      <w:pPr>
        <w:spacing w:line="240" w:lineRule="auto"/>
        <w:jc w:val="both"/>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tab/>
        <w:t>Ņemot vērā negatīvās tendences jauniešu skaita samazinājumā, ir svarīgi vērtēt arī jauniešu potenciālu valsts attīstībai un šo jauniešu tālākās dzīves kvalitātei, īpaši uzmanību pievēršot jauniešiem,</w:t>
      </w:r>
      <w:r w:rsidRPr="00752833">
        <w:rPr>
          <w:rFonts w:ascii="Times New Roman" w:hAnsi="Times New Roman" w:cs="Times New Roman"/>
          <w:sz w:val="28"/>
          <w:szCs w:val="28"/>
          <w:lang w:val="lv-LV"/>
        </w:rPr>
        <w:t xml:space="preserve"> kas nav iesaistīti ne nodarbinātībā, ne izglītībā, ne mācībās</w:t>
      </w:r>
      <w:r w:rsidRPr="00752833">
        <w:rPr>
          <w:rFonts w:ascii="Times New Roman" w:eastAsia="Times New Roman" w:hAnsi="Times New Roman" w:cs="Times New Roman"/>
          <w:sz w:val="28"/>
          <w:szCs w:val="28"/>
          <w:lang w:val="lv-LV" w:eastAsia="zh-CN"/>
        </w:rPr>
        <w:t xml:space="preserve"> - NEET jaunieši</w:t>
      </w:r>
      <w:r>
        <w:rPr>
          <w:rStyle w:val="FootnoteReference"/>
          <w:rFonts w:ascii="Times New Roman" w:eastAsia="Times New Roman" w:hAnsi="Times New Roman" w:cs="Times New Roman"/>
          <w:sz w:val="28"/>
          <w:szCs w:val="28"/>
          <w:lang w:val="lv-LV" w:eastAsia="zh-CN"/>
        </w:rPr>
        <w:footnoteReference w:id="5"/>
      </w:r>
      <w:r>
        <w:rPr>
          <w:rFonts w:ascii="Times New Roman" w:eastAsia="Times New Roman" w:hAnsi="Times New Roman" w:cs="Times New Roman"/>
          <w:sz w:val="28"/>
          <w:szCs w:val="28"/>
          <w:lang w:val="lv-LV" w:eastAsia="zh-CN"/>
        </w:rPr>
        <w:t>.</w:t>
      </w:r>
    </w:p>
    <w:p w14:paraId="22EBC56F" w14:textId="77777777" w:rsidR="00F35B5D" w:rsidRPr="00752833" w:rsidRDefault="00F35B5D" w:rsidP="00F35B5D">
      <w:pPr>
        <w:spacing w:line="240" w:lineRule="auto"/>
        <w:jc w:val="right"/>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t>2.attēls</w:t>
      </w:r>
    </w:p>
    <w:p w14:paraId="22EBC570" w14:textId="77777777" w:rsidR="00F35B5D" w:rsidRPr="00752833" w:rsidRDefault="00F35B5D" w:rsidP="00F35B5D">
      <w:pPr>
        <w:spacing w:line="240" w:lineRule="auto"/>
        <w:jc w:val="both"/>
        <w:rPr>
          <w:rFonts w:ascii="Times New Roman" w:eastAsia="Times New Roman" w:hAnsi="Times New Roman" w:cs="Times New Roman"/>
          <w:sz w:val="28"/>
          <w:szCs w:val="28"/>
          <w:lang w:val="lv-LV" w:eastAsia="zh-CN"/>
        </w:rPr>
      </w:pPr>
      <w:r w:rsidRPr="00752833">
        <w:rPr>
          <w:rFonts w:ascii="Times New Roman" w:hAnsi="Times New Roman" w:cs="Times New Roman"/>
          <w:noProof/>
          <w:sz w:val="28"/>
          <w:szCs w:val="28"/>
          <w:lang w:val="lv-LV" w:eastAsia="lv-LV"/>
        </w:rPr>
        <w:drawing>
          <wp:inline distT="0" distB="0" distL="0" distR="0" wp14:anchorId="22EBC619" wp14:editId="22EBC61A">
            <wp:extent cx="581025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EBC571" w14:textId="30CB240C" w:rsidR="00F35B5D" w:rsidRPr="004B72D0" w:rsidRDefault="00F35B5D" w:rsidP="00F35B5D">
      <w:pPr>
        <w:spacing w:line="240" w:lineRule="auto"/>
        <w:jc w:val="both"/>
        <w:rPr>
          <w:rFonts w:ascii="Times New Roman" w:eastAsia="Times New Roman" w:hAnsi="Times New Roman" w:cs="Times New Roman"/>
          <w:i/>
          <w:sz w:val="24"/>
          <w:szCs w:val="24"/>
          <w:lang w:val="lv-LV" w:eastAsia="zh-CN"/>
        </w:rPr>
      </w:pPr>
      <w:r w:rsidRPr="004B72D0">
        <w:rPr>
          <w:rFonts w:ascii="Times New Roman" w:eastAsia="Times New Roman" w:hAnsi="Times New Roman" w:cs="Times New Roman"/>
          <w:i/>
          <w:sz w:val="24"/>
          <w:szCs w:val="24"/>
          <w:lang w:val="lv-LV" w:eastAsia="zh-CN"/>
        </w:rPr>
        <w:t>Avots: CSP,</w:t>
      </w:r>
      <w:r w:rsidR="0011316F">
        <w:rPr>
          <w:rFonts w:ascii="Times New Roman" w:eastAsia="Times New Roman" w:hAnsi="Times New Roman" w:cs="Times New Roman"/>
          <w:i/>
          <w:sz w:val="24"/>
          <w:szCs w:val="24"/>
          <w:lang w:val="lv-LV" w:eastAsia="zh-CN"/>
        </w:rPr>
        <w:t xml:space="preserve"> </w:t>
      </w:r>
      <w:r w:rsidRPr="004B72D0">
        <w:rPr>
          <w:rFonts w:ascii="Times New Roman" w:eastAsia="Times New Roman" w:hAnsi="Times New Roman" w:cs="Times New Roman"/>
          <w:i/>
          <w:sz w:val="24"/>
          <w:szCs w:val="24"/>
          <w:lang w:val="lv-LV" w:eastAsia="zh-CN"/>
        </w:rPr>
        <w:t>Eurostat</w:t>
      </w:r>
    </w:p>
    <w:p w14:paraId="22EBC572" w14:textId="77777777" w:rsidR="00F35B5D" w:rsidRPr="00752833" w:rsidRDefault="00F35B5D" w:rsidP="00F35B5D">
      <w:pPr>
        <w:spacing w:line="240" w:lineRule="auto"/>
        <w:jc w:val="both"/>
        <w:rPr>
          <w:rFonts w:ascii="Times New Roman" w:eastAsia="Times New Roman" w:hAnsi="Times New Roman" w:cs="Times New Roman"/>
          <w:sz w:val="28"/>
          <w:szCs w:val="28"/>
          <w:lang w:val="lv-LV" w:eastAsia="zh-CN"/>
        </w:rPr>
      </w:pPr>
      <w:r w:rsidRPr="00752833">
        <w:rPr>
          <w:rFonts w:ascii="Times New Roman" w:eastAsia="Times New Roman" w:hAnsi="Times New Roman" w:cs="Times New Roman"/>
          <w:sz w:val="28"/>
          <w:szCs w:val="28"/>
          <w:lang w:val="lv-LV" w:eastAsia="zh-CN"/>
        </w:rPr>
        <w:t xml:space="preserve">2019.gadā Latvijā </w:t>
      </w:r>
      <w:r>
        <w:rPr>
          <w:rFonts w:ascii="Times New Roman" w:eastAsia="Times New Roman" w:hAnsi="Times New Roman" w:cs="Times New Roman"/>
          <w:sz w:val="28"/>
          <w:szCs w:val="28"/>
          <w:lang w:val="lv-LV" w:eastAsia="zh-CN"/>
        </w:rPr>
        <w:t xml:space="preserve">bija </w:t>
      </w:r>
      <w:r w:rsidRPr="00752833">
        <w:rPr>
          <w:rFonts w:ascii="Times New Roman" w:eastAsia="Times New Roman" w:hAnsi="Times New Roman" w:cs="Times New Roman"/>
          <w:sz w:val="28"/>
          <w:szCs w:val="28"/>
          <w:lang w:val="lv-LV" w:eastAsia="zh-CN"/>
        </w:rPr>
        <w:t>10,3% jeb 30</w:t>
      </w:r>
      <w:r>
        <w:rPr>
          <w:rFonts w:ascii="Times New Roman" w:eastAsia="Times New Roman" w:hAnsi="Times New Roman" w:cs="Times New Roman"/>
          <w:sz w:val="28"/>
          <w:szCs w:val="28"/>
          <w:lang w:val="lv-LV" w:eastAsia="zh-CN"/>
        </w:rPr>
        <w:t> </w:t>
      </w:r>
      <w:r w:rsidRPr="00752833">
        <w:rPr>
          <w:rFonts w:ascii="Times New Roman" w:eastAsia="Times New Roman" w:hAnsi="Times New Roman" w:cs="Times New Roman"/>
          <w:sz w:val="28"/>
          <w:szCs w:val="28"/>
          <w:lang w:val="lv-LV" w:eastAsia="zh-CN"/>
        </w:rPr>
        <w:t xml:space="preserve">tūkst. </w:t>
      </w:r>
      <w:r>
        <w:rPr>
          <w:rFonts w:ascii="Times New Roman" w:eastAsia="Times New Roman" w:hAnsi="Times New Roman" w:cs="Times New Roman"/>
          <w:sz w:val="28"/>
          <w:szCs w:val="28"/>
          <w:lang w:val="lv-LV" w:eastAsia="zh-CN"/>
        </w:rPr>
        <w:t xml:space="preserve">NEET </w:t>
      </w:r>
      <w:r w:rsidRPr="00752833">
        <w:rPr>
          <w:rFonts w:ascii="Times New Roman" w:eastAsia="Times New Roman" w:hAnsi="Times New Roman" w:cs="Times New Roman"/>
          <w:sz w:val="28"/>
          <w:szCs w:val="28"/>
          <w:lang w:val="lv-LV" w:eastAsia="zh-CN"/>
        </w:rPr>
        <w:t xml:space="preserve">jauniešu vecumā no </w:t>
      </w:r>
      <w:r>
        <w:rPr>
          <w:rFonts w:ascii="Times New Roman" w:eastAsia="Times New Roman" w:hAnsi="Times New Roman" w:cs="Times New Roman"/>
          <w:sz w:val="28"/>
          <w:szCs w:val="28"/>
          <w:lang w:val="lv-LV" w:eastAsia="zh-CN"/>
        </w:rPr>
        <w:t>15 – 29 </w:t>
      </w:r>
      <w:r w:rsidRPr="00752833">
        <w:rPr>
          <w:rFonts w:ascii="Times New Roman" w:eastAsia="Times New Roman" w:hAnsi="Times New Roman" w:cs="Times New Roman"/>
          <w:sz w:val="28"/>
          <w:szCs w:val="28"/>
          <w:lang w:val="lv-LV" w:eastAsia="zh-CN"/>
        </w:rPr>
        <w:t>gadiem (ES 28 – 12,5%)</w:t>
      </w:r>
      <w:r w:rsidRPr="00752833">
        <w:rPr>
          <w:rStyle w:val="FootnoteReference"/>
          <w:rFonts w:ascii="Times New Roman" w:eastAsia="Times New Roman" w:hAnsi="Times New Roman" w:cs="Times New Roman"/>
          <w:sz w:val="28"/>
          <w:szCs w:val="28"/>
          <w:lang w:val="lv-LV" w:eastAsia="zh-CN"/>
        </w:rPr>
        <w:footnoteReference w:id="6"/>
      </w:r>
      <w:r w:rsidRPr="00752833">
        <w:rPr>
          <w:rFonts w:ascii="Times New Roman" w:eastAsia="Times New Roman" w:hAnsi="Times New Roman" w:cs="Times New Roman"/>
          <w:sz w:val="28"/>
          <w:szCs w:val="28"/>
          <w:lang w:val="lv-LV" w:eastAsia="zh-CN"/>
        </w:rPr>
        <w:t xml:space="preserve">. </w:t>
      </w:r>
      <w:r>
        <w:rPr>
          <w:rFonts w:ascii="Times New Roman" w:eastAsia="Times New Roman" w:hAnsi="Times New Roman" w:cs="Times New Roman"/>
          <w:sz w:val="28"/>
          <w:szCs w:val="28"/>
          <w:lang w:val="lv-LV" w:eastAsia="zh-CN"/>
        </w:rPr>
        <w:t>S</w:t>
      </w:r>
      <w:r w:rsidRPr="00752833">
        <w:rPr>
          <w:rFonts w:ascii="Times New Roman" w:eastAsia="Times New Roman" w:hAnsi="Times New Roman" w:cs="Times New Roman"/>
          <w:sz w:val="28"/>
          <w:szCs w:val="28"/>
          <w:lang w:val="lv-LV" w:eastAsia="zh-CN"/>
        </w:rPr>
        <w:t>ākot ar 2010.gadu NEET jauniešu skaitam Latvijā ir tendence mazināties. Laika periodā no 2009.gada līdz 2019.gadam NEET jauniešu skaits ik gadu ir mazinājies par vidēji 6 tūkst. NEET jauniešu gadā.</w:t>
      </w:r>
      <w:r>
        <w:rPr>
          <w:rFonts w:ascii="Times New Roman" w:hAnsi="Times New Roman" w:cs="Times New Roman"/>
          <w:sz w:val="28"/>
          <w:szCs w:val="28"/>
          <w:lang w:val="lv-LV"/>
        </w:rPr>
        <w:t xml:space="preserve"> Jāatzīmē, ka a</w:t>
      </w:r>
      <w:r w:rsidRPr="00752833">
        <w:rPr>
          <w:rFonts w:ascii="Times New Roman" w:hAnsi="Times New Roman" w:cs="Times New Roman"/>
          <w:sz w:val="28"/>
          <w:szCs w:val="28"/>
          <w:lang w:val="lv-LV"/>
        </w:rPr>
        <w:t xml:space="preserve">rī </w:t>
      </w:r>
      <w:r w:rsidRPr="00752833">
        <w:rPr>
          <w:rFonts w:ascii="Times New Roman" w:eastAsia="Times New Roman" w:hAnsi="Times New Roman" w:cs="Times New Roman"/>
          <w:sz w:val="28"/>
          <w:szCs w:val="28"/>
          <w:lang w:val="lv-LV" w:eastAsia="zh-CN"/>
        </w:rPr>
        <w:t>Eiropas Savienības vidējais NEET jauniešu proporcijas rādītājs</w:t>
      </w:r>
      <w:r>
        <w:rPr>
          <w:rFonts w:ascii="Times New Roman" w:eastAsia="Times New Roman" w:hAnsi="Times New Roman" w:cs="Times New Roman"/>
          <w:sz w:val="28"/>
          <w:szCs w:val="28"/>
          <w:lang w:val="lv-LV" w:eastAsia="zh-CN"/>
        </w:rPr>
        <w:t xml:space="preserve"> pret kopējo jauniešu skaitu attiecīgajā vecuma grupā</w:t>
      </w:r>
      <w:r w:rsidRPr="00752833">
        <w:rPr>
          <w:rFonts w:ascii="Times New Roman" w:eastAsia="Times New Roman" w:hAnsi="Times New Roman" w:cs="Times New Roman"/>
          <w:sz w:val="28"/>
          <w:szCs w:val="28"/>
          <w:lang w:val="lv-LV" w:eastAsia="zh-CN"/>
        </w:rPr>
        <w:t xml:space="preserve"> ik gadu samazinās, 2019.gadā sasniedzot zemāko rādītāju pēdējo 12 gadu laikā -12.5%.</w:t>
      </w:r>
    </w:p>
    <w:p w14:paraId="22EBC573" w14:textId="2E613596" w:rsidR="00F35B5D" w:rsidRPr="00752833" w:rsidRDefault="00F35B5D" w:rsidP="00F35B5D">
      <w:pPr>
        <w:spacing w:line="240" w:lineRule="auto"/>
        <w:ind w:firstLine="720"/>
        <w:jc w:val="both"/>
        <w:rPr>
          <w:rFonts w:ascii="Times New Roman" w:eastAsia="Times New Roman" w:hAnsi="Times New Roman" w:cs="Times New Roman"/>
          <w:sz w:val="28"/>
          <w:szCs w:val="28"/>
          <w:lang w:val="lv-LV" w:eastAsia="zh-CN"/>
        </w:rPr>
      </w:pPr>
      <w:r>
        <w:rPr>
          <w:rFonts w:ascii="Times New Roman" w:eastAsia="Times New Roman" w:hAnsi="Times New Roman" w:cs="Times New Roman"/>
          <w:sz w:val="28"/>
          <w:szCs w:val="28"/>
          <w:lang w:val="lv-LV" w:eastAsia="zh-CN"/>
        </w:rPr>
        <w:t xml:space="preserve">Būtiskas izmaiņas </w:t>
      </w:r>
      <w:r w:rsidRPr="00752833">
        <w:rPr>
          <w:rFonts w:ascii="Times New Roman" w:eastAsia="Times New Roman" w:hAnsi="Times New Roman" w:cs="Times New Roman"/>
          <w:sz w:val="28"/>
          <w:szCs w:val="28"/>
          <w:lang w:val="lv-LV" w:eastAsia="zh-CN"/>
        </w:rPr>
        <w:t>Latvijas NEET jauniešu īpatsvar</w:t>
      </w:r>
      <w:r>
        <w:rPr>
          <w:rFonts w:ascii="Times New Roman" w:eastAsia="Times New Roman" w:hAnsi="Times New Roman" w:cs="Times New Roman"/>
          <w:sz w:val="28"/>
          <w:szCs w:val="28"/>
          <w:lang w:val="lv-LV" w:eastAsia="zh-CN"/>
        </w:rPr>
        <w:t xml:space="preserve">a rādītājos notikušas laikā no </w:t>
      </w:r>
      <w:r w:rsidRPr="00752833">
        <w:rPr>
          <w:rFonts w:ascii="Times New Roman" w:eastAsia="Times New Roman" w:hAnsi="Times New Roman" w:cs="Times New Roman"/>
          <w:sz w:val="28"/>
          <w:szCs w:val="28"/>
          <w:lang w:val="lv-LV" w:eastAsia="zh-CN"/>
        </w:rPr>
        <w:t>2008.- 2009.gada</w:t>
      </w:r>
      <w:r>
        <w:rPr>
          <w:rFonts w:ascii="Times New Roman" w:eastAsia="Times New Roman" w:hAnsi="Times New Roman" w:cs="Times New Roman"/>
          <w:sz w:val="28"/>
          <w:szCs w:val="28"/>
          <w:lang w:val="lv-LV" w:eastAsia="zh-CN"/>
        </w:rPr>
        <w:t>m</w:t>
      </w:r>
      <w:r w:rsidRPr="00752833">
        <w:rPr>
          <w:rFonts w:ascii="Times New Roman" w:eastAsia="Times New Roman" w:hAnsi="Times New Roman" w:cs="Times New Roman"/>
          <w:sz w:val="28"/>
          <w:szCs w:val="28"/>
          <w:lang w:val="lv-LV" w:eastAsia="zh-CN"/>
        </w:rPr>
        <w:t xml:space="preserve">, kad NEET jauniešu īpatsvara rādītājs gada laikā pieauga par </w:t>
      </w:r>
      <w:r>
        <w:rPr>
          <w:rFonts w:ascii="Times New Roman" w:eastAsia="Times New Roman" w:hAnsi="Times New Roman" w:cs="Times New Roman"/>
          <w:sz w:val="28"/>
          <w:szCs w:val="28"/>
          <w:lang w:val="lv-LV" w:eastAsia="zh-CN"/>
        </w:rPr>
        <w:t xml:space="preserve">septiņiem procentpunktiem, jo NEET situācijā bija nonākuši papildus </w:t>
      </w:r>
      <w:r w:rsidRPr="00752833">
        <w:rPr>
          <w:rFonts w:ascii="Times New Roman" w:eastAsia="Times New Roman" w:hAnsi="Times New Roman" w:cs="Times New Roman"/>
          <w:sz w:val="28"/>
          <w:szCs w:val="28"/>
          <w:lang w:val="lv-LV" w:eastAsia="zh-CN"/>
        </w:rPr>
        <w:t>32 tūkstoši jauniešu</w:t>
      </w:r>
      <w:r>
        <w:rPr>
          <w:rFonts w:ascii="Times New Roman" w:eastAsia="Times New Roman" w:hAnsi="Times New Roman" w:cs="Times New Roman"/>
          <w:sz w:val="28"/>
          <w:szCs w:val="28"/>
          <w:lang w:val="lv-LV" w:eastAsia="zh-CN"/>
        </w:rPr>
        <w:t>. Tas</w:t>
      </w:r>
      <w:r w:rsidRPr="00752833">
        <w:rPr>
          <w:rFonts w:ascii="Times New Roman" w:eastAsia="Times New Roman" w:hAnsi="Times New Roman" w:cs="Times New Roman"/>
          <w:sz w:val="28"/>
          <w:szCs w:val="28"/>
          <w:lang w:val="lv-LV" w:eastAsia="zh-CN"/>
        </w:rPr>
        <w:t xml:space="preserve"> norāda uz 2008.gada ekonomiskās krīzes būtisko ietekmi uz jauniešiem Latvijā. NEET jauniešu proporcijas pieaugums 2009.gadā, ko ietekmēja 2008./2009.gada </w:t>
      </w:r>
      <w:r>
        <w:rPr>
          <w:rFonts w:ascii="Times New Roman" w:eastAsia="Times New Roman" w:hAnsi="Times New Roman" w:cs="Times New Roman"/>
          <w:sz w:val="28"/>
          <w:szCs w:val="28"/>
          <w:lang w:val="lv-LV" w:eastAsia="zh-CN"/>
        </w:rPr>
        <w:t>ekonomiskā lejupslīde</w:t>
      </w:r>
      <w:r w:rsidRPr="00752833">
        <w:rPr>
          <w:rFonts w:ascii="Times New Roman" w:eastAsia="Times New Roman" w:hAnsi="Times New Roman" w:cs="Times New Roman"/>
          <w:sz w:val="28"/>
          <w:szCs w:val="28"/>
          <w:lang w:val="lv-LV" w:eastAsia="zh-CN"/>
        </w:rPr>
        <w:t xml:space="preserve">, vērojams arī citās Eiropas Savienības </w:t>
      </w:r>
      <w:r w:rsidRPr="00752833">
        <w:rPr>
          <w:rFonts w:ascii="Times New Roman" w:eastAsia="Times New Roman" w:hAnsi="Times New Roman" w:cs="Times New Roman"/>
          <w:sz w:val="28"/>
          <w:szCs w:val="28"/>
          <w:lang w:val="lv-LV" w:eastAsia="zh-CN"/>
        </w:rPr>
        <w:lastRenderedPageBreak/>
        <w:t>valstīs, kas norāda uz to, ka izmaiņas valsts ekonomiskajā situācijā atstāj būtisku ietekmi uz jauniešiem, radot apstākļus</w:t>
      </w:r>
      <w:r w:rsidR="008C2A08">
        <w:rPr>
          <w:rFonts w:ascii="Times New Roman" w:eastAsia="Times New Roman" w:hAnsi="Times New Roman" w:cs="Times New Roman"/>
          <w:sz w:val="28"/>
          <w:szCs w:val="28"/>
          <w:lang w:val="lv-LV" w:eastAsia="zh-CN"/>
        </w:rPr>
        <w:t xml:space="preserve"> jauniešu </w:t>
      </w:r>
      <w:r w:rsidRPr="00752833">
        <w:rPr>
          <w:rFonts w:ascii="Times New Roman" w:eastAsia="Times New Roman" w:hAnsi="Times New Roman" w:cs="Times New Roman"/>
          <w:sz w:val="28"/>
          <w:szCs w:val="28"/>
          <w:lang w:val="lv-LV" w:eastAsia="zh-CN"/>
        </w:rPr>
        <w:t>nonākšanai NEET situācijā.</w:t>
      </w:r>
    </w:p>
    <w:p w14:paraId="22EBC574" w14:textId="52EDACDF"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eastAsia="Times New Roman" w:hAnsi="Times New Roman" w:cs="Times New Roman"/>
          <w:sz w:val="28"/>
          <w:szCs w:val="28"/>
          <w:lang w:val="lv-LV" w:eastAsia="zh-CN"/>
        </w:rPr>
        <w:t xml:space="preserve">2020.gada martā, saasinoties COVID-19 krīzei, </w:t>
      </w:r>
      <w:r>
        <w:rPr>
          <w:rFonts w:ascii="Times New Roman" w:eastAsia="Times New Roman" w:hAnsi="Times New Roman" w:cs="Times New Roman"/>
          <w:sz w:val="28"/>
          <w:szCs w:val="28"/>
          <w:lang w:val="lv-LV" w:eastAsia="zh-CN"/>
        </w:rPr>
        <w:t xml:space="preserve">JSPA </w:t>
      </w:r>
      <w:r w:rsidR="004672F4">
        <w:rPr>
          <w:rFonts w:ascii="Times New Roman" w:eastAsia="Times New Roman" w:hAnsi="Times New Roman" w:cs="Times New Roman"/>
          <w:sz w:val="28"/>
          <w:szCs w:val="28"/>
          <w:lang w:val="lv-LV" w:eastAsia="zh-CN"/>
        </w:rPr>
        <w:t>vērsa uzmanību</w:t>
      </w:r>
      <w:r>
        <w:rPr>
          <w:rFonts w:ascii="Times New Roman" w:eastAsia="Times New Roman" w:hAnsi="Times New Roman" w:cs="Times New Roman"/>
          <w:sz w:val="28"/>
          <w:szCs w:val="28"/>
          <w:lang w:val="lv-LV" w:eastAsia="zh-CN"/>
        </w:rPr>
        <w:t xml:space="preserve"> uz iespējamo negatīvo ārkārtējās</w:t>
      </w:r>
      <w:r w:rsidRPr="00752833">
        <w:rPr>
          <w:rFonts w:ascii="Times New Roman" w:eastAsia="Times New Roman" w:hAnsi="Times New Roman" w:cs="Times New Roman"/>
          <w:sz w:val="28"/>
          <w:szCs w:val="28"/>
          <w:lang w:val="lv-LV" w:eastAsia="zh-CN"/>
        </w:rPr>
        <w:t xml:space="preserve"> situā</w:t>
      </w:r>
      <w:r w:rsidR="004672F4">
        <w:rPr>
          <w:rFonts w:ascii="Times New Roman" w:eastAsia="Times New Roman" w:hAnsi="Times New Roman" w:cs="Times New Roman"/>
          <w:sz w:val="28"/>
          <w:szCs w:val="28"/>
          <w:lang w:val="lv-LV" w:eastAsia="zh-CN"/>
        </w:rPr>
        <w:t>cijas ietekmi uz NEET jauniešu skaita pieaugumu</w:t>
      </w:r>
      <w:r w:rsidRPr="00752833">
        <w:rPr>
          <w:rFonts w:ascii="Times New Roman" w:eastAsia="Times New Roman" w:hAnsi="Times New Roman" w:cs="Times New Roman"/>
          <w:sz w:val="28"/>
          <w:szCs w:val="28"/>
          <w:lang w:val="lv-LV" w:eastAsia="zh-CN"/>
        </w:rPr>
        <w:t xml:space="preserve"> Latvijā, norādot, ka projekta “PROTI un DARI!” atbalsta mehānisms NEET jauniešu grupai būs būtisks instruments, lai pārvarētu COVID-19 izraisītās sociālekonomiskās sekas</w:t>
      </w:r>
      <w:r>
        <w:rPr>
          <w:rFonts w:ascii="Times New Roman" w:eastAsia="Times New Roman" w:hAnsi="Times New Roman" w:cs="Times New Roman"/>
          <w:sz w:val="28"/>
          <w:szCs w:val="28"/>
          <w:lang w:val="lv-LV" w:eastAsia="zh-CN"/>
        </w:rPr>
        <w:t>, norādot</w:t>
      </w:r>
      <w:r w:rsidRPr="00752833">
        <w:rPr>
          <w:rFonts w:ascii="Times New Roman" w:eastAsia="Times New Roman" w:hAnsi="Times New Roman" w:cs="Times New Roman"/>
          <w:sz w:val="28"/>
          <w:szCs w:val="28"/>
          <w:lang w:val="lv-LV" w:eastAsia="zh-CN"/>
        </w:rPr>
        <w:t>, ka ir svarīgi mazināt NEET jauniešu trauksmes izjūtu, sociālās izolētības pakāpi, lai veicinātu sociālo iekļaušanu un prasmju attīstību, tostarp stresa vadību un izpratni pa</w:t>
      </w:r>
      <w:r w:rsidRPr="00752833">
        <w:rPr>
          <w:rFonts w:ascii="Times New Roman" w:hAnsi="Times New Roman" w:cs="Times New Roman"/>
          <w:color w:val="212121"/>
          <w:sz w:val="28"/>
          <w:szCs w:val="28"/>
          <w:shd w:val="clear" w:color="auto" w:fill="FFFFFF"/>
          <w:lang w:val="lv-LV"/>
        </w:rPr>
        <w:t xml:space="preserve">r </w:t>
      </w:r>
      <w:r w:rsidRPr="00752833">
        <w:rPr>
          <w:rFonts w:ascii="Times New Roman" w:eastAsia="Times New Roman" w:hAnsi="Times New Roman" w:cs="Times New Roman"/>
          <w:sz w:val="28"/>
          <w:szCs w:val="28"/>
          <w:lang w:val="lv-LV" w:eastAsia="zh-CN"/>
        </w:rPr>
        <w:t xml:space="preserve">situāciju. Projekta “PROTI un DARI!” īstenošana pašlaik ir plānota līdz 2021.gada beigām, vienlaikus, atbilstoši projekta īstenošanai 2021.gadā </w:t>
      </w:r>
      <w:r>
        <w:rPr>
          <w:rFonts w:ascii="Times New Roman" w:eastAsia="Times New Roman" w:hAnsi="Times New Roman" w:cs="Times New Roman"/>
          <w:sz w:val="28"/>
          <w:szCs w:val="28"/>
          <w:lang w:val="lv-LV" w:eastAsia="zh-CN"/>
        </w:rPr>
        <w:t>pieejamā</w:t>
      </w:r>
      <w:r w:rsidRPr="00752833">
        <w:rPr>
          <w:rFonts w:ascii="Times New Roman" w:eastAsia="Times New Roman" w:hAnsi="Times New Roman" w:cs="Times New Roman"/>
          <w:sz w:val="28"/>
          <w:szCs w:val="28"/>
          <w:lang w:val="lv-LV" w:eastAsia="zh-CN"/>
        </w:rPr>
        <w:t xml:space="preserve"> finansējuma apjomam, 2021.gadā atbalstu varēs sniegt mazākam skaitam jauniešu kā 2020.gadā, indikatīvi plānota atbalsta sniegšana </w:t>
      </w:r>
      <w:r>
        <w:rPr>
          <w:rFonts w:ascii="Times New Roman" w:eastAsia="Times New Roman" w:hAnsi="Times New Roman" w:cs="Times New Roman"/>
          <w:sz w:val="28"/>
          <w:szCs w:val="28"/>
          <w:lang w:val="lv-LV" w:eastAsia="zh-CN"/>
        </w:rPr>
        <w:t xml:space="preserve">indikatīvi </w:t>
      </w:r>
      <w:r w:rsidRPr="00752833">
        <w:rPr>
          <w:rFonts w:ascii="Times New Roman" w:eastAsia="Times New Roman" w:hAnsi="Times New Roman" w:cs="Times New Roman"/>
          <w:sz w:val="28"/>
          <w:szCs w:val="28"/>
          <w:lang w:val="lv-LV" w:eastAsia="zh-CN"/>
        </w:rPr>
        <w:t>395 </w:t>
      </w:r>
      <w:r>
        <w:rPr>
          <w:rFonts w:ascii="Times New Roman" w:eastAsia="Times New Roman" w:hAnsi="Times New Roman" w:cs="Times New Roman"/>
          <w:sz w:val="28"/>
          <w:szCs w:val="28"/>
          <w:lang w:val="lv-LV" w:eastAsia="zh-CN"/>
        </w:rPr>
        <w:t xml:space="preserve">NEET </w:t>
      </w:r>
      <w:r w:rsidRPr="00752833">
        <w:rPr>
          <w:rFonts w:ascii="Times New Roman" w:eastAsia="Times New Roman" w:hAnsi="Times New Roman" w:cs="Times New Roman"/>
          <w:sz w:val="28"/>
          <w:szCs w:val="28"/>
          <w:lang w:val="lv-LV" w:eastAsia="zh-CN"/>
        </w:rPr>
        <w:t>jauniešiem. Ievērojot iepriekš minēto, un izvērtējot Eiropas Savienības struktūrfondu līdzfinansētu projektu īstenošanu COVID-19 krīzes seku mazināšanai, nepieciešams projektam “PROTI un DARI!” palielināt finansējumu, lai nodrošinātu pilnvērtīgu atbalstu NEET jauniešiem arī 2021.gadā un 2022.gadā un sekmētu NEET jauniešu iekļaušanos izglītībā un nodarbinātībā</w:t>
      </w:r>
      <w:r>
        <w:rPr>
          <w:rFonts w:ascii="Times New Roman" w:eastAsia="Times New Roman" w:hAnsi="Times New Roman" w:cs="Times New Roman"/>
          <w:sz w:val="28"/>
          <w:szCs w:val="28"/>
          <w:lang w:val="lv-LV" w:eastAsia="zh-CN"/>
        </w:rPr>
        <w:t xml:space="preserve">, rodot </w:t>
      </w:r>
      <w:r w:rsidRPr="00752833">
        <w:rPr>
          <w:rFonts w:ascii="Times New Roman" w:eastAsia="Times New Roman" w:hAnsi="Times New Roman" w:cs="Times New Roman"/>
          <w:sz w:val="28"/>
          <w:szCs w:val="28"/>
          <w:lang w:val="lv-LV" w:eastAsia="zh-CN"/>
        </w:rPr>
        <w:t xml:space="preserve">risinājumus </w:t>
      </w:r>
      <w:r w:rsidRPr="00752833">
        <w:rPr>
          <w:rFonts w:ascii="Times New Roman" w:hAnsi="Times New Roman" w:cs="Times New Roman"/>
          <w:sz w:val="28"/>
          <w:szCs w:val="28"/>
          <w:lang w:val="lv-LV"/>
        </w:rPr>
        <w:t xml:space="preserve">jauniešu potenciāla izmantošanai ekonomikas izaugsmei. </w:t>
      </w:r>
      <w:r w:rsidRPr="00752833">
        <w:rPr>
          <w:rFonts w:ascii="Times New Roman" w:hAnsi="Times New Roman" w:cs="Times New Roman"/>
          <w:i/>
          <w:sz w:val="28"/>
          <w:szCs w:val="28"/>
          <w:lang w:val="lv-LV"/>
        </w:rPr>
        <w:t xml:space="preserve">Eurofond </w:t>
      </w:r>
      <w:r w:rsidRPr="00752833">
        <w:rPr>
          <w:rFonts w:ascii="Times New Roman" w:hAnsi="Times New Roman" w:cs="Times New Roman"/>
          <w:sz w:val="28"/>
          <w:szCs w:val="28"/>
          <w:lang w:val="lv-LV"/>
        </w:rPr>
        <w:t xml:space="preserve">veiktās aplēses liecina, ka 2008.gadā Eiropas Savienības valstis nespējot pilnībā izmantot jauniešu potenciālu ekonomikas attīstībai kopumā zaudēja gandrīz 120 miljardus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kas sastādīja turpat 1% no Eiropas Savienības kopējā IKP. Turklāt, līdz 2011.gadam situācija tikai pasliktinājās, zaudējumiem pieaugot līdz 153 miljardiem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gadā, kas bija pielīdzināmi 1.2% no Eiropas Savienības IKP. Latvija un Īrija šajās aplēsēs tika raksturotas kā valstis, kas, neizmantojot jauniešu potenciālu valsts attīstībai, ik gadu zaudē 2.5-3% no IKP. Vēl sliktāku rezultātu (3-3.5% no IKP) uzrādīja tikai Bulgārija un Grieķija.</w:t>
      </w:r>
    </w:p>
    <w:p w14:paraId="22EBC575" w14:textId="77777777" w:rsidR="00F35B5D" w:rsidRDefault="00F35B5D" w:rsidP="00F35B5D">
      <w:pPr>
        <w:spacing w:after="120"/>
        <w:ind w:firstLine="720"/>
        <w:jc w:val="both"/>
        <w:rPr>
          <w:rFonts w:ascii="Times New Roman" w:hAnsi="Times New Roman" w:cs="Times New Roman"/>
          <w:sz w:val="28"/>
          <w:szCs w:val="28"/>
          <w:lang w:val="lv-LV"/>
        </w:rPr>
      </w:pPr>
    </w:p>
    <w:p w14:paraId="22EBC576" w14:textId="6F4F2A6E" w:rsidR="00F35B5D" w:rsidRPr="00752833" w:rsidRDefault="00F35B5D" w:rsidP="00F35B5D">
      <w:pPr>
        <w:spacing w:after="120"/>
        <w:ind w:firstLine="720"/>
        <w:jc w:val="center"/>
        <w:rPr>
          <w:rFonts w:ascii="Times New Roman" w:hAnsi="Times New Roman" w:cs="Times New Roman"/>
          <w:sz w:val="28"/>
          <w:szCs w:val="28"/>
          <w:lang w:val="lv-LV"/>
        </w:rPr>
      </w:pPr>
      <w:r w:rsidRPr="00752833">
        <w:rPr>
          <w:rFonts w:ascii="Times New Roman" w:hAnsi="Times New Roman" w:cs="Times New Roman"/>
          <w:b/>
          <w:sz w:val="28"/>
          <w:szCs w:val="28"/>
          <w:lang w:val="lv-LV"/>
        </w:rPr>
        <w:t>2.</w:t>
      </w:r>
      <w:r w:rsidRPr="00752833">
        <w:rPr>
          <w:rFonts w:ascii="Times New Roman" w:hAnsi="Times New Roman" w:cs="Times New Roman"/>
          <w:sz w:val="28"/>
          <w:szCs w:val="28"/>
          <w:lang w:val="lv-LV"/>
        </w:rPr>
        <w:t> </w:t>
      </w:r>
      <w:r w:rsidRPr="00752833">
        <w:rPr>
          <w:rFonts w:ascii="Times New Roman" w:hAnsi="Times New Roman" w:cs="Times New Roman"/>
          <w:b/>
          <w:sz w:val="28"/>
          <w:szCs w:val="28"/>
          <w:lang w:val="lv-LV"/>
        </w:rPr>
        <w:t>Projekts „PROTI un DARI!”, īstenošana un sasniegtie rezultāti</w:t>
      </w:r>
    </w:p>
    <w:p w14:paraId="22EBC578" w14:textId="6AE8B66D"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Eiropas Sociālā fonda 8.3.3.</w:t>
      </w:r>
      <w:r>
        <w:rPr>
          <w:rFonts w:ascii="Times New Roman" w:hAnsi="Times New Roman" w:cs="Times New Roman"/>
          <w:sz w:val="28"/>
          <w:szCs w:val="28"/>
          <w:lang w:val="lv-LV"/>
        </w:rPr>
        <w:t>SAM</w:t>
      </w:r>
      <w:r w:rsidRPr="00752833">
        <w:rPr>
          <w:rFonts w:ascii="Times New Roman" w:hAnsi="Times New Roman" w:cs="Times New Roman"/>
          <w:sz w:val="28"/>
          <w:szCs w:val="28"/>
          <w:lang w:val="lv-LV"/>
        </w:rPr>
        <w:t xml:space="preserve"> projekts “PROTI un DARI</w:t>
      </w:r>
      <w:r>
        <w:rPr>
          <w:rFonts w:ascii="Times New Roman" w:hAnsi="Times New Roman" w:cs="Times New Roman"/>
          <w:sz w:val="28"/>
          <w:szCs w:val="28"/>
          <w:lang w:val="lv-LV"/>
        </w:rPr>
        <w:t>!</w:t>
      </w:r>
      <w:r w:rsidRPr="00752833">
        <w:rPr>
          <w:rFonts w:ascii="Times New Roman" w:hAnsi="Times New Roman" w:cs="Times New Roman"/>
          <w:sz w:val="28"/>
          <w:szCs w:val="28"/>
          <w:lang w:val="lv-LV"/>
        </w:rPr>
        <w:t xml:space="preserve">” Latvijā tiek īstenots kopš 2015.gada. Projekta īstenotājs ir JSPA, </w:t>
      </w:r>
      <w:r>
        <w:rPr>
          <w:rFonts w:ascii="Times New Roman" w:hAnsi="Times New Roman" w:cs="Times New Roman"/>
          <w:sz w:val="28"/>
          <w:szCs w:val="28"/>
          <w:lang w:val="lv-LV"/>
        </w:rPr>
        <w:t xml:space="preserve">kas projektu īsteno sadarbībā ar </w:t>
      </w:r>
      <w:r w:rsidRPr="00752833">
        <w:rPr>
          <w:rFonts w:ascii="Times New Roman" w:hAnsi="Times New Roman" w:cs="Times New Roman"/>
          <w:sz w:val="28"/>
          <w:szCs w:val="28"/>
          <w:lang w:val="lv-LV"/>
        </w:rPr>
        <w:t>pašvaldīb</w:t>
      </w:r>
      <w:r>
        <w:rPr>
          <w:rFonts w:ascii="Times New Roman" w:hAnsi="Times New Roman" w:cs="Times New Roman"/>
          <w:sz w:val="28"/>
          <w:szCs w:val="28"/>
          <w:lang w:val="lv-LV"/>
        </w:rPr>
        <w:t>ām</w:t>
      </w:r>
      <w:r w:rsidRPr="00752833">
        <w:rPr>
          <w:rFonts w:ascii="Times New Roman" w:hAnsi="Times New Roman" w:cs="Times New Roman"/>
          <w:sz w:val="28"/>
          <w:szCs w:val="28"/>
          <w:lang w:val="lv-LV"/>
        </w:rPr>
        <w:t>. Projekta</w:t>
      </w:r>
      <w:r>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“PROTI un DARI</w:t>
      </w:r>
      <w:r>
        <w:rPr>
          <w:rFonts w:ascii="Times New Roman" w:hAnsi="Times New Roman" w:cs="Times New Roman"/>
          <w:sz w:val="28"/>
          <w:szCs w:val="28"/>
          <w:lang w:val="lv-LV"/>
        </w:rPr>
        <w:t>!</w:t>
      </w:r>
      <w:r w:rsidRPr="00752833">
        <w:rPr>
          <w:rFonts w:ascii="Times New Roman" w:hAnsi="Times New Roman" w:cs="Times New Roman"/>
          <w:sz w:val="28"/>
          <w:szCs w:val="28"/>
          <w:lang w:val="lv-LV"/>
        </w:rPr>
        <w:t xml:space="preserve">” mērķis ir attīstīt NEET jauniešu </w:t>
      </w:r>
      <w:r>
        <w:rPr>
          <w:rFonts w:ascii="Times New Roman" w:hAnsi="Times New Roman" w:cs="Times New Roman"/>
          <w:sz w:val="28"/>
          <w:szCs w:val="28"/>
          <w:lang w:val="lv-LV"/>
        </w:rPr>
        <w:t xml:space="preserve">vecumā no 15-29 gadiem </w:t>
      </w:r>
      <w:r w:rsidRPr="00752833">
        <w:rPr>
          <w:rFonts w:ascii="Times New Roman" w:hAnsi="Times New Roman" w:cs="Times New Roman"/>
          <w:sz w:val="28"/>
          <w:szCs w:val="28"/>
          <w:lang w:val="lv-LV"/>
        </w:rPr>
        <w:t>prasmes un veicināt viņu iesaisti izglītībā, aroda apguvē pie amata meistara, nodarbinātībā, Valsts izglītības attīstības aģentūras (turpmāk – VIAA) īstenotajā Jauniešu garantijas projekta pasākumā vai Nodarbinātības valsts aģentūras (turpmāk – NVA) īstenotajos aktīvajos nodarbinātības vai preventīvajos bezdarba samazināšanas pasākumos, kā arī nevalstisko organizāciju vai jauniešu centru darbībā</w:t>
      </w:r>
      <w:r>
        <w:rPr>
          <w:rFonts w:ascii="Times New Roman" w:hAnsi="Times New Roman" w:cs="Times New Roman"/>
          <w:sz w:val="28"/>
          <w:szCs w:val="28"/>
          <w:lang w:val="lv-LV"/>
        </w:rPr>
        <w:t xml:space="preserve">. Projekta </w:t>
      </w:r>
      <w:r w:rsidR="00443990" w:rsidRPr="00752833">
        <w:rPr>
          <w:rFonts w:ascii="Times New Roman" w:hAnsi="Times New Roman" w:cs="Times New Roman"/>
          <w:sz w:val="28"/>
          <w:szCs w:val="28"/>
          <w:lang w:val="lv-LV"/>
        </w:rPr>
        <w:t>“</w:t>
      </w:r>
      <w:r>
        <w:rPr>
          <w:rFonts w:ascii="Times New Roman" w:hAnsi="Times New Roman" w:cs="Times New Roman"/>
          <w:sz w:val="28"/>
          <w:szCs w:val="28"/>
          <w:lang w:val="lv-LV"/>
        </w:rPr>
        <w:t xml:space="preserve">PROTI un DARI!” ietvaros </w:t>
      </w:r>
      <w:r w:rsidRPr="00752833">
        <w:rPr>
          <w:rFonts w:ascii="Times New Roman" w:hAnsi="Times New Roman" w:cs="Times New Roman"/>
          <w:sz w:val="28"/>
          <w:szCs w:val="28"/>
          <w:lang w:val="lv-LV"/>
        </w:rPr>
        <w:t xml:space="preserve">līdz 2021.gada beigām </w:t>
      </w:r>
      <w:r>
        <w:rPr>
          <w:rFonts w:ascii="Times New Roman" w:hAnsi="Times New Roman" w:cs="Times New Roman"/>
          <w:sz w:val="28"/>
          <w:szCs w:val="28"/>
          <w:lang w:val="lv-LV"/>
        </w:rPr>
        <w:t xml:space="preserve">plānots </w:t>
      </w:r>
      <w:r w:rsidRPr="00752833">
        <w:rPr>
          <w:rFonts w:ascii="Times New Roman" w:hAnsi="Times New Roman" w:cs="Times New Roman"/>
          <w:sz w:val="28"/>
          <w:szCs w:val="28"/>
          <w:lang w:val="lv-LV"/>
        </w:rPr>
        <w:t>snie</w:t>
      </w:r>
      <w:r>
        <w:rPr>
          <w:rFonts w:ascii="Times New Roman" w:hAnsi="Times New Roman" w:cs="Times New Roman"/>
          <w:sz w:val="28"/>
          <w:szCs w:val="28"/>
          <w:lang w:val="lv-LV"/>
        </w:rPr>
        <w:t>gt</w:t>
      </w:r>
      <w:r w:rsidRPr="00752833">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lastRenderedPageBreak/>
        <w:t>atbalstu 3885 NEET jauniešiem, no kuriem vismaz 2720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jauniešus iesaistot izglītībā vai nodarbinātībā.</w:t>
      </w:r>
    </w:p>
    <w:p w14:paraId="22EBC579"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color w:val="000000" w:themeColor="text1"/>
          <w:sz w:val="28"/>
          <w:szCs w:val="28"/>
          <w:lang w:val="lv-LV"/>
        </w:rPr>
        <w:t xml:space="preserve">Primārā projekta </w:t>
      </w:r>
      <w:r>
        <w:rPr>
          <w:rFonts w:ascii="Times New Roman" w:hAnsi="Times New Roman" w:cs="Times New Roman"/>
          <w:color w:val="000000" w:themeColor="text1"/>
          <w:sz w:val="28"/>
          <w:szCs w:val="28"/>
          <w:lang w:val="lv-LV"/>
        </w:rPr>
        <w:t xml:space="preserve">„PROTI un DARI!” </w:t>
      </w:r>
      <w:r w:rsidRPr="00752833">
        <w:rPr>
          <w:rFonts w:ascii="Times New Roman" w:hAnsi="Times New Roman" w:cs="Times New Roman"/>
          <w:color w:val="000000" w:themeColor="text1"/>
          <w:sz w:val="28"/>
          <w:szCs w:val="28"/>
          <w:lang w:val="lv-LV"/>
        </w:rPr>
        <w:t xml:space="preserve">mērķa grupa ir neaktīvie un NVA nereģistrētie jaunieši NEET situācijā, kas pakļauti augstam sociālās atstumtības riskam zema izglītības līmeņa, vispārējo un specifisko prasmju trūkuma, kā arī subjektīvo un objektīvo sociālo ierobežojumu dēļ. Projekta ietvaros atbalsts tiek sniegts vairākām </w:t>
      </w:r>
      <w:r>
        <w:rPr>
          <w:rFonts w:ascii="Times New Roman" w:hAnsi="Times New Roman" w:cs="Times New Roman"/>
          <w:color w:val="000000" w:themeColor="text1"/>
          <w:sz w:val="28"/>
          <w:szCs w:val="28"/>
          <w:lang w:val="lv-LV"/>
        </w:rPr>
        <w:t>NEET jauniešu</w:t>
      </w:r>
      <w:r w:rsidRPr="00752833">
        <w:rPr>
          <w:rFonts w:ascii="Times New Roman" w:hAnsi="Times New Roman" w:cs="Times New Roman"/>
          <w:color w:val="000000" w:themeColor="text1"/>
          <w:sz w:val="28"/>
          <w:szCs w:val="28"/>
          <w:lang w:val="lv-LV"/>
        </w:rPr>
        <w:t xml:space="preserve"> grupām, t.sk.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ar invaliditāti vai veselības problēmām, jauniešiem ar zemu izglītības līmeni,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ar atkarības problēmām,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no trūcīgām ģimenēm, jaunajām māmiņām, jauniešiem bāreņiem,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jauniešiem, kas atgriezušies no ieslodzījuma vietām</w:t>
      </w:r>
      <w:r>
        <w:rPr>
          <w:rFonts w:ascii="Times New Roman" w:hAnsi="Times New Roman" w:cs="Times New Roman"/>
          <w:color w:val="000000" w:themeColor="text1"/>
          <w:sz w:val="28"/>
          <w:szCs w:val="28"/>
          <w:lang w:val="lv-LV"/>
        </w:rPr>
        <w:t>.</w:t>
      </w:r>
      <w:r w:rsidRPr="00752833">
        <w:rPr>
          <w:rFonts w:ascii="Times New Roman" w:hAnsi="Times New Roman" w:cs="Times New Roman"/>
          <w:color w:val="000000" w:themeColor="text1"/>
          <w:sz w:val="28"/>
          <w:szCs w:val="28"/>
          <w:lang w:val="lv-LV"/>
        </w:rPr>
        <w:t xml:space="preserve"> Piemērām, no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kas 2020.gada pirmajā ceturksnī iesaistīti projektā, 40%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 </w:t>
      </w:r>
      <w:r>
        <w:rPr>
          <w:rFonts w:ascii="Times New Roman" w:hAnsi="Times New Roman" w:cs="Times New Roman"/>
          <w:color w:val="000000" w:themeColor="text1"/>
          <w:sz w:val="28"/>
          <w:szCs w:val="28"/>
          <w:lang w:val="lv-LV"/>
        </w:rPr>
        <w:t xml:space="preserve">bija </w:t>
      </w:r>
      <w:r w:rsidRPr="00752833">
        <w:rPr>
          <w:rFonts w:ascii="Times New Roman" w:hAnsi="Times New Roman" w:cs="Times New Roman"/>
          <w:color w:val="000000" w:themeColor="text1"/>
          <w:sz w:val="28"/>
          <w:szCs w:val="28"/>
          <w:lang w:val="lv-LV"/>
        </w:rPr>
        <w:t>ar zemu izglītības līmeni (izglītības līmenis ir pamatizglītība vai zemāks), 52% –</w:t>
      </w:r>
      <w:r>
        <w:rPr>
          <w:rFonts w:ascii="Times New Roman" w:hAnsi="Times New Roman" w:cs="Times New Roman"/>
          <w:color w:val="000000" w:themeColor="text1"/>
          <w:sz w:val="28"/>
          <w:szCs w:val="28"/>
          <w:lang w:val="lv-LV"/>
        </w:rPr>
        <w:t xml:space="preserve"> NEET</w:t>
      </w:r>
      <w:r w:rsidRPr="00752833">
        <w:rPr>
          <w:rFonts w:ascii="Times New Roman" w:hAnsi="Times New Roman" w:cs="Times New Roman"/>
          <w:color w:val="000000" w:themeColor="text1"/>
          <w:sz w:val="28"/>
          <w:szCs w:val="28"/>
          <w:lang w:val="lv-LV"/>
        </w:rPr>
        <w:t xml:space="preserve"> jaunieši no lauku apvidiem, 13% –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jaunieši ar invaliditāti.</w:t>
      </w:r>
    </w:p>
    <w:p w14:paraId="22EBC57A" w14:textId="6044C6F1" w:rsidR="00F35B5D" w:rsidRPr="004B72D0"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Līdz 2020.gada 30.septembrim faktiskais projekta </w:t>
      </w:r>
      <w:r>
        <w:rPr>
          <w:rFonts w:ascii="Times New Roman" w:hAnsi="Times New Roman" w:cs="Times New Roman"/>
          <w:sz w:val="28"/>
          <w:szCs w:val="28"/>
          <w:lang w:val="lv-LV"/>
        </w:rPr>
        <w:t xml:space="preserve">„PROTI un DARI!” </w:t>
      </w:r>
      <w:r w:rsidRPr="00752833">
        <w:rPr>
          <w:rFonts w:ascii="Times New Roman" w:hAnsi="Times New Roman" w:cs="Times New Roman"/>
          <w:sz w:val="28"/>
          <w:szCs w:val="28"/>
          <w:lang w:val="lv-LV"/>
        </w:rPr>
        <w:t xml:space="preserve">apgūtais finansējums </w:t>
      </w:r>
      <w:r w:rsidRPr="0011272D">
        <w:rPr>
          <w:rFonts w:ascii="Times New Roman" w:hAnsi="Times New Roman" w:cs="Times New Roman"/>
          <w:sz w:val="28"/>
          <w:szCs w:val="28"/>
          <w:lang w:val="lv-LV"/>
        </w:rPr>
        <w:t xml:space="preserve">bija </w:t>
      </w:r>
      <w:r w:rsidR="00A02D8E" w:rsidRPr="0011272D">
        <w:rPr>
          <w:rFonts w:ascii="Times New Roman" w:hAnsi="Times New Roman" w:cs="Times New Roman"/>
          <w:sz w:val="28"/>
          <w:szCs w:val="28"/>
          <w:lang w:val="lv-LV"/>
        </w:rPr>
        <w:t>6 112 001,76</w:t>
      </w:r>
      <w:r w:rsidRPr="0011272D">
        <w:rPr>
          <w:rFonts w:ascii="Times New Roman" w:hAnsi="Times New Roman" w:cs="Times New Roman"/>
          <w:sz w:val="28"/>
          <w:szCs w:val="28"/>
          <w:lang w:val="lv-LV"/>
        </w:rPr>
        <w:t> </w:t>
      </w:r>
      <w:r w:rsidRPr="0011272D">
        <w:rPr>
          <w:rFonts w:ascii="Times New Roman" w:hAnsi="Times New Roman" w:cs="Times New Roman"/>
          <w:i/>
          <w:sz w:val="28"/>
          <w:szCs w:val="28"/>
          <w:lang w:val="lv-LV"/>
        </w:rPr>
        <w:t>euro</w:t>
      </w:r>
      <w:r w:rsidRPr="0011272D">
        <w:rPr>
          <w:rFonts w:ascii="Times New Roman" w:hAnsi="Times New Roman" w:cs="Times New Roman"/>
          <w:sz w:val="28"/>
          <w:szCs w:val="28"/>
          <w:lang w:val="lv-LV"/>
        </w:rPr>
        <w:t>, jeb</w:t>
      </w:r>
      <w:r w:rsidR="00A02D8E" w:rsidRPr="0011272D">
        <w:rPr>
          <w:rFonts w:ascii="Times New Roman" w:hAnsi="Times New Roman" w:cs="Times New Roman"/>
          <w:sz w:val="28"/>
          <w:szCs w:val="28"/>
          <w:lang w:val="lv-LV"/>
        </w:rPr>
        <w:t xml:space="preserve"> 80,84 </w:t>
      </w:r>
      <w:r w:rsidRPr="0011272D">
        <w:rPr>
          <w:rFonts w:ascii="Times New Roman" w:hAnsi="Times New Roman" w:cs="Times New Roman"/>
          <w:sz w:val="28"/>
          <w:szCs w:val="28"/>
          <w:lang w:val="lv-LV"/>
        </w:rPr>
        <w:t>%</w:t>
      </w:r>
      <w:r w:rsidRPr="00752833">
        <w:rPr>
          <w:rFonts w:ascii="Times New Roman" w:hAnsi="Times New Roman" w:cs="Times New Roman"/>
          <w:sz w:val="28"/>
          <w:szCs w:val="28"/>
          <w:lang w:val="lv-LV"/>
        </w:rPr>
        <w:t xml:space="preserve"> no projekta īstenošanai plānotās </w:t>
      </w:r>
      <w:r>
        <w:rPr>
          <w:rFonts w:ascii="Times New Roman" w:hAnsi="Times New Roman" w:cs="Times New Roman"/>
          <w:sz w:val="28"/>
          <w:szCs w:val="28"/>
          <w:lang w:val="lv-LV"/>
        </w:rPr>
        <w:t xml:space="preserve">kopējās </w:t>
      </w:r>
      <w:r w:rsidRPr="00752833">
        <w:rPr>
          <w:rFonts w:ascii="Times New Roman" w:hAnsi="Times New Roman" w:cs="Times New Roman"/>
          <w:sz w:val="28"/>
          <w:szCs w:val="28"/>
          <w:lang w:val="lv-LV"/>
        </w:rPr>
        <w:t>summas 7 560</w:t>
      </w:r>
      <w:r w:rsidR="000323CC">
        <w:rPr>
          <w:rFonts w:ascii="Times New Roman" w:hAnsi="Times New Roman" w:cs="Times New Roman"/>
          <w:sz w:val="28"/>
          <w:szCs w:val="28"/>
          <w:lang w:val="lv-LV"/>
        </w:rPr>
        <w:t> </w:t>
      </w:r>
      <w:r w:rsidRPr="00752833">
        <w:rPr>
          <w:rFonts w:ascii="Times New Roman" w:hAnsi="Times New Roman" w:cs="Times New Roman"/>
          <w:sz w:val="28"/>
          <w:szCs w:val="28"/>
          <w:lang w:val="lv-LV"/>
        </w:rPr>
        <w:t>330</w:t>
      </w:r>
      <w:r w:rsidR="000323CC">
        <w:rPr>
          <w:rFonts w:ascii="Times New Roman" w:hAnsi="Times New Roman" w:cs="Times New Roman"/>
          <w:sz w:val="28"/>
          <w:szCs w:val="28"/>
          <w:lang w:val="lv-LV"/>
        </w:rPr>
        <w:t> </w:t>
      </w:r>
      <w:r w:rsidRPr="00752833">
        <w:rPr>
          <w:rFonts w:ascii="Times New Roman" w:hAnsi="Times New Roman" w:cs="Times New Roman"/>
          <w:i/>
          <w:sz w:val="28"/>
          <w:szCs w:val="28"/>
          <w:lang w:val="lv-LV"/>
        </w:rPr>
        <w:t>euro.</w:t>
      </w:r>
      <w:r w:rsidR="0011272D">
        <w:rPr>
          <w:rFonts w:ascii="Times New Roman" w:hAnsi="Times New Roman" w:cs="Times New Roman"/>
          <w:sz w:val="28"/>
          <w:szCs w:val="28"/>
          <w:lang w:val="lv-LV"/>
        </w:rPr>
        <w:t xml:space="preserve"> JSPA apstiprinājusi 1932</w:t>
      </w:r>
      <w:r w:rsidRPr="00752833">
        <w:rPr>
          <w:rFonts w:ascii="Times New Roman" w:hAnsi="Times New Roman" w:cs="Times New Roman"/>
          <w:sz w:val="28"/>
          <w:szCs w:val="28"/>
          <w:lang w:val="lv-LV"/>
        </w:rPr>
        <w:t> pašvaldību maksājumu pieprasījumus par kopējo summu 5 170 000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2016.gada laikā projekta īstenošanā iesaistījās 70 pašvaldības, bet līdz 2018.gada beigām projekta īstenošanā tika iesaistītas vēl 12 pašvaldības, projekta ietvaros kopumā sadarbības līgumus noslēdzot ar 82 pašvaldībām. Projektā tiek iesaistīti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jaunieši vēl no 21 pašvaldības, kuras katra atsevišķi nav parakstījušas sadarbības līgumu par dalību projektā.</w:t>
      </w:r>
    </w:p>
    <w:p w14:paraId="22EBC57B" w14:textId="30A85AF0" w:rsidR="00F35B5D" w:rsidRPr="00752833" w:rsidRDefault="00F35B5D" w:rsidP="00F35B5D">
      <w:pPr>
        <w:spacing w:after="120" w:line="240" w:lineRule="auto"/>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Līdz 2020.gada septembrim projektā tika iesaistīti </w:t>
      </w:r>
      <w:r w:rsidR="00A02D8E" w:rsidRPr="0011272D">
        <w:rPr>
          <w:rFonts w:ascii="Times New Roman" w:hAnsi="Times New Roman" w:cs="Times New Roman"/>
          <w:sz w:val="28"/>
          <w:szCs w:val="28"/>
          <w:lang w:val="lv-LV"/>
        </w:rPr>
        <w:t>3</w:t>
      </w:r>
      <w:r w:rsidR="0011272D">
        <w:rPr>
          <w:rFonts w:ascii="Times New Roman" w:hAnsi="Times New Roman" w:cs="Times New Roman"/>
          <w:sz w:val="28"/>
          <w:szCs w:val="28"/>
          <w:lang w:val="lv-LV"/>
        </w:rPr>
        <w:t> </w:t>
      </w:r>
      <w:r w:rsidR="00A02D8E" w:rsidRPr="0011272D">
        <w:rPr>
          <w:rFonts w:ascii="Times New Roman" w:hAnsi="Times New Roman" w:cs="Times New Roman"/>
          <w:sz w:val="28"/>
          <w:szCs w:val="28"/>
          <w:lang w:val="lv-LV"/>
        </w:rPr>
        <w:t>378</w:t>
      </w:r>
      <w:r w:rsidRPr="00752833">
        <w:rPr>
          <w:rFonts w:ascii="Times New Roman" w:hAnsi="Times New Roman" w:cs="Times New Roman"/>
          <w:sz w:val="28"/>
          <w:szCs w:val="28"/>
          <w:lang w:val="lv-LV"/>
        </w:rPr>
        <w:t>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jaunieši no projektā kopā plānotajiem 3 885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jauniešiem, no kuriem dalību projektā pabeidza 3107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 xml:space="preserve">jaunieši, t.sk. sekmīgi individuālo pasākumu programmu izpildījuši </w:t>
      </w:r>
      <w:r w:rsidR="00A02D8E" w:rsidRPr="0011272D">
        <w:rPr>
          <w:rFonts w:ascii="Times New Roman" w:hAnsi="Times New Roman" w:cs="Times New Roman"/>
          <w:sz w:val="28"/>
          <w:szCs w:val="28"/>
          <w:lang w:val="lv-LV"/>
        </w:rPr>
        <w:t>2</w:t>
      </w:r>
      <w:r w:rsidR="0011272D">
        <w:rPr>
          <w:rFonts w:ascii="Times New Roman" w:hAnsi="Times New Roman" w:cs="Times New Roman"/>
          <w:sz w:val="28"/>
          <w:szCs w:val="28"/>
          <w:lang w:val="lv-LV"/>
        </w:rPr>
        <w:t> </w:t>
      </w:r>
      <w:r w:rsidR="00A02D8E" w:rsidRPr="0011272D">
        <w:rPr>
          <w:rFonts w:ascii="Times New Roman" w:hAnsi="Times New Roman" w:cs="Times New Roman"/>
          <w:sz w:val="28"/>
          <w:szCs w:val="28"/>
          <w:lang w:val="lv-LV"/>
        </w:rPr>
        <w:t>188</w:t>
      </w:r>
      <w:r w:rsidRPr="00752833">
        <w:rPr>
          <w:rFonts w:ascii="Times New Roman" w:hAnsi="Times New Roman" w:cs="Times New Roman"/>
          <w:sz w:val="28"/>
          <w:szCs w:val="28"/>
          <w:lang w:val="lv-LV"/>
        </w:rPr>
        <w:t>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 xml:space="preserve">jaunieši, kas attiecīgi atgriezušies izglītībā, iesaistījušies nodarbinātībā, iesaistījušies </w:t>
      </w:r>
      <w:r w:rsidRPr="00417FDE">
        <w:rPr>
          <w:rFonts w:ascii="Times New Roman" w:hAnsi="Times New Roman" w:cs="Times New Roman"/>
          <w:sz w:val="28"/>
          <w:szCs w:val="28"/>
          <w:lang w:val="lv-LV"/>
        </w:rPr>
        <w:t xml:space="preserve">NVA bezdarba samazināšanas pasākumos, iesaistījušies NVA un VIAA īstenotajās aktivitātēs Jauniešu garantijas projektā, iesaistījušies nevalstisko organizāciju vai jauniešu centru darbībā. </w:t>
      </w:r>
      <w:r w:rsidR="00BE7094" w:rsidRPr="00417FDE">
        <w:rPr>
          <w:rFonts w:ascii="Times New Roman" w:hAnsi="Times New Roman" w:cs="Times New Roman"/>
          <w:sz w:val="28"/>
          <w:szCs w:val="28"/>
          <w:lang w:val="lv-LV"/>
        </w:rPr>
        <w:t>Līdz 2019.gada beigām lielākā daļa projektā „PROTI un DARI!” iesaistīto NEET jauniešu j</w:t>
      </w:r>
      <w:r w:rsidR="003D35DE" w:rsidRPr="00417FDE">
        <w:rPr>
          <w:rFonts w:ascii="Times New Roman" w:hAnsi="Times New Roman" w:cs="Times New Roman"/>
          <w:sz w:val="28"/>
          <w:szCs w:val="28"/>
          <w:lang w:val="lv-LV"/>
        </w:rPr>
        <w:t>eb 47% bija vecumā no 21 </w:t>
      </w:r>
      <w:r w:rsidR="0011272D" w:rsidRPr="00417FDE">
        <w:rPr>
          <w:rFonts w:ascii="Times New Roman" w:hAnsi="Times New Roman" w:cs="Times New Roman"/>
          <w:sz w:val="28"/>
          <w:szCs w:val="28"/>
          <w:lang w:val="lv-LV"/>
        </w:rPr>
        <w:t>līdz 26</w:t>
      </w:r>
      <w:r w:rsidR="00BE7094" w:rsidRPr="00417FDE">
        <w:rPr>
          <w:rFonts w:ascii="Times New Roman" w:hAnsi="Times New Roman" w:cs="Times New Roman"/>
          <w:sz w:val="28"/>
          <w:szCs w:val="28"/>
          <w:lang w:val="lv-LV"/>
        </w:rPr>
        <w:t xml:space="preserve"> gadiem, bet </w:t>
      </w:r>
      <w:r w:rsidR="0011272D" w:rsidRPr="00417FDE">
        <w:rPr>
          <w:rFonts w:ascii="Times New Roman" w:hAnsi="Times New Roman" w:cs="Times New Roman"/>
          <w:sz w:val="28"/>
          <w:szCs w:val="28"/>
          <w:lang w:val="lv-LV"/>
        </w:rPr>
        <w:t>maz</w:t>
      </w:r>
      <w:r w:rsidR="007B759F" w:rsidRPr="00417FDE">
        <w:rPr>
          <w:rFonts w:ascii="Times New Roman" w:hAnsi="Times New Roman" w:cs="Times New Roman"/>
          <w:sz w:val="28"/>
          <w:szCs w:val="28"/>
          <w:lang w:val="lv-LV"/>
        </w:rPr>
        <w:t>ākais</w:t>
      </w:r>
      <w:r w:rsidR="0011272D" w:rsidRPr="00417FDE">
        <w:rPr>
          <w:rFonts w:ascii="Times New Roman" w:hAnsi="Times New Roman" w:cs="Times New Roman"/>
          <w:sz w:val="28"/>
          <w:szCs w:val="28"/>
          <w:lang w:val="lv-LV"/>
        </w:rPr>
        <w:t xml:space="preserve"> - </w:t>
      </w:r>
      <w:r w:rsidR="00BE7094" w:rsidRPr="00417FDE">
        <w:rPr>
          <w:rFonts w:ascii="Times New Roman" w:hAnsi="Times New Roman" w:cs="Times New Roman"/>
          <w:sz w:val="28"/>
          <w:szCs w:val="28"/>
          <w:lang w:val="lv-LV"/>
        </w:rPr>
        <w:t>vecumā no 15 līdz 17 gadiem – 9</w:t>
      </w:r>
      <w:r w:rsidR="003D35DE" w:rsidRPr="00417FDE">
        <w:rPr>
          <w:rFonts w:ascii="Times New Roman" w:hAnsi="Times New Roman" w:cs="Times New Roman"/>
          <w:sz w:val="28"/>
          <w:szCs w:val="28"/>
          <w:lang w:val="lv-LV"/>
        </w:rPr>
        <w:t> </w:t>
      </w:r>
      <w:r w:rsidR="00BE7094" w:rsidRPr="00417FDE">
        <w:rPr>
          <w:rFonts w:ascii="Times New Roman" w:hAnsi="Times New Roman" w:cs="Times New Roman"/>
          <w:sz w:val="28"/>
          <w:szCs w:val="28"/>
          <w:lang w:val="lv-LV"/>
        </w:rPr>
        <w:t xml:space="preserve">%. </w:t>
      </w:r>
      <w:r w:rsidRPr="00417FDE">
        <w:rPr>
          <w:rFonts w:ascii="Times New Roman" w:hAnsi="Times New Roman" w:cs="Times New Roman"/>
          <w:sz w:val="28"/>
          <w:szCs w:val="28"/>
          <w:lang w:val="lv-LV"/>
        </w:rPr>
        <w:t>No projektā iesaistītajiem NEET jauniešiem 66</w:t>
      </w:r>
      <w:r w:rsidR="003D35DE" w:rsidRPr="00417FDE">
        <w:rPr>
          <w:rFonts w:ascii="Times New Roman" w:hAnsi="Times New Roman" w:cs="Times New Roman"/>
          <w:sz w:val="28"/>
          <w:szCs w:val="28"/>
          <w:lang w:val="lv-LV"/>
        </w:rPr>
        <w:t> </w:t>
      </w:r>
      <w:r w:rsidRPr="00417FDE">
        <w:rPr>
          <w:rFonts w:ascii="Times New Roman" w:hAnsi="Times New Roman" w:cs="Times New Roman"/>
          <w:sz w:val="28"/>
          <w:szCs w:val="28"/>
          <w:lang w:val="lv-LV"/>
        </w:rPr>
        <w:t>% bija sievietes un 34</w:t>
      </w:r>
      <w:r w:rsidR="003D35DE">
        <w:rPr>
          <w:rFonts w:ascii="Times New Roman" w:hAnsi="Times New Roman" w:cs="Times New Roman"/>
          <w:sz w:val="28"/>
          <w:szCs w:val="28"/>
          <w:lang w:val="lv-LV"/>
        </w:rPr>
        <w:t> </w:t>
      </w:r>
      <w:r w:rsidRPr="00752833">
        <w:rPr>
          <w:rFonts w:ascii="Times New Roman" w:hAnsi="Times New Roman" w:cs="Times New Roman"/>
          <w:sz w:val="28"/>
          <w:szCs w:val="28"/>
          <w:lang w:val="lv-LV"/>
        </w:rPr>
        <w:t>% vīrieši.</w:t>
      </w:r>
      <w:r>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 xml:space="preserve">Dalījumā pa plānošanas reģioniem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jaunieši, kas iesaistīti projektā</w:t>
      </w:r>
      <w:r>
        <w:rPr>
          <w:rFonts w:ascii="Times New Roman" w:hAnsi="Times New Roman" w:cs="Times New Roman"/>
          <w:sz w:val="28"/>
          <w:szCs w:val="28"/>
          <w:lang w:val="lv-LV"/>
        </w:rPr>
        <w:t xml:space="preserve"> „PROTI un DARI!”</w:t>
      </w:r>
      <w:r w:rsidRPr="00752833">
        <w:rPr>
          <w:rFonts w:ascii="Times New Roman" w:hAnsi="Times New Roman" w:cs="Times New Roman"/>
          <w:sz w:val="28"/>
          <w:szCs w:val="28"/>
          <w:lang w:val="lv-LV"/>
        </w:rPr>
        <w:t xml:space="preserve">, pārstāvējuši </w:t>
      </w:r>
      <w:r w:rsidR="0011272D" w:rsidRPr="00752833">
        <w:rPr>
          <w:rFonts w:ascii="Times New Roman" w:hAnsi="Times New Roman" w:cs="Times New Roman"/>
          <w:sz w:val="28"/>
          <w:szCs w:val="28"/>
          <w:lang w:val="lv-LV"/>
        </w:rPr>
        <w:t>Rīgas plānošanas reģionu (31</w:t>
      </w:r>
      <w:r w:rsidR="00417FDE">
        <w:rPr>
          <w:rFonts w:ascii="Times New Roman" w:hAnsi="Times New Roman" w:cs="Times New Roman"/>
          <w:sz w:val="28"/>
          <w:szCs w:val="28"/>
          <w:lang w:val="lv-LV"/>
        </w:rPr>
        <w:t xml:space="preserve"> </w:t>
      </w:r>
      <w:r w:rsidR="0011272D" w:rsidRPr="00752833">
        <w:rPr>
          <w:rFonts w:ascii="Times New Roman" w:hAnsi="Times New Roman" w:cs="Times New Roman"/>
          <w:sz w:val="28"/>
          <w:szCs w:val="28"/>
          <w:lang w:val="lv-LV"/>
        </w:rPr>
        <w:t>%)</w:t>
      </w:r>
      <w:r w:rsidR="0011272D">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Lat</w:t>
      </w:r>
      <w:r w:rsidR="0011272D">
        <w:rPr>
          <w:rFonts w:ascii="Times New Roman" w:hAnsi="Times New Roman" w:cs="Times New Roman"/>
          <w:sz w:val="28"/>
          <w:szCs w:val="28"/>
          <w:lang w:val="lv-LV"/>
        </w:rPr>
        <w:t>gales plānošanas reģionu (29</w:t>
      </w:r>
      <w:r w:rsidR="003D35DE">
        <w:rPr>
          <w:rFonts w:ascii="Times New Roman" w:hAnsi="Times New Roman" w:cs="Times New Roman"/>
          <w:sz w:val="28"/>
          <w:szCs w:val="28"/>
          <w:lang w:val="lv-LV"/>
        </w:rPr>
        <w:t> </w:t>
      </w:r>
      <w:r w:rsidR="0011272D">
        <w:rPr>
          <w:rFonts w:ascii="Times New Roman" w:hAnsi="Times New Roman" w:cs="Times New Roman"/>
          <w:sz w:val="28"/>
          <w:szCs w:val="28"/>
          <w:lang w:val="lv-LV"/>
        </w:rPr>
        <w:t>%)</w:t>
      </w:r>
      <w:r w:rsidRPr="00752833">
        <w:rPr>
          <w:rFonts w:ascii="Times New Roman" w:hAnsi="Times New Roman" w:cs="Times New Roman"/>
          <w:sz w:val="28"/>
          <w:szCs w:val="28"/>
          <w:lang w:val="lv-LV"/>
        </w:rPr>
        <w:t>, Zemgales plānošanas reģionu (17</w:t>
      </w:r>
      <w:r w:rsidR="003D35DE">
        <w:rPr>
          <w:rFonts w:ascii="Times New Roman" w:hAnsi="Times New Roman" w:cs="Times New Roman"/>
          <w:sz w:val="28"/>
          <w:szCs w:val="28"/>
          <w:lang w:val="lv-LV"/>
        </w:rPr>
        <w:t> </w:t>
      </w:r>
      <w:r w:rsidRPr="00752833">
        <w:rPr>
          <w:rFonts w:ascii="Times New Roman" w:hAnsi="Times New Roman" w:cs="Times New Roman"/>
          <w:sz w:val="28"/>
          <w:szCs w:val="28"/>
          <w:lang w:val="lv-LV"/>
        </w:rPr>
        <w:t>%), Kurzemes plānošanas reģionu (13</w:t>
      </w:r>
      <w:r w:rsidR="003D35DE">
        <w:rPr>
          <w:rFonts w:ascii="Times New Roman" w:hAnsi="Times New Roman" w:cs="Times New Roman"/>
          <w:sz w:val="28"/>
          <w:szCs w:val="28"/>
          <w:lang w:val="lv-LV"/>
        </w:rPr>
        <w:t> </w:t>
      </w:r>
      <w:r w:rsidRPr="00752833">
        <w:rPr>
          <w:rFonts w:ascii="Times New Roman" w:hAnsi="Times New Roman" w:cs="Times New Roman"/>
          <w:sz w:val="28"/>
          <w:szCs w:val="28"/>
          <w:lang w:val="lv-LV"/>
        </w:rPr>
        <w:t>%) un Vidzemes plānošanas reģionu (10</w:t>
      </w:r>
      <w:r w:rsidR="003D35DE">
        <w:rPr>
          <w:rFonts w:ascii="Times New Roman" w:hAnsi="Times New Roman" w:cs="Times New Roman"/>
          <w:sz w:val="28"/>
          <w:szCs w:val="28"/>
          <w:lang w:val="lv-LV"/>
        </w:rPr>
        <w:t> </w:t>
      </w:r>
      <w:r w:rsidRPr="00752833">
        <w:rPr>
          <w:rFonts w:ascii="Times New Roman" w:hAnsi="Times New Roman" w:cs="Times New Roman"/>
          <w:sz w:val="28"/>
          <w:szCs w:val="28"/>
          <w:lang w:val="lv-LV"/>
        </w:rPr>
        <w:t>%).</w:t>
      </w:r>
    </w:p>
    <w:p w14:paraId="22EBC57C"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lastRenderedPageBreak/>
        <w:t>Laika periodā no 2015.gada līdz 2020.gadam projektā</w:t>
      </w:r>
      <w:r>
        <w:rPr>
          <w:rFonts w:ascii="Times New Roman" w:hAnsi="Times New Roman" w:cs="Times New Roman"/>
          <w:sz w:val="28"/>
          <w:szCs w:val="28"/>
          <w:lang w:val="lv-LV"/>
        </w:rPr>
        <w:t xml:space="preserve"> „PROTI un DARI!” </w:t>
      </w:r>
      <w:r w:rsidRPr="00752833">
        <w:rPr>
          <w:rFonts w:ascii="Times New Roman" w:hAnsi="Times New Roman" w:cs="Times New Roman"/>
          <w:sz w:val="28"/>
          <w:szCs w:val="28"/>
          <w:lang w:val="lv-LV"/>
        </w:rPr>
        <w:t xml:space="preserve">paveiktais ir ne tikai devis savu ieguldījumu NEET jauniešu skaita samazināšanā, bet sniedzis ieguldījumu katra projektā iesaistītā NEET jaunieša dzīvē un nākotnē. Katram projektā iesaistītajam </w:t>
      </w:r>
      <w:r>
        <w:rPr>
          <w:rFonts w:ascii="Times New Roman" w:hAnsi="Times New Roman" w:cs="Times New Roman"/>
          <w:sz w:val="28"/>
          <w:szCs w:val="28"/>
          <w:lang w:val="lv-LV"/>
        </w:rPr>
        <w:t>NEET j</w:t>
      </w:r>
      <w:r w:rsidRPr="00752833">
        <w:rPr>
          <w:rFonts w:ascii="Times New Roman" w:hAnsi="Times New Roman" w:cs="Times New Roman"/>
          <w:sz w:val="28"/>
          <w:szCs w:val="28"/>
          <w:lang w:val="lv-LV"/>
        </w:rPr>
        <w:t>aunietim ir iespēja saņemt atbalsta pasākumus, kas vērsti uz jaunieša dzīves kvalitātes uzlabošanu un jaunieša prasmju attīstību. Projekta ietvaros NEET jaunieša atbalsta pasākumi var ietvert tādas aktivitātes kā neformālā un ikdienas mācīšanās, speciālistu konsultācijas (psihologs, karjeras konsultants u.c., izņemot ārstniecības personālu), dalība pasākumos (nometnes, semināri, sporta aktivitātes, kultūras pasākumi), brīvprātīgais darbs, iesaiste nevalstisko organizāciju un jauniešu centru aktivitātēs, pasākumos un projektos, profesijas specifikas iepazīšana, tai skaitā vizītes uzņēmumos, lai izvēlētos iegūt profesionālo kvalifikāciju vai apgūt arodu pie amata meistara, iesaiste vietējās sabiedriskajās aktivitātēs, specifiski pasākumi mērķa grupas jauniešiem ar invaliditāti, izmantojot surdotulka, asistenta palīdzību. Tāpat jauniešiem ar invaliditāti tiek nodrošināta iespēja izmantot specializēto transportu.</w:t>
      </w:r>
    </w:p>
    <w:p w14:paraId="22EBC57D" w14:textId="77777777" w:rsidR="00F35B5D"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Lai projekta </w:t>
      </w:r>
      <w:r>
        <w:rPr>
          <w:rFonts w:ascii="Times New Roman" w:hAnsi="Times New Roman" w:cs="Times New Roman"/>
          <w:sz w:val="28"/>
          <w:szCs w:val="28"/>
          <w:lang w:val="lv-LV"/>
        </w:rPr>
        <w:t xml:space="preserve">„PROTI un DARI!” </w:t>
      </w:r>
      <w:r w:rsidRPr="00752833">
        <w:rPr>
          <w:rFonts w:ascii="Times New Roman" w:hAnsi="Times New Roman" w:cs="Times New Roman"/>
          <w:sz w:val="28"/>
          <w:szCs w:val="28"/>
          <w:lang w:val="lv-LV"/>
        </w:rPr>
        <w:t xml:space="preserve">ietvaros sniegtu katram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jaunietim īpaši piemērotu un efektīvu atbalsta programmu, projekta ietvaros darbam ar NEET jauniešiem līdz 2020.gada IV ceturksnim profesionāli sagatavoti 244 programmu vadītāji un 602 mentori, kuri darbojas ikvienā projektā iesaistītajā pašvaldībā. Programmu vadītāju uzdevums pārraudzīt darbu ar NEET jauniešiem konkrētajā pašvaldībā un nodrošin</w:t>
      </w:r>
      <w:r>
        <w:rPr>
          <w:rFonts w:ascii="Times New Roman" w:hAnsi="Times New Roman" w:cs="Times New Roman"/>
          <w:sz w:val="28"/>
          <w:szCs w:val="28"/>
          <w:lang w:val="lv-LV"/>
        </w:rPr>
        <w:t>āt</w:t>
      </w:r>
      <w:r w:rsidRPr="00752833">
        <w:rPr>
          <w:rFonts w:ascii="Times New Roman" w:hAnsi="Times New Roman" w:cs="Times New Roman"/>
          <w:sz w:val="28"/>
          <w:szCs w:val="28"/>
          <w:lang w:val="lv-LV"/>
        </w:rPr>
        <w:t xml:space="preserve"> viņu iesaisti projektā, bet mentori jauniešiem sniedz praktisku atbalstu, lai </w:t>
      </w:r>
      <w:r>
        <w:rPr>
          <w:rFonts w:ascii="Times New Roman" w:hAnsi="Times New Roman" w:cs="Times New Roman"/>
          <w:sz w:val="28"/>
          <w:szCs w:val="28"/>
          <w:lang w:val="lv-LV"/>
        </w:rPr>
        <w:t>projektā iesaistītie NEET jaunieši</w:t>
      </w:r>
      <w:r w:rsidRPr="00752833">
        <w:rPr>
          <w:rFonts w:ascii="Times New Roman" w:hAnsi="Times New Roman" w:cs="Times New Roman"/>
          <w:sz w:val="28"/>
          <w:szCs w:val="28"/>
          <w:lang w:val="lv-LV"/>
        </w:rPr>
        <w:t xml:space="preserve"> izpildītu savu individuālo pasākumu programmu un sekmīgi noslēgtu dalību projektā. </w:t>
      </w:r>
    </w:p>
    <w:p w14:paraId="22EBC57F" w14:textId="77777777" w:rsidR="00F35B5D" w:rsidRPr="0011316F" w:rsidRDefault="00F35B5D" w:rsidP="00F35B5D">
      <w:pPr>
        <w:spacing w:after="120"/>
        <w:ind w:firstLine="720"/>
        <w:jc w:val="right"/>
        <w:rPr>
          <w:rFonts w:ascii="Times New Roman" w:hAnsi="Times New Roman" w:cs="Times New Roman"/>
          <w:sz w:val="24"/>
          <w:szCs w:val="24"/>
          <w:lang w:val="lv-LV"/>
        </w:rPr>
      </w:pPr>
      <w:r w:rsidRPr="0011316F">
        <w:rPr>
          <w:rFonts w:ascii="Times New Roman" w:hAnsi="Times New Roman" w:cs="Times New Roman"/>
          <w:sz w:val="24"/>
          <w:szCs w:val="24"/>
          <w:lang w:val="lv-LV"/>
        </w:rPr>
        <w:t>1.tabula</w:t>
      </w:r>
    </w:p>
    <w:p w14:paraId="22EBC580" w14:textId="77777777" w:rsidR="00F35B5D" w:rsidRPr="004B72D0" w:rsidRDefault="00F35B5D" w:rsidP="00F35B5D">
      <w:pPr>
        <w:spacing w:after="0"/>
        <w:ind w:firstLine="72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 xml:space="preserve">Projekta “PROTI un DARI !” īstenošanas sekmības rādītāji </w:t>
      </w:r>
    </w:p>
    <w:p w14:paraId="22EBC581" w14:textId="6D29E42B" w:rsidR="00F35B5D" w:rsidRPr="004B72D0" w:rsidRDefault="007B759F" w:rsidP="00F35B5D">
      <w:pPr>
        <w:spacing w:after="0"/>
        <w:ind w:firstLine="720"/>
        <w:jc w:val="center"/>
        <w:rPr>
          <w:rFonts w:ascii="Times New Roman" w:hAnsi="Times New Roman" w:cs="Times New Roman"/>
          <w:b/>
          <w:sz w:val="24"/>
          <w:szCs w:val="24"/>
          <w:lang w:val="lv-LV"/>
        </w:rPr>
      </w:pPr>
      <w:r>
        <w:rPr>
          <w:rFonts w:ascii="Times New Roman" w:hAnsi="Times New Roman" w:cs="Times New Roman"/>
          <w:b/>
          <w:sz w:val="24"/>
          <w:szCs w:val="24"/>
          <w:lang w:val="lv-LV"/>
        </w:rPr>
        <w:t>(2015.-2020</w:t>
      </w:r>
      <w:r w:rsidR="00F35B5D" w:rsidRPr="004B72D0">
        <w:rPr>
          <w:rFonts w:ascii="Times New Roman" w:hAnsi="Times New Roman" w:cs="Times New Roman"/>
          <w:b/>
          <w:sz w:val="24"/>
          <w:szCs w:val="24"/>
          <w:lang w:val="lv-LV"/>
        </w:rPr>
        <w:t>.gads)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917"/>
        <w:gridCol w:w="1297"/>
        <w:gridCol w:w="2569"/>
      </w:tblGrid>
      <w:tr w:rsidR="00F35B5D" w:rsidRPr="00752833" w14:paraId="22EBC586" w14:textId="77777777" w:rsidTr="00563042">
        <w:trPr>
          <w:jc w:val="center"/>
        </w:trPr>
        <w:tc>
          <w:tcPr>
            <w:tcW w:w="1617" w:type="dxa"/>
          </w:tcPr>
          <w:p w14:paraId="22EBC582" w14:textId="77777777" w:rsidR="00F35B5D" w:rsidRPr="004B72D0" w:rsidRDefault="00F35B5D" w:rsidP="00DD0321">
            <w:pPr>
              <w:spacing w:after="12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Plānošanas reģions</w:t>
            </w:r>
          </w:p>
        </w:tc>
        <w:tc>
          <w:tcPr>
            <w:tcW w:w="2917" w:type="dxa"/>
          </w:tcPr>
          <w:p w14:paraId="22EBC583" w14:textId="77777777" w:rsidR="00F35B5D" w:rsidRPr="004B72D0" w:rsidRDefault="00F35B5D" w:rsidP="00DD0321">
            <w:pPr>
              <w:spacing w:after="12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Sadarbības līgumi/ pašvaldību skaits plānošanas reģionā</w:t>
            </w:r>
          </w:p>
        </w:tc>
        <w:tc>
          <w:tcPr>
            <w:tcW w:w="1228" w:type="dxa"/>
          </w:tcPr>
          <w:p w14:paraId="22EBC584" w14:textId="64B9361F" w:rsidR="00F35B5D" w:rsidRPr="004B72D0" w:rsidRDefault="0011272D" w:rsidP="0011272D">
            <w:pPr>
              <w:spacing w:after="120"/>
              <w:jc w:val="center"/>
              <w:rPr>
                <w:rFonts w:ascii="Times New Roman" w:hAnsi="Times New Roman" w:cs="Times New Roman"/>
                <w:b/>
                <w:sz w:val="24"/>
                <w:szCs w:val="24"/>
                <w:lang w:val="lv-LV"/>
              </w:rPr>
            </w:pPr>
            <w:r>
              <w:rPr>
                <w:rFonts w:ascii="Times New Roman" w:hAnsi="Times New Roman" w:cs="Times New Roman"/>
                <w:b/>
                <w:sz w:val="24"/>
                <w:szCs w:val="24"/>
                <w:lang w:val="lv-LV"/>
              </w:rPr>
              <w:t>Projektu pabeigušie</w:t>
            </w:r>
            <w:r w:rsidR="00F35B5D" w:rsidRPr="004B72D0">
              <w:rPr>
                <w:rFonts w:ascii="Times New Roman" w:hAnsi="Times New Roman" w:cs="Times New Roman"/>
                <w:b/>
                <w:sz w:val="24"/>
                <w:szCs w:val="24"/>
                <w:lang w:val="lv-LV"/>
              </w:rPr>
              <w:t xml:space="preserve"> jaunieši</w:t>
            </w:r>
          </w:p>
        </w:tc>
        <w:tc>
          <w:tcPr>
            <w:tcW w:w="2569" w:type="dxa"/>
          </w:tcPr>
          <w:p w14:paraId="22EBC585" w14:textId="77777777" w:rsidR="00F35B5D" w:rsidRPr="004B72D0" w:rsidRDefault="00F35B5D" w:rsidP="00DD0321">
            <w:pPr>
              <w:spacing w:after="12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Jauniešu sekmība, % / jaunieši</w:t>
            </w:r>
          </w:p>
        </w:tc>
      </w:tr>
      <w:tr w:rsidR="00F35B5D" w:rsidRPr="00752833" w14:paraId="22EBC58B" w14:textId="77777777" w:rsidTr="00563042">
        <w:trPr>
          <w:jc w:val="center"/>
        </w:trPr>
        <w:tc>
          <w:tcPr>
            <w:tcW w:w="1617" w:type="dxa"/>
          </w:tcPr>
          <w:p w14:paraId="22EBC587" w14:textId="505CAFBB" w:rsidR="00F35B5D" w:rsidRPr="004B72D0" w:rsidRDefault="00F35B5D" w:rsidP="00DD0321">
            <w:pPr>
              <w:spacing w:after="120"/>
              <w:jc w:val="both"/>
              <w:rPr>
                <w:rFonts w:ascii="Times New Roman" w:hAnsi="Times New Roman" w:cs="Times New Roman"/>
                <w:sz w:val="24"/>
                <w:szCs w:val="24"/>
                <w:lang w:val="lv-LV"/>
              </w:rPr>
            </w:pPr>
            <w:r w:rsidRPr="004B72D0">
              <w:rPr>
                <w:rFonts w:ascii="Times New Roman" w:hAnsi="Times New Roman" w:cs="Times New Roman"/>
                <w:sz w:val="24"/>
                <w:szCs w:val="24"/>
                <w:lang w:val="lv-LV"/>
              </w:rPr>
              <w:t>Kurzemes</w:t>
            </w:r>
          </w:p>
        </w:tc>
        <w:tc>
          <w:tcPr>
            <w:tcW w:w="2917" w:type="dxa"/>
          </w:tcPr>
          <w:p w14:paraId="22EBC588" w14:textId="77777777" w:rsidR="00F35B5D" w:rsidRPr="004B72D0" w:rsidRDefault="00F35B5D" w:rsidP="00DD0321">
            <w:pPr>
              <w:spacing w:after="120"/>
              <w:jc w:val="center"/>
              <w:rPr>
                <w:rFonts w:ascii="Times New Roman" w:hAnsi="Times New Roman" w:cs="Times New Roman"/>
                <w:sz w:val="24"/>
                <w:szCs w:val="24"/>
                <w:lang w:val="lv-LV"/>
              </w:rPr>
            </w:pPr>
            <w:r w:rsidRPr="004B72D0">
              <w:rPr>
                <w:rFonts w:ascii="Times New Roman" w:hAnsi="Times New Roman" w:cs="Times New Roman"/>
                <w:sz w:val="24"/>
                <w:szCs w:val="24"/>
                <w:lang w:val="lv-LV"/>
              </w:rPr>
              <w:t>11 (20)</w:t>
            </w:r>
          </w:p>
        </w:tc>
        <w:tc>
          <w:tcPr>
            <w:tcW w:w="1228" w:type="dxa"/>
          </w:tcPr>
          <w:p w14:paraId="22EBC589" w14:textId="29AE30A8"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422</w:t>
            </w:r>
          </w:p>
        </w:tc>
        <w:tc>
          <w:tcPr>
            <w:tcW w:w="2569" w:type="dxa"/>
          </w:tcPr>
          <w:p w14:paraId="22EBC58A" w14:textId="55EDD05C"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75,59 % (319</w:t>
            </w:r>
            <w:r w:rsidR="00F35B5D" w:rsidRPr="004B72D0">
              <w:rPr>
                <w:rFonts w:ascii="Times New Roman" w:hAnsi="Times New Roman" w:cs="Times New Roman"/>
                <w:sz w:val="24"/>
                <w:szCs w:val="24"/>
                <w:lang w:val="lv-LV"/>
              </w:rPr>
              <w:t>)</w:t>
            </w:r>
          </w:p>
        </w:tc>
      </w:tr>
      <w:tr w:rsidR="00F35B5D" w:rsidRPr="00752833" w14:paraId="22EBC590" w14:textId="77777777" w:rsidTr="00563042">
        <w:trPr>
          <w:jc w:val="center"/>
        </w:trPr>
        <w:tc>
          <w:tcPr>
            <w:tcW w:w="1617" w:type="dxa"/>
          </w:tcPr>
          <w:p w14:paraId="22EBC58C" w14:textId="77777777" w:rsidR="00F35B5D" w:rsidRPr="004B72D0" w:rsidRDefault="00F35B5D" w:rsidP="00DD0321">
            <w:pPr>
              <w:spacing w:after="120"/>
              <w:jc w:val="both"/>
              <w:rPr>
                <w:rFonts w:ascii="Times New Roman" w:hAnsi="Times New Roman" w:cs="Times New Roman"/>
                <w:sz w:val="24"/>
                <w:szCs w:val="24"/>
                <w:lang w:val="lv-LV"/>
              </w:rPr>
            </w:pPr>
            <w:r w:rsidRPr="004B72D0">
              <w:rPr>
                <w:rFonts w:ascii="Times New Roman" w:hAnsi="Times New Roman" w:cs="Times New Roman"/>
                <w:sz w:val="24"/>
                <w:szCs w:val="24"/>
                <w:lang w:val="lv-LV"/>
              </w:rPr>
              <w:t>Latgales</w:t>
            </w:r>
          </w:p>
        </w:tc>
        <w:tc>
          <w:tcPr>
            <w:tcW w:w="2917" w:type="dxa"/>
          </w:tcPr>
          <w:p w14:paraId="22EBC58D" w14:textId="77777777" w:rsidR="00F35B5D" w:rsidRPr="004B72D0" w:rsidRDefault="00F35B5D" w:rsidP="00DD0321">
            <w:pPr>
              <w:spacing w:after="120"/>
              <w:jc w:val="center"/>
              <w:rPr>
                <w:rFonts w:ascii="Times New Roman" w:hAnsi="Times New Roman" w:cs="Times New Roman"/>
                <w:sz w:val="24"/>
                <w:szCs w:val="24"/>
                <w:lang w:val="lv-LV"/>
              </w:rPr>
            </w:pPr>
            <w:r w:rsidRPr="004B72D0">
              <w:rPr>
                <w:rFonts w:ascii="Times New Roman" w:hAnsi="Times New Roman" w:cs="Times New Roman"/>
                <w:sz w:val="24"/>
                <w:szCs w:val="24"/>
                <w:lang w:val="lv-LV"/>
              </w:rPr>
              <w:t>19 (21)</w:t>
            </w:r>
          </w:p>
        </w:tc>
        <w:tc>
          <w:tcPr>
            <w:tcW w:w="1228" w:type="dxa"/>
          </w:tcPr>
          <w:p w14:paraId="22EBC58E" w14:textId="3D951786"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895</w:t>
            </w:r>
          </w:p>
        </w:tc>
        <w:tc>
          <w:tcPr>
            <w:tcW w:w="2569" w:type="dxa"/>
          </w:tcPr>
          <w:p w14:paraId="22EBC58F" w14:textId="7E9908FB"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75,08% (672</w:t>
            </w:r>
            <w:r w:rsidR="00F35B5D" w:rsidRPr="004B72D0">
              <w:rPr>
                <w:rFonts w:ascii="Times New Roman" w:hAnsi="Times New Roman" w:cs="Times New Roman"/>
                <w:sz w:val="24"/>
                <w:szCs w:val="24"/>
                <w:lang w:val="lv-LV"/>
              </w:rPr>
              <w:t xml:space="preserve">) </w:t>
            </w:r>
          </w:p>
        </w:tc>
      </w:tr>
      <w:tr w:rsidR="00F35B5D" w:rsidRPr="00752833" w14:paraId="22EBC595" w14:textId="77777777" w:rsidTr="00563042">
        <w:trPr>
          <w:jc w:val="center"/>
        </w:trPr>
        <w:tc>
          <w:tcPr>
            <w:tcW w:w="1617" w:type="dxa"/>
          </w:tcPr>
          <w:p w14:paraId="22EBC591" w14:textId="77777777" w:rsidR="00F35B5D" w:rsidRPr="004B72D0" w:rsidRDefault="00F35B5D" w:rsidP="00DD0321">
            <w:pPr>
              <w:spacing w:after="120"/>
              <w:jc w:val="both"/>
              <w:rPr>
                <w:rFonts w:ascii="Times New Roman" w:hAnsi="Times New Roman" w:cs="Times New Roman"/>
                <w:sz w:val="24"/>
                <w:szCs w:val="24"/>
                <w:lang w:val="lv-LV"/>
              </w:rPr>
            </w:pPr>
            <w:r w:rsidRPr="004B72D0">
              <w:rPr>
                <w:rFonts w:ascii="Times New Roman" w:hAnsi="Times New Roman" w:cs="Times New Roman"/>
                <w:sz w:val="24"/>
                <w:szCs w:val="24"/>
                <w:lang w:val="lv-LV"/>
              </w:rPr>
              <w:t>Vidzemes</w:t>
            </w:r>
          </w:p>
        </w:tc>
        <w:tc>
          <w:tcPr>
            <w:tcW w:w="2917" w:type="dxa"/>
          </w:tcPr>
          <w:p w14:paraId="22EBC592" w14:textId="77777777" w:rsidR="00F35B5D" w:rsidRPr="004B72D0" w:rsidRDefault="00F35B5D" w:rsidP="00DD0321">
            <w:pPr>
              <w:spacing w:after="120"/>
              <w:jc w:val="center"/>
              <w:rPr>
                <w:rFonts w:ascii="Times New Roman" w:hAnsi="Times New Roman" w:cs="Times New Roman"/>
                <w:sz w:val="24"/>
                <w:szCs w:val="24"/>
                <w:lang w:val="lv-LV"/>
              </w:rPr>
            </w:pPr>
            <w:r w:rsidRPr="004B72D0">
              <w:rPr>
                <w:rFonts w:ascii="Times New Roman" w:hAnsi="Times New Roman" w:cs="Times New Roman"/>
                <w:sz w:val="24"/>
                <w:szCs w:val="24"/>
                <w:lang w:val="lv-LV"/>
              </w:rPr>
              <w:t>15 (26)</w:t>
            </w:r>
          </w:p>
        </w:tc>
        <w:tc>
          <w:tcPr>
            <w:tcW w:w="1228" w:type="dxa"/>
          </w:tcPr>
          <w:p w14:paraId="22EBC593" w14:textId="6E21E8BC"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306</w:t>
            </w:r>
            <w:r w:rsidR="00F35B5D" w:rsidRPr="004B72D0">
              <w:rPr>
                <w:rFonts w:ascii="Times New Roman" w:hAnsi="Times New Roman" w:cs="Times New Roman"/>
                <w:sz w:val="24"/>
                <w:szCs w:val="24"/>
                <w:lang w:val="lv-LV"/>
              </w:rPr>
              <w:t xml:space="preserve"> </w:t>
            </w:r>
          </w:p>
        </w:tc>
        <w:tc>
          <w:tcPr>
            <w:tcW w:w="2569" w:type="dxa"/>
          </w:tcPr>
          <w:p w14:paraId="22EBC594" w14:textId="561318C9"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66,67 % (204</w:t>
            </w:r>
            <w:r w:rsidR="00F35B5D" w:rsidRPr="004B72D0">
              <w:rPr>
                <w:rFonts w:ascii="Times New Roman" w:hAnsi="Times New Roman" w:cs="Times New Roman"/>
                <w:sz w:val="24"/>
                <w:szCs w:val="24"/>
                <w:lang w:val="lv-LV"/>
              </w:rPr>
              <w:t>)</w:t>
            </w:r>
          </w:p>
        </w:tc>
      </w:tr>
      <w:tr w:rsidR="00F35B5D" w:rsidRPr="00752833" w14:paraId="22EBC59A" w14:textId="77777777" w:rsidTr="00563042">
        <w:trPr>
          <w:jc w:val="center"/>
        </w:trPr>
        <w:tc>
          <w:tcPr>
            <w:tcW w:w="1617" w:type="dxa"/>
          </w:tcPr>
          <w:p w14:paraId="22EBC596" w14:textId="77777777" w:rsidR="00F35B5D" w:rsidRPr="004B72D0" w:rsidRDefault="00F35B5D" w:rsidP="00DD0321">
            <w:pPr>
              <w:spacing w:after="120"/>
              <w:jc w:val="both"/>
              <w:rPr>
                <w:rFonts w:ascii="Times New Roman" w:hAnsi="Times New Roman" w:cs="Times New Roman"/>
                <w:sz w:val="24"/>
                <w:szCs w:val="24"/>
                <w:lang w:val="lv-LV"/>
              </w:rPr>
            </w:pPr>
            <w:r w:rsidRPr="004B72D0">
              <w:rPr>
                <w:rFonts w:ascii="Times New Roman" w:hAnsi="Times New Roman" w:cs="Times New Roman"/>
                <w:sz w:val="24"/>
                <w:szCs w:val="24"/>
                <w:lang w:val="lv-LV"/>
              </w:rPr>
              <w:t>Rīgas</w:t>
            </w:r>
          </w:p>
        </w:tc>
        <w:tc>
          <w:tcPr>
            <w:tcW w:w="2917" w:type="dxa"/>
          </w:tcPr>
          <w:p w14:paraId="22EBC597" w14:textId="77777777" w:rsidR="00F35B5D" w:rsidRPr="004B72D0" w:rsidRDefault="00F35B5D" w:rsidP="00DD0321">
            <w:pPr>
              <w:spacing w:after="120"/>
              <w:jc w:val="center"/>
              <w:rPr>
                <w:rFonts w:ascii="Times New Roman" w:hAnsi="Times New Roman" w:cs="Times New Roman"/>
                <w:sz w:val="24"/>
                <w:szCs w:val="24"/>
                <w:lang w:val="lv-LV"/>
              </w:rPr>
            </w:pPr>
            <w:r w:rsidRPr="004B72D0">
              <w:rPr>
                <w:rFonts w:ascii="Times New Roman" w:hAnsi="Times New Roman" w:cs="Times New Roman"/>
                <w:sz w:val="24"/>
                <w:szCs w:val="24"/>
                <w:lang w:val="lv-LV"/>
              </w:rPr>
              <w:t>20 (30)</w:t>
            </w:r>
          </w:p>
        </w:tc>
        <w:tc>
          <w:tcPr>
            <w:tcW w:w="1228" w:type="dxa"/>
          </w:tcPr>
          <w:p w14:paraId="22EBC598" w14:textId="2F1C7D52"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954</w:t>
            </w:r>
          </w:p>
        </w:tc>
        <w:tc>
          <w:tcPr>
            <w:tcW w:w="2569" w:type="dxa"/>
          </w:tcPr>
          <w:p w14:paraId="22EBC599" w14:textId="3DDD0483" w:rsidR="00F35B5D" w:rsidRPr="004B72D0" w:rsidRDefault="000D43E7"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67,09 % (640</w:t>
            </w:r>
            <w:r w:rsidR="00F35B5D" w:rsidRPr="004B72D0">
              <w:rPr>
                <w:rFonts w:ascii="Times New Roman" w:hAnsi="Times New Roman" w:cs="Times New Roman"/>
                <w:sz w:val="24"/>
                <w:szCs w:val="24"/>
                <w:lang w:val="lv-LV"/>
              </w:rPr>
              <w:t>)</w:t>
            </w:r>
          </w:p>
        </w:tc>
      </w:tr>
      <w:tr w:rsidR="00F35B5D" w:rsidRPr="00752833" w14:paraId="22EBC59F" w14:textId="77777777" w:rsidTr="00563042">
        <w:trPr>
          <w:jc w:val="center"/>
        </w:trPr>
        <w:tc>
          <w:tcPr>
            <w:tcW w:w="1617" w:type="dxa"/>
          </w:tcPr>
          <w:p w14:paraId="22EBC59B" w14:textId="77777777" w:rsidR="00F35B5D" w:rsidRPr="004B72D0" w:rsidRDefault="00F35B5D" w:rsidP="00DD0321">
            <w:pPr>
              <w:spacing w:after="120"/>
              <w:jc w:val="both"/>
              <w:rPr>
                <w:rFonts w:ascii="Times New Roman" w:hAnsi="Times New Roman" w:cs="Times New Roman"/>
                <w:sz w:val="24"/>
                <w:szCs w:val="24"/>
                <w:lang w:val="lv-LV"/>
              </w:rPr>
            </w:pPr>
            <w:r w:rsidRPr="004B72D0">
              <w:rPr>
                <w:rFonts w:ascii="Times New Roman" w:hAnsi="Times New Roman" w:cs="Times New Roman"/>
                <w:sz w:val="24"/>
                <w:szCs w:val="24"/>
                <w:lang w:val="lv-LV"/>
              </w:rPr>
              <w:t>Zemgales</w:t>
            </w:r>
          </w:p>
        </w:tc>
        <w:tc>
          <w:tcPr>
            <w:tcW w:w="2917" w:type="dxa"/>
          </w:tcPr>
          <w:p w14:paraId="22EBC59C" w14:textId="77777777" w:rsidR="00F35B5D" w:rsidRPr="004B72D0" w:rsidRDefault="00F35B5D" w:rsidP="00DD0321">
            <w:pPr>
              <w:spacing w:after="120"/>
              <w:jc w:val="center"/>
              <w:rPr>
                <w:rFonts w:ascii="Times New Roman" w:hAnsi="Times New Roman" w:cs="Times New Roman"/>
                <w:sz w:val="24"/>
                <w:szCs w:val="24"/>
                <w:lang w:val="lv-LV"/>
              </w:rPr>
            </w:pPr>
            <w:r w:rsidRPr="004B72D0">
              <w:rPr>
                <w:rFonts w:ascii="Times New Roman" w:hAnsi="Times New Roman" w:cs="Times New Roman"/>
                <w:sz w:val="24"/>
                <w:szCs w:val="24"/>
                <w:lang w:val="lv-LV"/>
              </w:rPr>
              <w:t>17 (22)</w:t>
            </w:r>
          </w:p>
        </w:tc>
        <w:tc>
          <w:tcPr>
            <w:tcW w:w="1228" w:type="dxa"/>
          </w:tcPr>
          <w:p w14:paraId="22EBC59D" w14:textId="73121CD8" w:rsidR="00F35B5D" w:rsidRPr="004B72D0" w:rsidRDefault="0011272D"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530</w:t>
            </w:r>
          </w:p>
        </w:tc>
        <w:tc>
          <w:tcPr>
            <w:tcW w:w="2569" w:type="dxa"/>
          </w:tcPr>
          <w:p w14:paraId="22EBC59E" w14:textId="7ED60FD3" w:rsidR="00F35B5D" w:rsidRPr="004B72D0" w:rsidRDefault="000D43E7" w:rsidP="00DD0321">
            <w:pPr>
              <w:spacing w:after="120"/>
              <w:jc w:val="center"/>
              <w:rPr>
                <w:rFonts w:ascii="Times New Roman" w:hAnsi="Times New Roman" w:cs="Times New Roman"/>
                <w:sz w:val="24"/>
                <w:szCs w:val="24"/>
                <w:lang w:val="lv-LV"/>
              </w:rPr>
            </w:pPr>
            <w:r>
              <w:rPr>
                <w:rFonts w:ascii="Times New Roman" w:hAnsi="Times New Roman" w:cs="Times New Roman"/>
                <w:sz w:val="24"/>
                <w:szCs w:val="24"/>
                <w:lang w:val="lv-LV"/>
              </w:rPr>
              <w:t>61,70</w:t>
            </w:r>
            <w:r w:rsidR="00F35B5D" w:rsidRPr="004B72D0">
              <w:rPr>
                <w:rFonts w:ascii="Times New Roman" w:hAnsi="Times New Roman" w:cs="Times New Roman"/>
                <w:sz w:val="24"/>
                <w:szCs w:val="24"/>
                <w:lang w:val="lv-LV"/>
              </w:rPr>
              <w:t xml:space="preserve">% </w:t>
            </w:r>
            <w:r>
              <w:rPr>
                <w:rFonts w:ascii="Times New Roman" w:hAnsi="Times New Roman" w:cs="Times New Roman"/>
                <w:sz w:val="24"/>
                <w:szCs w:val="24"/>
                <w:lang w:val="lv-LV"/>
              </w:rPr>
              <w:t>(327</w:t>
            </w:r>
            <w:r w:rsidR="00F35B5D" w:rsidRPr="004B72D0">
              <w:rPr>
                <w:rFonts w:ascii="Times New Roman" w:hAnsi="Times New Roman" w:cs="Times New Roman"/>
                <w:sz w:val="24"/>
                <w:szCs w:val="24"/>
                <w:lang w:val="lv-LV"/>
              </w:rPr>
              <w:t>)</w:t>
            </w:r>
          </w:p>
        </w:tc>
      </w:tr>
      <w:tr w:rsidR="00F35B5D" w:rsidRPr="00752833" w14:paraId="22EBC5A4" w14:textId="77777777" w:rsidTr="00563042">
        <w:trPr>
          <w:jc w:val="center"/>
        </w:trPr>
        <w:tc>
          <w:tcPr>
            <w:tcW w:w="1617" w:type="dxa"/>
          </w:tcPr>
          <w:p w14:paraId="22EBC5A0" w14:textId="77777777" w:rsidR="00F35B5D" w:rsidRPr="004B72D0" w:rsidRDefault="00F35B5D" w:rsidP="00DD0321">
            <w:pPr>
              <w:spacing w:after="120"/>
              <w:jc w:val="both"/>
              <w:rPr>
                <w:rFonts w:ascii="Times New Roman" w:hAnsi="Times New Roman" w:cs="Times New Roman"/>
                <w:b/>
                <w:sz w:val="24"/>
                <w:szCs w:val="24"/>
                <w:lang w:val="lv-LV"/>
              </w:rPr>
            </w:pPr>
            <w:r w:rsidRPr="004B72D0">
              <w:rPr>
                <w:rFonts w:ascii="Times New Roman" w:hAnsi="Times New Roman" w:cs="Times New Roman"/>
                <w:b/>
                <w:sz w:val="24"/>
                <w:szCs w:val="24"/>
                <w:lang w:val="lv-LV"/>
              </w:rPr>
              <w:t>Kopā/vidēji</w:t>
            </w:r>
          </w:p>
        </w:tc>
        <w:tc>
          <w:tcPr>
            <w:tcW w:w="2917" w:type="dxa"/>
          </w:tcPr>
          <w:p w14:paraId="22EBC5A1" w14:textId="77777777" w:rsidR="00F35B5D" w:rsidRPr="004B72D0" w:rsidRDefault="00F35B5D" w:rsidP="00DD0321">
            <w:pPr>
              <w:spacing w:after="12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82 (119)</w:t>
            </w:r>
          </w:p>
        </w:tc>
        <w:tc>
          <w:tcPr>
            <w:tcW w:w="1228" w:type="dxa"/>
          </w:tcPr>
          <w:p w14:paraId="22EBC5A2" w14:textId="5126897E" w:rsidR="00F35B5D" w:rsidRPr="004B72D0" w:rsidRDefault="0011272D" w:rsidP="00DD0321">
            <w:pPr>
              <w:spacing w:after="120"/>
              <w:jc w:val="center"/>
              <w:rPr>
                <w:rFonts w:ascii="Times New Roman" w:hAnsi="Times New Roman" w:cs="Times New Roman"/>
                <w:b/>
                <w:sz w:val="24"/>
                <w:szCs w:val="24"/>
                <w:lang w:val="lv-LV"/>
              </w:rPr>
            </w:pPr>
            <w:r>
              <w:rPr>
                <w:rFonts w:ascii="Times New Roman" w:hAnsi="Times New Roman" w:cs="Times New Roman"/>
                <w:b/>
                <w:sz w:val="24"/>
                <w:szCs w:val="24"/>
                <w:lang w:val="lv-LV"/>
              </w:rPr>
              <w:t>3107</w:t>
            </w:r>
          </w:p>
        </w:tc>
        <w:tc>
          <w:tcPr>
            <w:tcW w:w="2569" w:type="dxa"/>
          </w:tcPr>
          <w:p w14:paraId="22EBC5A3" w14:textId="2072ECCB" w:rsidR="00F35B5D" w:rsidRPr="004B72D0" w:rsidRDefault="000D43E7" w:rsidP="00DD0321">
            <w:pPr>
              <w:spacing w:after="120"/>
              <w:jc w:val="center"/>
              <w:rPr>
                <w:rFonts w:ascii="Times New Roman" w:hAnsi="Times New Roman" w:cs="Times New Roman"/>
                <w:b/>
                <w:sz w:val="24"/>
                <w:szCs w:val="24"/>
                <w:lang w:val="lv-LV"/>
              </w:rPr>
            </w:pPr>
            <w:r>
              <w:rPr>
                <w:rFonts w:ascii="Times New Roman" w:hAnsi="Times New Roman" w:cs="Times New Roman"/>
                <w:b/>
                <w:sz w:val="24"/>
                <w:szCs w:val="24"/>
                <w:lang w:val="lv-LV"/>
              </w:rPr>
              <w:t>69,58% (2162</w:t>
            </w:r>
            <w:r w:rsidR="00F35B5D" w:rsidRPr="004B72D0">
              <w:rPr>
                <w:rFonts w:ascii="Times New Roman" w:hAnsi="Times New Roman" w:cs="Times New Roman"/>
                <w:b/>
                <w:sz w:val="24"/>
                <w:szCs w:val="24"/>
                <w:lang w:val="lv-LV"/>
              </w:rPr>
              <w:t>)</w:t>
            </w:r>
          </w:p>
        </w:tc>
      </w:tr>
    </w:tbl>
    <w:p w14:paraId="22EBC5A5" w14:textId="0BF0C2ED" w:rsidR="00F35B5D" w:rsidRPr="004B72D0" w:rsidRDefault="00F35B5D" w:rsidP="00F35B5D">
      <w:pPr>
        <w:spacing w:line="240" w:lineRule="auto"/>
        <w:jc w:val="both"/>
        <w:rPr>
          <w:rFonts w:ascii="Times New Roman" w:eastAsia="Times New Roman" w:hAnsi="Times New Roman" w:cs="Times New Roman"/>
          <w:i/>
          <w:sz w:val="24"/>
          <w:szCs w:val="24"/>
          <w:lang w:val="lv-LV" w:eastAsia="zh-CN"/>
        </w:rPr>
      </w:pPr>
      <w:r w:rsidRPr="004B72D0">
        <w:rPr>
          <w:rFonts w:ascii="Times New Roman" w:eastAsia="Times New Roman" w:hAnsi="Times New Roman" w:cs="Times New Roman"/>
          <w:i/>
          <w:sz w:val="24"/>
          <w:szCs w:val="24"/>
          <w:lang w:val="lv-LV" w:eastAsia="zh-CN"/>
        </w:rPr>
        <w:t xml:space="preserve">     </w:t>
      </w:r>
      <w:r w:rsidR="0011272D">
        <w:rPr>
          <w:rFonts w:ascii="Times New Roman" w:eastAsia="Times New Roman" w:hAnsi="Times New Roman" w:cs="Times New Roman"/>
          <w:i/>
          <w:sz w:val="24"/>
          <w:szCs w:val="24"/>
          <w:lang w:val="lv-LV" w:eastAsia="zh-CN"/>
        </w:rPr>
        <w:t xml:space="preserve">   Avots: Projekta dati uz 30.09</w:t>
      </w:r>
      <w:r w:rsidRPr="004B72D0">
        <w:rPr>
          <w:rFonts w:ascii="Times New Roman" w:eastAsia="Times New Roman" w:hAnsi="Times New Roman" w:cs="Times New Roman"/>
          <w:i/>
          <w:sz w:val="24"/>
          <w:szCs w:val="24"/>
          <w:lang w:val="lv-LV" w:eastAsia="zh-CN"/>
        </w:rPr>
        <w:t>.2020.</w:t>
      </w:r>
    </w:p>
    <w:p w14:paraId="22EBC5A6" w14:textId="1B632100" w:rsidR="00F35B5D" w:rsidRPr="00752833" w:rsidRDefault="00F35B5D" w:rsidP="000D43E7">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lastRenderedPageBreak/>
        <w:t xml:space="preserve">Visvairāk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 xml:space="preserve">jauniešu projektā „PROTI un DARI!” iesaistīti Latgales un Rīgas plānošanas reģionos. Latgalē visaktīvākie bijuši </w:t>
      </w:r>
      <w:r w:rsidR="000D43E7">
        <w:rPr>
          <w:rFonts w:ascii="Times New Roman" w:hAnsi="Times New Roman" w:cs="Times New Roman"/>
          <w:sz w:val="28"/>
          <w:szCs w:val="28"/>
          <w:lang w:val="lv-LV"/>
        </w:rPr>
        <w:t xml:space="preserve">Rēzeknes pilsēta, </w:t>
      </w:r>
      <w:r w:rsidRPr="00752833">
        <w:rPr>
          <w:rFonts w:ascii="Times New Roman" w:hAnsi="Times New Roman" w:cs="Times New Roman"/>
          <w:sz w:val="28"/>
          <w:szCs w:val="28"/>
          <w:lang w:val="lv-LV"/>
        </w:rPr>
        <w:t>Viļānu, Ludzas un Rēzeknes novads, bet Rīgas plānošanas reģionā attiecīgi Rīgas pilsēta, Siguldas un Ogres novads. Kurzemē - Liepājas pilsēta un Talsu novads, Vidzemē – Priekuļu un Gulbenes novads, bet Zemgalē – Jelg</w:t>
      </w:r>
      <w:r w:rsidR="000D43E7">
        <w:rPr>
          <w:rFonts w:ascii="Times New Roman" w:hAnsi="Times New Roman" w:cs="Times New Roman"/>
          <w:sz w:val="28"/>
          <w:szCs w:val="28"/>
          <w:lang w:val="lv-LV"/>
        </w:rPr>
        <w:t>avas pilsēta un Bauskas novads.</w:t>
      </w:r>
      <w:r w:rsidRPr="00752833">
        <w:rPr>
          <w:rFonts w:ascii="Times New Roman" w:hAnsi="Times New Roman" w:cs="Times New Roman"/>
          <w:color w:val="000000" w:themeColor="text1"/>
          <w:sz w:val="28"/>
          <w:szCs w:val="28"/>
          <w:lang w:val="lv-LV"/>
        </w:rPr>
        <w:t xml:space="preserve"> Iesaistīto pašvaldību pārstāvji, piedaloties projekta ietvaros organizētajos pieredzes apmaiņas pasākumos, atzīst, ka, pateicoties projektam, daudzi jaunieši ir palikuši dzimtajā pagastā un novada teritorijā, iesaistoties darba tirgū vai izglītībā, tādejādi nesot lielu ieguldījumu pašvaldību attīstībā.</w:t>
      </w:r>
    </w:p>
    <w:p w14:paraId="22EBC5A7"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Projekta ietvaros īpaša uzmanība tiek vērsta uz jauniešu iespējām turpināt izglītību, ja izglītības procesā radušās grūtības, vai atsākt izglītības iegūšanas procesu gadījumos, kad jaunietis jau atskaitīts no izglītības iestādes.</w:t>
      </w:r>
    </w:p>
    <w:p w14:paraId="22EBC5A8" w14:textId="77777777" w:rsidR="00F35B5D" w:rsidRPr="00B1461B" w:rsidRDefault="00F35B5D" w:rsidP="00F35B5D">
      <w:pPr>
        <w:jc w:val="right"/>
        <w:rPr>
          <w:rFonts w:ascii="Times New Roman" w:hAnsi="Times New Roman" w:cs="Times New Roman"/>
          <w:sz w:val="24"/>
          <w:szCs w:val="24"/>
          <w:lang w:val="lv-LV"/>
        </w:rPr>
      </w:pPr>
      <w:r w:rsidRPr="00B1461B">
        <w:rPr>
          <w:rFonts w:ascii="Times New Roman" w:hAnsi="Times New Roman" w:cs="Times New Roman"/>
          <w:sz w:val="24"/>
          <w:szCs w:val="24"/>
          <w:lang w:val="lv-LV"/>
        </w:rPr>
        <w:t>2.tabula.</w:t>
      </w:r>
    </w:p>
    <w:p w14:paraId="22EBC5A9" w14:textId="77777777" w:rsidR="00F35B5D" w:rsidRPr="004B72D0" w:rsidRDefault="00F35B5D" w:rsidP="00F35B5D">
      <w:pPr>
        <w:spacing w:after="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 xml:space="preserve">Jauniešu, kas pabeiguši dalību projektā, iesaiste nodarbinātībā un izglītībā </w:t>
      </w:r>
    </w:p>
    <w:p w14:paraId="22EBC5AA" w14:textId="77777777" w:rsidR="00F35B5D" w:rsidRDefault="00F35B5D" w:rsidP="00F35B5D">
      <w:pPr>
        <w:spacing w:after="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 xml:space="preserve">1, 6 un 12 mēnešus pēc individuālās programmas pabeigšanas un </w:t>
      </w:r>
    </w:p>
    <w:p w14:paraId="22EBC5AB" w14:textId="77777777" w:rsidR="00F35B5D" w:rsidRPr="004B72D0" w:rsidRDefault="00F35B5D" w:rsidP="00F35B5D">
      <w:pPr>
        <w:spacing w:after="0"/>
        <w:jc w:val="center"/>
        <w:rPr>
          <w:rFonts w:ascii="Times New Roman" w:hAnsi="Times New Roman" w:cs="Times New Roman"/>
          <w:b/>
          <w:sz w:val="24"/>
          <w:szCs w:val="24"/>
          <w:lang w:val="lv-LV"/>
        </w:rPr>
      </w:pPr>
      <w:r w:rsidRPr="004B72D0">
        <w:rPr>
          <w:rFonts w:ascii="Times New Roman" w:hAnsi="Times New Roman" w:cs="Times New Roman"/>
          <w:b/>
          <w:sz w:val="24"/>
          <w:szCs w:val="24"/>
          <w:lang w:val="lv-LV"/>
        </w:rPr>
        <w:t>rezultātu izmaiņas pret 2019.gadu</w:t>
      </w:r>
    </w:p>
    <w:tbl>
      <w:tblPr>
        <w:tblW w:w="5000" w:type="pct"/>
        <w:tblCellMar>
          <w:left w:w="0" w:type="dxa"/>
          <w:right w:w="0" w:type="dxa"/>
        </w:tblCellMar>
        <w:tblLook w:val="04A0" w:firstRow="1" w:lastRow="0" w:firstColumn="1" w:lastColumn="0" w:noHBand="0" w:noVBand="1"/>
      </w:tblPr>
      <w:tblGrid>
        <w:gridCol w:w="2571"/>
        <w:gridCol w:w="2272"/>
        <w:gridCol w:w="2271"/>
        <w:gridCol w:w="2271"/>
      </w:tblGrid>
      <w:tr w:rsidR="00F35B5D" w:rsidRPr="00752833" w14:paraId="22EBC5B2" w14:textId="77777777" w:rsidTr="00DD0321">
        <w:trPr>
          <w:trHeight w:val="628"/>
        </w:trPr>
        <w:tc>
          <w:tcPr>
            <w:tcW w:w="1369"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AC" w14:textId="77777777" w:rsidR="00F35B5D" w:rsidRPr="004B72D0" w:rsidRDefault="00F35B5D" w:rsidP="00DD0321">
            <w:pPr>
              <w:spacing w:after="0" w:line="257" w:lineRule="auto"/>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 </w:t>
            </w:r>
          </w:p>
        </w:tc>
        <w:tc>
          <w:tcPr>
            <w:tcW w:w="1210" w:type="pct"/>
            <w:tcBorders>
              <w:top w:val="single" w:sz="8" w:space="0" w:color="000000"/>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AD"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1 mēnesis pēc sekmīgas dalības projektā</w:t>
            </w:r>
          </w:p>
        </w:tc>
        <w:tc>
          <w:tcPr>
            <w:tcW w:w="1210" w:type="pct"/>
            <w:tcBorders>
              <w:top w:val="single" w:sz="8" w:space="0" w:color="000000"/>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AE" w14:textId="77777777" w:rsidR="00F35B5D" w:rsidRPr="004B72D0" w:rsidRDefault="00F35B5D" w:rsidP="00DD0321">
            <w:pPr>
              <w:spacing w:after="0" w:line="257" w:lineRule="auto"/>
              <w:jc w:val="center"/>
              <w:textAlignment w:val="center"/>
              <w:rPr>
                <w:rFonts w:ascii="Times New Roman" w:hAnsi="Times New Roman" w:cs="Times New Roman"/>
                <w:b/>
                <w:bCs/>
                <w:color w:val="000000"/>
                <w:sz w:val="24"/>
                <w:szCs w:val="24"/>
                <w:lang w:val="lv-LV" w:eastAsia="lv-LV"/>
              </w:rPr>
            </w:pPr>
            <w:r w:rsidRPr="004B72D0">
              <w:rPr>
                <w:rFonts w:ascii="Times New Roman" w:hAnsi="Times New Roman" w:cs="Times New Roman"/>
                <w:b/>
                <w:bCs/>
                <w:color w:val="000000"/>
                <w:sz w:val="24"/>
                <w:szCs w:val="24"/>
                <w:lang w:val="lv-LV" w:eastAsia="lv-LV"/>
              </w:rPr>
              <w:t>6 mēnešus pēc sekmīgas dalības</w:t>
            </w:r>
          </w:p>
          <w:p w14:paraId="22EBC5AF"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projektā</w:t>
            </w:r>
          </w:p>
        </w:tc>
        <w:tc>
          <w:tcPr>
            <w:tcW w:w="1210" w:type="pct"/>
            <w:tcBorders>
              <w:top w:val="single" w:sz="8" w:space="0" w:color="000000"/>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B0" w14:textId="77777777" w:rsidR="00F35B5D" w:rsidRPr="004B72D0" w:rsidRDefault="00F35B5D" w:rsidP="00DD0321">
            <w:pPr>
              <w:spacing w:after="0" w:line="257" w:lineRule="auto"/>
              <w:jc w:val="center"/>
              <w:textAlignment w:val="center"/>
              <w:rPr>
                <w:rFonts w:ascii="Times New Roman" w:hAnsi="Times New Roman" w:cs="Times New Roman"/>
                <w:b/>
                <w:bCs/>
                <w:color w:val="000000"/>
                <w:sz w:val="24"/>
                <w:szCs w:val="24"/>
                <w:lang w:val="lv-LV" w:eastAsia="lv-LV"/>
              </w:rPr>
            </w:pPr>
            <w:r w:rsidRPr="004B72D0">
              <w:rPr>
                <w:rFonts w:ascii="Times New Roman" w:hAnsi="Times New Roman" w:cs="Times New Roman"/>
                <w:b/>
                <w:bCs/>
                <w:color w:val="000000"/>
                <w:sz w:val="24"/>
                <w:szCs w:val="24"/>
                <w:lang w:val="lv-LV" w:eastAsia="lv-LV"/>
              </w:rPr>
              <w:t>12 mēnešus pēc sekmīgas dalības</w:t>
            </w:r>
          </w:p>
          <w:p w14:paraId="22EBC5B1"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projektā</w:t>
            </w:r>
          </w:p>
        </w:tc>
      </w:tr>
      <w:tr w:rsidR="00F35B5D" w:rsidRPr="00752833" w14:paraId="22EBC5B7" w14:textId="77777777" w:rsidTr="00DD0321">
        <w:trPr>
          <w:trHeight w:val="493"/>
        </w:trPr>
        <w:tc>
          <w:tcPr>
            <w:tcW w:w="1369" w:type="pct"/>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B3" w14:textId="77777777" w:rsidR="00F35B5D" w:rsidRPr="004B72D0" w:rsidRDefault="00F35B5D" w:rsidP="00DD0321">
            <w:pPr>
              <w:spacing w:after="0" w:line="257" w:lineRule="auto"/>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 xml:space="preserve">Uzsākuši darba </w:t>
            </w:r>
            <w:r>
              <w:rPr>
                <w:rFonts w:ascii="Times New Roman" w:hAnsi="Times New Roman" w:cs="Times New Roman"/>
                <w:b/>
                <w:bCs/>
                <w:color w:val="000000"/>
                <w:sz w:val="24"/>
                <w:szCs w:val="24"/>
                <w:lang w:val="lv-LV" w:eastAsia="lv-LV"/>
              </w:rPr>
              <w:t>attiecības, %</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4"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color w:val="000000"/>
                <w:sz w:val="24"/>
                <w:szCs w:val="24"/>
                <w:lang w:val="lv-LV" w:eastAsia="lv-LV"/>
              </w:rPr>
              <w:t>25,05</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5"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color w:val="000000"/>
                <w:sz w:val="24"/>
                <w:szCs w:val="24"/>
                <w:lang w:val="lv-LV" w:eastAsia="lv-LV"/>
              </w:rPr>
              <w:t>31,51</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6"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color w:val="000000"/>
                <w:sz w:val="24"/>
                <w:szCs w:val="24"/>
                <w:lang w:val="lv-LV" w:eastAsia="lv-LV"/>
              </w:rPr>
              <w:t>36,58 (-6,39)</w:t>
            </w:r>
          </w:p>
        </w:tc>
      </w:tr>
      <w:tr w:rsidR="00F35B5D" w:rsidRPr="00752833" w14:paraId="22EBC5BC" w14:textId="77777777" w:rsidTr="00DD0321">
        <w:trPr>
          <w:trHeight w:val="493"/>
        </w:trPr>
        <w:tc>
          <w:tcPr>
            <w:tcW w:w="1369" w:type="pct"/>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B8" w14:textId="77777777" w:rsidR="00F35B5D" w:rsidRPr="004B72D0" w:rsidRDefault="00F35B5D" w:rsidP="00DD0321">
            <w:pPr>
              <w:spacing w:after="0" w:line="257" w:lineRule="auto"/>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Iesaistījušies izglītībā, %</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9" w14:textId="20A8482F" w:rsidR="00F35B5D" w:rsidRPr="004B72D0" w:rsidRDefault="000D43E7" w:rsidP="00DD0321">
            <w:pPr>
              <w:spacing w:after="0" w:line="257" w:lineRule="auto"/>
              <w:jc w:val="center"/>
              <w:textAlignment w:val="center"/>
              <w:rPr>
                <w:rFonts w:ascii="Times New Roman" w:hAnsi="Times New Roman" w:cs="Times New Roman"/>
                <w:sz w:val="24"/>
                <w:szCs w:val="24"/>
                <w:lang w:val="lv-LV" w:eastAsia="lv-LV"/>
              </w:rPr>
            </w:pPr>
            <w:r>
              <w:rPr>
                <w:rFonts w:ascii="Times New Roman" w:hAnsi="Times New Roman" w:cs="Times New Roman"/>
                <w:color w:val="000000"/>
                <w:sz w:val="24"/>
                <w:szCs w:val="24"/>
                <w:lang w:val="lv-LV" w:eastAsia="lv-LV"/>
              </w:rPr>
              <w:t>13,92</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A"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color w:val="000000"/>
                <w:sz w:val="24"/>
                <w:szCs w:val="24"/>
                <w:lang w:val="lv-LV" w:eastAsia="lv-LV"/>
              </w:rPr>
              <w:t>16,17</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B"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color w:val="000000"/>
                <w:sz w:val="24"/>
                <w:szCs w:val="24"/>
                <w:lang w:val="lv-LV" w:eastAsia="lv-LV"/>
              </w:rPr>
              <w:t>14,18 (-0,59)</w:t>
            </w:r>
          </w:p>
        </w:tc>
      </w:tr>
      <w:tr w:rsidR="00F35B5D" w:rsidRPr="00752833" w14:paraId="22EBC5C1" w14:textId="77777777" w:rsidTr="00DD0321">
        <w:trPr>
          <w:trHeight w:val="493"/>
        </w:trPr>
        <w:tc>
          <w:tcPr>
            <w:tcW w:w="1369" w:type="pct"/>
            <w:tcBorders>
              <w:top w:val="nil"/>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14:paraId="22EBC5BD" w14:textId="77777777" w:rsidR="00F35B5D" w:rsidRPr="004B72D0" w:rsidRDefault="00F35B5D" w:rsidP="00DD0321">
            <w:pPr>
              <w:spacing w:after="0" w:line="257" w:lineRule="auto"/>
              <w:jc w:val="right"/>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Kopā, %</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E"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38,97</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BF"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47,68</w:t>
            </w:r>
          </w:p>
        </w:tc>
        <w:tc>
          <w:tcPr>
            <w:tcW w:w="1210"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14:paraId="22EBC5C0" w14:textId="77777777" w:rsidR="00F35B5D" w:rsidRPr="004B72D0" w:rsidRDefault="00F35B5D" w:rsidP="00DD0321">
            <w:pPr>
              <w:spacing w:after="0" w:line="257" w:lineRule="auto"/>
              <w:jc w:val="center"/>
              <w:textAlignment w:val="center"/>
              <w:rPr>
                <w:rFonts w:ascii="Times New Roman" w:hAnsi="Times New Roman" w:cs="Times New Roman"/>
                <w:sz w:val="24"/>
                <w:szCs w:val="24"/>
                <w:lang w:val="lv-LV" w:eastAsia="lv-LV"/>
              </w:rPr>
            </w:pPr>
            <w:r w:rsidRPr="004B72D0">
              <w:rPr>
                <w:rFonts w:ascii="Times New Roman" w:hAnsi="Times New Roman" w:cs="Times New Roman"/>
                <w:b/>
                <w:bCs/>
                <w:color w:val="000000"/>
                <w:sz w:val="24"/>
                <w:szCs w:val="24"/>
                <w:lang w:val="lv-LV" w:eastAsia="lv-LV"/>
              </w:rPr>
              <w:t>50.76 (-6,98)</w:t>
            </w:r>
          </w:p>
        </w:tc>
      </w:tr>
    </w:tbl>
    <w:p w14:paraId="22EBC5C2" w14:textId="77777777" w:rsidR="00F35B5D" w:rsidRPr="004B72D0" w:rsidRDefault="00F35B5D" w:rsidP="00F35B5D">
      <w:pPr>
        <w:spacing w:line="240" w:lineRule="auto"/>
        <w:jc w:val="both"/>
        <w:rPr>
          <w:rFonts w:ascii="Times New Roman" w:eastAsia="Times New Roman" w:hAnsi="Times New Roman" w:cs="Times New Roman"/>
          <w:i/>
          <w:sz w:val="24"/>
          <w:szCs w:val="24"/>
          <w:lang w:val="lv-LV" w:eastAsia="zh-CN"/>
        </w:rPr>
      </w:pPr>
      <w:r w:rsidRPr="004B72D0">
        <w:rPr>
          <w:rFonts w:ascii="Times New Roman" w:eastAsia="Times New Roman" w:hAnsi="Times New Roman" w:cs="Times New Roman"/>
          <w:i/>
          <w:sz w:val="24"/>
          <w:szCs w:val="24"/>
          <w:lang w:val="lv-LV" w:eastAsia="zh-CN"/>
        </w:rPr>
        <w:t>Avots: Projekta dati, 30.09.2020.</w:t>
      </w:r>
    </w:p>
    <w:p w14:paraId="22EBC5C3" w14:textId="7F865115"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2020.gada pirmajā pusē COVID-19 krīzes ietekmē NEET jauniešu sekmības rādītāji, kas raksturo jauniešu iesaisti nodarbinātībā un </w:t>
      </w:r>
      <w:r w:rsidRPr="007B759F">
        <w:rPr>
          <w:rFonts w:ascii="Times New Roman" w:hAnsi="Times New Roman" w:cs="Times New Roman"/>
          <w:sz w:val="28"/>
          <w:szCs w:val="28"/>
          <w:lang w:val="lv-LV"/>
        </w:rPr>
        <w:t xml:space="preserve">izglītībā </w:t>
      </w:r>
      <w:r w:rsidR="007B759F" w:rsidRPr="007B759F">
        <w:rPr>
          <w:rFonts w:ascii="Times New Roman" w:hAnsi="Times New Roman" w:cs="Times New Roman"/>
          <w:sz w:val="28"/>
          <w:szCs w:val="28"/>
          <w:lang w:val="lv-LV"/>
        </w:rPr>
        <w:t>1 un 6 mēnešus pēc dalības projektā palielinājušies par 0,5%, bet</w:t>
      </w:r>
      <w:r w:rsidR="007B759F">
        <w:rPr>
          <w:rFonts w:ascii="Times New Roman" w:hAnsi="Times New Roman" w:cs="Times New Roman"/>
          <w:sz w:val="24"/>
          <w:szCs w:val="24"/>
          <w:lang w:val="lv-LV"/>
        </w:rPr>
        <w:t xml:space="preserve"> </w:t>
      </w:r>
      <w:r w:rsidRPr="00752833">
        <w:rPr>
          <w:rFonts w:ascii="Times New Roman" w:hAnsi="Times New Roman" w:cs="Times New Roman"/>
          <w:sz w:val="28"/>
          <w:szCs w:val="28"/>
          <w:lang w:val="lv-LV"/>
        </w:rPr>
        <w:t>12 mēnešus pēc dalības projektā, ir kritušies. Jaunākie projekta rezultativitātes rādītāji līdz 2020.gada maija beigām liecina, ka 12 mēnešus pēc dalības projektā 36,58 % jauniešu uzsākuši darba attiecības, 14,18 % iesaistījušies izglītībā, kā rezultātā kopējais projekta „PROTI un DARI!” sekmības rādītājs kopš 2019.gad</w:t>
      </w:r>
      <w:r w:rsidR="000D43E7">
        <w:rPr>
          <w:rFonts w:ascii="Times New Roman" w:hAnsi="Times New Roman" w:cs="Times New Roman"/>
          <w:sz w:val="28"/>
          <w:szCs w:val="28"/>
          <w:lang w:val="lv-LV"/>
        </w:rPr>
        <w:t>a oktobra samazinājies par 6,98 </w:t>
      </w:r>
      <w:r w:rsidRPr="00752833">
        <w:rPr>
          <w:rFonts w:ascii="Times New Roman" w:hAnsi="Times New Roman" w:cs="Times New Roman"/>
          <w:sz w:val="28"/>
          <w:szCs w:val="28"/>
          <w:lang w:val="lv-LV"/>
        </w:rPr>
        <w:t>%</w:t>
      </w:r>
      <w:r>
        <w:rPr>
          <w:rFonts w:ascii="Times New Roman" w:hAnsi="Times New Roman" w:cs="Times New Roman"/>
          <w:sz w:val="28"/>
          <w:szCs w:val="28"/>
          <w:lang w:val="lv-LV"/>
        </w:rPr>
        <w:t>,</w:t>
      </w:r>
      <w:r w:rsidRPr="00752833">
        <w:rPr>
          <w:rFonts w:ascii="Times New Roman" w:hAnsi="Times New Roman" w:cs="Times New Roman"/>
          <w:sz w:val="28"/>
          <w:szCs w:val="28"/>
          <w:lang w:val="lv-LV"/>
        </w:rPr>
        <w:t xml:space="preserve"> sasniedzot 50,76%, kas ir skaidrojams ar kopējo ekonomiskās aktivitātes palēnināšanos </w:t>
      </w:r>
      <w:r>
        <w:rPr>
          <w:rFonts w:ascii="Times New Roman" w:hAnsi="Times New Roman" w:cs="Times New Roman"/>
          <w:sz w:val="28"/>
          <w:szCs w:val="28"/>
          <w:lang w:val="lv-LV"/>
        </w:rPr>
        <w:t xml:space="preserve">COVID-19 </w:t>
      </w:r>
      <w:r w:rsidRPr="00752833">
        <w:rPr>
          <w:rFonts w:ascii="Times New Roman" w:hAnsi="Times New Roman" w:cs="Times New Roman"/>
          <w:sz w:val="28"/>
          <w:szCs w:val="28"/>
          <w:lang w:val="lv-LV"/>
        </w:rPr>
        <w:t xml:space="preserve">krīzes situācijā. </w:t>
      </w:r>
    </w:p>
    <w:p w14:paraId="22EBC5C4" w14:textId="737AE066"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Kā redzams pēc projekta rezultativitātes rādītājiem, tad pēc dalības projektā jaunieši vairāk iesaistās darba tirgū nekā izglītībā. Tomēr, ņemot vērā ar vien pieaugošu darba tirgus pieprasījumu pēc augsti kvalificēta darbaspēka un arvien sarūkošu pieprasījumu pēc darbaspēka ar zemu un vidēju kvalifikāciju, ir jāvērš </w:t>
      </w:r>
      <w:r w:rsidRPr="00752833">
        <w:rPr>
          <w:rFonts w:ascii="Times New Roman" w:hAnsi="Times New Roman" w:cs="Times New Roman"/>
          <w:sz w:val="28"/>
          <w:szCs w:val="28"/>
          <w:lang w:val="lv-LV"/>
        </w:rPr>
        <w:lastRenderedPageBreak/>
        <w:t>uzmanība uz iemesliem, kas liedz jauniešiem iesaistīties vai atgriezties izglītībā un iegūt augstāka līmeņa izglītību. 2018.gadā Latvijā vidējais bezdarba līmenis ekonomiski aktīvu iedzīvotāju vecuma grupā no 25-64 gadiem bija 7</w:t>
      </w:r>
      <w:r w:rsidR="00443990">
        <w:rPr>
          <w:rFonts w:ascii="Times New Roman" w:hAnsi="Times New Roman" w:cs="Times New Roman"/>
          <w:sz w:val="28"/>
          <w:szCs w:val="28"/>
          <w:lang w:val="lv-LV"/>
        </w:rPr>
        <w:t>,</w:t>
      </w:r>
      <w:r w:rsidRPr="00752833">
        <w:rPr>
          <w:rFonts w:ascii="Times New Roman" w:hAnsi="Times New Roman" w:cs="Times New Roman"/>
          <w:sz w:val="28"/>
          <w:szCs w:val="28"/>
          <w:lang w:val="lv-LV"/>
        </w:rPr>
        <w:t>3 %, tomēr būtiskas bijušas bezdarba līmeņa atšķirības starp personām ar dažādu izglītības līmeni. Iedzīvotāju grupā ar augstāko izglītību, bezdarba līmenis bija 3,7%, kamēr iedzīvotāju grupā ar pamatizglītību un zemāka līmeņa izglītību – 17%. Tāpat arī vidējās mēneša bruto darba samaksas rādītāji 2018.gadā norāda uz būtiskām atšķirībām darba samaksā starp nodarbinātajiem atkarībā no iegūtā izglītības līmeņa. Nodarbinātajiem ar sākumskolas, pamatizglītību vai vidusskolas izglītību darba samaksa bija no 677 - 854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mēnesī, kamēr nodarbinātajiem ar bakalaura, maģistra vai doktora grādu – no 1258 - 2148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Tāpat arī darba spēka pieprasījuma prognozes liecina, ka līdz 2035.gadam Latvijā par 62 tūkstošiem varētu samazināties darba vietu skaits profesijās, kurās iespējams strādāt ar zemu kvalifikāciju.</w:t>
      </w:r>
      <w:r w:rsidRPr="00752833">
        <w:rPr>
          <w:rStyle w:val="FootnoteReference"/>
          <w:rFonts w:ascii="Times New Roman" w:hAnsi="Times New Roman" w:cs="Times New Roman"/>
          <w:sz w:val="28"/>
          <w:szCs w:val="28"/>
          <w:lang w:val="lv-LV"/>
        </w:rPr>
        <w:footnoteReference w:id="7"/>
      </w:r>
      <w:r w:rsidRPr="00752833">
        <w:rPr>
          <w:rFonts w:ascii="Times New Roman" w:hAnsi="Times New Roman" w:cs="Times New Roman"/>
          <w:sz w:val="28"/>
          <w:szCs w:val="28"/>
          <w:lang w:val="lv-LV"/>
        </w:rPr>
        <w:t xml:space="preserve"> Projekta turpinājumā lielāka uzmanība ir pievēršama tieši NEET jauniešu atgriešanai izglītībā, stimulējot jauniešu dalību gan formālās gan neformālās izglītības pasākumos.</w:t>
      </w:r>
    </w:p>
    <w:p w14:paraId="22EBC5C5"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Darba tirgus pieprasījums liecina, ka nākotnē arvien lielāka nozīme būs darbaspēka iegūtajam izglītības līmenim. Latvijā ir augsts tādu jauniešu īpatsvars, kuriem ir nepietiekams izglītības līmenis un kuri neturpina mācības. Saskaņā ar CSP datiem</w:t>
      </w:r>
      <w:r w:rsidRPr="00752833">
        <w:rPr>
          <w:rStyle w:val="FootnoteReference"/>
          <w:rFonts w:ascii="Times New Roman" w:hAnsi="Times New Roman" w:cs="Times New Roman"/>
          <w:sz w:val="28"/>
          <w:szCs w:val="28"/>
          <w:lang w:val="lv-LV"/>
        </w:rPr>
        <w:footnoteReference w:id="8"/>
      </w:r>
      <w:r w:rsidRPr="00752833">
        <w:rPr>
          <w:rFonts w:ascii="Times New Roman" w:hAnsi="Times New Roman" w:cs="Times New Roman"/>
          <w:sz w:val="28"/>
          <w:szCs w:val="28"/>
          <w:lang w:val="lv-LV"/>
        </w:rPr>
        <w:t xml:space="preserve"> 2019.gadā 18–24 gadu vecu personu, kuru iegūtais izglītības līmenis ir pamatizglītība vai zemāks un kuri ir pārtraukuši mācības ir 8,7%, savukārt 5,7%</w:t>
      </w:r>
      <w:r w:rsidRPr="00752833">
        <w:rPr>
          <w:rStyle w:val="FootnoteReference"/>
          <w:rFonts w:ascii="Times New Roman" w:hAnsi="Times New Roman" w:cs="Times New Roman"/>
          <w:sz w:val="28"/>
          <w:szCs w:val="28"/>
          <w:lang w:val="lv-LV"/>
        </w:rPr>
        <w:footnoteReference w:id="9"/>
      </w:r>
      <w:r w:rsidRPr="00752833">
        <w:rPr>
          <w:rFonts w:ascii="Times New Roman" w:hAnsi="Times New Roman" w:cs="Times New Roman"/>
          <w:sz w:val="28"/>
          <w:szCs w:val="28"/>
          <w:lang w:val="lv-LV"/>
        </w:rPr>
        <w:t xml:space="preserve"> no pamatskolu beigušajiem jauniešiem un 31,7%</w:t>
      </w:r>
      <w:r w:rsidRPr="00752833">
        <w:rPr>
          <w:rStyle w:val="FootnoteReference"/>
          <w:rFonts w:ascii="Times New Roman" w:hAnsi="Times New Roman" w:cs="Times New Roman"/>
          <w:sz w:val="28"/>
          <w:szCs w:val="28"/>
          <w:lang w:val="lv-LV"/>
        </w:rPr>
        <w:footnoteReference w:id="10"/>
      </w:r>
      <w:r w:rsidRPr="00752833">
        <w:rPr>
          <w:rFonts w:ascii="Times New Roman" w:hAnsi="Times New Roman" w:cs="Times New Roman"/>
          <w:sz w:val="28"/>
          <w:szCs w:val="28"/>
          <w:lang w:val="lv-LV"/>
        </w:rPr>
        <w:t xml:space="preserve"> no vidusskolu beigušajiem jauniešiem mācības neturpina. Tas saistāms ar šīs jauniešu kategorijas profila neviendabīgu un multifaktoriālu sociālekonomisko un psihosociālo aspektu ietekmi uz sociālās iekļaušanās procesu dinamiku. Atkarībā no pakļautības sociālās atstumtības riskam ir identificējamas trīs apakšgrupas: 1) jaunieši, k</w:t>
      </w:r>
      <w:r>
        <w:rPr>
          <w:rFonts w:ascii="Times New Roman" w:hAnsi="Times New Roman" w:cs="Times New Roman"/>
          <w:sz w:val="28"/>
          <w:szCs w:val="28"/>
          <w:lang w:val="lv-LV"/>
        </w:rPr>
        <w:t>uri</w:t>
      </w:r>
      <w:r w:rsidRPr="00752833">
        <w:rPr>
          <w:rFonts w:ascii="Times New Roman" w:hAnsi="Times New Roman" w:cs="Times New Roman"/>
          <w:sz w:val="28"/>
          <w:szCs w:val="28"/>
          <w:lang w:val="lv-LV"/>
        </w:rPr>
        <w:t xml:space="preserve"> ir pārejā starp izglītības iestādēm; 2) jaunieši, kuriem ir ieildzis pārejas statuss no izglītojamā uz darba ņēmēju un kuri pakāpeniski nonāk sociālā izolācijā; 3) jaunieši, kuriem ir dažāda veida sociālie apgrūtinā</w:t>
      </w:r>
      <w:r>
        <w:rPr>
          <w:rFonts w:ascii="Times New Roman" w:hAnsi="Times New Roman" w:cs="Times New Roman"/>
          <w:sz w:val="28"/>
          <w:szCs w:val="28"/>
          <w:lang w:val="lv-LV"/>
        </w:rPr>
        <w:t>ju</w:t>
      </w:r>
      <w:r w:rsidRPr="00752833">
        <w:rPr>
          <w:rFonts w:ascii="Times New Roman" w:hAnsi="Times New Roman" w:cs="Times New Roman"/>
          <w:sz w:val="28"/>
          <w:szCs w:val="28"/>
          <w:lang w:val="lv-LV"/>
        </w:rPr>
        <w:t>mi (funkcionālie traucējumi, agrīna grūtniecība, nepieciešamība aprūpēt ģimenes locekļus utt.). Tāpat salīdzinoši lielāks NEET jauniešu īpatsvars ir lauku teritorijās.</w:t>
      </w:r>
    </w:p>
    <w:p w14:paraId="22EBC5C6"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Latvijā vēl joprojām saglabājas salīdzinoši augsta iedzīvotāju materiālā nenodrošinātība, kas prognozējami veicina jauniešu nonākšanu NEET situācijā un dziļu sociālās atstumtības risku. 2019.gadā dziļai materiālai nenodrošinātībai bija </w:t>
      </w:r>
      <w:r w:rsidRPr="00752833">
        <w:rPr>
          <w:rFonts w:ascii="Times New Roman" w:hAnsi="Times New Roman" w:cs="Times New Roman"/>
          <w:sz w:val="28"/>
          <w:szCs w:val="28"/>
          <w:lang w:val="lv-LV"/>
        </w:rPr>
        <w:lastRenderedPageBreak/>
        <w:t>pakļauti 7,8% jeb 148 tūkst. iedzīvotāju. Lai arī katru gadu Latvijā materiālajai nenodrošinātībai pakļauto iedzīvotāju īpatsvars samazinās, tomēr 2018.gadā Latvijas rādītājs bija par 16,1% augstāks kā vidēji Eiropas Savienībā</w:t>
      </w:r>
      <w:r w:rsidRPr="00752833">
        <w:rPr>
          <w:rStyle w:val="FootnoteReference"/>
          <w:rFonts w:ascii="Times New Roman" w:hAnsi="Times New Roman" w:cs="Times New Roman"/>
          <w:sz w:val="28"/>
          <w:szCs w:val="28"/>
          <w:lang w:val="lv-LV"/>
        </w:rPr>
        <w:footnoteReference w:id="11"/>
      </w:r>
      <w:r w:rsidRPr="00752833">
        <w:rPr>
          <w:rFonts w:ascii="Times New Roman" w:hAnsi="Times New Roman" w:cs="Times New Roman"/>
          <w:sz w:val="28"/>
          <w:szCs w:val="28"/>
          <w:lang w:val="lv-LV"/>
        </w:rPr>
        <w:t>. Nereti tieši nepieciešamība pēc iztikas līdzekļiem jauniešiem liek pamest mācības un iesaistīties darba tirgū, tomēr iesaistoties darba tirgū ar zemu kvalifikāciju vai bez tās, ilgstošā laika posmā pilnvērtīga materiālā nodrošinātība nav iespējama. Latvijā ir būtiski mazināt jauniešu ar zemu izglītības līmeni nonākšanu darba tirgū, jo tas palielina jauniešu nabadzības risku nākotnē. Jauniešu politikas attīstības viens no būtiskiem aspektiem ir jauniešu primāra virzīšana izglītībā, mazinot mazkvalificētu jauniešu nonākšanu darba tirgū. Projekta ietvaros īstenotais atbalsts un darbs ar sociālās atstumtības riskam pakļautajiem jauniešiem un augsta riska jauniešiem vienlaikus ietver darbu ar sekām, kas radušās priekšlaicīgu mācību pārtraukšanas dēļ, kā arī projekta ietvaros īstenoto darbu ar NEET jauniešiem, kas vienlaikus ir preventīvs un mazina jaunieša risku ilgstoši atrasties NEET situācijā.</w:t>
      </w:r>
    </w:p>
    <w:p w14:paraId="22EBC5C7" w14:textId="5EE8E9F3" w:rsidR="00F35B5D" w:rsidRPr="000323CC"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Sākot ar ārkārtas stāvokļa noteikšanu 2020.gada martā un patreizējo situāciju, darbu ar</w:t>
      </w:r>
      <w:r>
        <w:rPr>
          <w:rFonts w:ascii="Times New Roman" w:hAnsi="Times New Roman" w:cs="Times New Roman"/>
          <w:sz w:val="28"/>
          <w:szCs w:val="28"/>
          <w:lang w:val="lv-LV"/>
        </w:rPr>
        <w:t xml:space="preserve"> NEET</w:t>
      </w:r>
      <w:r w:rsidRPr="00752833">
        <w:rPr>
          <w:rFonts w:ascii="Times New Roman" w:hAnsi="Times New Roman" w:cs="Times New Roman"/>
          <w:sz w:val="28"/>
          <w:szCs w:val="28"/>
          <w:lang w:val="lv-LV"/>
        </w:rPr>
        <w:t xml:space="preserve"> jauniešiem projektā „PROTI un DARI!” būtiski ietekmē COVID-19 izraisītā krīze, kas arī tuvākajā nākotnē atstās būtisku negatīvu iespaidu uz jauniešiem. NEET jaunieši ir viena no tām iedzīvotāju grupām, kura pirmā izjutīs krīzes izraisītās sekas. Projekta </w:t>
      </w:r>
      <w:r>
        <w:rPr>
          <w:rFonts w:ascii="Times New Roman" w:hAnsi="Times New Roman" w:cs="Times New Roman"/>
          <w:sz w:val="28"/>
          <w:szCs w:val="28"/>
          <w:lang w:val="lv-LV"/>
        </w:rPr>
        <w:t xml:space="preserve">„PROTI un DARI!” </w:t>
      </w:r>
      <w:r w:rsidRPr="00752833">
        <w:rPr>
          <w:rFonts w:ascii="Times New Roman" w:hAnsi="Times New Roman" w:cs="Times New Roman"/>
          <w:sz w:val="28"/>
          <w:szCs w:val="28"/>
          <w:lang w:val="lv-LV"/>
        </w:rPr>
        <w:t xml:space="preserve">ikmēneša ieviešanas progresa dati liecina par to, ka kopš 2020.gada I ceturkšņa palielinās to </w:t>
      </w:r>
      <w:r>
        <w:rPr>
          <w:rFonts w:ascii="Times New Roman" w:hAnsi="Times New Roman" w:cs="Times New Roman"/>
          <w:sz w:val="28"/>
          <w:szCs w:val="28"/>
          <w:lang w:val="lv-LV"/>
        </w:rPr>
        <w:t xml:space="preserve">NEET </w:t>
      </w:r>
      <w:r w:rsidRPr="00752833">
        <w:rPr>
          <w:rFonts w:ascii="Times New Roman" w:hAnsi="Times New Roman" w:cs="Times New Roman"/>
          <w:sz w:val="28"/>
          <w:szCs w:val="28"/>
          <w:lang w:val="lv-LV"/>
        </w:rPr>
        <w:t>jauniešu skaits, kam nepieciešama projekta ietvaros sniegtā palīdzība</w:t>
      </w:r>
      <w:r w:rsidR="00A4331E" w:rsidRPr="0011272D">
        <w:rPr>
          <w:rFonts w:ascii="Times New Roman" w:hAnsi="Times New Roman" w:cs="Times New Roman"/>
          <w:sz w:val="28"/>
          <w:szCs w:val="28"/>
          <w:lang w:val="lv-LV"/>
        </w:rPr>
        <w:t xml:space="preserve">, turklāt esošā finansējuma ietvaros daļa sadarbības partneru ir realizējuši </w:t>
      </w:r>
      <w:r w:rsidR="00563042" w:rsidRPr="0011272D">
        <w:rPr>
          <w:rFonts w:ascii="Times New Roman" w:hAnsi="Times New Roman" w:cs="Times New Roman"/>
          <w:sz w:val="28"/>
          <w:szCs w:val="28"/>
          <w:lang w:val="lv-LV"/>
        </w:rPr>
        <w:t xml:space="preserve">tiem projektā </w:t>
      </w:r>
      <w:r w:rsidR="00A4331E" w:rsidRPr="0011272D">
        <w:rPr>
          <w:rFonts w:ascii="Times New Roman" w:hAnsi="Times New Roman" w:cs="Times New Roman"/>
          <w:sz w:val="28"/>
          <w:szCs w:val="28"/>
          <w:lang w:val="lv-LV"/>
        </w:rPr>
        <w:t xml:space="preserve">piešķirtās NEET jauniešu iesaistes kvotas un sadarbības līgumu darbība ir noslēgusies, tādejādi </w:t>
      </w:r>
      <w:r w:rsidR="00C028E3" w:rsidRPr="0011272D">
        <w:rPr>
          <w:rFonts w:ascii="Times New Roman" w:hAnsi="Times New Roman" w:cs="Times New Roman"/>
          <w:sz w:val="28"/>
          <w:szCs w:val="28"/>
          <w:lang w:val="lv-LV"/>
        </w:rPr>
        <w:t xml:space="preserve">daļai </w:t>
      </w:r>
      <w:r w:rsidR="00A4331E" w:rsidRPr="0011272D">
        <w:rPr>
          <w:rFonts w:ascii="Times New Roman" w:hAnsi="Times New Roman" w:cs="Times New Roman"/>
          <w:sz w:val="28"/>
          <w:szCs w:val="28"/>
          <w:lang w:val="lv-LV"/>
        </w:rPr>
        <w:t>NEET jaunie</w:t>
      </w:r>
      <w:r w:rsidR="00C028E3" w:rsidRPr="0011272D">
        <w:rPr>
          <w:rFonts w:ascii="Times New Roman" w:hAnsi="Times New Roman" w:cs="Times New Roman"/>
          <w:sz w:val="28"/>
          <w:szCs w:val="28"/>
          <w:lang w:val="lv-LV"/>
        </w:rPr>
        <w:t xml:space="preserve">šu </w:t>
      </w:r>
      <w:r w:rsidR="00A4331E" w:rsidRPr="0011272D">
        <w:rPr>
          <w:rFonts w:ascii="Times New Roman" w:hAnsi="Times New Roman" w:cs="Times New Roman"/>
          <w:sz w:val="28"/>
          <w:szCs w:val="28"/>
          <w:lang w:val="lv-LV"/>
        </w:rPr>
        <w:t>nav iespēju saņemt 8.3.3.SAM ietvaros paredzēto atbalstu.</w:t>
      </w:r>
    </w:p>
    <w:p w14:paraId="22EBC5C8" w14:textId="630E7C15"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Vērtējot 8.3.3.SAM Uzraudzības padomes sēdēs izteiktos priekšlikumus papildu finansējuma nepieciešamībai un projekta </w:t>
      </w:r>
      <w:r>
        <w:rPr>
          <w:rFonts w:ascii="Times New Roman" w:hAnsi="Times New Roman" w:cs="Times New Roman"/>
          <w:sz w:val="28"/>
          <w:szCs w:val="28"/>
          <w:lang w:val="lv-LV"/>
        </w:rPr>
        <w:t xml:space="preserve">„PROTI un DARI!” </w:t>
      </w:r>
      <w:r w:rsidRPr="00752833">
        <w:rPr>
          <w:rFonts w:ascii="Times New Roman" w:hAnsi="Times New Roman" w:cs="Times New Roman"/>
          <w:sz w:val="28"/>
          <w:szCs w:val="28"/>
          <w:lang w:val="lv-LV"/>
        </w:rPr>
        <w:t xml:space="preserve">īstenošanas termiņa pagarināšanai, saskaņā ar Ministru kabineta 2019.gada 11.oktobra protokollēmuma Nr.47 3.§ “Informatīvais ziņojumus “Par Eiropas Savienības struktūrfondu un Kohēzijas fonda 2014.–2020. gada plānošanas perioda darbības programmas “Izaugsme un nodarbinātība” snieguma ietvarā noteikto mērķu sasniegšanas progresu un snieguma rezerves finansējuma tālāku izmantošanu”” 9.2.apakšpunktu, tika izstrādāti un 2020.gada 10.martā apstiprināti Ministru kabineta noteikumi Nr. 127 „Grozījumi Ministru kabineta 2015.gada 7.jūlija noteikumos Nr. 385 “Darbības programmas “Izaugsme un nodarbinātība” 8.3.3. specifiskā atbalsta mērķa “Attīstīt NEET jauniešu prasmes un veicināt to iesaisti izglītībā, NVA īstenotajos pasākumos Jauniešu garantijas ietvaros un nevalstisko organizāciju vai </w:t>
      </w:r>
      <w:r w:rsidRPr="00752833">
        <w:rPr>
          <w:rFonts w:ascii="Times New Roman" w:hAnsi="Times New Roman" w:cs="Times New Roman"/>
          <w:sz w:val="28"/>
          <w:szCs w:val="28"/>
          <w:lang w:val="lv-LV"/>
        </w:rPr>
        <w:lastRenderedPageBreak/>
        <w:t>jauniešu centru darbībā” īstenošanas noteikumi””, kas paredz papildus finansējuma piešķiršanu projektam 757 828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apmērā, tai skaitā Eiropas Sociālā fonda finansējums – 644 153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valsts budžeta līdzfinansējums – 113 675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un projekta īstenošanas termiņa pagarināšanu par vienu gadu – līdz 2021.gada 31.decembrim. Vienlaikus tika apzināta pašvaldību kapacitāte un mērķa grupas jauniešu skaits pašvaldībās. Piešķirtais papildus finansējums sniedz iespēju iesaistīt projektā papildus 385 jauniešus 2021.gadā, kas šajā situācijā </w:t>
      </w:r>
      <w:r>
        <w:rPr>
          <w:rFonts w:ascii="Times New Roman" w:hAnsi="Times New Roman" w:cs="Times New Roman"/>
          <w:sz w:val="28"/>
          <w:szCs w:val="28"/>
          <w:lang w:val="lv-LV"/>
        </w:rPr>
        <w:t>Izglītības un zinātnes ministrijas</w:t>
      </w:r>
      <w:r w:rsidRPr="00752833">
        <w:rPr>
          <w:rFonts w:ascii="Times New Roman" w:hAnsi="Times New Roman" w:cs="Times New Roman"/>
          <w:sz w:val="28"/>
          <w:szCs w:val="28"/>
          <w:lang w:val="lv-LV"/>
        </w:rPr>
        <w:t xml:space="preserve"> ieskatā ir nepietiekami, ievērojot šajā informatīvajā ziņojumā minēto par COVID-19 krīzes ietekmi uz NEET grupas jauniešiem. Šobrīd pieejamais finansējums projektam ir pietiekams, lai pilnvērtīgu atbalstu NEET jauniešiem nodrošinātu tikai 2021.gada pirmajā </w:t>
      </w:r>
      <w:r w:rsidR="000D43E7">
        <w:rPr>
          <w:rFonts w:ascii="Times New Roman" w:hAnsi="Times New Roman" w:cs="Times New Roman"/>
          <w:sz w:val="28"/>
          <w:szCs w:val="28"/>
          <w:lang w:val="lv-LV"/>
        </w:rPr>
        <w:t>pusē.</w:t>
      </w:r>
    </w:p>
    <w:p w14:paraId="22EBC5C9" w14:textId="77777777" w:rsidR="00F35B5D" w:rsidRPr="00752833" w:rsidRDefault="00F35B5D" w:rsidP="00F35B5D">
      <w:pPr>
        <w:spacing w:after="120"/>
        <w:ind w:firstLine="720"/>
        <w:jc w:val="both"/>
        <w:rPr>
          <w:rFonts w:ascii="Times New Roman" w:hAnsi="Times New Roman" w:cs="Times New Roman"/>
          <w:sz w:val="28"/>
          <w:szCs w:val="28"/>
          <w:lang w:val="lv-LV"/>
        </w:rPr>
      </w:pPr>
    </w:p>
    <w:p w14:paraId="22EBC5CA" w14:textId="77777777" w:rsidR="00F35B5D" w:rsidRPr="00752833" w:rsidRDefault="00F35B5D" w:rsidP="00F35B5D">
      <w:pPr>
        <w:pStyle w:val="Heading1"/>
        <w:jc w:val="center"/>
        <w:rPr>
          <w:rFonts w:cs="Times New Roman"/>
          <w:sz w:val="28"/>
          <w:szCs w:val="28"/>
        </w:rPr>
      </w:pPr>
      <w:r w:rsidRPr="00752833">
        <w:rPr>
          <w:rFonts w:cs="Times New Roman"/>
          <w:sz w:val="28"/>
          <w:szCs w:val="28"/>
        </w:rPr>
        <w:t>3. Priekšlikumi darbam ar NEET jauniešiem 2021.-2027.g</w:t>
      </w:r>
      <w:r>
        <w:rPr>
          <w:rFonts w:cs="Times New Roman"/>
          <w:sz w:val="28"/>
          <w:szCs w:val="28"/>
        </w:rPr>
        <w:t>a</w:t>
      </w:r>
      <w:r w:rsidRPr="00752833">
        <w:rPr>
          <w:rFonts w:cs="Times New Roman"/>
          <w:sz w:val="28"/>
          <w:szCs w:val="28"/>
        </w:rPr>
        <w:t>dā</w:t>
      </w:r>
    </w:p>
    <w:p w14:paraId="22EBC5CC" w14:textId="3DBB1C2D"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Eiropas Savienības </w:t>
      </w:r>
      <w:r>
        <w:rPr>
          <w:rFonts w:ascii="Times New Roman" w:hAnsi="Times New Roman" w:cs="Times New Roman"/>
          <w:sz w:val="28"/>
          <w:szCs w:val="28"/>
          <w:lang w:val="lv-LV"/>
        </w:rPr>
        <w:t>J</w:t>
      </w:r>
      <w:r w:rsidRPr="00752833">
        <w:rPr>
          <w:rFonts w:ascii="Times New Roman" w:hAnsi="Times New Roman" w:cs="Times New Roman"/>
          <w:sz w:val="28"/>
          <w:szCs w:val="28"/>
          <w:lang w:val="lv-LV"/>
        </w:rPr>
        <w:t>aunatnes stratēģijā 2019.-2027. gadam</w:t>
      </w:r>
      <w:bookmarkStart w:id="2" w:name="_ftnref1"/>
      <w:r w:rsidRPr="00752833">
        <w:rPr>
          <w:rFonts w:ascii="Times New Roman" w:hAnsi="Times New Roman" w:cs="Times New Roman"/>
          <w:sz w:val="28"/>
          <w:szCs w:val="28"/>
          <w:lang w:val="lv-LV"/>
        </w:rPr>
        <w:t>,</w:t>
      </w:r>
      <w:bookmarkEnd w:id="2"/>
      <w:r w:rsidRPr="00752833">
        <w:rPr>
          <w:rStyle w:val="FootnoteReference"/>
          <w:rFonts w:ascii="Times New Roman" w:hAnsi="Times New Roman" w:cs="Times New Roman"/>
          <w:sz w:val="28"/>
          <w:szCs w:val="28"/>
          <w:lang w:val="lv-LV"/>
        </w:rPr>
        <w:footnoteReference w:id="12"/>
      </w:r>
      <w:r w:rsidRPr="00752833">
        <w:rPr>
          <w:rFonts w:ascii="Times New Roman" w:hAnsi="Times New Roman" w:cs="Times New Roman"/>
          <w:sz w:val="28"/>
          <w:szCs w:val="28"/>
          <w:lang w:val="lv-LV"/>
        </w:rPr>
        <w:t xml:space="preserve">, tiek izvirzīti vienpadsmit galvenie mērķi, </w:t>
      </w:r>
      <w:r>
        <w:rPr>
          <w:rFonts w:ascii="Times New Roman" w:hAnsi="Times New Roman" w:cs="Times New Roman"/>
          <w:sz w:val="28"/>
          <w:szCs w:val="28"/>
          <w:lang w:val="lv-LV"/>
        </w:rPr>
        <w:t xml:space="preserve">kas vērsti uz </w:t>
      </w:r>
      <w:r w:rsidRPr="00752833">
        <w:rPr>
          <w:rFonts w:ascii="Times New Roman" w:hAnsi="Times New Roman" w:cs="Times New Roman"/>
          <w:sz w:val="28"/>
          <w:szCs w:val="28"/>
          <w:lang w:val="lv-LV"/>
        </w:rPr>
        <w:t>Eiropas Savienības dalībvalst</w:t>
      </w:r>
      <w:r>
        <w:rPr>
          <w:rFonts w:ascii="Times New Roman" w:hAnsi="Times New Roman" w:cs="Times New Roman"/>
          <w:sz w:val="28"/>
          <w:szCs w:val="28"/>
          <w:lang w:val="lv-LV"/>
        </w:rPr>
        <w:t>u jauniešu labbūtību</w:t>
      </w:r>
      <w:r w:rsidRPr="00752833">
        <w:rPr>
          <w:rFonts w:ascii="Times New Roman" w:hAnsi="Times New Roman" w:cs="Times New Roman"/>
          <w:sz w:val="28"/>
          <w:szCs w:val="28"/>
          <w:lang w:val="lv-LV"/>
        </w:rPr>
        <w:t xml:space="preserve">. Stratēģijas mērķi līdztekus dzimumu vienlīdzībai, sociālai iekļaušanai un ilgtspējīgai attīstībai, norāda uz nepieciešamību īpašu uzmanību vērst uz jauniešu </w:t>
      </w:r>
      <w:r w:rsidR="00101818">
        <w:rPr>
          <w:rFonts w:ascii="Times New Roman" w:hAnsi="Times New Roman" w:cs="Times New Roman"/>
          <w:sz w:val="28"/>
          <w:szCs w:val="28"/>
          <w:lang w:val="lv-LV"/>
        </w:rPr>
        <w:t>garīgo veselību un labklājību</w:t>
      </w:r>
      <w:r w:rsidRPr="00752833">
        <w:rPr>
          <w:rFonts w:ascii="Times New Roman" w:hAnsi="Times New Roman" w:cs="Times New Roman"/>
          <w:sz w:val="28"/>
          <w:szCs w:val="28"/>
          <w:lang w:val="lv-LV"/>
        </w:rPr>
        <w:t xml:space="preserve">, jauniešu iespēju iegūt kvalitatīvu izglītību un atbilstošu nodarbinātību. Kā viens </w:t>
      </w:r>
      <w:r>
        <w:rPr>
          <w:rFonts w:ascii="Times New Roman" w:hAnsi="Times New Roman" w:cs="Times New Roman"/>
          <w:sz w:val="28"/>
          <w:szCs w:val="28"/>
          <w:lang w:val="lv-LV"/>
        </w:rPr>
        <w:t xml:space="preserve">no </w:t>
      </w:r>
      <w:r w:rsidRPr="00752833">
        <w:rPr>
          <w:rFonts w:ascii="Times New Roman" w:hAnsi="Times New Roman" w:cs="Times New Roman"/>
          <w:sz w:val="28"/>
          <w:szCs w:val="28"/>
          <w:lang w:val="lv-LV"/>
        </w:rPr>
        <w:t>galvenajiem risinājumiem jauniešu situācijas uzlabošanai ir izglītība, tās kvalitāte un pieejamība, lielu uzmanību vēršot uz izglītības atbilstību mūsdienīgām, mainīgām darba tirgus prasībām, neaizmirstot par neformālās izglītības nozīmi.</w:t>
      </w:r>
    </w:p>
    <w:p w14:paraId="22EBC5CD"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Kā liecina Erasmus+ projekta “Jauniešu dzīves kvalitātes izpēte Baltijas valstīs” (Nr. 2017-2-LV02-KA205-001657) izpētes dati, katrs piektais jaunietis Latvijā</w:t>
      </w:r>
      <w:r>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ir pakļauts nabadzības riskam, bet nabadzības vai sociālās atstumtības riskam pakļauts katrs ceturtais jaunietis</w:t>
      </w:r>
      <w:r>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 xml:space="preserve">Tāpat vidējo ienākumu nevienlīdzības rādītājs </w:t>
      </w:r>
      <w:r>
        <w:rPr>
          <w:rFonts w:ascii="Times New Roman" w:hAnsi="Times New Roman" w:cs="Times New Roman"/>
          <w:sz w:val="28"/>
          <w:szCs w:val="28"/>
          <w:lang w:val="lv-LV"/>
        </w:rPr>
        <w:t xml:space="preserve">Latvijas jauniešu vidū </w:t>
      </w:r>
      <w:r w:rsidRPr="00752833">
        <w:rPr>
          <w:rFonts w:ascii="Times New Roman" w:hAnsi="Times New Roman" w:cs="Times New Roman"/>
          <w:sz w:val="28"/>
          <w:szCs w:val="28"/>
          <w:lang w:val="lv-LV"/>
        </w:rPr>
        <w:t>ir augstāks nekā vidēji Eiropas Savienībā.</w:t>
      </w:r>
    </w:p>
    <w:p w14:paraId="22EBC5CE"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Aptuveni katrs trešais jaunietis Latvijā</w:t>
      </w:r>
      <w:r>
        <w:rPr>
          <w:rFonts w:ascii="Times New Roman" w:hAnsi="Times New Roman" w:cs="Times New Roman"/>
          <w:sz w:val="28"/>
          <w:szCs w:val="28"/>
          <w:lang w:val="lv-LV"/>
        </w:rPr>
        <w:t xml:space="preserve"> uzskata</w:t>
      </w:r>
      <w:r w:rsidRPr="00752833">
        <w:rPr>
          <w:rFonts w:ascii="Times New Roman" w:hAnsi="Times New Roman" w:cs="Times New Roman"/>
          <w:sz w:val="28"/>
          <w:szCs w:val="28"/>
          <w:lang w:val="lv-LV"/>
        </w:rPr>
        <w:t>, ka viņam ir ilgstošas veselības problēmas, bet aptuveni katrs desmitais jaunietis Baltijas valstīs apgalvo, ka ilgstošas veselības problēmas ierobežo viņu ikdienas aktivitātes (Eiropas Savienībā vidēji 7%). Tāpat Baltijas valstu jauniešu vidū ir augsti pašnāvīb</w:t>
      </w:r>
      <w:r>
        <w:rPr>
          <w:rFonts w:ascii="Times New Roman" w:hAnsi="Times New Roman" w:cs="Times New Roman"/>
          <w:sz w:val="28"/>
          <w:szCs w:val="28"/>
          <w:lang w:val="lv-LV"/>
        </w:rPr>
        <w:t>as</w:t>
      </w:r>
      <w:r w:rsidRPr="00752833">
        <w:rPr>
          <w:rFonts w:ascii="Times New Roman" w:hAnsi="Times New Roman" w:cs="Times New Roman"/>
          <w:sz w:val="28"/>
          <w:szCs w:val="28"/>
          <w:lang w:val="lv-LV"/>
        </w:rPr>
        <w:t xml:space="preserve"> rādītāji – Baltijas valstī</w:t>
      </w:r>
      <w:r>
        <w:rPr>
          <w:rFonts w:ascii="Times New Roman" w:hAnsi="Times New Roman" w:cs="Times New Roman"/>
          <w:sz w:val="28"/>
          <w:szCs w:val="28"/>
          <w:lang w:val="lv-LV"/>
        </w:rPr>
        <w:t>s</w:t>
      </w:r>
      <w:r w:rsidRPr="00752833">
        <w:rPr>
          <w:rFonts w:ascii="Times New Roman" w:hAnsi="Times New Roman" w:cs="Times New Roman"/>
          <w:sz w:val="28"/>
          <w:szCs w:val="28"/>
          <w:lang w:val="lv-LV"/>
        </w:rPr>
        <w:t xml:space="preserve"> tie ir vieni no augstākajiem Eiropā. </w:t>
      </w:r>
      <w:r>
        <w:rPr>
          <w:rFonts w:ascii="Times New Roman" w:hAnsi="Times New Roman" w:cs="Times New Roman"/>
          <w:sz w:val="28"/>
          <w:szCs w:val="28"/>
          <w:lang w:val="lv-LV"/>
        </w:rPr>
        <w:t xml:space="preserve">Jauniešiem </w:t>
      </w:r>
      <w:r w:rsidRPr="00752833">
        <w:rPr>
          <w:rFonts w:ascii="Times New Roman" w:hAnsi="Times New Roman" w:cs="Times New Roman"/>
          <w:sz w:val="28"/>
          <w:szCs w:val="28"/>
          <w:lang w:val="lv-LV"/>
        </w:rPr>
        <w:t xml:space="preserve">15-19 gadu vecuma grupā Latvijas </w:t>
      </w:r>
      <w:r>
        <w:rPr>
          <w:rFonts w:ascii="Times New Roman" w:hAnsi="Times New Roman" w:cs="Times New Roman"/>
          <w:sz w:val="28"/>
          <w:szCs w:val="28"/>
          <w:lang w:val="lv-LV"/>
        </w:rPr>
        <w:t xml:space="preserve">rādītājs ir </w:t>
      </w:r>
      <w:r w:rsidRPr="00752833">
        <w:rPr>
          <w:rFonts w:ascii="Times New Roman" w:hAnsi="Times New Roman" w:cs="Times New Roman"/>
          <w:sz w:val="28"/>
          <w:szCs w:val="28"/>
          <w:lang w:val="lv-LV"/>
        </w:rPr>
        <w:t>– 11</w:t>
      </w:r>
      <w:r>
        <w:rPr>
          <w:rFonts w:ascii="Times New Roman" w:hAnsi="Times New Roman" w:cs="Times New Roman"/>
          <w:sz w:val="28"/>
          <w:szCs w:val="28"/>
          <w:lang w:val="lv-LV"/>
        </w:rPr>
        <w:t> pašnāvības, bet 20 -24 gadu vecuma grupā – 16 pašnāvības un 100 tūkst. attiecīgās vecuma grupas jauniešiem.</w:t>
      </w:r>
    </w:p>
    <w:p w14:paraId="22EBC5CF"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lastRenderedPageBreak/>
        <w:t>Būtiska ir arī dažādu atkarību problēma. Jauniešu īpatsvars, kuri smēķē visās trīs Baltijas valstīs ir nedaudz augstāks kā vidējais Eiropas Savienības valstu rādītājs, savukārt jauniešu, kuri ir lietojuši alkoholu – zemāks kā vidēji Eiropas Savienībā. Marihuānu vismaz vienu reizi ir pamēģinājuši 17%-18% jauniešu Latvijā un Lietuvā, bet 25% Igaunijā. Inhalantus vismaz vienu reizi pamēģinājuši 8% lietuviešu, 13% igauņu un 18% latviešu jaunieši. Igaunijā un Lietuvā 12% jauniešu ir spēlējuši azartspēles uz naudu, bet Latvijā šis rādītājs ir augstāks – 16%, kas arī ir par 2% augstāks rādītājs nekā vidēji Eiropas Savienībā (14%).</w:t>
      </w:r>
    </w:p>
    <w:p w14:paraId="22EBC5D0" w14:textId="77777777"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Kopumā dati par jauniešu pašsajūtas novērtējumu rāda, ka Eiropas Savienībā vidēji 5% jauniešu regulāri jūtas nomākti vai morāli nospiesti. Vidēji Lietuvā tie ir 3% jauniešu, Igaunijā </w:t>
      </w:r>
      <w:r>
        <w:rPr>
          <w:rFonts w:ascii="Times New Roman" w:hAnsi="Times New Roman" w:cs="Times New Roman"/>
          <w:sz w:val="28"/>
          <w:szCs w:val="28"/>
          <w:lang w:val="lv-LV"/>
        </w:rPr>
        <w:t xml:space="preserve">- </w:t>
      </w:r>
      <w:r w:rsidRPr="00752833">
        <w:rPr>
          <w:rFonts w:ascii="Times New Roman" w:hAnsi="Times New Roman" w:cs="Times New Roman"/>
          <w:sz w:val="28"/>
          <w:szCs w:val="28"/>
          <w:lang w:val="lv-LV"/>
        </w:rPr>
        <w:t>7%, bet Latvijā šis rādītājs 11%, kas ir būtiski augstāks kā vidēji Eiropas Savienībā. Pētījuma dati liecina, ka vismaz katrs ceturtais jaunietis saskaras ar nepietiekamu psiholoģisko un emocionālo atbalstu savā ikdienā un norāda, ka ir grūti tikt galā ar nopietnām problēmām savā dzīvē</w:t>
      </w:r>
      <w:r w:rsidRPr="00752833">
        <w:rPr>
          <w:rStyle w:val="FootnoteReference"/>
          <w:rFonts w:ascii="Times New Roman" w:hAnsi="Times New Roman" w:cs="Times New Roman"/>
          <w:sz w:val="28"/>
          <w:szCs w:val="28"/>
          <w:lang w:val="lv-LV"/>
        </w:rPr>
        <w:footnoteReference w:id="13"/>
      </w:r>
      <w:r w:rsidRPr="00752833">
        <w:rPr>
          <w:rFonts w:ascii="Times New Roman" w:hAnsi="Times New Roman" w:cs="Times New Roman"/>
          <w:sz w:val="28"/>
          <w:szCs w:val="28"/>
          <w:lang w:val="lv-LV"/>
        </w:rPr>
        <w:t>.</w:t>
      </w:r>
    </w:p>
    <w:p w14:paraId="22EBC5D1" w14:textId="712D9C90" w:rsidR="00F35B5D" w:rsidRPr="00752833" w:rsidRDefault="00F35B5D" w:rsidP="00F35B5D">
      <w:pPr>
        <w:spacing w:after="120"/>
        <w:ind w:firstLine="720"/>
        <w:jc w:val="both"/>
        <w:rPr>
          <w:rFonts w:ascii="Times New Roman" w:hAnsi="Times New Roman" w:cs="Times New Roman"/>
          <w:sz w:val="28"/>
          <w:szCs w:val="28"/>
          <w:lang w:val="lv-LV"/>
        </w:rPr>
      </w:pPr>
      <w:r w:rsidRPr="00752833">
        <w:rPr>
          <w:rFonts w:ascii="Times New Roman" w:hAnsi="Times New Roman" w:cs="Times New Roman"/>
          <w:sz w:val="28"/>
          <w:szCs w:val="28"/>
          <w:lang w:val="lv-LV"/>
        </w:rPr>
        <w:t xml:space="preserve">Šie dati liecina, ka jauniešiem Latvijā nepieciešama palīdzība dažādos dzīves aspektos, kur līdztekus izglītības un kvalifikācijas iegūšanai, ir tikpat būtiski sniegt atbalstu jauniešiem cīņā ar dažāda veida atkarībām, neaizmirstot arī pat jauniešu emocionālo un psiholoģisko labsajūtu. Lai arī ar 2014.-2020.gada ES struktūrfondu investīcijām Jauniešu garantijas projektu un projekta </w:t>
      </w:r>
      <w:r w:rsidRPr="00752833">
        <w:rPr>
          <w:rFonts w:ascii="Times New Roman" w:hAnsi="Times New Roman" w:cs="Times New Roman"/>
          <w:iCs/>
          <w:color w:val="000000" w:themeColor="text1"/>
          <w:sz w:val="28"/>
          <w:szCs w:val="28"/>
          <w:lang w:val="lv-LV"/>
        </w:rPr>
        <w:t>„PROTI un DARI!” ietvaros ir izdevies būtiski mazināt NEET jauniešu skaitu Latvijā, tomēr to īpatsvars vēl aizvien ir pietiekami augsts,</w:t>
      </w:r>
      <w:r w:rsidR="000D43E7">
        <w:rPr>
          <w:rFonts w:ascii="Times New Roman" w:hAnsi="Times New Roman" w:cs="Times New Roman"/>
          <w:iCs/>
          <w:color w:val="000000" w:themeColor="text1"/>
          <w:sz w:val="28"/>
          <w:szCs w:val="28"/>
          <w:lang w:val="lv-LV"/>
        </w:rPr>
        <w:t xml:space="preserve"> un nepieciešams turpināt</w:t>
      </w:r>
      <w:r w:rsidRPr="00752833">
        <w:rPr>
          <w:rFonts w:ascii="Times New Roman" w:hAnsi="Times New Roman" w:cs="Times New Roman"/>
          <w:iCs/>
          <w:color w:val="000000" w:themeColor="text1"/>
          <w:sz w:val="28"/>
          <w:szCs w:val="28"/>
          <w:lang w:val="lv-LV"/>
        </w:rPr>
        <w:t xml:space="preserve"> E</w:t>
      </w:r>
      <w:r w:rsidR="000D43E7">
        <w:rPr>
          <w:rFonts w:ascii="Times New Roman" w:hAnsi="Times New Roman" w:cs="Times New Roman"/>
          <w:iCs/>
          <w:color w:val="000000" w:themeColor="text1"/>
          <w:sz w:val="28"/>
          <w:szCs w:val="28"/>
          <w:lang w:val="lv-LV"/>
        </w:rPr>
        <w:t xml:space="preserve">iropas </w:t>
      </w:r>
      <w:r w:rsidRPr="00752833">
        <w:rPr>
          <w:rFonts w:ascii="Times New Roman" w:hAnsi="Times New Roman" w:cs="Times New Roman"/>
          <w:iCs/>
          <w:color w:val="000000" w:themeColor="text1"/>
          <w:sz w:val="28"/>
          <w:szCs w:val="28"/>
          <w:lang w:val="lv-LV"/>
        </w:rPr>
        <w:t>S</w:t>
      </w:r>
      <w:r w:rsidR="000D43E7">
        <w:rPr>
          <w:rFonts w:ascii="Times New Roman" w:hAnsi="Times New Roman" w:cs="Times New Roman"/>
          <w:iCs/>
          <w:color w:val="000000" w:themeColor="text1"/>
          <w:sz w:val="28"/>
          <w:szCs w:val="28"/>
          <w:lang w:val="lv-LV"/>
        </w:rPr>
        <w:t>avienības</w:t>
      </w:r>
      <w:r w:rsidRPr="00752833">
        <w:rPr>
          <w:rFonts w:ascii="Times New Roman" w:hAnsi="Times New Roman" w:cs="Times New Roman"/>
          <w:iCs/>
          <w:color w:val="000000" w:themeColor="text1"/>
          <w:sz w:val="28"/>
          <w:szCs w:val="28"/>
          <w:lang w:val="lv-LV"/>
        </w:rPr>
        <w:t xml:space="preserve"> struktūrfondu finansējuma investīcijas šajā jomā, pilnveidojot un attīstot darbu ar NEET jauniešiem pašvaldību un valsts līmenī</w:t>
      </w:r>
      <w:r>
        <w:rPr>
          <w:rFonts w:ascii="Times New Roman" w:hAnsi="Times New Roman" w:cs="Times New Roman"/>
          <w:iCs/>
          <w:color w:val="000000" w:themeColor="text1"/>
          <w:sz w:val="28"/>
          <w:szCs w:val="28"/>
          <w:lang w:val="lv-LV"/>
        </w:rPr>
        <w:t>.</w:t>
      </w:r>
    </w:p>
    <w:p w14:paraId="22EBC5D2" w14:textId="78C5C057" w:rsidR="00F35B5D" w:rsidRPr="00752833" w:rsidRDefault="00F35B5D" w:rsidP="00F35B5D">
      <w:pPr>
        <w:spacing w:after="12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Latvijas </w:t>
      </w:r>
      <w:r w:rsidRPr="00752833">
        <w:rPr>
          <w:rFonts w:ascii="Times New Roman" w:hAnsi="Times New Roman" w:cs="Times New Roman"/>
          <w:sz w:val="28"/>
          <w:szCs w:val="28"/>
          <w:lang w:val="lv-LV"/>
        </w:rPr>
        <w:t xml:space="preserve">Nacionālajā attīstības plānā 2021.-2027.gadam ir </w:t>
      </w:r>
      <w:r>
        <w:rPr>
          <w:rFonts w:ascii="Times New Roman" w:hAnsi="Times New Roman" w:cs="Times New Roman"/>
          <w:sz w:val="28"/>
          <w:szCs w:val="28"/>
          <w:lang w:val="lv-LV"/>
        </w:rPr>
        <w:t>paredzēts</w:t>
      </w:r>
      <w:r w:rsidRPr="00752833">
        <w:rPr>
          <w:rFonts w:ascii="Times New Roman" w:hAnsi="Times New Roman" w:cs="Times New Roman"/>
          <w:sz w:val="28"/>
          <w:szCs w:val="28"/>
          <w:lang w:val="lv-LV"/>
        </w:rPr>
        <w:t xml:space="preserve"> sniegt atbalstu sociālās atstumtības riskam pakļauto bērnu un jauniešu atbalstam, veicinot NEET jauniešu </w:t>
      </w:r>
      <w:r>
        <w:rPr>
          <w:rFonts w:ascii="Times New Roman" w:hAnsi="Times New Roman" w:cs="Times New Roman"/>
          <w:sz w:val="28"/>
          <w:szCs w:val="28"/>
          <w:lang w:val="lv-LV"/>
        </w:rPr>
        <w:t>iesaistīšanos</w:t>
      </w:r>
      <w:r w:rsidRPr="00752833">
        <w:rPr>
          <w:rFonts w:ascii="Times New Roman" w:hAnsi="Times New Roman" w:cs="Times New Roman"/>
          <w:sz w:val="28"/>
          <w:szCs w:val="28"/>
          <w:lang w:val="lv-LV"/>
        </w:rPr>
        <w:t xml:space="preserve"> izglītībā un nodarbinātībā, paredzot finansējumu individuālo pasākumu programmas izstrādei un īstenošanai ar mērķi sekmēt NEET jauniešu atgriešanos izglītībā vai nodarbinātības uzsākšanu, sniedzot iespēju saņemt individuālu mentora atbalstu, pašvaldības dienestu atbalstu, vienaudžu atbalstu un mācību iespējas. Eiropas Savienības </w:t>
      </w:r>
      <w:r>
        <w:rPr>
          <w:rFonts w:ascii="Times New Roman" w:hAnsi="Times New Roman" w:cs="Times New Roman"/>
          <w:sz w:val="28"/>
          <w:szCs w:val="28"/>
          <w:lang w:val="lv-LV"/>
        </w:rPr>
        <w:t>investīciju fondu</w:t>
      </w:r>
      <w:r w:rsidRPr="00752833">
        <w:rPr>
          <w:rFonts w:ascii="Times New Roman" w:hAnsi="Times New Roman" w:cs="Times New Roman"/>
          <w:sz w:val="28"/>
          <w:szCs w:val="28"/>
          <w:lang w:val="lv-LV"/>
        </w:rPr>
        <w:t xml:space="preserve"> plānošanas periodā 2021. - 2027. gadam NEET jauniešu atb</w:t>
      </w:r>
      <w:r w:rsidR="00563042">
        <w:rPr>
          <w:rFonts w:ascii="Times New Roman" w:hAnsi="Times New Roman" w:cs="Times New Roman"/>
          <w:sz w:val="28"/>
          <w:szCs w:val="28"/>
          <w:lang w:val="lv-LV"/>
        </w:rPr>
        <w:t xml:space="preserve">alstam plānots finansējums </w:t>
      </w:r>
      <w:r w:rsidR="00443990">
        <w:rPr>
          <w:rFonts w:ascii="Times New Roman" w:hAnsi="Times New Roman" w:cs="Times New Roman"/>
          <w:sz w:val="28"/>
          <w:szCs w:val="28"/>
          <w:lang w:val="lv-LV"/>
        </w:rPr>
        <w:t xml:space="preserve">indikatīvi </w:t>
      </w:r>
      <w:r w:rsidR="00563042">
        <w:rPr>
          <w:rFonts w:ascii="Times New Roman" w:hAnsi="Times New Roman" w:cs="Times New Roman"/>
          <w:sz w:val="28"/>
          <w:szCs w:val="28"/>
          <w:lang w:val="lv-LV"/>
        </w:rPr>
        <w:t>6,52 </w:t>
      </w:r>
      <w:r w:rsidRPr="00752833">
        <w:rPr>
          <w:rFonts w:ascii="Times New Roman" w:hAnsi="Times New Roman" w:cs="Times New Roman"/>
          <w:sz w:val="28"/>
          <w:szCs w:val="28"/>
          <w:lang w:val="lv-LV"/>
        </w:rPr>
        <w:t>milj. </w:t>
      </w:r>
      <w:r w:rsidRPr="00752833">
        <w:rPr>
          <w:rFonts w:ascii="Times New Roman" w:hAnsi="Times New Roman" w:cs="Times New Roman"/>
          <w:i/>
          <w:sz w:val="28"/>
          <w:szCs w:val="28"/>
          <w:lang w:val="lv-LV"/>
        </w:rPr>
        <w:t>euro</w:t>
      </w:r>
      <w:r w:rsidRPr="00752833">
        <w:rPr>
          <w:rFonts w:ascii="Times New Roman" w:hAnsi="Times New Roman" w:cs="Times New Roman"/>
          <w:sz w:val="28"/>
          <w:szCs w:val="28"/>
          <w:lang w:val="lv-LV"/>
        </w:rPr>
        <w:t xml:space="preserve"> apmērā. Līdz 2027.gadam plānā noteiktais mērķis ir samazināt NEET jauniešu vecuma grupā no</w:t>
      </w:r>
      <w:r w:rsidR="00563042">
        <w:rPr>
          <w:rFonts w:ascii="Times New Roman" w:hAnsi="Times New Roman" w:cs="Times New Roman"/>
          <w:sz w:val="28"/>
          <w:szCs w:val="28"/>
          <w:lang w:val="lv-LV"/>
        </w:rPr>
        <w:t xml:space="preserve"> 15-24 gadiem īpatsvaru līdz 6% </w:t>
      </w:r>
      <w:r w:rsidRPr="00752833">
        <w:rPr>
          <w:rFonts w:ascii="Times New Roman" w:hAnsi="Times New Roman" w:cs="Times New Roman"/>
          <w:sz w:val="28"/>
          <w:szCs w:val="28"/>
          <w:lang w:val="lv-LV"/>
        </w:rPr>
        <w:t>attiecīgajā jauniešu vecuma grupā.</w:t>
      </w:r>
    </w:p>
    <w:p w14:paraId="22EBC5D3" w14:textId="77777777" w:rsidR="00F35B5D" w:rsidRPr="00752833" w:rsidRDefault="00F35B5D" w:rsidP="00F35B5D">
      <w:pPr>
        <w:spacing w:after="120"/>
        <w:ind w:firstLine="720"/>
        <w:jc w:val="both"/>
        <w:rPr>
          <w:rFonts w:ascii="Times New Roman" w:hAnsi="Times New Roman" w:cs="Times New Roman"/>
          <w:iCs/>
          <w:color w:val="000000" w:themeColor="text1"/>
          <w:sz w:val="28"/>
          <w:szCs w:val="28"/>
          <w:lang w:val="lv-LV"/>
        </w:rPr>
      </w:pPr>
      <w:r w:rsidRPr="00752833">
        <w:rPr>
          <w:rFonts w:ascii="Times New Roman" w:hAnsi="Times New Roman" w:cs="Times New Roman"/>
          <w:color w:val="000000" w:themeColor="text1"/>
          <w:sz w:val="28"/>
          <w:szCs w:val="28"/>
          <w:lang w:val="lv-LV"/>
        </w:rPr>
        <w:lastRenderedPageBreak/>
        <w:t>SIA “Ernst &amp; Young Baltic” (19.03.2019.) pētījuma ziņojumā “</w:t>
      </w:r>
      <w:r w:rsidRPr="00752833">
        <w:rPr>
          <w:rFonts w:ascii="Times New Roman" w:hAnsi="Times New Roman" w:cs="Times New Roman"/>
          <w:iCs/>
          <w:color w:val="000000" w:themeColor="text1"/>
          <w:sz w:val="28"/>
          <w:szCs w:val="28"/>
          <w:lang w:val="lv-LV"/>
        </w:rPr>
        <w:t>Noslēguma izvērtējums “Eiropas Sociālā fonda atbalsta un īpašā piešķīruma Jauniešu nodarbinātības iniciatīvas, tostarp garantijas jauniešiem shēmas īstenošanai, investīciju lietderība, efektivitāte un ietekme””</w:t>
      </w:r>
      <w:r w:rsidRPr="00752833">
        <w:rPr>
          <w:rStyle w:val="FootnoteReference"/>
          <w:rFonts w:ascii="Times New Roman" w:hAnsi="Times New Roman" w:cs="Times New Roman"/>
          <w:iCs/>
          <w:color w:val="000000" w:themeColor="text1"/>
          <w:sz w:val="28"/>
          <w:szCs w:val="28"/>
          <w:lang w:val="lv-LV"/>
        </w:rPr>
        <w:footnoteReference w:id="14"/>
      </w:r>
      <w:r w:rsidRPr="00752833">
        <w:rPr>
          <w:rFonts w:ascii="Times New Roman" w:hAnsi="Times New Roman" w:cs="Times New Roman"/>
          <w:iCs/>
          <w:color w:val="000000" w:themeColor="text1"/>
          <w:sz w:val="28"/>
          <w:szCs w:val="28"/>
          <w:lang w:val="lv-LV"/>
        </w:rPr>
        <w:t xml:space="preserve"> (turpmāk – pētījuma ziņojums) attiecībā uz projektu „PROTI un DARI!” norādīts, ka NEET jauniešiem </w:t>
      </w:r>
      <w:r w:rsidRPr="00752833">
        <w:rPr>
          <w:rFonts w:ascii="Times New Roman" w:hAnsi="Times New Roman" w:cs="Times New Roman"/>
          <w:bCs/>
          <w:color w:val="000000" w:themeColor="text1"/>
          <w:sz w:val="28"/>
          <w:szCs w:val="28"/>
          <w:lang w:val="lv-LV"/>
        </w:rPr>
        <w:t xml:space="preserve">sniegtais atbalsts ir kvalitatīvs un projekta sasniegtie rezultāti liecina, ka projekts ir spējīgs nodrošināt jauniešu iesaisti nodarbinātībā un atgriešanu izglītībā. Saskaņā ar pētījuma ziņojumu, projekta </w:t>
      </w:r>
      <w:r w:rsidRPr="00752833">
        <w:rPr>
          <w:rFonts w:ascii="Times New Roman" w:hAnsi="Times New Roman" w:cs="Times New Roman"/>
          <w:iCs/>
          <w:color w:val="000000" w:themeColor="text1"/>
          <w:sz w:val="28"/>
          <w:szCs w:val="28"/>
          <w:lang w:val="lv-LV"/>
        </w:rPr>
        <w:t>rezultativitātes līmenis projektā ir vienlīdzīgs reģionālajās pilsētās un novados, kas norāda uz atbalsta mehānisma piemērotību arī darbam ar personām no lauku teritorijām un projekts izstrādāts kā unikāla pieeja darbam ar NEET jauniešiem.</w:t>
      </w:r>
    </w:p>
    <w:p w14:paraId="22EBC5D4" w14:textId="77777777" w:rsidR="00F35B5D" w:rsidRPr="00752833" w:rsidRDefault="00F35B5D" w:rsidP="00F35B5D">
      <w:pPr>
        <w:spacing w:after="120"/>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Vienlaikus pētījumā </w:t>
      </w:r>
      <w:r w:rsidRPr="00752833">
        <w:rPr>
          <w:rFonts w:ascii="Times New Roman" w:hAnsi="Times New Roman" w:cs="Times New Roman"/>
          <w:sz w:val="28"/>
          <w:szCs w:val="28"/>
          <w:lang w:val="lv-LV"/>
        </w:rPr>
        <w:t>tika izteikts stratēģisks priekšlikums pārskatīt projekta kapacitāti, vērtēt iespējas palielināt projektam pieejamo finansējumu ar mērķi iesaistīt vairāk neaktīvos jauniešus, kas nav iesaistīti ne nodarbinātībā, ne izglītībā, ne mācībās. Papildus arī Labklājības ministrijas 2019.gadā sagatavotajā informatīvajā ziņojumā „Informatīvais ziņojums par Jauniešu garantijas īstenošanas progresu” norādīts uz nepieciešamību vērtēt iespējas piešķirt projekta īstenošanai papildus finansējumu un pagarināt projekta īstenošanas periodu.</w:t>
      </w:r>
    </w:p>
    <w:p w14:paraId="22EBC5D5" w14:textId="77777777" w:rsidR="00F35B5D" w:rsidRPr="00752833" w:rsidRDefault="00F35B5D" w:rsidP="00F35B5D">
      <w:pPr>
        <w:spacing w:after="120"/>
        <w:ind w:firstLine="720"/>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Projekta rezultāti rāda, ka</w:t>
      </w:r>
      <w:r>
        <w:rPr>
          <w:rFonts w:ascii="Times New Roman" w:hAnsi="Times New Roman" w:cs="Times New Roman"/>
          <w:color w:val="000000" w:themeColor="text1"/>
          <w:sz w:val="28"/>
          <w:szCs w:val="28"/>
          <w:lang w:val="lv-LV"/>
        </w:rPr>
        <w:t>,</w:t>
      </w:r>
      <w:r w:rsidRPr="00752833">
        <w:rPr>
          <w:rFonts w:ascii="Times New Roman" w:hAnsi="Times New Roman" w:cs="Times New Roman"/>
          <w:color w:val="000000" w:themeColor="text1"/>
          <w:sz w:val="28"/>
          <w:szCs w:val="28"/>
          <w:lang w:val="lv-LV"/>
        </w:rPr>
        <w:t xml:space="preserve"> turpinot sniegt atbalstu jauniešiem NEET situāc</w:t>
      </w:r>
      <w:r>
        <w:rPr>
          <w:rFonts w:ascii="Times New Roman" w:hAnsi="Times New Roman" w:cs="Times New Roman"/>
          <w:color w:val="000000" w:themeColor="text1"/>
          <w:sz w:val="28"/>
          <w:szCs w:val="28"/>
          <w:lang w:val="lv-LV"/>
        </w:rPr>
        <w:t>ijā, kuri</w:t>
      </w:r>
      <w:r w:rsidRPr="00752833">
        <w:rPr>
          <w:rFonts w:ascii="Times New Roman" w:hAnsi="Times New Roman" w:cs="Times New Roman"/>
          <w:color w:val="000000" w:themeColor="text1"/>
          <w:sz w:val="28"/>
          <w:szCs w:val="28"/>
          <w:lang w:val="lv-LV"/>
        </w:rPr>
        <w:t xml:space="preserve"> ir visvairāk pakļauti sociālās atstumtības riskam, ir iespēja saņemt maksimāli vispusīgāku un viņu individuālajām vajadzībām piemērotāku atbalstu sociālai iekļaušanai un prasmju attīstībai. Turpinot sniegt atbalstu jauniešiem, ir iespējams iz</w:t>
      </w:r>
      <w:r w:rsidRPr="00752833">
        <w:rPr>
          <w:rFonts w:ascii="Times New Roman" w:hAnsi="Times New Roman" w:cs="Times New Roman"/>
          <w:iCs/>
          <w:color w:val="000000" w:themeColor="text1"/>
          <w:sz w:val="28"/>
          <w:szCs w:val="28"/>
          <w:lang w:val="lv-LV"/>
        </w:rPr>
        <w:t>veidot vienoti integrētu un starpsektoriāla atbalsta platformu NEET jauniešu apzināšanai un uzrunāšanai, sistematizēt darbu ar NEET jauniešiem, izstrādāt vienotas vadlīnijas darbam ar šiem jauniešiem, veidot kompleksu, efektīvu un mērķtiecīgu atbalsta pieeju, kas vērsta uz NEET jauniešu prasmju attīstību un dzīves kvalitātes uzlabošanu</w:t>
      </w:r>
      <w:r>
        <w:rPr>
          <w:rFonts w:ascii="Times New Roman" w:hAnsi="Times New Roman" w:cs="Times New Roman"/>
          <w:iCs/>
          <w:color w:val="000000" w:themeColor="text1"/>
          <w:sz w:val="28"/>
          <w:szCs w:val="28"/>
          <w:lang w:val="lv-LV"/>
        </w:rPr>
        <w:t>.</w:t>
      </w:r>
    </w:p>
    <w:p w14:paraId="22EBC5D6" w14:textId="77777777" w:rsidR="00F35B5D" w:rsidRPr="00752833" w:rsidRDefault="00F35B5D" w:rsidP="00F35B5D">
      <w:pPr>
        <w:pStyle w:val="CommentText"/>
        <w:spacing w:after="0"/>
        <w:ind w:firstLine="567"/>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Saskaņā ar </w:t>
      </w:r>
      <w:r>
        <w:rPr>
          <w:rFonts w:ascii="Times New Roman" w:hAnsi="Times New Roman" w:cs="Times New Roman"/>
          <w:color w:val="000000" w:themeColor="text1"/>
          <w:sz w:val="28"/>
          <w:szCs w:val="28"/>
          <w:lang w:val="lv-LV"/>
        </w:rPr>
        <w:t xml:space="preserve">pašvaldību </w:t>
      </w:r>
      <w:r w:rsidRPr="00752833">
        <w:rPr>
          <w:rFonts w:ascii="Times New Roman" w:hAnsi="Times New Roman" w:cs="Times New Roman"/>
          <w:color w:val="000000" w:themeColor="text1"/>
          <w:sz w:val="28"/>
          <w:szCs w:val="28"/>
          <w:lang w:val="lv-LV"/>
        </w:rPr>
        <w:t>pausto viedokli</w:t>
      </w:r>
      <w:r>
        <w:rPr>
          <w:rFonts w:ascii="Times New Roman" w:hAnsi="Times New Roman" w:cs="Times New Roman"/>
          <w:color w:val="000000" w:themeColor="text1"/>
          <w:sz w:val="28"/>
          <w:szCs w:val="28"/>
          <w:lang w:val="lv-LV"/>
        </w:rPr>
        <w:t xml:space="preserve"> projekta „PROTI un DARI!” uzraudzības sēdēs</w:t>
      </w:r>
      <w:r w:rsidRPr="00752833">
        <w:rPr>
          <w:rFonts w:ascii="Times New Roman" w:hAnsi="Times New Roman" w:cs="Times New Roman"/>
          <w:color w:val="000000" w:themeColor="text1"/>
          <w:sz w:val="28"/>
          <w:szCs w:val="28"/>
          <w:lang w:val="lv-LV"/>
        </w:rPr>
        <w:t>, atbalsts NEET jauniešiem uzlabo sociāli ekonomisko situāciju novados un valstī kopumā. Pateicoties projekta „PROTI un DARI!” ietvaros sniegtajam atbalstam, jauniešiem tiek dota iespēja turpināt dzīvi dzimtajā pagastā un novada teritorijā, iesaistoties darba tirgū vai izglītībā, papildus mazinot arī nabadzības un noziedzības līmeni attiecīgajā novadā un reģionā.</w:t>
      </w:r>
    </w:p>
    <w:p w14:paraId="22EBC5D7" w14:textId="77777777" w:rsidR="00F35B5D" w:rsidRPr="00752833" w:rsidRDefault="00F35B5D" w:rsidP="00F35B5D">
      <w:pPr>
        <w:pStyle w:val="CommentText"/>
        <w:spacing w:after="0"/>
        <w:ind w:firstLine="567"/>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Turpinot sniegt atbalstu NEET jauniešiem, būs iespējams mazin</w:t>
      </w:r>
      <w:r>
        <w:rPr>
          <w:rFonts w:ascii="Times New Roman" w:hAnsi="Times New Roman" w:cs="Times New Roman"/>
          <w:color w:val="000000" w:themeColor="text1"/>
          <w:sz w:val="28"/>
          <w:szCs w:val="28"/>
          <w:lang w:val="lv-LV"/>
        </w:rPr>
        <w:t>āt</w:t>
      </w:r>
      <w:r w:rsidRPr="00752833">
        <w:rPr>
          <w:rFonts w:ascii="Times New Roman" w:hAnsi="Times New Roman" w:cs="Times New Roman"/>
          <w:color w:val="000000" w:themeColor="text1"/>
          <w:sz w:val="28"/>
          <w:szCs w:val="28"/>
          <w:lang w:val="lv-LV"/>
        </w:rPr>
        <w:t xml:space="preserve"> COVID</w:t>
      </w:r>
      <w:r>
        <w:rPr>
          <w:rFonts w:ascii="Times New Roman" w:hAnsi="Times New Roman" w:cs="Times New Roman"/>
          <w:color w:val="000000" w:themeColor="text1"/>
          <w:sz w:val="28"/>
          <w:szCs w:val="28"/>
          <w:lang w:val="lv-LV"/>
        </w:rPr>
        <w:t> </w:t>
      </w:r>
      <w:r w:rsidRPr="00752833">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 </w:t>
      </w:r>
      <w:r w:rsidRPr="00752833">
        <w:rPr>
          <w:rFonts w:ascii="Times New Roman" w:hAnsi="Times New Roman" w:cs="Times New Roman"/>
          <w:color w:val="000000" w:themeColor="text1"/>
          <w:sz w:val="28"/>
          <w:szCs w:val="28"/>
          <w:lang w:val="lv-LV"/>
        </w:rPr>
        <w:t>19 izraisītās krīzes negatīvu iespaidu uz jauniešiem Latvijā, jo NEET jaunieši ir viena no tām iedzīvotāju grupām, kura pirmā</w:t>
      </w:r>
      <w:r>
        <w:rPr>
          <w:rFonts w:ascii="Times New Roman" w:hAnsi="Times New Roman" w:cs="Times New Roman"/>
          <w:color w:val="000000" w:themeColor="text1"/>
          <w:sz w:val="28"/>
          <w:szCs w:val="28"/>
          <w:lang w:val="lv-LV"/>
        </w:rPr>
        <w:t xml:space="preserve"> un salīdzinoši ar pārējiem iedzīvotājiem</w:t>
      </w:r>
      <w:r w:rsidRPr="00752833">
        <w:rPr>
          <w:rFonts w:ascii="Times New Roman" w:hAnsi="Times New Roman" w:cs="Times New Roman"/>
          <w:color w:val="000000" w:themeColor="text1"/>
          <w:sz w:val="28"/>
          <w:szCs w:val="28"/>
          <w:lang w:val="lv-LV"/>
        </w:rPr>
        <w:t xml:space="preserve"> izjutīs COVID-19 krīzes sekas.</w:t>
      </w:r>
    </w:p>
    <w:p w14:paraId="22EBC5D8" w14:textId="0E992FD9" w:rsidR="00F35B5D" w:rsidRDefault="00F35B5D" w:rsidP="00F35B5D">
      <w:pPr>
        <w:pStyle w:val="CommentText"/>
        <w:spacing w:after="0"/>
        <w:ind w:firstLine="567"/>
        <w:jc w:val="both"/>
        <w:rPr>
          <w:rFonts w:ascii="Times New Roman" w:hAnsi="Times New Roman" w:cs="Times New Roman"/>
          <w:sz w:val="28"/>
          <w:szCs w:val="28"/>
          <w:lang w:val="lv-LV"/>
        </w:rPr>
      </w:pPr>
      <w:r w:rsidRPr="00752833">
        <w:rPr>
          <w:rFonts w:ascii="Times New Roman" w:hAnsi="Times New Roman" w:cs="Times New Roman"/>
          <w:color w:val="000000" w:themeColor="text1"/>
          <w:sz w:val="28"/>
          <w:szCs w:val="28"/>
          <w:lang w:val="lv-LV"/>
        </w:rPr>
        <w:lastRenderedPageBreak/>
        <w:t>Vadoties pēc līdzšinējā atbalsta ietvaros gūtās pieredzes, nākamajā Eiropas Savienības struktūrfondu plānošanas periodā būtu</w:t>
      </w:r>
      <w:r w:rsidRPr="00752833">
        <w:rPr>
          <w:rFonts w:ascii="Times New Roman" w:hAnsi="Times New Roman" w:cs="Times New Roman"/>
          <w:sz w:val="28"/>
          <w:szCs w:val="28"/>
          <w:lang w:val="lv-LV"/>
        </w:rPr>
        <w:t xml:space="preserve"> jāvērtē iespējas NEET jauniešiem sniegt plašāku atbalstu, paredzot finansējumu ārstniecības speciālistu pakalpojumu apmaksai, plašākai nevalstisko organizāciju iesaistei, mobilo speciālistu atbalsta grupu izveidei, speciālistu pieredzes apmaiņas pasākumiem un iniciatīvas publicitātei. Tāpat jāpilnveido pasākumi, kas sekmē un atbalsta jauniešu atgrieš</w:t>
      </w:r>
      <w:r w:rsidR="00563042">
        <w:rPr>
          <w:rFonts w:ascii="Times New Roman" w:hAnsi="Times New Roman" w:cs="Times New Roman"/>
          <w:sz w:val="28"/>
          <w:szCs w:val="28"/>
          <w:lang w:val="lv-LV"/>
        </w:rPr>
        <w:t>anos izglītībā.</w:t>
      </w:r>
    </w:p>
    <w:p w14:paraId="7DED2B0B" w14:textId="77777777" w:rsidR="00563042" w:rsidRPr="00752833" w:rsidRDefault="00563042" w:rsidP="00F35B5D">
      <w:pPr>
        <w:pStyle w:val="CommentText"/>
        <w:spacing w:after="0"/>
        <w:ind w:firstLine="567"/>
        <w:jc w:val="both"/>
        <w:rPr>
          <w:rFonts w:ascii="Times New Roman" w:hAnsi="Times New Roman" w:cs="Times New Roman"/>
          <w:sz w:val="28"/>
          <w:szCs w:val="28"/>
          <w:lang w:val="lv-LV"/>
        </w:rPr>
      </w:pPr>
    </w:p>
    <w:p w14:paraId="22EBC5D9" w14:textId="77777777" w:rsidR="00F35B5D" w:rsidRDefault="00F35B5D" w:rsidP="00F35B5D">
      <w:pPr>
        <w:contextualSpacing/>
        <w:jc w:val="center"/>
        <w:rPr>
          <w:rFonts w:ascii="Times New Roman" w:hAnsi="Times New Roman" w:cs="Times New Roman"/>
          <w:b/>
          <w:color w:val="000000" w:themeColor="text1"/>
          <w:sz w:val="28"/>
          <w:szCs w:val="28"/>
          <w:lang w:val="lv-LV"/>
        </w:rPr>
      </w:pPr>
      <w:r w:rsidRPr="00752833">
        <w:rPr>
          <w:rFonts w:ascii="Times New Roman" w:hAnsi="Times New Roman" w:cs="Times New Roman"/>
          <w:b/>
          <w:color w:val="000000" w:themeColor="text1"/>
          <w:sz w:val="28"/>
          <w:szCs w:val="28"/>
          <w:lang w:val="lv-LV"/>
        </w:rPr>
        <w:t>3.1. Ilgstošāks mentora atbalsts</w:t>
      </w:r>
    </w:p>
    <w:p w14:paraId="22EBC5DB" w14:textId="1C7E2429" w:rsidR="00F35B5D" w:rsidRPr="00752833" w:rsidRDefault="00F35B5D" w:rsidP="00F35B5D">
      <w:pPr>
        <w:ind w:firstLine="720"/>
        <w:contextualSpacing/>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Pašlaik projekta „PROTI un DARI!” ietvaros mentora atbalsts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tiek nodrošināts tikai </w:t>
      </w:r>
      <w:r w:rsidR="000D43E7">
        <w:rPr>
          <w:rFonts w:ascii="Times New Roman" w:hAnsi="Times New Roman" w:cs="Times New Roman"/>
          <w:color w:val="000000" w:themeColor="text1"/>
          <w:sz w:val="28"/>
          <w:szCs w:val="28"/>
          <w:lang w:val="lv-LV"/>
        </w:rPr>
        <w:t xml:space="preserve">individuālās pasākumu programmas (turpmāk – IPP) </w:t>
      </w:r>
      <w:r w:rsidRPr="00752833">
        <w:rPr>
          <w:rFonts w:ascii="Times New Roman" w:hAnsi="Times New Roman" w:cs="Times New Roman"/>
          <w:color w:val="000000" w:themeColor="text1"/>
          <w:sz w:val="28"/>
          <w:szCs w:val="28"/>
          <w:lang w:val="lv-LV"/>
        </w:rPr>
        <w:t>laikā – katru mēnesi ne mazāk kā 20 stundu apmērā. Noslēdzoties IPP, turpmāks mentora atbalsts jauniešiem netiek apmaksāts</w:t>
      </w:r>
      <w:r w:rsidRPr="00752833">
        <w:rPr>
          <w:rFonts w:ascii="Times New Roman" w:hAnsi="Times New Roman" w:cs="Times New Roman"/>
          <w:sz w:val="28"/>
          <w:szCs w:val="28"/>
          <w:vertAlign w:val="superscript"/>
          <w:lang w:val="lv-LV"/>
        </w:rPr>
        <w:footnoteReference w:id="15"/>
      </w:r>
      <w:r w:rsidRPr="00752833">
        <w:rPr>
          <w:rFonts w:ascii="Times New Roman" w:hAnsi="Times New Roman" w:cs="Times New Roman"/>
          <w:color w:val="000000" w:themeColor="text1"/>
          <w:sz w:val="28"/>
          <w:szCs w:val="28"/>
          <w:lang w:val="lv-LV"/>
        </w:rPr>
        <w:t xml:space="preserve"> un mentora sadarbība ar</w:t>
      </w:r>
      <w:r>
        <w:rPr>
          <w:rFonts w:ascii="Times New Roman" w:hAnsi="Times New Roman" w:cs="Times New Roman"/>
          <w:color w:val="000000" w:themeColor="text1"/>
          <w:sz w:val="28"/>
          <w:szCs w:val="28"/>
          <w:lang w:val="lv-LV"/>
        </w:rPr>
        <w:t xml:space="preserve"> NEET</w:t>
      </w:r>
      <w:r w:rsidRPr="00752833">
        <w:rPr>
          <w:rFonts w:ascii="Times New Roman" w:hAnsi="Times New Roman" w:cs="Times New Roman"/>
          <w:color w:val="000000" w:themeColor="text1"/>
          <w:sz w:val="28"/>
          <w:szCs w:val="28"/>
          <w:lang w:val="lv-LV"/>
        </w:rPr>
        <w:t xml:space="preserve"> jaunieti ir noslēgusies. Sākotnēji tika plānots, ka īslaicīgi intensificēts un terminēts mentorings būs pietiekams rezultāta sasniegšanai un jaunieša atgriešanai izglītībā vai iesaistei nodarbinātībā. Tomēr projekta īstenošanas pieredze un līdzšinējās atgriezeniskās saites rezultāti liecina, ka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jauniešiem, lai saglabātu vai nostiprinātu sasniegto rezultātu, kā arī, lai veicinātu sekmīgāku jaunieša iekļaušanos un adaptāciju pārmaiņu apstākļos konkrētajā darba vietā vai konkrētā izglītības iestādē, mentora atbalsts ir nepieciešams vismaz pārbaudes laikā, uzsākot darba attiecības vai adaptācijas periodā, atgriežoties formālās izglītības sistēmā. Analizējot ārvalstu pieredzi par mentoringu programmās sociālās atstumtības riskam pakļautajiem jauniešiem</w:t>
      </w:r>
      <w:r w:rsidRPr="00752833">
        <w:rPr>
          <w:rFonts w:ascii="Times New Roman" w:hAnsi="Times New Roman" w:cs="Times New Roman"/>
          <w:sz w:val="28"/>
          <w:szCs w:val="28"/>
          <w:vertAlign w:val="superscript"/>
          <w:lang w:val="lv-LV"/>
        </w:rPr>
        <w:footnoteReference w:id="16"/>
      </w:r>
      <w:r w:rsidRPr="00752833">
        <w:rPr>
          <w:rFonts w:ascii="Times New Roman" w:hAnsi="Times New Roman" w:cs="Times New Roman"/>
          <w:color w:val="000000" w:themeColor="text1"/>
          <w:sz w:val="28"/>
          <w:szCs w:val="28"/>
          <w:lang w:val="lv-LV"/>
        </w:rPr>
        <w:t>, konstatējams, ka ne tikai mentora atbalsta intensitāte un kvalitāte, bet arī ilglaicīgums un pēctecība ir būtiski faktori, kas nodrošina NEET jauniešu sekmīgu iesaisti izglītībā un nodarbinātībā, tādējādi mazinot atkārtotas mācību pārtraukšanas riskus, darba zaudēšanas riskus vai deviatīvu uzvedību un atkārtotu nonākšanu NEET situācijā.</w:t>
      </w:r>
    </w:p>
    <w:p w14:paraId="22EBC5DC" w14:textId="77777777" w:rsidR="00F35B5D" w:rsidRPr="00752833" w:rsidRDefault="00F35B5D" w:rsidP="00F35B5D">
      <w:pPr>
        <w:contextualSpacing/>
        <w:jc w:val="both"/>
        <w:rPr>
          <w:rFonts w:ascii="Times New Roman" w:hAnsi="Times New Roman" w:cs="Times New Roman"/>
          <w:color w:val="000000" w:themeColor="text1"/>
          <w:sz w:val="28"/>
          <w:szCs w:val="28"/>
          <w:u w:val="single"/>
          <w:lang w:val="lv-LV"/>
        </w:rPr>
      </w:pPr>
    </w:p>
    <w:p w14:paraId="22EBC5DD" w14:textId="77777777" w:rsidR="00F35B5D" w:rsidRDefault="00F35B5D" w:rsidP="00F35B5D">
      <w:pPr>
        <w:contextualSpacing/>
        <w:jc w:val="center"/>
        <w:rPr>
          <w:rFonts w:ascii="Times New Roman" w:hAnsi="Times New Roman" w:cs="Times New Roman"/>
          <w:b/>
          <w:color w:val="000000" w:themeColor="text1"/>
          <w:sz w:val="28"/>
          <w:szCs w:val="28"/>
          <w:lang w:val="lv-LV"/>
        </w:rPr>
      </w:pPr>
      <w:r w:rsidRPr="00752833">
        <w:rPr>
          <w:rFonts w:ascii="Times New Roman" w:hAnsi="Times New Roman" w:cs="Times New Roman"/>
          <w:b/>
          <w:color w:val="000000" w:themeColor="text1"/>
          <w:sz w:val="28"/>
          <w:szCs w:val="28"/>
          <w:lang w:val="lv-LV"/>
        </w:rPr>
        <w:t>3.2. Plašāka nevalstisko organizāciju iesaiste</w:t>
      </w:r>
    </w:p>
    <w:p w14:paraId="22EBC5DF" w14:textId="373056BF" w:rsidR="00F35B5D" w:rsidRPr="00752833" w:rsidRDefault="00F35B5D" w:rsidP="00F35B5D">
      <w:pPr>
        <w:ind w:firstLine="720"/>
        <w:contextualSpacing/>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Turpinot atbalsta sniegšanu NEET jauniešiem, jāvērtē iespējas paplašināt sadarbības partneru loku, radot iespējas nevalstisko organizāciju (turpmāk – NVO) </w:t>
      </w:r>
      <w:r w:rsidR="000D43E7">
        <w:rPr>
          <w:rFonts w:ascii="Times New Roman" w:hAnsi="Times New Roman" w:cs="Times New Roman"/>
          <w:color w:val="000000" w:themeColor="text1"/>
          <w:sz w:val="28"/>
          <w:szCs w:val="28"/>
          <w:lang w:val="lv-LV"/>
        </w:rPr>
        <w:t xml:space="preserve">plašākai </w:t>
      </w:r>
      <w:r w:rsidRPr="00752833">
        <w:rPr>
          <w:rFonts w:ascii="Times New Roman" w:hAnsi="Times New Roman" w:cs="Times New Roman"/>
          <w:color w:val="000000" w:themeColor="text1"/>
          <w:sz w:val="28"/>
          <w:szCs w:val="28"/>
          <w:lang w:val="lv-LV"/>
        </w:rPr>
        <w:t xml:space="preserve">iesaistei NEET jauniešu atbalsta pasākumos. NEET jaunieši iesaiste NVO </w:t>
      </w:r>
      <w:r w:rsidRPr="00752833">
        <w:rPr>
          <w:rFonts w:ascii="Times New Roman" w:hAnsi="Times New Roman" w:cs="Times New Roman"/>
          <w:color w:val="000000" w:themeColor="text1"/>
          <w:sz w:val="28"/>
          <w:szCs w:val="28"/>
          <w:lang w:val="lv-LV"/>
        </w:rPr>
        <w:lastRenderedPageBreak/>
        <w:t>darbībā var sniegt NEET jauniešiem pirmo darba pieredzi, kas turpmāk var kalpot par pamatu ne tikai sekmīgai iesaistei darba tirgū, bet arī sniegt ieskatu dažādu profesiju specifikā, palīdzot jaunietim pieņemt lēmumu par savas karjeras tālāku attīstību.</w:t>
      </w:r>
    </w:p>
    <w:p w14:paraId="22EBC5E0" w14:textId="77777777" w:rsidR="009958E1" w:rsidRDefault="009958E1" w:rsidP="00F35B5D">
      <w:pPr>
        <w:contextualSpacing/>
        <w:jc w:val="center"/>
        <w:rPr>
          <w:rFonts w:ascii="Times New Roman" w:hAnsi="Times New Roman" w:cs="Times New Roman"/>
          <w:b/>
          <w:color w:val="000000" w:themeColor="text1"/>
          <w:sz w:val="28"/>
          <w:szCs w:val="28"/>
          <w:lang w:val="lv-LV"/>
        </w:rPr>
      </w:pPr>
    </w:p>
    <w:p w14:paraId="22EBC5E1" w14:textId="77777777" w:rsidR="00F35B5D" w:rsidRPr="00752833" w:rsidRDefault="009958E1" w:rsidP="00F35B5D">
      <w:pPr>
        <w:contextualSpacing/>
        <w:jc w:val="center"/>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t>3</w:t>
      </w:r>
      <w:r w:rsidR="00F35B5D" w:rsidRPr="00752833">
        <w:rPr>
          <w:rFonts w:ascii="Times New Roman" w:hAnsi="Times New Roman" w:cs="Times New Roman"/>
          <w:b/>
          <w:color w:val="000000" w:themeColor="text1"/>
          <w:sz w:val="28"/>
          <w:szCs w:val="28"/>
          <w:lang w:val="lv-LV"/>
        </w:rPr>
        <w:t>.3. Plašāki pieredzes apmaiņas pasākumi un projektā</w:t>
      </w:r>
    </w:p>
    <w:p w14:paraId="45B56A4D" w14:textId="5BBBDFE4" w:rsidR="00417FDE" w:rsidRDefault="00F35B5D" w:rsidP="00417FDE">
      <w:pPr>
        <w:contextualSpacing/>
        <w:jc w:val="center"/>
        <w:rPr>
          <w:rFonts w:ascii="Times New Roman" w:hAnsi="Times New Roman" w:cs="Times New Roman"/>
          <w:b/>
          <w:color w:val="000000" w:themeColor="text1"/>
          <w:sz w:val="28"/>
          <w:szCs w:val="28"/>
          <w:lang w:val="lv-LV"/>
        </w:rPr>
      </w:pPr>
      <w:r w:rsidRPr="00752833">
        <w:rPr>
          <w:rFonts w:ascii="Times New Roman" w:hAnsi="Times New Roman" w:cs="Times New Roman"/>
          <w:b/>
          <w:color w:val="000000" w:themeColor="text1"/>
          <w:sz w:val="28"/>
          <w:szCs w:val="28"/>
          <w:lang w:val="lv-LV"/>
        </w:rPr>
        <w:t xml:space="preserve"> iesaistīto speciālistu mācību iespējas, publicitāte</w:t>
      </w:r>
    </w:p>
    <w:p w14:paraId="22EBC5E4" w14:textId="77777777" w:rsidR="00F35B5D" w:rsidRPr="00752833" w:rsidRDefault="00F35B5D" w:rsidP="00F35B5D">
      <w:pPr>
        <w:ind w:firstLine="720"/>
        <w:contextualSpacing/>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Turpmākā atbalsta sniegšanas periodā nepieciešams nodrošināt iespēju pašvaldībām pieredzes pārņemšanas nolūkā, izmantojot projekta finansējumu, apmeklēt citas pašvaldības, daloties pieredzē par darbu ar NEET jauniešiem, un nodrošināt iespēju organizēt vebinārus par specifiskām tēmām, iesaistot attiecīgās jomas speciāl</w:t>
      </w:r>
      <w:r>
        <w:rPr>
          <w:rFonts w:ascii="Times New Roman" w:hAnsi="Times New Roman" w:cs="Times New Roman"/>
          <w:color w:val="000000" w:themeColor="text1"/>
          <w:sz w:val="28"/>
          <w:szCs w:val="28"/>
          <w:lang w:val="lv-LV"/>
        </w:rPr>
        <w:t>ist</w:t>
      </w:r>
      <w:r w:rsidRPr="00752833">
        <w:rPr>
          <w:rFonts w:ascii="Times New Roman" w:hAnsi="Times New Roman" w:cs="Times New Roman"/>
          <w:color w:val="000000" w:themeColor="text1"/>
          <w:sz w:val="28"/>
          <w:szCs w:val="28"/>
          <w:lang w:val="lv-LV"/>
        </w:rPr>
        <w:t>us.</w:t>
      </w:r>
      <w:r>
        <w:rPr>
          <w:rFonts w:ascii="Times New Roman" w:hAnsi="Times New Roman" w:cs="Times New Roman"/>
          <w:color w:val="000000" w:themeColor="text1"/>
          <w:sz w:val="28"/>
          <w:szCs w:val="28"/>
          <w:lang w:val="lv-LV"/>
        </w:rPr>
        <w:t xml:space="preserve"> Šāda pieeja nodrošinātu vienotas izpratnes veidošanos par NEET jauniešu problemātiku –gan nacionālajā, gan vietējā līmenī.</w:t>
      </w:r>
    </w:p>
    <w:p w14:paraId="22EBC5E5" w14:textId="77777777" w:rsidR="00F35B5D" w:rsidRPr="00213D7B" w:rsidRDefault="00F35B5D" w:rsidP="00F35B5D">
      <w:pPr>
        <w:ind w:firstLine="720"/>
        <w:contextualSpacing/>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Projekta „PROTI un DARI!” mērķa grupa nereti ir grūti sasniedzama, tāpēc publicitātes pasākumi nākotnē jāvērš uz personalizētu vēršanos pie NEET jauniešiem, lai primāri tā būtu mērķēta uz jauniešu iesaisti projektā, mazāk pievēršoties vispārējās publicitātes pasākumiem.</w:t>
      </w:r>
      <w:r>
        <w:rPr>
          <w:rFonts w:ascii="Times New Roman" w:hAnsi="Times New Roman" w:cs="Times New Roman"/>
          <w:color w:val="000000" w:themeColor="text1"/>
          <w:sz w:val="28"/>
          <w:szCs w:val="28"/>
          <w:lang w:val="lv-LV"/>
        </w:rPr>
        <w:t xml:space="preserve"> </w:t>
      </w:r>
      <w:r w:rsidRPr="00213D7B">
        <w:rPr>
          <w:rFonts w:ascii="Times New Roman" w:hAnsi="Times New Roman" w:cs="Times New Roman"/>
          <w:color w:val="000000" w:themeColor="text1"/>
          <w:sz w:val="28"/>
          <w:szCs w:val="28"/>
          <w:lang w:val="lv-LV"/>
        </w:rPr>
        <w:t>Ar mērķi sasniegt pēc iespējas vairāk NEET jauniešus, nepieciešama projekta logo izveide, video reklāmas un citu publicitātes materiālu izveide un izplatīšana. Projekta publicitātes pasākumi veicinātu projekta atpazīstamību un popularitāti NEET jauniešu tuvākās sabiedrības vidū, kas var būt galvenais jauniešu iesaistes spēks projektā, īpaši jauniešu ar ierobežotām iespējām gadījumā.</w:t>
      </w:r>
    </w:p>
    <w:p w14:paraId="22EBC5E6" w14:textId="77777777" w:rsidR="00F35B5D" w:rsidRPr="00752833" w:rsidRDefault="00F35B5D" w:rsidP="00F35B5D">
      <w:pPr>
        <w:contextualSpacing/>
        <w:jc w:val="both"/>
        <w:rPr>
          <w:rFonts w:ascii="Times New Roman" w:hAnsi="Times New Roman" w:cs="Times New Roman"/>
          <w:color w:val="000000" w:themeColor="text1"/>
          <w:sz w:val="28"/>
          <w:szCs w:val="28"/>
          <w:u w:val="single"/>
          <w:lang w:val="lv-LV"/>
        </w:rPr>
      </w:pPr>
    </w:p>
    <w:p w14:paraId="22EBC5E7" w14:textId="77777777" w:rsidR="00F35B5D" w:rsidRDefault="00F35B5D" w:rsidP="00F35B5D">
      <w:pPr>
        <w:jc w:val="center"/>
        <w:rPr>
          <w:rFonts w:ascii="Times New Roman" w:hAnsi="Times New Roman" w:cs="Times New Roman"/>
          <w:b/>
          <w:color w:val="000000" w:themeColor="text1"/>
          <w:sz w:val="28"/>
          <w:szCs w:val="28"/>
          <w:lang w:val="lv-LV"/>
        </w:rPr>
      </w:pPr>
      <w:r w:rsidRPr="00752833">
        <w:rPr>
          <w:rFonts w:ascii="Times New Roman" w:hAnsi="Times New Roman" w:cs="Times New Roman"/>
          <w:b/>
          <w:color w:val="000000" w:themeColor="text1"/>
          <w:sz w:val="28"/>
          <w:szCs w:val="28"/>
          <w:lang w:val="lv-LV"/>
        </w:rPr>
        <w:t>3.5. Pašvaldību administratīvo izmaksu segšana</w:t>
      </w:r>
    </w:p>
    <w:p w14:paraId="22EBC5E9" w14:textId="20EC5C48" w:rsidR="00F35B5D" w:rsidRPr="00752833" w:rsidRDefault="00F35B5D" w:rsidP="00F35B5D">
      <w:pPr>
        <w:ind w:firstLine="720"/>
        <w:jc w:val="both"/>
        <w:rPr>
          <w:rFonts w:ascii="Times New Roman" w:hAnsi="Times New Roman" w:cs="Times New Roman"/>
          <w:color w:val="000000" w:themeColor="text1"/>
          <w:sz w:val="28"/>
          <w:szCs w:val="28"/>
          <w:u w:val="single"/>
          <w:lang w:val="lv-LV"/>
        </w:rPr>
      </w:pPr>
      <w:r w:rsidRPr="00752833">
        <w:rPr>
          <w:rFonts w:ascii="Times New Roman" w:hAnsi="Times New Roman" w:cs="Times New Roman"/>
          <w:color w:val="000000" w:themeColor="text1"/>
          <w:sz w:val="28"/>
          <w:szCs w:val="28"/>
          <w:lang w:val="lv-LV"/>
        </w:rPr>
        <w:t>Pašreizējie projekta „PROTI un DARI</w:t>
      </w:r>
      <w:r>
        <w:rPr>
          <w:rFonts w:ascii="Times New Roman" w:hAnsi="Times New Roman" w:cs="Times New Roman"/>
          <w:color w:val="000000" w:themeColor="text1"/>
          <w:sz w:val="28"/>
          <w:szCs w:val="28"/>
          <w:lang w:val="lv-LV"/>
        </w:rPr>
        <w:t>!</w:t>
      </w:r>
      <w:r w:rsidRPr="00752833">
        <w:rPr>
          <w:rFonts w:ascii="Times New Roman" w:hAnsi="Times New Roman" w:cs="Times New Roman"/>
          <w:color w:val="000000" w:themeColor="text1"/>
          <w:sz w:val="28"/>
          <w:szCs w:val="28"/>
          <w:lang w:val="lv-LV"/>
        </w:rPr>
        <w:t>” ieviešanas nosacījumi paredz, ka JSPA piešķirto finansējumu pašvaldības ir tiesīgas izmantot tikai izdevumu, kas saistīti ar tieša atbalsta sniegšanu NEET jauniešiem</w:t>
      </w:r>
      <w:r w:rsidR="003E12A7">
        <w:rPr>
          <w:rFonts w:ascii="Times New Roman" w:hAnsi="Times New Roman" w:cs="Times New Roman"/>
          <w:color w:val="000000" w:themeColor="text1"/>
          <w:sz w:val="28"/>
          <w:szCs w:val="28"/>
          <w:lang w:val="lv-LV"/>
        </w:rPr>
        <w:t xml:space="preserve">, </w:t>
      </w:r>
      <w:r w:rsidR="003E12A7" w:rsidRPr="0011272D">
        <w:rPr>
          <w:rFonts w:ascii="Times New Roman" w:hAnsi="Times New Roman" w:cs="Times New Roman"/>
          <w:color w:val="000000" w:themeColor="text1"/>
          <w:sz w:val="28"/>
          <w:szCs w:val="28"/>
          <w:lang w:val="lv-LV"/>
        </w:rPr>
        <w:t>segšanai</w:t>
      </w:r>
      <w:r w:rsidRPr="0011272D">
        <w:rPr>
          <w:rFonts w:ascii="Times New Roman" w:hAnsi="Times New Roman" w:cs="Times New Roman"/>
          <w:color w:val="000000" w:themeColor="text1"/>
          <w:sz w:val="28"/>
          <w:szCs w:val="28"/>
          <w:lang w:val="lv-LV"/>
        </w:rPr>
        <w:t>. Šādā</w:t>
      </w:r>
      <w:r w:rsidRPr="00752833">
        <w:rPr>
          <w:rFonts w:ascii="Times New Roman" w:hAnsi="Times New Roman" w:cs="Times New Roman"/>
          <w:color w:val="000000" w:themeColor="text1"/>
          <w:sz w:val="28"/>
          <w:szCs w:val="28"/>
          <w:lang w:val="lv-LV"/>
        </w:rPr>
        <w:t xml:space="preserve"> situācijā pašvaldību radušos izdevumus, kas ir saistīti ar projekta ieviešanu (piemēram, administratīvā personāla (grāmatvežu, juristu, projekta vadītāju utt.) atalgojuma izmaksas, kancelejas preču izmaksas, telpu nomas izmaksas utt.) pašvaldības sedz no saviem līdzekļiem. Nākamajā periodā nepieciešams noteikt izdevumu daļu, kas pašvaldībām sniegtu iespēju segt ar projekta ieviešanu saistītos administratīvos izdevumus.</w:t>
      </w:r>
    </w:p>
    <w:p w14:paraId="22EBC5EA" w14:textId="77777777" w:rsidR="009958E1" w:rsidRPr="00752833" w:rsidRDefault="009958E1" w:rsidP="00F35B5D">
      <w:pPr>
        <w:spacing w:after="0" w:line="240" w:lineRule="auto"/>
        <w:jc w:val="both"/>
        <w:rPr>
          <w:rFonts w:ascii="Times New Roman" w:hAnsi="Times New Roman" w:cs="Times New Roman"/>
          <w:color w:val="000000" w:themeColor="text1"/>
          <w:sz w:val="28"/>
          <w:szCs w:val="28"/>
          <w:lang w:val="lv-LV"/>
        </w:rPr>
      </w:pPr>
    </w:p>
    <w:p w14:paraId="5820C063" w14:textId="7B818621" w:rsidR="008C2A08" w:rsidRDefault="00F35B5D" w:rsidP="008C2A08">
      <w:pPr>
        <w:spacing w:after="0"/>
        <w:jc w:val="center"/>
        <w:rPr>
          <w:rFonts w:ascii="Times New Roman" w:hAnsi="Times New Roman" w:cs="Times New Roman"/>
          <w:b/>
          <w:bCs/>
          <w:color w:val="000000" w:themeColor="text1"/>
          <w:sz w:val="28"/>
          <w:szCs w:val="28"/>
          <w:lang w:val="lv-LV"/>
        </w:rPr>
      </w:pPr>
      <w:r w:rsidRPr="00752833">
        <w:rPr>
          <w:rFonts w:ascii="Times New Roman" w:hAnsi="Times New Roman" w:cs="Times New Roman"/>
          <w:b/>
          <w:color w:val="000000" w:themeColor="text1"/>
          <w:sz w:val="28"/>
          <w:szCs w:val="28"/>
          <w:lang w:val="lv-LV"/>
        </w:rPr>
        <w:t xml:space="preserve">3.6. Jauniešu </w:t>
      </w:r>
      <w:r w:rsidRPr="00752833">
        <w:rPr>
          <w:rFonts w:ascii="Times New Roman" w:hAnsi="Times New Roman" w:cs="Times New Roman"/>
          <w:b/>
          <w:bCs/>
          <w:color w:val="000000" w:themeColor="text1"/>
          <w:sz w:val="28"/>
          <w:szCs w:val="28"/>
          <w:lang w:val="lv-LV"/>
        </w:rPr>
        <w:t>atbalsta sistēmas pilnveidošana valsts līmenī</w:t>
      </w:r>
    </w:p>
    <w:p w14:paraId="22EBC5ED" w14:textId="77777777" w:rsidR="00F35B5D" w:rsidRPr="00752833" w:rsidRDefault="00F35B5D" w:rsidP="00F35B5D">
      <w:pPr>
        <w:ind w:firstLine="720"/>
        <w:jc w:val="both"/>
        <w:rPr>
          <w:rFonts w:ascii="Times New Roman" w:hAnsi="Times New Roman" w:cs="Times New Roman"/>
          <w:color w:val="000000" w:themeColor="text1"/>
          <w:sz w:val="28"/>
          <w:szCs w:val="28"/>
          <w:lang w:val="lv-LV"/>
        </w:rPr>
      </w:pPr>
      <w:r w:rsidRPr="00213D7B">
        <w:rPr>
          <w:rFonts w:ascii="Times New Roman" w:hAnsi="Times New Roman" w:cs="Times New Roman"/>
          <w:color w:val="000000" w:themeColor="text1"/>
          <w:sz w:val="28"/>
          <w:szCs w:val="28"/>
          <w:lang w:val="lv-LV"/>
        </w:rPr>
        <w:t>Projekta īstenošanas laikā ir pierādījies, ka sekmīgam darbam ar NEET jauniešu atgriešanu dažādos sociālajos procesos</w:t>
      </w:r>
      <w:r>
        <w:rPr>
          <w:rFonts w:ascii="Times New Roman" w:hAnsi="Times New Roman" w:cs="Times New Roman"/>
          <w:color w:val="000000" w:themeColor="text1"/>
          <w:sz w:val="28"/>
          <w:szCs w:val="28"/>
          <w:lang w:val="lv-LV"/>
        </w:rPr>
        <w:t>. Ir n</w:t>
      </w:r>
      <w:r w:rsidRPr="00752833">
        <w:rPr>
          <w:rFonts w:ascii="Times New Roman" w:hAnsi="Times New Roman" w:cs="Times New Roman"/>
          <w:color w:val="000000" w:themeColor="text1"/>
          <w:sz w:val="28"/>
          <w:szCs w:val="28"/>
          <w:lang w:val="lv-LV"/>
        </w:rPr>
        <w:t xml:space="preserve">epieciešams integrēts atbalsta </w:t>
      </w:r>
      <w:r w:rsidRPr="00752833">
        <w:rPr>
          <w:rFonts w:ascii="Times New Roman" w:hAnsi="Times New Roman" w:cs="Times New Roman"/>
          <w:color w:val="000000" w:themeColor="text1"/>
          <w:sz w:val="28"/>
          <w:szCs w:val="28"/>
          <w:lang w:val="lv-LV"/>
        </w:rPr>
        <w:lastRenderedPageBreak/>
        <w:t xml:space="preserve">pasākumu kopums, tostarp veselības aprūpes jomas pakalpojumi, sevišķi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ar speciālām vajadzībām, jauniešiem ar atkarības problēmām un jauniešiem ar veselības traucējumiem. </w:t>
      </w:r>
    </w:p>
    <w:p w14:paraId="22EBC5EE" w14:textId="77777777" w:rsidR="00F35B5D" w:rsidRPr="00752833" w:rsidRDefault="00F35B5D" w:rsidP="00F35B5D">
      <w:pPr>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Izveidojot indivīda vajadzībās balstītu un integrētu atbalsta kopumu, attīstot arī darbu ar indivīda mikrovidi un tuviniekiem, būtu iespējama kompleksa sistēmiska sociālā atbalsta sniegšana starpinstitucionālas sadarbības rezultātā: </w:t>
      </w:r>
    </w:p>
    <w:p w14:paraId="22EBC5EF" w14:textId="77777777" w:rsidR="00F35B5D" w:rsidRPr="00752833" w:rsidRDefault="00F35B5D" w:rsidP="000D43E7">
      <w:pPr>
        <w:spacing w:after="120"/>
        <w:ind w:left="720"/>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1) </w:t>
      </w:r>
      <w:r>
        <w:rPr>
          <w:rFonts w:ascii="Times New Roman" w:hAnsi="Times New Roman" w:cs="Times New Roman"/>
          <w:color w:val="000000" w:themeColor="text1"/>
          <w:sz w:val="28"/>
          <w:szCs w:val="28"/>
          <w:lang w:val="lv-LV"/>
        </w:rPr>
        <w:t xml:space="preserve">vienas pieturas punkti - </w:t>
      </w:r>
      <w:r w:rsidRPr="00752833">
        <w:rPr>
          <w:rFonts w:ascii="Times New Roman" w:hAnsi="Times New Roman" w:cs="Times New Roman"/>
          <w:color w:val="000000" w:themeColor="text1"/>
          <w:sz w:val="28"/>
          <w:szCs w:val="28"/>
          <w:lang w:val="lv-LV"/>
        </w:rPr>
        <w:t>atbalsta centri, kur jaunieši var saņemt informāciju par visiem viņiem pieejamajiem atbalsta veidiem;</w:t>
      </w:r>
    </w:p>
    <w:p w14:paraId="22EBC5F0" w14:textId="77777777" w:rsidR="00F35B5D" w:rsidRPr="00752833" w:rsidRDefault="00F35B5D" w:rsidP="000D43E7">
      <w:pPr>
        <w:spacing w:after="120"/>
        <w:ind w:left="720"/>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2) diversificēta atbalsta sistēma un virtuāla datu bāze par atbalsta iespējām NEET jauniešiem (resursu karte), ko varētu izmantot jebkurš </w:t>
      </w:r>
      <w:r>
        <w:rPr>
          <w:rFonts w:ascii="Times New Roman" w:hAnsi="Times New Roman" w:cs="Times New Roman"/>
          <w:color w:val="000000" w:themeColor="text1"/>
          <w:sz w:val="28"/>
          <w:szCs w:val="28"/>
          <w:lang w:val="lv-LV"/>
        </w:rPr>
        <w:t xml:space="preserve">darbā ar jaunatni iesaistītais </w:t>
      </w:r>
      <w:r w:rsidRPr="00752833">
        <w:rPr>
          <w:rFonts w:ascii="Times New Roman" w:hAnsi="Times New Roman" w:cs="Times New Roman"/>
          <w:color w:val="000000" w:themeColor="text1"/>
          <w:sz w:val="28"/>
          <w:szCs w:val="28"/>
          <w:lang w:val="lv-LV"/>
        </w:rPr>
        <w:t xml:space="preserve">speciālists; </w:t>
      </w:r>
    </w:p>
    <w:p w14:paraId="22EBC5F1" w14:textId="77777777" w:rsidR="00F35B5D" w:rsidRPr="00752833" w:rsidRDefault="00F35B5D" w:rsidP="000D43E7">
      <w:pPr>
        <w:spacing w:after="120" w:line="240" w:lineRule="auto"/>
        <w:ind w:left="720"/>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3) subsidēto darba vietu un prakšu sistēmas attīstība, lai jaunieši ar speciālām vajadzībām un augstu sociālo risku varētu attīstīt savas prasmes, gūtu darba pieredzi un iekļautos darba tirgū;</w:t>
      </w:r>
    </w:p>
    <w:p w14:paraId="22EBC5F2" w14:textId="77777777" w:rsidR="00F35B5D" w:rsidRPr="00752833" w:rsidRDefault="00F35B5D" w:rsidP="000D43E7">
      <w:pPr>
        <w:spacing w:after="120"/>
        <w:ind w:left="720"/>
        <w:contextualSpacing/>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4) n</w:t>
      </w:r>
      <w:r>
        <w:rPr>
          <w:rFonts w:ascii="Times New Roman" w:hAnsi="Times New Roman" w:cs="Times New Roman"/>
          <w:color w:val="000000" w:themeColor="text1"/>
          <w:sz w:val="28"/>
          <w:szCs w:val="28"/>
          <w:lang w:val="lv-LV"/>
        </w:rPr>
        <w:t xml:space="preserve">eformālās izglītības un darbā ar jaunatni rezultātā iegūto zināšanu un prasmju atzīšanas </w:t>
      </w:r>
      <w:r w:rsidRPr="00752833">
        <w:rPr>
          <w:rFonts w:ascii="Times New Roman" w:hAnsi="Times New Roman" w:cs="Times New Roman"/>
          <w:color w:val="000000" w:themeColor="text1"/>
          <w:sz w:val="28"/>
          <w:szCs w:val="28"/>
          <w:lang w:val="lv-LV"/>
        </w:rPr>
        <w:t>sistēmas izveide</w:t>
      </w:r>
      <w:r>
        <w:rPr>
          <w:rFonts w:ascii="Times New Roman" w:hAnsi="Times New Roman" w:cs="Times New Roman"/>
          <w:color w:val="000000" w:themeColor="text1"/>
          <w:sz w:val="28"/>
          <w:szCs w:val="28"/>
          <w:lang w:val="lv-LV"/>
        </w:rPr>
        <w:t>;</w:t>
      </w:r>
    </w:p>
    <w:p w14:paraId="22EBC5F3" w14:textId="77777777" w:rsidR="00F35B5D" w:rsidRPr="00752833" w:rsidRDefault="00F35B5D" w:rsidP="000D43E7">
      <w:pPr>
        <w:spacing w:after="120" w:line="240" w:lineRule="auto"/>
        <w:ind w:left="720"/>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5) pašvaldību līmenī noteikt darbu ar jauniešiem kā prioritāti un piešķirt attiecīgos resursus.</w:t>
      </w:r>
    </w:p>
    <w:p w14:paraId="22EBC5F4" w14:textId="4FB91BCD" w:rsidR="00F35B5D" w:rsidRPr="00752833" w:rsidRDefault="00F35B5D" w:rsidP="00F35B5D">
      <w:pPr>
        <w:ind w:firstLine="567"/>
        <w:jc w:val="both"/>
        <w:rPr>
          <w:rFonts w:ascii="Times New Roman" w:hAnsi="Times New Roman" w:cs="Times New Roman"/>
          <w:color w:val="000000" w:themeColor="text1"/>
          <w:sz w:val="28"/>
          <w:szCs w:val="28"/>
          <w:lang w:val="lv-LV"/>
        </w:rPr>
      </w:pPr>
      <w:r w:rsidRPr="00752833">
        <w:rPr>
          <w:rFonts w:ascii="Times New Roman" w:eastAsia="Times New Roman" w:hAnsi="Times New Roman" w:cs="Times New Roman"/>
          <w:sz w:val="28"/>
          <w:szCs w:val="28"/>
          <w:lang w:val="lv-LV"/>
        </w:rPr>
        <w:t xml:space="preserve">Darbs ar jaunatni visā Eiropas Savienībā noteikts kā viens no prioritātēm valstu attīstībai. Latvijā katrā pašvaldībā vai reģionā būtu nepieciešams kurators, kas uzraudzītu jaunatnes jomu. Šobrīd pašvaldību līmenī nav par jaunatni atbildīgo speciālistu, jo atbildība par jauniešiem ir sadalīta pa vairākām pašvaldību institūcijām, kas neveicina koordinētu, mērķtiecīgu darbu ar NEET jauniešiem, kam par pamatu tiek minēta finansējuma nepietiekamība. </w:t>
      </w:r>
      <w:r w:rsidRPr="00752833">
        <w:rPr>
          <w:rFonts w:ascii="Times New Roman" w:hAnsi="Times New Roman" w:cs="Times New Roman"/>
          <w:color w:val="000000" w:themeColor="text1"/>
          <w:sz w:val="28"/>
          <w:szCs w:val="28"/>
          <w:lang w:val="lv-LV"/>
        </w:rPr>
        <w:t xml:space="preserve">Līdzšinējā projekta aitā iegūtā pieredze </w:t>
      </w:r>
      <w:r w:rsidR="000D43E7">
        <w:rPr>
          <w:rFonts w:ascii="Times New Roman" w:hAnsi="Times New Roman" w:cs="Times New Roman"/>
          <w:color w:val="000000" w:themeColor="text1"/>
          <w:sz w:val="28"/>
          <w:szCs w:val="28"/>
          <w:lang w:val="lv-LV"/>
        </w:rPr>
        <w:t xml:space="preserve">arī </w:t>
      </w:r>
      <w:r w:rsidRPr="00752833">
        <w:rPr>
          <w:rFonts w:ascii="Times New Roman" w:hAnsi="Times New Roman" w:cs="Times New Roman"/>
          <w:color w:val="000000" w:themeColor="text1"/>
          <w:sz w:val="28"/>
          <w:szCs w:val="28"/>
          <w:lang w:val="lv-LV"/>
        </w:rPr>
        <w:t>rāda, ka darbs ar NEET jauniešiem būtu efektīvāks, ja līdztekus darbam ar jaunieti notiktu darbs arī ar jaunieša ģimeni.</w:t>
      </w:r>
    </w:p>
    <w:p w14:paraId="22EBC5F5" w14:textId="77777777" w:rsidR="00F35B5D" w:rsidRPr="00752833" w:rsidRDefault="00F35B5D" w:rsidP="00F35B5D">
      <w:pPr>
        <w:ind w:firstLine="567"/>
        <w:jc w:val="both"/>
        <w:rPr>
          <w:rFonts w:ascii="Times New Roman" w:eastAsia="Times New Roman" w:hAnsi="Times New Roman" w:cs="Times New Roman"/>
          <w:sz w:val="28"/>
          <w:szCs w:val="28"/>
          <w:lang w:val="lv-LV"/>
        </w:rPr>
      </w:pPr>
      <w:r w:rsidRPr="00752833">
        <w:rPr>
          <w:rFonts w:ascii="Times New Roman" w:eastAsia="Times New Roman" w:hAnsi="Times New Roman" w:cs="Times New Roman"/>
          <w:sz w:val="28"/>
          <w:szCs w:val="28"/>
          <w:lang w:val="lv-LV"/>
        </w:rPr>
        <w:t xml:space="preserve">Eiropas Savienības struktūrfondu plānošanas periodā 2021.-2027.gadam ir nepieciešams veidot vienotu integrētu un starpsektoriālu atbalsta platformu jauniešu NEET situācijā apzināšanā un uzrunāšanā, sistematizēt darbu ar jauniešiem NEET situācijā, t.i., iesaistīt pašvaldības, nevalstiskās organizācijas (t.sk. jauniešu organizācijas), kā arī citas institūcijas (piemēram, – valsts vai pašvaldības institūcijas, biedrības, nodibinājumus, jauniešu organizācijas, sociālos partnerus, uzņēmējus u.c.), izstrādāt vienotas vadlīnijas darbam ar šiem jauniešiem, veidojot kompleksu, efektīvu un mērķtiecīgu atbalsta pieeju, kas vērsta uz jauniešu NEET situācijā prasmju attīstību, kā arī apmācīt darbā ar jaunatni iesaistīto organizāciju </w:t>
      </w:r>
      <w:r w:rsidRPr="00752833">
        <w:rPr>
          <w:rFonts w:ascii="Times New Roman" w:eastAsia="Times New Roman" w:hAnsi="Times New Roman" w:cs="Times New Roman"/>
          <w:sz w:val="28"/>
          <w:szCs w:val="28"/>
          <w:lang w:val="lv-LV"/>
        </w:rPr>
        <w:lastRenderedPageBreak/>
        <w:t>pārstāvjus un speciālistus, lai nodrošinātu atbalstu saskaņā ar mērķa grupas profila specifiku pēc vienotas metodoloģijas un augstā kvalitātē.</w:t>
      </w:r>
      <w:bookmarkStart w:id="3" w:name="p23"/>
      <w:bookmarkStart w:id="4" w:name="p-696539"/>
      <w:bookmarkStart w:id="5" w:name="p24"/>
      <w:bookmarkStart w:id="6" w:name="p-633798"/>
      <w:bookmarkStart w:id="7" w:name="p13"/>
      <w:bookmarkStart w:id="8" w:name="p-559472"/>
      <w:bookmarkStart w:id="9" w:name="p14"/>
      <w:bookmarkStart w:id="10" w:name="p-559473"/>
      <w:bookmarkStart w:id="11" w:name="p15"/>
      <w:bookmarkStart w:id="12" w:name="p-559474"/>
      <w:bookmarkStart w:id="13" w:name="p16"/>
      <w:bookmarkStart w:id="14" w:name="p-559475"/>
      <w:bookmarkEnd w:id="3"/>
      <w:bookmarkEnd w:id="4"/>
      <w:bookmarkEnd w:id="5"/>
      <w:bookmarkEnd w:id="6"/>
      <w:bookmarkEnd w:id="7"/>
      <w:bookmarkEnd w:id="8"/>
      <w:bookmarkEnd w:id="9"/>
      <w:bookmarkEnd w:id="10"/>
      <w:bookmarkEnd w:id="11"/>
      <w:bookmarkEnd w:id="12"/>
      <w:bookmarkEnd w:id="13"/>
      <w:bookmarkEnd w:id="14"/>
    </w:p>
    <w:p w14:paraId="22EBC5F6" w14:textId="77777777" w:rsidR="009958E1" w:rsidRDefault="009958E1" w:rsidP="00F35B5D">
      <w:pPr>
        <w:ind w:firstLine="567"/>
        <w:jc w:val="both"/>
        <w:rPr>
          <w:rFonts w:ascii="Times New Roman" w:eastAsia="Times New Roman" w:hAnsi="Times New Roman" w:cs="Times New Roman"/>
          <w:sz w:val="28"/>
          <w:szCs w:val="28"/>
          <w:lang w:val="lv-LV"/>
        </w:rPr>
      </w:pPr>
    </w:p>
    <w:p w14:paraId="22EBC5F8" w14:textId="77777777" w:rsidR="00F35B5D" w:rsidRDefault="00F35B5D" w:rsidP="00F35B5D">
      <w:pPr>
        <w:ind w:firstLine="567"/>
        <w:jc w:val="center"/>
        <w:rPr>
          <w:rFonts w:ascii="Times New Roman" w:eastAsia="Times New Roman" w:hAnsi="Times New Roman" w:cs="Times New Roman"/>
          <w:b/>
          <w:sz w:val="28"/>
          <w:szCs w:val="28"/>
          <w:lang w:val="lv-LV"/>
        </w:rPr>
      </w:pPr>
      <w:r w:rsidRPr="00752833">
        <w:rPr>
          <w:rFonts w:ascii="Times New Roman" w:eastAsia="Times New Roman" w:hAnsi="Times New Roman" w:cs="Times New Roman"/>
          <w:b/>
          <w:sz w:val="28"/>
          <w:szCs w:val="28"/>
          <w:lang w:val="lv-LV"/>
        </w:rPr>
        <w:t>4. COVID -19 krīzes ietekme un nepieciešamie risinājumi</w:t>
      </w:r>
    </w:p>
    <w:p w14:paraId="22EBC5FA" w14:textId="77777777" w:rsidR="00F35B5D" w:rsidRPr="00681033" w:rsidRDefault="00F35B5D" w:rsidP="00F35B5D">
      <w:pPr>
        <w:ind w:firstLine="567"/>
        <w:jc w:val="both"/>
        <w:rPr>
          <w:rFonts w:ascii="Times New Roman" w:hAnsi="Times New Roman" w:cs="Times New Roman"/>
          <w:color w:val="000000"/>
          <w:sz w:val="28"/>
          <w:szCs w:val="28"/>
          <w:lang w:val="lv-LV"/>
        </w:rPr>
      </w:pPr>
      <w:r w:rsidRPr="00752833">
        <w:rPr>
          <w:rFonts w:ascii="Times New Roman" w:hAnsi="Times New Roman" w:cs="Times New Roman"/>
          <w:color w:val="000000"/>
          <w:sz w:val="28"/>
          <w:szCs w:val="28"/>
          <w:lang w:val="lv-LV"/>
        </w:rPr>
        <w:t>COVID-19 izraisītās krīzes un pēc krīzes laikā pieaug nepieciešamība pēc papildus atba</w:t>
      </w:r>
      <w:r>
        <w:rPr>
          <w:rFonts w:ascii="Times New Roman" w:hAnsi="Times New Roman" w:cs="Times New Roman"/>
          <w:color w:val="000000"/>
          <w:sz w:val="28"/>
          <w:szCs w:val="28"/>
          <w:lang w:val="lv-LV"/>
        </w:rPr>
        <w:t xml:space="preserve">lsta jauniešiem NEET situācijā. </w:t>
      </w:r>
      <w:r w:rsidRPr="00752833">
        <w:rPr>
          <w:rFonts w:ascii="Times New Roman" w:hAnsi="Times New Roman" w:cs="Times New Roman"/>
          <w:sz w:val="28"/>
          <w:szCs w:val="28"/>
          <w:lang w:val="lv-LV"/>
        </w:rPr>
        <w:t>Starptautiskā darba organizācija</w:t>
      </w:r>
      <w:r w:rsidRPr="00752833">
        <w:rPr>
          <w:rStyle w:val="FootnoteReference"/>
          <w:rFonts w:ascii="Times New Roman" w:hAnsi="Times New Roman" w:cs="Times New Roman"/>
          <w:sz w:val="28"/>
          <w:szCs w:val="28"/>
          <w:lang w:val="lv-LV"/>
        </w:rPr>
        <w:footnoteReference w:id="17"/>
      </w:r>
      <w:r w:rsidRPr="00752833">
        <w:rPr>
          <w:rFonts w:ascii="Times New Roman" w:hAnsi="Times New Roman" w:cs="Times New Roman"/>
          <w:sz w:val="28"/>
          <w:szCs w:val="28"/>
          <w:lang w:val="lv-LV"/>
        </w:rPr>
        <w:t xml:space="preserve"> norāda, ka krīze visspēcīgāk ietekmē mazāk aizsargātas sabiedrības grupas, sevišķi jauniešus. To apliecina arī līdzšinējo sociālekonomisko krīžu pieredze, ka jaunieši un jo sevišķi </w:t>
      </w:r>
      <w:r w:rsidRPr="00752833">
        <w:rPr>
          <w:rFonts w:ascii="Times New Roman" w:hAnsi="Times New Roman" w:cs="Times New Roman"/>
          <w:iCs/>
          <w:color w:val="000000" w:themeColor="text1"/>
          <w:sz w:val="28"/>
          <w:szCs w:val="28"/>
          <w:lang w:val="lv-LV"/>
        </w:rPr>
        <w:t xml:space="preserve">sociālās atstumtības riskam pakļautie jaunieši ir pirmie, kuri visspēcīgāk izjūt </w:t>
      </w:r>
      <w:r w:rsidRPr="00752833">
        <w:rPr>
          <w:rFonts w:ascii="Times New Roman" w:hAnsi="Times New Roman" w:cs="Times New Roman"/>
          <w:iCs/>
          <w:sz w:val="28"/>
          <w:szCs w:val="28"/>
          <w:lang w:val="lv-LV"/>
        </w:rPr>
        <w:t>krīzes ietekmi un sekas</w:t>
      </w:r>
      <w:r w:rsidRPr="00752833">
        <w:rPr>
          <w:rStyle w:val="FootnoteReference"/>
          <w:rFonts w:ascii="Times New Roman" w:hAnsi="Times New Roman" w:cs="Times New Roman"/>
          <w:iCs/>
          <w:sz w:val="28"/>
          <w:szCs w:val="28"/>
          <w:lang w:val="lv-LV"/>
        </w:rPr>
        <w:footnoteReference w:id="18"/>
      </w:r>
      <w:r w:rsidRPr="00752833">
        <w:rPr>
          <w:rFonts w:ascii="Times New Roman" w:hAnsi="Times New Roman" w:cs="Times New Roman"/>
          <w:iCs/>
          <w:sz w:val="28"/>
          <w:szCs w:val="28"/>
          <w:lang w:val="lv-LV"/>
        </w:rPr>
        <w:t>. Gan pasaulē, gan Latvijā vairāki sociālās un psihosociālās jomas eksperti</w:t>
      </w:r>
      <w:r w:rsidRPr="00752833">
        <w:rPr>
          <w:rStyle w:val="FootnoteReference"/>
          <w:rFonts w:ascii="Times New Roman" w:hAnsi="Times New Roman" w:cs="Times New Roman"/>
          <w:iCs/>
          <w:sz w:val="28"/>
          <w:szCs w:val="28"/>
          <w:lang w:val="lv-LV"/>
        </w:rPr>
        <w:footnoteReference w:id="19"/>
      </w:r>
      <w:r w:rsidRPr="00752833">
        <w:rPr>
          <w:rFonts w:ascii="Times New Roman" w:hAnsi="Times New Roman" w:cs="Times New Roman"/>
          <w:iCs/>
          <w:sz w:val="28"/>
          <w:szCs w:val="28"/>
          <w:lang w:val="lv-LV"/>
        </w:rPr>
        <w:t xml:space="preserve">, raksturojot tieši COVID - 19 ārkārtas situācijas un sociālās izolācijas ietekmi, norāda, ka jaunieši un pusaudži ilgtermiņā varētu būt viena no visvairāk krīzes situācijā skartajām grupām. Sevišķi tas attiecas uz jauniešiem, </w:t>
      </w:r>
      <w:r w:rsidRPr="00752833">
        <w:rPr>
          <w:rFonts w:ascii="Times New Roman" w:hAnsi="Times New Roman" w:cs="Times New Roman"/>
          <w:sz w:val="28"/>
          <w:szCs w:val="28"/>
          <w:lang w:val="lv-LV"/>
        </w:rPr>
        <w:t>kas dzīvo sociālā riska ģimenēs vai ģimenēs, kas nonāk materiālās grūtībās un deprivācijā, kā arī jauniešiem, kuriem ir dažāda veida sociālie apgrūtinā</w:t>
      </w:r>
      <w:r>
        <w:rPr>
          <w:rFonts w:ascii="Times New Roman" w:hAnsi="Times New Roman" w:cs="Times New Roman"/>
          <w:sz w:val="28"/>
          <w:szCs w:val="28"/>
          <w:lang w:val="lv-LV"/>
        </w:rPr>
        <w:t>ju</w:t>
      </w:r>
      <w:r w:rsidRPr="00752833">
        <w:rPr>
          <w:rFonts w:ascii="Times New Roman" w:hAnsi="Times New Roman" w:cs="Times New Roman"/>
          <w:sz w:val="28"/>
          <w:szCs w:val="28"/>
          <w:lang w:val="lv-LV"/>
        </w:rPr>
        <w:t>mi (funkcionālie traucējumi, agrīna grūtniecība, nepieciešamība aprūpēt ģimenes locekļus)</w:t>
      </w:r>
      <w:r w:rsidRPr="00752833">
        <w:rPr>
          <w:rStyle w:val="FootnoteReference"/>
          <w:rFonts w:ascii="Times New Roman" w:hAnsi="Times New Roman" w:cs="Times New Roman"/>
          <w:sz w:val="28"/>
          <w:szCs w:val="28"/>
          <w:lang w:val="lv-LV"/>
        </w:rPr>
        <w:footnoteReference w:id="20"/>
      </w:r>
      <w:r w:rsidRPr="00752833">
        <w:rPr>
          <w:rFonts w:ascii="Times New Roman" w:hAnsi="Times New Roman" w:cs="Times New Roman"/>
          <w:sz w:val="28"/>
          <w:szCs w:val="28"/>
          <w:lang w:val="lv-LV"/>
        </w:rPr>
        <w:t>. Kā norāda tiesībsargājošās iestādes</w:t>
      </w:r>
      <w:r w:rsidRPr="00752833">
        <w:rPr>
          <w:rFonts w:ascii="Times New Roman" w:hAnsi="Times New Roman" w:cs="Times New Roman"/>
          <w:sz w:val="28"/>
          <w:szCs w:val="28"/>
          <w:vertAlign w:val="superscript"/>
          <w:lang w:val="lv-LV"/>
        </w:rPr>
        <w:footnoteReference w:id="21"/>
      </w:r>
      <w:r w:rsidRPr="00752833">
        <w:rPr>
          <w:rFonts w:ascii="Times New Roman" w:hAnsi="Times New Roman" w:cs="Times New Roman"/>
          <w:sz w:val="28"/>
          <w:szCs w:val="28"/>
          <w:lang w:val="lv-LV"/>
        </w:rPr>
        <w:t>, COVID-19 pandēmijas dēļ ir palielinājies ģimenes konfliktu skaits, kuru rezultātā cieš bērni un jaunieši. Nenoliedzami vardarbības sekas atstās iespaidu uz jauniešu psihi un dzīves kvalitāti turpmāk.</w:t>
      </w:r>
    </w:p>
    <w:p w14:paraId="22EBC5FB" w14:textId="77777777" w:rsidR="00F35B5D" w:rsidRPr="00752833" w:rsidRDefault="00F35B5D" w:rsidP="00F35B5D">
      <w:pPr>
        <w:spacing w:line="240" w:lineRule="auto"/>
        <w:ind w:firstLine="567"/>
        <w:jc w:val="both"/>
        <w:rPr>
          <w:rFonts w:ascii="Times New Roman" w:eastAsia="Times New Roman" w:hAnsi="Times New Roman" w:cs="Times New Roman"/>
          <w:sz w:val="28"/>
          <w:szCs w:val="28"/>
          <w:bdr w:val="none" w:sz="0" w:space="0" w:color="auto" w:frame="1"/>
          <w:lang w:val="lv-LV" w:eastAsia="lv-LV"/>
        </w:rPr>
      </w:pPr>
      <w:r w:rsidRPr="00752833">
        <w:rPr>
          <w:rFonts w:ascii="Times New Roman" w:hAnsi="Times New Roman" w:cs="Times New Roman"/>
          <w:iCs/>
          <w:color w:val="000000" w:themeColor="text1"/>
          <w:sz w:val="28"/>
          <w:szCs w:val="28"/>
          <w:lang w:val="lv-LV"/>
        </w:rPr>
        <w:t>Vienlaikus, jānorāda, ka COVID-19 radītā krīze ir mazinājusi studiju pieejamību</w:t>
      </w:r>
      <w:r w:rsidRPr="00752833">
        <w:rPr>
          <w:rStyle w:val="FootnoteReference"/>
          <w:rFonts w:ascii="Times New Roman" w:hAnsi="Times New Roman" w:cs="Times New Roman"/>
          <w:iCs/>
          <w:color w:val="000000" w:themeColor="text1"/>
          <w:sz w:val="28"/>
          <w:szCs w:val="28"/>
          <w:lang w:val="lv-LV"/>
        </w:rPr>
        <w:footnoteReference w:id="22"/>
      </w:r>
      <w:r w:rsidRPr="00752833">
        <w:rPr>
          <w:rFonts w:ascii="Times New Roman" w:hAnsi="Times New Roman" w:cs="Times New Roman"/>
          <w:iCs/>
          <w:color w:val="000000" w:themeColor="text1"/>
          <w:sz w:val="28"/>
          <w:szCs w:val="28"/>
          <w:lang w:val="lv-LV"/>
        </w:rPr>
        <w:t xml:space="preserve">, kas visnegatīvāk ietekmē mazāk aizsargātās sabiedrības grupas. </w:t>
      </w:r>
      <w:r w:rsidRPr="00752833">
        <w:rPr>
          <w:rFonts w:ascii="Times New Roman" w:hAnsi="Times New Roman" w:cs="Times New Roman"/>
          <w:iCs/>
          <w:sz w:val="28"/>
          <w:szCs w:val="28"/>
          <w:lang w:val="lv-LV"/>
        </w:rPr>
        <w:t xml:space="preserve">Saskaņā ar Latvijas </w:t>
      </w:r>
      <w:r w:rsidRPr="00752833">
        <w:rPr>
          <w:rFonts w:ascii="Times New Roman" w:eastAsia="Times New Roman" w:hAnsi="Times New Roman" w:cs="Times New Roman"/>
          <w:sz w:val="28"/>
          <w:szCs w:val="28"/>
          <w:bdr w:val="none" w:sz="0" w:space="0" w:color="auto" w:frame="1"/>
          <w:lang w:val="lv-LV" w:eastAsia="lv-LV"/>
        </w:rPr>
        <w:t>Studentu apvienība</w:t>
      </w:r>
      <w:r w:rsidRPr="00752833">
        <w:rPr>
          <w:rFonts w:ascii="Times New Roman" w:hAnsi="Times New Roman" w:cs="Times New Roman"/>
          <w:sz w:val="28"/>
          <w:szCs w:val="28"/>
          <w:bdr w:val="none" w:sz="0" w:space="0" w:color="auto" w:frame="1"/>
          <w:lang w:val="lv-LV"/>
        </w:rPr>
        <w:t>s</w:t>
      </w:r>
      <w:r w:rsidRPr="00752833">
        <w:rPr>
          <w:rStyle w:val="FootnoteReference"/>
          <w:rFonts w:ascii="Times New Roman" w:eastAsia="Times New Roman" w:hAnsi="Times New Roman" w:cs="Times New Roman"/>
          <w:sz w:val="28"/>
          <w:szCs w:val="28"/>
          <w:bdr w:val="none" w:sz="0" w:space="0" w:color="auto" w:frame="1"/>
          <w:lang w:val="lv-LV" w:eastAsia="lv-LV"/>
        </w:rPr>
        <w:footnoteReference w:id="23"/>
      </w:r>
      <w:r w:rsidRPr="00752833">
        <w:rPr>
          <w:rFonts w:ascii="Times New Roman" w:eastAsia="Times New Roman" w:hAnsi="Times New Roman" w:cs="Times New Roman"/>
          <w:sz w:val="28"/>
          <w:szCs w:val="28"/>
          <w:bdr w:val="none" w:sz="0" w:space="0" w:color="auto" w:frame="1"/>
          <w:lang w:val="lv-LV" w:eastAsia="lv-LV"/>
        </w:rPr>
        <w:t xml:space="preserve"> aprīlī </w:t>
      </w:r>
      <w:r w:rsidRPr="00752833">
        <w:rPr>
          <w:rFonts w:ascii="Times New Roman" w:hAnsi="Times New Roman" w:cs="Times New Roman"/>
          <w:sz w:val="28"/>
          <w:szCs w:val="28"/>
          <w:bdr w:val="none" w:sz="0" w:space="0" w:color="auto" w:frame="1"/>
          <w:lang w:val="lv-LV"/>
        </w:rPr>
        <w:t xml:space="preserve">veikto aptauju, kurā piedalījās </w:t>
      </w:r>
      <w:r>
        <w:rPr>
          <w:rFonts w:ascii="Times New Roman" w:eastAsia="Times New Roman" w:hAnsi="Times New Roman" w:cs="Times New Roman"/>
          <w:sz w:val="28"/>
          <w:szCs w:val="28"/>
          <w:bdr w:val="none" w:sz="0" w:space="0" w:color="auto" w:frame="1"/>
          <w:lang w:val="lv-LV" w:eastAsia="lv-LV"/>
        </w:rPr>
        <w:lastRenderedPageBreak/>
        <w:t>8,6 </w:t>
      </w:r>
      <w:r w:rsidRPr="00752833">
        <w:rPr>
          <w:rFonts w:ascii="Times New Roman" w:eastAsia="Times New Roman" w:hAnsi="Times New Roman" w:cs="Times New Roman"/>
          <w:sz w:val="28"/>
          <w:szCs w:val="28"/>
          <w:bdr w:val="none" w:sz="0" w:space="0" w:color="auto" w:frame="1"/>
          <w:lang w:val="lv-LV" w:eastAsia="lv-LV"/>
        </w:rPr>
        <w:t>tūkstoš</w:t>
      </w:r>
      <w:r w:rsidRPr="00752833">
        <w:rPr>
          <w:rFonts w:ascii="Times New Roman" w:hAnsi="Times New Roman" w:cs="Times New Roman"/>
          <w:sz w:val="28"/>
          <w:szCs w:val="28"/>
          <w:bdr w:val="none" w:sz="0" w:space="0" w:color="auto" w:frame="1"/>
          <w:lang w:val="lv-LV"/>
        </w:rPr>
        <w:t>i</w:t>
      </w:r>
      <w:r w:rsidRPr="00752833">
        <w:rPr>
          <w:rFonts w:ascii="Times New Roman" w:eastAsia="Times New Roman" w:hAnsi="Times New Roman" w:cs="Times New Roman"/>
          <w:sz w:val="28"/>
          <w:szCs w:val="28"/>
          <w:bdr w:val="none" w:sz="0" w:space="0" w:color="auto" w:frame="1"/>
          <w:lang w:val="lv-LV" w:eastAsia="lv-LV"/>
        </w:rPr>
        <w:t xml:space="preserve"> studējošo</w:t>
      </w:r>
      <w:r w:rsidRPr="00752833">
        <w:rPr>
          <w:rFonts w:ascii="Times New Roman" w:hAnsi="Times New Roman" w:cs="Times New Roman"/>
          <w:sz w:val="28"/>
          <w:szCs w:val="28"/>
          <w:bdr w:val="none" w:sz="0" w:space="0" w:color="auto" w:frame="1"/>
          <w:lang w:val="lv-LV"/>
        </w:rPr>
        <w:t xml:space="preserve">, </w:t>
      </w:r>
      <w:r w:rsidRPr="00752833">
        <w:rPr>
          <w:rFonts w:ascii="Times New Roman" w:eastAsia="Times New Roman" w:hAnsi="Times New Roman" w:cs="Times New Roman"/>
          <w:sz w:val="28"/>
          <w:szCs w:val="28"/>
          <w:bdr w:val="none" w:sz="0" w:space="0" w:color="auto" w:frame="1"/>
          <w:lang w:val="lv-LV" w:eastAsia="lv-LV"/>
        </w:rPr>
        <w:t xml:space="preserve">11,8% respondentu </w:t>
      </w:r>
      <w:r>
        <w:rPr>
          <w:rFonts w:ascii="Times New Roman" w:eastAsia="Times New Roman" w:hAnsi="Times New Roman" w:cs="Times New Roman"/>
          <w:sz w:val="28"/>
          <w:szCs w:val="28"/>
          <w:bdr w:val="none" w:sz="0" w:space="0" w:color="auto" w:frame="1"/>
          <w:lang w:val="lv-LV" w:eastAsia="lv-LV"/>
        </w:rPr>
        <w:t xml:space="preserve">norādīja, ka </w:t>
      </w:r>
      <w:r w:rsidRPr="00752833">
        <w:rPr>
          <w:rFonts w:ascii="Times New Roman" w:eastAsia="Times New Roman" w:hAnsi="Times New Roman" w:cs="Times New Roman"/>
          <w:sz w:val="28"/>
          <w:szCs w:val="28"/>
          <w:bdr w:val="none" w:sz="0" w:space="0" w:color="auto" w:frame="1"/>
          <w:lang w:val="lv-LV" w:eastAsia="lv-LV"/>
        </w:rPr>
        <w:t>plāno pārtraukt studijas, jo vairs nevarēs segt studiju maksu vai ikdienas izdevumus. Vēl tikpat daudz esošo studentu plāno</w:t>
      </w:r>
      <w:r>
        <w:rPr>
          <w:rFonts w:ascii="Times New Roman" w:eastAsia="Times New Roman" w:hAnsi="Times New Roman" w:cs="Times New Roman"/>
          <w:sz w:val="28"/>
          <w:szCs w:val="28"/>
          <w:bdr w:val="none" w:sz="0" w:space="0" w:color="auto" w:frame="1"/>
          <w:lang w:val="lv-LV" w:eastAsia="lv-LV"/>
        </w:rPr>
        <w:t>ja</w:t>
      </w:r>
      <w:r w:rsidRPr="00752833">
        <w:rPr>
          <w:rFonts w:ascii="Times New Roman" w:eastAsia="Times New Roman" w:hAnsi="Times New Roman" w:cs="Times New Roman"/>
          <w:sz w:val="28"/>
          <w:szCs w:val="28"/>
          <w:bdr w:val="none" w:sz="0" w:space="0" w:color="auto" w:frame="1"/>
          <w:lang w:val="lv-LV" w:eastAsia="lv-LV"/>
        </w:rPr>
        <w:t xml:space="preserve"> izmantot akadēmisko atvaļinājumu, lai studijas pārtrauktu uz laiku, jo nespēj</w:t>
      </w:r>
      <w:r>
        <w:rPr>
          <w:rFonts w:ascii="Times New Roman" w:eastAsia="Times New Roman" w:hAnsi="Times New Roman" w:cs="Times New Roman"/>
          <w:sz w:val="28"/>
          <w:szCs w:val="28"/>
          <w:bdr w:val="none" w:sz="0" w:space="0" w:color="auto" w:frame="1"/>
          <w:lang w:val="lv-LV" w:eastAsia="lv-LV"/>
        </w:rPr>
        <w:t>a</w:t>
      </w:r>
      <w:r w:rsidRPr="00752833">
        <w:rPr>
          <w:rFonts w:ascii="Times New Roman" w:eastAsia="Times New Roman" w:hAnsi="Times New Roman" w:cs="Times New Roman"/>
          <w:sz w:val="28"/>
          <w:szCs w:val="28"/>
          <w:bdr w:val="none" w:sz="0" w:space="0" w:color="auto" w:frame="1"/>
          <w:lang w:val="lv-LV" w:eastAsia="lv-LV"/>
        </w:rPr>
        <w:t xml:space="preserve"> apmaksāt studiju maksu.</w:t>
      </w:r>
    </w:p>
    <w:p w14:paraId="22EBC5FC" w14:textId="63B62E93" w:rsidR="00F35B5D" w:rsidRPr="00752833" w:rsidRDefault="00F35B5D" w:rsidP="00F35B5D">
      <w:pPr>
        <w:spacing w:line="240" w:lineRule="auto"/>
        <w:ind w:firstLine="567"/>
        <w:jc w:val="both"/>
        <w:rPr>
          <w:rFonts w:ascii="Times New Roman" w:hAnsi="Times New Roman" w:cs="Times New Roman"/>
          <w:iCs/>
          <w:color w:val="000000" w:themeColor="text1"/>
          <w:sz w:val="28"/>
          <w:szCs w:val="28"/>
          <w:lang w:val="lv-LV"/>
        </w:rPr>
      </w:pPr>
      <w:r w:rsidRPr="00752833">
        <w:rPr>
          <w:rFonts w:ascii="Times New Roman" w:hAnsi="Times New Roman" w:cs="Times New Roman"/>
          <w:iCs/>
          <w:color w:val="000000" w:themeColor="text1"/>
          <w:sz w:val="28"/>
          <w:szCs w:val="28"/>
          <w:lang w:val="lv-LV"/>
        </w:rPr>
        <w:t xml:space="preserve">Ir pamats uzskatīt, ka COVID - 19 izraisītās krīzes ietekme būs ilgtermiņa un tādējādi jāparedz tālredzīgi risinājumi seku mazināšanai vairāku gadu perspektīvā. </w:t>
      </w:r>
      <w:r w:rsidRPr="00563042">
        <w:rPr>
          <w:rFonts w:ascii="Times New Roman" w:hAnsi="Times New Roman" w:cs="Times New Roman"/>
          <w:i/>
          <w:iCs/>
          <w:color w:val="000000" w:themeColor="text1"/>
          <w:sz w:val="28"/>
          <w:szCs w:val="28"/>
          <w:lang w:val="lv-LV"/>
        </w:rPr>
        <w:t>Forbes</w:t>
      </w:r>
      <w:r w:rsidRPr="00752833">
        <w:rPr>
          <w:rFonts w:ascii="Times New Roman" w:hAnsi="Times New Roman" w:cs="Times New Roman"/>
          <w:iCs/>
          <w:color w:val="000000" w:themeColor="text1"/>
          <w:sz w:val="28"/>
          <w:szCs w:val="28"/>
          <w:lang w:val="lv-LV"/>
        </w:rPr>
        <w:t xml:space="preserve"> akcentē, ka lielu krīžu ietekme uz ekonomiku vienmēr ir būtiska un ilgstoša</w:t>
      </w:r>
      <w:r w:rsidRPr="00752833">
        <w:rPr>
          <w:rStyle w:val="FootnoteReference"/>
          <w:rFonts w:ascii="Times New Roman" w:hAnsi="Times New Roman" w:cs="Times New Roman"/>
          <w:iCs/>
          <w:color w:val="000000" w:themeColor="text1"/>
          <w:sz w:val="28"/>
          <w:szCs w:val="28"/>
          <w:lang w:val="lv-LV"/>
        </w:rPr>
        <w:footnoteReference w:id="24"/>
      </w:r>
      <w:r w:rsidRPr="00752833">
        <w:rPr>
          <w:rFonts w:ascii="Times New Roman" w:hAnsi="Times New Roman" w:cs="Times New Roman"/>
          <w:iCs/>
          <w:color w:val="000000" w:themeColor="text1"/>
          <w:sz w:val="28"/>
          <w:szCs w:val="28"/>
          <w:lang w:val="lv-LV"/>
        </w:rPr>
        <w:t>. COVID-19 radītā krīze un tās sekas nebūs izņēmuma gadījums. Turklāt šāda veida krīzēm raksturīgs multiplicējošais efekts. OECD norāda uz sagaidāmo recesiju un ilgstošu COVID - 19 izraisītās krīzes ietekmi vairāku turpmāko gadu garumā</w:t>
      </w:r>
      <w:r w:rsidRPr="00752833">
        <w:rPr>
          <w:rStyle w:val="FootnoteReference"/>
          <w:rFonts w:ascii="Times New Roman" w:hAnsi="Times New Roman" w:cs="Times New Roman"/>
          <w:iCs/>
          <w:color w:val="000000" w:themeColor="text1"/>
          <w:sz w:val="28"/>
          <w:szCs w:val="28"/>
          <w:lang w:val="lv-LV"/>
        </w:rPr>
        <w:footnoteReference w:id="25"/>
      </w:r>
      <w:r w:rsidRPr="00752833">
        <w:rPr>
          <w:rFonts w:ascii="Times New Roman" w:hAnsi="Times New Roman" w:cs="Times New Roman"/>
          <w:iCs/>
          <w:color w:val="000000" w:themeColor="text1"/>
          <w:sz w:val="28"/>
          <w:szCs w:val="28"/>
          <w:lang w:val="lv-LV"/>
        </w:rPr>
        <w:t xml:space="preserve"> tādās jomās kā bezdarba pieaugums, nabadzības pieaugums, nevienlīdzības pieaugums. Ienākumu nevienlīdzība Latvijā ir augsta</w:t>
      </w:r>
      <w:r w:rsidRPr="00752833">
        <w:rPr>
          <w:rStyle w:val="FootnoteReference"/>
          <w:rFonts w:ascii="Times New Roman" w:hAnsi="Times New Roman" w:cs="Times New Roman"/>
          <w:iCs/>
          <w:color w:val="000000" w:themeColor="text1"/>
          <w:sz w:val="28"/>
          <w:szCs w:val="28"/>
          <w:lang w:val="lv-LV"/>
        </w:rPr>
        <w:footnoteReference w:id="26"/>
      </w:r>
      <w:r w:rsidRPr="00752833">
        <w:rPr>
          <w:rFonts w:ascii="Times New Roman" w:hAnsi="Times New Roman" w:cs="Times New Roman"/>
          <w:iCs/>
          <w:color w:val="000000" w:themeColor="text1"/>
          <w:sz w:val="28"/>
          <w:szCs w:val="28"/>
          <w:lang w:val="lv-LV"/>
        </w:rPr>
        <w:t>, un COVID</w:t>
      </w:r>
      <w:r w:rsidR="00563042">
        <w:rPr>
          <w:rFonts w:ascii="Times New Roman" w:hAnsi="Times New Roman" w:cs="Times New Roman"/>
          <w:iCs/>
          <w:color w:val="000000" w:themeColor="text1"/>
          <w:sz w:val="28"/>
          <w:szCs w:val="28"/>
          <w:lang w:val="lv-LV"/>
        </w:rPr>
        <w:t> </w:t>
      </w:r>
      <w:r w:rsidRPr="00752833">
        <w:rPr>
          <w:rFonts w:ascii="Times New Roman" w:hAnsi="Times New Roman" w:cs="Times New Roman"/>
          <w:iCs/>
          <w:color w:val="000000" w:themeColor="text1"/>
          <w:sz w:val="28"/>
          <w:szCs w:val="28"/>
          <w:lang w:val="lv-LV"/>
        </w:rPr>
        <w:t>-</w:t>
      </w:r>
      <w:r w:rsidR="00563042">
        <w:rPr>
          <w:rFonts w:ascii="Times New Roman" w:hAnsi="Times New Roman" w:cs="Times New Roman"/>
          <w:iCs/>
          <w:color w:val="000000" w:themeColor="text1"/>
          <w:sz w:val="28"/>
          <w:szCs w:val="28"/>
          <w:lang w:val="lv-LV"/>
        </w:rPr>
        <w:t> </w:t>
      </w:r>
      <w:r w:rsidRPr="00752833">
        <w:rPr>
          <w:rFonts w:ascii="Times New Roman" w:hAnsi="Times New Roman" w:cs="Times New Roman"/>
          <w:iCs/>
          <w:color w:val="000000" w:themeColor="text1"/>
          <w:sz w:val="28"/>
          <w:szCs w:val="28"/>
          <w:lang w:val="lv-LV"/>
        </w:rPr>
        <w:t>19 krīzes ietekmē šī problēma var vēl vairāk saasināties, līdz ar ko ir nepieciešam</w:t>
      </w:r>
      <w:r>
        <w:rPr>
          <w:rFonts w:ascii="Times New Roman" w:hAnsi="Times New Roman" w:cs="Times New Roman"/>
          <w:iCs/>
          <w:color w:val="000000" w:themeColor="text1"/>
          <w:sz w:val="28"/>
          <w:szCs w:val="28"/>
          <w:lang w:val="lv-LV"/>
        </w:rPr>
        <w:t>s savlaicīgi gatavoties atbalsta</w:t>
      </w:r>
      <w:r w:rsidRPr="00752833">
        <w:rPr>
          <w:rFonts w:ascii="Times New Roman" w:hAnsi="Times New Roman" w:cs="Times New Roman"/>
          <w:iCs/>
          <w:color w:val="000000" w:themeColor="text1"/>
          <w:sz w:val="28"/>
          <w:szCs w:val="28"/>
          <w:lang w:val="lv-LV"/>
        </w:rPr>
        <w:t xml:space="preserve"> sniegšanai jauniešiem NEET situācijā, kas ir īpaši aktuāli sabiedrības ilgtspējīgas attīstības nodrošināšanai un mērķtiecīgas un iekļaujošas jaunatnes politikas veidošanā nacionālajā un reģionālajā līmenī. Ir būtiski nodrošināt atbalsta pieejamību un sasniedzamību NEET jauniešiem visā Latvijas teritorijā un būtiski nodrošināt šo jauniešu informētību par atbalsta iespējām iesaistei izglītībā, nodarbinātībā vai aroda apguvē pie amata meistara, lai neradītu priekšnosacījumus mazaizsargāto jauniešu sociālajai marginalizācijai, bet veicinātu sociālo iekļaušanos un apstākļus NEET jauniešu ilgtspējīgai integrācijai.</w:t>
      </w:r>
    </w:p>
    <w:p w14:paraId="22EBC5FD" w14:textId="77777777" w:rsidR="00F35B5D" w:rsidRPr="00752833" w:rsidRDefault="00F35B5D" w:rsidP="00F35B5D">
      <w:pPr>
        <w:spacing w:line="240" w:lineRule="auto"/>
        <w:ind w:firstLine="567"/>
        <w:jc w:val="both"/>
        <w:rPr>
          <w:rFonts w:ascii="Times New Roman" w:hAnsi="Times New Roman" w:cs="Times New Roman"/>
          <w:iCs/>
          <w:color w:val="000000" w:themeColor="text1"/>
          <w:sz w:val="28"/>
          <w:szCs w:val="28"/>
          <w:lang w:val="lv-LV"/>
        </w:rPr>
      </w:pPr>
      <w:r w:rsidRPr="00752833">
        <w:rPr>
          <w:rFonts w:ascii="Times New Roman" w:hAnsi="Times New Roman" w:cs="Times New Roman"/>
          <w:iCs/>
          <w:color w:val="000000" w:themeColor="text1"/>
          <w:sz w:val="28"/>
          <w:szCs w:val="28"/>
          <w:lang w:val="lv-LV"/>
        </w:rPr>
        <w:t xml:space="preserve">8.3.3. specifiskā atbalsta mērķa „Attīstīt NEET jauniešu prasmes un veicināt to iesaisti izglītībā, NVA īstenotajos pasākumos Jauniešu garantijas ietvaros un nevalstisko organizāciju vai jauniešu centru darbībā” īstenotā projekta “PROTI un DARI!” īstenošanas mehānisms </w:t>
      </w:r>
      <w:r>
        <w:rPr>
          <w:rFonts w:ascii="Times New Roman" w:hAnsi="Times New Roman" w:cs="Times New Roman"/>
          <w:iCs/>
          <w:color w:val="000000" w:themeColor="text1"/>
          <w:sz w:val="28"/>
          <w:szCs w:val="28"/>
          <w:lang w:val="lv-LV"/>
        </w:rPr>
        <w:t xml:space="preserve">bija </w:t>
      </w:r>
      <w:r w:rsidRPr="00752833">
        <w:rPr>
          <w:rFonts w:ascii="Times New Roman" w:hAnsi="Times New Roman" w:cs="Times New Roman"/>
          <w:iCs/>
          <w:color w:val="000000" w:themeColor="text1"/>
          <w:sz w:val="28"/>
          <w:szCs w:val="28"/>
          <w:lang w:val="lv-LV"/>
        </w:rPr>
        <w:t>adaptē</w:t>
      </w:r>
      <w:r>
        <w:rPr>
          <w:rFonts w:ascii="Times New Roman" w:hAnsi="Times New Roman" w:cs="Times New Roman"/>
          <w:iCs/>
          <w:color w:val="000000" w:themeColor="text1"/>
          <w:sz w:val="28"/>
          <w:szCs w:val="28"/>
          <w:lang w:val="lv-LV"/>
        </w:rPr>
        <w:t>jams</w:t>
      </w:r>
      <w:r w:rsidRPr="00752833">
        <w:rPr>
          <w:rFonts w:ascii="Times New Roman" w:hAnsi="Times New Roman" w:cs="Times New Roman"/>
          <w:iCs/>
          <w:color w:val="000000" w:themeColor="text1"/>
          <w:sz w:val="28"/>
          <w:szCs w:val="28"/>
          <w:lang w:val="lv-LV"/>
        </w:rPr>
        <w:t xml:space="preserve"> COVID -19 ārkārtas apstākļiem un</w:t>
      </w:r>
      <w:r>
        <w:rPr>
          <w:rFonts w:ascii="Times New Roman" w:hAnsi="Times New Roman" w:cs="Times New Roman"/>
          <w:iCs/>
          <w:color w:val="000000" w:themeColor="text1"/>
          <w:sz w:val="28"/>
          <w:szCs w:val="28"/>
          <w:lang w:val="lv-LV"/>
        </w:rPr>
        <w:t xml:space="preserve"> tika</w:t>
      </w:r>
      <w:r w:rsidRPr="00752833">
        <w:rPr>
          <w:rFonts w:ascii="Times New Roman" w:hAnsi="Times New Roman" w:cs="Times New Roman"/>
          <w:iCs/>
          <w:color w:val="000000" w:themeColor="text1"/>
          <w:sz w:val="28"/>
          <w:szCs w:val="28"/>
          <w:lang w:val="lv-LV"/>
        </w:rPr>
        <w:t xml:space="preserve"> turpināta atbalsta sniegšana mērķa grupas jauniešiem. NEET jauniešiem tika nodrošināts gan mentora, gan programmas vadītāja individuāls atbalsts, kā arī tie atbalsta pasākumi, kuri īstenojami attālināti, tostarp kursi, semināri un speciālistu konsultācijas. Šie bija būtiski pasākumi, lai mazinātu NEET jauniešu trauksmes izjūtu, sociālās izolētības pakāpi un veicinātu sociālo iekļaušanu un prasmju attīstību, tostarp stresa vadību un izpratni par situāciju. Ir pamats uzskatīt, ka projekta “PROTI un DARI!” atbalsta mehānisms ir un būs būtisks atbalsta </w:t>
      </w:r>
      <w:r>
        <w:rPr>
          <w:rFonts w:ascii="Times New Roman" w:hAnsi="Times New Roman" w:cs="Times New Roman"/>
          <w:iCs/>
          <w:color w:val="000000" w:themeColor="text1"/>
          <w:sz w:val="28"/>
          <w:szCs w:val="28"/>
          <w:lang w:val="lv-LV"/>
        </w:rPr>
        <w:t>instruments NEET jauniešiem</w:t>
      </w:r>
      <w:r w:rsidRPr="00752833">
        <w:rPr>
          <w:rFonts w:ascii="Times New Roman" w:hAnsi="Times New Roman" w:cs="Times New Roman"/>
          <w:iCs/>
          <w:color w:val="000000" w:themeColor="text1"/>
          <w:sz w:val="28"/>
          <w:szCs w:val="28"/>
          <w:lang w:val="lv-LV"/>
        </w:rPr>
        <w:t>, lai pārvarētu COVID-19 izraisītās sociālekonomiskās sekas.</w:t>
      </w:r>
    </w:p>
    <w:p w14:paraId="22EBC5FE" w14:textId="77777777" w:rsidR="00F35B5D" w:rsidRDefault="00F35B5D" w:rsidP="00F35B5D">
      <w:pPr>
        <w:spacing w:line="240" w:lineRule="auto"/>
        <w:ind w:firstLine="567"/>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Projektam pieejamā finansējuma dēļ ir izveidojusies situācija, ka jau 2020.gadā nav iespējams sniegt atbalstu visu pašvaldību prognozētajam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jauniešu skaitam, kā arī JSPA ir spiesta atteikt pašvaldībām slēgt jaunus sadarbības līgumus </w:t>
      </w:r>
      <w:r w:rsidRPr="00752833">
        <w:rPr>
          <w:rFonts w:ascii="Times New Roman" w:hAnsi="Times New Roman" w:cs="Times New Roman"/>
          <w:color w:val="000000" w:themeColor="text1"/>
          <w:sz w:val="28"/>
          <w:szCs w:val="28"/>
          <w:lang w:val="lv-LV"/>
        </w:rPr>
        <w:lastRenderedPageBreak/>
        <w:t>par dalību projektā, ierobežotā finansējuma dēļ. Pašvaldības, ku</w:t>
      </w:r>
      <w:r>
        <w:rPr>
          <w:rFonts w:ascii="Times New Roman" w:hAnsi="Times New Roman" w:cs="Times New Roman"/>
          <w:color w:val="000000" w:themeColor="text1"/>
          <w:sz w:val="28"/>
          <w:szCs w:val="28"/>
          <w:lang w:val="lv-LV"/>
        </w:rPr>
        <w:t>ras pašas nav projekta partneri</w:t>
      </w:r>
      <w:r w:rsidRPr="00752833">
        <w:rPr>
          <w:rFonts w:ascii="Times New Roman" w:hAnsi="Times New Roman" w:cs="Times New Roman"/>
          <w:color w:val="000000" w:themeColor="text1"/>
          <w:sz w:val="28"/>
          <w:szCs w:val="28"/>
          <w:lang w:val="lv-LV"/>
        </w:rPr>
        <w:t xml:space="preserve"> saskaras ar situāciju, kad atbalsta iesaistē prioritāte tiek dota pašvaldības administratīvajā teritorijā deklarētajiem </w:t>
      </w:r>
      <w:r>
        <w:rPr>
          <w:rFonts w:ascii="Times New Roman" w:hAnsi="Times New Roman" w:cs="Times New Roman"/>
          <w:color w:val="000000" w:themeColor="text1"/>
          <w:sz w:val="28"/>
          <w:szCs w:val="28"/>
          <w:lang w:val="lv-LV"/>
        </w:rPr>
        <w:t xml:space="preserve">NEET </w:t>
      </w:r>
      <w:r w:rsidRPr="00752833">
        <w:rPr>
          <w:rFonts w:ascii="Times New Roman" w:hAnsi="Times New Roman" w:cs="Times New Roman"/>
          <w:color w:val="000000" w:themeColor="text1"/>
          <w:sz w:val="28"/>
          <w:szCs w:val="28"/>
          <w:lang w:val="lv-LV"/>
        </w:rPr>
        <w:t xml:space="preserve">jauniešiem, kā rezultātā ne vienmēr ir iespēja iesaistīt visus jauniešus NEET situācijā, jo īpaši, ja jaunietis pārstāv citu pašvaldību. Šādā situācijā ir jārod risinājumi, lai visi jaunieši, neatkarīgi no deklarētās dzīvesvietas varētu saņemt atbalstu projektā “PROTI un DARI!”. </w:t>
      </w:r>
    </w:p>
    <w:p w14:paraId="1FCE95B7" w14:textId="03D253FE" w:rsidR="00C07324" w:rsidRPr="0011272D" w:rsidRDefault="00F35B5D" w:rsidP="001B3F61">
      <w:pPr>
        <w:spacing w:line="240" w:lineRule="auto"/>
        <w:ind w:firstLine="567"/>
        <w:jc w:val="both"/>
        <w:rPr>
          <w:rFonts w:ascii="Times New Roman" w:hAnsi="Times New Roman" w:cs="Times New Roman"/>
          <w:color w:val="000000" w:themeColor="text1"/>
          <w:sz w:val="28"/>
          <w:szCs w:val="28"/>
          <w:lang w:val="lv-LV"/>
        </w:rPr>
      </w:pPr>
      <w:r w:rsidRPr="00752833">
        <w:rPr>
          <w:rFonts w:ascii="Times New Roman" w:hAnsi="Times New Roman" w:cs="Times New Roman"/>
          <w:color w:val="000000" w:themeColor="text1"/>
          <w:sz w:val="28"/>
          <w:szCs w:val="28"/>
          <w:lang w:val="lv-LV"/>
        </w:rPr>
        <w:t xml:space="preserve">Ņemot vērā iepriekš minēto, </w:t>
      </w:r>
      <w:r>
        <w:rPr>
          <w:rFonts w:ascii="Times New Roman" w:hAnsi="Times New Roman" w:cs="Times New Roman"/>
          <w:color w:val="000000" w:themeColor="text1"/>
          <w:sz w:val="28"/>
          <w:szCs w:val="28"/>
          <w:lang w:val="lv-LV"/>
        </w:rPr>
        <w:t>Izglītības un zinātnes ministrijas</w:t>
      </w:r>
      <w:r w:rsidRPr="00752833">
        <w:rPr>
          <w:rFonts w:ascii="Times New Roman" w:hAnsi="Times New Roman" w:cs="Times New Roman"/>
          <w:color w:val="000000" w:themeColor="text1"/>
          <w:sz w:val="28"/>
          <w:szCs w:val="28"/>
          <w:lang w:val="lv-LV"/>
        </w:rPr>
        <w:t xml:space="preserve"> ieskatā, šajā situācijā ir nepieciešams </w:t>
      </w:r>
      <w:r w:rsidRPr="00752833">
        <w:rPr>
          <w:rFonts w:ascii="Times New Roman" w:hAnsi="Times New Roman" w:cs="Times New Roman"/>
          <w:iCs/>
          <w:color w:val="000000" w:themeColor="text1"/>
          <w:sz w:val="28"/>
          <w:szCs w:val="28"/>
          <w:lang w:val="lv-LV"/>
        </w:rPr>
        <w:t xml:space="preserve">palielināt finansējumu </w:t>
      </w:r>
      <w:r w:rsidR="001B3F61" w:rsidRPr="00752833">
        <w:rPr>
          <w:rFonts w:ascii="Times New Roman" w:hAnsi="Times New Roman" w:cs="Times New Roman"/>
          <w:color w:val="000000" w:themeColor="text1"/>
          <w:sz w:val="28"/>
          <w:szCs w:val="28"/>
          <w:lang w:val="lv-LV"/>
        </w:rPr>
        <w:t xml:space="preserve">projekta </w:t>
      </w:r>
      <w:r w:rsidR="001B3F61" w:rsidRPr="00752833">
        <w:rPr>
          <w:rFonts w:ascii="Times New Roman" w:hAnsi="Times New Roman" w:cs="Times New Roman"/>
          <w:iCs/>
          <w:color w:val="000000" w:themeColor="text1"/>
          <w:sz w:val="28"/>
          <w:szCs w:val="28"/>
          <w:lang w:val="lv-LV"/>
        </w:rPr>
        <w:t xml:space="preserve">„PROTI un DARI!” </w:t>
      </w:r>
      <w:r w:rsidRPr="00752833">
        <w:rPr>
          <w:rFonts w:ascii="Times New Roman" w:hAnsi="Times New Roman" w:cs="Times New Roman"/>
          <w:iCs/>
          <w:color w:val="000000" w:themeColor="text1"/>
          <w:sz w:val="28"/>
          <w:szCs w:val="28"/>
          <w:lang w:val="lv-LV"/>
        </w:rPr>
        <w:t xml:space="preserve">īstenošanai par ne mazāk </w:t>
      </w:r>
      <w:r w:rsidRPr="0011272D">
        <w:rPr>
          <w:rFonts w:ascii="Times New Roman" w:hAnsi="Times New Roman" w:cs="Times New Roman"/>
          <w:iCs/>
          <w:color w:val="000000" w:themeColor="text1"/>
          <w:sz w:val="28"/>
          <w:szCs w:val="28"/>
          <w:lang w:val="lv-LV"/>
        </w:rPr>
        <w:t xml:space="preserve">kā </w:t>
      </w:r>
      <w:r w:rsidR="004672F4" w:rsidRPr="0011272D">
        <w:rPr>
          <w:rFonts w:ascii="Times New Roman" w:hAnsi="Times New Roman" w:cs="Times New Roman"/>
          <w:iCs/>
          <w:color w:val="000000" w:themeColor="text1"/>
          <w:sz w:val="28"/>
          <w:szCs w:val="28"/>
          <w:lang w:val="lv-LV"/>
        </w:rPr>
        <w:t>9</w:t>
      </w:r>
      <w:r w:rsidR="008C2A08" w:rsidRPr="0011272D">
        <w:rPr>
          <w:rFonts w:ascii="Times New Roman" w:hAnsi="Times New Roman" w:cs="Times New Roman"/>
          <w:iCs/>
          <w:color w:val="000000" w:themeColor="text1"/>
          <w:sz w:val="28"/>
          <w:szCs w:val="28"/>
          <w:lang w:val="lv-LV"/>
        </w:rPr>
        <w:t>00 000</w:t>
      </w:r>
      <w:r w:rsidRPr="0011272D">
        <w:rPr>
          <w:rFonts w:ascii="Times New Roman" w:hAnsi="Times New Roman" w:cs="Times New Roman"/>
          <w:iCs/>
          <w:color w:val="000000" w:themeColor="text1"/>
          <w:sz w:val="28"/>
          <w:szCs w:val="28"/>
          <w:lang w:val="lv-LV"/>
        </w:rPr>
        <w:t> </w:t>
      </w:r>
      <w:r w:rsidRPr="0011272D">
        <w:rPr>
          <w:rFonts w:ascii="Times New Roman" w:hAnsi="Times New Roman" w:cs="Times New Roman"/>
          <w:i/>
          <w:iCs/>
          <w:color w:val="000000" w:themeColor="text1"/>
          <w:sz w:val="28"/>
          <w:szCs w:val="28"/>
          <w:lang w:val="lv-LV"/>
        </w:rPr>
        <w:t>euro</w:t>
      </w:r>
      <w:r w:rsidRPr="0011272D">
        <w:rPr>
          <w:rFonts w:ascii="Times New Roman" w:hAnsi="Times New Roman" w:cs="Times New Roman"/>
          <w:iCs/>
          <w:color w:val="000000" w:themeColor="text1"/>
          <w:sz w:val="28"/>
          <w:szCs w:val="28"/>
          <w:lang w:val="lv-LV"/>
        </w:rPr>
        <w:t>, paredzot finansē</w:t>
      </w:r>
      <w:r w:rsidR="001B3F61" w:rsidRPr="0011272D">
        <w:rPr>
          <w:rFonts w:ascii="Times New Roman" w:hAnsi="Times New Roman" w:cs="Times New Roman"/>
          <w:iCs/>
          <w:color w:val="000000" w:themeColor="text1"/>
          <w:sz w:val="28"/>
          <w:szCs w:val="28"/>
          <w:lang w:val="lv-LV"/>
        </w:rPr>
        <w:t>juma pārdali</w:t>
      </w:r>
      <w:r w:rsidRPr="0011272D">
        <w:rPr>
          <w:rFonts w:ascii="Times New Roman" w:hAnsi="Times New Roman" w:cs="Times New Roman"/>
          <w:iCs/>
          <w:color w:val="000000" w:themeColor="text1"/>
          <w:sz w:val="28"/>
          <w:szCs w:val="28"/>
          <w:lang w:val="lv-LV"/>
        </w:rPr>
        <w:t xml:space="preserve"> no</w:t>
      </w:r>
      <w:r w:rsidR="001B3F61" w:rsidRPr="0011272D">
        <w:rPr>
          <w:rFonts w:ascii="Times New Roman" w:hAnsi="Times New Roman" w:cs="Times New Roman"/>
          <w:iCs/>
          <w:color w:val="000000" w:themeColor="text1"/>
          <w:sz w:val="28"/>
          <w:szCs w:val="28"/>
          <w:lang w:val="lv-LV"/>
        </w:rPr>
        <w:t xml:space="preserve"> </w:t>
      </w:r>
      <w:r w:rsidR="00443990" w:rsidRPr="0011272D">
        <w:rPr>
          <w:rFonts w:ascii="Times New Roman" w:hAnsi="Times New Roman" w:cs="Times New Roman"/>
          <w:color w:val="000000" w:themeColor="text1"/>
          <w:sz w:val="28"/>
          <w:szCs w:val="28"/>
          <w:lang w:val="lv-LV"/>
        </w:rPr>
        <w:t>d</w:t>
      </w:r>
      <w:r w:rsidR="001B3F61" w:rsidRPr="0011272D">
        <w:rPr>
          <w:rFonts w:ascii="Times New Roman" w:hAnsi="Times New Roman" w:cs="Times New Roman"/>
          <w:color w:val="000000" w:themeColor="text1"/>
          <w:sz w:val="28"/>
          <w:szCs w:val="28"/>
          <w:lang w:val="lv-LV"/>
        </w:rPr>
        <w:t>arbības programmas “Izaugsme un nodarbinātība” 8.3.4. specifiskā atbalsta mērķa “Samazināt priekšlaicīgu mācību pārtraukšanu, īstenojot preventīvus un intervences pasākumus” (turpmāk - 8.3.4.SAM)</w:t>
      </w:r>
      <w:r w:rsidR="001B3F61" w:rsidRPr="0011272D">
        <w:rPr>
          <w:rFonts w:ascii="Times New Roman" w:hAnsi="Times New Roman" w:cs="Times New Roman"/>
          <w:iCs/>
          <w:color w:val="000000" w:themeColor="text1"/>
          <w:sz w:val="28"/>
          <w:szCs w:val="28"/>
          <w:lang w:val="lv-LV"/>
        </w:rPr>
        <w:t xml:space="preserve"> ietvaros īstenotā projekta </w:t>
      </w:r>
      <w:r w:rsidR="00B14FB4" w:rsidRPr="0011272D">
        <w:rPr>
          <w:rFonts w:ascii="Times New Roman" w:hAnsi="Times New Roman" w:cs="Times New Roman"/>
          <w:color w:val="000000" w:themeColor="text1"/>
          <w:sz w:val="28"/>
          <w:szCs w:val="28"/>
          <w:lang w:val="lv-LV"/>
        </w:rPr>
        <w:t>“Atbalsts priekšlaicīgas mācību pārtraukšanas samazināšanai” (</w:t>
      </w:r>
      <w:r w:rsidR="00B14FB4" w:rsidRPr="0011272D">
        <w:rPr>
          <w:rFonts w:ascii="Times New Roman" w:hAnsi="Times New Roman" w:cs="Times New Roman"/>
          <w:iCs/>
          <w:color w:val="000000" w:themeColor="text1"/>
          <w:sz w:val="28"/>
          <w:szCs w:val="28"/>
          <w:lang w:val="lv-LV"/>
        </w:rPr>
        <w:t>Nr. </w:t>
      </w:r>
      <w:r w:rsidR="00B14FB4" w:rsidRPr="0011272D">
        <w:rPr>
          <w:rFonts w:ascii="Times New Roman" w:hAnsi="Times New Roman" w:cs="Times New Roman"/>
          <w:color w:val="000000" w:themeColor="text1"/>
          <w:sz w:val="28"/>
          <w:szCs w:val="28"/>
          <w:lang w:val="lv-LV"/>
        </w:rPr>
        <w:t>8.3.4.0/16/I/001)</w:t>
      </w:r>
      <w:r w:rsidR="001B3F61" w:rsidRPr="0011272D">
        <w:rPr>
          <w:rFonts w:ascii="Times New Roman" w:hAnsi="Times New Roman" w:cs="Times New Roman"/>
          <w:iCs/>
          <w:color w:val="000000" w:themeColor="text1"/>
          <w:sz w:val="28"/>
          <w:szCs w:val="28"/>
          <w:lang w:val="lv-LV"/>
        </w:rPr>
        <w:t xml:space="preserve"> līdzekļiem </w:t>
      </w:r>
      <w:r w:rsidR="004672F4" w:rsidRPr="0011272D">
        <w:rPr>
          <w:rFonts w:ascii="Times New Roman" w:hAnsi="Times New Roman" w:cs="Times New Roman"/>
          <w:color w:val="000000" w:themeColor="text1"/>
          <w:sz w:val="28"/>
          <w:szCs w:val="28"/>
          <w:lang w:val="lv-LV"/>
        </w:rPr>
        <w:t>9</w:t>
      </w:r>
      <w:r w:rsidR="008C2A08" w:rsidRPr="0011272D">
        <w:rPr>
          <w:rFonts w:ascii="Times New Roman" w:hAnsi="Times New Roman" w:cs="Times New Roman"/>
          <w:color w:val="000000" w:themeColor="text1"/>
          <w:sz w:val="28"/>
          <w:szCs w:val="28"/>
          <w:lang w:val="lv-LV"/>
        </w:rPr>
        <w:t>00 000 </w:t>
      </w:r>
      <w:r w:rsidR="001B3F61" w:rsidRPr="0011272D">
        <w:rPr>
          <w:rFonts w:ascii="Times New Roman" w:hAnsi="Times New Roman" w:cs="Times New Roman"/>
          <w:i/>
          <w:color w:val="000000" w:themeColor="text1"/>
          <w:sz w:val="28"/>
          <w:szCs w:val="28"/>
          <w:lang w:val="lv-LV"/>
        </w:rPr>
        <w:t>euro</w:t>
      </w:r>
      <w:r w:rsidR="001B3F61" w:rsidRPr="0011272D">
        <w:rPr>
          <w:rFonts w:ascii="Times New Roman" w:hAnsi="Times New Roman" w:cs="Times New Roman"/>
          <w:color w:val="000000" w:themeColor="text1"/>
          <w:sz w:val="28"/>
          <w:szCs w:val="28"/>
          <w:lang w:val="lv-LV"/>
        </w:rPr>
        <w:t xml:space="preserve"> apmērā (tai skaitā Eiropas Sociālā fonda finansējums - </w:t>
      </w:r>
      <w:r w:rsidR="004672F4" w:rsidRPr="0011272D">
        <w:rPr>
          <w:rFonts w:ascii="Times New Roman" w:hAnsi="Times New Roman" w:cs="Times New Roman"/>
          <w:color w:val="000000" w:themeColor="text1"/>
          <w:sz w:val="28"/>
          <w:szCs w:val="28"/>
          <w:lang w:val="lv-LV"/>
        </w:rPr>
        <w:t>765</w:t>
      </w:r>
      <w:r w:rsidR="001B3F61" w:rsidRPr="0011272D">
        <w:rPr>
          <w:rFonts w:ascii="Times New Roman" w:hAnsi="Times New Roman" w:cs="Times New Roman"/>
          <w:color w:val="000000" w:themeColor="text1"/>
          <w:sz w:val="28"/>
          <w:szCs w:val="28"/>
          <w:lang w:val="lv-LV"/>
        </w:rPr>
        <w:t> 000 </w:t>
      </w:r>
      <w:r w:rsidR="001B3F61" w:rsidRPr="0011272D">
        <w:rPr>
          <w:rFonts w:ascii="Times New Roman" w:hAnsi="Times New Roman" w:cs="Times New Roman"/>
          <w:i/>
          <w:color w:val="000000" w:themeColor="text1"/>
          <w:sz w:val="28"/>
          <w:szCs w:val="28"/>
          <w:lang w:val="lv-LV"/>
        </w:rPr>
        <w:t xml:space="preserve">euro </w:t>
      </w:r>
      <w:r w:rsidR="001B3F61" w:rsidRPr="0011272D">
        <w:rPr>
          <w:rFonts w:ascii="Times New Roman" w:hAnsi="Times New Roman" w:cs="Times New Roman"/>
          <w:color w:val="000000" w:themeColor="text1"/>
          <w:sz w:val="28"/>
          <w:szCs w:val="28"/>
          <w:lang w:val="lv-LV"/>
        </w:rPr>
        <w:t>un valsts budžeta līdzfinansējums – 1</w:t>
      </w:r>
      <w:r w:rsidR="004672F4" w:rsidRPr="0011272D">
        <w:rPr>
          <w:rFonts w:ascii="Times New Roman" w:hAnsi="Times New Roman" w:cs="Times New Roman"/>
          <w:color w:val="000000" w:themeColor="text1"/>
          <w:sz w:val="28"/>
          <w:szCs w:val="28"/>
          <w:lang w:val="lv-LV"/>
        </w:rPr>
        <w:t>35</w:t>
      </w:r>
      <w:r w:rsidR="001B3F61" w:rsidRPr="0011272D">
        <w:rPr>
          <w:rFonts w:ascii="Times New Roman" w:hAnsi="Times New Roman" w:cs="Times New Roman"/>
          <w:color w:val="000000" w:themeColor="text1"/>
          <w:sz w:val="28"/>
          <w:szCs w:val="28"/>
          <w:lang w:val="lv-LV"/>
        </w:rPr>
        <w:t> 000 </w:t>
      </w:r>
      <w:r w:rsidR="001B3F61" w:rsidRPr="0011272D">
        <w:rPr>
          <w:rFonts w:ascii="Times New Roman" w:hAnsi="Times New Roman" w:cs="Times New Roman"/>
          <w:i/>
          <w:color w:val="000000" w:themeColor="text1"/>
          <w:sz w:val="28"/>
          <w:szCs w:val="28"/>
          <w:lang w:val="lv-LV"/>
        </w:rPr>
        <w:t>euro</w:t>
      </w:r>
      <w:r w:rsidR="001B3F61" w:rsidRPr="0011272D">
        <w:rPr>
          <w:rFonts w:ascii="Times New Roman" w:hAnsi="Times New Roman" w:cs="Times New Roman"/>
          <w:color w:val="000000" w:themeColor="text1"/>
          <w:sz w:val="28"/>
          <w:szCs w:val="28"/>
          <w:lang w:val="lv-LV"/>
        </w:rPr>
        <w:t>)</w:t>
      </w:r>
      <w:r w:rsidR="008E39E7" w:rsidRPr="0011272D">
        <w:rPr>
          <w:rFonts w:ascii="Times New Roman" w:hAnsi="Times New Roman" w:cs="Times New Roman"/>
          <w:color w:val="000000" w:themeColor="text1"/>
          <w:sz w:val="28"/>
          <w:szCs w:val="28"/>
          <w:lang w:val="lv-LV"/>
        </w:rPr>
        <w:t xml:space="preserve"> projekta “PROTI un DARI!” sekmīgai īstenošanai 2021.gadā</w:t>
      </w:r>
      <w:r w:rsidR="00C07324" w:rsidRPr="0011272D">
        <w:rPr>
          <w:rFonts w:ascii="Times New Roman" w:hAnsi="Times New Roman" w:cs="Times New Roman"/>
          <w:color w:val="000000" w:themeColor="text1"/>
          <w:sz w:val="28"/>
          <w:szCs w:val="28"/>
          <w:lang w:val="lv-LV"/>
        </w:rPr>
        <w:t>.</w:t>
      </w:r>
    </w:p>
    <w:p w14:paraId="22EBC5FF" w14:textId="36ECEDBF" w:rsidR="00F35B5D" w:rsidRPr="0011272D" w:rsidRDefault="00C07324" w:rsidP="00D84411">
      <w:pPr>
        <w:spacing w:line="240" w:lineRule="auto"/>
        <w:ind w:firstLine="567"/>
        <w:jc w:val="both"/>
        <w:rPr>
          <w:rFonts w:ascii="Times New Roman" w:hAnsi="Times New Roman" w:cs="Times New Roman"/>
          <w:color w:val="000000" w:themeColor="text1"/>
          <w:sz w:val="28"/>
          <w:szCs w:val="28"/>
          <w:lang w:val="lv-LV"/>
        </w:rPr>
      </w:pPr>
      <w:r w:rsidRPr="0011272D">
        <w:rPr>
          <w:rFonts w:ascii="Times New Roman" w:hAnsi="Times New Roman" w:cs="Times New Roman"/>
          <w:color w:val="000000" w:themeColor="text1"/>
          <w:sz w:val="28"/>
          <w:szCs w:val="28"/>
          <w:lang w:val="lv-LV"/>
        </w:rPr>
        <w:t xml:space="preserve">Papildus minētajam </w:t>
      </w:r>
      <w:r w:rsidR="004672F4" w:rsidRPr="0011272D">
        <w:rPr>
          <w:rFonts w:ascii="Times New Roman" w:hAnsi="Times New Roman" w:cs="Times New Roman"/>
          <w:color w:val="000000" w:themeColor="text1"/>
          <w:sz w:val="28"/>
          <w:szCs w:val="28"/>
          <w:lang w:val="lv-LV"/>
        </w:rPr>
        <w:t xml:space="preserve">ir </w:t>
      </w:r>
      <w:r w:rsidRPr="0011272D">
        <w:rPr>
          <w:rFonts w:ascii="Times New Roman" w:hAnsi="Times New Roman" w:cs="Times New Roman"/>
          <w:color w:val="000000" w:themeColor="text1"/>
          <w:sz w:val="28"/>
          <w:szCs w:val="28"/>
          <w:lang w:val="lv-LV"/>
        </w:rPr>
        <w:t>jāvērtē</w:t>
      </w:r>
      <w:r w:rsidR="008E39E7" w:rsidRPr="0011272D">
        <w:rPr>
          <w:rFonts w:ascii="Times New Roman" w:hAnsi="Times New Roman" w:cs="Times New Roman"/>
          <w:color w:val="000000" w:themeColor="text1"/>
          <w:sz w:val="28"/>
          <w:szCs w:val="28"/>
          <w:lang w:val="lv-LV"/>
        </w:rPr>
        <w:t xml:space="preserve"> iespējas piesaistīt </w:t>
      </w:r>
      <w:r w:rsidR="008C2A08" w:rsidRPr="0011272D">
        <w:rPr>
          <w:rFonts w:ascii="Times New Roman" w:hAnsi="Times New Roman" w:cs="Times New Roman"/>
          <w:color w:val="000000" w:themeColor="text1"/>
          <w:sz w:val="28"/>
          <w:szCs w:val="28"/>
          <w:lang w:val="lv-LV"/>
        </w:rPr>
        <w:t xml:space="preserve">8.3.3.SAM ieviešanai </w:t>
      </w:r>
      <w:r w:rsidR="008E39E7" w:rsidRPr="0011272D">
        <w:rPr>
          <w:rFonts w:ascii="Times New Roman" w:hAnsi="Times New Roman" w:cs="Times New Roman"/>
          <w:color w:val="000000" w:themeColor="text1"/>
          <w:sz w:val="28"/>
          <w:szCs w:val="28"/>
          <w:lang w:val="lv-LV"/>
        </w:rPr>
        <w:t>REACT</w:t>
      </w:r>
      <w:r w:rsidR="008C2A08" w:rsidRPr="0011272D">
        <w:rPr>
          <w:rFonts w:ascii="Times New Roman" w:hAnsi="Times New Roman" w:cs="Times New Roman"/>
          <w:color w:val="000000" w:themeColor="text1"/>
          <w:sz w:val="28"/>
          <w:szCs w:val="28"/>
          <w:lang w:val="lv-LV"/>
        </w:rPr>
        <w:t> - </w:t>
      </w:r>
      <w:r w:rsidR="008E39E7" w:rsidRPr="0011272D">
        <w:rPr>
          <w:rFonts w:ascii="Times New Roman" w:hAnsi="Times New Roman" w:cs="Times New Roman"/>
          <w:color w:val="000000" w:themeColor="text1"/>
          <w:sz w:val="28"/>
          <w:szCs w:val="28"/>
          <w:lang w:val="lv-LV"/>
        </w:rPr>
        <w:t xml:space="preserve">EU finansējumu 1,5 milj. </w:t>
      </w:r>
      <w:r w:rsidR="008E39E7" w:rsidRPr="0011272D">
        <w:rPr>
          <w:rFonts w:ascii="Times New Roman" w:hAnsi="Times New Roman" w:cs="Times New Roman"/>
          <w:i/>
          <w:color w:val="000000" w:themeColor="text1"/>
          <w:sz w:val="28"/>
          <w:szCs w:val="28"/>
          <w:lang w:val="lv-LV"/>
        </w:rPr>
        <w:t>euro</w:t>
      </w:r>
      <w:r w:rsidR="008E39E7" w:rsidRPr="0011272D">
        <w:rPr>
          <w:rFonts w:ascii="Times New Roman" w:hAnsi="Times New Roman" w:cs="Times New Roman"/>
          <w:color w:val="000000" w:themeColor="text1"/>
          <w:sz w:val="28"/>
          <w:szCs w:val="28"/>
          <w:lang w:val="lv-LV"/>
        </w:rPr>
        <w:t xml:space="preserve"> ap</w:t>
      </w:r>
      <w:r w:rsidR="000323CC" w:rsidRPr="0011272D">
        <w:rPr>
          <w:rFonts w:ascii="Times New Roman" w:hAnsi="Times New Roman" w:cs="Times New Roman"/>
          <w:color w:val="000000" w:themeColor="text1"/>
          <w:sz w:val="28"/>
          <w:szCs w:val="28"/>
          <w:lang w:val="lv-LV"/>
        </w:rPr>
        <w:t>mērā</w:t>
      </w:r>
      <w:r w:rsidR="00443990" w:rsidRPr="0011272D">
        <w:rPr>
          <w:rStyle w:val="FootnoteReference"/>
          <w:rFonts w:ascii="Times New Roman" w:hAnsi="Times New Roman" w:cs="Times New Roman"/>
          <w:color w:val="000000" w:themeColor="text1"/>
          <w:sz w:val="28"/>
          <w:szCs w:val="28"/>
          <w:lang w:val="lv-LV"/>
        </w:rPr>
        <w:footnoteReference w:id="27"/>
      </w:r>
      <w:r w:rsidR="00D556A2" w:rsidRPr="0011272D">
        <w:rPr>
          <w:rFonts w:ascii="Times New Roman" w:hAnsi="Times New Roman" w:cs="Times New Roman"/>
          <w:color w:val="000000" w:themeColor="text1"/>
          <w:sz w:val="28"/>
          <w:szCs w:val="28"/>
          <w:lang w:val="lv-LV"/>
        </w:rPr>
        <w:t xml:space="preserve"> un</w:t>
      </w:r>
      <w:r w:rsidR="00B14FB4" w:rsidRPr="0011272D">
        <w:rPr>
          <w:rFonts w:ascii="Times New Roman" w:hAnsi="Times New Roman" w:cs="Times New Roman"/>
          <w:color w:val="000000" w:themeColor="text1"/>
          <w:sz w:val="28"/>
          <w:szCs w:val="28"/>
          <w:lang w:val="lv-LV"/>
        </w:rPr>
        <w:t xml:space="preserve"> </w:t>
      </w:r>
      <w:r w:rsidR="008E39E7" w:rsidRPr="0011272D">
        <w:rPr>
          <w:rFonts w:ascii="Times New Roman" w:hAnsi="Times New Roman" w:cs="Times New Roman"/>
          <w:color w:val="000000" w:themeColor="text1"/>
          <w:sz w:val="28"/>
          <w:szCs w:val="28"/>
          <w:lang w:val="lv-LV"/>
        </w:rPr>
        <w:t>pagarināt projekta “PROTI un DARI!” īstenošanu līdz 2022.gada beigām</w:t>
      </w:r>
      <w:r w:rsidR="00F3065D" w:rsidRPr="0011272D">
        <w:rPr>
          <w:rFonts w:ascii="Times New Roman" w:hAnsi="Times New Roman" w:cs="Times New Roman"/>
          <w:color w:val="000000" w:themeColor="text1"/>
          <w:sz w:val="28"/>
          <w:szCs w:val="28"/>
          <w:lang w:val="lv-LV"/>
        </w:rPr>
        <w:t>.</w:t>
      </w:r>
    </w:p>
    <w:p w14:paraId="22EBC602" w14:textId="4F902C5F" w:rsidR="00F35B5D" w:rsidRPr="0011272D" w:rsidRDefault="00DE1869" w:rsidP="00F35B5D">
      <w:pPr>
        <w:spacing w:line="240" w:lineRule="auto"/>
        <w:ind w:firstLine="567"/>
        <w:jc w:val="both"/>
        <w:rPr>
          <w:rFonts w:ascii="Times New Roman" w:hAnsi="Times New Roman" w:cs="Times New Roman"/>
          <w:iCs/>
          <w:color w:val="000000" w:themeColor="text1"/>
          <w:sz w:val="28"/>
          <w:szCs w:val="28"/>
          <w:lang w:val="lv-LV"/>
        </w:rPr>
      </w:pPr>
      <w:r w:rsidRPr="0011272D">
        <w:rPr>
          <w:rFonts w:ascii="Times New Roman" w:hAnsi="Times New Roman" w:cs="Times New Roman"/>
          <w:color w:val="000000" w:themeColor="text1"/>
          <w:sz w:val="28"/>
          <w:szCs w:val="28"/>
          <w:lang w:val="lv-LV"/>
        </w:rPr>
        <w:t>Papildus finansējuma piešķiršana projekta “PROTI un DARI!” īstenošanai nodrošinātu iespējas sniegt atbalstu</w:t>
      </w:r>
      <w:r w:rsidRPr="0011272D">
        <w:rPr>
          <w:rFonts w:ascii="Times New Roman" w:hAnsi="Times New Roman" w:cs="Times New Roman"/>
          <w:iCs/>
          <w:color w:val="000000" w:themeColor="text1"/>
          <w:sz w:val="28"/>
          <w:szCs w:val="28"/>
          <w:lang w:val="lv-LV"/>
        </w:rPr>
        <w:t xml:space="preserve"> </w:t>
      </w:r>
      <w:r w:rsidR="00F35B5D" w:rsidRPr="0011272D">
        <w:rPr>
          <w:rFonts w:ascii="Times New Roman" w:hAnsi="Times New Roman" w:cs="Times New Roman"/>
          <w:iCs/>
          <w:color w:val="000000" w:themeColor="text1"/>
          <w:sz w:val="28"/>
          <w:szCs w:val="28"/>
          <w:lang w:val="lv-LV"/>
        </w:rPr>
        <w:t xml:space="preserve">NEET jauniešiem, lai </w:t>
      </w:r>
      <w:r w:rsidRPr="0011272D">
        <w:rPr>
          <w:rFonts w:ascii="Times New Roman" w:hAnsi="Times New Roman" w:cs="Times New Roman"/>
          <w:iCs/>
          <w:color w:val="000000" w:themeColor="text1"/>
          <w:sz w:val="28"/>
          <w:szCs w:val="28"/>
          <w:lang w:val="lv-LV"/>
        </w:rPr>
        <w:t xml:space="preserve">COVID-19 izraisītās </w:t>
      </w:r>
      <w:r w:rsidR="00F35B5D" w:rsidRPr="0011272D">
        <w:rPr>
          <w:rFonts w:ascii="Times New Roman" w:hAnsi="Times New Roman" w:cs="Times New Roman"/>
          <w:iCs/>
          <w:color w:val="000000" w:themeColor="text1"/>
          <w:sz w:val="28"/>
          <w:szCs w:val="28"/>
          <w:lang w:val="lv-LV"/>
        </w:rPr>
        <w:t xml:space="preserve">krīzes un pēc krīzes apstākļos būtu iespējama operatīva psihosociālā un integratīvā atbalsta sniegšana </w:t>
      </w:r>
      <w:r w:rsidRPr="0011272D">
        <w:rPr>
          <w:rFonts w:ascii="Times New Roman" w:hAnsi="Times New Roman" w:cs="Times New Roman"/>
          <w:iCs/>
          <w:color w:val="000000" w:themeColor="text1"/>
          <w:sz w:val="28"/>
          <w:szCs w:val="28"/>
          <w:lang w:val="lv-LV"/>
        </w:rPr>
        <w:t>minētajiem jauniešiem visos Latvijas reģionos.</w:t>
      </w:r>
    </w:p>
    <w:p w14:paraId="1DC41B3E" w14:textId="77777777" w:rsidR="00B34427" w:rsidRDefault="00B34427" w:rsidP="00F35B5D">
      <w:pPr>
        <w:spacing w:line="240" w:lineRule="auto"/>
        <w:jc w:val="both"/>
        <w:rPr>
          <w:rFonts w:ascii="Times New Roman" w:hAnsi="Times New Roman" w:cs="Times New Roman"/>
          <w:color w:val="000000" w:themeColor="text1"/>
          <w:sz w:val="28"/>
          <w:szCs w:val="28"/>
          <w:lang w:val="lv-LV"/>
        </w:rPr>
      </w:pPr>
    </w:p>
    <w:p w14:paraId="5559A0D5" w14:textId="77777777" w:rsidR="008C2A08" w:rsidRPr="00752833" w:rsidRDefault="008C2A08" w:rsidP="00F35B5D">
      <w:pPr>
        <w:spacing w:line="240" w:lineRule="auto"/>
        <w:jc w:val="both"/>
        <w:rPr>
          <w:rFonts w:ascii="Times New Roman" w:hAnsi="Times New Roman" w:cs="Times New Roman"/>
          <w:color w:val="000000" w:themeColor="text1"/>
          <w:sz w:val="28"/>
          <w:szCs w:val="28"/>
          <w:lang w:val="lv-LV"/>
        </w:rPr>
      </w:pPr>
    </w:p>
    <w:p w14:paraId="22EBC604" w14:textId="77777777" w:rsidR="00F35B5D" w:rsidRPr="00752833" w:rsidRDefault="00F35B5D" w:rsidP="00F35B5D">
      <w:pPr>
        <w:pStyle w:val="BodyText"/>
        <w:tabs>
          <w:tab w:val="left" w:pos="6521"/>
        </w:tabs>
        <w:ind w:firstLine="709"/>
        <w:rPr>
          <w:szCs w:val="28"/>
        </w:rPr>
      </w:pPr>
      <w:r w:rsidRPr="00752833">
        <w:rPr>
          <w:szCs w:val="28"/>
        </w:rPr>
        <w:t>Iesniedzējs:</w:t>
      </w:r>
    </w:p>
    <w:p w14:paraId="22EBC605" w14:textId="77777777" w:rsidR="00F35B5D" w:rsidRPr="00752833" w:rsidRDefault="00F35B5D" w:rsidP="00F35B5D">
      <w:pPr>
        <w:ind w:firstLine="709"/>
        <w:jc w:val="both"/>
        <w:rPr>
          <w:rFonts w:ascii="Times New Roman" w:hAnsi="Times New Roman" w:cs="Times New Roman"/>
          <w:sz w:val="28"/>
          <w:szCs w:val="28"/>
        </w:rPr>
      </w:pPr>
      <w:r w:rsidRPr="00752833">
        <w:rPr>
          <w:rFonts w:ascii="Times New Roman" w:hAnsi="Times New Roman" w:cs="Times New Roman"/>
          <w:sz w:val="28"/>
          <w:szCs w:val="28"/>
        </w:rPr>
        <w:t>Izglītības un zinātnes ministre</w:t>
      </w:r>
      <w:r w:rsidRPr="00752833">
        <w:rPr>
          <w:rFonts w:ascii="Times New Roman" w:hAnsi="Times New Roman" w:cs="Times New Roman"/>
          <w:sz w:val="28"/>
          <w:szCs w:val="28"/>
        </w:rPr>
        <w:tab/>
      </w:r>
      <w:r w:rsidRPr="00752833">
        <w:rPr>
          <w:rFonts w:ascii="Times New Roman" w:hAnsi="Times New Roman" w:cs="Times New Roman"/>
          <w:sz w:val="28"/>
          <w:szCs w:val="28"/>
        </w:rPr>
        <w:tab/>
      </w:r>
      <w:r w:rsidRPr="00752833">
        <w:rPr>
          <w:rFonts w:ascii="Times New Roman" w:hAnsi="Times New Roman" w:cs="Times New Roman"/>
          <w:sz w:val="28"/>
          <w:szCs w:val="28"/>
        </w:rPr>
        <w:tab/>
      </w:r>
      <w:r w:rsidRPr="00752833">
        <w:rPr>
          <w:rFonts w:ascii="Times New Roman" w:hAnsi="Times New Roman" w:cs="Times New Roman"/>
          <w:sz w:val="28"/>
          <w:szCs w:val="28"/>
        </w:rPr>
        <w:tab/>
      </w:r>
      <w:r w:rsidRPr="00752833">
        <w:rPr>
          <w:rFonts w:ascii="Times New Roman" w:hAnsi="Times New Roman" w:cs="Times New Roman"/>
          <w:sz w:val="28"/>
          <w:szCs w:val="28"/>
        </w:rPr>
        <w:tab/>
        <w:t>I. Šuplinska</w:t>
      </w:r>
    </w:p>
    <w:p w14:paraId="22EBC606" w14:textId="77777777" w:rsidR="00F35B5D" w:rsidRPr="00752833" w:rsidRDefault="00F35B5D" w:rsidP="00F35B5D">
      <w:pPr>
        <w:pStyle w:val="BodyText"/>
        <w:tabs>
          <w:tab w:val="left" w:pos="6521"/>
        </w:tabs>
        <w:ind w:firstLine="709"/>
        <w:rPr>
          <w:szCs w:val="28"/>
        </w:rPr>
      </w:pPr>
    </w:p>
    <w:p w14:paraId="22EBC607" w14:textId="77777777" w:rsidR="00F35B5D" w:rsidRPr="00752833" w:rsidRDefault="00F35B5D" w:rsidP="00F35B5D">
      <w:pPr>
        <w:pStyle w:val="BodyText"/>
        <w:tabs>
          <w:tab w:val="left" w:pos="6521"/>
        </w:tabs>
        <w:ind w:firstLine="709"/>
        <w:rPr>
          <w:szCs w:val="28"/>
        </w:rPr>
      </w:pPr>
    </w:p>
    <w:p w14:paraId="766D930A" w14:textId="5795CC4B" w:rsidR="00B73ADA" w:rsidRPr="00752833" w:rsidRDefault="00F35B5D" w:rsidP="00B73ADA">
      <w:pPr>
        <w:pStyle w:val="BodyText"/>
        <w:tabs>
          <w:tab w:val="left" w:pos="6521"/>
        </w:tabs>
        <w:ind w:firstLine="709"/>
        <w:rPr>
          <w:szCs w:val="28"/>
        </w:rPr>
      </w:pPr>
      <w:r w:rsidRPr="00752833">
        <w:rPr>
          <w:szCs w:val="28"/>
        </w:rPr>
        <w:t>Vizē:</w:t>
      </w:r>
    </w:p>
    <w:p w14:paraId="22EBC609" w14:textId="77777777" w:rsidR="00F35B5D" w:rsidRDefault="00F35B5D" w:rsidP="00F35B5D">
      <w:pPr>
        <w:pStyle w:val="BodyText"/>
        <w:tabs>
          <w:tab w:val="left" w:pos="6521"/>
        </w:tabs>
        <w:ind w:firstLine="709"/>
        <w:rPr>
          <w:szCs w:val="28"/>
        </w:rPr>
      </w:pPr>
      <w:r w:rsidRPr="00752833">
        <w:rPr>
          <w:szCs w:val="28"/>
        </w:rPr>
        <w:t>valsts sekretārs</w:t>
      </w:r>
      <w:r w:rsidRPr="00752833">
        <w:rPr>
          <w:szCs w:val="28"/>
        </w:rPr>
        <w:tab/>
      </w:r>
      <w:r w:rsidRPr="00752833">
        <w:rPr>
          <w:szCs w:val="28"/>
        </w:rPr>
        <w:tab/>
        <w:t>J. Volberts</w:t>
      </w:r>
    </w:p>
    <w:p w14:paraId="22EBC60C" w14:textId="77777777" w:rsidR="009958E1" w:rsidRDefault="009958E1" w:rsidP="00F35B5D">
      <w:pPr>
        <w:pStyle w:val="BodyText"/>
        <w:tabs>
          <w:tab w:val="left" w:pos="6521"/>
        </w:tabs>
        <w:ind w:firstLine="709"/>
        <w:rPr>
          <w:szCs w:val="28"/>
        </w:rPr>
      </w:pPr>
    </w:p>
    <w:p w14:paraId="22EBC60D" w14:textId="77777777" w:rsidR="00F35B5D" w:rsidRDefault="00F35B5D" w:rsidP="00F35B5D">
      <w:pPr>
        <w:pStyle w:val="BodyText"/>
        <w:tabs>
          <w:tab w:val="left" w:pos="6521"/>
        </w:tabs>
        <w:ind w:firstLine="709"/>
        <w:rPr>
          <w:szCs w:val="28"/>
        </w:rPr>
      </w:pPr>
    </w:p>
    <w:p w14:paraId="22EBC60E" w14:textId="77777777" w:rsidR="00F35B5D" w:rsidRPr="0078680C" w:rsidRDefault="00F35B5D" w:rsidP="00F35B5D">
      <w:pPr>
        <w:spacing w:after="0" w:line="240" w:lineRule="auto"/>
        <w:ind w:firstLine="720"/>
        <w:rPr>
          <w:rFonts w:ascii="Times New Roman" w:hAnsi="Times New Roman"/>
          <w:sz w:val="24"/>
          <w:szCs w:val="24"/>
        </w:rPr>
      </w:pPr>
      <w:r w:rsidRPr="0078680C">
        <w:rPr>
          <w:rFonts w:ascii="Times New Roman" w:hAnsi="Times New Roman"/>
          <w:noProof/>
          <w:sz w:val="24"/>
          <w:szCs w:val="24"/>
        </w:rPr>
        <w:t>Signe Zvirbule</w:t>
      </w:r>
      <w:r w:rsidRPr="0078680C">
        <w:rPr>
          <w:rFonts w:ascii="Times New Roman" w:hAnsi="Times New Roman"/>
          <w:sz w:val="24"/>
          <w:szCs w:val="24"/>
        </w:rPr>
        <w:t xml:space="preserve"> </w:t>
      </w:r>
      <w:r w:rsidRPr="0078680C">
        <w:rPr>
          <w:rFonts w:ascii="Times New Roman" w:hAnsi="Times New Roman"/>
          <w:noProof/>
          <w:sz w:val="24"/>
          <w:szCs w:val="24"/>
        </w:rPr>
        <w:t>67047974</w:t>
      </w:r>
    </w:p>
    <w:p w14:paraId="22EBC60F" w14:textId="77777777" w:rsidR="00F35B5D" w:rsidRDefault="00E23882" w:rsidP="00F35B5D">
      <w:pPr>
        <w:spacing w:after="0" w:line="240" w:lineRule="auto"/>
        <w:ind w:firstLine="720"/>
        <w:rPr>
          <w:rFonts w:ascii="Times New Roman" w:hAnsi="Times New Roman"/>
          <w:noProof/>
          <w:sz w:val="24"/>
          <w:szCs w:val="24"/>
        </w:rPr>
      </w:pPr>
      <w:hyperlink r:id="rId10" w:history="1">
        <w:r w:rsidR="00F35B5D" w:rsidRPr="0076240F">
          <w:rPr>
            <w:rStyle w:val="Hyperlink"/>
            <w:rFonts w:ascii="Times New Roman" w:hAnsi="Times New Roman"/>
            <w:noProof/>
            <w:sz w:val="24"/>
            <w:szCs w:val="24"/>
          </w:rPr>
          <w:t>signe.zvirbule@izm.gov.lv</w:t>
        </w:r>
      </w:hyperlink>
    </w:p>
    <w:p w14:paraId="22EBC611" w14:textId="77777777" w:rsidR="00F35B5D" w:rsidRPr="0078680C" w:rsidRDefault="00F35B5D" w:rsidP="00C028E3">
      <w:pPr>
        <w:spacing w:after="0" w:line="240" w:lineRule="auto"/>
        <w:rPr>
          <w:rFonts w:ascii="Times New Roman" w:hAnsi="Times New Roman"/>
          <w:sz w:val="24"/>
          <w:szCs w:val="24"/>
        </w:rPr>
      </w:pPr>
    </w:p>
    <w:p w14:paraId="22EBC612" w14:textId="77777777" w:rsidR="00F35B5D" w:rsidRPr="00D93890" w:rsidRDefault="00F35B5D" w:rsidP="00F35B5D">
      <w:pPr>
        <w:pStyle w:val="BodyText"/>
        <w:tabs>
          <w:tab w:val="left" w:pos="6521"/>
        </w:tabs>
        <w:ind w:firstLine="709"/>
        <w:rPr>
          <w:sz w:val="24"/>
        </w:rPr>
      </w:pPr>
      <w:r w:rsidRPr="00D93890">
        <w:rPr>
          <w:sz w:val="24"/>
        </w:rPr>
        <w:lastRenderedPageBreak/>
        <w:t>Raitis Imša 67356248</w:t>
      </w:r>
    </w:p>
    <w:p w14:paraId="22EBC615" w14:textId="52BD9F2B" w:rsidR="00F35B5D" w:rsidRPr="00C028E3" w:rsidRDefault="00F35B5D" w:rsidP="00C028E3">
      <w:pPr>
        <w:pStyle w:val="BodyText"/>
        <w:tabs>
          <w:tab w:val="left" w:pos="6521"/>
        </w:tabs>
        <w:ind w:firstLine="709"/>
        <w:rPr>
          <w:sz w:val="24"/>
        </w:rPr>
      </w:pPr>
      <w:r w:rsidRPr="00D93890">
        <w:rPr>
          <w:color w:val="0B4CB4"/>
          <w:sz w:val="24"/>
          <w:u w:val="single" w:color="0B4CB4"/>
        </w:rPr>
        <w:t>raitis.imsa@jaunatne.gov.lv</w:t>
      </w:r>
      <w:r w:rsidRPr="00D93890">
        <w:rPr>
          <w:sz w:val="24"/>
        </w:rPr>
        <w:tab/>
      </w:r>
    </w:p>
    <w:sectPr w:rsidR="00F35B5D" w:rsidRPr="00C028E3" w:rsidSect="008B0D2B">
      <w:footerReference w:type="default" r:id="rId1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4010" w14:textId="77777777" w:rsidR="00E23882" w:rsidRDefault="00E23882" w:rsidP="00F35B5D">
      <w:pPr>
        <w:spacing w:after="0" w:line="240" w:lineRule="auto"/>
      </w:pPr>
      <w:r>
        <w:separator/>
      </w:r>
    </w:p>
  </w:endnote>
  <w:endnote w:type="continuationSeparator" w:id="0">
    <w:p w14:paraId="1218335A" w14:textId="77777777" w:rsidR="00E23882" w:rsidRDefault="00E23882" w:rsidP="00F3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EUAlbertina">
    <w:altName w:val="Cambria"/>
    <w:panose1 w:val="00000000000000000000"/>
    <w:charset w:val="EE"/>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818554"/>
      <w:docPartObj>
        <w:docPartGallery w:val="Page Numbers (Bottom of Page)"/>
        <w:docPartUnique/>
      </w:docPartObj>
    </w:sdtPr>
    <w:sdtEndPr>
      <w:rPr>
        <w:noProof/>
      </w:rPr>
    </w:sdtEndPr>
    <w:sdtContent>
      <w:p w14:paraId="22EBC61F" w14:textId="77777777" w:rsidR="004573AC" w:rsidRDefault="00F91EA5">
        <w:pPr>
          <w:pStyle w:val="Footer"/>
          <w:jc w:val="center"/>
        </w:pPr>
        <w:r>
          <w:fldChar w:fldCharType="begin"/>
        </w:r>
        <w:r>
          <w:instrText xml:space="preserve"> PAGE   \* MERGEFORMAT </w:instrText>
        </w:r>
        <w:r>
          <w:fldChar w:fldCharType="separate"/>
        </w:r>
        <w:r w:rsidR="00656CB5">
          <w:rPr>
            <w:noProof/>
          </w:rPr>
          <w:t>1</w:t>
        </w:r>
        <w:r>
          <w:rPr>
            <w:noProof/>
          </w:rPr>
          <w:fldChar w:fldCharType="end"/>
        </w:r>
      </w:p>
    </w:sdtContent>
  </w:sdt>
  <w:p w14:paraId="22EBC620" w14:textId="77777777" w:rsidR="004573AC" w:rsidRDefault="00E23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31C2" w14:textId="77777777" w:rsidR="00E23882" w:rsidRDefault="00E23882" w:rsidP="00F35B5D">
      <w:pPr>
        <w:spacing w:after="0" w:line="240" w:lineRule="auto"/>
      </w:pPr>
      <w:r>
        <w:separator/>
      </w:r>
    </w:p>
  </w:footnote>
  <w:footnote w:type="continuationSeparator" w:id="0">
    <w:p w14:paraId="7688FE79" w14:textId="77777777" w:rsidR="00E23882" w:rsidRDefault="00E23882" w:rsidP="00F35B5D">
      <w:pPr>
        <w:spacing w:after="0" w:line="240" w:lineRule="auto"/>
      </w:pPr>
      <w:r>
        <w:continuationSeparator/>
      </w:r>
    </w:p>
  </w:footnote>
  <w:footnote w:id="1">
    <w:p w14:paraId="22EBC621" w14:textId="77777777" w:rsidR="00F35B5D" w:rsidRDefault="00F35B5D" w:rsidP="00F35B5D">
      <w:pPr>
        <w:pStyle w:val="FootnoteText"/>
      </w:pPr>
      <w:r>
        <w:rPr>
          <w:rStyle w:val="FootnoteReference"/>
        </w:rPr>
        <w:footnoteRef/>
      </w:r>
      <w:r>
        <w:t xml:space="preserve"> </w:t>
      </w:r>
      <w:r w:rsidRPr="00546B60">
        <w:rPr>
          <w:rStyle w:val="Hyperlink"/>
          <w:rFonts w:ascii="Times New Roman" w:hAnsi="Times New Roman"/>
        </w:rPr>
        <w:t xml:space="preserve">Ministru kabineta darbību regulējošie dokumenti. Skat. </w:t>
      </w:r>
      <w:hyperlink r:id="rId1" w:history="1">
        <w:r w:rsidRPr="00485DE0">
          <w:rPr>
            <w:rStyle w:val="Hyperlink"/>
            <w:rFonts w:ascii="Times New Roman" w:hAnsi="Times New Roman"/>
            <w:i/>
            <w:iCs/>
          </w:rPr>
          <w:t>Valdības rīcības plāns Deklarācijas Artura Krišjāņa Kariņa vadītā Ministru kabineta iecerēto darbību īstenošanai.xls</w:t>
        </w:r>
      </w:hyperlink>
      <w:r w:rsidRPr="00485DE0">
        <w:rPr>
          <w:rStyle w:val="Hyperlink"/>
          <w:rFonts w:ascii="Times New Roman" w:hAnsi="Times New Roman"/>
          <w:i/>
          <w:iCs/>
        </w:rPr>
        <w:t xml:space="preserve">. </w:t>
      </w:r>
      <w:r w:rsidRPr="00485DE0">
        <w:rPr>
          <w:rStyle w:val="Hyperlink"/>
          <w:rFonts w:ascii="Times New Roman" w:hAnsi="Times New Roman"/>
        </w:rPr>
        <w:t xml:space="preserve">Pieejams: </w:t>
      </w:r>
      <w:hyperlink r:id="rId2" w:history="1">
        <w:r w:rsidRPr="00485DE0">
          <w:rPr>
            <w:rStyle w:val="Hyperlink"/>
            <w:rFonts w:ascii="Times New Roman" w:hAnsi="Times New Roman"/>
          </w:rPr>
          <w:t>https://www.mk.gov.lv/lv/content/darbibu-regulejosie-dokumenti</w:t>
        </w:r>
      </w:hyperlink>
    </w:p>
  </w:footnote>
  <w:footnote w:id="2">
    <w:p w14:paraId="22EBC622" w14:textId="77777777" w:rsidR="00F35B5D" w:rsidRDefault="00F35B5D" w:rsidP="00F35B5D">
      <w:pPr>
        <w:pStyle w:val="FootnoteText"/>
      </w:pPr>
      <w:r w:rsidRPr="006F06E7">
        <w:rPr>
          <w:rStyle w:val="FootnoteReference"/>
        </w:rPr>
        <w:footnoteRef/>
      </w:r>
      <w:r w:rsidRPr="006F06E7">
        <w:t xml:space="preserve"> </w:t>
      </w:r>
      <w:hyperlink r:id="rId3" w:history="1">
        <w:r w:rsidRPr="00CF1949">
          <w:rPr>
            <w:rStyle w:val="Hyperlink"/>
            <w:rFonts w:ascii="Times New Roman" w:hAnsi="Times New Roman"/>
          </w:rPr>
          <w:t>https://www.csb.gov.lv/lv/statistika/statistikas-temas/iedzivotaji/iedzivotaju-raditaji/meklet-tema/394-jauniesi-latvija-2019</w:t>
        </w:r>
      </w:hyperlink>
    </w:p>
    <w:p w14:paraId="22EBC623" w14:textId="77777777" w:rsidR="00F35B5D" w:rsidRDefault="00F35B5D" w:rsidP="00F35B5D">
      <w:pPr>
        <w:pStyle w:val="FootnoteText"/>
      </w:pPr>
    </w:p>
  </w:footnote>
  <w:footnote w:id="3">
    <w:p w14:paraId="22EBC624" w14:textId="77777777" w:rsidR="00F35B5D" w:rsidRDefault="00F35B5D" w:rsidP="00F35B5D">
      <w:pPr>
        <w:pStyle w:val="FootnoteText"/>
      </w:pPr>
      <w:r>
        <w:rPr>
          <w:rStyle w:val="FootnoteReference"/>
        </w:rPr>
        <w:footnoteRef/>
      </w:r>
      <w:r>
        <w:t xml:space="preserve"> </w:t>
      </w:r>
      <w:hyperlink r:id="rId4" w:history="1">
        <w:r w:rsidRPr="006F06E7">
          <w:rPr>
            <w:rStyle w:val="Hyperlink"/>
            <w:rFonts w:ascii="Times New Roman" w:hAnsi="Times New Roman"/>
          </w:rPr>
          <w:t>https://www.izm.gov.lv/images/jaunatne/IZM_Jaunatnes-politikas-analitisks_parskats_2017.pdf</w:t>
        </w:r>
      </w:hyperlink>
    </w:p>
  </w:footnote>
  <w:footnote w:id="4">
    <w:p w14:paraId="22EBC625" w14:textId="77777777" w:rsidR="00F35B5D" w:rsidRPr="006F06E7" w:rsidRDefault="00F35B5D" w:rsidP="00F35B5D">
      <w:pPr>
        <w:pStyle w:val="FootnoteText"/>
        <w:rPr>
          <w:rFonts w:ascii="Times New Roman" w:hAnsi="Times New Roman"/>
        </w:rPr>
      </w:pPr>
      <w:r w:rsidRPr="006F06E7">
        <w:rPr>
          <w:rStyle w:val="FootnoteReference"/>
          <w:rFonts w:ascii="Times New Roman" w:hAnsi="Times New Roman"/>
        </w:rPr>
        <w:footnoteRef/>
      </w:r>
      <w:r w:rsidRPr="006F06E7">
        <w:rPr>
          <w:rFonts w:ascii="Times New Roman" w:hAnsi="Times New Roman"/>
        </w:rPr>
        <w:t xml:space="preserve"> </w:t>
      </w:r>
      <w:hyperlink r:id="rId5" w:history="1">
        <w:r w:rsidRPr="006F06E7">
          <w:rPr>
            <w:rStyle w:val="Hyperlink"/>
            <w:rFonts w:ascii="Times New Roman" w:hAnsi="Times New Roman"/>
          </w:rPr>
          <w:t>https://youthpitstop.com/app/uploads/2019/02/Well-being-of-Young-People-in-the-Baltic-States_2018_LATVIA.pdf</w:t>
        </w:r>
      </w:hyperlink>
    </w:p>
  </w:footnote>
  <w:footnote w:id="5">
    <w:p w14:paraId="22EBC626" w14:textId="77777777" w:rsidR="00F35B5D" w:rsidRPr="0089353F" w:rsidRDefault="00F35B5D" w:rsidP="00F35B5D">
      <w:pPr>
        <w:pStyle w:val="FootnoteText"/>
        <w:rPr>
          <w:rStyle w:val="Hyperlink"/>
          <w:rFonts w:ascii="Times New Roman" w:hAnsi="Times New Roman"/>
        </w:rPr>
      </w:pPr>
      <w:r>
        <w:rPr>
          <w:rStyle w:val="FootnoteReference"/>
        </w:rPr>
        <w:footnoteRef/>
      </w:r>
      <w:r>
        <w:t xml:space="preserve"> </w:t>
      </w:r>
      <w:r w:rsidRPr="0089353F">
        <w:rPr>
          <w:rStyle w:val="Hyperlink"/>
          <w:rFonts w:ascii="Times New Roman" w:hAnsi="Times New Roman"/>
        </w:rPr>
        <w:t>NEET jaunietis – jaunietis, kas nav iesaistīts ne nodarbinātībā, ne izglītībā, ne mācībās</w:t>
      </w:r>
    </w:p>
  </w:footnote>
  <w:footnote w:id="6">
    <w:p w14:paraId="22EBC627" w14:textId="77777777" w:rsidR="00F35B5D" w:rsidRPr="006F06E7" w:rsidRDefault="00F35B5D" w:rsidP="00F35B5D">
      <w:pPr>
        <w:pStyle w:val="FootnoteText"/>
        <w:rPr>
          <w:rFonts w:ascii="Times New Roman" w:hAnsi="Times New Roman"/>
        </w:rPr>
      </w:pPr>
      <w:r w:rsidRPr="006F06E7">
        <w:rPr>
          <w:rStyle w:val="FootnoteReference"/>
          <w:rFonts w:ascii="Times New Roman" w:hAnsi="Times New Roman"/>
        </w:rPr>
        <w:footnoteRef/>
      </w:r>
      <w:r w:rsidRPr="006F06E7">
        <w:rPr>
          <w:rFonts w:ascii="Times New Roman" w:hAnsi="Times New Roman"/>
        </w:rPr>
        <w:t xml:space="preserve"> </w:t>
      </w:r>
      <w:hyperlink r:id="rId6" w:history="1">
        <w:r w:rsidRPr="006F06E7">
          <w:rPr>
            <w:rStyle w:val="Hyperlink"/>
            <w:rFonts w:ascii="Times New Roman" w:hAnsi="Times New Roman"/>
          </w:rPr>
          <w:t>https://appsso.eurostat.ec.europa.eu/nui/submitViewTableAction.do</w:t>
        </w:r>
      </w:hyperlink>
    </w:p>
  </w:footnote>
  <w:footnote w:id="7">
    <w:p w14:paraId="22EBC628" w14:textId="77777777" w:rsidR="00F35B5D" w:rsidRPr="004311B1" w:rsidRDefault="00F35B5D" w:rsidP="00F35B5D">
      <w:pPr>
        <w:pStyle w:val="FootnoteText"/>
        <w:rPr>
          <w:rFonts w:ascii="Times New Roman" w:hAnsi="Times New Roman"/>
        </w:rPr>
      </w:pPr>
      <w:r w:rsidRPr="004311B1">
        <w:rPr>
          <w:rStyle w:val="FootnoteReference"/>
          <w:rFonts w:ascii="Times New Roman" w:hAnsi="Times New Roman"/>
        </w:rPr>
        <w:footnoteRef/>
      </w:r>
      <w:r w:rsidRPr="00BF24E8">
        <w:rPr>
          <w:rFonts w:ascii="Times New Roman" w:hAnsi="Times New Roman"/>
        </w:rPr>
        <w:t>https://www.em.gov.lv/lv/darba-tirgus-apskati/mazkvalificetais20darbaspeks20latvija2020191.pdf</w:t>
      </w:r>
    </w:p>
  </w:footnote>
  <w:footnote w:id="8">
    <w:p w14:paraId="22EBC629" w14:textId="77777777" w:rsidR="00F35B5D" w:rsidRDefault="00F35B5D" w:rsidP="00F35B5D">
      <w:pPr>
        <w:pStyle w:val="FootnoteText"/>
      </w:pPr>
      <w:r>
        <w:rPr>
          <w:rStyle w:val="FootnoteReference"/>
        </w:rPr>
        <w:footnoteRef/>
      </w:r>
      <w:r>
        <w:t xml:space="preserve"> </w:t>
      </w:r>
      <w:hyperlink r:id="rId7" w:history="1">
        <w:r w:rsidRPr="001E4B95">
          <w:rPr>
            <w:rStyle w:val="Hyperlink"/>
            <w:rFonts w:ascii="Times New Roman" w:eastAsia="Calibri" w:hAnsi="Times New Roman"/>
            <w:sz w:val="16"/>
            <w:szCs w:val="16"/>
          </w:rPr>
          <w:t>https://data1.csb.gov.lv/pxweb/lv/sociala/sociala__izgl__ek_aktivitate__ikgad/NBG370.px/table/tableViewLayout1/</w:t>
        </w:r>
      </w:hyperlink>
    </w:p>
  </w:footnote>
  <w:footnote w:id="9">
    <w:p w14:paraId="22EBC62A" w14:textId="77777777" w:rsidR="00F35B5D" w:rsidRPr="001E4B95" w:rsidRDefault="00F35B5D" w:rsidP="00F35B5D">
      <w:pPr>
        <w:pStyle w:val="FootnoteText"/>
        <w:rPr>
          <w:rFonts w:ascii="Times New Roman" w:hAnsi="Times New Roman"/>
        </w:rPr>
      </w:pPr>
      <w:r>
        <w:rPr>
          <w:rStyle w:val="FootnoteReference"/>
        </w:rPr>
        <w:footnoteRef/>
      </w:r>
      <w:r>
        <w:t xml:space="preserve"> </w:t>
      </w:r>
      <w:hyperlink r:id="rId8" w:history="1">
        <w:r w:rsidRPr="001E4B95">
          <w:rPr>
            <w:rStyle w:val="Hyperlink"/>
            <w:rFonts w:ascii="Times New Roman" w:eastAsia="Calibri" w:hAnsi="Times New Roman"/>
            <w:sz w:val="16"/>
            <w:szCs w:val="16"/>
          </w:rPr>
          <w:t>https://data1.csb.gov.lv/pxweb/lv/sociala/sociala__izgl__vispskolas/IZG180.px/table/tableViewLayout1/</w:t>
        </w:r>
      </w:hyperlink>
    </w:p>
  </w:footnote>
  <w:footnote w:id="10">
    <w:p w14:paraId="22EBC62B" w14:textId="77777777" w:rsidR="00F35B5D" w:rsidRDefault="00F35B5D" w:rsidP="00F35B5D">
      <w:pPr>
        <w:pStyle w:val="FootnoteText"/>
      </w:pPr>
      <w:r>
        <w:rPr>
          <w:rStyle w:val="FootnoteReference"/>
        </w:rPr>
        <w:footnoteRef/>
      </w:r>
      <w:r>
        <w:t xml:space="preserve"> </w:t>
      </w:r>
      <w:hyperlink r:id="rId9" w:history="1">
        <w:r w:rsidRPr="001E4B95">
          <w:rPr>
            <w:rStyle w:val="Hyperlink"/>
            <w:rFonts w:ascii="Times New Roman" w:eastAsia="Calibri" w:hAnsi="Times New Roman"/>
            <w:sz w:val="16"/>
            <w:szCs w:val="16"/>
          </w:rPr>
          <w:t>https://www.csb.gov.lv/lv/statistika/statistikas-temas/iedzivotaji/iedzivotaju-raditaji/meklet-tema/394-jauniesi-latvija-2019</w:t>
        </w:r>
      </w:hyperlink>
    </w:p>
  </w:footnote>
  <w:footnote w:id="11">
    <w:p w14:paraId="22EBC62C" w14:textId="77777777" w:rsidR="00F35B5D" w:rsidRDefault="00F35B5D" w:rsidP="00F35B5D">
      <w:pPr>
        <w:pStyle w:val="FootnoteText"/>
      </w:pPr>
      <w:r w:rsidRPr="001E4B95">
        <w:rPr>
          <w:rStyle w:val="FootnoteReference"/>
          <w:rFonts w:ascii="Times New Roman" w:hAnsi="Times New Roman"/>
        </w:rPr>
        <w:footnoteRef/>
      </w:r>
      <w:r w:rsidRPr="001E4B95">
        <w:rPr>
          <w:rFonts w:ascii="Times New Roman" w:hAnsi="Times New Roman"/>
        </w:rPr>
        <w:t xml:space="preserve"> </w:t>
      </w:r>
      <w:r w:rsidRPr="007D5891">
        <w:rPr>
          <w:rStyle w:val="Hyperlink"/>
          <w:sz w:val="16"/>
          <w:szCs w:val="16"/>
        </w:rPr>
        <w:t>https://www.csb.gov.lv/sites/default/files/publication/2020-04/Nr_7_Materiala_nenodrosinatiba_Latvija_2019_%2820_00%29_LV.pdf</w:t>
      </w:r>
    </w:p>
  </w:footnote>
  <w:footnote w:id="12">
    <w:p w14:paraId="22EBC62D" w14:textId="77777777" w:rsidR="00F35B5D" w:rsidRPr="006F06E7" w:rsidRDefault="00F35B5D" w:rsidP="00F35B5D">
      <w:pPr>
        <w:pStyle w:val="FootnoteText"/>
        <w:rPr>
          <w:rFonts w:ascii="Times New Roman" w:hAnsi="Times New Roman"/>
        </w:rPr>
      </w:pPr>
      <w:r w:rsidRPr="006F06E7">
        <w:rPr>
          <w:rStyle w:val="FootnoteReference"/>
          <w:rFonts w:ascii="Times New Roman" w:hAnsi="Times New Roman"/>
        </w:rPr>
        <w:footnoteRef/>
      </w:r>
      <w:r w:rsidRPr="006F06E7">
        <w:rPr>
          <w:rFonts w:ascii="Times New Roman" w:hAnsi="Times New Roman"/>
        </w:rPr>
        <w:t xml:space="preserve"> https://ec.europa.eu/youth/policy/youth-strategy</w:t>
      </w:r>
    </w:p>
  </w:footnote>
  <w:footnote w:id="13">
    <w:p w14:paraId="22EBC62E" w14:textId="77777777" w:rsidR="00F35B5D" w:rsidRPr="003216B9" w:rsidRDefault="00F35B5D" w:rsidP="00F35B5D">
      <w:pPr>
        <w:pStyle w:val="FootnoteText"/>
        <w:rPr>
          <w:rFonts w:ascii="Times New Roman" w:hAnsi="Times New Roman"/>
        </w:rPr>
      </w:pPr>
      <w:r w:rsidRPr="003216B9">
        <w:rPr>
          <w:rStyle w:val="FootnoteReference"/>
          <w:rFonts w:ascii="Times New Roman" w:hAnsi="Times New Roman"/>
        </w:rPr>
        <w:footnoteRef/>
      </w:r>
      <w:r w:rsidRPr="003216B9">
        <w:rPr>
          <w:rFonts w:ascii="Times New Roman" w:hAnsi="Times New Roman"/>
        </w:rPr>
        <w:t xml:space="preserve"> https://youthpitstop.com/app/uploads/2019/02/Well-being-of-Young-People-in-the-Baltic-States_2018_LATVIA.pdf</w:t>
      </w:r>
    </w:p>
  </w:footnote>
  <w:footnote w:id="14">
    <w:p w14:paraId="22EBC62F" w14:textId="77777777" w:rsidR="00F35B5D" w:rsidRDefault="00F35B5D" w:rsidP="00F35B5D">
      <w:pPr>
        <w:pStyle w:val="FootnoteText"/>
      </w:pPr>
      <w:r w:rsidRPr="003216B9">
        <w:rPr>
          <w:rStyle w:val="FootnoteReference"/>
          <w:rFonts w:ascii="Times New Roman" w:hAnsi="Times New Roman"/>
        </w:rPr>
        <w:footnoteRef/>
      </w:r>
      <w:r w:rsidRPr="003216B9">
        <w:rPr>
          <w:rFonts w:ascii="Times New Roman" w:hAnsi="Times New Roman"/>
        </w:rPr>
        <w:t xml:space="preserve"> https://www.esfondi.lv/upload/izvertejumi/nosleguma_izvertejums_jauniesu_garantija.pdf</w:t>
      </w:r>
    </w:p>
  </w:footnote>
  <w:footnote w:id="15">
    <w:p w14:paraId="22EBC630" w14:textId="77777777" w:rsidR="00F35B5D" w:rsidRPr="0093557A" w:rsidRDefault="00F35B5D" w:rsidP="00F35B5D">
      <w:pPr>
        <w:pStyle w:val="FootnoteText"/>
        <w:rPr>
          <w:rFonts w:ascii="Times New Roman" w:hAnsi="Times New Roman"/>
        </w:rPr>
      </w:pPr>
      <w:r w:rsidRPr="005B07BF">
        <w:rPr>
          <w:rStyle w:val="FootnoteReference"/>
          <w:rFonts w:asciiTheme="minorHAnsi" w:hAnsiTheme="minorHAnsi"/>
          <w:sz w:val="16"/>
          <w:szCs w:val="16"/>
        </w:rPr>
        <w:footnoteRef/>
      </w:r>
      <w:r w:rsidRPr="005B07BF">
        <w:rPr>
          <w:rFonts w:asciiTheme="minorHAnsi" w:hAnsiTheme="minorHAnsi"/>
          <w:sz w:val="16"/>
          <w:szCs w:val="16"/>
        </w:rPr>
        <w:t xml:space="preserve"> </w:t>
      </w:r>
      <w:r w:rsidRPr="0093557A">
        <w:rPr>
          <w:rFonts w:ascii="Times New Roman" w:hAnsi="Times New Roman"/>
        </w:rPr>
        <w:t xml:space="preserve">Metodoloģiskās vadlīnijas </w:t>
      </w:r>
      <w:hyperlink r:id="rId10" w:history="1">
        <w:r w:rsidRPr="0093557A">
          <w:rPr>
            <w:rStyle w:val="Hyperlink"/>
            <w:rFonts w:ascii="Times New Roman" w:hAnsi="Times New Roman"/>
          </w:rPr>
          <w:t>http://jaunatne.gov.lv/sites/default/files/web/metodologiskas_vadlinijas_01.04.2020.pdf</w:t>
        </w:r>
      </w:hyperlink>
    </w:p>
  </w:footnote>
  <w:footnote w:id="16">
    <w:p w14:paraId="22EBC631" w14:textId="77777777" w:rsidR="00F35B5D" w:rsidRPr="00CD6586" w:rsidRDefault="00F35B5D" w:rsidP="00F35B5D">
      <w:pPr>
        <w:pStyle w:val="FootnoteText"/>
        <w:jc w:val="both"/>
        <w:rPr>
          <w:rFonts w:ascii="Times New Roman" w:hAnsi="Times New Roman"/>
        </w:rPr>
      </w:pPr>
      <w:r w:rsidRPr="0093557A">
        <w:rPr>
          <w:rStyle w:val="FootnoteReference"/>
          <w:rFonts w:ascii="Times New Roman" w:hAnsi="Times New Roman"/>
        </w:rPr>
        <w:footnoteRef/>
      </w:r>
      <w:r w:rsidRPr="0093557A">
        <w:rPr>
          <w:rFonts w:ascii="Times New Roman" w:hAnsi="Times New Roman"/>
        </w:rPr>
        <w:t xml:space="preserve"> </w:t>
      </w:r>
      <w:r w:rsidRPr="0093557A">
        <w:rPr>
          <w:rFonts w:ascii="Times New Roman" w:hAnsi="Times New Roman"/>
          <w:color w:val="222222"/>
          <w:shd w:val="clear" w:color="auto" w:fill="FFFFFF"/>
        </w:rPr>
        <w:t>Eddy, J. M., Martinez, C. R., Grossman, J. B., Cearley, J. J., Herrera, D., Wheeler, A. C., &amp; Harachi, T. W. (2017). A Randomized Controlled Trial of a Long-Term Professional Mentoring Program for Children at Risk: Outcomes Across the First 5 Years. </w:t>
      </w:r>
      <w:r w:rsidRPr="0093557A">
        <w:rPr>
          <w:rFonts w:ascii="Times New Roman" w:hAnsi="Times New Roman"/>
          <w:i/>
          <w:iCs/>
        </w:rPr>
        <w:t>Prevention Science</w:t>
      </w:r>
      <w:r w:rsidRPr="0093557A">
        <w:rPr>
          <w:rFonts w:ascii="Times New Roman" w:hAnsi="Times New Roman"/>
        </w:rPr>
        <w:t>; Prevention Science, 2017, Volume 18, Number 8, Page 899</w:t>
      </w:r>
      <w:r w:rsidRPr="0093557A">
        <w:rPr>
          <w:rFonts w:ascii="Times New Roman" w:hAnsi="Times New Roman"/>
          <w:color w:val="666666"/>
          <w:shd w:val="clear" w:color="auto" w:fill="FFFFFF"/>
        </w:rPr>
        <w:t xml:space="preserve"> </w:t>
      </w:r>
      <w:hyperlink r:id="rId11" w:history="1">
        <w:r w:rsidRPr="0093557A">
          <w:rPr>
            <w:rStyle w:val="Hyperlink"/>
            <w:rFonts w:ascii="Times New Roman" w:hAnsi="Times New Roman"/>
          </w:rPr>
          <w:t>https://link.springer.com/article/10.1007/s11121-017-0795-z</w:t>
        </w:r>
      </w:hyperlink>
      <w:r w:rsidRPr="0093557A">
        <w:rPr>
          <w:rFonts w:ascii="Times New Roman" w:hAnsi="Times New Roman"/>
        </w:rPr>
        <w:t xml:space="preserve">; Bruce, Mary and Bridgeland, John (2014). The Mentoring Effect: Young People’s Perspectives on the Outcomes and Availability of Mentoring. Washington, D.C.: Civic Enterprises with Hart Research Associates for MENTOR: The National Mentoring Partnership. </w:t>
      </w:r>
      <w:hyperlink r:id="rId12" w:history="1">
        <w:r w:rsidRPr="0093557A">
          <w:rPr>
            <w:rStyle w:val="Hyperlink"/>
            <w:rFonts w:ascii="Times New Roman" w:hAnsi="Times New Roman"/>
          </w:rPr>
          <w:t>https://www.mentoring.org/images/uploads/Report_TheMentoringEffect.pdf</w:t>
        </w:r>
      </w:hyperlink>
      <w:r w:rsidRPr="0093557A">
        <w:rPr>
          <w:rFonts w:ascii="Times New Roman" w:hAnsi="Times New Roman"/>
        </w:rPr>
        <w:t>; DuBois, D. L., &amp; Karcher, M. J. (2014). Handbook of Youth Mentoring,</w:t>
      </w:r>
      <w:r w:rsidRPr="0093557A">
        <w:rPr>
          <w:rFonts w:ascii="Times New Roman" w:hAnsi="Times New Roman"/>
          <w:color w:val="333333"/>
          <w:spacing w:val="2"/>
          <w:shd w:val="clear" w:color="auto" w:fill="FCFCFC"/>
        </w:rPr>
        <w:t xml:space="preserve"> </w:t>
      </w:r>
      <w:r w:rsidRPr="0093557A">
        <w:rPr>
          <w:rFonts w:ascii="Times New Roman" w:hAnsi="Times New Roman"/>
        </w:rPr>
        <w:t>(2nd ed.) Thousand Oaks, CA: SAGE Publications, Inc.</w:t>
      </w:r>
    </w:p>
  </w:footnote>
  <w:footnote w:id="17">
    <w:p w14:paraId="22EBC632" w14:textId="77777777" w:rsidR="00F35B5D" w:rsidRPr="00571CB2" w:rsidRDefault="00F35B5D" w:rsidP="00F35B5D">
      <w:pPr>
        <w:pStyle w:val="FootnoteText"/>
        <w:rPr>
          <w:rFonts w:ascii="Times New Roman" w:hAnsi="Times New Roman"/>
        </w:rPr>
      </w:pPr>
      <w:r w:rsidRPr="00571CB2">
        <w:rPr>
          <w:rStyle w:val="FootnoteReference"/>
          <w:rFonts w:ascii="Times New Roman" w:hAnsi="Times New Roman"/>
        </w:rPr>
        <w:footnoteRef/>
      </w:r>
      <w:r w:rsidRPr="00571CB2">
        <w:rPr>
          <w:rFonts w:ascii="Times New Roman" w:hAnsi="Times New Roman"/>
        </w:rPr>
        <w:t xml:space="preserve"> </w:t>
      </w:r>
      <w:hyperlink r:id="rId13" w:history="1">
        <w:r w:rsidRPr="00571CB2">
          <w:rPr>
            <w:rStyle w:val="Hyperlink"/>
            <w:rFonts w:ascii="Times New Roman" w:hAnsi="Times New Roman"/>
          </w:rPr>
          <w:t>https://www.ilo.org/global/about-the-ilo/multimedia/video/institutional-videos/WCMS_741948/lang--en/index.htm</w:t>
        </w:r>
      </w:hyperlink>
    </w:p>
  </w:footnote>
  <w:footnote w:id="18">
    <w:p w14:paraId="22EBC633" w14:textId="77777777" w:rsidR="00F35B5D" w:rsidRPr="00672D8C" w:rsidRDefault="00F35B5D" w:rsidP="00F35B5D">
      <w:pPr>
        <w:pStyle w:val="Heading2"/>
        <w:shd w:val="clear" w:color="auto" w:fill="FFFFFF"/>
        <w:spacing w:before="0"/>
        <w:rPr>
          <w:rFonts w:ascii="Times New Roman" w:hAnsi="Times New Roman" w:cs="Times New Roman"/>
          <w:color w:val="auto"/>
          <w:sz w:val="20"/>
          <w:szCs w:val="20"/>
          <w:u w:val="single"/>
        </w:rPr>
      </w:pPr>
      <w:r w:rsidRPr="00672D8C">
        <w:rPr>
          <w:rStyle w:val="FootnoteReference"/>
          <w:rFonts w:ascii="Times New Roman" w:hAnsi="Times New Roman" w:cs="Times New Roman"/>
          <w:color w:val="auto"/>
          <w:sz w:val="20"/>
          <w:szCs w:val="20"/>
        </w:rPr>
        <w:footnoteRef/>
      </w:r>
      <w:r w:rsidRPr="00672D8C">
        <w:rPr>
          <w:rFonts w:ascii="Times New Roman" w:hAnsi="Times New Roman" w:cs="Times New Roman"/>
          <w:color w:val="auto"/>
          <w:sz w:val="20"/>
          <w:szCs w:val="20"/>
        </w:rPr>
        <w:t xml:space="preserve"> </w:t>
      </w:r>
      <w:r w:rsidRPr="00672D8C">
        <w:rPr>
          <w:rFonts w:ascii="Times New Roman" w:eastAsia="Calibri" w:hAnsi="Times New Roman" w:cs="Times New Roman"/>
          <w:color w:val="auto"/>
          <w:sz w:val="20"/>
          <w:szCs w:val="20"/>
        </w:rPr>
        <w:t xml:space="preserve">Carcillo, S., et al. (2015), "NEET Youth in the Aftermath of the Crisis: Challenges and Policies", OECD Social, Employment and Migration Working Papers, No. 164, OECD Publishing, Paris, </w:t>
      </w:r>
      <w:hyperlink r:id="rId14" w:history="1">
        <w:r w:rsidRPr="00672D8C">
          <w:rPr>
            <w:rStyle w:val="Hyperlink"/>
            <w:rFonts w:ascii="Times New Roman" w:hAnsi="Times New Roman" w:cs="Times New Roman"/>
            <w:color w:val="auto"/>
            <w:sz w:val="20"/>
            <w:szCs w:val="20"/>
          </w:rPr>
          <w:t>https://doi.org/10.1787/5js6363503f6-en</w:t>
        </w:r>
      </w:hyperlink>
      <w:r w:rsidRPr="00672D8C">
        <w:rPr>
          <w:rStyle w:val="Hyperlink"/>
          <w:rFonts w:ascii="Times New Roman" w:hAnsi="Times New Roman" w:cs="Times New Roman"/>
          <w:color w:val="auto"/>
          <w:sz w:val="20"/>
          <w:szCs w:val="20"/>
        </w:rPr>
        <w:t>.;</w:t>
      </w:r>
      <w:r w:rsidRPr="00672D8C">
        <w:rPr>
          <w:rStyle w:val="Hyperlink"/>
          <w:rFonts w:ascii="Times New Roman" w:eastAsia="Calibri" w:hAnsi="Times New Roman" w:cs="Times New Roman"/>
          <w:color w:val="auto"/>
          <w:sz w:val="20"/>
          <w:szCs w:val="20"/>
        </w:rPr>
        <w:t xml:space="preserve"> </w:t>
      </w:r>
      <w:hyperlink r:id="rId15" w:history="1">
        <w:r w:rsidRPr="00672D8C">
          <w:rPr>
            <w:rFonts w:ascii="Times New Roman" w:eastAsia="Calibri" w:hAnsi="Times New Roman" w:cs="Times New Roman"/>
            <w:color w:val="auto"/>
            <w:sz w:val="20"/>
            <w:szCs w:val="20"/>
          </w:rPr>
          <w:t>https://spire.sciencespo.fr/hdl:/2441/7gu5r9nb899om9oin7k24kjpgt/resources/neet-youth.pdf</w:t>
        </w:r>
      </w:hyperlink>
      <w:r w:rsidRPr="00672D8C">
        <w:rPr>
          <w:rFonts w:ascii="Times New Roman" w:eastAsia="Calibri" w:hAnsi="Times New Roman" w:cs="Times New Roman"/>
          <w:color w:val="auto"/>
          <w:sz w:val="20"/>
          <w:szCs w:val="20"/>
        </w:rPr>
        <w:t xml:space="preserve">; The determinants of Italian NEETs and the effects of the economic crisis Genus, 2018, Volume 74, Number 1, Claudio Quintano, Paolo Mazzocchi, Antonella Rocca </w:t>
      </w:r>
      <w:hyperlink r:id="rId16" w:history="1">
        <w:r w:rsidRPr="00672D8C">
          <w:rPr>
            <w:rStyle w:val="Hyperlink"/>
            <w:rFonts w:ascii="Times New Roman" w:hAnsi="Times New Roman" w:cs="Times New Roman"/>
            <w:color w:val="auto"/>
            <w:sz w:val="20"/>
            <w:szCs w:val="20"/>
          </w:rPr>
          <w:t>https://genus.springeropen.com/articles/10.1186/s41118-018-0031-0</w:t>
        </w:r>
      </w:hyperlink>
      <w:r w:rsidRPr="00672D8C">
        <w:rPr>
          <w:rStyle w:val="Hyperlink"/>
          <w:rFonts w:ascii="Times New Roman" w:hAnsi="Times New Roman" w:cs="Times New Roman"/>
          <w:color w:val="auto"/>
          <w:sz w:val="20"/>
          <w:szCs w:val="20"/>
        </w:rPr>
        <w:t xml:space="preserve"> </w:t>
      </w:r>
    </w:p>
  </w:footnote>
  <w:footnote w:id="19">
    <w:p w14:paraId="22EBC634" w14:textId="77777777" w:rsidR="00F35B5D" w:rsidRPr="00466FCA" w:rsidRDefault="00F35B5D" w:rsidP="00F35B5D">
      <w:pPr>
        <w:pStyle w:val="FootnoteText"/>
        <w:rPr>
          <w:rFonts w:ascii="Times New Roman" w:hAnsi="Times New Roman"/>
        </w:rPr>
      </w:pPr>
      <w:r w:rsidRPr="00571CB2">
        <w:rPr>
          <w:rStyle w:val="FootnoteReference"/>
          <w:rFonts w:ascii="Times New Roman" w:hAnsi="Times New Roman"/>
        </w:rPr>
        <w:footnoteRef/>
      </w:r>
      <w:hyperlink r:id="rId17" w:history="1">
        <w:r w:rsidRPr="00571CB2">
          <w:rPr>
            <w:rStyle w:val="Hyperlink"/>
            <w:rFonts w:ascii="Times New Roman" w:hAnsi="Times New Roman"/>
          </w:rPr>
          <w:t>https://news.usc.edu/167275/how-does-coronavirus-affect-young-people-psyches/</w:t>
        </w:r>
      </w:hyperlink>
      <w:r w:rsidRPr="00571CB2">
        <w:rPr>
          <w:rStyle w:val="Hyperlink"/>
          <w:rFonts w:ascii="Times New Roman" w:hAnsi="Times New Roman"/>
        </w:rPr>
        <w:t xml:space="preserve">;  </w:t>
      </w:r>
      <w:hyperlink r:id="rId18" w:history="1">
        <w:r w:rsidRPr="00571CB2">
          <w:rPr>
            <w:rStyle w:val="Hyperlink"/>
            <w:rFonts w:ascii="Times New Roman" w:hAnsi="Times New Roman"/>
          </w:rPr>
          <w:t>https://www.unicef.org/eca/press-releases/covid-19-children-heightened-risk-abuse-neglect-exploitation-and-violence-amidst</w:t>
        </w:r>
      </w:hyperlink>
      <w:hyperlink r:id="rId19" w:history="1">
        <w:r w:rsidRPr="00571CB2">
          <w:rPr>
            <w:rStyle w:val="Hyperlink"/>
            <w:rFonts w:ascii="Times New Roman" w:hAnsi="Times New Roman"/>
          </w:rPr>
          <w:t>https://www.la.lv/no-izolacijas-visvairak-cies-jauniesi</w:t>
        </w:r>
      </w:hyperlink>
      <w:r w:rsidRPr="00571CB2">
        <w:rPr>
          <w:rFonts w:ascii="Times New Roman" w:hAnsi="Times New Roman"/>
        </w:rPr>
        <w:t xml:space="preserve">; </w:t>
      </w:r>
      <w:hyperlink r:id="rId20" w:history="1">
        <w:r w:rsidRPr="00571CB2">
          <w:rPr>
            <w:rStyle w:val="Hyperlink"/>
            <w:rFonts w:ascii="Times New Roman" w:hAnsi="Times New Roman"/>
          </w:rPr>
          <w:t>https://www.lsm.lv/raksts/dzive--stils/vecaki-un-berni/psihoterapeits-par-krizes-sekam-pusaudzi-ilgtermina-varetu-but-viena-no-visvairak-skartajam-grupam.a356886/</w:t>
        </w:r>
      </w:hyperlink>
      <w:r w:rsidRPr="00571CB2">
        <w:rPr>
          <w:rStyle w:val="Hyperlink"/>
          <w:rFonts w:ascii="Times New Roman" w:hAnsi="Times New Roman"/>
        </w:rPr>
        <w:t xml:space="preserve">; </w:t>
      </w:r>
      <w:hyperlink r:id="rId21" w:history="1">
        <w:r w:rsidRPr="00571CB2">
          <w:rPr>
            <w:rStyle w:val="Hyperlink"/>
            <w:rFonts w:ascii="Times New Roman" w:hAnsi="Times New Roman"/>
          </w:rPr>
          <w:t>https://unsdg.un.org/sites/default/files/2020-03/SG-Report-Socio-Economic-Impact-of-Covid19.pdf</w:t>
        </w:r>
      </w:hyperlink>
      <w:r w:rsidRPr="00571CB2">
        <w:rPr>
          <w:rFonts w:ascii="Times New Roman" w:hAnsi="Times New Roman"/>
        </w:rPr>
        <w:t xml:space="preserve">; </w:t>
      </w:r>
      <w:hyperlink r:id="rId22" w:history="1">
        <w:r w:rsidRPr="00571CB2">
          <w:rPr>
            <w:rStyle w:val="Hyperlink"/>
            <w:rFonts w:ascii="Times New Roman" w:hAnsi="Times New Roman"/>
          </w:rPr>
          <w:t>https://www.employment-studies.co.uk/system/files/resources/files/541.1.pdf</w:t>
        </w:r>
      </w:hyperlink>
    </w:p>
  </w:footnote>
  <w:footnote w:id="20">
    <w:p w14:paraId="22EBC635" w14:textId="77777777" w:rsidR="00F35B5D" w:rsidRPr="00074AA5" w:rsidRDefault="00F35B5D" w:rsidP="00F35B5D">
      <w:pPr>
        <w:pStyle w:val="FootnoteText"/>
        <w:rPr>
          <w:rFonts w:ascii="Times New Roman" w:hAnsi="Times New Roman"/>
        </w:rPr>
      </w:pPr>
      <w:r w:rsidRPr="00074AA5">
        <w:rPr>
          <w:rStyle w:val="FootnoteReference"/>
          <w:rFonts w:ascii="Times New Roman" w:hAnsi="Times New Roman"/>
        </w:rPr>
        <w:footnoteRef/>
      </w:r>
      <w:r w:rsidRPr="00074AA5">
        <w:rPr>
          <w:rFonts w:ascii="Times New Roman" w:hAnsi="Times New Roman"/>
        </w:rPr>
        <w:t xml:space="preserve"> </w:t>
      </w:r>
      <w:r w:rsidRPr="00074AA5">
        <w:rPr>
          <w:rFonts w:ascii="Times New Roman" w:hAnsi="Times New Roman"/>
          <w:lang w:val="en-US"/>
        </w:rPr>
        <w:t>What is NEET and how can YOUthwork provide better opportunities for young people in NEET situations.</w:t>
      </w:r>
      <w:r w:rsidRPr="00074AA5">
        <w:rPr>
          <w:rFonts w:ascii="Times New Roman" w:hAnsi="Times New Roman"/>
        </w:rPr>
        <w:t xml:space="preserve"> </w:t>
      </w:r>
      <w:hyperlink r:id="rId23" w:history="1">
        <w:r w:rsidRPr="00074AA5">
          <w:rPr>
            <w:rStyle w:val="Hyperlink"/>
            <w:rFonts w:ascii="Times New Roman" w:hAnsi="Times New Roman"/>
          </w:rPr>
          <w:t>https://www.youtube.com/watch?v=V6rO7XL15_I&amp;feature=youtu.be</w:t>
        </w:r>
      </w:hyperlink>
    </w:p>
  </w:footnote>
  <w:footnote w:id="21">
    <w:p w14:paraId="22EBC636"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4" w:history="1">
        <w:r w:rsidRPr="00466FCA">
          <w:rPr>
            <w:rStyle w:val="Hyperlink"/>
            <w:rFonts w:ascii="Times New Roman" w:hAnsi="Times New Roman"/>
          </w:rPr>
          <w:t>https://lvportals.lv/skaidrojumi/315195-vardarbiba-gimene-ko-der-zinat-cietusajam-i-2020</w:t>
        </w:r>
      </w:hyperlink>
    </w:p>
  </w:footnote>
  <w:footnote w:id="22">
    <w:p w14:paraId="22EBC637"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5" w:history="1">
        <w:r w:rsidRPr="00466FCA">
          <w:rPr>
            <w:rStyle w:val="Hyperlink"/>
            <w:rFonts w:ascii="Times New Roman" w:hAnsi="Times New Roman"/>
          </w:rPr>
          <w:t>https://www.lsa.lv/12-studejoso-varetu-partraukt-studijas-covid-19-izraisito-finansialo-seku-del/</w:t>
        </w:r>
      </w:hyperlink>
    </w:p>
  </w:footnote>
  <w:footnote w:id="23">
    <w:p w14:paraId="22EBC638"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6" w:history="1">
        <w:r w:rsidRPr="00466FCA">
          <w:rPr>
            <w:rStyle w:val="Hyperlink"/>
            <w:rFonts w:ascii="Times New Roman" w:hAnsi="Times New Roman"/>
          </w:rPr>
          <w:t>https://www.lsa.lv/12-studejoso-varetu-partraukt-studijas-covid-19-izraisito-finansialo-seku-del/</w:t>
        </w:r>
      </w:hyperlink>
    </w:p>
  </w:footnote>
  <w:footnote w:id="24">
    <w:p w14:paraId="22EBC639"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7" w:history="1">
        <w:r w:rsidRPr="00466FCA">
          <w:rPr>
            <w:rStyle w:val="Hyperlink"/>
            <w:rFonts w:ascii="Times New Roman" w:hAnsi="Times New Roman"/>
          </w:rPr>
          <w:t>https://forbes.lv/lv/viedokli/raksts/liva-zorgenfreija-covid-19-nes-un-vel-nesis-ieverojamas-parmainas-ekonomika</w:t>
        </w:r>
      </w:hyperlink>
      <w:r w:rsidRPr="00466FCA">
        <w:rPr>
          <w:rFonts w:ascii="Times New Roman" w:hAnsi="Times New Roman"/>
        </w:rPr>
        <w:t xml:space="preserve"> </w:t>
      </w:r>
    </w:p>
  </w:footnote>
  <w:footnote w:id="25">
    <w:p w14:paraId="22EBC63A"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8" w:history="1">
        <w:r w:rsidRPr="00466FCA">
          <w:rPr>
            <w:rStyle w:val="Hyperlink"/>
            <w:rFonts w:ascii="Times New Roman" w:hAnsi="Times New Roman"/>
          </w:rPr>
          <w:t>https://www.oecd.org/coronavirus/en/</w:t>
        </w:r>
      </w:hyperlink>
    </w:p>
  </w:footnote>
  <w:footnote w:id="26">
    <w:p w14:paraId="22EBC63B" w14:textId="77777777" w:rsidR="00F35B5D" w:rsidRPr="00466FCA" w:rsidRDefault="00F35B5D" w:rsidP="00F35B5D">
      <w:pPr>
        <w:pStyle w:val="FootnoteText"/>
        <w:rPr>
          <w:rFonts w:ascii="Times New Roman" w:hAnsi="Times New Roman"/>
        </w:rPr>
      </w:pPr>
      <w:r w:rsidRPr="00466FCA">
        <w:rPr>
          <w:rStyle w:val="FootnoteReference"/>
          <w:rFonts w:ascii="Times New Roman" w:hAnsi="Times New Roman"/>
        </w:rPr>
        <w:footnoteRef/>
      </w:r>
      <w:r w:rsidRPr="00466FCA">
        <w:rPr>
          <w:rFonts w:ascii="Times New Roman" w:hAnsi="Times New Roman"/>
        </w:rPr>
        <w:t xml:space="preserve"> </w:t>
      </w:r>
      <w:hyperlink r:id="rId29" w:history="1">
        <w:r w:rsidRPr="00466FCA">
          <w:rPr>
            <w:rStyle w:val="Hyperlink"/>
            <w:rFonts w:ascii="Times New Roman" w:hAnsi="Times New Roman"/>
          </w:rPr>
          <w:t>https://www.oecd.org/policy-briefs/Latvia%20Policy%20Brief%20-%20Inequality%20-%20LV.pdf</w:t>
        </w:r>
      </w:hyperlink>
    </w:p>
    <w:p w14:paraId="22EBC63C" w14:textId="77777777" w:rsidR="00F35B5D" w:rsidRDefault="00F35B5D" w:rsidP="00F35B5D">
      <w:pPr>
        <w:pStyle w:val="FootnoteText"/>
      </w:pPr>
    </w:p>
  </w:footnote>
  <w:footnote w:id="27">
    <w:p w14:paraId="07D89215" w14:textId="01DB0377" w:rsidR="00443990" w:rsidRPr="00D84411" w:rsidRDefault="00443990">
      <w:pPr>
        <w:pStyle w:val="FootnoteText"/>
        <w:rPr>
          <w:rFonts w:ascii="Times New Roman" w:hAnsi="Times New Roman"/>
        </w:rPr>
      </w:pPr>
      <w:r w:rsidRPr="00D84411">
        <w:rPr>
          <w:rStyle w:val="FootnoteReference"/>
          <w:rFonts w:ascii="Times New Roman" w:hAnsi="Times New Roman"/>
        </w:rPr>
        <w:footnoteRef/>
      </w:r>
      <w:r w:rsidRPr="00D84411">
        <w:rPr>
          <w:rFonts w:ascii="Times New Roman" w:hAnsi="Times New Roman"/>
        </w:rPr>
        <w:t xml:space="preserve"> https://komitejas.esfondi.lv/_layouts/15/WopiFrame.aspx?sourcedoc=/Shared%20Documents/1.1.VI_14-20_progress_UK_10122020_aktualizeta_08122020.pdf&amp;action=default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75FB"/>
    <w:multiLevelType w:val="hybridMultilevel"/>
    <w:tmpl w:val="D0D6538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A2B3E0C"/>
    <w:multiLevelType w:val="hybridMultilevel"/>
    <w:tmpl w:val="F1144DA0"/>
    <w:lvl w:ilvl="0" w:tplc="38EE63D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C70"/>
    <w:multiLevelType w:val="hybridMultilevel"/>
    <w:tmpl w:val="1CCC478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ED158D"/>
    <w:multiLevelType w:val="hybridMultilevel"/>
    <w:tmpl w:val="9BC8F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37409"/>
    <w:multiLevelType w:val="hybridMultilevel"/>
    <w:tmpl w:val="7A1616E4"/>
    <w:lvl w:ilvl="0" w:tplc="ADD426D0">
      <w:start w:val="1"/>
      <w:numFmt w:val="bullet"/>
      <w:lvlText w:val="•"/>
      <w:lvlJc w:val="left"/>
      <w:pPr>
        <w:tabs>
          <w:tab w:val="num" w:pos="720"/>
        </w:tabs>
        <w:ind w:left="720" w:hanging="360"/>
      </w:pPr>
      <w:rPr>
        <w:rFonts w:ascii="Times New Roman" w:hAnsi="Times New Roman" w:hint="default"/>
      </w:rPr>
    </w:lvl>
    <w:lvl w:ilvl="1" w:tplc="80469E16" w:tentative="1">
      <w:start w:val="1"/>
      <w:numFmt w:val="bullet"/>
      <w:lvlText w:val="•"/>
      <w:lvlJc w:val="left"/>
      <w:pPr>
        <w:tabs>
          <w:tab w:val="num" w:pos="1440"/>
        </w:tabs>
        <w:ind w:left="1440" w:hanging="360"/>
      </w:pPr>
      <w:rPr>
        <w:rFonts w:ascii="Times New Roman" w:hAnsi="Times New Roman" w:hint="default"/>
      </w:rPr>
    </w:lvl>
    <w:lvl w:ilvl="2" w:tplc="499C476E" w:tentative="1">
      <w:start w:val="1"/>
      <w:numFmt w:val="bullet"/>
      <w:lvlText w:val="•"/>
      <w:lvlJc w:val="left"/>
      <w:pPr>
        <w:tabs>
          <w:tab w:val="num" w:pos="2160"/>
        </w:tabs>
        <w:ind w:left="2160" w:hanging="360"/>
      </w:pPr>
      <w:rPr>
        <w:rFonts w:ascii="Times New Roman" w:hAnsi="Times New Roman" w:hint="default"/>
      </w:rPr>
    </w:lvl>
    <w:lvl w:ilvl="3" w:tplc="9A621840" w:tentative="1">
      <w:start w:val="1"/>
      <w:numFmt w:val="bullet"/>
      <w:lvlText w:val="•"/>
      <w:lvlJc w:val="left"/>
      <w:pPr>
        <w:tabs>
          <w:tab w:val="num" w:pos="2880"/>
        </w:tabs>
        <w:ind w:left="2880" w:hanging="360"/>
      </w:pPr>
      <w:rPr>
        <w:rFonts w:ascii="Times New Roman" w:hAnsi="Times New Roman" w:hint="default"/>
      </w:rPr>
    </w:lvl>
    <w:lvl w:ilvl="4" w:tplc="C8807A38" w:tentative="1">
      <w:start w:val="1"/>
      <w:numFmt w:val="bullet"/>
      <w:lvlText w:val="•"/>
      <w:lvlJc w:val="left"/>
      <w:pPr>
        <w:tabs>
          <w:tab w:val="num" w:pos="3600"/>
        </w:tabs>
        <w:ind w:left="3600" w:hanging="360"/>
      </w:pPr>
      <w:rPr>
        <w:rFonts w:ascii="Times New Roman" w:hAnsi="Times New Roman" w:hint="default"/>
      </w:rPr>
    </w:lvl>
    <w:lvl w:ilvl="5" w:tplc="536847C2" w:tentative="1">
      <w:start w:val="1"/>
      <w:numFmt w:val="bullet"/>
      <w:lvlText w:val="•"/>
      <w:lvlJc w:val="left"/>
      <w:pPr>
        <w:tabs>
          <w:tab w:val="num" w:pos="4320"/>
        </w:tabs>
        <w:ind w:left="4320" w:hanging="360"/>
      </w:pPr>
      <w:rPr>
        <w:rFonts w:ascii="Times New Roman" w:hAnsi="Times New Roman" w:hint="default"/>
      </w:rPr>
    </w:lvl>
    <w:lvl w:ilvl="6" w:tplc="48381FB2" w:tentative="1">
      <w:start w:val="1"/>
      <w:numFmt w:val="bullet"/>
      <w:lvlText w:val="•"/>
      <w:lvlJc w:val="left"/>
      <w:pPr>
        <w:tabs>
          <w:tab w:val="num" w:pos="5040"/>
        </w:tabs>
        <w:ind w:left="5040" w:hanging="360"/>
      </w:pPr>
      <w:rPr>
        <w:rFonts w:ascii="Times New Roman" w:hAnsi="Times New Roman" w:hint="default"/>
      </w:rPr>
    </w:lvl>
    <w:lvl w:ilvl="7" w:tplc="433268E8" w:tentative="1">
      <w:start w:val="1"/>
      <w:numFmt w:val="bullet"/>
      <w:lvlText w:val="•"/>
      <w:lvlJc w:val="left"/>
      <w:pPr>
        <w:tabs>
          <w:tab w:val="num" w:pos="5760"/>
        </w:tabs>
        <w:ind w:left="5760" w:hanging="360"/>
      </w:pPr>
      <w:rPr>
        <w:rFonts w:ascii="Times New Roman" w:hAnsi="Times New Roman" w:hint="default"/>
      </w:rPr>
    </w:lvl>
    <w:lvl w:ilvl="8" w:tplc="13783F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37741D"/>
    <w:multiLevelType w:val="hybridMultilevel"/>
    <w:tmpl w:val="7C0EB31C"/>
    <w:lvl w:ilvl="0" w:tplc="E1947C2C">
      <w:start w:val="1"/>
      <w:numFmt w:val="bullet"/>
      <w:lvlText w:val="•"/>
      <w:lvlJc w:val="left"/>
      <w:pPr>
        <w:tabs>
          <w:tab w:val="num" w:pos="720"/>
        </w:tabs>
        <w:ind w:left="720" w:hanging="360"/>
      </w:pPr>
      <w:rPr>
        <w:rFonts w:ascii="Times New Roman" w:hAnsi="Times New Roman" w:hint="default"/>
      </w:rPr>
    </w:lvl>
    <w:lvl w:ilvl="1" w:tplc="0BAC4B66" w:tentative="1">
      <w:start w:val="1"/>
      <w:numFmt w:val="bullet"/>
      <w:lvlText w:val="•"/>
      <w:lvlJc w:val="left"/>
      <w:pPr>
        <w:tabs>
          <w:tab w:val="num" w:pos="1440"/>
        </w:tabs>
        <w:ind w:left="1440" w:hanging="360"/>
      </w:pPr>
      <w:rPr>
        <w:rFonts w:ascii="Times New Roman" w:hAnsi="Times New Roman" w:hint="default"/>
      </w:rPr>
    </w:lvl>
    <w:lvl w:ilvl="2" w:tplc="F1F257EC" w:tentative="1">
      <w:start w:val="1"/>
      <w:numFmt w:val="bullet"/>
      <w:lvlText w:val="•"/>
      <w:lvlJc w:val="left"/>
      <w:pPr>
        <w:tabs>
          <w:tab w:val="num" w:pos="2160"/>
        </w:tabs>
        <w:ind w:left="2160" w:hanging="360"/>
      </w:pPr>
      <w:rPr>
        <w:rFonts w:ascii="Times New Roman" w:hAnsi="Times New Roman" w:hint="default"/>
      </w:rPr>
    </w:lvl>
    <w:lvl w:ilvl="3" w:tplc="62388E96" w:tentative="1">
      <w:start w:val="1"/>
      <w:numFmt w:val="bullet"/>
      <w:lvlText w:val="•"/>
      <w:lvlJc w:val="left"/>
      <w:pPr>
        <w:tabs>
          <w:tab w:val="num" w:pos="2880"/>
        </w:tabs>
        <w:ind w:left="2880" w:hanging="360"/>
      </w:pPr>
      <w:rPr>
        <w:rFonts w:ascii="Times New Roman" w:hAnsi="Times New Roman" w:hint="default"/>
      </w:rPr>
    </w:lvl>
    <w:lvl w:ilvl="4" w:tplc="7D5A8CB8" w:tentative="1">
      <w:start w:val="1"/>
      <w:numFmt w:val="bullet"/>
      <w:lvlText w:val="•"/>
      <w:lvlJc w:val="left"/>
      <w:pPr>
        <w:tabs>
          <w:tab w:val="num" w:pos="3600"/>
        </w:tabs>
        <w:ind w:left="3600" w:hanging="360"/>
      </w:pPr>
      <w:rPr>
        <w:rFonts w:ascii="Times New Roman" w:hAnsi="Times New Roman" w:hint="default"/>
      </w:rPr>
    </w:lvl>
    <w:lvl w:ilvl="5" w:tplc="0A522F04" w:tentative="1">
      <w:start w:val="1"/>
      <w:numFmt w:val="bullet"/>
      <w:lvlText w:val="•"/>
      <w:lvlJc w:val="left"/>
      <w:pPr>
        <w:tabs>
          <w:tab w:val="num" w:pos="4320"/>
        </w:tabs>
        <w:ind w:left="4320" w:hanging="360"/>
      </w:pPr>
      <w:rPr>
        <w:rFonts w:ascii="Times New Roman" w:hAnsi="Times New Roman" w:hint="default"/>
      </w:rPr>
    </w:lvl>
    <w:lvl w:ilvl="6" w:tplc="F9BE9A92" w:tentative="1">
      <w:start w:val="1"/>
      <w:numFmt w:val="bullet"/>
      <w:lvlText w:val="•"/>
      <w:lvlJc w:val="left"/>
      <w:pPr>
        <w:tabs>
          <w:tab w:val="num" w:pos="5040"/>
        </w:tabs>
        <w:ind w:left="5040" w:hanging="360"/>
      </w:pPr>
      <w:rPr>
        <w:rFonts w:ascii="Times New Roman" w:hAnsi="Times New Roman" w:hint="default"/>
      </w:rPr>
    </w:lvl>
    <w:lvl w:ilvl="7" w:tplc="77EE7620" w:tentative="1">
      <w:start w:val="1"/>
      <w:numFmt w:val="bullet"/>
      <w:lvlText w:val="•"/>
      <w:lvlJc w:val="left"/>
      <w:pPr>
        <w:tabs>
          <w:tab w:val="num" w:pos="5760"/>
        </w:tabs>
        <w:ind w:left="5760" w:hanging="360"/>
      </w:pPr>
      <w:rPr>
        <w:rFonts w:ascii="Times New Roman" w:hAnsi="Times New Roman" w:hint="default"/>
      </w:rPr>
    </w:lvl>
    <w:lvl w:ilvl="8" w:tplc="3E8CD3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646152"/>
    <w:multiLevelType w:val="hybridMultilevel"/>
    <w:tmpl w:val="880223F4"/>
    <w:lvl w:ilvl="0" w:tplc="B9047200">
      <w:start w:val="1"/>
      <w:numFmt w:val="bullet"/>
      <w:lvlText w:val="•"/>
      <w:lvlJc w:val="left"/>
      <w:pPr>
        <w:tabs>
          <w:tab w:val="num" w:pos="720"/>
        </w:tabs>
        <w:ind w:left="720" w:hanging="360"/>
      </w:pPr>
      <w:rPr>
        <w:rFonts w:ascii="Times New Roman" w:hAnsi="Times New Roman" w:hint="default"/>
      </w:rPr>
    </w:lvl>
    <w:lvl w:ilvl="1" w:tplc="DB804E60" w:tentative="1">
      <w:start w:val="1"/>
      <w:numFmt w:val="bullet"/>
      <w:lvlText w:val="•"/>
      <w:lvlJc w:val="left"/>
      <w:pPr>
        <w:tabs>
          <w:tab w:val="num" w:pos="1440"/>
        </w:tabs>
        <w:ind w:left="1440" w:hanging="360"/>
      </w:pPr>
      <w:rPr>
        <w:rFonts w:ascii="Times New Roman" w:hAnsi="Times New Roman" w:hint="default"/>
      </w:rPr>
    </w:lvl>
    <w:lvl w:ilvl="2" w:tplc="082CF5E8" w:tentative="1">
      <w:start w:val="1"/>
      <w:numFmt w:val="bullet"/>
      <w:lvlText w:val="•"/>
      <w:lvlJc w:val="left"/>
      <w:pPr>
        <w:tabs>
          <w:tab w:val="num" w:pos="2160"/>
        </w:tabs>
        <w:ind w:left="2160" w:hanging="360"/>
      </w:pPr>
      <w:rPr>
        <w:rFonts w:ascii="Times New Roman" w:hAnsi="Times New Roman" w:hint="default"/>
      </w:rPr>
    </w:lvl>
    <w:lvl w:ilvl="3" w:tplc="88B40320" w:tentative="1">
      <w:start w:val="1"/>
      <w:numFmt w:val="bullet"/>
      <w:lvlText w:val="•"/>
      <w:lvlJc w:val="left"/>
      <w:pPr>
        <w:tabs>
          <w:tab w:val="num" w:pos="2880"/>
        </w:tabs>
        <w:ind w:left="2880" w:hanging="360"/>
      </w:pPr>
      <w:rPr>
        <w:rFonts w:ascii="Times New Roman" w:hAnsi="Times New Roman" w:hint="default"/>
      </w:rPr>
    </w:lvl>
    <w:lvl w:ilvl="4" w:tplc="38604664" w:tentative="1">
      <w:start w:val="1"/>
      <w:numFmt w:val="bullet"/>
      <w:lvlText w:val="•"/>
      <w:lvlJc w:val="left"/>
      <w:pPr>
        <w:tabs>
          <w:tab w:val="num" w:pos="3600"/>
        </w:tabs>
        <w:ind w:left="3600" w:hanging="360"/>
      </w:pPr>
      <w:rPr>
        <w:rFonts w:ascii="Times New Roman" w:hAnsi="Times New Roman" w:hint="default"/>
      </w:rPr>
    </w:lvl>
    <w:lvl w:ilvl="5" w:tplc="CB5642A6" w:tentative="1">
      <w:start w:val="1"/>
      <w:numFmt w:val="bullet"/>
      <w:lvlText w:val="•"/>
      <w:lvlJc w:val="left"/>
      <w:pPr>
        <w:tabs>
          <w:tab w:val="num" w:pos="4320"/>
        </w:tabs>
        <w:ind w:left="4320" w:hanging="360"/>
      </w:pPr>
      <w:rPr>
        <w:rFonts w:ascii="Times New Roman" w:hAnsi="Times New Roman" w:hint="default"/>
      </w:rPr>
    </w:lvl>
    <w:lvl w:ilvl="6" w:tplc="5C8E3DA0" w:tentative="1">
      <w:start w:val="1"/>
      <w:numFmt w:val="bullet"/>
      <w:lvlText w:val="•"/>
      <w:lvlJc w:val="left"/>
      <w:pPr>
        <w:tabs>
          <w:tab w:val="num" w:pos="5040"/>
        </w:tabs>
        <w:ind w:left="5040" w:hanging="360"/>
      </w:pPr>
      <w:rPr>
        <w:rFonts w:ascii="Times New Roman" w:hAnsi="Times New Roman" w:hint="default"/>
      </w:rPr>
    </w:lvl>
    <w:lvl w:ilvl="7" w:tplc="AB8E0966" w:tentative="1">
      <w:start w:val="1"/>
      <w:numFmt w:val="bullet"/>
      <w:lvlText w:val="•"/>
      <w:lvlJc w:val="left"/>
      <w:pPr>
        <w:tabs>
          <w:tab w:val="num" w:pos="5760"/>
        </w:tabs>
        <w:ind w:left="5760" w:hanging="360"/>
      </w:pPr>
      <w:rPr>
        <w:rFonts w:ascii="Times New Roman" w:hAnsi="Times New Roman" w:hint="default"/>
      </w:rPr>
    </w:lvl>
    <w:lvl w:ilvl="8" w:tplc="11286D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5E1774"/>
    <w:multiLevelType w:val="hybridMultilevel"/>
    <w:tmpl w:val="F25AFD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DD69D2"/>
    <w:multiLevelType w:val="hybridMultilevel"/>
    <w:tmpl w:val="B20A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B2065"/>
    <w:multiLevelType w:val="hybridMultilevel"/>
    <w:tmpl w:val="3BD004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966AC"/>
    <w:multiLevelType w:val="hybridMultilevel"/>
    <w:tmpl w:val="85DCDE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660D2"/>
    <w:multiLevelType w:val="hybridMultilevel"/>
    <w:tmpl w:val="679C515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4B6C2C82"/>
    <w:multiLevelType w:val="hybridMultilevel"/>
    <w:tmpl w:val="585C472A"/>
    <w:lvl w:ilvl="0" w:tplc="0426000F">
      <w:start w:val="1"/>
      <w:numFmt w:val="decimal"/>
      <w:lvlText w:val="%1."/>
      <w:lvlJc w:val="left"/>
      <w:pPr>
        <w:ind w:left="786" w:hanging="360"/>
      </w:p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3D3602"/>
    <w:multiLevelType w:val="hybridMultilevel"/>
    <w:tmpl w:val="F4CE345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4" w15:restartNumberingAfterBreak="0">
    <w:nsid w:val="544E7022"/>
    <w:multiLevelType w:val="hybridMultilevel"/>
    <w:tmpl w:val="392CB4AA"/>
    <w:lvl w:ilvl="0" w:tplc="7F7083B6">
      <w:start w:val="1"/>
      <w:numFmt w:val="bullet"/>
      <w:lvlText w:val="•"/>
      <w:lvlJc w:val="left"/>
      <w:pPr>
        <w:tabs>
          <w:tab w:val="num" w:pos="720"/>
        </w:tabs>
        <w:ind w:left="720" w:hanging="360"/>
      </w:pPr>
      <w:rPr>
        <w:rFonts w:ascii="Times New Roman" w:hAnsi="Times New Roman" w:hint="default"/>
      </w:rPr>
    </w:lvl>
    <w:lvl w:ilvl="1" w:tplc="793677E4" w:tentative="1">
      <w:start w:val="1"/>
      <w:numFmt w:val="bullet"/>
      <w:lvlText w:val="•"/>
      <w:lvlJc w:val="left"/>
      <w:pPr>
        <w:tabs>
          <w:tab w:val="num" w:pos="1440"/>
        </w:tabs>
        <w:ind w:left="1440" w:hanging="360"/>
      </w:pPr>
      <w:rPr>
        <w:rFonts w:ascii="Times New Roman" w:hAnsi="Times New Roman" w:hint="default"/>
      </w:rPr>
    </w:lvl>
    <w:lvl w:ilvl="2" w:tplc="F5E60BDA" w:tentative="1">
      <w:start w:val="1"/>
      <w:numFmt w:val="bullet"/>
      <w:lvlText w:val="•"/>
      <w:lvlJc w:val="left"/>
      <w:pPr>
        <w:tabs>
          <w:tab w:val="num" w:pos="2160"/>
        </w:tabs>
        <w:ind w:left="2160" w:hanging="360"/>
      </w:pPr>
      <w:rPr>
        <w:rFonts w:ascii="Times New Roman" w:hAnsi="Times New Roman" w:hint="default"/>
      </w:rPr>
    </w:lvl>
    <w:lvl w:ilvl="3" w:tplc="F98E4AAA" w:tentative="1">
      <w:start w:val="1"/>
      <w:numFmt w:val="bullet"/>
      <w:lvlText w:val="•"/>
      <w:lvlJc w:val="left"/>
      <w:pPr>
        <w:tabs>
          <w:tab w:val="num" w:pos="2880"/>
        </w:tabs>
        <w:ind w:left="2880" w:hanging="360"/>
      </w:pPr>
      <w:rPr>
        <w:rFonts w:ascii="Times New Roman" w:hAnsi="Times New Roman" w:hint="default"/>
      </w:rPr>
    </w:lvl>
    <w:lvl w:ilvl="4" w:tplc="B784C28C" w:tentative="1">
      <w:start w:val="1"/>
      <w:numFmt w:val="bullet"/>
      <w:lvlText w:val="•"/>
      <w:lvlJc w:val="left"/>
      <w:pPr>
        <w:tabs>
          <w:tab w:val="num" w:pos="3600"/>
        </w:tabs>
        <w:ind w:left="3600" w:hanging="360"/>
      </w:pPr>
      <w:rPr>
        <w:rFonts w:ascii="Times New Roman" w:hAnsi="Times New Roman" w:hint="default"/>
      </w:rPr>
    </w:lvl>
    <w:lvl w:ilvl="5" w:tplc="041E3F94" w:tentative="1">
      <w:start w:val="1"/>
      <w:numFmt w:val="bullet"/>
      <w:lvlText w:val="•"/>
      <w:lvlJc w:val="left"/>
      <w:pPr>
        <w:tabs>
          <w:tab w:val="num" w:pos="4320"/>
        </w:tabs>
        <w:ind w:left="4320" w:hanging="360"/>
      </w:pPr>
      <w:rPr>
        <w:rFonts w:ascii="Times New Roman" w:hAnsi="Times New Roman" w:hint="default"/>
      </w:rPr>
    </w:lvl>
    <w:lvl w:ilvl="6" w:tplc="5D9A5440" w:tentative="1">
      <w:start w:val="1"/>
      <w:numFmt w:val="bullet"/>
      <w:lvlText w:val="•"/>
      <w:lvlJc w:val="left"/>
      <w:pPr>
        <w:tabs>
          <w:tab w:val="num" w:pos="5040"/>
        </w:tabs>
        <w:ind w:left="5040" w:hanging="360"/>
      </w:pPr>
      <w:rPr>
        <w:rFonts w:ascii="Times New Roman" w:hAnsi="Times New Roman" w:hint="default"/>
      </w:rPr>
    </w:lvl>
    <w:lvl w:ilvl="7" w:tplc="7E945EB0" w:tentative="1">
      <w:start w:val="1"/>
      <w:numFmt w:val="bullet"/>
      <w:lvlText w:val="•"/>
      <w:lvlJc w:val="left"/>
      <w:pPr>
        <w:tabs>
          <w:tab w:val="num" w:pos="5760"/>
        </w:tabs>
        <w:ind w:left="5760" w:hanging="360"/>
      </w:pPr>
      <w:rPr>
        <w:rFonts w:ascii="Times New Roman" w:hAnsi="Times New Roman" w:hint="default"/>
      </w:rPr>
    </w:lvl>
    <w:lvl w:ilvl="8" w:tplc="E35E24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6A7B8C"/>
    <w:multiLevelType w:val="hybridMultilevel"/>
    <w:tmpl w:val="8BDCEF2C"/>
    <w:lvl w:ilvl="0" w:tplc="5DFABD0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B54B4D"/>
    <w:multiLevelType w:val="hybridMultilevel"/>
    <w:tmpl w:val="274CEAC0"/>
    <w:lvl w:ilvl="0" w:tplc="4E30F20A">
      <w:start w:val="1"/>
      <w:numFmt w:val="bullet"/>
      <w:lvlText w:val="•"/>
      <w:lvlJc w:val="left"/>
      <w:pPr>
        <w:tabs>
          <w:tab w:val="num" w:pos="720"/>
        </w:tabs>
        <w:ind w:left="720" w:hanging="360"/>
      </w:pPr>
      <w:rPr>
        <w:rFonts w:ascii="Times New Roman" w:hAnsi="Times New Roman" w:hint="default"/>
      </w:rPr>
    </w:lvl>
    <w:lvl w:ilvl="1" w:tplc="0AE69D68" w:tentative="1">
      <w:start w:val="1"/>
      <w:numFmt w:val="bullet"/>
      <w:lvlText w:val="•"/>
      <w:lvlJc w:val="left"/>
      <w:pPr>
        <w:tabs>
          <w:tab w:val="num" w:pos="1440"/>
        </w:tabs>
        <w:ind w:left="1440" w:hanging="360"/>
      </w:pPr>
      <w:rPr>
        <w:rFonts w:ascii="Times New Roman" w:hAnsi="Times New Roman" w:hint="default"/>
      </w:rPr>
    </w:lvl>
    <w:lvl w:ilvl="2" w:tplc="48D80186" w:tentative="1">
      <w:start w:val="1"/>
      <w:numFmt w:val="bullet"/>
      <w:lvlText w:val="•"/>
      <w:lvlJc w:val="left"/>
      <w:pPr>
        <w:tabs>
          <w:tab w:val="num" w:pos="2160"/>
        </w:tabs>
        <w:ind w:left="2160" w:hanging="360"/>
      </w:pPr>
      <w:rPr>
        <w:rFonts w:ascii="Times New Roman" w:hAnsi="Times New Roman" w:hint="default"/>
      </w:rPr>
    </w:lvl>
    <w:lvl w:ilvl="3" w:tplc="E0689B72" w:tentative="1">
      <w:start w:val="1"/>
      <w:numFmt w:val="bullet"/>
      <w:lvlText w:val="•"/>
      <w:lvlJc w:val="left"/>
      <w:pPr>
        <w:tabs>
          <w:tab w:val="num" w:pos="2880"/>
        </w:tabs>
        <w:ind w:left="2880" w:hanging="360"/>
      </w:pPr>
      <w:rPr>
        <w:rFonts w:ascii="Times New Roman" w:hAnsi="Times New Roman" w:hint="default"/>
      </w:rPr>
    </w:lvl>
    <w:lvl w:ilvl="4" w:tplc="0AD609F0" w:tentative="1">
      <w:start w:val="1"/>
      <w:numFmt w:val="bullet"/>
      <w:lvlText w:val="•"/>
      <w:lvlJc w:val="left"/>
      <w:pPr>
        <w:tabs>
          <w:tab w:val="num" w:pos="3600"/>
        </w:tabs>
        <w:ind w:left="3600" w:hanging="360"/>
      </w:pPr>
      <w:rPr>
        <w:rFonts w:ascii="Times New Roman" w:hAnsi="Times New Roman" w:hint="default"/>
      </w:rPr>
    </w:lvl>
    <w:lvl w:ilvl="5" w:tplc="BF7A239A" w:tentative="1">
      <w:start w:val="1"/>
      <w:numFmt w:val="bullet"/>
      <w:lvlText w:val="•"/>
      <w:lvlJc w:val="left"/>
      <w:pPr>
        <w:tabs>
          <w:tab w:val="num" w:pos="4320"/>
        </w:tabs>
        <w:ind w:left="4320" w:hanging="360"/>
      </w:pPr>
      <w:rPr>
        <w:rFonts w:ascii="Times New Roman" w:hAnsi="Times New Roman" w:hint="default"/>
      </w:rPr>
    </w:lvl>
    <w:lvl w:ilvl="6" w:tplc="3DAE962E" w:tentative="1">
      <w:start w:val="1"/>
      <w:numFmt w:val="bullet"/>
      <w:lvlText w:val="•"/>
      <w:lvlJc w:val="left"/>
      <w:pPr>
        <w:tabs>
          <w:tab w:val="num" w:pos="5040"/>
        </w:tabs>
        <w:ind w:left="5040" w:hanging="360"/>
      </w:pPr>
      <w:rPr>
        <w:rFonts w:ascii="Times New Roman" w:hAnsi="Times New Roman" w:hint="default"/>
      </w:rPr>
    </w:lvl>
    <w:lvl w:ilvl="7" w:tplc="C7523612" w:tentative="1">
      <w:start w:val="1"/>
      <w:numFmt w:val="bullet"/>
      <w:lvlText w:val="•"/>
      <w:lvlJc w:val="left"/>
      <w:pPr>
        <w:tabs>
          <w:tab w:val="num" w:pos="5760"/>
        </w:tabs>
        <w:ind w:left="5760" w:hanging="360"/>
      </w:pPr>
      <w:rPr>
        <w:rFonts w:ascii="Times New Roman" w:hAnsi="Times New Roman" w:hint="default"/>
      </w:rPr>
    </w:lvl>
    <w:lvl w:ilvl="8" w:tplc="A19E96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E1749D"/>
    <w:multiLevelType w:val="hybridMultilevel"/>
    <w:tmpl w:val="DD32743A"/>
    <w:lvl w:ilvl="0" w:tplc="32A0A68C">
      <w:start w:val="1"/>
      <w:numFmt w:val="bullet"/>
      <w:lvlText w:val="•"/>
      <w:lvlJc w:val="left"/>
      <w:pPr>
        <w:tabs>
          <w:tab w:val="num" w:pos="720"/>
        </w:tabs>
        <w:ind w:left="720" w:hanging="360"/>
      </w:pPr>
      <w:rPr>
        <w:rFonts w:ascii="Times New Roman" w:hAnsi="Times New Roman" w:hint="default"/>
      </w:rPr>
    </w:lvl>
    <w:lvl w:ilvl="1" w:tplc="D4D81010" w:tentative="1">
      <w:start w:val="1"/>
      <w:numFmt w:val="bullet"/>
      <w:lvlText w:val="•"/>
      <w:lvlJc w:val="left"/>
      <w:pPr>
        <w:tabs>
          <w:tab w:val="num" w:pos="1440"/>
        </w:tabs>
        <w:ind w:left="1440" w:hanging="360"/>
      </w:pPr>
      <w:rPr>
        <w:rFonts w:ascii="Times New Roman" w:hAnsi="Times New Roman" w:hint="default"/>
      </w:rPr>
    </w:lvl>
    <w:lvl w:ilvl="2" w:tplc="8390A330" w:tentative="1">
      <w:start w:val="1"/>
      <w:numFmt w:val="bullet"/>
      <w:lvlText w:val="•"/>
      <w:lvlJc w:val="left"/>
      <w:pPr>
        <w:tabs>
          <w:tab w:val="num" w:pos="2160"/>
        </w:tabs>
        <w:ind w:left="2160" w:hanging="360"/>
      </w:pPr>
      <w:rPr>
        <w:rFonts w:ascii="Times New Roman" w:hAnsi="Times New Roman" w:hint="default"/>
      </w:rPr>
    </w:lvl>
    <w:lvl w:ilvl="3" w:tplc="15188FC2" w:tentative="1">
      <w:start w:val="1"/>
      <w:numFmt w:val="bullet"/>
      <w:lvlText w:val="•"/>
      <w:lvlJc w:val="left"/>
      <w:pPr>
        <w:tabs>
          <w:tab w:val="num" w:pos="2880"/>
        </w:tabs>
        <w:ind w:left="2880" w:hanging="360"/>
      </w:pPr>
      <w:rPr>
        <w:rFonts w:ascii="Times New Roman" w:hAnsi="Times New Roman" w:hint="default"/>
      </w:rPr>
    </w:lvl>
    <w:lvl w:ilvl="4" w:tplc="6EA070B0" w:tentative="1">
      <w:start w:val="1"/>
      <w:numFmt w:val="bullet"/>
      <w:lvlText w:val="•"/>
      <w:lvlJc w:val="left"/>
      <w:pPr>
        <w:tabs>
          <w:tab w:val="num" w:pos="3600"/>
        </w:tabs>
        <w:ind w:left="3600" w:hanging="360"/>
      </w:pPr>
      <w:rPr>
        <w:rFonts w:ascii="Times New Roman" w:hAnsi="Times New Roman" w:hint="default"/>
      </w:rPr>
    </w:lvl>
    <w:lvl w:ilvl="5" w:tplc="8236CE82" w:tentative="1">
      <w:start w:val="1"/>
      <w:numFmt w:val="bullet"/>
      <w:lvlText w:val="•"/>
      <w:lvlJc w:val="left"/>
      <w:pPr>
        <w:tabs>
          <w:tab w:val="num" w:pos="4320"/>
        </w:tabs>
        <w:ind w:left="4320" w:hanging="360"/>
      </w:pPr>
      <w:rPr>
        <w:rFonts w:ascii="Times New Roman" w:hAnsi="Times New Roman" w:hint="default"/>
      </w:rPr>
    </w:lvl>
    <w:lvl w:ilvl="6" w:tplc="06401934" w:tentative="1">
      <w:start w:val="1"/>
      <w:numFmt w:val="bullet"/>
      <w:lvlText w:val="•"/>
      <w:lvlJc w:val="left"/>
      <w:pPr>
        <w:tabs>
          <w:tab w:val="num" w:pos="5040"/>
        </w:tabs>
        <w:ind w:left="5040" w:hanging="360"/>
      </w:pPr>
      <w:rPr>
        <w:rFonts w:ascii="Times New Roman" w:hAnsi="Times New Roman" w:hint="default"/>
      </w:rPr>
    </w:lvl>
    <w:lvl w:ilvl="7" w:tplc="365242E8" w:tentative="1">
      <w:start w:val="1"/>
      <w:numFmt w:val="bullet"/>
      <w:lvlText w:val="•"/>
      <w:lvlJc w:val="left"/>
      <w:pPr>
        <w:tabs>
          <w:tab w:val="num" w:pos="5760"/>
        </w:tabs>
        <w:ind w:left="5760" w:hanging="360"/>
      </w:pPr>
      <w:rPr>
        <w:rFonts w:ascii="Times New Roman" w:hAnsi="Times New Roman" w:hint="default"/>
      </w:rPr>
    </w:lvl>
    <w:lvl w:ilvl="8" w:tplc="1702143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3B1023"/>
    <w:multiLevelType w:val="hybridMultilevel"/>
    <w:tmpl w:val="6DF00BD6"/>
    <w:lvl w:ilvl="0" w:tplc="5A9A4A22">
      <w:start w:val="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31F5E10"/>
    <w:multiLevelType w:val="hybridMultilevel"/>
    <w:tmpl w:val="92449C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2"/>
  </w:num>
  <w:num w:numId="7">
    <w:abstractNumId w:val="4"/>
  </w:num>
  <w:num w:numId="8">
    <w:abstractNumId w:val="17"/>
  </w:num>
  <w:num w:numId="9">
    <w:abstractNumId w:val="16"/>
  </w:num>
  <w:num w:numId="10">
    <w:abstractNumId w:val="14"/>
  </w:num>
  <w:num w:numId="11">
    <w:abstractNumId w:val="6"/>
  </w:num>
  <w:num w:numId="12">
    <w:abstractNumId w:val="5"/>
  </w:num>
  <w:num w:numId="13">
    <w:abstractNumId w:val="0"/>
  </w:num>
  <w:num w:numId="14">
    <w:abstractNumId w:val="7"/>
  </w:num>
  <w:num w:numId="15">
    <w:abstractNumId w:val="11"/>
  </w:num>
  <w:num w:numId="16">
    <w:abstractNumId w:val="13"/>
  </w:num>
  <w:num w:numId="17">
    <w:abstractNumId w:val="10"/>
  </w:num>
  <w:num w:numId="18">
    <w:abstractNumId w:val="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5D"/>
    <w:rsid w:val="0001230D"/>
    <w:rsid w:val="000323CC"/>
    <w:rsid w:val="00041D52"/>
    <w:rsid w:val="000D43E7"/>
    <w:rsid w:val="00101086"/>
    <w:rsid w:val="00101818"/>
    <w:rsid w:val="0011272D"/>
    <w:rsid w:val="0011316F"/>
    <w:rsid w:val="00177C46"/>
    <w:rsid w:val="00183DC2"/>
    <w:rsid w:val="0019563E"/>
    <w:rsid w:val="001B08E5"/>
    <w:rsid w:val="001B3F61"/>
    <w:rsid w:val="002859CF"/>
    <w:rsid w:val="002E2805"/>
    <w:rsid w:val="00352946"/>
    <w:rsid w:val="003D35DE"/>
    <w:rsid w:val="003E12A7"/>
    <w:rsid w:val="00415D42"/>
    <w:rsid w:val="00417FDE"/>
    <w:rsid w:val="00443990"/>
    <w:rsid w:val="00461AD2"/>
    <w:rsid w:val="004672F4"/>
    <w:rsid w:val="004C3B8B"/>
    <w:rsid w:val="004D0C93"/>
    <w:rsid w:val="00563042"/>
    <w:rsid w:val="005F02A2"/>
    <w:rsid w:val="00624FB8"/>
    <w:rsid w:val="00641830"/>
    <w:rsid w:val="00656CB5"/>
    <w:rsid w:val="00681E34"/>
    <w:rsid w:val="007836F7"/>
    <w:rsid w:val="007B759F"/>
    <w:rsid w:val="007D2891"/>
    <w:rsid w:val="008C0166"/>
    <w:rsid w:val="008C2A08"/>
    <w:rsid w:val="008E39E7"/>
    <w:rsid w:val="00900664"/>
    <w:rsid w:val="00912E5F"/>
    <w:rsid w:val="009376D8"/>
    <w:rsid w:val="00942730"/>
    <w:rsid w:val="009958E1"/>
    <w:rsid w:val="009C5198"/>
    <w:rsid w:val="00A02D8E"/>
    <w:rsid w:val="00A4331E"/>
    <w:rsid w:val="00A651D9"/>
    <w:rsid w:val="00B14FB4"/>
    <w:rsid w:val="00B34427"/>
    <w:rsid w:val="00B73ADA"/>
    <w:rsid w:val="00B97993"/>
    <w:rsid w:val="00BC0ED1"/>
    <w:rsid w:val="00BE7094"/>
    <w:rsid w:val="00C028E3"/>
    <w:rsid w:val="00C07324"/>
    <w:rsid w:val="00C526B9"/>
    <w:rsid w:val="00C94C03"/>
    <w:rsid w:val="00D556A2"/>
    <w:rsid w:val="00D84411"/>
    <w:rsid w:val="00DE1869"/>
    <w:rsid w:val="00E23882"/>
    <w:rsid w:val="00E74C7C"/>
    <w:rsid w:val="00E80736"/>
    <w:rsid w:val="00ED4000"/>
    <w:rsid w:val="00F3065D"/>
    <w:rsid w:val="00F35B5D"/>
    <w:rsid w:val="00F91EA5"/>
    <w:rsid w:val="00FF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C560"/>
  <w15:docId w15:val="{CC4C41EE-9C84-4167-97E7-F36B9AF0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5D"/>
  </w:style>
  <w:style w:type="paragraph" w:styleId="Heading1">
    <w:name w:val="heading 1"/>
    <w:basedOn w:val="Normal"/>
    <w:next w:val="Normal"/>
    <w:link w:val="Heading1Char"/>
    <w:uiPriority w:val="9"/>
    <w:qFormat/>
    <w:rsid w:val="00F35B5D"/>
    <w:pPr>
      <w:keepNext/>
      <w:keepLines/>
      <w:widowControl w:val="0"/>
      <w:spacing w:before="240" w:after="0" w:line="276" w:lineRule="auto"/>
      <w:outlineLvl w:val="0"/>
    </w:pPr>
    <w:rPr>
      <w:rFonts w:ascii="Times New Roman" w:eastAsiaTheme="majorEastAsia" w:hAnsi="Times New Roman" w:cstheme="majorBidi"/>
      <w:b/>
      <w:sz w:val="24"/>
      <w:szCs w:val="32"/>
      <w:lang w:val="lv-LV"/>
    </w:rPr>
  </w:style>
  <w:style w:type="paragraph" w:styleId="Heading2">
    <w:name w:val="heading 2"/>
    <w:basedOn w:val="Normal"/>
    <w:next w:val="Normal"/>
    <w:link w:val="Heading2Char"/>
    <w:uiPriority w:val="9"/>
    <w:unhideWhenUsed/>
    <w:qFormat/>
    <w:rsid w:val="00F35B5D"/>
    <w:pPr>
      <w:keepNext/>
      <w:keepLines/>
      <w:widowControl w:val="0"/>
      <w:spacing w:before="40" w:after="0" w:line="276" w:lineRule="auto"/>
      <w:outlineLvl w:val="1"/>
    </w:pPr>
    <w:rPr>
      <w:rFonts w:asciiTheme="majorHAnsi" w:eastAsiaTheme="majorEastAsia" w:hAnsiTheme="majorHAnsi" w:cstheme="majorBidi"/>
      <w:color w:val="2E74B5" w:themeColor="accent1" w:themeShade="BF"/>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B5D"/>
    <w:rPr>
      <w:rFonts w:ascii="Times New Roman" w:eastAsiaTheme="majorEastAsia" w:hAnsi="Times New Roman" w:cstheme="majorBidi"/>
      <w:b/>
      <w:sz w:val="24"/>
      <w:szCs w:val="32"/>
      <w:lang w:val="lv-LV"/>
    </w:rPr>
  </w:style>
  <w:style w:type="character" w:customStyle="1" w:styleId="Heading2Char">
    <w:name w:val="Heading 2 Char"/>
    <w:basedOn w:val="DefaultParagraphFont"/>
    <w:link w:val="Heading2"/>
    <w:uiPriority w:val="9"/>
    <w:rsid w:val="00F35B5D"/>
    <w:rPr>
      <w:rFonts w:asciiTheme="majorHAnsi" w:eastAsiaTheme="majorEastAsia" w:hAnsiTheme="majorHAnsi" w:cstheme="majorBidi"/>
      <w:color w:val="2E74B5" w:themeColor="accent1" w:themeShade="BF"/>
      <w:sz w:val="26"/>
      <w:szCs w:val="26"/>
      <w:lang w:val="lv-LV"/>
    </w:rPr>
  </w:style>
  <w:style w:type="paragraph" w:customStyle="1" w:styleId="Default">
    <w:name w:val="Default"/>
    <w:rsid w:val="00F35B5D"/>
    <w:pPr>
      <w:autoSpaceDE w:val="0"/>
      <w:autoSpaceDN w:val="0"/>
      <w:adjustRightInd w:val="0"/>
      <w:spacing w:after="0" w:line="240" w:lineRule="auto"/>
    </w:pPr>
    <w:rPr>
      <w:rFonts w:ascii="EUAlbertina" w:eastAsia="Calibri" w:hAnsi="EUAlbertina" w:cs="EUAlbertina"/>
      <w:color w:val="000000"/>
      <w:sz w:val="24"/>
      <w:szCs w:val="24"/>
      <w:lang w:val="lv-LV"/>
    </w:rPr>
  </w:style>
  <w:style w:type="character" w:styleId="CommentReference">
    <w:name w:val="annotation reference"/>
    <w:basedOn w:val="DefaultParagraphFont"/>
    <w:uiPriority w:val="99"/>
    <w:semiHidden/>
    <w:unhideWhenUsed/>
    <w:rsid w:val="00F35B5D"/>
    <w:rPr>
      <w:sz w:val="16"/>
      <w:szCs w:val="16"/>
    </w:rPr>
  </w:style>
  <w:style w:type="paragraph" w:styleId="CommentText">
    <w:name w:val="annotation text"/>
    <w:basedOn w:val="Normal"/>
    <w:link w:val="CommentTextChar"/>
    <w:uiPriority w:val="99"/>
    <w:unhideWhenUsed/>
    <w:rsid w:val="00F35B5D"/>
    <w:pPr>
      <w:spacing w:line="240" w:lineRule="auto"/>
    </w:pPr>
    <w:rPr>
      <w:sz w:val="20"/>
      <w:szCs w:val="20"/>
    </w:rPr>
  </w:style>
  <w:style w:type="character" w:customStyle="1" w:styleId="CommentTextChar">
    <w:name w:val="Comment Text Char"/>
    <w:basedOn w:val="DefaultParagraphFont"/>
    <w:link w:val="CommentText"/>
    <w:uiPriority w:val="99"/>
    <w:rsid w:val="00F35B5D"/>
    <w:rPr>
      <w:sz w:val="20"/>
      <w:szCs w:val="20"/>
    </w:rPr>
  </w:style>
  <w:style w:type="paragraph" w:styleId="CommentSubject">
    <w:name w:val="annotation subject"/>
    <w:basedOn w:val="CommentText"/>
    <w:next w:val="CommentText"/>
    <w:link w:val="CommentSubjectChar"/>
    <w:uiPriority w:val="99"/>
    <w:semiHidden/>
    <w:unhideWhenUsed/>
    <w:rsid w:val="00F35B5D"/>
    <w:rPr>
      <w:b/>
      <w:bCs/>
    </w:rPr>
  </w:style>
  <w:style w:type="character" w:customStyle="1" w:styleId="CommentSubjectChar">
    <w:name w:val="Comment Subject Char"/>
    <w:basedOn w:val="CommentTextChar"/>
    <w:link w:val="CommentSubject"/>
    <w:uiPriority w:val="99"/>
    <w:semiHidden/>
    <w:rsid w:val="00F35B5D"/>
    <w:rPr>
      <w:b/>
      <w:bCs/>
      <w:sz w:val="20"/>
      <w:szCs w:val="20"/>
    </w:rPr>
  </w:style>
  <w:style w:type="paragraph" w:styleId="BalloonText">
    <w:name w:val="Balloon Text"/>
    <w:basedOn w:val="Normal"/>
    <w:link w:val="BalloonTextChar"/>
    <w:uiPriority w:val="99"/>
    <w:semiHidden/>
    <w:unhideWhenUsed/>
    <w:rsid w:val="00F3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B5D"/>
    <w:rPr>
      <w:rFonts w:ascii="Segoe UI" w:hAnsi="Segoe UI" w:cs="Segoe UI"/>
      <w:sz w:val="18"/>
      <w:szCs w:val="18"/>
    </w:rPr>
  </w:style>
  <w:style w:type="character" w:styleId="Hyperlink">
    <w:name w:val="Hyperlink"/>
    <w:aliases w:val="Char1, Char1"/>
    <w:basedOn w:val="DefaultParagraphFont"/>
    <w:uiPriority w:val="99"/>
    <w:unhideWhenUsed/>
    <w:rsid w:val="00F35B5D"/>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F35B5D"/>
    <w:pPr>
      <w:spacing w:after="0" w:line="240" w:lineRule="auto"/>
    </w:pPr>
    <w:rPr>
      <w:rFonts w:ascii="Calibri" w:eastAsia="Times New Roman" w:hAnsi="Calibri" w:cs="Times New Roman"/>
      <w:sz w:val="20"/>
      <w:szCs w:val="20"/>
      <w:lang w:val="lv-LV"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F35B5D"/>
    <w:rPr>
      <w:rFonts w:ascii="Calibri" w:eastAsia="Times New Roman" w:hAnsi="Calibri" w:cs="Times New Roman"/>
      <w:sz w:val="20"/>
      <w:szCs w:val="20"/>
      <w:lang w:val="lv-LV"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link w:val="CharCharCharChar"/>
    <w:uiPriority w:val="99"/>
    <w:unhideWhenUsed/>
    <w:rsid w:val="00F35B5D"/>
    <w:rPr>
      <w:vertAlign w:val="superscript"/>
    </w:rPr>
  </w:style>
  <w:style w:type="paragraph" w:styleId="NoSpacing">
    <w:name w:val="No Spacing"/>
    <w:uiPriority w:val="1"/>
    <w:qFormat/>
    <w:rsid w:val="00F35B5D"/>
    <w:pPr>
      <w:widowControl w:val="0"/>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F35B5D"/>
    <w:pPr>
      <w:spacing w:line="240" w:lineRule="exact"/>
      <w:jc w:val="both"/>
      <w:textAlignment w:val="baseline"/>
    </w:pPr>
    <w:rPr>
      <w:vertAlign w:val="superscript"/>
    </w:rPr>
  </w:style>
  <w:style w:type="character" w:styleId="FollowedHyperlink">
    <w:name w:val="FollowedHyperlink"/>
    <w:basedOn w:val="DefaultParagraphFont"/>
    <w:uiPriority w:val="99"/>
    <w:semiHidden/>
    <w:unhideWhenUsed/>
    <w:rsid w:val="00F35B5D"/>
    <w:rPr>
      <w:color w:val="954F72" w:themeColor="followedHyperlink"/>
      <w:u w:val="single"/>
    </w:rPr>
  </w:style>
  <w:style w:type="paragraph" w:styleId="ListParagraph">
    <w:name w:val="List Paragraph"/>
    <w:aliases w:val="H&amp;P List Paragraph"/>
    <w:basedOn w:val="Normal"/>
    <w:link w:val="ListParagraphChar"/>
    <w:uiPriority w:val="34"/>
    <w:qFormat/>
    <w:rsid w:val="00F35B5D"/>
    <w:pPr>
      <w:spacing w:after="0" w:line="240" w:lineRule="auto"/>
      <w:ind w:left="720"/>
    </w:pPr>
    <w:rPr>
      <w:rFonts w:ascii="Calibri" w:hAnsi="Calibri" w:cs="Calibri"/>
    </w:rPr>
  </w:style>
  <w:style w:type="paragraph" w:styleId="Header">
    <w:name w:val="header"/>
    <w:basedOn w:val="Normal"/>
    <w:link w:val="HeaderChar"/>
    <w:uiPriority w:val="99"/>
    <w:unhideWhenUsed/>
    <w:rsid w:val="00F35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5D"/>
  </w:style>
  <w:style w:type="paragraph" w:styleId="Footer">
    <w:name w:val="footer"/>
    <w:basedOn w:val="Normal"/>
    <w:link w:val="FooterChar"/>
    <w:uiPriority w:val="99"/>
    <w:unhideWhenUsed/>
    <w:rsid w:val="00F35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5D"/>
  </w:style>
  <w:style w:type="table" w:styleId="TableGrid">
    <w:name w:val="Table Grid"/>
    <w:basedOn w:val="TableNormal"/>
    <w:uiPriority w:val="39"/>
    <w:rsid w:val="00F3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F35B5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F35B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5B5D"/>
    <w:rPr>
      <w:sz w:val="20"/>
      <w:szCs w:val="20"/>
    </w:rPr>
  </w:style>
  <w:style w:type="character" w:styleId="EndnoteReference">
    <w:name w:val="endnote reference"/>
    <w:basedOn w:val="DefaultParagraphFont"/>
    <w:uiPriority w:val="99"/>
    <w:semiHidden/>
    <w:unhideWhenUsed/>
    <w:rsid w:val="00F35B5D"/>
    <w:rPr>
      <w:vertAlign w:val="superscript"/>
    </w:rPr>
  </w:style>
  <w:style w:type="character" w:customStyle="1" w:styleId="ListParagraphChar">
    <w:name w:val="List Paragraph Char"/>
    <w:aliases w:val="H&amp;P List Paragraph Char"/>
    <w:link w:val="ListParagraph"/>
    <w:uiPriority w:val="34"/>
    <w:locked/>
    <w:rsid w:val="00F35B5D"/>
    <w:rPr>
      <w:rFonts w:ascii="Calibri" w:hAnsi="Calibri" w:cs="Calibri"/>
    </w:rPr>
  </w:style>
  <w:style w:type="paragraph" w:styleId="Revision">
    <w:name w:val="Revision"/>
    <w:hidden/>
    <w:uiPriority w:val="99"/>
    <w:semiHidden/>
    <w:rsid w:val="00F35B5D"/>
    <w:pPr>
      <w:spacing w:after="0" w:line="240" w:lineRule="auto"/>
    </w:pPr>
  </w:style>
  <w:style w:type="paragraph" w:styleId="BodyText">
    <w:name w:val="Body Text"/>
    <w:basedOn w:val="Normal"/>
    <w:link w:val="BodyTextChar"/>
    <w:rsid w:val="00F35B5D"/>
    <w:pPr>
      <w:tabs>
        <w:tab w:val="left" w:pos="1260"/>
      </w:tabs>
      <w:spacing w:after="0" w:line="240" w:lineRule="auto"/>
      <w:jc w:val="both"/>
    </w:pPr>
    <w:rPr>
      <w:rFonts w:ascii="Times New Roman" w:eastAsia="Times New Roman" w:hAnsi="Times New Roman" w:cs="Times New Roman"/>
      <w:sz w:val="28"/>
      <w:szCs w:val="24"/>
      <w:lang w:val="lv-LV"/>
    </w:rPr>
  </w:style>
  <w:style w:type="character" w:customStyle="1" w:styleId="BodyTextChar">
    <w:name w:val="Body Text Char"/>
    <w:basedOn w:val="DefaultParagraphFont"/>
    <w:link w:val="BodyText"/>
    <w:rsid w:val="00F35B5D"/>
    <w:rPr>
      <w:rFonts w:ascii="Times New Roman" w:eastAsia="Times New Roman" w:hAnsi="Times New Roman" w:cs="Times New Roman"/>
      <w:sz w:val="28"/>
      <w:szCs w:val="24"/>
      <w:lang w:val="lv-LV"/>
    </w:rPr>
  </w:style>
  <w:style w:type="character" w:styleId="IntenseEmphasis">
    <w:name w:val="Intense Emphasis"/>
    <w:basedOn w:val="DefaultParagraphFont"/>
    <w:uiPriority w:val="21"/>
    <w:qFormat/>
    <w:rsid w:val="00F35B5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data1.csb.gov.lv/pxweb/lv/sociala/sociala__izgl__vispskolas/IZG180.px/table/tableViewLayout1/" TargetMode="External"/><Relationship Id="rId13" Type="http://schemas.openxmlformats.org/officeDocument/2006/relationships/hyperlink" Target="https://www.ilo.org/global/about-the-ilo/multimedia/video/institutional-videos/WCMS_741948/lang--en/index.htm" TargetMode="External"/><Relationship Id="rId18" Type="http://schemas.openxmlformats.org/officeDocument/2006/relationships/hyperlink" Target="https://www.unicef.org/eca/press-releases/covid-19-children-heightened-risk-abuse-neglect-exploitation-and-violence-amidst" TargetMode="External"/><Relationship Id="rId26" Type="http://schemas.openxmlformats.org/officeDocument/2006/relationships/hyperlink" Target="https://www.lsa.lv/12-studejoso-varetu-partraukt-studijas-covid-19-izraisito-finansialo-seku-del/" TargetMode="External"/><Relationship Id="rId3" Type="http://schemas.openxmlformats.org/officeDocument/2006/relationships/hyperlink" Target="https://www.csb.gov.lv/lv/statistika/statistikas-temas/iedzivotaji/iedzivotaju-raditaji/meklet-tema/394-jauniesi-latvija-2019" TargetMode="External"/><Relationship Id="rId21" Type="http://schemas.openxmlformats.org/officeDocument/2006/relationships/hyperlink" Target="https://unsdg.un.org/sites/default/files/2020-03/SG-Report-Socio-Economic-Impact-of-Covid19.pdf" TargetMode="External"/><Relationship Id="rId7" Type="http://schemas.openxmlformats.org/officeDocument/2006/relationships/hyperlink" Target="https://data1.csb.gov.lv/pxweb/lv/sociala/sociala__izgl__ek_aktivitate__ikgad/NBG370.px/table/tableViewLayout1/" TargetMode="External"/><Relationship Id="rId12" Type="http://schemas.openxmlformats.org/officeDocument/2006/relationships/hyperlink" Target="https://www.mentoring.org/images/uploads/Report_TheMentoringEffect.pdf" TargetMode="External"/><Relationship Id="rId17" Type="http://schemas.openxmlformats.org/officeDocument/2006/relationships/hyperlink" Target="https://news.usc.edu/167275/how-does-coronavirus-affect-young-people-psyches/" TargetMode="External"/><Relationship Id="rId25" Type="http://schemas.openxmlformats.org/officeDocument/2006/relationships/hyperlink" Target="https://www.lsa.lv/12-studejoso-varetu-partraukt-studijas-covid-19-izraisito-finansialo-seku-del/" TargetMode="External"/><Relationship Id="rId2" Type="http://schemas.openxmlformats.org/officeDocument/2006/relationships/hyperlink" Target="https://www.mk.gov.lv/lv/content/darbibu-regulejosie-dokumenti" TargetMode="External"/><Relationship Id="rId16" Type="http://schemas.openxmlformats.org/officeDocument/2006/relationships/hyperlink" Target="https://genus.springeropen.com/articles/10.1186/s41118-018-0031-0" TargetMode="External"/><Relationship Id="rId20" Type="http://schemas.openxmlformats.org/officeDocument/2006/relationships/hyperlink" Target="https://www.lsm.lv/raksts/dzive--stils/vecaki-un-berni/psihoterapeits-par-krizes-sekam-pusaudzi-ilgtermina-varetu-but-viena-no-visvairak-skartajam-grupam.a356886/" TargetMode="External"/><Relationship Id="rId29" Type="http://schemas.openxmlformats.org/officeDocument/2006/relationships/hyperlink" Target="https://www.oecd.org/policy-briefs/Latvia%20Policy%20Brief%20-%20Inequality%20-%20LV.pdf" TargetMode="External"/><Relationship Id="rId1" Type="http://schemas.openxmlformats.org/officeDocument/2006/relationships/hyperlink" Target="https://www.mk.gov.lv/sites/default/files/editor/final_mkrik_pielikums_vrp_preciz_250419.xlsx" TargetMode="External"/><Relationship Id="rId6" Type="http://schemas.openxmlformats.org/officeDocument/2006/relationships/hyperlink" Target="https://appsso.eurostat.ec.europa.eu/nui/submitViewTableAction.do" TargetMode="External"/><Relationship Id="rId11" Type="http://schemas.openxmlformats.org/officeDocument/2006/relationships/hyperlink" Target="https://link.springer.com/article/10.1007/s11121-017-0795-z" TargetMode="External"/><Relationship Id="rId24" Type="http://schemas.openxmlformats.org/officeDocument/2006/relationships/hyperlink" Target="https://lvportals.lv/skaidrojumi/315195-vardarbiba-gimene-ko-der-zinat-cietusajam-i-2020" TargetMode="External"/><Relationship Id="rId5" Type="http://schemas.openxmlformats.org/officeDocument/2006/relationships/hyperlink" Target="https://youthpitstop.com/app/uploads/2019/02/Well-being-of-Young-People-in-the-Baltic-States_2018_LATVIA.pdf" TargetMode="External"/><Relationship Id="rId15" Type="http://schemas.openxmlformats.org/officeDocument/2006/relationships/hyperlink" Target="https://spire.sciencespo.fr/hdl:/2441/7gu5r9nb899om9oin7k24kjpgt/resources/neet-youth.pdf" TargetMode="External"/><Relationship Id="rId23" Type="http://schemas.openxmlformats.org/officeDocument/2006/relationships/hyperlink" Target="https://www.youtube.com/watch?v=V6rO7XL15_I&amp;feature=youtu.be" TargetMode="External"/><Relationship Id="rId28" Type="http://schemas.openxmlformats.org/officeDocument/2006/relationships/hyperlink" Target="https://www.oecd.org/coronavirus/en/" TargetMode="External"/><Relationship Id="rId10" Type="http://schemas.openxmlformats.org/officeDocument/2006/relationships/hyperlink" Target="http://jaunatne.gov.lv/sites/default/files/web/metodologiskas_vadlinijas_01.04.2020.pdf" TargetMode="External"/><Relationship Id="rId19" Type="http://schemas.openxmlformats.org/officeDocument/2006/relationships/hyperlink" Target="https://www.la.lv/no-izolacijas-visvairak-cies-jauniesi" TargetMode="External"/><Relationship Id="rId4" Type="http://schemas.openxmlformats.org/officeDocument/2006/relationships/hyperlink" Target="https://www.izm.gov.lv/images/jaunatne/IZM_Jaunatnes-politikas-analitisks_parskats_2017.pdf" TargetMode="External"/><Relationship Id="rId9" Type="http://schemas.openxmlformats.org/officeDocument/2006/relationships/hyperlink" Target="https://www.csb.gov.lv/lv/statistika/statistikas-temas/iedzivotaji/iedzivotaju-raditaji/meklet-tema/394-jauniesi-latvija-2019" TargetMode="External"/><Relationship Id="rId14" Type="http://schemas.openxmlformats.org/officeDocument/2006/relationships/hyperlink" Target="https://doi.org/10.1787/5js6363503f6-en" TargetMode="External"/><Relationship Id="rId22" Type="http://schemas.openxmlformats.org/officeDocument/2006/relationships/hyperlink" Target="https://www.employment-studies.co.uk/system/files/resources/files/541.1.pdf" TargetMode="External"/><Relationship Id="rId27" Type="http://schemas.openxmlformats.org/officeDocument/2006/relationships/hyperlink" Target="https://forbes.lv/lv/viedokli/raksts/liva-zorgenfreija-covid-19-nes-un-vel-nesis-ieverojamas-parmainas-ekonomik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igne.Zvirbule\Desktop\Inf_zin_2020_833SAM\lv_siev_vir_15-2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igne.Zvirbule\Desktop\Inf_zin_2020_833SAM\lv_siev_vir_15-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latin typeface="Times New Roman" panose="02020603050405020304" pitchFamily="18" charset="0"/>
                <a:cs typeface="Times New Roman" panose="02020603050405020304" pitchFamily="18" charset="0"/>
              </a:rPr>
              <a:t>Jau</a:t>
            </a:r>
            <a:r>
              <a:rPr lang="lv-LV" sz="1200" b="1" i="0" baseline="0">
                <a:effectLst/>
                <a:latin typeface="Times New Roman" panose="02020603050405020304" pitchFamily="18" charset="0"/>
                <a:cs typeface="Times New Roman" panose="02020603050405020304" pitchFamily="18" charset="0"/>
              </a:rPr>
              <a:t>nieši  (15-29 gadi) Latvijā sadalījumā pēc dzimuma</a:t>
            </a:r>
          </a:p>
          <a:p>
            <a:pPr>
              <a:defRPr sz="1400" b="0" i="0" u="none" strike="noStrike" kern="1200" spc="0" baseline="0">
                <a:solidFill>
                  <a:schemeClr val="tx1">
                    <a:lumMod val="65000"/>
                    <a:lumOff val="35000"/>
                  </a:schemeClr>
                </a:solidFill>
                <a:latin typeface="+mn-lt"/>
                <a:ea typeface="+mn-ea"/>
                <a:cs typeface="+mn-cs"/>
              </a:defRPr>
            </a:pPr>
            <a:r>
              <a:rPr lang="lv-LV" sz="1200" b="1" i="0" baseline="0">
                <a:effectLst/>
                <a:latin typeface="Times New Roman" panose="02020603050405020304" pitchFamily="18" charset="0"/>
                <a:cs typeface="Times New Roman" panose="02020603050405020304" pitchFamily="18" charset="0"/>
              </a:rPr>
              <a:t>laikā no 2007.-2020 .gadam (tūkst.)</a:t>
            </a:r>
            <a:endParaRPr lang="en-US" sz="12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11941171472989"/>
          <c:y val="0.130578197441968"/>
          <c:w val="0.87988134879674995"/>
          <c:h val="0.67239501581098104"/>
        </c:manualLayout>
      </c:layout>
      <c:barChart>
        <c:barDir val="col"/>
        <c:grouping val="clustered"/>
        <c:varyColors val="0"/>
        <c:ser>
          <c:idx val="1"/>
          <c:order val="1"/>
          <c:tx>
            <c:strRef>
              <c:f>'IS0160'!$M$24</c:f>
              <c:strCache>
                <c:ptCount val="1"/>
                <c:pt idx="0">
                  <c:v>Sievietes</c:v>
                </c:pt>
              </c:strCache>
            </c:strRef>
          </c:tx>
          <c:spPr>
            <a:solidFill>
              <a:srgbClr val="CCCCFF"/>
            </a:solidFill>
            <a:ln>
              <a:noFill/>
            </a:ln>
            <a:effectLst/>
          </c:spPr>
          <c:invertIfNegative val="0"/>
          <c:dLbls>
            <c:spPr>
              <a:noFill/>
              <a:ln>
                <a:noFill/>
              </a:ln>
              <a:effectLst/>
            </c:spPr>
            <c:txPr>
              <a:bodyPr rot="-5400000" spcFirstLastPara="1" vertOverflow="ellipsis" vert="horz" wrap="square" lIns="38100" tIns="19050" rIns="38100" bIns="68400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'IS0160'!$K$25:$K$38</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'IS0160'!$M$25:$M$38</c:f>
              <c:numCache>
                <c:formatCode>#,##0.0</c:formatCode>
                <c:ptCount val="14"/>
                <c:pt idx="0">
                  <c:v>241.59899999999999</c:v>
                </c:pt>
                <c:pt idx="1">
                  <c:v>239.03299999999999</c:v>
                </c:pt>
                <c:pt idx="2">
                  <c:v>231.98500000000001</c:v>
                </c:pt>
                <c:pt idx="3">
                  <c:v>220.642</c:v>
                </c:pt>
                <c:pt idx="4">
                  <c:v>208.654</c:v>
                </c:pt>
                <c:pt idx="5">
                  <c:v>199.22399999999999</c:v>
                </c:pt>
                <c:pt idx="6">
                  <c:v>191.12700000000001</c:v>
                </c:pt>
                <c:pt idx="7">
                  <c:v>181.44300000000001</c:v>
                </c:pt>
                <c:pt idx="8">
                  <c:v>173.429</c:v>
                </c:pt>
                <c:pt idx="9">
                  <c:v>166.102</c:v>
                </c:pt>
                <c:pt idx="10">
                  <c:v>158.44800000000001</c:v>
                </c:pt>
                <c:pt idx="11">
                  <c:v>151.285</c:v>
                </c:pt>
                <c:pt idx="12">
                  <c:v>145.184</c:v>
                </c:pt>
                <c:pt idx="13">
                  <c:v>139.69999999999999</c:v>
                </c:pt>
              </c:numCache>
            </c:numRef>
          </c:val>
        </c:ser>
        <c:ser>
          <c:idx val="2"/>
          <c:order val="2"/>
          <c:tx>
            <c:strRef>
              <c:f>'IS0160'!$N$24</c:f>
              <c:strCache>
                <c:ptCount val="1"/>
                <c:pt idx="0">
                  <c:v>Vīrieši</c:v>
                </c:pt>
              </c:strCache>
            </c:strRef>
          </c:tx>
          <c:spPr>
            <a:solidFill>
              <a:srgbClr val="9966FF"/>
            </a:solidFill>
            <a:ln>
              <a:noFill/>
            </a:ln>
            <a:effectLst/>
          </c:spPr>
          <c:invertIfNegative val="0"/>
          <c:dLbls>
            <c:spPr>
              <a:noFill/>
              <a:ln>
                <a:noFill/>
              </a:ln>
              <a:effectLst/>
            </c:spPr>
            <c:txPr>
              <a:bodyPr rot="-5400000" spcFirstLastPara="1" vertOverflow="ellipsis" vert="horz" wrap="square" lIns="38100" tIns="19050" rIns="38100" bIns="1905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'IS0160'!$K$25:$K$38</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'IS0160'!$N$25:$N$38</c:f>
              <c:numCache>
                <c:formatCode>#,##0.0</c:formatCode>
                <c:ptCount val="14"/>
                <c:pt idx="0">
                  <c:v>251.80699999999999</c:v>
                </c:pt>
                <c:pt idx="1">
                  <c:v>250.00800000000001</c:v>
                </c:pt>
                <c:pt idx="2">
                  <c:v>242.251</c:v>
                </c:pt>
                <c:pt idx="3">
                  <c:v>229.90799999999999</c:v>
                </c:pt>
                <c:pt idx="4">
                  <c:v>217.38300000000001</c:v>
                </c:pt>
                <c:pt idx="5">
                  <c:v>209.02600000000001</c:v>
                </c:pt>
                <c:pt idx="6">
                  <c:v>201.48500000000001</c:v>
                </c:pt>
                <c:pt idx="7">
                  <c:v>191.63900000000001</c:v>
                </c:pt>
                <c:pt idx="8">
                  <c:v>183.67</c:v>
                </c:pt>
                <c:pt idx="9">
                  <c:v>175.691</c:v>
                </c:pt>
                <c:pt idx="10">
                  <c:v>167.01599999999999</c:v>
                </c:pt>
                <c:pt idx="11">
                  <c:v>160.25200000000001</c:v>
                </c:pt>
                <c:pt idx="12">
                  <c:v>154.61199999999999</c:v>
                </c:pt>
                <c:pt idx="13">
                  <c:v>149.4</c:v>
                </c:pt>
              </c:numCache>
            </c:numRef>
          </c:val>
        </c:ser>
        <c:dLbls>
          <c:showLegendKey val="0"/>
          <c:showVal val="0"/>
          <c:showCatName val="0"/>
          <c:showSerName val="0"/>
          <c:showPercent val="0"/>
          <c:showBubbleSize val="0"/>
        </c:dLbls>
        <c:gapWidth val="219"/>
        <c:axId val="387336112"/>
        <c:axId val="387341600"/>
      </c:barChart>
      <c:lineChart>
        <c:grouping val="standard"/>
        <c:varyColors val="0"/>
        <c:ser>
          <c:idx val="0"/>
          <c:order val="0"/>
          <c:tx>
            <c:strRef>
              <c:f>'IS0160'!$L$24</c:f>
              <c:strCache>
                <c:ptCount val="1"/>
                <c:pt idx="0">
                  <c:v>Kopā</c:v>
                </c:pt>
              </c:strCache>
            </c:strRef>
          </c:tx>
          <c:spPr>
            <a:ln w="28575" cap="rnd">
              <a:solidFill>
                <a:srgbClr val="7030A0"/>
              </a:solidFill>
              <a:round/>
            </a:ln>
            <a:effectLst/>
          </c:spPr>
          <c:marker>
            <c:symbol val="none"/>
          </c:marker>
          <c:dLbls>
            <c:dLbl>
              <c:idx val="0"/>
              <c:layout>
                <c:manualLayout>
                  <c:x val="-4.3729902429807302E-2"/>
                  <c:y val="-5.6773129322594901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4.3729902429807302E-2"/>
                  <c:y val="-4.435414698093800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ext>
              </c:extLst>
            </c:dLbl>
            <c:dLbl>
              <c:idx val="2"/>
              <c:layout>
                <c:manualLayout>
                  <c:x val="-4.008574389399E-2"/>
                  <c:y val="-3.90315264092839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3"/>
              <c:layout>
                <c:manualLayout>
                  <c:x val="-3.6441585358172698E-2"/>
                  <c:y val="-2.83865646612974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4"/>
              <c:layout>
                <c:manualLayout>
                  <c:x val="-3.6441585358172698E-2"/>
                  <c:y val="-2.48382440786352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5"/>
              <c:layout>
                <c:manualLayout>
                  <c:x val="-3.4619578142067703E-2"/>
                  <c:y val="-2.3858226904645501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6"/>
              <c:layout>
                <c:manualLayout>
                  <c:x val="-3.2797426822355501E-2"/>
                  <c:y val="-2.48382440786352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7"/>
              <c:layout>
                <c:manualLayout>
                  <c:x val="-3.4619506090263999E-2"/>
                  <c:y val="-2.83865646612974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8"/>
              <c:layout>
                <c:manualLayout>
                  <c:x val="-4.1907823161898602E-2"/>
                  <c:y val="-2.8386564661297398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9"/>
              <c:layout>
                <c:manualLayout>
                  <c:x val="-4.3729902429807399E-2"/>
                  <c:y val="-2.48382440786352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0"/>
              <c:layout>
                <c:manualLayout>
                  <c:x val="-4.9196140233533303E-2"/>
                  <c:y val="-2.483824407863529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eparator> </c:separator>
              <c:extLst>
                <c:ext xmlns:c15="http://schemas.microsoft.com/office/drawing/2012/chart" uri="{CE6537A1-D6FC-4f65-9D91-7224C49458BB}">
                  <c15:layout>
                    <c:manualLayout>
                      <c:w val="6.8583063644081066E-2"/>
                      <c:h val="6.7365005959502205E-2"/>
                    </c:manualLayout>
                  </c15:layout>
                </c:ext>
              </c:extLst>
            </c:dLbl>
            <c:dLbl>
              <c:idx val="11"/>
              <c:layout>
                <c:manualLayout>
                  <c:x val="-3.2797426822355397E-2"/>
                  <c:y val="-3.19348852439595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2"/>
              <c:layout>
                <c:manualLayout>
                  <c:x val="-3.4221431524167699E-2"/>
                  <c:y val="-3.1934885243959599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3"/>
              <c:layout>
                <c:manualLayout>
                  <c:x val="0"/>
                  <c:y val="-2.44461991454442E-2"/>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'IS0160'!$K$25:$K$38</c:f>
              <c:strCach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strCache>
            </c:strRef>
          </c:cat>
          <c:val>
            <c:numRef>
              <c:f>'IS0160'!$L$25:$L$38</c:f>
              <c:numCache>
                <c:formatCode>#,##0.0</c:formatCode>
                <c:ptCount val="14"/>
                <c:pt idx="0">
                  <c:v>493.40599999999989</c:v>
                </c:pt>
                <c:pt idx="1">
                  <c:v>489.041</c:v>
                </c:pt>
                <c:pt idx="2">
                  <c:v>474.23599999999988</c:v>
                </c:pt>
                <c:pt idx="3">
                  <c:v>450.55</c:v>
                </c:pt>
                <c:pt idx="4">
                  <c:v>426.03699999999992</c:v>
                </c:pt>
                <c:pt idx="5">
                  <c:v>408.25</c:v>
                </c:pt>
                <c:pt idx="6">
                  <c:v>392.61200000000002</c:v>
                </c:pt>
                <c:pt idx="7">
                  <c:v>373.08199999999988</c:v>
                </c:pt>
                <c:pt idx="8">
                  <c:v>357.09899999999988</c:v>
                </c:pt>
                <c:pt idx="9">
                  <c:v>341.79299999999989</c:v>
                </c:pt>
                <c:pt idx="10">
                  <c:v>325.464</c:v>
                </c:pt>
                <c:pt idx="11">
                  <c:v>311.53699999999992</c:v>
                </c:pt>
                <c:pt idx="12" formatCode="#,##0.00">
                  <c:v>299.8</c:v>
                </c:pt>
                <c:pt idx="13" formatCode="0.00">
                  <c:v>289.10000000000002</c:v>
                </c:pt>
              </c:numCache>
            </c:numRef>
          </c:val>
          <c:smooth val="0"/>
        </c:ser>
        <c:dLbls>
          <c:showLegendKey val="0"/>
          <c:showVal val="0"/>
          <c:showCatName val="0"/>
          <c:showSerName val="0"/>
          <c:showPercent val="0"/>
          <c:showBubbleSize val="0"/>
        </c:dLbls>
        <c:marker val="1"/>
        <c:smooth val="0"/>
        <c:axId val="387336112"/>
        <c:axId val="387341600"/>
      </c:lineChart>
      <c:catAx>
        <c:axId val="38733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387341600"/>
        <c:crosses val="autoZero"/>
        <c:auto val="1"/>
        <c:lblAlgn val="ctr"/>
        <c:lblOffset val="100"/>
        <c:noMultiLvlLbl val="0"/>
      </c:catAx>
      <c:valAx>
        <c:axId val="38734160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solidFill>
              <a:schemeClr val="accent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7336112"/>
        <c:crosses val="autoZero"/>
        <c:crossBetween val="between"/>
      </c:valAx>
      <c:spPr>
        <a:noFill/>
        <a:ln>
          <a:noFill/>
        </a:ln>
        <a:effectLst/>
      </c:spPr>
    </c:plotArea>
    <c:legend>
      <c:legendPos val="b"/>
      <c:layout>
        <c:manualLayout>
          <c:xMode val="edge"/>
          <c:yMode val="edge"/>
          <c:x val="0.66011837202525803"/>
          <c:y val="0.163039463471576"/>
          <c:w val="0.31749085624669698"/>
          <c:h val="5.98783289254065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lgn="just">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i="0" u="none" strike="noStrike" baseline="0">
                <a:solidFill>
                  <a:schemeClr val="tx1"/>
                </a:solidFill>
                <a:effectLst/>
                <a:latin typeface="Times New Roman" panose="02020603050405020304" pitchFamily="18" charset="0"/>
                <a:cs typeface="Times New Roman" panose="02020603050405020304" pitchFamily="18" charset="0"/>
              </a:rPr>
              <a:t>NEET jaunieši (15 -29 gadi) sadalījumā pēc dzimuma, tūkst.</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1"/>
          <c:order val="1"/>
          <c:tx>
            <c:strRef>
              <c:f>apr!$D$31</c:f>
              <c:strCache>
                <c:ptCount val="1"/>
                <c:pt idx="0">
                  <c:v>sievietes</c:v>
                </c:pt>
              </c:strCache>
            </c:strRef>
          </c:tx>
          <c:spPr>
            <a:solidFill>
              <a:srgbClr val="CCCCFF"/>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apr!$B$32:$B$44</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apr!$D$32:$D$44</c:f>
              <c:numCache>
                <c:formatCode>General</c:formatCode>
                <c:ptCount val="13"/>
                <c:pt idx="0">
                  <c:v>43</c:v>
                </c:pt>
                <c:pt idx="1">
                  <c:v>40</c:v>
                </c:pt>
                <c:pt idx="2">
                  <c:v>48</c:v>
                </c:pt>
                <c:pt idx="3">
                  <c:v>46</c:v>
                </c:pt>
                <c:pt idx="4">
                  <c:v>42</c:v>
                </c:pt>
                <c:pt idx="5">
                  <c:v>37</c:v>
                </c:pt>
                <c:pt idx="6">
                  <c:v>33</c:v>
                </c:pt>
                <c:pt idx="7">
                  <c:v>32</c:v>
                </c:pt>
                <c:pt idx="8">
                  <c:v>27</c:v>
                </c:pt>
                <c:pt idx="9">
                  <c:v>22</c:v>
                </c:pt>
                <c:pt idx="10">
                  <c:v>21</c:v>
                </c:pt>
                <c:pt idx="11">
                  <c:v>19</c:v>
                </c:pt>
                <c:pt idx="12">
                  <c:v>15</c:v>
                </c:pt>
              </c:numCache>
            </c:numRef>
          </c:val>
        </c:ser>
        <c:ser>
          <c:idx val="2"/>
          <c:order val="2"/>
          <c:tx>
            <c:strRef>
              <c:f>apr!$E$31</c:f>
              <c:strCache>
                <c:ptCount val="1"/>
                <c:pt idx="0">
                  <c:v>vīrieši</c:v>
                </c:pt>
              </c:strCache>
            </c:strRef>
          </c:tx>
          <c:spPr>
            <a:solidFill>
              <a:srgbClr val="9999FF"/>
            </a:solidFill>
            <a:ln>
              <a:solidFill>
                <a:schemeClr val="bg1"/>
              </a:solidFill>
            </a:ln>
            <a:effectLst/>
          </c:spPr>
          <c:invertIfNegative val="0"/>
          <c:dLbls>
            <c:spPr>
              <a:noFill/>
              <a:ln>
                <a:noFill/>
              </a:ln>
              <a:effectLst/>
            </c:spPr>
            <c:txPr>
              <a:bodyPr rot="-5400000" spcFirstLastPara="1" vertOverflow="clip" horzOverflow="clip" vert="horz" wrap="square" lIns="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apr!$B$32:$B$44</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apr!$E$32:$E$44</c:f>
              <c:numCache>
                <c:formatCode>General</c:formatCode>
                <c:ptCount val="13"/>
                <c:pt idx="0">
                  <c:v>25</c:v>
                </c:pt>
                <c:pt idx="1">
                  <c:v>26</c:v>
                </c:pt>
                <c:pt idx="2">
                  <c:v>50</c:v>
                </c:pt>
                <c:pt idx="3">
                  <c:v>47</c:v>
                </c:pt>
                <c:pt idx="4">
                  <c:v>39</c:v>
                </c:pt>
                <c:pt idx="5">
                  <c:v>33</c:v>
                </c:pt>
                <c:pt idx="6">
                  <c:v>28</c:v>
                </c:pt>
                <c:pt idx="7">
                  <c:v>24</c:v>
                </c:pt>
                <c:pt idx="8">
                  <c:v>22</c:v>
                </c:pt>
                <c:pt idx="9" formatCode="0.0">
                  <c:v>23</c:v>
                </c:pt>
                <c:pt idx="10">
                  <c:v>19</c:v>
                </c:pt>
                <c:pt idx="11">
                  <c:v>17</c:v>
                </c:pt>
                <c:pt idx="12">
                  <c:v>15</c:v>
                </c:pt>
              </c:numCache>
            </c:numRef>
          </c:val>
        </c:ser>
        <c:dLbls>
          <c:showLegendKey val="0"/>
          <c:showVal val="0"/>
          <c:showCatName val="0"/>
          <c:showSerName val="0"/>
          <c:showPercent val="0"/>
          <c:showBubbleSize val="0"/>
        </c:dLbls>
        <c:gapWidth val="219"/>
        <c:axId val="387338856"/>
        <c:axId val="387334544"/>
      </c:barChart>
      <c:lineChart>
        <c:grouping val="standard"/>
        <c:varyColors val="0"/>
        <c:ser>
          <c:idx val="0"/>
          <c:order val="0"/>
          <c:tx>
            <c:strRef>
              <c:f>apr!$C$31</c:f>
              <c:strCache>
                <c:ptCount val="1"/>
                <c:pt idx="0">
                  <c:v>kopā</c:v>
                </c:pt>
              </c:strCache>
            </c:strRef>
          </c:tx>
          <c:spPr>
            <a:ln w="28575" cap="rnd">
              <a:solidFill>
                <a:srgbClr val="7030A0"/>
              </a:solidFill>
              <a:round/>
            </a:ln>
            <a:effectLst/>
          </c:spPr>
          <c:marker>
            <c:symbol val="none"/>
          </c:marker>
          <c:dLbls>
            <c:dLbl>
              <c:idx val="0"/>
              <c:layout>
                <c:manualLayout>
                  <c:x val="-2.6229508196721301E-2"/>
                  <c:y val="-5.55555555555554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786885245901697E-2"/>
                  <c:y val="-5.55555555555556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229508196721301E-2"/>
                  <c:y val="-4.62962962962963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672131147540899E-2"/>
                  <c:y val="-4.166666666666669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486338797814201E-2"/>
                  <c:y val="-4.166666666666669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6229508196721402E-2"/>
                  <c:y val="-4.16666666666666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043715846994499E-2"/>
                  <c:y val="-4.629629629629630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786885245901599E-2"/>
                  <c:y val="-4.166666666666680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84153005464481E-2"/>
                  <c:y val="-3.703703703703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2786885245901599E-2"/>
                  <c:y val="-3.703703703703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2786885245901801E-2"/>
                  <c:y val="-4.166666666666669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9344262295081998E-2"/>
                  <c:y val="-3.240740740740750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4972677595628603E-2"/>
                  <c:y val="-4.16666666666668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apr!$B$32:$B$44</c:f>
              <c:strCach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strCache>
            </c:strRef>
          </c:cat>
          <c:val>
            <c:numRef>
              <c:f>apr!$C$32:$C$44</c:f>
              <c:numCache>
                <c:formatCode>General</c:formatCode>
                <c:ptCount val="13"/>
                <c:pt idx="0">
                  <c:v>68</c:v>
                </c:pt>
                <c:pt idx="1">
                  <c:v>66</c:v>
                </c:pt>
                <c:pt idx="2">
                  <c:v>98</c:v>
                </c:pt>
                <c:pt idx="3">
                  <c:v>93</c:v>
                </c:pt>
                <c:pt idx="4">
                  <c:v>81</c:v>
                </c:pt>
                <c:pt idx="5">
                  <c:v>70</c:v>
                </c:pt>
                <c:pt idx="6">
                  <c:v>61</c:v>
                </c:pt>
                <c:pt idx="7">
                  <c:v>56</c:v>
                </c:pt>
                <c:pt idx="8">
                  <c:v>49</c:v>
                </c:pt>
                <c:pt idx="9">
                  <c:v>45</c:v>
                </c:pt>
                <c:pt idx="10">
                  <c:v>40</c:v>
                </c:pt>
                <c:pt idx="11">
                  <c:v>36</c:v>
                </c:pt>
                <c:pt idx="12">
                  <c:v>30</c:v>
                </c:pt>
              </c:numCache>
            </c:numRef>
          </c:val>
          <c:smooth val="0"/>
        </c:ser>
        <c:dLbls>
          <c:showLegendKey val="0"/>
          <c:showVal val="0"/>
          <c:showCatName val="0"/>
          <c:showSerName val="0"/>
          <c:showPercent val="0"/>
          <c:showBubbleSize val="0"/>
        </c:dLbls>
        <c:marker val="1"/>
        <c:smooth val="0"/>
        <c:axId val="387338856"/>
        <c:axId val="387334544"/>
      </c:lineChart>
      <c:catAx>
        <c:axId val="38733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7334544"/>
        <c:crosses val="autoZero"/>
        <c:auto val="1"/>
        <c:lblAlgn val="ctr"/>
        <c:lblOffset val="100"/>
        <c:noMultiLvlLbl val="0"/>
      </c:catAx>
      <c:valAx>
        <c:axId val="38733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7338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6AB8-94CA-405E-8DAE-85F7ED40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26729</Words>
  <Characters>15236</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Zvirbule</dc:creator>
  <cp:lastModifiedBy>Sandra Obodova</cp:lastModifiedBy>
  <cp:revision>2</cp:revision>
  <dcterms:created xsi:type="dcterms:W3CDTF">2021-01-29T13:23:00Z</dcterms:created>
  <dcterms:modified xsi:type="dcterms:W3CDTF">2021-01-29T13:23:00Z</dcterms:modified>
</cp:coreProperties>
</file>