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A1F" w:rsidRPr="00AF2EBB" w:rsidRDefault="00CF0A1F" w:rsidP="00CF0A1F">
      <w:pPr>
        <w:suppressAutoHyphens/>
        <w:autoSpaceDN w:val="0"/>
        <w:spacing w:after="0" w:line="240" w:lineRule="auto"/>
        <w:ind w:firstLine="720"/>
        <w:jc w:val="center"/>
        <w:rPr>
          <w:rFonts w:ascii="Times New Roman" w:eastAsia="Times New Roman" w:hAnsi="Times New Roman" w:cs="Times New Roman"/>
          <w:b/>
          <w:bCs/>
          <w:sz w:val="24"/>
          <w:szCs w:val="24"/>
          <w:lang w:eastAsia="lv-LV"/>
        </w:rPr>
      </w:pPr>
      <w:r w:rsidRPr="00AF2EBB">
        <w:rPr>
          <w:rFonts w:ascii="Times New Roman" w:eastAsia="Times New Roman" w:hAnsi="Times New Roman" w:cs="Times New Roman"/>
          <w:b/>
          <w:bCs/>
          <w:sz w:val="24"/>
          <w:szCs w:val="24"/>
          <w:lang w:eastAsia="lv-LV"/>
        </w:rPr>
        <w:t>Izziņa par atzinumos sniegtajiem iebildumiem</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CellMar>
          <w:left w:w="10" w:type="dxa"/>
          <w:right w:w="10" w:type="dxa"/>
        </w:tblCellMar>
        <w:tblLook w:val="04A0" w:firstRow="1" w:lastRow="0" w:firstColumn="1" w:lastColumn="0" w:noHBand="0" w:noVBand="1"/>
      </w:tblPr>
      <w:tblGrid>
        <w:gridCol w:w="13958"/>
      </w:tblGrid>
      <w:tr w:rsidR="00CF0A1F" w:rsidRPr="00D96B13" w:rsidTr="00E9621B">
        <w:trPr>
          <w:jc w:val="center"/>
        </w:trPr>
        <w:tc>
          <w:tcPr>
            <w:tcW w:w="14003" w:type="dxa"/>
            <w:tcBorders>
              <w:top w:val="nil"/>
              <w:left w:val="nil"/>
              <w:bottom w:val="single" w:sz="6" w:space="0" w:color="000000"/>
              <w:right w:val="nil"/>
            </w:tcBorders>
            <w:tcMar>
              <w:top w:w="0" w:type="dxa"/>
              <w:left w:w="108" w:type="dxa"/>
              <w:bottom w:w="0" w:type="dxa"/>
              <w:right w:w="108" w:type="dxa"/>
            </w:tcMar>
            <w:hideMark/>
          </w:tcPr>
          <w:p w:rsidR="00CF0A1F" w:rsidRPr="00D96B13" w:rsidRDefault="00D96B13" w:rsidP="00E9621B">
            <w:pPr>
              <w:suppressAutoHyphens/>
              <w:autoSpaceDN w:val="0"/>
              <w:spacing w:after="0" w:line="254"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Noteikumu </w:t>
            </w:r>
            <w:r w:rsidRPr="00200697">
              <w:rPr>
                <w:rFonts w:ascii="Times New Roman" w:hAnsi="Times New Roman" w:cs="Times New Roman"/>
                <w:b/>
                <w:sz w:val="24"/>
                <w:szCs w:val="24"/>
              </w:rPr>
              <w:t>projekts “</w:t>
            </w:r>
            <w:r w:rsidR="00200697" w:rsidRPr="00200697">
              <w:rPr>
                <w:rFonts w:ascii="Times New Roman" w:hAnsi="Times New Roman" w:cs="Times New Roman"/>
                <w:b/>
                <w:sz w:val="24"/>
                <w:szCs w:val="24"/>
              </w:rPr>
              <w:t>Grozījumi Ministru kabineta 2009. gada 22. decembra noteikumos Nr. 1606 “</w:t>
            </w:r>
            <w:r w:rsidR="00200697" w:rsidRPr="00200697">
              <w:rPr>
                <w:rFonts w:ascii="Times New Roman" w:hAnsi="Times New Roman" w:cs="Times New Roman"/>
                <w:b/>
                <w:bCs/>
                <w:sz w:val="24"/>
                <w:szCs w:val="24"/>
                <w:shd w:val="clear" w:color="auto" w:fill="FFFFFF"/>
              </w:rPr>
              <w:t>Noteikumi par pabalsta apmēru transporta izdevumu kompensēšanai invalīdiem, kuriem ir apgrūtināta pārvietošanās, tā pārskatīšanas kārtību un pabalsta piešķiršanas un izmaksas kārtību</w:t>
            </w:r>
            <w:r w:rsidRPr="00200697">
              <w:rPr>
                <w:rFonts w:ascii="Times New Roman" w:hAnsi="Times New Roman" w:cs="Times New Roman"/>
                <w:b/>
                <w:sz w:val="24"/>
                <w:szCs w:val="24"/>
              </w:rPr>
              <w:t>””</w:t>
            </w:r>
          </w:p>
        </w:tc>
      </w:tr>
    </w:tbl>
    <w:p w:rsidR="00CF0A1F" w:rsidRPr="00AF2EBB" w:rsidRDefault="00CF0A1F" w:rsidP="00CF0A1F">
      <w:pPr>
        <w:suppressAutoHyphens/>
        <w:autoSpaceDN w:val="0"/>
        <w:spacing w:after="0" w:line="240" w:lineRule="auto"/>
        <w:ind w:firstLine="1080"/>
        <w:jc w:val="center"/>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(dokumenta veids un nosaukums)</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 Jautājumi, par kuriem saskaņošanā vienošanās nav panākta</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00" w:type="pct"/>
        <w:tblCellMar>
          <w:left w:w="10" w:type="dxa"/>
          <w:right w:w="10" w:type="dxa"/>
        </w:tblCellMar>
        <w:tblLook w:val="04A0" w:firstRow="1" w:lastRow="0" w:firstColumn="1" w:lastColumn="0" w:noHBand="0" w:noVBand="1"/>
      </w:tblPr>
      <w:tblGrid>
        <w:gridCol w:w="694"/>
        <w:gridCol w:w="3014"/>
        <w:gridCol w:w="3046"/>
        <w:gridCol w:w="2909"/>
        <w:gridCol w:w="2405"/>
        <w:gridCol w:w="1877"/>
      </w:tblGrid>
      <w:tr w:rsidR="00CF0A1F" w:rsidRPr="00AF2EBB"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pamatojums iebilduma noraidījumam</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Atzinuma sniedzēja uzturētais iebildums, ja tas atšķiras no atzinumā norādītā iebilduma pamatojuma</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rsidTr="00E9621B">
        <w:tc>
          <w:tcPr>
            <w:tcW w:w="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30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30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B13BBD">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6</w:t>
            </w:r>
          </w:p>
        </w:tc>
      </w:tr>
      <w:tr w:rsidR="00CF0A1F" w:rsidRPr="00AF2EBB"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r w:rsidR="00CF0A1F" w:rsidRPr="00AF2EBB" w:rsidTr="00E9621B">
        <w:tc>
          <w:tcPr>
            <w:tcW w:w="694"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25"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305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2918" w:type="dxa"/>
            <w:tcBorders>
              <w:top w:val="nil"/>
              <w:left w:val="single" w:sz="6" w:space="0" w:color="000000"/>
              <w:bottom w:val="single" w:sz="4" w:space="0" w:color="000000"/>
              <w:right w:val="single" w:sz="6"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jc w:val="both"/>
              <w:rPr>
                <w:rFonts w:ascii="Times New Roman" w:eastAsia="Times New Roman" w:hAnsi="Times New Roman" w:cs="Times New Roman"/>
                <w:sz w:val="24"/>
                <w:szCs w:val="24"/>
              </w:rPr>
            </w:pPr>
          </w:p>
        </w:tc>
        <w:tc>
          <w:tcPr>
            <w:tcW w:w="2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c>
          <w:tcPr>
            <w:tcW w:w="1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F0A1F" w:rsidRPr="00AF2EBB" w:rsidRDefault="00CF0A1F" w:rsidP="00E9621B">
            <w:pPr>
              <w:suppressAutoHyphens/>
              <w:autoSpaceDN w:val="0"/>
              <w:spacing w:after="0" w:line="254" w:lineRule="auto"/>
              <w:jc w:val="both"/>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 xml:space="preserve">Informācija par </w:t>
      </w:r>
      <w:proofErr w:type="spellStart"/>
      <w:r w:rsidRPr="00AF2EBB">
        <w:rPr>
          <w:rFonts w:ascii="Times New Roman" w:eastAsia="Times New Roman" w:hAnsi="Times New Roman" w:cs="Times New Roman"/>
          <w:b/>
          <w:sz w:val="24"/>
          <w:szCs w:val="24"/>
          <w:lang w:eastAsia="lv-LV"/>
        </w:rPr>
        <w:t>starpministriju</w:t>
      </w:r>
      <w:proofErr w:type="spellEnd"/>
      <w:r w:rsidRPr="00AF2EBB">
        <w:rPr>
          <w:rFonts w:ascii="Times New Roman" w:eastAsia="Times New Roman" w:hAnsi="Times New Roman" w:cs="Times New Roman"/>
          <w:b/>
          <w:sz w:val="24"/>
          <w:szCs w:val="24"/>
          <w:lang w:eastAsia="lv-LV"/>
        </w:rPr>
        <w:t xml:space="preserve"> (starpinstitūciju) sanāksmi vai elektronisko saskaņošanu</w:t>
      </w:r>
    </w:p>
    <w:p w:rsidR="00CF0A1F" w:rsidRPr="00AF2EBB" w:rsidRDefault="00CF0A1F" w:rsidP="00CF0A1F">
      <w:pPr>
        <w:suppressAutoHyphens/>
        <w:autoSpaceDN w:val="0"/>
        <w:spacing w:after="0" w:line="240" w:lineRule="auto"/>
        <w:jc w:val="both"/>
        <w:rPr>
          <w:rFonts w:ascii="Times New Roman" w:eastAsia="Times New Roman" w:hAnsi="Times New Roman" w:cs="Times New Roman"/>
          <w:b/>
          <w:sz w:val="24"/>
          <w:szCs w:val="24"/>
          <w:lang w:eastAsia="lv-LV"/>
        </w:rPr>
      </w:pPr>
    </w:p>
    <w:tbl>
      <w:tblPr>
        <w:tblW w:w="5027" w:type="pct"/>
        <w:tblCellMar>
          <w:left w:w="10" w:type="dxa"/>
          <w:right w:w="10" w:type="dxa"/>
        </w:tblCellMar>
        <w:tblLook w:val="04A0" w:firstRow="1" w:lastRow="0" w:firstColumn="1" w:lastColumn="0" w:noHBand="0" w:noVBand="1"/>
      </w:tblPr>
      <w:tblGrid>
        <w:gridCol w:w="2933"/>
        <w:gridCol w:w="753"/>
        <w:gridCol w:w="10255"/>
        <w:gridCol w:w="92"/>
      </w:tblGrid>
      <w:tr w:rsidR="00CF0A1F" w:rsidRPr="00AF2EBB" w:rsidTr="00003FAB">
        <w:trPr>
          <w:trHeight w:val="269"/>
        </w:trPr>
        <w:tc>
          <w:tcPr>
            <w:tcW w:w="3686"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Datums</w:t>
            </w:r>
          </w:p>
        </w:tc>
        <w:tc>
          <w:tcPr>
            <w:tcW w:w="10348" w:type="dxa"/>
            <w:gridSpan w:val="2"/>
            <w:tcBorders>
              <w:top w:val="nil"/>
              <w:left w:val="nil"/>
              <w:bottom w:val="single" w:sz="4" w:space="0" w:color="000000"/>
              <w:right w:val="nil"/>
            </w:tcBorders>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83"/>
        </w:trPr>
        <w:tc>
          <w:tcPr>
            <w:tcW w:w="3686" w:type="dxa"/>
            <w:gridSpan w:val="2"/>
            <w:tcMar>
              <w:top w:w="0" w:type="dxa"/>
              <w:left w:w="108" w:type="dxa"/>
              <w:bottom w:w="0" w:type="dxa"/>
              <w:right w:w="108" w:type="dxa"/>
            </w:tcMar>
          </w:tcPr>
          <w:p w:rsidR="00CF0A1F" w:rsidRPr="00AF2EBB" w:rsidRDefault="00CF0A1F" w:rsidP="00003FAB">
            <w:pPr>
              <w:suppressAutoHyphens/>
              <w:autoSpaceDN w:val="0"/>
              <w:spacing w:after="0" w:line="254" w:lineRule="auto"/>
              <w:jc w:val="both"/>
              <w:rPr>
                <w:rFonts w:ascii="Times New Roman" w:eastAsia="Times New Roman" w:hAnsi="Times New Roman" w:cs="Times New Roman"/>
                <w:sz w:val="24"/>
                <w:szCs w:val="24"/>
              </w:rPr>
            </w:pPr>
          </w:p>
        </w:tc>
        <w:tc>
          <w:tcPr>
            <w:tcW w:w="10348" w:type="dxa"/>
            <w:gridSpan w:val="2"/>
            <w:tcBorders>
              <w:top w:val="single" w:sz="4" w:space="0" w:color="000000"/>
              <w:left w:val="nil"/>
              <w:bottom w:val="nil"/>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69"/>
        </w:trPr>
        <w:tc>
          <w:tcPr>
            <w:tcW w:w="3686"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w:t>
            </w:r>
          </w:p>
        </w:tc>
        <w:tc>
          <w:tcPr>
            <w:tcW w:w="10348" w:type="dxa"/>
            <w:gridSpan w:val="2"/>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gridAfter w:val="1"/>
          <w:wAfter w:w="92" w:type="dxa"/>
          <w:trHeight w:val="283"/>
        </w:trPr>
        <w:tc>
          <w:tcPr>
            <w:tcW w:w="2933" w:type="dxa"/>
            <w:tcMar>
              <w:top w:w="0" w:type="dxa"/>
              <w:left w:w="108" w:type="dxa"/>
              <w:bottom w:w="0" w:type="dxa"/>
              <w:right w:w="108" w:type="dxa"/>
            </w:tcMar>
            <w:hideMark/>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w:t>
            </w:r>
          </w:p>
        </w:tc>
        <w:tc>
          <w:tcPr>
            <w:tcW w:w="11009" w:type="dxa"/>
            <w:gridSpan w:val="2"/>
            <w:tcBorders>
              <w:top w:val="single" w:sz="6" w:space="0" w:color="000000"/>
              <w:left w:val="nil"/>
              <w:bottom w:val="single" w:sz="6" w:space="0" w:color="000000"/>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AF2EBB" w:rsidRDefault="00CF0A1F" w:rsidP="00003FAB">
      <w:pPr>
        <w:suppressAutoHyphens/>
        <w:autoSpaceDN w:val="0"/>
        <w:spacing w:after="0" w:line="240" w:lineRule="auto"/>
        <w:rPr>
          <w:rFonts w:ascii="Times New Roman" w:eastAsia="Times New Roman" w:hAnsi="Times New Roman" w:cs="Times New Roman"/>
          <w:sz w:val="24"/>
          <w:szCs w:val="24"/>
          <w:lang w:eastAsia="lv-LV"/>
        </w:rPr>
      </w:pPr>
    </w:p>
    <w:tbl>
      <w:tblPr>
        <w:tblW w:w="5260" w:type="pct"/>
        <w:tblCellMar>
          <w:left w:w="10" w:type="dxa"/>
          <w:right w:w="10" w:type="dxa"/>
        </w:tblCellMar>
        <w:tblLook w:val="04A0" w:firstRow="1" w:lastRow="0" w:firstColumn="1" w:lastColumn="0" w:noHBand="0" w:noVBand="1"/>
      </w:tblPr>
      <w:tblGrid>
        <w:gridCol w:w="3686"/>
        <w:gridCol w:w="10206"/>
        <w:gridCol w:w="792"/>
      </w:tblGrid>
      <w:tr w:rsidR="00CF0A1F" w:rsidRPr="00AF2EBB" w:rsidTr="00003FAB">
        <w:trPr>
          <w:gridAfter w:val="1"/>
          <w:wAfter w:w="792" w:type="dxa"/>
          <w:trHeight w:val="269"/>
        </w:trPr>
        <w:tc>
          <w:tcPr>
            <w:tcW w:w="3686" w:type="dxa"/>
            <w:tcMar>
              <w:top w:w="0" w:type="dxa"/>
              <w:left w:w="108" w:type="dxa"/>
              <w:bottom w:w="0" w:type="dxa"/>
              <w:right w:w="108" w:type="dxa"/>
            </w:tcMar>
            <w:hideMark/>
          </w:tcPr>
          <w:p w:rsidR="00952920" w:rsidRDefault="00CF0A1F" w:rsidP="00003FA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Saskaņošanas dalībnieki izskatīja šādu ministriju (citu institūciju) iebildumus</w:t>
            </w:r>
          </w:p>
          <w:p w:rsidR="00952920" w:rsidRDefault="00952920" w:rsidP="00952920">
            <w:pPr>
              <w:rPr>
                <w:rFonts w:ascii="Times New Roman" w:eastAsia="Times New Roman" w:hAnsi="Times New Roman" w:cs="Times New Roman"/>
                <w:sz w:val="24"/>
                <w:szCs w:val="24"/>
              </w:rPr>
            </w:pPr>
          </w:p>
          <w:p w:rsidR="00CF0A1F" w:rsidRPr="00952920" w:rsidRDefault="00CF0A1F" w:rsidP="00952920">
            <w:pPr>
              <w:jc w:val="center"/>
              <w:rPr>
                <w:rFonts w:ascii="Times New Roman" w:eastAsia="Times New Roman" w:hAnsi="Times New Roman" w:cs="Times New Roman"/>
                <w:sz w:val="24"/>
                <w:szCs w:val="24"/>
              </w:rPr>
            </w:pPr>
          </w:p>
        </w:tc>
        <w:tc>
          <w:tcPr>
            <w:tcW w:w="10206" w:type="dxa"/>
            <w:tcBorders>
              <w:top w:val="nil"/>
              <w:left w:val="nil"/>
              <w:bottom w:val="single" w:sz="4" w:space="0" w:color="000000"/>
              <w:right w:val="nil"/>
            </w:tcBorders>
            <w:tcMar>
              <w:top w:w="0" w:type="dxa"/>
              <w:left w:w="108" w:type="dxa"/>
              <w:bottom w:w="0" w:type="dxa"/>
              <w:right w:w="108" w:type="dxa"/>
            </w:tcMar>
          </w:tcPr>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003FAB">
            <w:pPr>
              <w:suppressAutoHyphens/>
              <w:autoSpaceDN w:val="0"/>
              <w:spacing w:after="0" w:line="254" w:lineRule="auto"/>
              <w:rPr>
                <w:rFonts w:ascii="Times New Roman" w:eastAsia="Times New Roman" w:hAnsi="Times New Roman" w:cs="Times New Roman"/>
                <w:sz w:val="24"/>
                <w:szCs w:val="24"/>
              </w:rPr>
            </w:pPr>
          </w:p>
        </w:tc>
      </w:tr>
      <w:tr w:rsidR="00CF0A1F" w:rsidRPr="00AF2EBB" w:rsidTr="00003FAB">
        <w:trPr>
          <w:gridAfter w:val="1"/>
          <w:wAfter w:w="792" w:type="dxa"/>
          <w:trHeight w:val="1926"/>
        </w:trPr>
        <w:tc>
          <w:tcPr>
            <w:tcW w:w="3686" w:type="dxa"/>
            <w:tcMar>
              <w:top w:w="0" w:type="dxa"/>
              <w:left w:w="108" w:type="dxa"/>
              <w:bottom w:w="0" w:type="dxa"/>
              <w:right w:w="108" w:type="dxa"/>
            </w:tcMar>
            <w:hideMark/>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Ministrijas (citas institūcijas), kuras nav ieradušās uz sanāksmi vai kuras nav atbildējušas uz uzaicinājumu piedalīties elektroniskajā saskaņošanā</w:t>
            </w:r>
          </w:p>
        </w:tc>
        <w:tc>
          <w:tcPr>
            <w:tcW w:w="10206" w:type="dxa"/>
            <w:tcBorders>
              <w:top w:val="nil"/>
              <w:left w:val="nil"/>
              <w:bottom w:val="single" w:sz="4" w:space="0" w:color="000000"/>
              <w:right w:val="nil"/>
            </w:tcBorders>
            <w:tcMar>
              <w:top w:w="0" w:type="dxa"/>
              <w:left w:w="108" w:type="dxa"/>
              <w:bottom w:w="0" w:type="dxa"/>
              <w:right w:w="108" w:type="dxa"/>
            </w:tcMar>
            <w:hideMark/>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w:t>
            </w:r>
          </w:p>
        </w:tc>
      </w:tr>
      <w:tr w:rsidR="00CF0A1F" w:rsidRPr="00AF2EBB" w:rsidTr="00003FAB">
        <w:trPr>
          <w:trHeight w:val="283"/>
        </w:trPr>
        <w:tc>
          <w:tcPr>
            <w:tcW w:w="3686" w:type="dxa"/>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r w:rsidR="00CF0A1F" w:rsidRPr="00AF2EBB" w:rsidTr="00003FAB">
        <w:trPr>
          <w:trHeight w:val="269"/>
        </w:trPr>
        <w:tc>
          <w:tcPr>
            <w:tcW w:w="3686" w:type="dxa"/>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10998"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ind w:firstLine="720"/>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p w:rsidR="00CF0A1F" w:rsidRPr="00AF2EBB" w:rsidRDefault="00CF0A1F" w:rsidP="00CF0A1F">
      <w:pPr>
        <w:suppressAutoHyphens/>
        <w:autoSpaceDN w:val="0"/>
        <w:spacing w:after="0" w:line="240" w:lineRule="auto"/>
        <w:jc w:val="center"/>
        <w:rPr>
          <w:rFonts w:ascii="Times New Roman" w:eastAsia="Times New Roman" w:hAnsi="Times New Roman" w:cs="Times New Roman"/>
          <w:b/>
          <w:sz w:val="24"/>
          <w:szCs w:val="24"/>
          <w:lang w:eastAsia="lv-LV"/>
        </w:rPr>
      </w:pPr>
      <w:r w:rsidRPr="00AF2EBB">
        <w:rPr>
          <w:rFonts w:ascii="Times New Roman" w:eastAsia="Times New Roman" w:hAnsi="Times New Roman" w:cs="Times New Roman"/>
          <w:b/>
          <w:sz w:val="24"/>
          <w:szCs w:val="24"/>
          <w:lang w:eastAsia="lv-LV"/>
        </w:rPr>
        <w:t>II. Jautājumi, par kuriem saskaņošanā vienošanās ir panākta</w:t>
      </w:r>
    </w:p>
    <w:p w:rsidR="00CF0A1F" w:rsidRPr="00AF2EBB" w:rsidRDefault="00CF0A1F" w:rsidP="00CF0A1F">
      <w:pPr>
        <w:suppressAutoHyphens/>
        <w:autoSpaceDN w:val="0"/>
        <w:spacing w:after="0" w:line="240" w:lineRule="auto"/>
        <w:ind w:firstLine="720"/>
        <w:jc w:val="both"/>
        <w:rPr>
          <w:rFonts w:ascii="Times New Roman" w:eastAsia="Times New Roman" w:hAnsi="Times New Roman" w:cs="Times New Roman"/>
          <w:sz w:val="24"/>
          <w:szCs w:val="24"/>
          <w:lang w:eastAsia="lv-LV"/>
        </w:rPr>
      </w:pPr>
    </w:p>
    <w:tbl>
      <w:tblPr>
        <w:tblW w:w="5077" w:type="pct"/>
        <w:tblCellMar>
          <w:left w:w="10" w:type="dxa"/>
          <w:right w:w="10" w:type="dxa"/>
        </w:tblCellMar>
        <w:tblLook w:val="04A0" w:firstRow="1" w:lastRow="0" w:firstColumn="1" w:lastColumn="0" w:noHBand="0" w:noVBand="1"/>
      </w:tblPr>
      <w:tblGrid>
        <w:gridCol w:w="576"/>
        <w:gridCol w:w="2393"/>
        <w:gridCol w:w="4678"/>
        <w:gridCol w:w="685"/>
        <w:gridCol w:w="2292"/>
        <w:gridCol w:w="387"/>
        <w:gridCol w:w="3149"/>
      </w:tblGrid>
      <w:tr w:rsidR="00CF0A1F" w:rsidRPr="00AF2EBB" w:rsidTr="008A6951">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Nr. p.k.</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12"/>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right="3"/>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Atzinumā norādītais ministrijas (citas institūcijas) iebildums, kā arī saskaņošanā papildus izteiktais iebildums par projekta konkrēto punktu (pantu)</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ind w:firstLine="21"/>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Atbildīgās ministrijas norāde par to, ka iebildums ir ņemts vērā, vai informācija par saskaņošanā panākto alternatīvo risinājumu</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F0A1F" w:rsidRPr="00AF2EBB" w:rsidRDefault="00CF0A1F"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Projekta attiecīgā punkta (panta) galīgā redakcija</w:t>
            </w:r>
          </w:p>
        </w:tc>
      </w:tr>
      <w:tr w:rsidR="00CF0A1F" w:rsidRPr="00AF2EBB" w:rsidTr="008A6951">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AF2EB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2</w:t>
            </w: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3</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4</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0A1F" w:rsidRPr="00AF2EBB" w:rsidRDefault="00CF0A1F" w:rsidP="00507E82">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5</w:t>
            </w:r>
          </w:p>
        </w:tc>
      </w:tr>
      <w:tr w:rsidR="00B829BA" w:rsidRPr="00AF2EBB" w:rsidTr="008A6951">
        <w:tc>
          <w:tcPr>
            <w:tcW w:w="5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9BA" w:rsidRPr="00AF2EBB" w:rsidRDefault="00507E82" w:rsidP="00E9621B">
            <w:pPr>
              <w:suppressAutoHyphens/>
              <w:autoSpaceDN w:val="0"/>
              <w:spacing w:after="0" w:line="254" w:lineRule="auto"/>
              <w:jc w:val="center"/>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1.</w:t>
            </w:r>
          </w:p>
        </w:tc>
        <w:tc>
          <w:tcPr>
            <w:tcW w:w="23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829BA" w:rsidRPr="00AF2EBB" w:rsidRDefault="00B829BA" w:rsidP="00E35205">
            <w:pPr>
              <w:suppressAutoHyphens/>
              <w:autoSpaceDN w:val="0"/>
              <w:spacing w:after="0" w:line="254" w:lineRule="auto"/>
              <w:jc w:val="both"/>
              <w:rPr>
                <w:rFonts w:ascii="Times New Roman" w:eastAsia="Times New Roman" w:hAnsi="Times New Roman" w:cs="Times New Roman"/>
                <w:sz w:val="24"/>
                <w:szCs w:val="24"/>
              </w:rPr>
            </w:pPr>
          </w:p>
        </w:tc>
        <w:tc>
          <w:tcPr>
            <w:tcW w:w="46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30577" w:rsidRPr="00A30577" w:rsidRDefault="00A30577" w:rsidP="00A30577">
            <w:pPr>
              <w:widowControl w:val="0"/>
              <w:spacing w:after="0" w:line="240" w:lineRule="auto"/>
              <w:ind w:hanging="2"/>
              <w:contextualSpacing/>
              <w:jc w:val="center"/>
              <w:rPr>
                <w:rFonts w:ascii="Times New Roman" w:eastAsia="Times New Roman" w:hAnsi="Times New Roman" w:cs="Times New Roman"/>
                <w:b/>
                <w:sz w:val="24"/>
                <w:szCs w:val="24"/>
              </w:rPr>
            </w:pPr>
            <w:r w:rsidRPr="00A30577">
              <w:rPr>
                <w:rFonts w:ascii="Times New Roman" w:eastAsia="Times New Roman" w:hAnsi="Times New Roman" w:cs="Times New Roman"/>
                <w:b/>
                <w:sz w:val="24"/>
                <w:szCs w:val="24"/>
              </w:rPr>
              <w:t>Tieslietu ministrija</w:t>
            </w:r>
          </w:p>
          <w:p w:rsidR="00A30577" w:rsidRPr="00A30577" w:rsidRDefault="00A30577" w:rsidP="00A30577">
            <w:pPr>
              <w:jc w:val="both"/>
              <w:rPr>
                <w:rFonts w:ascii="Times New Roman" w:eastAsia="Times New Roman" w:hAnsi="Times New Roman" w:cs="Times New Roman"/>
                <w:sz w:val="24"/>
                <w:szCs w:val="24"/>
                <w:lang w:eastAsia="lv-LV"/>
              </w:rPr>
            </w:pPr>
            <w:r w:rsidRPr="00A30577">
              <w:rPr>
                <w:rFonts w:ascii="Times New Roman" w:eastAsia="Times New Roman" w:hAnsi="Times New Roman" w:cs="Times New Roman"/>
                <w:sz w:val="24"/>
                <w:szCs w:val="24"/>
                <w:lang w:eastAsia="lv-LV"/>
              </w:rPr>
              <w:t>Projekta anotācijā skaidrots, kā tiks veikta bez iesnieguma piešķirtā transporta pabalsta izmaksa personām ar invaliditāti vai bērniem ar invaliditāti, un arī tas, kā personai ir jārīkojas, ja persona vēlas mainīt pakalpojuma saņemšanas adresi vai kredītiestādes, vai pasta norēķinu sistēmas konta numuru. Anotācijā papildus norādīts, "</w:t>
            </w:r>
            <w:r w:rsidRPr="00A30577">
              <w:rPr>
                <w:rFonts w:ascii="Times New Roman" w:eastAsia="Times New Roman" w:hAnsi="Times New Roman" w:cs="Times New Roman"/>
                <w:i/>
                <w:iCs/>
                <w:sz w:val="24"/>
                <w:szCs w:val="24"/>
                <w:lang w:eastAsia="lv-LV"/>
              </w:rPr>
              <w:t xml:space="preserve">ja transporta pabalstu piešķir par bērnu ar invaliditāti, tad pēc noklusējuma principa tas tiek piešķirts tam vecākam vai likumiskajam pārstāvim (turpmāk </w:t>
            </w:r>
            <w:r w:rsidRPr="00A30577">
              <w:rPr>
                <w:rFonts w:ascii="Times New Roman" w:eastAsia="Times New Roman" w:hAnsi="Times New Roman" w:cs="Times New Roman"/>
                <w:i/>
                <w:iCs/>
                <w:sz w:val="24"/>
                <w:szCs w:val="24"/>
                <w:lang w:eastAsia="lv-LV"/>
              </w:rPr>
              <w:lastRenderedPageBreak/>
              <w:t>– likumiskais pārstāvis), kuram tiek izmaksāta piemaksa pie ģimenes valsts pabalsta par bērnu ar invaliditāti. Ja likumiskais pārstāvis vēlas mainīt pakalpojuma saņēmēju, tad likumiskais pārstāvis, kuram pakalpojums ir piešķirts no tā atsakās, bet otrs to pieprasa rakstveida procesā</w:t>
            </w:r>
            <w:r w:rsidRPr="00A30577">
              <w:rPr>
                <w:rFonts w:ascii="Times New Roman" w:eastAsia="Times New Roman" w:hAnsi="Times New Roman" w:cs="Times New Roman"/>
                <w:sz w:val="24"/>
                <w:szCs w:val="24"/>
                <w:lang w:eastAsia="lv-LV"/>
              </w:rPr>
              <w:t>".</w:t>
            </w:r>
          </w:p>
          <w:p w:rsidR="00B829BA" w:rsidRPr="00A30577" w:rsidRDefault="00A30577" w:rsidP="00A30577">
            <w:pPr>
              <w:suppressAutoHyphens/>
              <w:autoSpaceDN w:val="0"/>
              <w:spacing w:after="0" w:line="254" w:lineRule="auto"/>
              <w:jc w:val="both"/>
              <w:rPr>
                <w:rFonts w:ascii="Times New Roman" w:eastAsia="Times New Roman" w:hAnsi="Times New Roman" w:cs="Times New Roman"/>
                <w:sz w:val="24"/>
                <w:szCs w:val="24"/>
              </w:rPr>
            </w:pPr>
            <w:r w:rsidRPr="00A30577">
              <w:rPr>
                <w:rFonts w:ascii="Times New Roman" w:eastAsia="Times New Roman" w:hAnsi="Times New Roman" w:cs="Times New Roman"/>
                <w:sz w:val="24"/>
                <w:szCs w:val="24"/>
                <w:lang w:eastAsia="lv-LV"/>
              </w:rPr>
              <w:t>Tieslietu ministrijas ieskatā visi šie noteikumi ir jāiekļauj projektā, lai tie būtu saistoši un lai būtu pilnībā skaidra to piemērošana. Attiecīgi lūdzam precizēt projektu.</w:t>
            </w:r>
          </w:p>
        </w:tc>
        <w:tc>
          <w:tcPr>
            <w:tcW w:w="2977"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221AF6" w:rsidRDefault="00AD29D0" w:rsidP="00AD29D0">
            <w:pPr>
              <w:suppressAutoHyphens/>
              <w:autoSpaceDN w:val="0"/>
              <w:spacing w:after="0" w:line="254" w:lineRule="auto"/>
              <w:jc w:val="center"/>
              <w:rPr>
                <w:rFonts w:ascii="Times New Roman" w:eastAsia="Times New Roman" w:hAnsi="Times New Roman" w:cs="Times New Roman"/>
                <w:b/>
                <w:sz w:val="24"/>
                <w:szCs w:val="24"/>
              </w:rPr>
            </w:pPr>
            <w:r w:rsidRPr="00AF2EBB">
              <w:rPr>
                <w:rFonts w:ascii="Times New Roman" w:eastAsia="Times New Roman" w:hAnsi="Times New Roman" w:cs="Times New Roman"/>
                <w:b/>
                <w:sz w:val="24"/>
                <w:szCs w:val="24"/>
              </w:rPr>
              <w:lastRenderedPageBreak/>
              <w:t>Ņ</w:t>
            </w:r>
            <w:r w:rsidR="00221AF6" w:rsidRPr="00AF2EBB">
              <w:rPr>
                <w:rFonts w:ascii="Times New Roman" w:eastAsia="Times New Roman" w:hAnsi="Times New Roman" w:cs="Times New Roman"/>
                <w:b/>
                <w:sz w:val="24"/>
                <w:szCs w:val="24"/>
              </w:rPr>
              <w:t>emts vērā</w:t>
            </w:r>
          </w:p>
          <w:p w:rsidR="00C1331F" w:rsidRDefault="008A6951" w:rsidP="006B7E92">
            <w:pPr>
              <w:suppressAutoHyphens/>
              <w:autoSpaceDN w:val="0"/>
              <w:spacing w:after="0" w:line="254" w:lineRule="auto"/>
              <w:jc w:val="both"/>
              <w:rPr>
                <w:rFonts w:ascii="Times New Roman" w:eastAsia="Times New Roman" w:hAnsi="Times New Roman" w:cs="Times New Roman"/>
                <w:sz w:val="24"/>
                <w:szCs w:val="24"/>
              </w:rPr>
            </w:pPr>
            <w:r w:rsidRPr="008A6951">
              <w:rPr>
                <w:rFonts w:ascii="Times New Roman" w:eastAsia="Times New Roman" w:hAnsi="Times New Roman" w:cs="Times New Roman"/>
                <w:sz w:val="24"/>
                <w:szCs w:val="24"/>
              </w:rPr>
              <w:t>Noteikumu projekts papildināts</w:t>
            </w:r>
            <w:r>
              <w:rPr>
                <w:rFonts w:ascii="Times New Roman" w:eastAsia="Times New Roman" w:hAnsi="Times New Roman" w:cs="Times New Roman"/>
                <w:sz w:val="24"/>
                <w:szCs w:val="24"/>
              </w:rPr>
              <w:t xml:space="preserve"> ar 1.8.apakšpunktu,</w:t>
            </w:r>
            <w:r w:rsidR="00C1331F">
              <w:rPr>
                <w:rFonts w:ascii="Times New Roman" w:eastAsia="Times New Roman" w:hAnsi="Times New Roman" w:cs="Times New Roman"/>
                <w:sz w:val="24"/>
                <w:szCs w:val="24"/>
              </w:rPr>
              <w:t xml:space="preserve"> kas nosaka </w:t>
            </w:r>
            <w:bookmarkStart w:id="0" w:name="_GoBack"/>
            <w:r w:rsidR="00C1331F">
              <w:rPr>
                <w:rFonts w:ascii="Times New Roman" w:eastAsia="Times New Roman" w:hAnsi="Times New Roman" w:cs="Times New Roman"/>
                <w:sz w:val="24"/>
                <w:szCs w:val="24"/>
              </w:rPr>
              <w:t>pabalsta izmaksas</w:t>
            </w:r>
            <w:r w:rsidR="006C2713">
              <w:rPr>
                <w:rFonts w:ascii="Times New Roman" w:eastAsia="Times New Roman" w:hAnsi="Times New Roman" w:cs="Times New Roman"/>
                <w:sz w:val="24"/>
                <w:szCs w:val="24"/>
              </w:rPr>
              <w:t xml:space="preserve"> kārtību.</w:t>
            </w:r>
          </w:p>
          <w:p w:rsidR="0023039F" w:rsidRPr="008A6951" w:rsidRDefault="006C2713" w:rsidP="006B7E92">
            <w:pPr>
              <w:suppressAutoHyphens/>
              <w:autoSpaceDN w:val="0"/>
              <w:spacing w:after="0" w:line="25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72012E" w:rsidRPr="008A6951">
              <w:rPr>
                <w:rFonts w:ascii="Times New Roman" w:eastAsia="Times New Roman" w:hAnsi="Times New Roman" w:cs="Times New Roman"/>
                <w:sz w:val="24"/>
                <w:szCs w:val="24"/>
              </w:rPr>
              <w:t>ienlaikus jautājums par pabalsta saņēmēja maiņu</w:t>
            </w:r>
            <w:r w:rsidR="004138F1">
              <w:rPr>
                <w:rFonts w:ascii="Times New Roman" w:eastAsia="Times New Roman" w:hAnsi="Times New Roman" w:cs="Times New Roman"/>
                <w:sz w:val="24"/>
                <w:szCs w:val="24"/>
              </w:rPr>
              <w:t xml:space="preserve">, </w:t>
            </w:r>
            <w:r w:rsidR="00266372">
              <w:rPr>
                <w:rFonts w:ascii="Times New Roman" w:eastAsia="Times New Roman" w:hAnsi="Times New Roman" w:cs="Times New Roman"/>
                <w:sz w:val="24"/>
                <w:szCs w:val="24"/>
              </w:rPr>
              <w:t xml:space="preserve">ja </w:t>
            </w:r>
            <w:r w:rsidR="004138F1">
              <w:rPr>
                <w:rFonts w:ascii="Times New Roman" w:eastAsia="Times New Roman" w:hAnsi="Times New Roman" w:cs="Times New Roman"/>
                <w:sz w:val="24"/>
                <w:szCs w:val="24"/>
              </w:rPr>
              <w:t>pabalsts tiek izmaksāts par</w:t>
            </w:r>
            <w:r w:rsidR="00704348">
              <w:rPr>
                <w:rFonts w:ascii="Times New Roman" w:eastAsia="Times New Roman" w:hAnsi="Times New Roman" w:cs="Times New Roman"/>
                <w:sz w:val="24"/>
                <w:szCs w:val="24"/>
              </w:rPr>
              <w:t xml:space="preserve"> bērn</w:t>
            </w:r>
            <w:r w:rsidR="004138F1">
              <w:rPr>
                <w:rFonts w:ascii="Times New Roman" w:eastAsia="Times New Roman" w:hAnsi="Times New Roman" w:cs="Times New Roman"/>
                <w:sz w:val="24"/>
                <w:szCs w:val="24"/>
              </w:rPr>
              <w:t>u</w:t>
            </w:r>
            <w:r w:rsidR="00704348">
              <w:rPr>
                <w:rFonts w:ascii="Times New Roman" w:eastAsia="Times New Roman" w:hAnsi="Times New Roman" w:cs="Times New Roman"/>
                <w:sz w:val="24"/>
                <w:szCs w:val="24"/>
              </w:rPr>
              <w:t xml:space="preserve"> ar invaliditāti</w:t>
            </w:r>
            <w:r w:rsidR="004138F1">
              <w:rPr>
                <w:rFonts w:ascii="Times New Roman" w:eastAsia="Times New Roman" w:hAnsi="Times New Roman" w:cs="Times New Roman"/>
                <w:sz w:val="24"/>
                <w:szCs w:val="24"/>
              </w:rPr>
              <w:t>,</w:t>
            </w:r>
            <w:r w:rsidR="00704348">
              <w:rPr>
                <w:rFonts w:ascii="Times New Roman" w:eastAsia="Times New Roman" w:hAnsi="Times New Roman" w:cs="Times New Roman"/>
                <w:sz w:val="24"/>
                <w:szCs w:val="24"/>
              </w:rPr>
              <w:t xml:space="preserve"> </w:t>
            </w:r>
            <w:r w:rsidR="0072012E" w:rsidRPr="008A6951">
              <w:rPr>
                <w:rFonts w:ascii="Times New Roman" w:eastAsia="Times New Roman" w:hAnsi="Times New Roman" w:cs="Times New Roman"/>
                <w:sz w:val="24"/>
                <w:szCs w:val="24"/>
              </w:rPr>
              <w:t xml:space="preserve">nav izdalāms atsevišķā normā, jo to paredz konkrētā pakalpojuma piešķiršanas </w:t>
            </w:r>
            <w:r w:rsidR="0072012E" w:rsidRPr="008A6951">
              <w:rPr>
                <w:rFonts w:ascii="Times New Roman" w:eastAsia="Times New Roman" w:hAnsi="Times New Roman" w:cs="Times New Roman"/>
                <w:sz w:val="24"/>
                <w:szCs w:val="24"/>
              </w:rPr>
              <w:lastRenderedPageBreak/>
              <w:t>kārtība</w:t>
            </w:r>
            <w:r w:rsidR="006A2598">
              <w:rPr>
                <w:rFonts w:ascii="Times New Roman" w:eastAsia="Times New Roman" w:hAnsi="Times New Roman" w:cs="Times New Roman"/>
                <w:sz w:val="24"/>
                <w:szCs w:val="24"/>
              </w:rPr>
              <w:t>.</w:t>
            </w:r>
            <w:r w:rsidR="00393D74">
              <w:rPr>
                <w:rFonts w:ascii="Times New Roman" w:eastAsia="Times New Roman" w:hAnsi="Times New Roman" w:cs="Times New Roman"/>
                <w:sz w:val="24"/>
                <w:szCs w:val="24"/>
              </w:rPr>
              <w:t xml:space="preserve"> </w:t>
            </w:r>
            <w:r w:rsidR="006A2598">
              <w:rPr>
                <w:rFonts w:ascii="Times New Roman" w:eastAsia="Times New Roman" w:hAnsi="Times New Roman" w:cs="Times New Roman"/>
                <w:sz w:val="24"/>
                <w:szCs w:val="24"/>
              </w:rPr>
              <w:t>J</w:t>
            </w:r>
            <w:r w:rsidR="0023039F">
              <w:rPr>
                <w:rFonts w:ascii="Times New Roman" w:eastAsia="Times New Roman" w:hAnsi="Times New Roman" w:cs="Times New Roman"/>
                <w:sz w:val="24"/>
                <w:szCs w:val="24"/>
              </w:rPr>
              <w:t>au šobrīd pastāv kārtība, ka</w:t>
            </w:r>
            <w:r w:rsidR="006A2598">
              <w:rPr>
                <w:rFonts w:ascii="Times New Roman" w:eastAsia="Times New Roman" w:hAnsi="Times New Roman" w:cs="Times New Roman"/>
                <w:sz w:val="24"/>
                <w:szCs w:val="24"/>
              </w:rPr>
              <w:t xml:space="preserve"> bērna likumiskais pārstāvis</w:t>
            </w:r>
            <w:r w:rsidR="0023039F">
              <w:rPr>
                <w:rFonts w:ascii="Times New Roman" w:eastAsia="Times New Roman" w:hAnsi="Times New Roman" w:cs="Times New Roman"/>
                <w:sz w:val="24"/>
                <w:szCs w:val="24"/>
              </w:rPr>
              <w:t xml:space="preserve"> var mainīt pabalsta saņēmēju</w:t>
            </w:r>
            <w:r w:rsidR="006A2598">
              <w:rPr>
                <w:rFonts w:ascii="Times New Roman" w:eastAsia="Times New Roman" w:hAnsi="Times New Roman" w:cs="Times New Roman"/>
                <w:sz w:val="24"/>
                <w:szCs w:val="24"/>
              </w:rPr>
              <w:t>,</w:t>
            </w:r>
            <w:r w:rsidR="0023039F">
              <w:rPr>
                <w:rFonts w:ascii="Times New Roman" w:eastAsia="Times New Roman" w:hAnsi="Times New Roman" w:cs="Times New Roman"/>
                <w:sz w:val="24"/>
                <w:szCs w:val="24"/>
              </w:rPr>
              <w:t xml:space="preserve"> iesniedzot iesniegumu </w:t>
            </w:r>
            <w:r w:rsidR="005E4BC1">
              <w:rPr>
                <w:rFonts w:ascii="Times New Roman" w:eastAsia="Times New Roman" w:hAnsi="Times New Roman" w:cs="Times New Roman"/>
                <w:sz w:val="24"/>
                <w:szCs w:val="24"/>
              </w:rPr>
              <w:t>Valsts sociālās apdrošināšanas aģentūrā</w:t>
            </w:r>
            <w:r w:rsidR="006A2598" w:rsidRPr="009C41E9">
              <w:rPr>
                <w:rFonts w:ascii="Times New Roman" w:eastAsia="Times New Roman" w:hAnsi="Times New Roman" w:cs="Times New Roman"/>
                <w:sz w:val="24"/>
                <w:szCs w:val="24"/>
              </w:rPr>
              <w:t>.</w:t>
            </w:r>
            <w:r w:rsidR="009C41E9" w:rsidRPr="009C41E9">
              <w:rPr>
                <w:rFonts w:ascii="Times New Roman" w:eastAsia="Times New Roman" w:hAnsi="Times New Roman" w:cs="Times New Roman"/>
                <w:sz w:val="24"/>
                <w:szCs w:val="24"/>
              </w:rPr>
              <w:t xml:space="preserve"> </w:t>
            </w:r>
            <w:r w:rsidR="009C41E9" w:rsidRPr="009C41E9">
              <w:rPr>
                <w:rFonts w:ascii="Times New Roman" w:hAnsi="Times New Roman" w:cs="Times New Roman"/>
                <w:sz w:val="24"/>
                <w:szCs w:val="24"/>
              </w:rPr>
              <w:t>Jaunajam pabalsta pieprasītājam pabalsts tiek piešķirts, izvērtējot viņa tiesības</w:t>
            </w:r>
            <w:r w:rsidR="005E4BC1">
              <w:rPr>
                <w:rFonts w:ascii="Times New Roman" w:hAnsi="Times New Roman" w:cs="Times New Roman"/>
                <w:sz w:val="24"/>
                <w:szCs w:val="24"/>
              </w:rPr>
              <w:t xml:space="preserve"> uz pakalpojumu</w:t>
            </w:r>
            <w:bookmarkEnd w:id="0"/>
            <w:r w:rsidR="009C41E9" w:rsidRPr="009C41E9">
              <w:rPr>
                <w:rFonts w:ascii="Times New Roman" w:hAnsi="Times New Roman" w:cs="Times New Roman"/>
                <w:sz w:val="24"/>
                <w:szCs w:val="24"/>
              </w:rPr>
              <w:t>.</w:t>
            </w:r>
          </w:p>
        </w:tc>
        <w:tc>
          <w:tcPr>
            <w:tcW w:w="3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9636E" w:rsidRDefault="00D9636E" w:rsidP="00E35205">
            <w:pPr>
              <w:suppressAutoHyphens/>
              <w:autoSpaceDN w:val="0"/>
              <w:spacing w:after="0" w:line="254" w:lineRule="auto"/>
              <w:jc w:val="both"/>
              <w:rPr>
                <w:rFonts w:ascii="Times New Roman" w:eastAsia="Times New Roman" w:hAnsi="Times New Roman" w:cs="Times New Roman"/>
                <w:sz w:val="24"/>
                <w:szCs w:val="24"/>
              </w:rPr>
            </w:pPr>
          </w:p>
          <w:p w:rsidR="00B829BA" w:rsidRDefault="00C016E1" w:rsidP="00E35205">
            <w:pPr>
              <w:suppressAutoHyphens/>
              <w:autoSpaceDN w:val="0"/>
              <w:spacing w:after="0" w:line="254" w:lineRule="auto"/>
              <w:jc w:val="both"/>
              <w:rPr>
                <w:rFonts w:ascii="Times New Roman" w:eastAsia="Times New Roman" w:hAnsi="Times New Roman" w:cs="Times New Roman"/>
                <w:sz w:val="24"/>
                <w:szCs w:val="24"/>
              </w:rPr>
            </w:pPr>
            <w:r w:rsidRPr="002A407F">
              <w:rPr>
                <w:rFonts w:ascii="Times New Roman" w:eastAsia="Times New Roman" w:hAnsi="Times New Roman" w:cs="Times New Roman"/>
                <w:sz w:val="24"/>
                <w:szCs w:val="24"/>
              </w:rPr>
              <w:t xml:space="preserve">Noteikumu projekts papildināts ar </w:t>
            </w:r>
            <w:r w:rsidR="002A407F" w:rsidRPr="002A407F">
              <w:rPr>
                <w:rFonts w:ascii="Times New Roman" w:eastAsia="Times New Roman" w:hAnsi="Times New Roman" w:cs="Times New Roman"/>
                <w:sz w:val="24"/>
                <w:szCs w:val="24"/>
              </w:rPr>
              <w:t>1.</w:t>
            </w:r>
            <w:r w:rsidR="000246F3">
              <w:rPr>
                <w:rFonts w:ascii="Times New Roman" w:eastAsia="Times New Roman" w:hAnsi="Times New Roman" w:cs="Times New Roman"/>
                <w:sz w:val="24"/>
                <w:szCs w:val="24"/>
              </w:rPr>
              <w:t>8</w:t>
            </w:r>
            <w:r w:rsidRPr="002A407F">
              <w:rPr>
                <w:rFonts w:ascii="Times New Roman" w:eastAsia="Times New Roman" w:hAnsi="Times New Roman" w:cs="Times New Roman"/>
                <w:sz w:val="24"/>
                <w:szCs w:val="24"/>
              </w:rPr>
              <w:t>.</w:t>
            </w:r>
            <w:r w:rsidR="002A407F" w:rsidRPr="002A407F">
              <w:rPr>
                <w:rFonts w:ascii="Times New Roman" w:eastAsia="Times New Roman" w:hAnsi="Times New Roman" w:cs="Times New Roman"/>
                <w:sz w:val="24"/>
                <w:szCs w:val="24"/>
              </w:rPr>
              <w:t>apakš</w:t>
            </w:r>
            <w:r w:rsidRPr="002A407F">
              <w:rPr>
                <w:rFonts w:ascii="Times New Roman" w:eastAsia="Times New Roman" w:hAnsi="Times New Roman" w:cs="Times New Roman"/>
                <w:sz w:val="24"/>
                <w:szCs w:val="24"/>
              </w:rPr>
              <w:t xml:space="preserve">punktu </w:t>
            </w:r>
            <w:r w:rsidR="006D737B" w:rsidRPr="002A407F">
              <w:rPr>
                <w:rFonts w:ascii="Times New Roman" w:eastAsia="Times New Roman" w:hAnsi="Times New Roman" w:cs="Times New Roman"/>
                <w:sz w:val="24"/>
                <w:szCs w:val="24"/>
              </w:rPr>
              <w:t>šādā</w:t>
            </w:r>
            <w:r w:rsidRPr="002A407F">
              <w:rPr>
                <w:rFonts w:ascii="Times New Roman" w:eastAsia="Times New Roman" w:hAnsi="Times New Roman" w:cs="Times New Roman"/>
                <w:sz w:val="24"/>
                <w:szCs w:val="24"/>
              </w:rPr>
              <w:t xml:space="preserve"> redakcijā:</w:t>
            </w:r>
          </w:p>
          <w:p w:rsidR="001A14FC" w:rsidRPr="002A407F" w:rsidRDefault="001A14FC" w:rsidP="00E35205">
            <w:pPr>
              <w:suppressAutoHyphens/>
              <w:autoSpaceDN w:val="0"/>
              <w:spacing w:after="0" w:line="254" w:lineRule="auto"/>
              <w:jc w:val="both"/>
              <w:rPr>
                <w:rFonts w:ascii="Times New Roman" w:eastAsia="Times New Roman" w:hAnsi="Times New Roman" w:cs="Times New Roman"/>
                <w:sz w:val="24"/>
                <w:szCs w:val="24"/>
              </w:rPr>
            </w:pPr>
          </w:p>
          <w:p w:rsidR="002A407F" w:rsidRPr="002A407F" w:rsidRDefault="002A407F" w:rsidP="002A407F">
            <w:pPr>
              <w:pStyle w:val="Title"/>
              <w:jc w:val="both"/>
              <w:outlineLvl w:val="0"/>
              <w:rPr>
                <w:sz w:val="24"/>
                <w:szCs w:val="24"/>
              </w:rPr>
            </w:pPr>
            <w:r>
              <w:rPr>
                <w:sz w:val="24"/>
                <w:szCs w:val="24"/>
              </w:rPr>
              <w:t>“</w:t>
            </w:r>
            <w:r w:rsidRPr="002A407F">
              <w:rPr>
                <w:sz w:val="24"/>
                <w:szCs w:val="24"/>
              </w:rPr>
              <w:t>papildināt noteikumus ar 12.</w:t>
            </w:r>
            <w:r w:rsidRPr="002A407F">
              <w:rPr>
                <w:sz w:val="24"/>
                <w:szCs w:val="24"/>
                <w:vertAlign w:val="superscript"/>
              </w:rPr>
              <w:t>1</w:t>
            </w:r>
            <w:r w:rsidRPr="002A407F">
              <w:rPr>
                <w:sz w:val="24"/>
                <w:szCs w:val="24"/>
              </w:rPr>
              <w:t> punktu šādā redakcijā:</w:t>
            </w:r>
          </w:p>
          <w:p w:rsidR="002A407F" w:rsidRPr="002A407F" w:rsidRDefault="002A407F" w:rsidP="002A407F">
            <w:pPr>
              <w:pStyle w:val="Title"/>
              <w:ind w:left="720"/>
              <w:jc w:val="both"/>
              <w:outlineLvl w:val="0"/>
              <w:rPr>
                <w:sz w:val="24"/>
                <w:szCs w:val="24"/>
              </w:rPr>
            </w:pPr>
          </w:p>
          <w:p w:rsidR="00C016E1" w:rsidRPr="002A407F" w:rsidRDefault="002A407F" w:rsidP="002A407F">
            <w:pPr>
              <w:pStyle w:val="Title"/>
              <w:jc w:val="both"/>
              <w:outlineLvl w:val="0"/>
              <w:rPr>
                <w:sz w:val="24"/>
                <w:szCs w:val="24"/>
              </w:rPr>
            </w:pPr>
            <w:r w:rsidRPr="002A407F">
              <w:rPr>
                <w:sz w:val="24"/>
                <w:szCs w:val="24"/>
              </w:rPr>
              <w:t>"</w:t>
            </w:r>
            <w:r w:rsidRPr="002A407F">
              <w:rPr>
                <w:color w:val="000000"/>
                <w:sz w:val="24"/>
                <w:szCs w:val="24"/>
              </w:rPr>
              <w:t>12.</w:t>
            </w:r>
            <w:r w:rsidRPr="002A407F">
              <w:rPr>
                <w:color w:val="000000"/>
                <w:sz w:val="24"/>
                <w:szCs w:val="24"/>
                <w:vertAlign w:val="superscript"/>
              </w:rPr>
              <w:t>1</w:t>
            </w:r>
            <w:r w:rsidRPr="002A407F">
              <w:rPr>
                <w:color w:val="000000"/>
                <w:sz w:val="24"/>
                <w:szCs w:val="24"/>
              </w:rPr>
              <w:t>  Šo noteikumu 10.</w:t>
            </w:r>
            <w:r w:rsidRPr="002A407F">
              <w:rPr>
                <w:color w:val="000000"/>
                <w:sz w:val="24"/>
                <w:szCs w:val="24"/>
                <w:vertAlign w:val="superscript"/>
              </w:rPr>
              <w:t>1</w:t>
            </w:r>
            <w:r w:rsidRPr="002A407F">
              <w:rPr>
                <w:color w:val="000000"/>
                <w:sz w:val="24"/>
                <w:szCs w:val="24"/>
              </w:rPr>
              <w:t xml:space="preserve"> punktā noteiktajā kārtībā piešķirto pabalstu Valsts sociālās apdrošināšanas aģentūra piegādā pabalsta saņēmēja </w:t>
            </w:r>
            <w:r w:rsidRPr="002A407F">
              <w:rPr>
                <w:rStyle w:val="Strong"/>
                <w:b w:val="0"/>
                <w:color w:val="000000"/>
                <w:sz w:val="24"/>
                <w:szCs w:val="24"/>
              </w:rPr>
              <w:t>norādītajā</w:t>
            </w:r>
            <w:r w:rsidRPr="002A407F">
              <w:rPr>
                <w:color w:val="000000"/>
                <w:sz w:val="24"/>
                <w:szCs w:val="24"/>
              </w:rPr>
              <w:t xml:space="preserve"> dzīvesvietā vai bez maksas </w:t>
            </w:r>
            <w:r w:rsidRPr="002A407F">
              <w:rPr>
                <w:color w:val="000000"/>
                <w:sz w:val="24"/>
                <w:szCs w:val="24"/>
              </w:rPr>
              <w:lastRenderedPageBreak/>
              <w:t>pārskaita uz kontu, kurā pabalsta saņēmējam tiek izmaksāti Valsts sociālo pabalstu likuma 17.panta otrajā daļā minētie valsts sociālie pabalsti, valsts pensija, izdienas pensija, atlīdzība vai kurā personai, kura audzina bērnu ar invaliditāti, tiek izmaksāta piemaksa pie ģimenes valsts pabalsta par bērnu ar invaliditāti. Pabalsta saņēmējs jebkurā Valsts sociālās apdrošināšanas aģentūras nodaļā var iesniegt informāciju par citu norēķinu kontu, uz kuru pārskaitīt pabalstu, vai dzīvesvietas adresi, uz kuru piegādāt pabalstu</w:t>
            </w:r>
            <w:r w:rsidRPr="002A407F">
              <w:rPr>
                <w:sz w:val="24"/>
                <w:szCs w:val="24"/>
              </w:rPr>
              <w:t>."</w:t>
            </w:r>
            <w:r w:rsidR="004D703F" w:rsidRPr="002A407F">
              <w:rPr>
                <w:sz w:val="24"/>
                <w:szCs w:val="24"/>
              </w:rPr>
              <w:t>"</w:t>
            </w:r>
            <w:r w:rsidRPr="002A407F">
              <w:rPr>
                <w:sz w:val="24"/>
                <w:szCs w:val="24"/>
              </w:rPr>
              <w:t>.</w:t>
            </w:r>
          </w:p>
        </w:tc>
      </w:tr>
      <w:tr w:rsidR="00CF0A1F" w:rsidRPr="00AF2EBB" w:rsidTr="00E5663E">
        <w:tc>
          <w:tcPr>
            <w:tcW w:w="2969"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Atbildīgā amatpersona </w:t>
            </w:r>
          </w:p>
        </w:tc>
        <w:tc>
          <w:tcPr>
            <w:tcW w:w="5363"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p w:rsidR="00CF0A1F" w:rsidRPr="00AF2EBB" w:rsidRDefault="00724E4D"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Zanda Beinare</w:t>
            </w:r>
            <w:r w:rsidR="00CF0A1F" w:rsidRPr="00AF2EBB">
              <w:rPr>
                <w:rFonts w:ascii="Times New Roman" w:eastAsia="Times New Roman" w:hAnsi="Times New Roman" w:cs="Times New Roman"/>
                <w:sz w:val="24"/>
                <w:szCs w:val="24"/>
              </w:rPr>
              <w:t>  </w:t>
            </w:r>
          </w:p>
        </w:tc>
        <w:tc>
          <w:tcPr>
            <w:tcW w:w="2679" w:type="dxa"/>
            <w:gridSpan w:val="2"/>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r w:rsidR="00CF0A1F" w:rsidRPr="00AF2EBB" w:rsidTr="00E5663E">
        <w:tc>
          <w:tcPr>
            <w:tcW w:w="2969" w:type="dxa"/>
            <w:gridSpan w:val="2"/>
            <w:tcMar>
              <w:top w:w="0" w:type="dxa"/>
              <w:left w:w="108" w:type="dxa"/>
              <w:bottom w:w="0" w:type="dxa"/>
              <w:right w:w="108" w:type="dxa"/>
            </w:tcMar>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5363" w:type="dxa"/>
            <w:gridSpan w:val="2"/>
            <w:tcBorders>
              <w:top w:val="single" w:sz="6" w:space="0" w:color="000000"/>
              <w:left w:val="nil"/>
              <w:bottom w:val="nil"/>
              <w:right w:val="nil"/>
            </w:tcBorders>
            <w:tcMar>
              <w:top w:w="0" w:type="dxa"/>
              <w:left w:w="108" w:type="dxa"/>
              <w:bottom w:w="0" w:type="dxa"/>
              <w:right w:w="108" w:type="dxa"/>
            </w:tcMar>
            <w:hideMark/>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r w:rsidRPr="00AF2EBB">
              <w:rPr>
                <w:rFonts w:ascii="Times New Roman" w:eastAsia="Times New Roman" w:hAnsi="Times New Roman" w:cs="Times New Roman"/>
                <w:sz w:val="24"/>
                <w:szCs w:val="24"/>
              </w:rPr>
              <w:t xml:space="preserve">                           (vārds un uzvārds)</w:t>
            </w:r>
          </w:p>
        </w:tc>
        <w:tc>
          <w:tcPr>
            <w:tcW w:w="2679" w:type="dxa"/>
            <w:gridSpan w:val="2"/>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c>
          <w:tcPr>
            <w:tcW w:w="3149" w:type="dxa"/>
          </w:tcPr>
          <w:p w:rsidR="00CF0A1F" w:rsidRPr="00AF2EBB" w:rsidRDefault="00CF0A1F" w:rsidP="00E9621B">
            <w:pPr>
              <w:suppressAutoHyphens/>
              <w:autoSpaceDN w:val="0"/>
              <w:spacing w:after="0" w:line="254" w:lineRule="auto"/>
              <w:rPr>
                <w:rFonts w:ascii="Times New Roman" w:eastAsia="Times New Roman" w:hAnsi="Times New Roman" w:cs="Times New Roman"/>
                <w:sz w:val="24"/>
                <w:szCs w:val="24"/>
              </w:rPr>
            </w:pPr>
          </w:p>
        </w:tc>
      </w:tr>
    </w:tbl>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p>
    <w:p w:rsidR="00CF0A1F" w:rsidRPr="00AF2EBB" w:rsidRDefault="008D1327"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Zanda Beinare</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Labklājības ministrijas</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 xml:space="preserve">Sociālās iekļaušanas politikas departamenta </w:t>
      </w:r>
      <w:r w:rsidR="008D1327" w:rsidRPr="00AF2EBB">
        <w:rPr>
          <w:rFonts w:ascii="Times New Roman" w:eastAsia="Times New Roman" w:hAnsi="Times New Roman" w:cs="Times New Roman"/>
          <w:sz w:val="24"/>
          <w:szCs w:val="24"/>
          <w:lang w:eastAsia="lv-LV"/>
        </w:rPr>
        <w:t>vecākā referente</w:t>
      </w:r>
    </w:p>
    <w:p w:rsidR="00CF0A1F" w:rsidRPr="00AF2EBB" w:rsidRDefault="00CF0A1F" w:rsidP="00CF0A1F">
      <w:pPr>
        <w:suppressAutoHyphens/>
        <w:autoSpaceDN w:val="0"/>
        <w:spacing w:after="0" w:line="240" w:lineRule="auto"/>
        <w:rPr>
          <w:rFonts w:ascii="Times New Roman" w:eastAsia="Times New Roman" w:hAnsi="Times New Roman" w:cs="Times New Roman"/>
          <w:sz w:val="24"/>
          <w:szCs w:val="24"/>
          <w:lang w:eastAsia="lv-LV"/>
        </w:rPr>
      </w:pPr>
      <w:r w:rsidRPr="00AF2EBB">
        <w:rPr>
          <w:rFonts w:ascii="Times New Roman" w:eastAsia="Times New Roman" w:hAnsi="Times New Roman" w:cs="Times New Roman"/>
          <w:sz w:val="24"/>
          <w:szCs w:val="24"/>
          <w:lang w:eastAsia="lv-LV"/>
        </w:rPr>
        <w:t>Tālr.67021</w:t>
      </w:r>
      <w:r w:rsidR="008D1327" w:rsidRPr="00AF2EBB">
        <w:rPr>
          <w:rFonts w:ascii="Times New Roman" w:eastAsia="Times New Roman" w:hAnsi="Times New Roman" w:cs="Times New Roman"/>
          <w:sz w:val="24"/>
          <w:szCs w:val="24"/>
          <w:lang w:eastAsia="lv-LV"/>
        </w:rPr>
        <w:t>619</w:t>
      </w:r>
      <w:r w:rsidRPr="00AF2EBB">
        <w:rPr>
          <w:rFonts w:ascii="Times New Roman" w:eastAsia="Times New Roman" w:hAnsi="Times New Roman" w:cs="Times New Roman"/>
          <w:sz w:val="24"/>
          <w:szCs w:val="24"/>
          <w:lang w:eastAsia="lv-LV"/>
        </w:rPr>
        <w:t xml:space="preserve">, </w:t>
      </w:r>
    </w:p>
    <w:p w:rsidR="00A507EB" w:rsidRPr="00AF2EBB" w:rsidRDefault="00C50CF0" w:rsidP="00003FAB">
      <w:pPr>
        <w:suppressAutoHyphens/>
        <w:autoSpaceDN w:val="0"/>
        <w:spacing w:after="0" w:line="240" w:lineRule="auto"/>
        <w:rPr>
          <w:rFonts w:ascii="Times New Roman" w:hAnsi="Times New Roman" w:cs="Times New Roman"/>
          <w:sz w:val="24"/>
          <w:szCs w:val="24"/>
        </w:rPr>
      </w:pPr>
      <w:hyperlink r:id="rId8" w:history="1">
        <w:r w:rsidR="008D1327" w:rsidRPr="00AF2EBB">
          <w:rPr>
            <w:rStyle w:val="Hyperlink"/>
            <w:rFonts w:ascii="Times New Roman" w:eastAsia="Times New Roman" w:hAnsi="Times New Roman" w:cs="Times New Roman"/>
            <w:sz w:val="24"/>
            <w:szCs w:val="24"/>
            <w:lang w:eastAsia="lv-LV"/>
          </w:rPr>
          <w:t>Zanda.Beinare@lm.gov.lv</w:t>
        </w:r>
      </w:hyperlink>
    </w:p>
    <w:sectPr w:rsidR="00A507EB" w:rsidRPr="00AF2EBB" w:rsidSect="00003FAB">
      <w:headerReference w:type="default" r:id="rId9"/>
      <w:footerReference w:type="default" r:id="rId10"/>
      <w:footerReference w:type="first" r:id="rId11"/>
      <w:pgSz w:w="16838" w:h="11906" w:orient="landscape"/>
      <w:pgMar w:top="1418"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286" w:rsidRDefault="00B0617B">
      <w:pPr>
        <w:spacing w:after="0" w:line="240" w:lineRule="auto"/>
      </w:pPr>
      <w:r>
        <w:separator/>
      </w:r>
    </w:p>
  </w:endnote>
  <w:endnote w:type="continuationSeparator" w:id="0">
    <w:p w:rsidR="009C7286" w:rsidRDefault="00B06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rsidP="00B0617B">
    <w:pPr>
      <w:pStyle w:val="Footer"/>
      <w:rPr>
        <w:rFonts w:ascii="Times New Roman" w:hAnsi="Times New Roman" w:cs="Times New Roman"/>
      </w:rPr>
    </w:pPr>
    <w:r w:rsidRPr="00B0617B">
      <w:rPr>
        <w:rFonts w:ascii="Times New Roman" w:hAnsi="Times New Roman" w:cs="Times New Roman"/>
      </w:rPr>
      <w:t>LMizz_</w:t>
    </w:r>
    <w:r w:rsidR="00D417B2">
      <w:rPr>
        <w:rFonts w:ascii="Times New Roman" w:hAnsi="Times New Roman" w:cs="Times New Roman"/>
      </w:rPr>
      <w:t>MK160</w:t>
    </w:r>
    <w:r w:rsidR="00C2528A">
      <w:rPr>
        <w:rFonts w:ascii="Times New Roman" w:hAnsi="Times New Roman" w:cs="Times New Roman"/>
      </w:rPr>
      <w:t>6</w:t>
    </w:r>
    <w:r w:rsidRPr="00B0617B">
      <w:rPr>
        <w:rFonts w:ascii="Times New Roman" w:hAnsi="Times New Roman" w:cs="Times New Roman"/>
      </w:rPr>
      <w:t>_</w:t>
    </w:r>
    <w:r w:rsidR="00952920" w:rsidRPr="00952920">
      <w:rPr>
        <w:rFonts w:ascii="Times New Roman" w:hAnsi="Times New Roman" w:cs="Times New Roman"/>
      </w:rPr>
      <w:t>0</w:t>
    </w:r>
    <w:r w:rsidR="00C50CF0">
      <w:rPr>
        <w:rFonts w:ascii="Times New Roman" w:hAnsi="Times New Roman" w:cs="Times New Roman"/>
      </w:rPr>
      <w:t>7</w:t>
    </w:r>
    <w:r w:rsidR="00952920" w:rsidRPr="00952920">
      <w:rPr>
        <w:rFonts w:ascii="Times New Roman" w:hAnsi="Times New Roman" w:cs="Times New Roman"/>
      </w:rPr>
      <w:t>12</w:t>
    </w:r>
    <w:r w:rsidRPr="00952920">
      <w:rPr>
        <w:rFonts w:ascii="Times New Roman" w:hAnsi="Times New Roman" w:cs="Times New Roman"/>
      </w:rPr>
      <w:t>2020</w:t>
    </w:r>
  </w:p>
  <w:p w:rsidR="00B0617B" w:rsidRDefault="00B0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17B" w:rsidRPr="00B0617B" w:rsidRDefault="00B0617B">
    <w:pPr>
      <w:pStyle w:val="Footer"/>
      <w:rPr>
        <w:rFonts w:ascii="Times New Roman" w:hAnsi="Times New Roman" w:cs="Times New Roman"/>
      </w:rPr>
    </w:pPr>
    <w:r w:rsidRPr="00B0617B">
      <w:rPr>
        <w:rFonts w:ascii="Times New Roman" w:hAnsi="Times New Roman" w:cs="Times New Roman"/>
      </w:rPr>
      <w:t>LMizz_</w:t>
    </w:r>
    <w:r w:rsidR="00D417B2">
      <w:rPr>
        <w:rFonts w:ascii="Times New Roman" w:hAnsi="Times New Roman" w:cs="Times New Roman"/>
      </w:rPr>
      <w:t>MK160</w:t>
    </w:r>
    <w:r w:rsidR="00C2528A">
      <w:rPr>
        <w:rFonts w:ascii="Times New Roman" w:hAnsi="Times New Roman" w:cs="Times New Roman"/>
      </w:rPr>
      <w:t>6</w:t>
    </w:r>
    <w:r w:rsidRPr="00B0617B">
      <w:rPr>
        <w:rFonts w:ascii="Times New Roman" w:hAnsi="Times New Roman" w:cs="Times New Roman"/>
      </w:rPr>
      <w:t>_</w:t>
    </w:r>
    <w:r w:rsidR="00952920" w:rsidRPr="00952920">
      <w:rPr>
        <w:rFonts w:ascii="Times New Roman" w:hAnsi="Times New Roman" w:cs="Times New Roman"/>
      </w:rPr>
      <w:t>0</w:t>
    </w:r>
    <w:r w:rsidR="00C50CF0">
      <w:rPr>
        <w:rFonts w:ascii="Times New Roman" w:hAnsi="Times New Roman" w:cs="Times New Roman"/>
      </w:rPr>
      <w:t>7</w:t>
    </w:r>
    <w:r w:rsidR="00952920" w:rsidRPr="00952920">
      <w:rPr>
        <w:rFonts w:ascii="Times New Roman" w:hAnsi="Times New Roman" w:cs="Times New Roman"/>
      </w:rPr>
      <w:t>12</w:t>
    </w:r>
    <w:r w:rsidRPr="00952920">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286" w:rsidRDefault="00B0617B">
      <w:pPr>
        <w:spacing w:after="0" w:line="240" w:lineRule="auto"/>
      </w:pPr>
      <w:r>
        <w:separator/>
      </w:r>
    </w:p>
  </w:footnote>
  <w:footnote w:type="continuationSeparator" w:id="0">
    <w:p w:rsidR="009C7286" w:rsidRDefault="00B06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80035"/>
      <w:docPartObj>
        <w:docPartGallery w:val="Page Numbers (Top of Page)"/>
        <w:docPartUnique/>
      </w:docPartObj>
    </w:sdtPr>
    <w:sdtEndPr>
      <w:rPr>
        <w:noProof/>
      </w:rPr>
    </w:sdtEndPr>
    <w:sdtContent>
      <w:p w:rsidR="007375AC" w:rsidRDefault="00003F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7375AC" w:rsidRDefault="00C5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983"/>
    <w:multiLevelType w:val="multilevel"/>
    <w:tmpl w:val="D4F44A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A1F"/>
    <w:rsid w:val="00003FAB"/>
    <w:rsid w:val="000246F3"/>
    <w:rsid w:val="001A14FC"/>
    <w:rsid w:val="00200697"/>
    <w:rsid w:val="00221AF6"/>
    <w:rsid w:val="0023039F"/>
    <w:rsid w:val="00266372"/>
    <w:rsid w:val="00266E66"/>
    <w:rsid w:val="002A407F"/>
    <w:rsid w:val="00314573"/>
    <w:rsid w:val="00393D74"/>
    <w:rsid w:val="004138F1"/>
    <w:rsid w:val="004D703F"/>
    <w:rsid w:val="00507E82"/>
    <w:rsid w:val="005E4BC1"/>
    <w:rsid w:val="005F63B0"/>
    <w:rsid w:val="006A2598"/>
    <w:rsid w:val="006B7E92"/>
    <w:rsid w:val="006C2713"/>
    <w:rsid w:val="006D737B"/>
    <w:rsid w:val="00704348"/>
    <w:rsid w:val="007151F9"/>
    <w:rsid w:val="0072012E"/>
    <w:rsid w:val="00724E4D"/>
    <w:rsid w:val="00766175"/>
    <w:rsid w:val="008817A8"/>
    <w:rsid w:val="008A6951"/>
    <w:rsid w:val="008B7798"/>
    <w:rsid w:val="008D1327"/>
    <w:rsid w:val="00952920"/>
    <w:rsid w:val="009C41E9"/>
    <w:rsid w:val="009C7286"/>
    <w:rsid w:val="00A2190C"/>
    <w:rsid w:val="00A2246B"/>
    <w:rsid w:val="00A30577"/>
    <w:rsid w:val="00A507EB"/>
    <w:rsid w:val="00AB1679"/>
    <w:rsid w:val="00AC2040"/>
    <w:rsid w:val="00AD29D0"/>
    <w:rsid w:val="00AF2EBB"/>
    <w:rsid w:val="00B0617B"/>
    <w:rsid w:val="00B13BBD"/>
    <w:rsid w:val="00B40558"/>
    <w:rsid w:val="00B829BA"/>
    <w:rsid w:val="00B92310"/>
    <w:rsid w:val="00C016E1"/>
    <w:rsid w:val="00C1331F"/>
    <w:rsid w:val="00C2528A"/>
    <w:rsid w:val="00C50CF0"/>
    <w:rsid w:val="00CB111D"/>
    <w:rsid w:val="00CC1892"/>
    <w:rsid w:val="00CF0A1F"/>
    <w:rsid w:val="00D04A92"/>
    <w:rsid w:val="00D13184"/>
    <w:rsid w:val="00D417B2"/>
    <w:rsid w:val="00D9636E"/>
    <w:rsid w:val="00D96B13"/>
    <w:rsid w:val="00D975C2"/>
    <w:rsid w:val="00DF5A0E"/>
    <w:rsid w:val="00E35205"/>
    <w:rsid w:val="00E5663E"/>
    <w:rsid w:val="00F136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D5AC"/>
  <w15:chartTrackingRefBased/>
  <w15:docId w15:val="{E8E56AFA-357E-452A-A58C-486BB74F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A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0A1F"/>
  </w:style>
  <w:style w:type="paragraph" w:styleId="Footer">
    <w:name w:val="footer"/>
    <w:basedOn w:val="Normal"/>
    <w:link w:val="FooterChar"/>
    <w:uiPriority w:val="99"/>
    <w:unhideWhenUsed/>
    <w:rsid w:val="00B0617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17B"/>
  </w:style>
  <w:style w:type="character" w:styleId="Hyperlink">
    <w:name w:val="Hyperlink"/>
    <w:basedOn w:val="DefaultParagraphFont"/>
    <w:uiPriority w:val="99"/>
    <w:unhideWhenUsed/>
    <w:rsid w:val="008D1327"/>
    <w:rPr>
      <w:color w:val="0563C1" w:themeColor="hyperlink"/>
      <w:u w:val="single"/>
    </w:rPr>
  </w:style>
  <w:style w:type="character" w:styleId="UnresolvedMention">
    <w:name w:val="Unresolved Mention"/>
    <w:basedOn w:val="DefaultParagraphFont"/>
    <w:uiPriority w:val="99"/>
    <w:semiHidden/>
    <w:unhideWhenUsed/>
    <w:rsid w:val="008D1327"/>
    <w:rPr>
      <w:color w:val="605E5C"/>
      <w:shd w:val="clear" w:color="auto" w:fill="E1DFDD"/>
    </w:rPr>
  </w:style>
  <w:style w:type="character" w:styleId="CommentReference">
    <w:name w:val="annotation reference"/>
    <w:basedOn w:val="DefaultParagraphFont"/>
    <w:uiPriority w:val="99"/>
    <w:semiHidden/>
    <w:unhideWhenUsed/>
    <w:rsid w:val="00B829BA"/>
    <w:rPr>
      <w:sz w:val="16"/>
      <w:szCs w:val="16"/>
    </w:rPr>
  </w:style>
  <w:style w:type="paragraph" w:styleId="CommentText">
    <w:name w:val="annotation text"/>
    <w:basedOn w:val="Normal"/>
    <w:link w:val="CommentTextChar"/>
    <w:uiPriority w:val="99"/>
    <w:unhideWhenUsed/>
    <w:rsid w:val="00B829B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B829BA"/>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B82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BA"/>
    <w:rPr>
      <w:rFonts w:ascii="Segoe UI" w:hAnsi="Segoe UI" w:cs="Segoe UI"/>
      <w:sz w:val="18"/>
      <w:szCs w:val="18"/>
    </w:rPr>
  </w:style>
  <w:style w:type="paragraph" w:styleId="Title">
    <w:name w:val="Title"/>
    <w:basedOn w:val="Normal"/>
    <w:link w:val="TitleChar"/>
    <w:qFormat/>
    <w:rsid w:val="002A407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A407F"/>
    <w:rPr>
      <w:rFonts w:ascii="Times New Roman" w:eastAsia="Times New Roman" w:hAnsi="Times New Roman" w:cs="Times New Roman"/>
      <w:sz w:val="28"/>
      <w:szCs w:val="20"/>
    </w:rPr>
  </w:style>
  <w:style w:type="character" w:styleId="Strong">
    <w:name w:val="Strong"/>
    <w:basedOn w:val="DefaultParagraphFont"/>
    <w:uiPriority w:val="22"/>
    <w:qFormat/>
    <w:rsid w:val="002A4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da.Beinar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8DEA6-1507-41B7-8347-C5EC4F67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2792</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Grabe</dc:creator>
  <cp:keywords/>
  <dc:description/>
  <cp:lastModifiedBy>Zanda Beinare</cp:lastModifiedBy>
  <cp:revision>54</cp:revision>
  <dcterms:created xsi:type="dcterms:W3CDTF">2020-12-03T05:49:00Z</dcterms:created>
  <dcterms:modified xsi:type="dcterms:W3CDTF">2020-12-05T07:39:00Z</dcterms:modified>
</cp:coreProperties>
</file>