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54491" w:rsidR="00D41F3C" w:rsidRDefault="00A94AFD" w14:paraId="106A5688" w14:textId="77777777">
      <w:pPr>
        <w:pBdr>
          <w:top w:val="nil"/>
          <w:left w:val="nil"/>
          <w:bottom w:val="nil"/>
          <w:right w:val="nil"/>
          <w:between w:val="nil"/>
        </w:pBdr>
        <w:ind w:firstLine="720"/>
        <w:jc w:val="center"/>
        <w:rPr>
          <w:b/>
          <w:color w:val="000000"/>
        </w:rPr>
      </w:pPr>
      <w:r w:rsidRPr="00854491">
        <w:rPr>
          <w:b/>
          <w:color w:val="000000"/>
        </w:rPr>
        <w:t>Izziņa par atzinumos sniegtajiem iebildumiem par Ministru kabineta noteikumu projektu</w:t>
      </w:r>
    </w:p>
    <w:p w:rsidRPr="00854491" w:rsidR="00D41F3C" w:rsidRDefault="00A94AFD" w14:paraId="5A865A39" w14:textId="5693BF76">
      <w:pPr>
        <w:pBdr>
          <w:top w:val="nil"/>
          <w:left w:val="nil"/>
          <w:bottom w:val="nil"/>
          <w:right w:val="nil"/>
          <w:between w:val="nil"/>
        </w:pBdr>
        <w:ind w:firstLine="720"/>
        <w:jc w:val="center"/>
        <w:rPr>
          <w:b/>
          <w:color w:val="000000"/>
        </w:rPr>
      </w:pPr>
      <w:r w:rsidRPr="00854491">
        <w:rPr>
          <w:b/>
          <w:color w:val="000000"/>
        </w:rPr>
        <w:t>"</w:t>
      </w:r>
      <w:r w:rsidRPr="000D382E" w:rsidR="000D382E">
        <w:rPr>
          <w:b/>
          <w:color w:val="000000"/>
        </w:rPr>
        <w:t xml:space="preserve">Grozījumi Ministru kabineta 2010. gada 21. decembra noteikumos </w:t>
      </w:r>
      <w:r w:rsidRPr="000D382E" w:rsidR="000D382E">
        <w:rPr>
          <w:b/>
          <w:bCs/>
          <w:color w:val="000000"/>
        </w:rPr>
        <w:t xml:space="preserve">Nr. 1171 </w:t>
      </w:r>
      <w:r w:rsidRPr="000D382E" w:rsidR="000D382E">
        <w:rPr>
          <w:b/>
          <w:color w:val="000000"/>
        </w:rPr>
        <w:t>"</w:t>
      </w:r>
      <w:r w:rsidRPr="000D382E" w:rsidR="000D382E">
        <w:rPr>
          <w:b/>
          <w:bCs/>
          <w:color w:val="000000"/>
        </w:rPr>
        <w:t>Noteikumi par Latvijas ūdeņu izmantošanas kārtību</w:t>
      </w:r>
      <w:r w:rsidR="000D382E">
        <w:rPr>
          <w:b/>
          <w:bCs/>
          <w:color w:val="000000"/>
        </w:rPr>
        <w:t xml:space="preserve"> </w:t>
      </w:r>
      <w:r w:rsidRPr="000D382E" w:rsidR="000D382E">
        <w:rPr>
          <w:b/>
          <w:bCs/>
          <w:color w:val="000000"/>
        </w:rPr>
        <w:t>un kuģošanas režīmu tajos</w:t>
      </w:r>
      <w:r w:rsidRPr="000D382E" w:rsidR="000D382E">
        <w:rPr>
          <w:b/>
          <w:color w:val="000000"/>
        </w:rPr>
        <w:t>"</w:t>
      </w:r>
      <w:r w:rsidRPr="00854491">
        <w:rPr>
          <w:b/>
          <w:color w:val="000000"/>
        </w:rPr>
        <w:t>" (VSS-</w:t>
      </w:r>
      <w:r w:rsidR="000D382E">
        <w:rPr>
          <w:b/>
          <w:color w:val="000000"/>
        </w:rPr>
        <w:t>841</w:t>
      </w:r>
      <w:r w:rsidRPr="00854491">
        <w:rPr>
          <w:b/>
          <w:color w:val="000000"/>
        </w:rPr>
        <w:t>)</w:t>
      </w:r>
    </w:p>
    <w:p w:rsidRPr="0045095C" w:rsidR="00D41F3C" w:rsidRDefault="00D41F3C" w14:paraId="6F402D19" w14:textId="77777777">
      <w:pPr>
        <w:pBdr>
          <w:top w:val="nil"/>
          <w:left w:val="nil"/>
          <w:bottom w:val="nil"/>
          <w:right w:val="nil"/>
          <w:between w:val="nil"/>
        </w:pBdr>
        <w:jc w:val="both"/>
        <w:rPr>
          <w:color w:val="000000"/>
        </w:rPr>
      </w:pPr>
    </w:p>
    <w:p w:rsidRPr="0045095C" w:rsidR="00D41F3C" w:rsidRDefault="00A94AFD" w14:paraId="0C0F039C" w14:textId="77777777">
      <w:pPr>
        <w:numPr>
          <w:ilvl w:val="0"/>
          <w:numId w:val="1"/>
        </w:numPr>
        <w:pBdr>
          <w:top w:val="nil"/>
          <w:left w:val="nil"/>
          <w:bottom w:val="nil"/>
          <w:right w:val="nil"/>
          <w:between w:val="nil"/>
        </w:pBdr>
        <w:jc w:val="center"/>
        <w:rPr>
          <w:b/>
          <w:color w:val="000000"/>
        </w:rPr>
      </w:pPr>
      <w:r w:rsidRPr="0045095C">
        <w:rPr>
          <w:b/>
          <w:color w:val="000000"/>
        </w:rPr>
        <w:t>Jautājumi, par kuriem saskaņošanā vienošanās nav panākta</w:t>
      </w:r>
    </w:p>
    <w:p w:rsidRPr="0045095C" w:rsidR="00D41F3C" w:rsidRDefault="00D41F3C" w14:paraId="370A1DF6" w14:textId="77777777">
      <w:pPr>
        <w:pBdr>
          <w:top w:val="nil"/>
          <w:left w:val="nil"/>
          <w:bottom w:val="nil"/>
          <w:right w:val="nil"/>
          <w:between w:val="nil"/>
        </w:pBdr>
        <w:jc w:val="both"/>
        <w:rPr>
          <w:b/>
          <w:color w:val="000000"/>
        </w:rPr>
      </w:pPr>
    </w:p>
    <w:tbl>
      <w:tblPr>
        <w:tblStyle w:val="a"/>
        <w:tblW w:w="14167" w:type="dxa"/>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576"/>
        <w:gridCol w:w="2626"/>
        <w:gridCol w:w="2596"/>
        <w:gridCol w:w="2643"/>
        <w:gridCol w:w="2234"/>
        <w:gridCol w:w="3492"/>
      </w:tblGrid>
      <w:tr w:rsidRPr="0045095C" w:rsidR="00D41F3C" w14:paraId="7D95F918" w14:textId="77777777">
        <w:tc>
          <w:tcPr>
            <w:tcW w:w="576" w:type="dxa"/>
            <w:tcBorders>
              <w:top w:val="single" w:color="000000" w:sz="6" w:space="0"/>
              <w:left w:val="single" w:color="000000" w:sz="6" w:space="0"/>
              <w:bottom w:val="single" w:color="000000" w:sz="6" w:space="0"/>
              <w:right w:val="single" w:color="000000" w:sz="6" w:space="0"/>
            </w:tcBorders>
            <w:vAlign w:val="center"/>
          </w:tcPr>
          <w:p w:rsidRPr="0045095C" w:rsidR="00D41F3C" w:rsidRDefault="00A94AFD" w14:paraId="1A2C393E" w14:textId="77777777">
            <w:pPr>
              <w:pBdr>
                <w:top w:val="nil"/>
                <w:left w:val="nil"/>
                <w:bottom w:val="nil"/>
                <w:right w:val="nil"/>
                <w:between w:val="nil"/>
              </w:pBdr>
              <w:jc w:val="both"/>
              <w:rPr>
                <w:color w:val="000000"/>
              </w:rPr>
            </w:pPr>
            <w:r w:rsidRPr="0045095C">
              <w:rPr>
                <w:color w:val="000000"/>
              </w:rPr>
              <w:t>Nr. p.k.</w:t>
            </w:r>
          </w:p>
        </w:tc>
        <w:tc>
          <w:tcPr>
            <w:tcW w:w="2626" w:type="dxa"/>
            <w:tcBorders>
              <w:top w:val="single" w:color="000000" w:sz="6" w:space="0"/>
              <w:left w:val="single" w:color="000000" w:sz="6" w:space="0"/>
              <w:bottom w:val="single" w:color="000000" w:sz="6" w:space="0"/>
              <w:right w:val="single" w:color="000000" w:sz="6" w:space="0"/>
            </w:tcBorders>
            <w:vAlign w:val="center"/>
          </w:tcPr>
          <w:p w:rsidRPr="0045095C" w:rsidR="00D41F3C" w:rsidRDefault="00A94AFD" w14:paraId="2D9CAEF4" w14:textId="77777777">
            <w:pPr>
              <w:pBdr>
                <w:top w:val="nil"/>
                <w:left w:val="nil"/>
                <w:bottom w:val="nil"/>
                <w:right w:val="nil"/>
                <w:between w:val="nil"/>
              </w:pBdr>
              <w:jc w:val="both"/>
              <w:rPr>
                <w:color w:val="000000"/>
              </w:rPr>
            </w:pPr>
            <w:r w:rsidRPr="0045095C">
              <w:rPr>
                <w:color w:val="000000"/>
              </w:rPr>
              <w:t>Saskaņošanai nosūtītā projekta redakcija (konkrēta punkta (panta) redakcija)</w:t>
            </w:r>
          </w:p>
        </w:tc>
        <w:tc>
          <w:tcPr>
            <w:tcW w:w="2596" w:type="dxa"/>
            <w:tcBorders>
              <w:top w:val="single" w:color="000000" w:sz="6" w:space="0"/>
              <w:left w:val="single" w:color="000000" w:sz="6" w:space="0"/>
              <w:bottom w:val="single" w:color="000000" w:sz="6" w:space="0"/>
              <w:right w:val="single" w:color="000000" w:sz="6" w:space="0"/>
            </w:tcBorders>
            <w:vAlign w:val="center"/>
          </w:tcPr>
          <w:p w:rsidRPr="0045095C" w:rsidR="00D41F3C" w:rsidRDefault="00A94AFD" w14:paraId="6EF09FA7" w14:textId="77777777">
            <w:pPr>
              <w:pBdr>
                <w:top w:val="nil"/>
                <w:left w:val="nil"/>
                <w:bottom w:val="nil"/>
                <w:right w:val="nil"/>
                <w:between w:val="nil"/>
              </w:pBdr>
              <w:jc w:val="both"/>
              <w:rPr>
                <w:color w:val="000000"/>
              </w:rPr>
            </w:pPr>
            <w:r w:rsidRPr="0045095C">
              <w:rPr>
                <w:color w:val="000000"/>
              </w:rPr>
              <w:t>Atzinumā norādītais ministrijas (citas institūcijas) iebildums, kā arī saskaņošanā papildus izteiktais iebildums par projekta konkrēto punktu (pantu)</w:t>
            </w:r>
          </w:p>
        </w:tc>
        <w:tc>
          <w:tcPr>
            <w:tcW w:w="2643" w:type="dxa"/>
            <w:tcBorders>
              <w:top w:val="single" w:color="000000" w:sz="6" w:space="0"/>
              <w:left w:val="single" w:color="000000" w:sz="6" w:space="0"/>
              <w:bottom w:val="single" w:color="000000" w:sz="6" w:space="0"/>
              <w:right w:val="single" w:color="000000" w:sz="6" w:space="0"/>
            </w:tcBorders>
            <w:vAlign w:val="center"/>
          </w:tcPr>
          <w:p w:rsidRPr="0045095C" w:rsidR="00D41F3C" w:rsidRDefault="00A94AFD" w14:paraId="2029C1C8" w14:textId="77777777">
            <w:pPr>
              <w:pBdr>
                <w:top w:val="nil"/>
                <w:left w:val="nil"/>
                <w:bottom w:val="nil"/>
                <w:right w:val="nil"/>
                <w:between w:val="nil"/>
              </w:pBdr>
              <w:jc w:val="both"/>
              <w:rPr>
                <w:color w:val="000000"/>
              </w:rPr>
            </w:pPr>
            <w:r w:rsidRPr="0045095C">
              <w:rPr>
                <w:color w:val="000000"/>
              </w:rPr>
              <w:t>Atbildīgās ministrijas pamatojums iebilduma noraidījumam</w:t>
            </w:r>
          </w:p>
        </w:tc>
        <w:tc>
          <w:tcPr>
            <w:tcW w:w="2234" w:type="dxa"/>
            <w:tcBorders>
              <w:top w:val="single" w:color="000000" w:sz="4" w:space="0"/>
              <w:left w:val="single" w:color="000000" w:sz="4" w:space="0"/>
              <w:bottom w:val="single" w:color="000000" w:sz="4" w:space="0"/>
              <w:right w:val="single" w:color="000000" w:sz="4" w:space="0"/>
            </w:tcBorders>
          </w:tcPr>
          <w:p w:rsidRPr="0045095C" w:rsidR="00D41F3C" w:rsidRDefault="00A94AFD" w14:paraId="7CFBCFB9" w14:textId="77777777">
            <w:pPr>
              <w:pBdr>
                <w:top w:val="nil"/>
                <w:left w:val="nil"/>
                <w:bottom w:val="nil"/>
                <w:right w:val="nil"/>
                <w:between w:val="nil"/>
              </w:pBdr>
              <w:jc w:val="both"/>
              <w:rPr>
                <w:color w:val="000000"/>
              </w:rPr>
            </w:pPr>
            <w:r w:rsidRPr="0045095C">
              <w:rPr>
                <w:color w:val="000000"/>
              </w:rPr>
              <w:t>Atzinuma sniedzēja uzturētais iebildums, ja tas atšķiras no atzinumā norādītā iebilduma pamatojuma</w:t>
            </w:r>
          </w:p>
        </w:tc>
        <w:tc>
          <w:tcPr>
            <w:tcW w:w="3492" w:type="dxa"/>
            <w:tcBorders>
              <w:top w:val="single" w:color="000000" w:sz="4" w:space="0"/>
              <w:left w:val="single" w:color="000000" w:sz="4" w:space="0"/>
              <w:bottom w:val="single" w:color="000000" w:sz="4" w:space="0"/>
              <w:right w:val="single" w:color="000000" w:sz="4" w:space="0"/>
            </w:tcBorders>
            <w:vAlign w:val="center"/>
          </w:tcPr>
          <w:p w:rsidRPr="0045095C" w:rsidR="00D41F3C" w:rsidRDefault="00A94AFD" w14:paraId="635CE3A4" w14:textId="77777777">
            <w:pPr>
              <w:pBdr>
                <w:top w:val="nil"/>
                <w:left w:val="nil"/>
                <w:bottom w:val="nil"/>
                <w:right w:val="nil"/>
                <w:between w:val="nil"/>
              </w:pBdr>
              <w:jc w:val="both"/>
              <w:rPr>
                <w:color w:val="000000"/>
              </w:rPr>
            </w:pPr>
            <w:r w:rsidRPr="0045095C">
              <w:rPr>
                <w:color w:val="000000"/>
              </w:rPr>
              <w:t>Projekta attiecīgā punkta (panta) galīgā redakcija</w:t>
            </w:r>
          </w:p>
        </w:tc>
      </w:tr>
      <w:tr w:rsidRPr="0045095C" w:rsidR="00D41F3C" w14:paraId="2DA2046A" w14:textId="77777777">
        <w:tc>
          <w:tcPr>
            <w:tcW w:w="576" w:type="dxa"/>
            <w:tcBorders>
              <w:top w:val="single" w:color="000000" w:sz="6" w:space="0"/>
              <w:left w:val="single" w:color="000000" w:sz="6" w:space="0"/>
              <w:bottom w:val="single" w:color="000000" w:sz="6" w:space="0"/>
              <w:right w:val="single" w:color="000000" w:sz="6" w:space="0"/>
            </w:tcBorders>
          </w:tcPr>
          <w:p w:rsidRPr="0045095C" w:rsidR="00D41F3C" w:rsidRDefault="00A94AFD" w14:paraId="7D820AD8" w14:textId="77777777">
            <w:pPr>
              <w:pBdr>
                <w:top w:val="nil"/>
                <w:left w:val="nil"/>
                <w:bottom w:val="nil"/>
                <w:right w:val="nil"/>
                <w:between w:val="nil"/>
              </w:pBdr>
              <w:jc w:val="both"/>
              <w:rPr>
                <w:color w:val="000000"/>
              </w:rPr>
            </w:pPr>
            <w:r w:rsidRPr="0045095C">
              <w:rPr>
                <w:color w:val="000000"/>
              </w:rPr>
              <w:t>1</w:t>
            </w:r>
          </w:p>
        </w:tc>
        <w:tc>
          <w:tcPr>
            <w:tcW w:w="2626" w:type="dxa"/>
            <w:tcBorders>
              <w:top w:val="single" w:color="000000" w:sz="6" w:space="0"/>
              <w:left w:val="single" w:color="000000" w:sz="6" w:space="0"/>
              <w:bottom w:val="single" w:color="000000" w:sz="6" w:space="0"/>
              <w:right w:val="single" w:color="000000" w:sz="6" w:space="0"/>
            </w:tcBorders>
          </w:tcPr>
          <w:p w:rsidRPr="0045095C" w:rsidR="00D41F3C" w:rsidRDefault="00A94AFD" w14:paraId="00E70DDD" w14:textId="77777777">
            <w:pPr>
              <w:pBdr>
                <w:top w:val="nil"/>
                <w:left w:val="nil"/>
                <w:bottom w:val="nil"/>
                <w:right w:val="nil"/>
                <w:between w:val="nil"/>
              </w:pBdr>
              <w:jc w:val="both"/>
              <w:rPr>
                <w:color w:val="000000"/>
              </w:rPr>
            </w:pPr>
            <w:r w:rsidRPr="0045095C">
              <w:rPr>
                <w:color w:val="000000"/>
              </w:rPr>
              <w:t>2</w:t>
            </w:r>
          </w:p>
        </w:tc>
        <w:tc>
          <w:tcPr>
            <w:tcW w:w="2596" w:type="dxa"/>
            <w:tcBorders>
              <w:top w:val="single" w:color="000000" w:sz="6" w:space="0"/>
              <w:left w:val="single" w:color="000000" w:sz="6" w:space="0"/>
              <w:bottom w:val="single" w:color="000000" w:sz="6" w:space="0"/>
              <w:right w:val="single" w:color="000000" w:sz="6" w:space="0"/>
            </w:tcBorders>
          </w:tcPr>
          <w:p w:rsidRPr="0045095C" w:rsidR="00D41F3C" w:rsidRDefault="00A94AFD" w14:paraId="3B0B8178" w14:textId="77777777">
            <w:pPr>
              <w:pBdr>
                <w:top w:val="nil"/>
                <w:left w:val="nil"/>
                <w:bottom w:val="nil"/>
                <w:right w:val="nil"/>
                <w:between w:val="nil"/>
              </w:pBdr>
              <w:jc w:val="both"/>
              <w:rPr>
                <w:color w:val="000000"/>
              </w:rPr>
            </w:pPr>
            <w:r w:rsidRPr="0045095C">
              <w:rPr>
                <w:color w:val="000000"/>
              </w:rPr>
              <w:t>3</w:t>
            </w:r>
          </w:p>
        </w:tc>
        <w:tc>
          <w:tcPr>
            <w:tcW w:w="2643" w:type="dxa"/>
            <w:tcBorders>
              <w:top w:val="single" w:color="000000" w:sz="6" w:space="0"/>
              <w:left w:val="single" w:color="000000" w:sz="6" w:space="0"/>
              <w:bottom w:val="single" w:color="000000" w:sz="6" w:space="0"/>
              <w:right w:val="single" w:color="000000" w:sz="6" w:space="0"/>
            </w:tcBorders>
          </w:tcPr>
          <w:p w:rsidRPr="0045095C" w:rsidR="00D41F3C" w:rsidRDefault="00A94AFD" w14:paraId="4372BC8D" w14:textId="77777777">
            <w:pPr>
              <w:pBdr>
                <w:top w:val="nil"/>
                <w:left w:val="nil"/>
                <w:bottom w:val="nil"/>
                <w:right w:val="nil"/>
                <w:between w:val="nil"/>
              </w:pBdr>
              <w:jc w:val="both"/>
              <w:rPr>
                <w:color w:val="000000"/>
              </w:rPr>
            </w:pPr>
            <w:r w:rsidRPr="0045095C">
              <w:rPr>
                <w:color w:val="000000"/>
              </w:rPr>
              <w:t>4</w:t>
            </w:r>
          </w:p>
        </w:tc>
        <w:tc>
          <w:tcPr>
            <w:tcW w:w="2234" w:type="dxa"/>
            <w:tcBorders>
              <w:top w:val="single" w:color="000000" w:sz="4" w:space="0"/>
              <w:left w:val="single" w:color="000000" w:sz="4" w:space="0"/>
              <w:bottom w:val="single" w:color="000000" w:sz="4" w:space="0"/>
              <w:right w:val="single" w:color="000000" w:sz="4" w:space="0"/>
            </w:tcBorders>
          </w:tcPr>
          <w:p w:rsidRPr="0045095C" w:rsidR="00D41F3C" w:rsidRDefault="00A94AFD" w14:paraId="23B83801" w14:textId="77777777">
            <w:pPr>
              <w:pBdr>
                <w:top w:val="nil"/>
                <w:left w:val="nil"/>
                <w:bottom w:val="nil"/>
                <w:right w:val="nil"/>
                <w:between w:val="nil"/>
              </w:pBdr>
              <w:jc w:val="both"/>
              <w:rPr>
                <w:color w:val="000000"/>
              </w:rPr>
            </w:pPr>
            <w:r w:rsidRPr="0045095C">
              <w:rPr>
                <w:color w:val="000000"/>
              </w:rPr>
              <w:t>5</w:t>
            </w:r>
          </w:p>
        </w:tc>
        <w:tc>
          <w:tcPr>
            <w:tcW w:w="3492" w:type="dxa"/>
            <w:tcBorders>
              <w:top w:val="single" w:color="000000" w:sz="4" w:space="0"/>
              <w:left w:val="single" w:color="000000" w:sz="4" w:space="0"/>
              <w:bottom w:val="single" w:color="000000" w:sz="4" w:space="0"/>
              <w:right w:val="single" w:color="000000" w:sz="4" w:space="0"/>
            </w:tcBorders>
          </w:tcPr>
          <w:p w:rsidRPr="0045095C" w:rsidR="00D41F3C" w:rsidRDefault="00A94AFD" w14:paraId="6D493C7A" w14:textId="77777777">
            <w:pPr>
              <w:pBdr>
                <w:top w:val="nil"/>
                <w:left w:val="nil"/>
                <w:bottom w:val="nil"/>
                <w:right w:val="nil"/>
                <w:between w:val="nil"/>
              </w:pBdr>
              <w:jc w:val="both"/>
              <w:rPr>
                <w:color w:val="000000"/>
              </w:rPr>
            </w:pPr>
            <w:r w:rsidRPr="0045095C">
              <w:rPr>
                <w:color w:val="000000"/>
              </w:rPr>
              <w:t>6</w:t>
            </w:r>
          </w:p>
        </w:tc>
      </w:tr>
    </w:tbl>
    <w:p w:rsidRPr="0045095C" w:rsidR="00D41F3C" w:rsidRDefault="00D41F3C" w14:paraId="3B902628" w14:textId="77777777">
      <w:pPr>
        <w:pBdr>
          <w:top w:val="nil"/>
          <w:left w:val="nil"/>
          <w:bottom w:val="nil"/>
          <w:right w:val="nil"/>
          <w:between w:val="nil"/>
        </w:pBdr>
        <w:jc w:val="both"/>
        <w:rPr>
          <w:b/>
          <w:color w:val="000000"/>
        </w:rPr>
      </w:pPr>
    </w:p>
    <w:p w:rsidRPr="0045095C" w:rsidR="00D41F3C" w:rsidRDefault="00A94AFD" w14:paraId="2414A998" w14:textId="77777777">
      <w:pPr>
        <w:pBdr>
          <w:top w:val="nil"/>
          <w:left w:val="nil"/>
          <w:bottom w:val="nil"/>
          <w:right w:val="nil"/>
          <w:between w:val="nil"/>
        </w:pBdr>
        <w:jc w:val="both"/>
        <w:rPr>
          <w:b/>
          <w:color w:val="000000"/>
        </w:rPr>
      </w:pPr>
      <w:r w:rsidRPr="0045095C">
        <w:rPr>
          <w:b/>
          <w:color w:val="000000"/>
        </w:rPr>
        <w:t xml:space="preserve">Informācija par </w:t>
      </w:r>
      <w:proofErr w:type="spellStart"/>
      <w:r w:rsidRPr="0045095C">
        <w:rPr>
          <w:b/>
          <w:color w:val="000000"/>
        </w:rPr>
        <w:t>starpministriju</w:t>
      </w:r>
      <w:proofErr w:type="spellEnd"/>
      <w:r w:rsidRPr="0045095C">
        <w:rPr>
          <w:b/>
          <w:color w:val="000000"/>
        </w:rPr>
        <w:t xml:space="preserve"> (starpinstitūciju) sanāksmi vai elektronisko saskaņošanu</w:t>
      </w:r>
    </w:p>
    <w:p w:rsidRPr="005F4ED3" w:rsidR="005F4ED3" w:rsidP="005F4ED3" w:rsidRDefault="00A94AFD" w14:paraId="6EE41FD0" w14:textId="0C350411">
      <w:pPr>
        <w:jc w:val="both"/>
      </w:pPr>
      <w:r w:rsidRPr="0045095C">
        <w:t>Datums:</w:t>
      </w:r>
      <w:r w:rsidRPr="0045095C">
        <w:tab/>
      </w:r>
      <w:r w:rsidRPr="0045095C">
        <w:tab/>
      </w:r>
      <w:r w:rsidRPr="0045095C">
        <w:tab/>
      </w:r>
      <w:r w:rsidRPr="0045095C">
        <w:tab/>
      </w:r>
      <w:r w:rsidRPr="0045095C">
        <w:tab/>
      </w:r>
      <w:r w:rsidRPr="0045095C">
        <w:tab/>
      </w:r>
      <w:r w:rsidRPr="0045095C">
        <w:tab/>
      </w:r>
      <w:r w:rsidRPr="00426129" w:rsidR="00426129">
        <w:t xml:space="preserve">No </w:t>
      </w:r>
      <w:r w:rsidRPr="00426129" w:rsidR="005F4ED3">
        <w:t>20</w:t>
      </w:r>
      <w:r w:rsidRPr="00426129" w:rsidR="000D382E">
        <w:t>20</w:t>
      </w:r>
      <w:r w:rsidRPr="00426129" w:rsidR="005F4ED3">
        <w:t xml:space="preserve">. gada </w:t>
      </w:r>
      <w:r w:rsidRPr="00426129" w:rsidR="005E52A7">
        <w:t>30</w:t>
      </w:r>
      <w:r w:rsidRPr="00426129" w:rsidR="00426129">
        <w:t>. novembra</w:t>
      </w:r>
      <w:r w:rsidRPr="00426129" w:rsidR="005F4ED3">
        <w:t xml:space="preserve"> </w:t>
      </w:r>
      <w:r w:rsidRPr="00426129" w:rsidR="00426129">
        <w:t xml:space="preserve">līdz 2020. gada </w:t>
      </w:r>
      <w:r w:rsidR="00426129">
        <w:t>7</w:t>
      </w:r>
      <w:r w:rsidRPr="00426129" w:rsidR="00426129">
        <w:t xml:space="preserve">. </w:t>
      </w:r>
      <w:r w:rsidR="00426129">
        <w:t>decembrim</w:t>
      </w:r>
      <w:r w:rsidRPr="00426129" w:rsidR="00426129">
        <w:t xml:space="preserve"> </w:t>
      </w:r>
      <w:r w:rsidRPr="0057750C" w:rsidR="005F4ED3">
        <w:t>(elektroniskā saskaņošana)</w:t>
      </w:r>
    </w:p>
    <w:p w:rsidRPr="0045095C" w:rsidR="00D41F3C" w:rsidP="005F4ED3" w:rsidRDefault="00D41F3C" w14:paraId="4EAD2C2D" w14:textId="2BBF8F2B">
      <w:pPr>
        <w:jc w:val="both"/>
      </w:pPr>
    </w:p>
    <w:p w:rsidRPr="0045095C" w:rsidR="00D41F3C" w:rsidRDefault="00A94AFD" w14:paraId="6484881F" w14:textId="5A3432ED">
      <w:pPr>
        <w:tabs>
          <w:tab w:val="left" w:pos="5760"/>
        </w:tabs>
        <w:ind w:left="5760" w:hanging="5760"/>
        <w:jc w:val="both"/>
      </w:pPr>
      <w:r w:rsidRPr="0045095C">
        <w:t>Saskaņošanas dalībnieki:</w:t>
      </w:r>
      <w:r w:rsidRPr="0045095C">
        <w:tab/>
      </w:r>
      <w:r w:rsidRPr="000D382E" w:rsidR="000D382E">
        <w:t>Tieslietu ministrij</w:t>
      </w:r>
      <w:r w:rsidR="000D382E">
        <w:t>a</w:t>
      </w:r>
      <w:r w:rsidRPr="000D382E" w:rsidR="000D382E">
        <w:t>, Finanšu ministrij</w:t>
      </w:r>
      <w:r w:rsidR="000D382E">
        <w:t>a</w:t>
      </w:r>
      <w:r w:rsidRPr="000D382E" w:rsidR="000D382E">
        <w:t>, Aizsardzības ministrij</w:t>
      </w:r>
      <w:r w:rsidR="000D382E">
        <w:t>a</w:t>
      </w:r>
      <w:r w:rsidRPr="000D382E" w:rsidR="000D382E">
        <w:t>, Iekšlietu ministrij</w:t>
      </w:r>
      <w:r w:rsidR="000D382E">
        <w:t>a</w:t>
      </w:r>
      <w:r w:rsidRPr="000D382E" w:rsidR="000D382E">
        <w:t>, Kultūras ministrij</w:t>
      </w:r>
      <w:r w:rsidR="000D382E">
        <w:t>a</w:t>
      </w:r>
      <w:r w:rsidRPr="000D382E" w:rsidR="000D382E">
        <w:t xml:space="preserve"> un Vides aizsardzības un reģionālās attīstības ministrij</w:t>
      </w:r>
      <w:r w:rsidR="000D382E">
        <w:t>a</w:t>
      </w:r>
      <w:r w:rsidRPr="000D382E" w:rsidR="000D382E">
        <w:t> </w:t>
      </w:r>
    </w:p>
    <w:p w:rsidRPr="0045095C" w:rsidR="00D41F3C" w:rsidRDefault="00D41F3C" w14:paraId="4B66FBEE" w14:textId="77777777">
      <w:pPr>
        <w:tabs>
          <w:tab w:val="left" w:pos="3600"/>
        </w:tabs>
        <w:jc w:val="both"/>
      </w:pPr>
    </w:p>
    <w:p w:rsidRPr="0045095C" w:rsidR="00D41F3C" w:rsidRDefault="00A94AFD" w14:paraId="48DBBE2A" w14:textId="77777777">
      <w:pPr>
        <w:tabs>
          <w:tab w:val="left" w:pos="3600"/>
        </w:tabs>
        <w:jc w:val="both"/>
      </w:pPr>
      <w:r w:rsidRPr="0045095C">
        <w:t>Saskaņošanas dalībnieki izskatīja šādu ministriju</w:t>
      </w:r>
    </w:p>
    <w:p w:rsidRPr="0045095C" w:rsidR="00D41F3C" w:rsidRDefault="00A94AFD" w14:paraId="311B2FE5" w14:textId="7AAD3603">
      <w:pPr>
        <w:ind w:left="5760" w:hanging="5760"/>
        <w:jc w:val="both"/>
      </w:pPr>
      <w:r w:rsidRPr="0045095C">
        <w:t>(citu institūciju) i</w:t>
      </w:r>
      <w:r w:rsidR="000D382E">
        <w:t>ebildumus:</w:t>
      </w:r>
      <w:r w:rsidR="000D382E">
        <w:tab/>
        <w:t>Tieslietu ministrija</w:t>
      </w:r>
    </w:p>
    <w:p w:rsidRPr="0045095C" w:rsidR="00D41F3C" w:rsidRDefault="00D41F3C" w14:paraId="7B092779" w14:textId="77777777">
      <w:pPr>
        <w:tabs>
          <w:tab w:val="left" w:pos="3600"/>
        </w:tabs>
        <w:jc w:val="both"/>
      </w:pPr>
    </w:p>
    <w:p w:rsidRPr="0045095C" w:rsidR="00D41F3C" w:rsidRDefault="00A94AFD" w14:paraId="293C5182" w14:textId="77777777">
      <w:pPr>
        <w:tabs>
          <w:tab w:val="left" w:pos="3600"/>
        </w:tabs>
        <w:jc w:val="both"/>
      </w:pPr>
      <w:r w:rsidRPr="0045095C">
        <w:t>Ministrijas (citas institūcijas), kuras nav ieradušās uz</w:t>
      </w:r>
    </w:p>
    <w:p w:rsidRPr="0045095C" w:rsidR="00D41F3C" w:rsidRDefault="00A94AFD" w14:paraId="0A0FA825" w14:textId="77777777">
      <w:pPr>
        <w:tabs>
          <w:tab w:val="left" w:pos="3600"/>
        </w:tabs>
        <w:jc w:val="both"/>
      </w:pPr>
      <w:r w:rsidRPr="0045095C">
        <w:t>sanāksmi vai kuras nav atbildējušas uz uzaicinājumu</w:t>
      </w:r>
    </w:p>
    <w:p w:rsidR="00854491" w:rsidP="000D382E" w:rsidRDefault="00A94AFD" w14:paraId="2A549706" w14:textId="72CBD8BB">
      <w:pPr>
        <w:ind w:left="5760" w:hanging="5760"/>
        <w:jc w:val="both"/>
      </w:pPr>
      <w:r w:rsidRPr="0045095C">
        <w:t>piedalīties elektroniskajā saskaņošanā:</w:t>
      </w:r>
      <w:r w:rsidRPr="0045095C">
        <w:tab/>
      </w:r>
      <w:r w:rsidRPr="00426129" w:rsidR="00426129">
        <w:t>Tieslietu ministrija, Iekšlietu ministrija un Vides aizsardzības un reģionālās attīstības ministrija</w:t>
      </w:r>
    </w:p>
    <w:p w:rsidR="000D382E" w:rsidP="000D382E" w:rsidRDefault="000D382E" w14:paraId="774C50E9" w14:textId="77777777">
      <w:pPr>
        <w:ind w:left="5760" w:hanging="5760"/>
        <w:jc w:val="both"/>
      </w:pPr>
    </w:p>
    <w:p w:rsidR="000D382E" w:rsidP="000D382E" w:rsidRDefault="000D382E" w14:paraId="45C8FCF2" w14:textId="77777777">
      <w:pPr>
        <w:ind w:left="5760" w:hanging="5760"/>
        <w:jc w:val="both"/>
      </w:pPr>
    </w:p>
    <w:p w:rsidR="000D382E" w:rsidP="000D382E" w:rsidRDefault="000D382E" w14:paraId="4A9CA4F5" w14:textId="77777777">
      <w:pPr>
        <w:ind w:left="5760" w:hanging="5760"/>
        <w:jc w:val="both"/>
      </w:pPr>
    </w:p>
    <w:p w:rsidR="000D382E" w:rsidP="000D382E" w:rsidRDefault="000D382E" w14:paraId="76712B0F" w14:textId="77777777">
      <w:pPr>
        <w:ind w:left="5760" w:hanging="5760"/>
        <w:jc w:val="both"/>
      </w:pPr>
    </w:p>
    <w:p w:rsidR="000D382E" w:rsidP="000D382E" w:rsidRDefault="000D382E" w14:paraId="6E8DD967" w14:textId="77777777">
      <w:pPr>
        <w:ind w:left="5760" w:hanging="5760"/>
        <w:jc w:val="both"/>
      </w:pPr>
    </w:p>
    <w:p w:rsidRPr="00854491" w:rsidR="000D382E" w:rsidP="000D382E" w:rsidRDefault="000D382E" w14:paraId="52DA4777" w14:textId="77777777">
      <w:pPr>
        <w:ind w:left="5760" w:hanging="5760"/>
        <w:jc w:val="both"/>
      </w:pPr>
    </w:p>
    <w:p w:rsidRPr="0045095C" w:rsidR="00D41F3C" w:rsidRDefault="00A94AFD" w14:paraId="5F0740D0" w14:textId="77777777">
      <w:pPr>
        <w:pBdr>
          <w:top w:val="nil"/>
          <w:left w:val="nil"/>
          <w:bottom w:val="nil"/>
          <w:right w:val="nil"/>
          <w:between w:val="nil"/>
        </w:pBdr>
        <w:jc w:val="center"/>
        <w:rPr>
          <w:color w:val="000000"/>
        </w:rPr>
      </w:pPr>
      <w:r w:rsidRPr="0045095C">
        <w:rPr>
          <w:b/>
          <w:color w:val="000000"/>
        </w:rPr>
        <w:t>II. Jautājumi, par kuriem saskaņošanā vienošanās ir panākta</w:t>
      </w:r>
    </w:p>
    <w:p w:rsidRPr="0045095C" w:rsidR="00D41F3C" w:rsidRDefault="00D41F3C" w14:paraId="344E41CE" w14:textId="77777777">
      <w:pPr>
        <w:pBdr>
          <w:top w:val="nil"/>
          <w:left w:val="nil"/>
          <w:bottom w:val="nil"/>
          <w:right w:val="nil"/>
          <w:between w:val="nil"/>
        </w:pBdr>
        <w:ind w:firstLine="720"/>
        <w:jc w:val="both"/>
        <w:rPr>
          <w:color w:val="000000"/>
        </w:rPr>
      </w:pPr>
    </w:p>
    <w:tbl>
      <w:tblPr>
        <w:tblStyle w:val="a0"/>
        <w:tblW w:w="14148" w:type="dxa"/>
        <w:tblBorders>
          <w:top w:val="single" w:color="000000" w:sz="4" w:space="0"/>
          <w:left w:val="single" w:color="000000" w:sz="4" w:space="0"/>
          <w:bottom w:val="single" w:color="000000" w:sz="4" w:space="0"/>
          <w:right w:val="single" w:color="000000" w:sz="4" w:space="0"/>
          <w:insideH w:val="nil"/>
          <w:insideV w:val="nil"/>
        </w:tblBorders>
        <w:tblLayout w:type="fixed"/>
        <w:tblLook w:val="0000" w:firstRow="0" w:lastRow="0" w:firstColumn="0" w:lastColumn="0" w:noHBand="0" w:noVBand="0"/>
      </w:tblPr>
      <w:tblGrid>
        <w:gridCol w:w="708"/>
        <w:gridCol w:w="3090"/>
        <w:gridCol w:w="3849"/>
        <w:gridCol w:w="3260"/>
        <w:gridCol w:w="3241"/>
      </w:tblGrid>
      <w:tr w:rsidRPr="0045095C" w:rsidR="00D41F3C" w:rsidTr="00335A95" w14:paraId="6E7D57C2"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45095C" w:rsidR="00D41F3C" w:rsidRDefault="00A94AFD" w14:paraId="393F584C" w14:textId="77777777">
            <w:pPr>
              <w:pBdr>
                <w:top w:val="nil"/>
                <w:left w:val="nil"/>
                <w:bottom w:val="nil"/>
                <w:right w:val="nil"/>
                <w:between w:val="nil"/>
              </w:pBdr>
              <w:jc w:val="center"/>
              <w:rPr>
                <w:color w:val="000000"/>
              </w:rPr>
            </w:pPr>
            <w:r w:rsidRPr="0045095C">
              <w:rPr>
                <w:color w:val="000000"/>
              </w:rPr>
              <w:t>Nr. p.k.</w:t>
            </w:r>
          </w:p>
        </w:tc>
        <w:tc>
          <w:tcPr>
            <w:tcW w:w="3090" w:type="dxa"/>
            <w:tcBorders>
              <w:top w:val="single" w:color="000000" w:sz="6" w:space="0"/>
              <w:left w:val="single" w:color="000000" w:sz="6" w:space="0"/>
              <w:bottom w:val="single" w:color="000000" w:sz="6" w:space="0"/>
              <w:right w:val="single" w:color="000000" w:sz="6" w:space="0"/>
            </w:tcBorders>
            <w:vAlign w:val="center"/>
          </w:tcPr>
          <w:p w:rsidRPr="0045095C" w:rsidR="00D41F3C" w:rsidRDefault="00A94AFD" w14:paraId="4E2B3AFE" w14:textId="77777777">
            <w:pPr>
              <w:pBdr>
                <w:top w:val="nil"/>
                <w:left w:val="nil"/>
                <w:bottom w:val="nil"/>
                <w:right w:val="nil"/>
                <w:between w:val="nil"/>
              </w:pBdr>
              <w:ind w:firstLine="12"/>
              <w:jc w:val="center"/>
              <w:rPr>
                <w:color w:val="000000"/>
              </w:rPr>
            </w:pPr>
            <w:r w:rsidRPr="0045095C">
              <w:rPr>
                <w:color w:val="000000"/>
              </w:rPr>
              <w:t>Saskaņošanai nosūtītā projekta redakcija (konkrēta punkta (panta) redakcija)</w:t>
            </w:r>
          </w:p>
        </w:tc>
        <w:tc>
          <w:tcPr>
            <w:tcW w:w="3849" w:type="dxa"/>
            <w:tcBorders>
              <w:top w:val="single" w:color="000000" w:sz="6" w:space="0"/>
              <w:left w:val="single" w:color="000000" w:sz="6" w:space="0"/>
              <w:bottom w:val="single" w:color="000000" w:sz="6" w:space="0"/>
              <w:right w:val="single" w:color="000000" w:sz="6" w:space="0"/>
            </w:tcBorders>
            <w:vAlign w:val="center"/>
          </w:tcPr>
          <w:p w:rsidRPr="0045095C" w:rsidR="00D41F3C" w:rsidRDefault="00A94AFD" w14:paraId="6B8304E0" w14:textId="77777777">
            <w:pPr>
              <w:pBdr>
                <w:top w:val="nil"/>
                <w:left w:val="nil"/>
                <w:bottom w:val="nil"/>
                <w:right w:val="nil"/>
                <w:between w:val="nil"/>
              </w:pBdr>
              <w:ind w:right="3"/>
              <w:jc w:val="center"/>
              <w:rPr>
                <w:color w:val="000000"/>
              </w:rPr>
            </w:pPr>
            <w:r w:rsidRPr="0045095C">
              <w:rPr>
                <w:color w:val="000000"/>
              </w:rPr>
              <w:t>Atzinumā norādītais ministrijas (citas institūcijas) iebildums, kā arī saskaņošanā papildus izteiktais iebildums par projekta konkrēto punktu (pantu)</w:t>
            </w:r>
          </w:p>
        </w:tc>
        <w:tc>
          <w:tcPr>
            <w:tcW w:w="3260" w:type="dxa"/>
            <w:tcBorders>
              <w:top w:val="single" w:color="000000" w:sz="6" w:space="0"/>
              <w:left w:val="single" w:color="000000" w:sz="6" w:space="0"/>
              <w:bottom w:val="single" w:color="000000" w:sz="6" w:space="0"/>
              <w:right w:val="single" w:color="000000" w:sz="6" w:space="0"/>
            </w:tcBorders>
            <w:vAlign w:val="center"/>
          </w:tcPr>
          <w:p w:rsidRPr="0045095C" w:rsidR="00D41F3C" w:rsidRDefault="00A94AFD" w14:paraId="1C5F0714" w14:textId="77777777">
            <w:pPr>
              <w:pBdr>
                <w:top w:val="nil"/>
                <w:left w:val="nil"/>
                <w:bottom w:val="nil"/>
                <w:right w:val="nil"/>
                <w:between w:val="nil"/>
              </w:pBdr>
              <w:ind w:firstLine="21"/>
              <w:jc w:val="center"/>
              <w:rPr>
                <w:color w:val="000000"/>
              </w:rPr>
            </w:pPr>
            <w:r w:rsidRPr="0045095C">
              <w:rPr>
                <w:color w:val="000000"/>
              </w:rPr>
              <w:t>Atbildīgās ministrijas norāde par to, ka iebildums ir ņemts vērā, vai informācija par saskaņošanā panākto alternatīvo risinājumu</w:t>
            </w:r>
          </w:p>
        </w:tc>
        <w:tc>
          <w:tcPr>
            <w:tcW w:w="3241" w:type="dxa"/>
            <w:tcBorders>
              <w:top w:val="single" w:color="000000" w:sz="4" w:space="0"/>
              <w:left w:val="single" w:color="000000" w:sz="4" w:space="0"/>
              <w:bottom w:val="single" w:color="000000" w:sz="4" w:space="0"/>
            </w:tcBorders>
            <w:vAlign w:val="center"/>
          </w:tcPr>
          <w:p w:rsidRPr="0045095C" w:rsidR="00D41F3C" w:rsidRDefault="00A94AFD" w14:paraId="049F4DEE" w14:textId="77777777">
            <w:pPr>
              <w:jc w:val="center"/>
            </w:pPr>
            <w:r w:rsidRPr="0045095C">
              <w:t>Projekta attiecīgā punkta (panta) galīgā redakcija</w:t>
            </w:r>
          </w:p>
        </w:tc>
      </w:tr>
      <w:tr w:rsidRPr="0045095C" w:rsidR="00D41F3C" w:rsidTr="00335A95" w14:paraId="07EB7EA0" w14:textId="77777777">
        <w:tc>
          <w:tcPr>
            <w:tcW w:w="708" w:type="dxa"/>
            <w:tcBorders>
              <w:top w:val="single" w:color="000000" w:sz="6" w:space="0"/>
              <w:left w:val="single" w:color="000000" w:sz="6" w:space="0"/>
              <w:bottom w:val="single" w:color="000000" w:sz="6" w:space="0"/>
              <w:right w:val="single" w:color="000000" w:sz="6" w:space="0"/>
            </w:tcBorders>
          </w:tcPr>
          <w:p w:rsidRPr="0045095C" w:rsidR="00D41F3C" w:rsidRDefault="00A94AFD" w14:paraId="599CA56F" w14:textId="77777777">
            <w:pPr>
              <w:pBdr>
                <w:top w:val="nil"/>
                <w:left w:val="nil"/>
                <w:bottom w:val="nil"/>
                <w:right w:val="nil"/>
                <w:between w:val="nil"/>
              </w:pBdr>
              <w:jc w:val="center"/>
              <w:rPr>
                <w:color w:val="000000"/>
                <w:sz w:val="20"/>
                <w:szCs w:val="20"/>
              </w:rPr>
            </w:pPr>
            <w:r w:rsidRPr="0045095C">
              <w:rPr>
                <w:color w:val="000000"/>
                <w:sz w:val="20"/>
                <w:szCs w:val="20"/>
              </w:rPr>
              <w:t>1</w:t>
            </w:r>
          </w:p>
        </w:tc>
        <w:tc>
          <w:tcPr>
            <w:tcW w:w="3090" w:type="dxa"/>
            <w:tcBorders>
              <w:top w:val="single" w:color="000000" w:sz="6" w:space="0"/>
              <w:left w:val="single" w:color="000000" w:sz="6" w:space="0"/>
              <w:bottom w:val="single" w:color="000000" w:sz="6" w:space="0"/>
              <w:right w:val="single" w:color="000000" w:sz="6" w:space="0"/>
            </w:tcBorders>
          </w:tcPr>
          <w:p w:rsidRPr="0045095C" w:rsidR="00D41F3C" w:rsidRDefault="00A94AFD" w14:paraId="69838C2E" w14:textId="77777777">
            <w:pPr>
              <w:pBdr>
                <w:top w:val="nil"/>
                <w:left w:val="nil"/>
                <w:bottom w:val="nil"/>
                <w:right w:val="nil"/>
                <w:between w:val="nil"/>
              </w:pBdr>
              <w:jc w:val="center"/>
              <w:rPr>
                <w:color w:val="000000"/>
                <w:sz w:val="20"/>
                <w:szCs w:val="20"/>
              </w:rPr>
            </w:pPr>
            <w:r w:rsidRPr="0045095C">
              <w:rPr>
                <w:color w:val="000000"/>
                <w:sz w:val="20"/>
                <w:szCs w:val="20"/>
              </w:rPr>
              <w:t>2</w:t>
            </w:r>
          </w:p>
        </w:tc>
        <w:tc>
          <w:tcPr>
            <w:tcW w:w="3849" w:type="dxa"/>
            <w:tcBorders>
              <w:top w:val="single" w:color="000000" w:sz="6" w:space="0"/>
              <w:left w:val="single" w:color="000000" w:sz="6" w:space="0"/>
              <w:bottom w:val="single" w:color="000000" w:sz="6" w:space="0"/>
              <w:right w:val="single" w:color="000000" w:sz="6" w:space="0"/>
            </w:tcBorders>
          </w:tcPr>
          <w:p w:rsidRPr="0045095C" w:rsidR="00D41F3C" w:rsidRDefault="00A94AFD" w14:paraId="76A5C063" w14:textId="77777777">
            <w:pPr>
              <w:pBdr>
                <w:top w:val="nil"/>
                <w:left w:val="nil"/>
                <w:bottom w:val="nil"/>
                <w:right w:val="nil"/>
                <w:between w:val="nil"/>
              </w:pBdr>
              <w:jc w:val="center"/>
              <w:rPr>
                <w:color w:val="000000"/>
                <w:sz w:val="20"/>
                <w:szCs w:val="20"/>
              </w:rPr>
            </w:pPr>
            <w:r w:rsidRPr="0045095C">
              <w:rPr>
                <w:color w:val="000000"/>
                <w:sz w:val="20"/>
                <w:szCs w:val="20"/>
              </w:rPr>
              <w:t>3</w:t>
            </w:r>
          </w:p>
        </w:tc>
        <w:tc>
          <w:tcPr>
            <w:tcW w:w="3260" w:type="dxa"/>
            <w:tcBorders>
              <w:top w:val="single" w:color="000000" w:sz="6" w:space="0"/>
              <w:left w:val="single" w:color="000000" w:sz="6" w:space="0"/>
              <w:bottom w:val="single" w:color="000000" w:sz="6" w:space="0"/>
              <w:right w:val="single" w:color="000000" w:sz="6" w:space="0"/>
            </w:tcBorders>
          </w:tcPr>
          <w:p w:rsidRPr="0045095C" w:rsidR="00D41F3C" w:rsidRDefault="00A94AFD" w14:paraId="4FD28396" w14:textId="77777777">
            <w:pPr>
              <w:pBdr>
                <w:top w:val="nil"/>
                <w:left w:val="nil"/>
                <w:bottom w:val="nil"/>
                <w:right w:val="nil"/>
                <w:between w:val="nil"/>
              </w:pBdr>
              <w:jc w:val="center"/>
              <w:rPr>
                <w:color w:val="000000"/>
                <w:sz w:val="20"/>
                <w:szCs w:val="20"/>
              </w:rPr>
            </w:pPr>
            <w:r w:rsidRPr="0045095C">
              <w:rPr>
                <w:color w:val="000000"/>
                <w:sz w:val="20"/>
                <w:szCs w:val="20"/>
              </w:rPr>
              <w:t>4</w:t>
            </w:r>
          </w:p>
        </w:tc>
        <w:tc>
          <w:tcPr>
            <w:tcW w:w="3241" w:type="dxa"/>
            <w:tcBorders>
              <w:top w:val="single" w:color="000000" w:sz="4" w:space="0"/>
              <w:left w:val="single" w:color="000000" w:sz="4" w:space="0"/>
              <w:bottom w:val="single" w:color="000000" w:sz="4" w:space="0"/>
            </w:tcBorders>
          </w:tcPr>
          <w:p w:rsidRPr="0045095C" w:rsidR="00D41F3C" w:rsidRDefault="00A94AFD" w14:paraId="5A0EE170" w14:textId="77777777">
            <w:pPr>
              <w:jc w:val="center"/>
              <w:rPr>
                <w:sz w:val="20"/>
                <w:szCs w:val="20"/>
              </w:rPr>
            </w:pPr>
            <w:r w:rsidRPr="0045095C">
              <w:rPr>
                <w:sz w:val="20"/>
                <w:szCs w:val="20"/>
              </w:rPr>
              <w:t>5</w:t>
            </w:r>
          </w:p>
        </w:tc>
      </w:tr>
      <w:tr w:rsidRPr="0045095C" w:rsidR="00D41F3C" w14:paraId="0007E180" w14:textId="77777777">
        <w:tc>
          <w:tcPr>
            <w:tcW w:w="14148" w:type="dxa"/>
            <w:gridSpan w:val="5"/>
            <w:tcBorders>
              <w:left w:val="single" w:color="000000" w:sz="6" w:space="0"/>
              <w:bottom w:val="single" w:color="000000" w:sz="4" w:space="0"/>
            </w:tcBorders>
          </w:tcPr>
          <w:p w:rsidRPr="0045095C" w:rsidR="00D41F3C" w:rsidRDefault="00A94AFD" w14:paraId="70657A0B" w14:textId="77777777">
            <w:pPr>
              <w:jc w:val="center"/>
            </w:pPr>
            <w:r w:rsidRPr="0045095C">
              <w:rPr>
                <w:b/>
              </w:rPr>
              <w:t>Tieslietu ministrija</w:t>
            </w:r>
          </w:p>
        </w:tc>
      </w:tr>
      <w:tr w:rsidRPr="0045095C" w:rsidR="00D41F3C" w:rsidTr="00335A95" w14:paraId="192BAC2A" w14:textId="77777777">
        <w:tc>
          <w:tcPr>
            <w:tcW w:w="708" w:type="dxa"/>
            <w:tcBorders>
              <w:left w:val="single" w:color="000000" w:sz="6" w:space="0"/>
              <w:bottom w:val="single" w:color="000000" w:sz="4" w:space="0"/>
              <w:right w:val="single" w:color="000000" w:sz="6" w:space="0"/>
            </w:tcBorders>
          </w:tcPr>
          <w:p w:rsidRPr="0045095C" w:rsidR="00D41F3C" w:rsidRDefault="00A94AFD" w14:paraId="49629562" w14:textId="77777777">
            <w:pPr>
              <w:pBdr>
                <w:top w:val="nil"/>
                <w:left w:val="nil"/>
                <w:bottom w:val="nil"/>
                <w:right w:val="nil"/>
                <w:between w:val="nil"/>
              </w:pBdr>
              <w:jc w:val="center"/>
            </w:pPr>
            <w:r w:rsidRPr="0045095C">
              <w:t>1.</w:t>
            </w:r>
          </w:p>
        </w:tc>
        <w:tc>
          <w:tcPr>
            <w:tcW w:w="3090" w:type="dxa"/>
            <w:tcBorders>
              <w:left w:val="single" w:color="000000" w:sz="6" w:space="0"/>
              <w:bottom w:val="single" w:color="000000" w:sz="4" w:space="0"/>
              <w:right w:val="single" w:color="000000" w:sz="6" w:space="0"/>
            </w:tcBorders>
          </w:tcPr>
          <w:p w:rsidRPr="000D382E" w:rsidR="000D382E" w:rsidP="000D382E" w:rsidRDefault="000D382E" w14:paraId="1BFB406E" w14:textId="77777777">
            <w:pPr>
              <w:pBdr>
                <w:top w:val="nil"/>
                <w:left w:val="nil"/>
                <w:bottom w:val="nil"/>
                <w:right w:val="nil"/>
                <w:between w:val="nil"/>
              </w:pBdr>
              <w:jc w:val="both"/>
            </w:pPr>
            <w:r w:rsidRPr="000D382E">
              <w:t>3. Papildināt noteikumus ar 24.</w:t>
            </w:r>
            <w:r w:rsidRPr="000D382E">
              <w:rPr>
                <w:vertAlign w:val="superscript"/>
              </w:rPr>
              <w:t>3</w:t>
            </w:r>
            <w:r w:rsidRPr="000D382E">
              <w:t xml:space="preserve"> un 24.</w:t>
            </w:r>
            <w:r w:rsidRPr="000D382E">
              <w:rPr>
                <w:vertAlign w:val="superscript"/>
              </w:rPr>
              <w:t>4</w:t>
            </w:r>
            <w:r w:rsidRPr="000D382E">
              <w:t xml:space="preserve"> punktu šādā redakcijā:</w:t>
            </w:r>
          </w:p>
          <w:p w:rsidRPr="000D382E" w:rsidR="000D382E" w:rsidP="000D382E" w:rsidRDefault="000D382E" w14:paraId="10E38A7D" w14:textId="77777777">
            <w:pPr>
              <w:pBdr>
                <w:top w:val="nil"/>
                <w:left w:val="nil"/>
                <w:bottom w:val="nil"/>
                <w:right w:val="nil"/>
                <w:between w:val="nil"/>
              </w:pBdr>
              <w:jc w:val="both"/>
            </w:pPr>
          </w:p>
          <w:p w:rsidRPr="000D382E" w:rsidR="000D382E" w:rsidP="000D382E" w:rsidRDefault="000D382E" w14:paraId="04449EAD" w14:textId="77777777">
            <w:pPr>
              <w:pBdr>
                <w:top w:val="nil"/>
                <w:left w:val="nil"/>
                <w:bottom w:val="nil"/>
                <w:right w:val="nil"/>
                <w:between w:val="nil"/>
              </w:pBdr>
              <w:jc w:val="both"/>
            </w:pPr>
            <w:r w:rsidRPr="000D382E">
              <w:t>"24.</w:t>
            </w:r>
            <w:r w:rsidRPr="000D382E">
              <w:rPr>
                <w:vertAlign w:val="superscript"/>
              </w:rPr>
              <w:t>3</w:t>
            </w:r>
            <w:r w:rsidRPr="000D382E">
              <w:t xml:space="preserve"> Krasta apsardze apmainās ar citām Eiropas Savienības dalībvalstu kompetentajām iestādēm ar informāciju, kas saistīta ar </w:t>
            </w:r>
            <w:r w:rsidRPr="000D382E">
              <w:rPr>
                <w:bCs/>
              </w:rPr>
              <w:t>jūras negadījumu vai incidentu</w:t>
            </w:r>
            <w:r w:rsidRPr="000D382E">
              <w:t>, izmantojot Eiropas Savienības sistēmu apmaiņai ar kuģošanas informāciju (Eiropas Savienības </w:t>
            </w:r>
            <w:proofErr w:type="spellStart"/>
            <w:r w:rsidRPr="000D382E">
              <w:rPr>
                <w:i/>
                <w:iCs/>
              </w:rPr>
              <w:t>SafeSeaNet</w:t>
            </w:r>
            <w:proofErr w:type="spellEnd"/>
            <w:r w:rsidRPr="000D382E">
              <w:rPr>
                <w:iCs/>
              </w:rPr>
              <w:t xml:space="preserve"> sistēma</w:t>
            </w:r>
            <w:r w:rsidRPr="000D382E">
              <w:t xml:space="preserve">) un ievērojot Eiropas Jūras drošības aģentūras (EMSA) vadlīnijas. Informācija, kas saistīta ar </w:t>
            </w:r>
            <w:r w:rsidRPr="000D382E">
              <w:rPr>
                <w:bCs/>
              </w:rPr>
              <w:t>jūras negadījumu vai incidentu,</w:t>
            </w:r>
            <w:r w:rsidRPr="000D382E">
              <w:t xml:space="preserve"> ir ziņojumi par:</w:t>
            </w:r>
          </w:p>
          <w:p w:rsidRPr="000D382E" w:rsidR="000D382E" w:rsidP="000D382E" w:rsidRDefault="000D382E" w14:paraId="57880E57" w14:textId="77777777">
            <w:pPr>
              <w:pBdr>
                <w:top w:val="nil"/>
                <w:left w:val="nil"/>
                <w:bottom w:val="nil"/>
                <w:right w:val="nil"/>
                <w:between w:val="nil"/>
              </w:pBdr>
              <w:jc w:val="both"/>
            </w:pPr>
            <w:r w:rsidRPr="000D382E">
              <w:t>24.</w:t>
            </w:r>
            <w:r w:rsidRPr="000D382E">
              <w:rPr>
                <w:vertAlign w:val="superscript"/>
              </w:rPr>
              <w:t>3</w:t>
            </w:r>
            <w:r w:rsidRPr="000D382E">
              <w:t> 1. incidentiem (SITREP);</w:t>
            </w:r>
          </w:p>
          <w:p w:rsidRPr="000D382E" w:rsidR="000D382E" w:rsidP="000D382E" w:rsidRDefault="000D382E" w14:paraId="199B01FD" w14:textId="77777777">
            <w:pPr>
              <w:pBdr>
                <w:top w:val="nil"/>
                <w:left w:val="nil"/>
                <w:bottom w:val="nil"/>
                <w:right w:val="nil"/>
                <w:between w:val="nil"/>
              </w:pBdr>
              <w:jc w:val="both"/>
            </w:pPr>
            <w:r w:rsidRPr="000D382E">
              <w:lastRenderedPageBreak/>
              <w:t>24.</w:t>
            </w:r>
            <w:r w:rsidRPr="000D382E">
              <w:rPr>
                <w:vertAlign w:val="superscript"/>
              </w:rPr>
              <w:t>3</w:t>
            </w:r>
            <w:r w:rsidRPr="000D382E">
              <w:t> 2. piesārņojumu (POLREP);</w:t>
            </w:r>
          </w:p>
          <w:p w:rsidRPr="000D382E" w:rsidR="000D382E" w:rsidP="000D382E" w:rsidRDefault="000D382E" w14:paraId="6AA80D57" w14:textId="77777777">
            <w:pPr>
              <w:pBdr>
                <w:top w:val="nil"/>
                <w:left w:val="nil"/>
                <w:bottom w:val="nil"/>
                <w:right w:val="nil"/>
                <w:between w:val="nil"/>
              </w:pBdr>
              <w:jc w:val="both"/>
            </w:pPr>
            <w:r w:rsidRPr="000D382E">
              <w:t>24.</w:t>
            </w:r>
            <w:r w:rsidRPr="000D382E">
              <w:rPr>
                <w:vertAlign w:val="superscript"/>
              </w:rPr>
              <w:t>3</w:t>
            </w:r>
            <w:r w:rsidRPr="000D382E">
              <w:t> 3. dreifējošiem konteineriem vai citiem kuģošanas drošībai bīstamiem objektiem (LOST AND FOUND OBJECTS);</w:t>
            </w:r>
          </w:p>
          <w:p w:rsidRPr="000D382E" w:rsidR="000D382E" w:rsidP="000D382E" w:rsidRDefault="000D382E" w14:paraId="4C14B8EB" w14:textId="77777777">
            <w:pPr>
              <w:pBdr>
                <w:top w:val="nil"/>
                <w:left w:val="nil"/>
                <w:bottom w:val="nil"/>
                <w:right w:val="nil"/>
                <w:between w:val="nil"/>
              </w:pBdr>
              <w:jc w:val="both"/>
            </w:pPr>
            <w:r w:rsidRPr="000D382E">
              <w:t>24.</w:t>
            </w:r>
            <w:r w:rsidRPr="000D382E">
              <w:rPr>
                <w:vertAlign w:val="superscript"/>
              </w:rPr>
              <w:t>3</w:t>
            </w:r>
            <w:r w:rsidRPr="000D382E">
              <w:t> 4. neizpildītām informēšanas un ziņošanas prasībām (FAILED NOTIFICATION);</w:t>
            </w:r>
          </w:p>
          <w:p w:rsidRPr="000D382E" w:rsidR="000D382E" w:rsidP="000D382E" w:rsidRDefault="000D382E" w14:paraId="5206E1F1" w14:textId="77777777">
            <w:pPr>
              <w:pBdr>
                <w:top w:val="nil"/>
                <w:left w:val="nil"/>
                <w:bottom w:val="nil"/>
                <w:right w:val="nil"/>
                <w:between w:val="nil"/>
              </w:pBdr>
              <w:jc w:val="both"/>
            </w:pPr>
            <w:r w:rsidRPr="000D382E">
              <w:t>24.</w:t>
            </w:r>
            <w:r w:rsidRPr="000D382E">
              <w:rPr>
                <w:vertAlign w:val="superscript"/>
              </w:rPr>
              <w:t>3</w:t>
            </w:r>
            <w:r w:rsidRPr="000D382E">
              <w:t> 5. kuģu kustības sistēmu un kuģu satiksmes dienesta noteikumu pārkāpumu (VTS RULES INFRINGEMENT);</w:t>
            </w:r>
          </w:p>
          <w:p w:rsidRPr="000D382E" w:rsidR="000D382E" w:rsidP="000D382E" w:rsidRDefault="000D382E" w14:paraId="6D16BAD5" w14:textId="77777777">
            <w:pPr>
              <w:pBdr>
                <w:top w:val="nil"/>
                <w:left w:val="nil"/>
                <w:bottom w:val="nil"/>
                <w:right w:val="nil"/>
                <w:between w:val="nil"/>
              </w:pBdr>
              <w:jc w:val="both"/>
            </w:pPr>
            <w:r w:rsidRPr="000D382E">
              <w:t>24.</w:t>
            </w:r>
            <w:r w:rsidRPr="000D382E">
              <w:rPr>
                <w:vertAlign w:val="superscript"/>
              </w:rPr>
              <w:t>3</w:t>
            </w:r>
            <w:r w:rsidRPr="000D382E">
              <w:t> 6. ienākšanas aizliegumu (BANNED SHIP);</w:t>
            </w:r>
          </w:p>
          <w:p w:rsidRPr="000D382E" w:rsidR="000D382E" w:rsidP="000D382E" w:rsidRDefault="000D382E" w14:paraId="1C0A66E1" w14:textId="77777777">
            <w:pPr>
              <w:pBdr>
                <w:top w:val="nil"/>
                <w:left w:val="nil"/>
                <w:bottom w:val="nil"/>
                <w:right w:val="nil"/>
                <w:between w:val="nil"/>
              </w:pBdr>
              <w:jc w:val="both"/>
            </w:pPr>
            <w:r w:rsidRPr="000D382E">
              <w:t>24.</w:t>
            </w:r>
            <w:r w:rsidRPr="000D382E">
              <w:rPr>
                <w:vertAlign w:val="superscript"/>
              </w:rPr>
              <w:t>3</w:t>
            </w:r>
            <w:r w:rsidRPr="000D382E">
              <w:t> 7. apdrošināšanas vai cita finansiālā nodrošinājuma dokumentu neesamību (INSURANCE FAILURE);</w:t>
            </w:r>
          </w:p>
          <w:p w:rsidRPr="000D382E" w:rsidR="000D382E" w:rsidP="000D382E" w:rsidRDefault="000D382E" w14:paraId="561995FC" w14:textId="77777777">
            <w:pPr>
              <w:pBdr>
                <w:top w:val="nil"/>
                <w:left w:val="nil"/>
                <w:bottom w:val="nil"/>
                <w:right w:val="nil"/>
                <w:between w:val="nil"/>
              </w:pBdr>
              <w:jc w:val="both"/>
            </w:pPr>
            <w:r w:rsidRPr="000D382E">
              <w:t>24.</w:t>
            </w:r>
            <w:r w:rsidRPr="000D382E">
              <w:rPr>
                <w:vertAlign w:val="superscript"/>
              </w:rPr>
              <w:t>3</w:t>
            </w:r>
            <w:r w:rsidRPr="000D382E">
              <w:t> 8. loču vai ostas pārvaldes amatpersonu ziņotajām nepilnībām (PILOT OR PORT);</w:t>
            </w:r>
          </w:p>
          <w:p w:rsidRPr="000D382E" w:rsidR="000D382E" w:rsidP="000D382E" w:rsidRDefault="000D382E" w14:paraId="2E9BD2FE" w14:textId="77777777">
            <w:pPr>
              <w:pBdr>
                <w:top w:val="nil"/>
                <w:left w:val="nil"/>
                <w:bottom w:val="nil"/>
                <w:right w:val="nil"/>
                <w:between w:val="nil"/>
              </w:pBdr>
              <w:jc w:val="both"/>
            </w:pPr>
            <w:r w:rsidRPr="000D382E">
              <w:t>24.</w:t>
            </w:r>
            <w:r w:rsidRPr="000D382E">
              <w:rPr>
                <w:vertAlign w:val="superscript"/>
              </w:rPr>
              <w:t>3</w:t>
            </w:r>
            <w:r w:rsidRPr="000D382E">
              <w:t> 9. atkritumiem (WASTE);</w:t>
            </w:r>
          </w:p>
          <w:p w:rsidRPr="000D382E" w:rsidR="000D382E" w:rsidP="000D382E" w:rsidRDefault="000D382E" w14:paraId="2AFA2A13" w14:textId="77777777">
            <w:pPr>
              <w:pBdr>
                <w:top w:val="nil"/>
                <w:left w:val="nil"/>
                <w:bottom w:val="nil"/>
                <w:right w:val="nil"/>
                <w:between w:val="nil"/>
              </w:pBdr>
              <w:jc w:val="both"/>
            </w:pPr>
            <w:r w:rsidRPr="000D382E">
              <w:t>24.</w:t>
            </w:r>
            <w:r w:rsidRPr="000D382E">
              <w:rPr>
                <w:vertAlign w:val="superscript"/>
              </w:rPr>
              <w:t>3</w:t>
            </w:r>
            <w:r w:rsidRPr="000D382E">
              <w:t> 10. citiem brīdinājumiem (OTHERS).</w:t>
            </w:r>
          </w:p>
          <w:p w:rsidRPr="000D382E" w:rsidR="000D382E" w:rsidP="000D382E" w:rsidRDefault="000D382E" w14:paraId="5A2CDF89" w14:textId="77777777">
            <w:pPr>
              <w:pBdr>
                <w:top w:val="nil"/>
                <w:left w:val="nil"/>
                <w:bottom w:val="nil"/>
                <w:right w:val="nil"/>
                <w:between w:val="nil"/>
              </w:pBdr>
              <w:jc w:val="both"/>
            </w:pPr>
          </w:p>
          <w:p w:rsidRPr="0045095C" w:rsidR="00D41F3C" w:rsidP="00935297" w:rsidRDefault="000D382E" w14:paraId="6D3EB4FD" w14:textId="31CBCC6F">
            <w:pPr>
              <w:pBdr>
                <w:top w:val="nil"/>
                <w:left w:val="nil"/>
                <w:bottom w:val="nil"/>
                <w:right w:val="nil"/>
                <w:between w:val="nil"/>
              </w:pBdr>
              <w:jc w:val="both"/>
            </w:pPr>
            <w:r w:rsidRPr="000D382E">
              <w:t>24.</w:t>
            </w:r>
            <w:r w:rsidRPr="000D382E">
              <w:rPr>
                <w:vertAlign w:val="superscript"/>
              </w:rPr>
              <w:t xml:space="preserve">4 </w:t>
            </w:r>
            <w:r w:rsidRPr="000D382E">
              <w:t xml:space="preserve">Jūrlietu pārvaldes institūcijas paziņo Krasta apsardzei savas kompetences </w:t>
            </w:r>
            <w:r w:rsidRPr="000D382E">
              <w:lastRenderedPageBreak/>
              <w:t>ietvaros konstatēto šo noteikumu 24.</w:t>
            </w:r>
            <w:r w:rsidRPr="000D382E">
              <w:rPr>
                <w:vertAlign w:val="superscript"/>
              </w:rPr>
              <w:t>3</w:t>
            </w:r>
            <w:r w:rsidRPr="000D382E">
              <w:t xml:space="preserve"> punktā minēto informāciju, kas paziņojama citām Eiropas Savienības dalībvalstu kompetentajām iestādēm. Paziņojot Krasta apsardzei šo noteikumu 24.</w:t>
            </w:r>
            <w:r w:rsidRPr="000D382E">
              <w:rPr>
                <w:vertAlign w:val="superscript"/>
              </w:rPr>
              <w:t>3</w:t>
            </w:r>
            <w:r w:rsidRPr="000D382E">
              <w:t xml:space="preserve"> punktā minēto </w:t>
            </w:r>
            <w:proofErr w:type="spellStart"/>
            <w:r w:rsidRPr="000D382E">
              <w:t>informācju</w:t>
            </w:r>
            <w:proofErr w:type="spellEnd"/>
            <w:r w:rsidRPr="000D382E">
              <w:t>, jūrlietu pārvaldes institūcijas ievēro Eiropas Jūras drošības aģentūras (EMSA) noteiktās ziņojuma satura vadlīnijas."</w:t>
            </w:r>
          </w:p>
        </w:tc>
        <w:tc>
          <w:tcPr>
            <w:tcW w:w="3849" w:type="dxa"/>
            <w:tcBorders>
              <w:left w:val="single" w:color="000000" w:sz="6" w:space="0"/>
              <w:bottom w:val="single" w:color="000000" w:sz="4" w:space="0"/>
              <w:right w:val="single" w:color="000000" w:sz="6" w:space="0"/>
            </w:tcBorders>
          </w:tcPr>
          <w:p w:rsidRPr="000D382E" w:rsidR="000D382E" w:rsidP="000D382E" w:rsidRDefault="000D382E" w14:paraId="038C460E" w14:textId="77777777">
            <w:pPr>
              <w:tabs>
                <w:tab w:val="left" w:pos="993"/>
              </w:tabs>
              <w:jc w:val="both"/>
            </w:pPr>
            <w:r w:rsidRPr="000D382E">
              <w:lastRenderedPageBreak/>
              <w:t>Projekta 3. punktā izteiktajā Ministru kabineta 2010. gada 21.  decembra noteikumu Nr. 1171 “Noteikumi par Latvijas ūdeņu izmantošanas kārtību un kuģošanas režīmu tajos” (turpmāk – noteikumi) 24.</w:t>
            </w:r>
            <w:r w:rsidRPr="000D382E">
              <w:rPr>
                <w:vertAlign w:val="superscript"/>
              </w:rPr>
              <w:t>3</w:t>
            </w:r>
            <w:r w:rsidRPr="000D382E">
              <w:t xml:space="preserve"> un 24.</w:t>
            </w:r>
            <w:r w:rsidRPr="000D382E">
              <w:rPr>
                <w:vertAlign w:val="superscript"/>
              </w:rPr>
              <w:t>4</w:t>
            </w:r>
            <w:r w:rsidRPr="000D382E">
              <w:t xml:space="preserve"> punktā norādīta atsauce uz Eiropas Jūras drošības aģentūras vadlīnijām. Vēršam uzmanību, ka šāda atsauce nav juridiski korekta, jo vadlīnijas nav juridiski saistošas. Ievērojot minēto, lūdzam svītrot atsauci uz vadlīnijām, vienlaikus nepieciešamo vadlīniju saturu tieši ietverot projekta tekstā.</w:t>
            </w:r>
          </w:p>
          <w:p w:rsidRPr="000D382E" w:rsidR="000D382E" w:rsidP="000D382E" w:rsidRDefault="000D382E" w14:paraId="37683D2F" w14:textId="726E898D">
            <w:pPr>
              <w:tabs>
                <w:tab w:val="left" w:pos="993"/>
              </w:tabs>
              <w:jc w:val="both"/>
            </w:pPr>
            <w:r w:rsidRPr="000D382E">
              <w:t>Tāpat lūdzam minētajās normās norādīt informācijas apmaiņas un paziņošanas pienākuma īstenošanas termiņu, tādējādi nodrošinot skaidru un nepārprotamu tiesību normu.</w:t>
            </w:r>
          </w:p>
          <w:p w:rsidRPr="0045095C" w:rsidR="00D41F3C" w:rsidP="00935297" w:rsidRDefault="00D41F3C" w14:paraId="737D97EA" w14:textId="676AB41A">
            <w:pPr>
              <w:tabs>
                <w:tab w:val="left" w:pos="993"/>
              </w:tabs>
              <w:jc w:val="both"/>
            </w:pPr>
          </w:p>
        </w:tc>
        <w:tc>
          <w:tcPr>
            <w:tcW w:w="3260" w:type="dxa"/>
            <w:tcBorders>
              <w:left w:val="single" w:color="000000" w:sz="6" w:space="0"/>
              <w:bottom w:val="single" w:color="000000" w:sz="4" w:space="0"/>
              <w:right w:val="single" w:color="000000" w:sz="6" w:space="0"/>
            </w:tcBorders>
          </w:tcPr>
          <w:p w:rsidR="00854491" w:rsidP="00854491" w:rsidRDefault="000D382E" w14:paraId="41CACF23" w14:textId="79710555">
            <w:pPr>
              <w:pBdr>
                <w:top w:val="nil"/>
                <w:left w:val="nil"/>
                <w:bottom w:val="nil"/>
                <w:right w:val="nil"/>
                <w:between w:val="nil"/>
              </w:pBdr>
              <w:jc w:val="both"/>
              <w:rPr>
                <w:b/>
              </w:rPr>
            </w:pPr>
            <w:r>
              <w:rPr>
                <w:b/>
              </w:rPr>
              <w:t>Ņemts vērā</w:t>
            </w:r>
          </w:p>
          <w:p w:rsidRPr="00854491" w:rsidR="000D382E" w:rsidP="00854491" w:rsidRDefault="000D382E" w14:paraId="1DDD9D9C" w14:textId="77777777">
            <w:pPr>
              <w:pBdr>
                <w:top w:val="nil"/>
                <w:left w:val="nil"/>
                <w:bottom w:val="nil"/>
                <w:right w:val="nil"/>
                <w:between w:val="nil"/>
              </w:pBdr>
              <w:jc w:val="both"/>
              <w:rPr>
                <w:b/>
              </w:rPr>
            </w:pPr>
          </w:p>
          <w:p w:rsidRPr="0045095C" w:rsidR="0061787D" w:rsidP="000F0D33" w:rsidRDefault="0061787D" w14:paraId="7BFB8C74" w14:textId="746B0C69">
            <w:pPr>
              <w:pBdr>
                <w:top w:val="nil"/>
                <w:left w:val="nil"/>
                <w:bottom w:val="nil"/>
                <w:right w:val="nil"/>
                <w:between w:val="nil"/>
              </w:pBdr>
              <w:jc w:val="both"/>
            </w:pPr>
          </w:p>
        </w:tc>
        <w:tc>
          <w:tcPr>
            <w:tcW w:w="3241" w:type="dxa"/>
            <w:tcBorders>
              <w:left w:val="single" w:color="000000" w:sz="6" w:space="0"/>
              <w:bottom w:val="single" w:color="000000" w:sz="4" w:space="0"/>
              <w:right w:val="single" w:color="000000" w:sz="6" w:space="0"/>
            </w:tcBorders>
          </w:tcPr>
          <w:p w:rsidRPr="004C525E" w:rsidR="004C525E" w:rsidP="004C525E" w:rsidRDefault="004C525E" w14:paraId="6AA081A5" w14:textId="77777777">
            <w:pPr>
              <w:jc w:val="both"/>
            </w:pPr>
            <w:r w:rsidRPr="004C525E">
              <w:t>3. Izteikt 24.</w:t>
            </w:r>
            <w:r w:rsidRPr="004C525E">
              <w:rPr>
                <w:vertAlign w:val="superscript"/>
              </w:rPr>
              <w:t>1</w:t>
            </w:r>
            <w:r w:rsidRPr="004C525E">
              <w:t xml:space="preserve"> punktu šādā redakcijā:</w:t>
            </w:r>
          </w:p>
          <w:p w:rsidRPr="004C525E" w:rsidR="004C525E" w:rsidP="004C525E" w:rsidRDefault="004C525E" w14:paraId="2A9A8CCE" w14:textId="77777777">
            <w:pPr>
              <w:jc w:val="both"/>
            </w:pPr>
          </w:p>
          <w:p w:rsidRPr="004C525E" w:rsidR="004C525E" w:rsidP="004C525E" w:rsidRDefault="004C525E" w14:paraId="061889F7" w14:textId="77777777">
            <w:pPr>
              <w:jc w:val="both"/>
            </w:pPr>
            <w:r w:rsidRPr="004C525E">
              <w:t>"24.</w:t>
            </w:r>
            <w:r w:rsidRPr="004C525E">
              <w:rPr>
                <w:vertAlign w:val="superscript"/>
              </w:rPr>
              <w:t>1</w:t>
            </w:r>
            <w:r w:rsidRPr="004C525E">
              <w:t xml:space="preserve"> Krasta apsardze, izmantojot Eiropas Savienības sistēmu apmaiņai ar kuģošanas informāciju (Eiropas Savienības </w:t>
            </w:r>
            <w:proofErr w:type="spellStart"/>
            <w:r w:rsidRPr="004C525E">
              <w:rPr>
                <w:i/>
              </w:rPr>
              <w:t>SafeSeaNet</w:t>
            </w:r>
            <w:proofErr w:type="spellEnd"/>
            <w:r w:rsidRPr="004C525E">
              <w:t xml:space="preserve"> sistēma), pēc iespējas ātrāk apmainās ar citas Eiropas Savienības dalībvalsts kompetento iestādi ar informāciju, kas saistīta ar </w:t>
            </w:r>
            <w:r w:rsidRPr="004C525E">
              <w:rPr>
                <w:bCs/>
              </w:rPr>
              <w:t xml:space="preserve">jūras negadījumu vai incidentu. Attiecīgās informācijas apmaiņa notiek ar tās Eiropas Savienības dalībvalsts kompetento iestādi, kura atrodas kuģa plānotajā maršrutā vai kura ir kuģa karoga valsts, vai kuru ir </w:t>
            </w:r>
            <w:proofErr w:type="spellStart"/>
            <w:r w:rsidRPr="004C525E">
              <w:rPr>
                <w:bCs/>
              </w:rPr>
              <w:t>skāris</w:t>
            </w:r>
            <w:proofErr w:type="spellEnd"/>
            <w:r w:rsidRPr="004C525E">
              <w:rPr>
                <w:bCs/>
              </w:rPr>
              <w:t xml:space="preserve"> vai var skart notikušais jūras negadījums vai incidents. </w:t>
            </w:r>
            <w:r w:rsidRPr="004C525E">
              <w:t xml:space="preserve">Informācija, kas </w:t>
            </w:r>
            <w:r w:rsidRPr="004C525E">
              <w:lastRenderedPageBreak/>
              <w:t xml:space="preserve">saistīta ar </w:t>
            </w:r>
            <w:r w:rsidRPr="004C525E">
              <w:rPr>
                <w:bCs/>
              </w:rPr>
              <w:t xml:space="preserve">jūras negadījumu vai incidentu, </w:t>
            </w:r>
            <w:r w:rsidRPr="004C525E">
              <w:t>ir ziņojumi par:</w:t>
            </w:r>
          </w:p>
          <w:p w:rsidRPr="004C525E" w:rsidR="004C525E" w:rsidP="004C525E" w:rsidRDefault="004C525E" w14:paraId="76717503" w14:textId="77777777">
            <w:pPr>
              <w:jc w:val="both"/>
            </w:pPr>
            <w:r w:rsidRPr="004C525E">
              <w:t>24.</w:t>
            </w:r>
            <w:r w:rsidRPr="004C525E">
              <w:rPr>
                <w:vertAlign w:val="superscript"/>
              </w:rPr>
              <w:t>1</w:t>
            </w:r>
            <w:r w:rsidRPr="004C525E">
              <w:t xml:space="preserve"> 1. kuģi, </w:t>
            </w:r>
            <w:r w:rsidRPr="004C525E">
              <w:rPr>
                <w:rFonts w:hint="eastAsia"/>
              </w:rPr>
              <w:t>kas reisa laikā</w:t>
            </w:r>
            <w:r w:rsidRPr="004C525E">
              <w:t xml:space="preserve"> bija iesaistīts jebkurā jūras negadījumā vai incidentā, kas samazina kuģa drošību vai apdraud kuģošanas drošību (SITREP);</w:t>
            </w:r>
          </w:p>
          <w:p w:rsidRPr="004C525E" w:rsidR="004C525E" w:rsidP="004C525E" w:rsidRDefault="004C525E" w14:paraId="79A2DB56" w14:textId="77777777">
            <w:pPr>
              <w:jc w:val="both"/>
            </w:pPr>
            <w:r w:rsidRPr="004C525E">
              <w:t>24.</w:t>
            </w:r>
            <w:r w:rsidRPr="004C525E">
              <w:rPr>
                <w:vertAlign w:val="superscript"/>
              </w:rPr>
              <w:t>1</w:t>
            </w:r>
            <w:r w:rsidRPr="004C525E">
              <w:t> 2. jebkuru situāciju, kas var izraisīt Eiropas Savienības dalībvalsts ūdeņu vai piekrastes piesārņošanu (piemēram, bīstamo vai piesārņojošo vielu nonākšanu jūrā) (POLREP);</w:t>
            </w:r>
          </w:p>
          <w:p w:rsidRPr="004C525E" w:rsidR="004C525E" w:rsidP="004C525E" w:rsidRDefault="004C525E" w14:paraId="77C57E21" w14:textId="77777777">
            <w:pPr>
              <w:jc w:val="both"/>
            </w:pPr>
            <w:r w:rsidRPr="004C525E">
              <w:t>24.</w:t>
            </w:r>
            <w:r w:rsidRPr="004C525E">
              <w:rPr>
                <w:vertAlign w:val="superscript"/>
              </w:rPr>
              <w:t>1</w:t>
            </w:r>
            <w:r w:rsidRPr="004C525E">
              <w:t> 3. jebkuru piesārņojošo vielu plankumu, kā arī konteineriem vai iepakojumiem, kas redzēti dreifējam jūrā (POLREP, LOST AND FOUND OBJECTS);</w:t>
            </w:r>
          </w:p>
          <w:p w:rsidRPr="004C525E" w:rsidR="004C525E" w:rsidP="004C525E" w:rsidRDefault="004C525E" w14:paraId="6E84BCFC" w14:textId="77777777">
            <w:pPr>
              <w:jc w:val="both"/>
            </w:pPr>
            <w:r w:rsidRPr="004C525E">
              <w:t>24.</w:t>
            </w:r>
            <w:r w:rsidRPr="004C525E">
              <w:rPr>
                <w:vertAlign w:val="superscript"/>
              </w:rPr>
              <w:t>1</w:t>
            </w:r>
            <w:r w:rsidRPr="004C525E">
              <w:t xml:space="preserve"> 4. kuģi, kas nav </w:t>
            </w:r>
            <w:r w:rsidRPr="004C525E">
              <w:rPr>
                <w:rFonts w:hint="eastAsia"/>
              </w:rPr>
              <w:t>izpildījis ziņošanas prasības</w:t>
            </w:r>
            <w:r w:rsidRPr="004C525E">
              <w:t xml:space="preserve"> saskaņā ar normatīvajiem aktiem Eiropas Savienības </w:t>
            </w:r>
            <w:r w:rsidRPr="004C525E">
              <w:rPr>
                <w:rFonts w:hint="eastAsia"/>
              </w:rPr>
              <w:t xml:space="preserve">kuģu satiksmes uzraudzības un informācijas sistēmu </w:t>
            </w:r>
            <w:r w:rsidRPr="004C525E">
              <w:t>jomā, tostarp šo noteikumu 17. punktā minētās ziņošanas prasības (FAILED NOTIFICATION);</w:t>
            </w:r>
          </w:p>
          <w:p w:rsidRPr="004C525E" w:rsidR="004C525E" w:rsidP="004C525E" w:rsidRDefault="004C525E" w14:paraId="7552F945" w14:textId="77777777">
            <w:pPr>
              <w:jc w:val="both"/>
            </w:pPr>
            <w:r w:rsidRPr="004C525E">
              <w:t>24.</w:t>
            </w:r>
            <w:r w:rsidRPr="004C525E">
              <w:rPr>
                <w:vertAlign w:val="superscript"/>
              </w:rPr>
              <w:t>1</w:t>
            </w:r>
            <w:r w:rsidRPr="004C525E">
              <w:t xml:space="preserve"> 5. kuģi, kas nav ievērojis normatīvajos aktos par jūrlietu pārvaldi un jūras drošību </w:t>
            </w:r>
            <w:r w:rsidRPr="004C525E">
              <w:lastRenderedPageBreak/>
              <w:t>noteikto kārtību kuģu satiksmes vadības sistēmu darbības zonā (VTS RULES INFRINGEMENT);</w:t>
            </w:r>
          </w:p>
          <w:p w:rsidRPr="004C525E" w:rsidR="004C525E" w:rsidP="004C525E" w:rsidRDefault="004C525E" w14:paraId="0B31B14C" w14:textId="77777777">
            <w:pPr>
              <w:jc w:val="both"/>
            </w:pPr>
            <w:r w:rsidRPr="004C525E">
              <w:t>24.</w:t>
            </w:r>
            <w:r w:rsidRPr="004C525E">
              <w:rPr>
                <w:vertAlign w:val="superscript"/>
              </w:rPr>
              <w:t>1</w:t>
            </w:r>
            <w:r w:rsidRPr="004C525E">
              <w:t> 6. loču vai ostas pārvaldes amatpersonas normatīvajos aktos par ostas valsts kontroli noteiktajā kārtībā ziņoto, ka kuģim ir acīmredzamas nepilnības, kas kuģošanu varētu padarīt nedrošu vai varētu apdraudēt jūras vidi (PILOT OR PORT);</w:t>
            </w:r>
          </w:p>
          <w:p w:rsidRPr="004C525E" w:rsidR="004C525E" w:rsidP="004C525E" w:rsidRDefault="004C525E" w14:paraId="0C6B7360" w14:textId="77777777">
            <w:pPr>
              <w:jc w:val="both"/>
            </w:pPr>
            <w:r w:rsidRPr="004C525E">
              <w:t>24.</w:t>
            </w:r>
            <w:r w:rsidRPr="004C525E">
              <w:rPr>
                <w:vertAlign w:val="superscript"/>
              </w:rPr>
              <w:t>1</w:t>
            </w:r>
            <w:r w:rsidRPr="004C525E">
              <w:t xml:space="preserve"> 7. </w:t>
            </w:r>
            <w:r w:rsidRPr="004C525E">
              <w:rPr>
                <w:rFonts w:hint="eastAsia"/>
              </w:rPr>
              <w:t xml:space="preserve">kuģi, attiecībā uz kuru ir pierādījumi vai pieņēmumi par tīšām naftas noplūdēm vai citiem </w:t>
            </w:r>
            <w:r w:rsidRPr="004C525E">
              <w:rPr>
                <w:rFonts w:hint="eastAsia"/>
                <w:i/>
              </w:rPr>
              <w:t xml:space="preserve">MARPOL </w:t>
            </w:r>
            <w:r w:rsidRPr="004C525E">
              <w:rPr>
                <w:rFonts w:hint="eastAsia"/>
              </w:rPr>
              <w:t xml:space="preserve">konvencijas pārkāpumiem </w:t>
            </w:r>
            <w:r w:rsidRPr="004C525E">
              <w:t xml:space="preserve">Latvijas </w:t>
            </w:r>
            <w:r w:rsidRPr="004C525E">
              <w:rPr>
                <w:rFonts w:hint="eastAsia"/>
              </w:rPr>
              <w:t>ūdeņos</w:t>
            </w:r>
            <w:r w:rsidRPr="004C525E">
              <w:t xml:space="preserve"> (POLREP);</w:t>
            </w:r>
          </w:p>
          <w:p w:rsidRPr="004C525E" w:rsidR="004C525E" w:rsidP="004C525E" w:rsidRDefault="004C525E" w14:paraId="1135D749" w14:textId="77777777">
            <w:pPr>
              <w:jc w:val="both"/>
            </w:pPr>
            <w:r w:rsidRPr="004C525E">
              <w:t>24.</w:t>
            </w:r>
            <w:r w:rsidRPr="004C525E">
              <w:rPr>
                <w:vertAlign w:val="superscript"/>
              </w:rPr>
              <w:t>1</w:t>
            </w:r>
            <w:r w:rsidRPr="004C525E">
              <w:t xml:space="preserve"> 8. </w:t>
            </w:r>
            <w:r w:rsidRPr="004C525E">
              <w:rPr>
                <w:rFonts w:hint="eastAsia"/>
              </w:rPr>
              <w:t>kuģi, kur</w:t>
            </w:r>
            <w:r w:rsidRPr="004C525E">
              <w:t>am</w:t>
            </w:r>
            <w:r w:rsidRPr="004C525E">
              <w:rPr>
                <w:rFonts w:hint="eastAsia"/>
              </w:rPr>
              <w:t xml:space="preserve"> </w:t>
            </w:r>
            <w:r w:rsidRPr="004C525E">
              <w:t>Eiropas Savienības</w:t>
            </w:r>
            <w:r w:rsidRPr="004C525E">
              <w:rPr>
                <w:rFonts w:hint="eastAsia"/>
              </w:rPr>
              <w:t xml:space="preserve"> dalībvalsts ost</w:t>
            </w:r>
            <w:r w:rsidRPr="004C525E">
              <w:t>ā</w:t>
            </w:r>
            <w:r w:rsidRPr="004C525E">
              <w:rPr>
                <w:rFonts w:hint="eastAsia"/>
              </w:rPr>
              <w:t xml:space="preserve"> </w:t>
            </w:r>
            <w:r w:rsidRPr="004C525E">
              <w:t>ir noteikts</w:t>
            </w:r>
            <w:r w:rsidRPr="004C525E">
              <w:rPr>
                <w:rFonts w:hint="eastAsia"/>
              </w:rPr>
              <w:t xml:space="preserve"> </w:t>
            </w:r>
            <w:r w:rsidRPr="004C525E">
              <w:t>ienākšanas aizliegums</w:t>
            </w:r>
            <w:r w:rsidRPr="004C525E">
              <w:rPr>
                <w:rFonts w:hint="eastAsia"/>
              </w:rPr>
              <w:t xml:space="preserve"> vai </w:t>
            </w:r>
            <w:r w:rsidRPr="004C525E">
              <w:t>kurš pēc ostas valsts kontroles inspekcijas nosūtīts uz kuģu remonta rūpnīcu (BANNED SHIP);</w:t>
            </w:r>
          </w:p>
          <w:p w:rsidRPr="004C525E" w:rsidR="004C525E" w:rsidP="004C525E" w:rsidRDefault="004C525E" w14:paraId="5990C1D7" w14:textId="77777777">
            <w:pPr>
              <w:jc w:val="both"/>
            </w:pPr>
            <w:r w:rsidRPr="004C525E">
              <w:t>24.</w:t>
            </w:r>
            <w:r w:rsidRPr="004C525E">
              <w:rPr>
                <w:vertAlign w:val="superscript"/>
              </w:rPr>
              <w:t>1</w:t>
            </w:r>
            <w:r w:rsidRPr="004C525E">
              <w:t> 9. kuģi, kuram nav šo noteikumu 4. punktā minēto dokumentu (INSURANCE FAILURE);</w:t>
            </w:r>
          </w:p>
          <w:p w:rsidRPr="004C525E" w:rsidR="004C525E" w:rsidP="004C525E" w:rsidRDefault="004C525E" w14:paraId="21694965" w14:textId="77777777">
            <w:pPr>
              <w:jc w:val="both"/>
            </w:pPr>
            <w:r w:rsidRPr="004C525E">
              <w:t>24.</w:t>
            </w:r>
            <w:r w:rsidRPr="004C525E">
              <w:rPr>
                <w:vertAlign w:val="superscript"/>
              </w:rPr>
              <w:t>1</w:t>
            </w:r>
            <w:r w:rsidRPr="004C525E">
              <w:t> 10. kuģi, kas nav nodevis atkritumus vai ziņojis par atkritumu nodošanu (WASTE);</w:t>
            </w:r>
          </w:p>
          <w:p w:rsidRPr="004C525E" w:rsidR="004C525E" w:rsidP="004C525E" w:rsidRDefault="004C525E" w14:paraId="5F317DEF" w14:textId="77777777">
            <w:pPr>
              <w:jc w:val="both"/>
            </w:pPr>
            <w:r w:rsidRPr="004C525E">
              <w:lastRenderedPageBreak/>
              <w:t>24.</w:t>
            </w:r>
            <w:r w:rsidRPr="004C525E">
              <w:rPr>
                <w:vertAlign w:val="superscript"/>
              </w:rPr>
              <w:t>1</w:t>
            </w:r>
            <w:r w:rsidRPr="004C525E">
              <w:t> 11. citu situāciju, kas saistīta ar kuģa drošību, kuģošanas drošību un jūras vides apdraudējumu (OTHERS)."</w:t>
            </w:r>
          </w:p>
          <w:p w:rsidRPr="004C525E" w:rsidR="004C525E" w:rsidP="004C525E" w:rsidRDefault="004C525E" w14:paraId="08B9164A" w14:textId="77777777">
            <w:pPr>
              <w:jc w:val="both"/>
            </w:pPr>
          </w:p>
          <w:p w:rsidRPr="004C525E" w:rsidR="004C525E" w:rsidP="004C525E" w:rsidRDefault="004C525E" w14:paraId="3F98CDE7" w14:textId="77777777">
            <w:pPr>
              <w:jc w:val="both"/>
            </w:pPr>
            <w:r w:rsidRPr="004C525E">
              <w:t>4. Papildināt noteikumus ar 24.</w:t>
            </w:r>
            <w:r w:rsidRPr="004C525E">
              <w:rPr>
                <w:vertAlign w:val="superscript"/>
              </w:rPr>
              <w:t xml:space="preserve">3 </w:t>
            </w:r>
            <w:r w:rsidRPr="004C525E">
              <w:t>punktu šādā redakcijā:</w:t>
            </w:r>
          </w:p>
          <w:p w:rsidRPr="004C525E" w:rsidR="004C525E" w:rsidP="004C525E" w:rsidRDefault="004C525E" w14:paraId="641FF986" w14:textId="77777777">
            <w:pPr>
              <w:jc w:val="both"/>
            </w:pPr>
          </w:p>
          <w:p w:rsidRPr="004C525E" w:rsidR="00D41F3C" w:rsidP="000F0D33" w:rsidRDefault="004C525E" w14:paraId="5C99F3D2" w14:textId="75E535A4">
            <w:pPr>
              <w:jc w:val="both"/>
              <w:rPr>
                <w:u w:val="single"/>
              </w:rPr>
            </w:pPr>
            <w:r w:rsidRPr="004C525E">
              <w:t>"24.</w:t>
            </w:r>
            <w:r w:rsidRPr="004C525E">
              <w:rPr>
                <w:vertAlign w:val="superscript"/>
              </w:rPr>
              <w:t xml:space="preserve">3 </w:t>
            </w:r>
            <w:r w:rsidRPr="004C525E">
              <w:t>Jūrlietu pārvaldes institūcija pēc iespējas ātrāk paziņo Krasta apsardzei savas kompetences ietvaros konstatēto šo noteikumu 24.</w:t>
            </w:r>
            <w:r w:rsidRPr="004C525E">
              <w:rPr>
                <w:vertAlign w:val="superscript"/>
              </w:rPr>
              <w:t>1</w:t>
            </w:r>
            <w:r w:rsidRPr="004C525E">
              <w:t xml:space="preserve"> punktā minēto informāciju, kas paziņojama citai Eiropas Savienības dalībvalsts kompetentajai iestādei."</w:t>
            </w:r>
          </w:p>
        </w:tc>
      </w:tr>
      <w:tr w:rsidRPr="0045095C" w:rsidR="00D41F3C" w:rsidTr="00335A95" w14:paraId="41CFFEEA" w14:textId="77777777">
        <w:tc>
          <w:tcPr>
            <w:tcW w:w="708" w:type="dxa"/>
            <w:tcBorders>
              <w:left w:val="single" w:color="000000" w:sz="6" w:space="0"/>
              <w:bottom w:val="single" w:color="000000" w:sz="4" w:space="0"/>
              <w:right w:val="single" w:color="000000" w:sz="6" w:space="0"/>
            </w:tcBorders>
          </w:tcPr>
          <w:p w:rsidRPr="0045095C" w:rsidR="00D41F3C" w:rsidRDefault="00A94AFD" w14:paraId="3B7877D0" w14:textId="77777777">
            <w:pPr>
              <w:pBdr>
                <w:top w:val="nil"/>
                <w:left w:val="nil"/>
                <w:bottom w:val="nil"/>
                <w:right w:val="nil"/>
                <w:between w:val="nil"/>
              </w:pBdr>
              <w:jc w:val="center"/>
              <w:rPr>
                <w:color w:val="000000"/>
              </w:rPr>
            </w:pPr>
            <w:r w:rsidRPr="0045095C">
              <w:rPr>
                <w:color w:val="000000"/>
              </w:rPr>
              <w:lastRenderedPageBreak/>
              <w:t>2.</w:t>
            </w:r>
          </w:p>
        </w:tc>
        <w:tc>
          <w:tcPr>
            <w:tcW w:w="3090" w:type="dxa"/>
            <w:tcBorders>
              <w:left w:val="single" w:color="000000" w:sz="6" w:space="0"/>
              <w:bottom w:val="single" w:color="000000" w:sz="4" w:space="0"/>
              <w:right w:val="single" w:color="000000" w:sz="6" w:space="0"/>
            </w:tcBorders>
          </w:tcPr>
          <w:p w:rsidRPr="000D382E" w:rsidR="000D382E" w:rsidP="000D382E" w:rsidRDefault="000D382E" w14:paraId="42170797" w14:textId="77777777">
            <w:pPr>
              <w:jc w:val="both"/>
            </w:pPr>
            <w:r w:rsidRPr="000D382E">
              <w:t>3. Papildināt noteikumus ar 24.</w:t>
            </w:r>
            <w:r w:rsidRPr="000D382E">
              <w:rPr>
                <w:vertAlign w:val="superscript"/>
              </w:rPr>
              <w:t>3</w:t>
            </w:r>
            <w:r w:rsidRPr="000D382E">
              <w:t xml:space="preserve"> un 24.</w:t>
            </w:r>
            <w:r w:rsidRPr="000D382E">
              <w:rPr>
                <w:vertAlign w:val="superscript"/>
              </w:rPr>
              <w:t>4</w:t>
            </w:r>
            <w:r w:rsidRPr="000D382E">
              <w:t xml:space="preserve"> punktu šādā redakcijā:</w:t>
            </w:r>
          </w:p>
          <w:p w:rsidRPr="000D382E" w:rsidR="000D382E" w:rsidP="000D382E" w:rsidRDefault="000D382E" w14:paraId="088B088C" w14:textId="77777777">
            <w:pPr>
              <w:jc w:val="both"/>
            </w:pPr>
          </w:p>
          <w:p w:rsidRPr="000D382E" w:rsidR="000D382E" w:rsidP="000D382E" w:rsidRDefault="000D382E" w14:paraId="58D38A6C" w14:textId="77777777">
            <w:pPr>
              <w:jc w:val="both"/>
            </w:pPr>
            <w:r w:rsidRPr="000D382E">
              <w:t>"24.</w:t>
            </w:r>
            <w:r w:rsidRPr="000D382E">
              <w:rPr>
                <w:vertAlign w:val="superscript"/>
              </w:rPr>
              <w:t>3</w:t>
            </w:r>
            <w:r w:rsidRPr="000D382E">
              <w:t xml:space="preserve"> Krasta apsardze apmainās ar citām Eiropas Savienības dalībvalstu kompetentajām iestādēm ar informāciju, kas saistīta ar </w:t>
            </w:r>
            <w:r w:rsidRPr="000D382E">
              <w:rPr>
                <w:bCs/>
              </w:rPr>
              <w:t>jūras negadījumu vai incidentu</w:t>
            </w:r>
            <w:r w:rsidRPr="000D382E">
              <w:t>, izmantojot Eiropas Savienības sistēmu apmaiņai ar kuģošanas informāciju (Eiropas Savienības </w:t>
            </w:r>
            <w:proofErr w:type="spellStart"/>
            <w:r w:rsidRPr="000D382E">
              <w:rPr>
                <w:i/>
                <w:iCs/>
              </w:rPr>
              <w:t>SafeSeaNet</w:t>
            </w:r>
            <w:proofErr w:type="spellEnd"/>
            <w:r w:rsidRPr="000D382E">
              <w:rPr>
                <w:iCs/>
              </w:rPr>
              <w:t xml:space="preserve"> </w:t>
            </w:r>
            <w:r w:rsidRPr="000D382E">
              <w:rPr>
                <w:iCs/>
              </w:rPr>
              <w:lastRenderedPageBreak/>
              <w:t>sistēma</w:t>
            </w:r>
            <w:r w:rsidRPr="000D382E">
              <w:t xml:space="preserve">) un ievērojot Eiropas Jūras drošības aģentūras (EMSA) vadlīnijas. Informācija, kas saistīta ar </w:t>
            </w:r>
            <w:r w:rsidRPr="000D382E">
              <w:rPr>
                <w:bCs/>
              </w:rPr>
              <w:t>jūras negadījumu vai incidentu,</w:t>
            </w:r>
            <w:r w:rsidRPr="000D382E">
              <w:t xml:space="preserve"> ir ziņojumi par:</w:t>
            </w:r>
          </w:p>
          <w:p w:rsidRPr="000D382E" w:rsidR="000D382E" w:rsidP="000D382E" w:rsidRDefault="000D382E" w14:paraId="4672277A" w14:textId="77777777">
            <w:pPr>
              <w:jc w:val="both"/>
            </w:pPr>
            <w:r w:rsidRPr="000D382E">
              <w:t>24.</w:t>
            </w:r>
            <w:r w:rsidRPr="000D382E">
              <w:rPr>
                <w:vertAlign w:val="superscript"/>
              </w:rPr>
              <w:t>3</w:t>
            </w:r>
            <w:r w:rsidRPr="000D382E">
              <w:t> 1. incidentiem (SITREP);</w:t>
            </w:r>
          </w:p>
          <w:p w:rsidRPr="000D382E" w:rsidR="000D382E" w:rsidP="000D382E" w:rsidRDefault="000D382E" w14:paraId="24614FC9" w14:textId="77777777">
            <w:pPr>
              <w:jc w:val="both"/>
            </w:pPr>
            <w:r w:rsidRPr="000D382E">
              <w:t>24.</w:t>
            </w:r>
            <w:r w:rsidRPr="000D382E">
              <w:rPr>
                <w:vertAlign w:val="superscript"/>
              </w:rPr>
              <w:t>3</w:t>
            </w:r>
            <w:r w:rsidRPr="000D382E">
              <w:t> 2. piesārņojumu (POLREP);</w:t>
            </w:r>
          </w:p>
          <w:p w:rsidRPr="000D382E" w:rsidR="000D382E" w:rsidP="000D382E" w:rsidRDefault="000D382E" w14:paraId="443E8B0A" w14:textId="77777777">
            <w:pPr>
              <w:jc w:val="both"/>
            </w:pPr>
            <w:r w:rsidRPr="000D382E">
              <w:t>24.</w:t>
            </w:r>
            <w:r w:rsidRPr="000D382E">
              <w:rPr>
                <w:vertAlign w:val="superscript"/>
              </w:rPr>
              <w:t>3</w:t>
            </w:r>
            <w:r w:rsidRPr="000D382E">
              <w:t> 3. dreifējošiem konteineriem vai citiem kuģošanas drošībai bīstamiem objektiem (LOST AND FOUND OBJECTS);</w:t>
            </w:r>
          </w:p>
          <w:p w:rsidRPr="000D382E" w:rsidR="000D382E" w:rsidP="000D382E" w:rsidRDefault="000D382E" w14:paraId="2E68E13D" w14:textId="77777777">
            <w:pPr>
              <w:jc w:val="both"/>
            </w:pPr>
            <w:r w:rsidRPr="000D382E">
              <w:t>24.</w:t>
            </w:r>
            <w:r w:rsidRPr="000D382E">
              <w:rPr>
                <w:vertAlign w:val="superscript"/>
              </w:rPr>
              <w:t>3</w:t>
            </w:r>
            <w:r w:rsidRPr="000D382E">
              <w:t> 4. neizpildītām informēšanas un ziņošanas prasībām (FAILED NOTIFICATION);</w:t>
            </w:r>
          </w:p>
          <w:p w:rsidRPr="000D382E" w:rsidR="000D382E" w:rsidP="000D382E" w:rsidRDefault="000D382E" w14:paraId="0895BC80" w14:textId="77777777">
            <w:pPr>
              <w:jc w:val="both"/>
            </w:pPr>
            <w:r w:rsidRPr="000D382E">
              <w:t>24.</w:t>
            </w:r>
            <w:r w:rsidRPr="000D382E">
              <w:rPr>
                <w:vertAlign w:val="superscript"/>
              </w:rPr>
              <w:t>3</w:t>
            </w:r>
            <w:r w:rsidRPr="000D382E">
              <w:t> 5. kuģu kustības sistēmu un kuģu satiksmes dienesta noteikumu pārkāpumu (VTS RULES INFRINGEMENT);</w:t>
            </w:r>
          </w:p>
          <w:p w:rsidRPr="000D382E" w:rsidR="000D382E" w:rsidP="000D382E" w:rsidRDefault="000D382E" w14:paraId="736D3E15" w14:textId="77777777">
            <w:pPr>
              <w:jc w:val="both"/>
            </w:pPr>
            <w:r w:rsidRPr="000D382E">
              <w:t>24.</w:t>
            </w:r>
            <w:r w:rsidRPr="000D382E">
              <w:rPr>
                <w:vertAlign w:val="superscript"/>
              </w:rPr>
              <w:t>3</w:t>
            </w:r>
            <w:r w:rsidRPr="000D382E">
              <w:t> 6. ienākšanas aizliegumu (BANNED SHIP);</w:t>
            </w:r>
          </w:p>
          <w:p w:rsidRPr="000D382E" w:rsidR="000D382E" w:rsidP="000D382E" w:rsidRDefault="000D382E" w14:paraId="40F3A5B0" w14:textId="77777777">
            <w:pPr>
              <w:jc w:val="both"/>
            </w:pPr>
            <w:r w:rsidRPr="000D382E">
              <w:t>24.</w:t>
            </w:r>
            <w:r w:rsidRPr="000D382E">
              <w:rPr>
                <w:vertAlign w:val="superscript"/>
              </w:rPr>
              <w:t>3</w:t>
            </w:r>
            <w:r w:rsidRPr="000D382E">
              <w:t> 7. apdrošināšanas vai cita finansiālā nodrošinājuma dokumentu neesamību (INSURANCE FAILURE);</w:t>
            </w:r>
          </w:p>
          <w:p w:rsidRPr="000D382E" w:rsidR="000D382E" w:rsidP="000D382E" w:rsidRDefault="000D382E" w14:paraId="5E2826BB" w14:textId="77777777">
            <w:pPr>
              <w:jc w:val="both"/>
            </w:pPr>
            <w:r w:rsidRPr="000D382E">
              <w:t>24.</w:t>
            </w:r>
            <w:r w:rsidRPr="000D382E">
              <w:rPr>
                <w:vertAlign w:val="superscript"/>
              </w:rPr>
              <w:t>3</w:t>
            </w:r>
            <w:r w:rsidRPr="000D382E">
              <w:t> 8. loču vai ostas pārvaldes amatpersonu ziņotajām nepilnībām (PILOT OR PORT);</w:t>
            </w:r>
          </w:p>
          <w:p w:rsidRPr="000D382E" w:rsidR="000D382E" w:rsidP="000D382E" w:rsidRDefault="000D382E" w14:paraId="4562ACF3" w14:textId="77777777">
            <w:pPr>
              <w:jc w:val="both"/>
            </w:pPr>
            <w:r w:rsidRPr="000D382E">
              <w:lastRenderedPageBreak/>
              <w:t>24.</w:t>
            </w:r>
            <w:r w:rsidRPr="000D382E">
              <w:rPr>
                <w:vertAlign w:val="superscript"/>
              </w:rPr>
              <w:t>3</w:t>
            </w:r>
            <w:r w:rsidRPr="000D382E">
              <w:t> 9. atkritumiem (WASTE);</w:t>
            </w:r>
          </w:p>
          <w:p w:rsidRPr="000D382E" w:rsidR="000D382E" w:rsidP="000D382E" w:rsidRDefault="000D382E" w14:paraId="7591B805" w14:textId="77777777">
            <w:pPr>
              <w:jc w:val="both"/>
            </w:pPr>
            <w:r w:rsidRPr="000D382E">
              <w:t>24.</w:t>
            </w:r>
            <w:r w:rsidRPr="000D382E">
              <w:rPr>
                <w:vertAlign w:val="superscript"/>
              </w:rPr>
              <w:t>3</w:t>
            </w:r>
            <w:r w:rsidRPr="000D382E">
              <w:t> 10. citiem brīdinājumiem (OTHERS).</w:t>
            </w:r>
          </w:p>
          <w:p w:rsidRPr="000D382E" w:rsidR="000D382E" w:rsidP="000D382E" w:rsidRDefault="000D382E" w14:paraId="724D9E89" w14:textId="77777777">
            <w:pPr>
              <w:jc w:val="both"/>
            </w:pPr>
          </w:p>
          <w:p w:rsidRPr="0045095C" w:rsidR="00D41F3C" w:rsidP="000D382E" w:rsidRDefault="000D382E" w14:paraId="17BE495E" w14:textId="26C7DE63">
            <w:pPr>
              <w:jc w:val="both"/>
            </w:pPr>
            <w:r w:rsidRPr="000D382E">
              <w:t>24.</w:t>
            </w:r>
            <w:r w:rsidRPr="000D382E">
              <w:rPr>
                <w:vertAlign w:val="superscript"/>
              </w:rPr>
              <w:t xml:space="preserve">4 </w:t>
            </w:r>
            <w:r w:rsidRPr="000D382E">
              <w:t>Jūrlietu pārvaldes institūcijas paziņo Krasta apsardzei savas kompetences ietvaros konstatēto šo noteikumu 24.</w:t>
            </w:r>
            <w:r w:rsidRPr="000D382E">
              <w:rPr>
                <w:vertAlign w:val="superscript"/>
              </w:rPr>
              <w:t>3</w:t>
            </w:r>
            <w:r w:rsidRPr="000D382E">
              <w:t xml:space="preserve"> punktā minēto informāciju, kas paziņojama citām Eiropas Savienības dalībvalstu kompetentajām iestādēm. Paziņojot Krasta apsardzei šo noteikumu 24.</w:t>
            </w:r>
            <w:r w:rsidRPr="000D382E">
              <w:rPr>
                <w:vertAlign w:val="superscript"/>
              </w:rPr>
              <w:t>3</w:t>
            </w:r>
            <w:r w:rsidRPr="000D382E">
              <w:t xml:space="preserve"> punktā minēto </w:t>
            </w:r>
            <w:proofErr w:type="spellStart"/>
            <w:r w:rsidRPr="000D382E">
              <w:t>informācju</w:t>
            </w:r>
            <w:proofErr w:type="spellEnd"/>
            <w:r w:rsidRPr="000D382E">
              <w:t>, jūrlietu pārvaldes institūcijas ievēro Eiropas Jūras drošības aģentūras (EMSA) noteiktās ziņojuma satura vadlīnijas."</w:t>
            </w:r>
          </w:p>
        </w:tc>
        <w:tc>
          <w:tcPr>
            <w:tcW w:w="3849" w:type="dxa"/>
            <w:tcBorders>
              <w:left w:val="single" w:color="000000" w:sz="6" w:space="0"/>
              <w:bottom w:val="single" w:color="000000" w:sz="4" w:space="0"/>
              <w:right w:val="single" w:color="000000" w:sz="6" w:space="0"/>
            </w:tcBorders>
          </w:tcPr>
          <w:p w:rsidRPr="0045095C" w:rsidR="00D41F3C" w:rsidP="00D37C3C" w:rsidRDefault="000D382E" w14:paraId="7A1156DD" w14:textId="22B2C7C8">
            <w:pPr>
              <w:tabs>
                <w:tab w:val="left" w:pos="993"/>
              </w:tabs>
              <w:jc w:val="both"/>
            </w:pPr>
            <w:r w:rsidRPr="000D382E">
              <w:lastRenderedPageBreak/>
              <w:t>Izsakām bažas, ka projekta 3. punktā izteiktais noteikumu 24.</w:t>
            </w:r>
            <w:r w:rsidRPr="000D382E">
              <w:rPr>
                <w:vertAlign w:val="superscript"/>
              </w:rPr>
              <w:t>3</w:t>
            </w:r>
            <w:r w:rsidRPr="000D382E">
              <w:t xml:space="preserve"> punkts daļēji dublē noteikumu 24.</w:t>
            </w:r>
            <w:r w:rsidRPr="000D382E">
              <w:rPr>
                <w:vertAlign w:val="superscript"/>
              </w:rPr>
              <w:t>1</w:t>
            </w:r>
            <w:r w:rsidRPr="000D382E">
              <w:t>1. un 24.</w:t>
            </w:r>
            <w:r w:rsidRPr="000D382E">
              <w:rPr>
                <w:vertAlign w:val="superscript"/>
              </w:rPr>
              <w:t>1</w:t>
            </w:r>
            <w:r w:rsidRPr="000D382E">
              <w:t>2. apakšpunktu. Proti, minētajās noteikumu normās jau ietverts pienākums apmainīties ar informāciju par incidentiem un piesārņojumu. Ņemot vērā minēto, lūdzam novērst dublēšanos vai sniegt attiecīgu skaidrojumu.</w:t>
            </w:r>
          </w:p>
        </w:tc>
        <w:tc>
          <w:tcPr>
            <w:tcW w:w="3260" w:type="dxa"/>
            <w:tcBorders>
              <w:left w:val="single" w:color="000000" w:sz="6" w:space="0"/>
              <w:bottom w:val="single" w:color="000000" w:sz="4" w:space="0"/>
              <w:right w:val="single" w:color="000000" w:sz="6" w:space="0"/>
            </w:tcBorders>
          </w:tcPr>
          <w:p w:rsidRPr="0045095C" w:rsidR="00D41F3C" w:rsidP="00D37C3C" w:rsidRDefault="00A94AFD" w14:paraId="063E5393" w14:textId="77777777">
            <w:pPr>
              <w:pBdr>
                <w:top w:val="nil"/>
                <w:left w:val="nil"/>
                <w:bottom w:val="nil"/>
                <w:right w:val="nil"/>
                <w:between w:val="nil"/>
              </w:pBdr>
              <w:jc w:val="both"/>
              <w:rPr>
                <w:b/>
                <w:color w:val="000000"/>
              </w:rPr>
            </w:pPr>
            <w:r w:rsidRPr="0045095C">
              <w:rPr>
                <w:b/>
                <w:color w:val="000000"/>
              </w:rPr>
              <w:t>Ņemts vērā</w:t>
            </w:r>
          </w:p>
        </w:tc>
        <w:tc>
          <w:tcPr>
            <w:tcW w:w="3241" w:type="dxa"/>
            <w:tcBorders>
              <w:top w:val="single" w:color="000000" w:sz="4" w:space="0"/>
              <w:left w:val="single" w:color="000000" w:sz="4" w:space="0"/>
              <w:bottom w:val="single" w:color="000000" w:sz="4" w:space="0"/>
            </w:tcBorders>
          </w:tcPr>
          <w:p w:rsidRPr="004C525E" w:rsidR="004C525E" w:rsidP="004C525E" w:rsidRDefault="004C525E" w14:paraId="5DF782C8" w14:textId="77777777">
            <w:pPr>
              <w:jc w:val="both"/>
            </w:pPr>
            <w:r w:rsidRPr="004C525E">
              <w:t>3. Izteikt 24.</w:t>
            </w:r>
            <w:r w:rsidRPr="004C525E">
              <w:rPr>
                <w:vertAlign w:val="superscript"/>
              </w:rPr>
              <w:t>1</w:t>
            </w:r>
            <w:r w:rsidRPr="004C525E">
              <w:t xml:space="preserve"> punktu šādā redakcijā:</w:t>
            </w:r>
          </w:p>
          <w:p w:rsidRPr="004C525E" w:rsidR="004C525E" w:rsidP="004C525E" w:rsidRDefault="004C525E" w14:paraId="7B6114E2" w14:textId="77777777">
            <w:pPr>
              <w:jc w:val="both"/>
            </w:pPr>
          </w:p>
          <w:p w:rsidRPr="004C525E" w:rsidR="004C525E" w:rsidP="004C525E" w:rsidRDefault="004C525E" w14:paraId="566B2753" w14:textId="77777777">
            <w:pPr>
              <w:jc w:val="both"/>
            </w:pPr>
            <w:r w:rsidRPr="004C525E">
              <w:t>"24.</w:t>
            </w:r>
            <w:r w:rsidRPr="004C525E">
              <w:rPr>
                <w:vertAlign w:val="superscript"/>
              </w:rPr>
              <w:t>1</w:t>
            </w:r>
            <w:r w:rsidRPr="004C525E">
              <w:t xml:space="preserve"> Krasta apsardze, izmantojot Eiropas Savienības sistēmu apmaiņai ar kuģošanas informāciju (Eiropas Savienības </w:t>
            </w:r>
            <w:proofErr w:type="spellStart"/>
            <w:r w:rsidRPr="004C525E">
              <w:rPr>
                <w:i/>
              </w:rPr>
              <w:t>SafeSeaNet</w:t>
            </w:r>
            <w:proofErr w:type="spellEnd"/>
            <w:r w:rsidRPr="004C525E">
              <w:t xml:space="preserve"> sistēma), pēc iespējas ātrāk apmainās ar citas Eiropas Savienības dalībvalsts kompetento iestādi ar informāciju, kas saistīta ar </w:t>
            </w:r>
            <w:r w:rsidRPr="004C525E">
              <w:rPr>
                <w:bCs/>
              </w:rPr>
              <w:t xml:space="preserve">jūras negadījumu vai incidentu. Attiecīgās informācijas </w:t>
            </w:r>
            <w:r w:rsidRPr="004C525E">
              <w:rPr>
                <w:bCs/>
              </w:rPr>
              <w:lastRenderedPageBreak/>
              <w:t xml:space="preserve">apmaiņa notiek ar tās Eiropas Savienības dalībvalsts kompetento iestādi, kura atrodas kuģa plānotajā maršrutā vai kura ir kuģa karoga valsts, vai kuru ir </w:t>
            </w:r>
            <w:proofErr w:type="spellStart"/>
            <w:r w:rsidRPr="004C525E">
              <w:rPr>
                <w:bCs/>
              </w:rPr>
              <w:t>skāris</w:t>
            </w:r>
            <w:proofErr w:type="spellEnd"/>
            <w:r w:rsidRPr="004C525E">
              <w:rPr>
                <w:bCs/>
              </w:rPr>
              <w:t xml:space="preserve"> vai var skart notikušais jūras negadījums vai incidents. </w:t>
            </w:r>
            <w:r w:rsidRPr="004C525E">
              <w:t xml:space="preserve">Informācija, kas saistīta ar </w:t>
            </w:r>
            <w:r w:rsidRPr="004C525E">
              <w:rPr>
                <w:bCs/>
              </w:rPr>
              <w:t xml:space="preserve">jūras negadījumu vai incidentu, </w:t>
            </w:r>
            <w:r w:rsidRPr="004C525E">
              <w:t>ir ziņojumi par:</w:t>
            </w:r>
          </w:p>
          <w:p w:rsidRPr="004C525E" w:rsidR="004C525E" w:rsidP="004C525E" w:rsidRDefault="004C525E" w14:paraId="67D0737E" w14:textId="77777777">
            <w:pPr>
              <w:jc w:val="both"/>
            </w:pPr>
            <w:r w:rsidRPr="004C525E">
              <w:t>24.</w:t>
            </w:r>
            <w:r w:rsidRPr="004C525E">
              <w:rPr>
                <w:vertAlign w:val="superscript"/>
              </w:rPr>
              <w:t>1</w:t>
            </w:r>
            <w:r w:rsidRPr="004C525E">
              <w:t xml:space="preserve"> 1. kuģi, </w:t>
            </w:r>
            <w:r w:rsidRPr="004C525E">
              <w:rPr>
                <w:rFonts w:hint="eastAsia"/>
              </w:rPr>
              <w:t>kas reisa laikā</w:t>
            </w:r>
            <w:r w:rsidRPr="004C525E">
              <w:t xml:space="preserve"> bija iesaistīts jebkurā jūras negadījumā vai incidentā, kas samazina kuģa drošību vai apdraud kuģošanas drošību (SITREP);</w:t>
            </w:r>
          </w:p>
          <w:p w:rsidRPr="004C525E" w:rsidR="004C525E" w:rsidP="004C525E" w:rsidRDefault="004C525E" w14:paraId="42EB8888" w14:textId="77777777">
            <w:pPr>
              <w:jc w:val="both"/>
            </w:pPr>
            <w:r w:rsidRPr="004C525E">
              <w:t>24.</w:t>
            </w:r>
            <w:r w:rsidRPr="004C525E">
              <w:rPr>
                <w:vertAlign w:val="superscript"/>
              </w:rPr>
              <w:t>1</w:t>
            </w:r>
            <w:r w:rsidRPr="004C525E">
              <w:t> 2. jebkuru situāciju, kas var izraisīt Eiropas Savienības dalībvalsts ūdeņu vai piekrastes piesārņošanu (piemēram, bīstamo vai piesārņojošo vielu nonākšanu jūrā) (POLREP);</w:t>
            </w:r>
          </w:p>
          <w:p w:rsidRPr="004C525E" w:rsidR="004C525E" w:rsidP="004C525E" w:rsidRDefault="004C525E" w14:paraId="60E1A87D" w14:textId="77777777">
            <w:pPr>
              <w:jc w:val="both"/>
            </w:pPr>
            <w:r w:rsidRPr="004C525E">
              <w:t>24.</w:t>
            </w:r>
            <w:r w:rsidRPr="004C525E">
              <w:rPr>
                <w:vertAlign w:val="superscript"/>
              </w:rPr>
              <w:t>1</w:t>
            </w:r>
            <w:r w:rsidRPr="004C525E">
              <w:t> 3. jebkuru piesārņojošo vielu plankumu, kā arī konteineriem vai iepakojumiem, kas redzēti dreifējam jūrā (POLREP, LOST AND FOUND OBJECTS);</w:t>
            </w:r>
          </w:p>
          <w:p w:rsidRPr="004C525E" w:rsidR="004C525E" w:rsidP="004C525E" w:rsidRDefault="004C525E" w14:paraId="4C09B081" w14:textId="77777777">
            <w:pPr>
              <w:jc w:val="both"/>
            </w:pPr>
            <w:r w:rsidRPr="004C525E">
              <w:t>24.</w:t>
            </w:r>
            <w:r w:rsidRPr="004C525E">
              <w:rPr>
                <w:vertAlign w:val="superscript"/>
              </w:rPr>
              <w:t>1</w:t>
            </w:r>
            <w:r w:rsidRPr="004C525E">
              <w:t xml:space="preserve"> 4. kuģi, kas nav </w:t>
            </w:r>
            <w:r w:rsidRPr="004C525E">
              <w:rPr>
                <w:rFonts w:hint="eastAsia"/>
              </w:rPr>
              <w:t>izpildījis ziņošanas prasības</w:t>
            </w:r>
            <w:r w:rsidRPr="004C525E">
              <w:t xml:space="preserve"> saskaņā ar normatīvajiem aktiem Eiropas Savienības </w:t>
            </w:r>
            <w:r w:rsidRPr="004C525E">
              <w:rPr>
                <w:rFonts w:hint="eastAsia"/>
              </w:rPr>
              <w:t xml:space="preserve">kuģu satiksmes </w:t>
            </w:r>
            <w:r w:rsidRPr="004C525E">
              <w:rPr>
                <w:rFonts w:hint="eastAsia"/>
              </w:rPr>
              <w:lastRenderedPageBreak/>
              <w:t xml:space="preserve">uzraudzības un informācijas sistēmu </w:t>
            </w:r>
            <w:r w:rsidRPr="004C525E">
              <w:t>jomā, tostarp šo noteikumu 17. punktā minētās ziņošanas prasības (FAILED NOTIFICATION);</w:t>
            </w:r>
          </w:p>
          <w:p w:rsidRPr="004C525E" w:rsidR="004C525E" w:rsidP="004C525E" w:rsidRDefault="004C525E" w14:paraId="2AC530B0" w14:textId="77777777">
            <w:pPr>
              <w:jc w:val="both"/>
            </w:pPr>
            <w:r w:rsidRPr="004C525E">
              <w:t>24.</w:t>
            </w:r>
            <w:r w:rsidRPr="004C525E">
              <w:rPr>
                <w:vertAlign w:val="superscript"/>
              </w:rPr>
              <w:t>1</w:t>
            </w:r>
            <w:r w:rsidRPr="004C525E">
              <w:t> 5. kuģi, kas nav ievērojis normatīvajos aktos par jūrlietu pārvaldi un jūras drošību noteikto kārtību kuģu satiksmes vadības sistēmu darbības zonā (VTS RULES INFRINGEMENT);</w:t>
            </w:r>
          </w:p>
          <w:p w:rsidRPr="004C525E" w:rsidR="004C525E" w:rsidP="004C525E" w:rsidRDefault="004C525E" w14:paraId="69E99206" w14:textId="77777777">
            <w:pPr>
              <w:jc w:val="both"/>
            </w:pPr>
            <w:r w:rsidRPr="004C525E">
              <w:t>24.</w:t>
            </w:r>
            <w:r w:rsidRPr="004C525E">
              <w:rPr>
                <w:vertAlign w:val="superscript"/>
              </w:rPr>
              <w:t>1</w:t>
            </w:r>
            <w:r w:rsidRPr="004C525E">
              <w:t> 6. loču vai ostas pārvaldes amatpersonas normatīvajos aktos par ostas valsts kontroli noteiktajā kārtībā ziņoto, ka kuģim ir acīmredzamas nepilnības, kas kuģošanu varētu padarīt nedrošu vai varētu apdraudēt jūras vidi (PILOT OR PORT);</w:t>
            </w:r>
          </w:p>
          <w:p w:rsidRPr="004C525E" w:rsidR="004C525E" w:rsidP="004C525E" w:rsidRDefault="004C525E" w14:paraId="4093D1F6" w14:textId="77777777">
            <w:pPr>
              <w:jc w:val="both"/>
            </w:pPr>
            <w:r w:rsidRPr="004C525E">
              <w:t>24.</w:t>
            </w:r>
            <w:r w:rsidRPr="004C525E">
              <w:rPr>
                <w:vertAlign w:val="superscript"/>
              </w:rPr>
              <w:t>1</w:t>
            </w:r>
            <w:r w:rsidRPr="004C525E">
              <w:t xml:space="preserve"> 7. </w:t>
            </w:r>
            <w:r w:rsidRPr="004C525E">
              <w:rPr>
                <w:rFonts w:hint="eastAsia"/>
              </w:rPr>
              <w:t xml:space="preserve">kuģi, attiecībā uz kuru ir pierādījumi vai pieņēmumi par tīšām naftas noplūdēm vai citiem </w:t>
            </w:r>
            <w:r w:rsidRPr="004C525E">
              <w:rPr>
                <w:rFonts w:hint="eastAsia"/>
                <w:i/>
              </w:rPr>
              <w:t xml:space="preserve">MARPOL </w:t>
            </w:r>
            <w:r w:rsidRPr="004C525E">
              <w:rPr>
                <w:rFonts w:hint="eastAsia"/>
              </w:rPr>
              <w:t xml:space="preserve">konvencijas pārkāpumiem </w:t>
            </w:r>
            <w:r w:rsidRPr="004C525E">
              <w:t xml:space="preserve">Latvijas </w:t>
            </w:r>
            <w:r w:rsidRPr="004C525E">
              <w:rPr>
                <w:rFonts w:hint="eastAsia"/>
              </w:rPr>
              <w:t>ūdeņos</w:t>
            </w:r>
            <w:r w:rsidRPr="004C525E">
              <w:t xml:space="preserve"> (POLREP);</w:t>
            </w:r>
          </w:p>
          <w:p w:rsidRPr="004C525E" w:rsidR="004C525E" w:rsidP="004C525E" w:rsidRDefault="004C525E" w14:paraId="01EAA5C9" w14:textId="77777777">
            <w:pPr>
              <w:jc w:val="both"/>
            </w:pPr>
            <w:r w:rsidRPr="004C525E">
              <w:t>24.</w:t>
            </w:r>
            <w:r w:rsidRPr="004C525E">
              <w:rPr>
                <w:vertAlign w:val="superscript"/>
              </w:rPr>
              <w:t>1</w:t>
            </w:r>
            <w:r w:rsidRPr="004C525E">
              <w:t xml:space="preserve"> 8. </w:t>
            </w:r>
            <w:r w:rsidRPr="004C525E">
              <w:rPr>
                <w:rFonts w:hint="eastAsia"/>
              </w:rPr>
              <w:t>kuģi, kur</w:t>
            </w:r>
            <w:r w:rsidRPr="004C525E">
              <w:t>am</w:t>
            </w:r>
            <w:r w:rsidRPr="004C525E">
              <w:rPr>
                <w:rFonts w:hint="eastAsia"/>
              </w:rPr>
              <w:t xml:space="preserve"> </w:t>
            </w:r>
            <w:r w:rsidRPr="004C525E">
              <w:t>Eiropas Savienības</w:t>
            </w:r>
            <w:r w:rsidRPr="004C525E">
              <w:rPr>
                <w:rFonts w:hint="eastAsia"/>
              </w:rPr>
              <w:t xml:space="preserve"> dalībvalsts ost</w:t>
            </w:r>
            <w:r w:rsidRPr="004C525E">
              <w:t>ā</w:t>
            </w:r>
            <w:r w:rsidRPr="004C525E">
              <w:rPr>
                <w:rFonts w:hint="eastAsia"/>
              </w:rPr>
              <w:t xml:space="preserve"> </w:t>
            </w:r>
            <w:r w:rsidRPr="004C525E">
              <w:t>ir noteikts</w:t>
            </w:r>
            <w:r w:rsidRPr="004C525E">
              <w:rPr>
                <w:rFonts w:hint="eastAsia"/>
              </w:rPr>
              <w:t xml:space="preserve"> </w:t>
            </w:r>
            <w:r w:rsidRPr="004C525E">
              <w:t>ienākšanas aizliegums</w:t>
            </w:r>
            <w:r w:rsidRPr="004C525E">
              <w:rPr>
                <w:rFonts w:hint="eastAsia"/>
              </w:rPr>
              <w:t xml:space="preserve"> vai </w:t>
            </w:r>
            <w:r w:rsidRPr="004C525E">
              <w:t xml:space="preserve">kurš pēc ostas valsts kontroles inspekcijas nosūtīts </w:t>
            </w:r>
            <w:r w:rsidRPr="004C525E">
              <w:lastRenderedPageBreak/>
              <w:t>uz kuģu remonta rūpnīcu (BANNED SHIP);</w:t>
            </w:r>
          </w:p>
          <w:p w:rsidRPr="004C525E" w:rsidR="004C525E" w:rsidP="004C525E" w:rsidRDefault="004C525E" w14:paraId="21E6B436" w14:textId="77777777">
            <w:pPr>
              <w:jc w:val="both"/>
            </w:pPr>
            <w:r w:rsidRPr="004C525E">
              <w:t>24.</w:t>
            </w:r>
            <w:r w:rsidRPr="004C525E">
              <w:rPr>
                <w:vertAlign w:val="superscript"/>
              </w:rPr>
              <w:t>1</w:t>
            </w:r>
            <w:r w:rsidRPr="004C525E">
              <w:t> 9. kuģi, kuram nav šo noteikumu 4. punktā minēto dokumentu (INSURANCE FAILURE);</w:t>
            </w:r>
          </w:p>
          <w:p w:rsidRPr="004C525E" w:rsidR="004C525E" w:rsidP="004C525E" w:rsidRDefault="004C525E" w14:paraId="2A9C4B32" w14:textId="77777777">
            <w:pPr>
              <w:jc w:val="both"/>
            </w:pPr>
            <w:r w:rsidRPr="004C525E">
              <w:t>24.</w:t>
            </w:r>
            <w:r w:rsidRPr="004C525E">
              <w:rPr>
                <w:vertAlign w:val="superscript"/>
              </w:rPr>
              <w:t>1</w:t>
            </w:r>
            <w:r w:rsidRPr="004C525E">
              <w:t> 10. kuģi, kas nav nodevis atkritumus vai ziņojis par atkritumu nodošanu (WASTE);</w:t>
            </w:r>
          </w:p>
          <w:p w:rsidRPr="004C525E" w:rsidR="004C525E" w:rsidP="004C525E" w:rsidRDefault="004C525E" w14:paraId="48FD83E5" w14:textId="77777777">
            <w:pPr>
              <w:jc w:val="both"/>
            </w:pPr>
            <w:r w:rsidRPr="004C525E">
              <w:t>24.</w:t>
            </w:r>
            <w:r w:rsidRPr="004C525E">
              <w:rPr>
                <w:vertAlign w:val="superscript"/>
              </w:rPr>
              <w:t>1</w:t>
            </w:r>
            <w:r w:rsidRPr="004C525E">
              <w:t> 11. citu situāciju, kas saistīta ar kuģa drošību, kuģošanas drošību un jūras vides apdraudējumu (OTHERS)."</w:t>
            </w:r>
          </w:p>
          <w:p w:rsidRPr="004C525E" w:rsidR="004C525E" w:rsidP="004C525E" w:rsidRDefault="004C525E" w14:paraId="40B9D403" w14:textId="77777777">
            <w:pPr>
              <w:jc w:val="both"/>
            </w:pPr>
          </w:p>
          <w:p w:rsidRPr="004C525E" w:rsidR="004C525E" w:rsidP="004C525E" w:rsidRDefault="004C525E" w14:paraId="34075F8A" w14:textId="77777777">
            <w:pPr>
              <w:jc w:val="both"/>
            </w:pPr>
            <w:r w:rsidRPr="004C525E">
              <w:t>4. Papildināt noteikumus ar 24.</w:t>
            </w:r>
            <w:r w:rsidRPr="004C525E">
              <w:rPr>
                <w:vertAlign w:val="superscript"/>
              </w:rPr>
              <w:t xml:space="preserve">3 </w:t>
            </w:r>
            <w:r w:rsidRPr="004C525E">
              <w:t>punktu šādā redakcijā:</w:t>
            </w:r>
          </w:p>
          <w:p w:rsidRPr="004C525E" w:rsidR="004C525E" w:rsidP="004C525E" w:rsidRDefault="004C525E" w14:paraId="19E912EB" w14:textId="77777777">
            <w:pPr>
              <w:jc w:val="both"/>
            </w:pPr>
          </w:p>
          <w:p w:rsidRPr="004C525E" w:rsidR="00D41F3C" w:rsidP="00260904" w:rsidRDefault="004C525E" w14:paraId="3C3469EA" w14:textId="178A73C6">
            <w:pPr>
              <w:jc w:val="both"/>
              <w:rPr>
                <w:u w:val="single"/>
              </w:rPr>
            </w:pPr>
            <w:r w:rsidRPr="004C525E">
              <w:t>"24.</w:t>
            </w:r>
            <w:r w:rsidRPr="004C525E">
              <w:rPr>
                <w:vertAlign w:val="superscript"/>
              </w:rPr>
              <w:t xml:space="preserve">3 </w:t>
            </w:r>
            <w:r w:rsidRPr="004C525E">
              <w:t>Jūrlietu pārvaldes institūcija pēc iespējas ātrāk paziņo Krasta apsardzei savas kompetences ietvaros konstatēto šo noteikumu 24.</w:t>
            </w:r>
            <w:r w:rsidRPr="004C525E">
              <w:rPr>
                <w:vertAlign w:val="superscript"/>
              </w:rPr>
              <w:t>1</w:t>
            </w:r>
            <w:r w:rsidRPr="004C525E">
              <w:t xml:space="preserve"> punktā minēto informāciju, kas paziņojama citai Eiropas Savienības dalībvalsts kompetentajai iestādei."</w:t>
            </w:r>
          </w:p>
        </w:tc>
      </w:tr>
      <w:tr w:rsidRPr="0045095C" w:rsidR="00D41F3C" w:rsidTr="00335A95" w14:paraId="1F8AAB55" w14:textId="77777777">
        <w:tc>
          <w:tcPr>
            <w:tcW w:w="708" w:type="dxa"/>
            <w:tcBorders>
              <w:left w:val="single" w:color="000000" w:sz="6" w:space="0"/>
              <w:bottom w:val="single" w:color="000000" w:sz="4" w:space="0"/>
              <w:right w:val="single" w:color="000000" w:sz="6" w:space="0"/>
            </w:tcBorders>
          </w:tcPr>
          <w:p w:rsidRPr="0045095C" w:rsidR="00D41F3C" w:rsidRDefault="00A94AFD" w14:paraId="637326BB" w14:textId="77777777">
            <w:pPr>
              <w:pBdr>
                <w:top w:val="nil"/>
                <w:left w:val="nil"/>
                <w:bottom w:val="nil"/>
                <w:right w:val="nil"/>
                <w:between w:val="nil"/>
              </w:pBdr>
              <w:jc w:val="center"/>
              <w:rPr>
                <w:color w:val="000000"/>
              </w:rPr>
            </w:pPr>
            <w:r w:rsidRPr="0045095C">
              <w:rPr>
                <w:color w:val="000000"/>
              </w:rPr>
              <w:lastRenderedPageBreak/>
              <w:t>3.</w:t>
            </w:r>
          </w:p>
        </w:tc>
        <w:tc>
          <w:tcPr>
            <w:tcW w:w="3090" w:type="dxa"/>
            <w:tcBorders>
              <w:left w:val="single" w:color="000000" w:sz="6" w:space="0"/>
              <w:bottom w:val="single" w:color="000000" w:sz="4" w:space="0"/>
              <w:right w:val="single" w:color="000000" w:sz="6" w:space="0"/>
            </w:tcBorders>
          </w:tcPr>
          <w:p w:rsidRPr="0045095C" w:rsidR="00D41F3C" w:rsidP="00335A95" w:rsidRDefault="00432678" w14:paraId="2C24BCF7" w14:textId="478617C9">
            <w:pPr>
              <w:pBdr>
                <w:top w:val="nil"/>
                <w:left w:val="nil"/>
                <w:bottom w:val="nil"/>
                <w:right w:val="nil"/>
                <w:between w:val="nil"/>
              </w:pBdr>
              <w:jc w:val="both"/>
              <w:rPr>
                <w:color w:val="000000"/>
              </w:rPr>
            </w:pPr>
            <w:r>
              <w:rPr>
                <w:color w:val="000000"/>
              </w:rPr>
              <w:t>A</w:t>
            </w:r>
            <w:r w:rsidRPr="00432678">
              <w:rPr>
                <w:color w:val="000000"/>
              </w:rPr>
              <w:t>no</w:t>
            </w:r>
            <w:r>
              <w:rPr>
                <w:color w:val="000000"/>
              </w:rPr>
              <w:t>tācijas V sadaļas 1. punkts</w:t>
            </w:r>
            <w:r w:rsidRPr="00432678">
              <w:rPr>
                <w:color w:val="000000"/>
              </w:rPr>
              <w:t xml:space="preserve"> un 1. tabul</w:t>
            </w:r>
            <w:r>
              <w:rPr>
                <w:color w:val="000000"/>
              </w:rPr>
              <w:t>a</w:t>
            </w:r>
          </w:p>
        </w:tc>
        <w:tc>
          <w:tcPr>
            <w:tcW w:w="3849" w:type="dxa"/>
            <w:tcBorders>
              <w:left w:val="single" w:color="000000" w:sz="6" w:space="0"/>
              <w:bottom w:val="single" w:color="000000" w:sz="4" w:space="0"/>
              <w:right w:val="single" w:color="000000" w:sz="6" w:space="0"/>
            </w:tcBorders>
          </w:tcPr>
          <w:p w:rsidRPr="0045095C" w:rsidR="00D41F3C" w:rsidP="00335A95" w:rsidRDefault="00432678" w14:paraId="1872247A" w14:textId="57AC2EEB">
            <w:pPr>
              <w:tabs>
                <w:tab w:val="left" w:pos="993"/>
              </w:tabs>
              <w:jc w:val="both"/>
            </w:pPr>
            <w:r w:rsidRPr="00432678">
              <w:t xml:space="preserve">Atbilstoši projekta anotācijai projektā pārņemtas arī Eiropas Parlamenta un Padomes 2002. gada 27. jūnija Direktīvas 2002/59/EK, ar ko izveido Kopienas kuģu satiksmes uzraudzības un informācijas sistēmu un atceļ </w:t>
            </w:r>
            <w:r w:rsidRPr="00432678">
              <w:lastRenderedPageBreak/>
              <w:t>Padomes Direktīvu 93/75/EEK, prasības. Ievērojot minēto, lūdzam papildināt projekta anotācijas V sadaļas 1. punktu un 1. tabulu atbilstoši Ministru kabineta 2009. gada 15. decembra instrukcijas “Tiesību akta projekta sākotnējās ietekmes izvērtēšanas kārtība” 55. un 56. punktam.</w:t>
            </w:r>
          </w:p>
        </w:tc>
        <w:tc>
          <w:tcPr>
            <w:tcW w:w="3260" w:type="dxa"/>
            <w:tcBorders>
              <w:left w:val="single" w:color="000000" w:sz="6" w:space="0"/>
              <w:bottom w:val="single" w:color="000000" w:sz="4" w:space="0"/>
              <w:right w:val="single" w:color="000000" w:sz="6" w:space="0"/>
            </w:tcBorders>
          </w:tcPr>
          <w:p w:rsidRPr="00854491" w:rsidR="009C5397" w:rsidP="00335A95" w:rsidRDefault="00432678" w14:paraId="6CCBA7AB" w14:textId="2EBF5C85">
            <w:pPr>
              <w:pBdr>
                <w:top w:val="nil"/>
                <w:left w:val="nil"/>
                <w:bottom w:val="nil"/>
                <w:right w:val="nil"/>
                <w:between w:val="nil"/>
              </w:pBdr>
              <w:jc w:val="both"/>
              <w:rPr>
                <w:b/>
                <w:color w:val="000000"/>
              </w:rPr>
            </w:pPr>
            <w:r w:rsidRPr="00432678">
              <w:rPr>
                <w:b/>
                <w:color w:val="000000"/>
              </w:rPr>
              <w:lastRenderedPageBreak/>
              <w:t>Ņemts vērā</w:t>
            </w:r>
          </w:p>
        </w:tc>
        <w:tc>
          <w:tcPr>
            <w:tcW w:w="3241" w:type="dxa"/>
            <w:tcBorders>
              <w:top w:val="single" w:color="000000" w:sz="4" w:space="0"/>
              <w:left w:val="single" w:color="000000" w:sz="4" w:space="0"/>
              <w:bottom w:val="single" w:color="000000" w:sz="4" w:space="0"/>
            </w:tcBorders>
          </w:tcPr>
          <w:p w:rsidR="00D41F3C" w:rsidP="00432678" w:rsidRDefault="00432678" w14:paraId="0950CDC2" w14:textId="7320A7B7">
            <w:pPr>
              <w:jc w:val="both"/>
            </w:pPr>
            <w:r>
              <w:t>Attiecīgi papildināts a</w:t>
            </w:r>
            <w:r w:rsidRPr="00432678">
              <w:t>notācijas V sadaļas 1. punkts un 1. tabula</w:t>
            </w:r>
            <w:r>
              <w:t>, kā arī projekts ar 6. punktu šādā redakcijā:</w:t>
            </w:r>
          </w:p>
          <w:p w:rsidR="00432678" w:rsidP="00432678" w:rsidRDefault="00432678" w14:paraId="159FBCC0" w14:textId="77777777">
            <w:pPr>
              <w:jc w:val="both"/>
            </w:pPr>
          </w:p>
          <w:p w:rsidRPr="00432678" w:rsidR="00432678" w:rsidP="00432678" w:rsidRDefault="00432678" w14:paraId="4796D5AB" w14:textId="3E4C868A">
            <w:pPr>
              <w:jc w:val="both"/>
            </w:pPr>
            <w:r w:rsidRPr="00432678">
              <w:lastRenderedPageBreak/>
              <w:t>"6. Papildināt informatīvo atsauci uz Eiropas Savienības direktīvām ar 4. punktu šādā redakcijā:</w:t>
            </w:r>
          </w:p>
          <w:p w:rsidRPr="00432678" w:rsidR="00432678" w:rsidP="00432678" w:rsidRDefault="00432678" w14:paraId="008FE993" w14:textId="77777777">
            <w:pPr>
              <w:jc w:val="both"/>
            </w:pPr>
            <w:r w:rsidRPr="00432678">
              <w:tab/>
            </w:r>
          </w:p>
          <w:p w:rsidRPr="00432678" w:rsidR="00432678" w:rsidP="00432678" w:rsidRDefault="00432678" w14:paraId="796E8253" w14:textId="77548085">
            <w:pPr>
              <w:jc w:val="both"/>
              <w:rPr>
                <w:bCs/>
                <w:iCs/>
                <w:u w:val="single"/>
              </w:rPr>
            </w:pPr>
            <w:r w:rsidRPr="00432678">
              <w:t xml:space="preserve">"4) </w:t>
            </w:r>
            <w:r w:rsidRPr="00432678">
              <w:rPr>
                <w:bCs/>
                <w:iCs/>
              </w:rPr>
              <w:t>Komisijas 2014. gada 28. oktobra Direktīvas 2014/100/ES, ar kuru groza Eiropas Parlamenta un Padomes Direktīvu 2002/59/EK, ar ko izveido Kopienas kuģu satiksmes uzraudzības un informācijas sistēmu.""</w:t>
            </w:r>
          </w:p>
        </w:tc>
      </w:tr>
    </w:tbl>
    <w:p w:rsidR="00D41F3C" w:rsidRDefault="00D41F3C" w14:paraId="44C93FE4" w14:textId="77777777">
      <w:pPr>
        <w:pBdr>
          <w:top w:val="nil"/>
          <w:left w:val="nil"/>
          <w:bottom w:val="nil"/>
          <w:right w:val="nil"/>
          <w:between w:val="nil"/>
        </w:pBdr>
        <w:jc w:val="both"/>
        <w:rPr>
          <w:color w:val="000000"/>
        </w:rPr>
      </w:pPr>
    </w:p>
    <w:p w:rsidRPr="0045095C" w:rsidR="00432678" w:rsidRDefault="00432678" w14:paraId="7FD3745C" w14:textId="77777777">
      <w:pPr>
        <w:pBdr>
          <w:top w:val="nil"/>
          <w:left w:val="nil"/>
          <w:bottom w:val="nil"/>
          <w:right w:val="nil"/>
          <w:between w:val="nil"/>
        </w:pBdr>
        <w:jc w:val="both"/>
        <w:rPr>
          <w:color w:val="000000"/>
        </w:rPr>
      </w:pPr>
    </w:p>
    <w:p w:rsidRPr="0045095C" w:rsidR="00D41F3C" w:rsidRDefault="00A94AFD" w14:paraId="77A4D947" w14:textId="77777777">
      <w:pPr>
        <w:pBdr>
          <w:top w:val="nil"/>
          <w:left w:val="nil"/>
          <w:bottom w:val="nil"/>
          <w:right w:val="nil"/>
          <w:between w:val="nil"/>
        </w:pBdr>
        <w:jc w:val="both"/>
        <w:rPr>
          <w:color w:val="000000"/>
        </w:rPr>
      </w:pPr>
      <w:r w:rsidRPr="0045095C">
        <w:rPr>
          <w:color w:val="000000"/>
        </w:rPr>
        <w:t>Atbildīgā amatpersona _____________________________________________</w:t>
      </w:r>
    </w:p>
    <w:p w:rsidRPr="0045095C" w:rsidR="00D41F3C" w:rsidRDefault="00A94AFD" w14:paraId="0A3075A1" w14:textId="77777777">
      <w:pPr>
        <w:jc w:val="both"/>
      </w:pPr>
      <w:r w:rsidRPr="0045095C">
        <w:tab/>
      </w:r>
      <w:r w:rsidRPr="0045095C">
        <w:tab/>
      </w:r>
      <w:r w:rsidRPr="0045095C">
        <w:tab/>
      </w:r>
      <w:r w:rsidRPr="0045095C">
        <w:tab/>
      </w:r>
      <w:r w:rsidRPr="0045095C">
        <w:tab/>
      </w:r>
      <w:r w:rsidRPr="0045095C">
        <w:tab/>
        <w:t>(paraksts)</w:t>
      </w:r>
    </w:p>
    <w:p w:rsidRPr="0045095C" w:rsidR="00D41F3C" w:rsidRDefault="00A94AFD" w14:paraId="7E1DF2BF" w14:textId="77777777">
      <w:r w:rsidRPr="0045095C">
        <w:t xml:space="preserve">Laima Rituma </w:t>
      </w:r>
    </w:p>
    <w:p w:rsidRPr="0045095C" w:rsidR="00D41F3C" w:rsidRDefault="00A94AFD" w14:paraId="5DF68B3D" w14:textId="77777777">
      <w:r w:rsidRPr="0045095C">
        <w:t>Satiksmes ministrijas</w:t>
      </w:r>
    </w:p>
    <w:p w:rsidRPr="0045095C" w:rsidR="00D41F3C" w:rsidRDefault="00A94AFD" w14:paraId="56488324" w14:textId="77777777">
      <w:r w:rsidRPr="0045095C">
        <w:t>Jūrlietu departamenta direktore</w:t>
      </w:r>
    </w:p>
    <w:p w:rsidRPr="0045095C" w:rsidR="00D41F3C" w:rsidRDefault="00A94AFD" w14:paraId="36DBF011" w14:textId="77777777">
      <w:r w:rsidRPr="0045095C">
        <w:t xml:space="preserve">67028198, </w:t>
      </w:r>
      <w:hyperlink r:id="rId8">
        <w:r w:rsidRPr="0045095C">
          <w:rPr>
            <w:color w:val="0000FF"/>
            <w:u w:val="single"/>
          </w:rPr>
          <w:t>laima.rituma@sam.gov.lv</w:t>
        </w:r>
      </w:hyperlink>
      <w:r w:rsidRPr="0045095C">
        <w:tab/>
      </w:r>
    </w:p>
    <w:p w:rsidRPr="0045095C" w:rsidR="00D41F3C" w:rsidRDefault="00D41F3C" w14:paraId="2E959CE9" w14:textId="77777777"/>
    <w:p w:rsidRPr="0045095C" w:rsidR="00D41F3C" w:rsidRDefault="00A94AFD" w14:paraId="3CB15D3A" w14:textId="77777777">
      <w:r w:rsidRPr="0045095C">
        <w:t>Viesturs Ruško</w:t>
      </w:r>
    </w:p>
    <w:p w:rsidRPr="0045095C" w:rsidR="00D41F3C" w:rsidRDefault="00A94AFD" w14:paraId="7B5257F4" w14:textId="77777777">
      <w:r w:rsidRPr="0045095C">
        <w:t>VAS “Latvijas Jūras administrācija”</w:t>
      </w:r>
    </w:p>
    <w:p w:rsidRPr="0045095C" w:rsidR="00D41F3C" w:rsidRDefault="00A94AFD" w14:paraId="21051C56" w14:textId="77777777">
      <w:r w:rsidRPr="0045095C">
        <w:t>juriskonsults</w:t>
      </w:r>
    </w:p>
    <w:p w:rsidR="00D41F3C" w:rsidRDefault="00A94AFD" w14:paraId="577AD219" w14:textId="6AE7E262">
      <w:r w:rsidRPr="0045095C">
        <w:t xml:space="preserve">67062127, </w:t>
      </w:r>
      <w:hyperlink r:id="rId9">
        <w:r w:rsidRPr="0045095C">
          <w:rPr>
            <w:color w:val="0000FF"/>
            <w:u w:val="single"/>
          </w:rPr>
          <w:t>viesturs.rusko@lja.lv</w:t>
        </w:r>
      </w:hyperlink>
    </w:p>
    <w:sectPr w:rsidR="00D41F3C">
      <w:headerReference w:type="even" r:id="rId10"/>
      <w:headerReference w:type="default" r:id="rId11"/>
      <w:footerReference w:type="default" r:id="rId12"/>
      <w:footerReference w:type="first" r:id="rId13"/>
      <w:pgSz w:w="16838" w:h="11906"/>
      <w:pgMar w:top="1418"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2189F" w14:textId="77777777" w:rsidR="009468F0" w:rsidRDefault="009468F0">
      <w:r>
        <w:separator/>
      </w:r>
    </w:p>
  </w:endnote>
  <w:endnote w:type="continuationSeparator" w:id="0">
    <w:p w14:paraId="576DE359" w14:textId="77777777" w:rsidR="009468F0" w:rsidRDefault="0094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A30FE" w14:textId="0C4E7CD5" w:rsidR="00432678" w:rsidRPr="000D382E" w:rsidRDefault="00432678" w:rsidP="000D382E">
    <w:pPr>
      <w:pStyle w:val="Footer"/>
      <w:rPr>
        <w:color w:val="000000"/>
        <w:sz w:val="20"/>
        <w:szCs w:val="20"/>
      </w:rPr>
    </w:pPr>
    <w:r w:rsidRPr="000D382E">
      <w:rPr>
        <w:color w:val="000000"/>
        <w:sz w:val="20"/>
        <w:szCs w:val="20"/>
      </w:rPr>
      <w:t>SMIzz_</w:t>
    </w:r>
    <w:r w:rsidR="00426129">
      <w:rPr>
        <w:color w:val="000000"/>
        <w:sz w:val="20"/>
        <w:szCs w:val="20"/>
      </w:rPr>
      <w:t>1012</w:t>
    </w:r>
    <w:r w:rsidRPr="000D382E">
      <w:rPr>
        <w:color w:val="000000"/>
        <w:sz w:val="20"/>
        <w:szCs w:val="20"/>
      </w:rPr>
      <w:t>20_VSS841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8C51" w14:textId="7D78547F" w:rsidR="00432678" w:rsidRDefault="00432678">
    <w:pPr>
      <w:pBdr>
        <w:top w:val="nil"/>
        <w:left w:val="nil"/>
        <w:bottom w:val="nil"/>
        <w:right w:val="nil"/>
        <w:between w:val="nil"/>
      </w:pBdr>
      <w:rPr>
        <w:color w:val="000000"/>
        <w:sz w:val="20"/>
        <w:szCs w:val="20"/>
      </w:rPr>
    </w:pPr>
    <w:r>
      <w:rPr>
        <w:color w:val="000000"/>
        <w:sz w:val="20"/>
        <w:szCs w:val="20"/>
      </w:rPr>
      <w:t>SMIzz_</w:t>
    </w:r>
    <w:r w:rsidR="00426129">
      <w:rPr>
        <w:color w:val="000000"/>
        <w:sz w:val="20"/>
        <w:szCs w:val="20"/>
      </w:rPr>
      <w:t>1012</w:t>
    </w:r>
    <w:r>
      <w:rPr>
        <w:color w:val="000000"/>
        <w:sz w:val="20"/>
        <w:szCs w:val="20"/>
      </w:rPr>
      <w:t>20_VSS841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3B677" w14:textId="77777777" w:rsidR="009468F0" w:rsidRDefault="009468F0">
      <w:r>
        <w:separator/>
      </w:r>
    </w:p>
  </w:footnote>
  <w:footnote w:type="continuationSeparator" w:id="0">
    <w:p w14:paraId="7D0F2CBF" w14:textId="77777777" w:rsidR="009468F0" w:rsidRDefault="00946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2678" w:rsidRDefault="00432678" w14:paraId="070A7E1A" w14:textId="77777777">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rsidR="00432678" w:rsidRDefault="00432678" w14:paraId="38945D93" w14:textId="77777777">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2678" w:rsidRDefault="00432678" w14:paraId="7987DE23" w14:textId="77777777">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426129">
      <w:rPr>
        <w:noProof/>
        <w:color w:val="000000"/>
      </w:rPr>
      <w:t>2</w:t>
    </w:r>
    <w:r>
      <w:rPr>
        <w:color w:val="000000"/>
      </w:rPr>
      <w:fldChar w:fldCharType="end"/>
    </w:r>
  </w:p>
  <w:p w:rsidR="00432678" w:rsidRDefault="00432678" w14:paraId="6C61D28F" w14:textId="77777777">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83AFD"/>
    <w:multiLevelType w:val="multilevel"/>
    <w:tmpl w:val="7EB42FDA"/>
    <w:lvl w:ilvl="0">
      <w:start w:val="1"/>
      <w:numFmt w:val="upperRoman"/>
      <w:lvlText w:val="%1."/>
      <w:lvlJc w:val="left"/>
      <w:pPr>
        <w:ind w:left="1095" w:hanging="72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F3C"/>
    <w:rsid w:val="00046D23"/>
    <w:rsid w:val="00052694"/>
    <w:rsid w:val="00081AEE"/>
    <w:rsid w:val="000C5D1D"/>
    <w:rsid w:val="000D382E"/>
    <w:rsid w:val="000F0D33"/>
    <w:rsid w:val="000F6713"/>
    <w:rsid w:val="00115062"/>
    <w:rsid w:val="001306ED"/>
    <w:rsid w:val="001409B9"/>
    <w:rsid w:val="00174086"/>
    <w:rsid w:val="00183C62"/>
    <w:rsid w:val="001C62AC"/>
    <w:rsid w:val="00206406"/>
    <w:rsid w:val="00216EE4"/>
    <w:rsid w:val="00227414"/>
    <w:rsid w:val="00234331"/>
    <w:rsid w:val="00236F88"/>
    <w:rsid w:val="00260904"/>
    <w:rsid w:val="00265157"/>
    <w:rsid w:val="002C2F05"/>
    <w:rsid w:val="002E121E"/>
    <w:rsid w:val="002F0BF4"/>
    <w:rsid w:val="0031639A"/>
    <w:rsid w:val="00335A95"/>
    <w:rsid w:val="0039421F"/>
    <w:rsid w:val="003A126C"/>
    <w:rsid w:val="003B1C67"/>
    <w:rsid w:val="003B1DDB"/>
    <w:rsid w:val="003C25AD"/>
    <w:rsid w:val="003D01A4"/>
    <w:rsid w:val="003D2C7F"/>
    <w:rsid w:val="003E6BBC"/>
    <w:rsid w:val="003F4F54"/>
    <w:rsid w:val="00412A32"/>
    <w:rsid w:val="00426129"/>
    <w:rsid w:val="00430908"/>
    <w:rsid w:val="00432678"/>
    <w:rsid w:val="0045020F"/>
    <w:rsid w:val="0045095C"/>
    <w:rsid w:val="004577A3"/>
    <w:rsid w:val="004777B1"/>
    <w:rsid w:val="004A409A"/>
    <w:rsid w:val="004A59A9"/>
    <w:rsid w:val="004A5E83"/>
    <w:rsid w:val="004B367C"/>
    <w:rsid w:val="004C525E"/>
    <w:rsid w:val="00540CE3"/>
    <w:rsid w:val="00573DBA"/>
    <w:rsid w:val="0057750C"/>
    <w:rsid w:val="005B1DA4"/>
    <w:rsid w:val="005B2BE2"/>
    <w:rsid w:val="005D03D6"/>
    <w:rsid w:val="005E52A7"/>
    <w:rsid w:val="005F4ED3"/>
    <w:rsid w:val="006002C8"/>
    <w:rsid w:val="0061787D"/>
    <w:rsid w:val="0066151E"/>
    <w:rsid w:val="00697611"/>
    <w:rsid w:val="006A2772"/>
    <w:rsid w:val="006D50D1"/>
    <w:rsid w:val="006E0FA7"/>
    <w:rsid w:val="006E7906"/>
    <w:rsid w:val="007347FE"/>
    <w:rsid w:val="0074130C"/>
    <w:rsid w:val="00755E44"/>
    <w:rsid w:val="007645F6"/>
    <w:rsid w:val="00767B11"/>
    <w:rsid w:val="00767E7F"/>
    <w:rsid w:val="0077735C"/>
    <w:rsid w:val="00793101"/>
    <w:rsid w:val="007C1FF0"/>
    <w:rsid w:val="007C3311"/>
    <w:rsid w:val="007E218A"/>
    <w:rsid w:val="007F4497"/>
    <w:rsid w:val="00836475"/>
    <w:rsid w:val="00854491"/>
    <w:rsid w:val="0086736E"/>
    <w:rsid w:val="008A40F9"/>
    <w:rsid w:val="008C51F8"/>
    <w:rsid w:val="009216D0"/>
    <w:rsid w:val="00935297"/>
    <w:rsid w:val="00941941"/>
    <w:rsid w:val="009468F0"/>
    <w:rsid w:val="00955D04"/>
    <w:rsid w:val="009915A5"/>
    <w:rsid w:val="009C1D48"/>
    <w:rsid w:val="009C5397"/>
    <w:rsid w:val="00A25B49"/>
    <w:rsid w:val="00A63334"/>
    <w:rsid w:val="00A6450A"/>
    <w:rsid w:val="00A94AFD"/>
    <w:rsid w:val="00AE464E"/>
    <w:rsid w:val="00B24CA2"/>
    <w:rsid w:val="00B40D7B"/>
    <w:rsid w:val="00B436CE"/>
    <w:rsid w:val="00B5129C"/>
    <w:rsid w:val="00B56F4F"/>
    <w:rsid w:val="00B94448"/>
    <w:rsid w:val="00BB7ECC"/>
    <w:rsid w:val="00C56308"/>
    <w:rsid w:val="00C75308"/>
    <w:rsid w:val="00C94D4E"/>
    <w:rsid w:val="00CD7F17"/>
    <w:rsid w:val="00D00CCA"/>
    <w:rsid w:val="00D37C3C"/>
    <w:rsid w:val="00D41F3C"/>
    <w:rsid w:val="00D44587"/>
    <w:rsid w:val="00D65FA0"/>
    <w:rsid w:val="00D926B1"/>
    <w:rsid w:val="00DB5D7B"/>
    <w:rsid w:val="00DD0DDB"/>
    <w:rsid w:val="00DD4BD6"/>
    <w:rsid w:val="00DF5410"/>
    <w:rsid w:val="00E00E56"/>
    <w:rsid w:val="00E032CD"/>
    <w:rsid w:val="00E05CBE"/>
    <w:rsid w:val="00E07153"/>
    <w:rsid w:val="00E15A63"/>
    <w:rsid w:val="00E34B5B"/>
    <w:rsid w:val="00E3569D"/>
    <w:rsid w:val="00E7254C"/>
    <w:rsid w:val="00E736D5"/>
    <w:rsid w:val="00E81A53"/>
    <w:rsid w:val="00E8244E"/>
    <w:rsid w:val="00E93C19"/>
    <w:rsid w:val="00EE5C81"/>
    <w:rsid w:val="00F40660"/>
    <w:rsid w:val="00F535AD"/>
    <w:rsid w:val="00F67C0C"/>
    <w:rsid w:val="00F934F9"/>
    <w:rsid w:val="00FB1B6F"/>
    <w:rsid w:val="00FB25F2"/>
    <w:rsid w:val="00FE6E6E"/>
    <w:rsid w:val="00FF04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74A8"/>
  <w15:docId w15:val="{979D683E-C955-4ADB-9718-B70911C7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sid w:val="009216D0"/>
    <w:rPr>
      <w:color w:val="0000FF" w:themeColor="hyperlink"/>
      <w:u w:val="single"/>
    </w:rPr>
  </w:style>
  <w:style w:type="paragraph" w:styleId="Footer">
    <w:name w:val="footer"/>
    <w:basedOn w:val="Normal"/>
    <w:link w:val="FooterChar"/>
    <w:uiPriority w:val="99"/>
    <w:unhideWhenUsed/>
    <w:rsid w:val="00935297"/>
    <w:pPr>
      <w:tabs>
        <w:tab w:val="center" w:pos="4513"/>
        <w:tab w:val="right" w:pos="9026"/>
      </w:tabs>
    </w:pPr>
  </w:style>
  <w:style w:type="character" w:customStyle="1" w:styleId="FooterChar">
    <w:name w:val="Footer Char"/>
    <w:basedOn w:val="DefaultParagraphFont"/>
    <w:link w:val="Footer"/>
    <w:uiPriority w:val="99"/>
    <w:rsid w:val="00935297"/>
  </w:style>
  <w:style w:type="paragraph" w:styleId="Header">
    <w:name w:val="header"/>
    <w:basedOn w:val="Normal"/>
    <w:link w:val="HeaderChar"/>
    <w:uiPriority w:val="99"/>
    <w:unhideWhenUsed/>
    <w:rsid w:val="00935297"/>
    <w:pPr>
      <w:tabs>
        <w:tab w:val="center" w:pos="4513"/>
        <w:tab w:val="right" w:pos="9026"/>
      </w:tabs>
    </w:pPr>
  </w:style>
  <w:style w:type="character" w:customStyle="1" w:styleId="HeaderChar">
    <w:name w:val="Header Char"/>
    <w:basedOn w:val="DefaultParagraphFont"/>
    <w:link w:val="Header"/>
    <w:uiPriority w:val="99"/>
    <w:rsid w:val="00935297"/>
  </w:style>
  <w:style w:type="paragraph" w:styleId="BalloonText">
    <w:name w:val="Balloon Text"/>
    <w:basedOn w:val="Normal"/>
    <w:link w:val="BalloonTextChar"/>
    <w:uiPriority w:val="99"/>
    <w:semiHidden/>
    <w:unhideWhenUsed/>
    <w:rsid w:val="00F406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660"/>
    <w:rPr>
      <w:rFonts w:ascii="Segoe UI" w:hAnsi="Segoe UI" w:cs="Segoe UI"/>
      <w:sz w:val="18"/>
      <w:szCs w:val="18"/>
    </w:rPr>
  </w:style>
  <w:style w:type="character" w:styleId="CommentReference">
    <w:name w:val="annotation reference"/>
    <w:basedOn w:val="DefaultParagraphFont"/>
    <w:uiPriority w:val="99"/>
    <w:semiHidden/>
    <w:unhideWhenUsed/>
    <w:rsid w:val="00F40660"/>
    <w:rPr>
      <w:sz w:val="16"/>
      <w:szCs w:val="16"/>
    </w:rPr>
  </w:style>
  <w:style w:type="paragraph" w:styleId="CommentText">
    <w:name w:val="annotation text"/>
    <w:basedOn w:val="Normal"/>
    <w:link w:val="CommentTextChar"/>
    <w:uiPriority w:val="99"/>
    <w:unhideWhenUsed/>
    <w:rsid w:val="00F40660"/>
    <w:rPr>
      <w:sz w:val="20"/>
      <w:szCs w:val="20"/>
    </w:rPr>
  </w:style>
  <w:style w:type="character" w:customStyle="1" w:styleId="CommentTextChar">
    <w:name w:val="Comment Text Char"/>
    <w:basedOn w:val="DefaultParagraphFont"/>
    <w:link w:val="CommentText"/>
    <w:uiPriority w:val="99"/>
    <w:rsid w:val="00F40660"/>
    <w:rPr>
      <w:sz w:val="20"/>
      <w:szCs w:val="20"/>
    </w:rPr>
  </w:style>
  <w:style w:type="paragraph" w:styleId="CommentSubject">
    <w:name w:val="annotation subject"/>
    <w:basedOn w:val="CommentText"/>
    <w:next w:val="CommentText"/>
    <w:link w:val="CommentSubjectChar"/>
    <w:uiPriority w:val="99"/>
    <w:semiHidden/>
    <w:unhideWhenUsed/>
    <w:rsid w:val="00F40660"/>
    <w:rPr>
      <w:b/>
      <w:bCs/>
    </w:rPr>
  </w:style>
  <w:style w:type="character" w:customStyle="1" w:styleId="CommentSubjectChar">
    <w:name w:val="Comment Subject Char"/>
    <w:basedOn w:val="CommentTextChar"/>
    <w:link w:val="CommentSubject"/>
    <w:uiPriority w:val="99"/>
    <w:semiHidden/>
    <w:rsid w:val="00F406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977148">
      <w:bodyDiv w:val="1"/>
      <w:marLeft w:val="0"/>
      <w:marRight w:val="0"/>
      <w:marTop w:val="0"/>
      <w:marBottom w:val="0"/>
      <w:divBdr>
        <w:top w:val="none" w:sz="0" w:space="0" w:color="auto"/>
        <w:left w:val="none" w:sz="0" w:space="0" w:color="auto"/>
        <w:bottom w:val="none" w:sz="0" w:space="0" w:color="auto"/>
        <w:right w:val="none" w:sz="0" w:space="0" w:color="auto"/>
      </w:divBdr>
    </w:div>
    <w:div w:id="460072761">
      <w:bodyDiv w:val="1"/>
      <w:marLeft w:val="0"/>
      <w:marRight w:val="0"/>
      <w:marTop w:val="0"/>
      <w:marBottom w:val="0"/>
      <w:divBdr>
        <w:top w:val="none" w:sz="0" w:space="0" w:color="auto"/>
        <w:left w:val="none" w:sz="0" w:space="0" w:color="auto"/>
        <w:bottom w:val="none" w:sz="0" w:space="0" w:color="auto"/>
        <w:right w:val="none" w:sz="0" w:space="0" w:color="auto"/>
      </w:divBdr>
    </w:div>
    <w:div w:id="637682265">
      <w:bodyDiv w:val="1"/>
      <w:marLeft w:val="0"/>
      <w:marRight w:val="0"/>
      <w:marTop w:val="0"/>
      <w:marBottom w:val="0"/>
      <w:divBdr>
        <w:top w:val="none" w:sz="0" w:space="0" w:color="auto"/>
        <w:left w:val="none" w:sz="0" w:space="0" w:color="auto"/>
        <w:bottom w:val="none" w:sz="0" w:space="0" w:color="auto"/>
        <w:right w:val="none" w:sz="0" w:space="0" w:color="auto"/>
      </w:divBdr>
    </w:div>
    <w:div w:id="731194520">
      <w:bodyDiv w:val="1"/>
      <w:marLeft w:val="0"/>
      <w:marRight w:val="0"/>
      <w:marTop w:val="0"/>
      <w:marBottom w:val="0"/>
      <w:divBdr>
        <w:top w:val="none" w:sz="0" w:space="0" w:color="auto"/>
        <w:left w:val="none" w:sz="0" w:space="0" w:color="auto"/>
        <w:bottom w:val="none" w:sz="0" w:space="0" w:color="auto"/>
        <w:right w:val="none" w:sz="0" w:space="0" w:color="auto"/>
      </w:divBdr>
    </w:div>
    <w:div w:id="802190399">
      <w:bodyDiv w:val="1"/>
      <w:marLeft w:val="0"/>
      <w:marRight w:val="0"/>
      <w:marTop w:val="0"/>
      <w:marBottom w:val="0"/>
      <w:divBdr>
        <w:top w:val="none" w:sz="0" w:space="0" w:color="auto"/>
        <w:left w:val="none" w:sz="0" w:space="0" w:color="auto"/>
        <w:bottom w:val="none" w:sz="0" w:space="0" w:color="auto"/>
        <w:right w:val="none" w:sz="0" w:space="0" w:color="auto"/>
      </w:divBdr>
    </w:div>
    <w:div w:id="981154269">
      <w:bodyDiv w:val="1"/>
      <w:marLeft w:val="0"/>
      <w:marRight w:val="0"/>
      <w:marTop w:val="0"/>
      <w:marBottom w:val="0"/>
      <w:divBdr>
        <w:top w:val="none" w:sz="0" w:space="0" w:color="auto"/>
        <w:left w:val="none" w:sz="0" w:space="0" w:color="auto"/>
        <w:bottom w:val="none" w:sz="0" w:space="0" w:color="auto"/>
        <w:right w:val="none" w:sz="0" w:space="0" w:color="auto"/>
      </w:divBdr>
    </w:div>
    <w:div w:id="1005791744">
      <w:bodyDiv w:val="1"/>
      <w:marLeft w:val="0"/>
      <w:marRight w:val="0"/>
      <w:marTop w:val="0"/>
      <w:marBottom w:val="0"/>
      <w:divBdr>
        <w:top w:val="none" w:sz="0" w:space="0" w:color="auto"/>
        <w:left w:val="none" w:sz="0" w:space="0" w:color="auto"/>
        <w:bottom w:val="none" w:sz="0" w:space="0" w:color="auto"/>
        <w:right w:val="none" w:sz="0" w:space="0" w:color="auto"/>
      </w:divBdr>
    </w:div>
    <w:div w:id="1041978777">
      <w:bodyDiv w:val="1"/>
      <w:marLeft w:val="0"/>
      <w:marRight w:val="0"/>
      <w:marTop w:val="0"/>
      <w:marBottom w:val="0"/>
      <w:divBdr>
        <w:top w:val="none" w:sz="0" w:space="0" w:color="auto"/>
        <w:left w:val="none" w:sz="0" w:space="0" w:color="auto"/>
        <w:bottom w:val="none" w:sz="0" w:space="0" w:color="auto"/>
        <w:right w:val="none" w:sz="0" w:space="0" w:color="auto"/>
      </w:divBdr>
    </w:div>
    <w:div w:id="1279412443">
      <w:bodyDiv w:val="1"/>
      <w:marLeft w:val="0"/>
      <w:marRight w:val="0"/>
      <w:marTop w:val="0"/>
      <w:marBottom w:val="0"/>
      <w:divBdr>
        <w:top w:val="none" w:sz="0" w:space="0" w:color="auto"/>
        <w:left w:val="none" w:sz="0" w:space="0" w:color="auto"/>
        <w:bottom w:val="none" w:sz="0" w:space="0" w:color="auto"/>
        <w:right w:val="none" w:sz="0" w:space="0" w:color="auto"/>
      </w:divBdr>
    </w:div>
    <w:div w:id="1515925879">
      <w:bodyDiv w:val="1"/>
      <w:marLeft w:val="0"/>
      <w:marRight w:val="0"/>
      <w:marTop w:val="0"/>
      <w:marBottom w:val="0"/>
      <w:divBdr>
        <w:top w:val="none" w:sz="0" w:space="0" w:color="auto"/>
        <w:left w:val="none" w:sz="0" w:space="0" w:color="auto"/>
        <w:bottom w:val="none" w:sz="0" w:space="0" w:color="auto"/>
        <w:right w:val="none" w:sz="0" w:space="0" w:color="auto"/>
      </w:divBdr>
    </w:div>
    <w:div w:id="1516962281">
      <w:bodyDiv w:val="1"/>
      <w:marLeft w:val="0"/>
      <w:marRight w:val="0"/>
      <w:marTop w:val="0"/>
      <w:marBottom w:val="0"/>
      <w:divBdr>
        <w:top w:val="none" w:sz="0" w:space="0" w:color="auto"/>
        <w:left w:val="none" w:sz="0" w:space="0" w:color="auto"/>
        <w:bottom w:val="none" w:sz="0" w:space="0" w:color="auto"/>
        <w:right w:val="none" w:sz="0" w:space="0" w:color="auto"/>
      </w:divBdr>
    </w:div>
    <w:div w:id="1540625881">
      <w:bodyDiv w:val="1"/>
      <w:marLeft w:val="0"/>
      <w:marRight w:val="0"/>
      <w:marTop w:val="0"/>
      <w:marBottom w:val="0"/>
      <w:divBdr>
        <w:top w:val="none" w:sz="0" w:space="0" w:color="auto"/>
        <w:left w:val="none" w:sz="0" w:space="0" w:color="auto"/>
        <w:bottom w:val="none" w:sz="0" w:space="0" w:color="auto"/>
        <w:right w:val="none" w:sz="0" w:space="0" w:color="auto"/>
      </w:divBdr>
    </w:div>
    <w:div w:id="1696350038">
      <w:bodyDiv w:val="1"/>
      <w:marLeft w:val="0"/>
      <w:marRight w:val="0"/>
      <w:marTop w:val="0"/>
      <w:marBottom w:val="0"/>
      <w:divBdr>
        <w:top w:val="none" w:sz="0" w:space="0" w:color="auto"/>
        <w:left w:val="none" w:sz="0" w:space="0" w:color="auto"/>
        <w:bottom w:val="none" w:sz="0" w:space="0" w:color="auto"/>
        <w:right w:val="none" w:sz="0" w:space="0" w:color="auto"/>
      </w:divBdr>
    </w:div>
    <w:div w:id="1911427238">
      <w:bodyDiv w:val="1"/>
      <w:marLeft w:val="0"/>
      <w:marRight w:val="0"/>
      <w:marTop w:val="0"/>
      <w:marBottom w:val="0"/>
      <w:divBdr>
        <w:top w:val="none" w:sz="0" w:space="0" w:color="auto"/>
        <w:left w:val="none" w:sz="0" w:space="0" w:color="auto"/>
        <w:bottom w:val="none" w:sz="0" w:space="0" w:color="auto"/>
        <w:right w:val="none" w:sz="0" w:space="0" w:color="auto"/>
      </w:divBdr>
    </w:div>
    <w:div w:id="2046635946">
      <w:bodyDiv w:val="1"/>
      <w:marLeft w:val="0"/>
      <w:marRight w:val="0"/>
      <w:marTop w:val="0"/>
      <w:marBottom w:val="0"/>
      <w:divBdr>
        <w:top w:val="none" w:sz="0" w:space="0" w:color="auto"/>
        <w:left w:val="none" w:sz="0" w:space="0" w:color="auto"/>
        <w:bottom w:val="none" w:sz="0" w:space="0" w:color="auto"/>
        <w:right w:val="none" w:sz="0" w:space="0" w:color="auto"/>
      </w:divBdr>
    </w:div>
    <w:div w:id="212573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aima.rituma@s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esturs.rusko@lj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54B2A-8124-4EAF-B49D-47C95A165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8192</Words>
  <Characters>4670</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Grozījumi Ministru kabineta 2010. gada 21. decembra noteikumos Nr. 1171 "Noteikumi par Latvijas ūdeņu izmantošanas kārtību un kuģošanas režīmu tajos"</vt:lpstr>
    </vt:vector>
  </TitlesOfParts>
  <Company>Satiksmes ministrija</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21. decembra noteikumos Nr. 1171 "Noteikumi par Latvijas ūdeņu izmantošanas kārtību un kuģošanas režīmu tajos"</dc:title>
  <dc:subject>Izziņa par atzinumos sniegtajiem iebildumiem</dc:subject>
  <dc:creator>Viesturs Ruško</dc:creator>
  <dc:description>67062127, viesturs.rusko@lja.lv</dc:description>
  <cp:lastModifiedBy>Laima Rituma</cp:lastModifiedBy>
  <cp:revision>3</cp:revision>
  <dcterms:created xsi:type="dcterms:W3CDTF">2020-12-10T13:23:00Z</dcterms:created>
  <dcterms:modified xsi:type="dcterms:W3CDTF">2020-12-15T20:29:00Z</dcterms:modified>
</cp:coreProperties>
</file>