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1662C" w:rsidR="001F4A27" w:rsidP="00E019E1" w:rsidRDefault="00396618" w14:paraId="74FEF378" w14:textId="47B40AEC">
      <w:pPr>
        <w:shd w:val="clear" w:color="auto" w:fill="FFFFFF"/>
        <w:spacing w:before="130"/>
        <w:jc w:val="center"/>
        <w:rPr>
          <w:b/>
          <w:bCs/>
        </w:rPr>
      </w:pPr>
      <w:r w:rsidRPr="0021662C">
        <w:rPr>
          <w:b/>
          <w:bCs/>
        </w:rPr>
        <w:t xml:space="preserve">Ministru kabineta noteikumu projekta </w:t>
      </w:r>
      <w:r w:rsidRPr="0021662C" w:rsidR="008D7B75">
        <w:rPr>
          <w:b/>
          <w:bCs/>
        </w:rPr>
        <w:br/>
      </w:r>
      <w:r w:rsidRPr="0021662C" w:rsidR="001F4A27">
        <w:rPr>
          <w:b/>
          <w:bCs/>
        </w:rPr>
        <w:t>“</w:t>
      </w:r>
      <w:r w:rsidRPr="0021662C">
        <w:rPr>
          <w:b/>
          <w:bCs/>
        </w:rPr>
        <w:t>Grozījum</w:t>
      </w:r>
      <w:r w:rsidRPr="0021662C" w:rsidR="008D7B75">
        <w:rPr>
          <w:b/>
          <w:bCs/>
        </w:rPr>
        <w:t>i</w:t>
      </w:r>
      <w:r w:rsidRPr="0021662C">
        <w:rPr>
          <w:b/>
          <w:bCs/>
        </w:rPr>
        <w:t xml:space="preserve"> Ministru kabineta 2020.gada </w:t>
      </w:r>
      <w:r w:rsidRPr="0021662C" w:rsidR="00283A1F">
        <w:rPr>
          <w:b/>
          <w:bCs/>
        </w:rPr>
        <w:t>9.jūnija</w:t>
      </w:r>
      <w:r w:rsidRPr="0021662C">
        <w:rPr>
          <w:b/>
          <w:bCs/>
        </w:rPr>
        <w:t xml:space="preserve"> </w:t>
      </w:r>
      <w:r w:rsidRPr="0021662C" w:rsidR="00283A1F">
        <w:rPr>
          <w:b/>
          <w:bCs/>
        </w:rPr>
        <w:t>noteikumos</w:t>
      </w:r>
      <w:r w:rsidRPr="0021662C">
        <w:rPr>
          <w:b/>
          <w:bCs/>
        </w:rPr>
        <w:t xml:space="preserve"> Nr.</w:t>
      </w:r>
      <w:r w:rsidRPr="0021662C" w:rsidR="00283A1F">
        <w:rPr>
          <w:b/>
          <w:bCs/>
        </w:rPr>
        <w:t>360</w:t>
      </w:r>
      <w:r w:rsidRPr="0021662C">
        <w:rPr>
          <w:b/>
          <w:bCs/>
        </w:rPr>
        <w:t xml:space="preserve"> </w:t>
      </w:r>
      <w:r w:rsidRPr="0021662C" w:rsidR="00A95466">
        <w:rPr>
          <w:b/>
          <w:bCs/>
        </w:rPr>
        <w:t>“</w:t>
      </w:r>
      <w:r w:rsidRPr="0021662C" w:rsidR="00283A1F">
        <w:rPr>
          <w:b/>
          <w:bCs/>
        </w:rPr>
        <w:t>Epidemioloģiskās drošības pasākumi Covid-19 infekcijas izplatības ierobežošanai</w:t>
      </w:r>
      <w:r w:rsidRPr="0021662C" w:rsidR="00A95466">
        <w:rPr>
          <w:b/>
          <w:bCs/>
        </w:rPr>
        <w:t>”</w:t>
      </w:r>
      <w:r w:rsidRPr="0021662C" w:rsidR="001F4A27">
        <w:rPr>
          <w:b/>
          <w:bCs/>
        </w:rPr>
        <w:t>”</w:t>
      </w:r>
      <w:r w:rsidRPr="0021662C" w:rsidR="00A95466">
        <w:rPr>
          <w:b/>
          <w:bCs/>
        </w:rPr>
        <w:t xml:space="preserve"> </w:t>
      </w:r>
      <w:r w:rsidRPr="0021662C" w:rsidR="00BD5588">
        <w:rPr>
          <w:b/>
          <w:bCs/>
        </w:rPr>
        <w:t>sākotnējās ietekmes novērtējuma ziņojums (anotācija)</w:t>
      </w:r>
    </w:p>
    <w:tbl>
      <w:tblPr>
        <w:tblW w:w="5000"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28" w:type="dxa"/>
          <w:left w:w="28" w:type="dxa"/>
          <w:bottom w:w="28" w:type="dxa"/>
          <w:right w:w="28" w:type="dxa"/>
        </w:tblCellMar>
        <w:tblLook w:val="06A0" w:firstRow="1" w:lastRow="0" w:firstColumn="1" w:lastColumn="0" w:noHBand="1" w:noVBand="1"/>
      </w:tblPr>
      <w:tblGrid>
        <w:gridCol w:w="2989"/>
        <w:gridCol w:w="5301"/>
      </w:tblGrid>
      <w:tr w:rsidRPr="0021662C" w:rsidR="0021662C" w:rsidTr="001F4A27" w14:paraId="79FE6C63" w14:textId="77777777">
        <w:trPr>
          <w:cantSplit/>
          <w:tblCellSpacing w:w="20" w:type="dxa"/>
        </w:trPr>
        <w:tc>
          <w:tcPr>
            <w:tcW w:w="9581" w:type="dxa"/>
            <w:gridSpan w:val="2"/>
            <w:shd w:val="clear" w:color="auto" w:fill="FFFFFF"/>
            <w:vAlign w:val="center"/>
            <w:hideMark/>
          </w:tcPr>
          <w:p w:rsidRPr="0021662C" w:rsidR="00BD5588" w:rsidP="00396618" w:rsidRDefault="00BD5588" w14:paraId="0B19DB4A" w14:textId="77777777">
            <w:pPr>
              <w:jc w:val="center"/>
              <w:rPr>
                <w:b/>
                <w:iCs/>
                <w:lang w:eastAsia="en-US"/>
              </w:rPr>
            </w:pPr>
            <w:r w:rsidRPr="0021662C">
              <w:rPr>
                <w:b/>
                <w:iCs/>
                <w:lang w:eastAsia="en-US"/>
              </w:rPr>
              <w:t>Tiesību akta projekta anotācijas kopsavilkums</w:t>
            </w:r>
          </w:p>
        </w:tc>
      </w:tr>
      <w:tr w:rsidRPr="0021662C" w:rsidR="00056ECA" w:rsidTr="001F4A27" w14:paraId="2A806DE7" w14:textId="77777777">
        <w:trPr>
          <w:cantSplit/>
          <w:tblCellSpacing w:w="20" w:type="dxa"/>
        </w:trPr>
        <w:tc>
          <w:tcPr>
            <w:tcW w:w="3430" w:type="dxa"/>
            <w:shd w:val="clear" w:color="auto" w:fill="FFFFFF"/>
            <w:hideMark/>
          </w:tcPr>
          <w:p w:rsidRPr="0021662C" w:rsidR="00BD5588" w:rsidP="00396618" w:rsidRDefault="00BD5588" w14:paraId="30910F3F" w14:textId="77777777">
            <w:pPr>
              <w:rPr>
                <w:iCs/>
                <w:lang w:eastAsia="en-US"/>
              </w:rPr>
            </w:pPr>
            <w:r w:rsidRPr="0021662C">
              <w:rPr>
                <w:iCs/>
                <w:lang w:eastAsia="en-US"/>
              </w:rPr>
              <w:t>Mērķis, risinājums un projekta spēkā stāšanās laiks (500 zīmes bez atstarpēm)</w:t>
            </w:r>
          </w:p>
        </w:tc>
        <w:tc>
          <w:tcPr>
            <w:tcW w:w="6151" w:type="dxa"/>
            <w:shd w:val="clear" w:color="auto" w:fill="FFFFFF"/>
            <w:hideMark/>
          </w:tcPr>
          <w:p w:rsidRPr="0021662C" w:rsidR="00BC578D" w:rsidP="00F540DA" w:rsidRDefault="008D7B75" w14:paraId="4802B256" w14:textId="78556390">
            <w:pPr>
              <w:spacing w:after="10" w:line="248" w:lineRule="auto"/>
              <w:jc w:val="both"/>
              <w:rPr>
                <w:lang w:eastAsia="en-US"/>
              </w:rPr>
            </w:pPr>
            <w:r w:rsidRPr="0021662C">
              <w:rPr>
                <w:rFonts w:eastAsia="Calibri"/>
                <w:lang w:eastAsia="en-US"/>
              </w:rPr>
              <w:t>Ministru kabineta n</w:t>
            </w:r>
            <w:r w:rsidRPr="0021662C" w:rsidR="009752A2">
              <w:rPr>
                <w:rFonts w:eastAsia="Calibri"/>
                <w:lang w:eastAsia="en-US"/>
              </w:rPr>
              <w:t>oteikumu projekta</w:t>
            </w:r>
            <w:r w:rsidRPr="0021662C">
              <w:rPr>
                <w:rFonts w:eastAsia="Calibri"/>
                <w:lang w:eastAsia="en-US"/>
              </w:rPr>
              <w:t xml:space="preserve"> </w:t>
            </w:r>
            <w:r w:rsidRPr="0021662C" w:rsidR="001E1BFD">
              <w:rPr>
                <w:rFonts w:eastAsia="Calibri"/>
                <w:lang w:eastAsia="en-US"/>
              </w:rPr>
              <w:t>“</w:t>
            </w:r>
            <w:r w:rsidRPr="0021662C">
              <w:rPr>
                <w:rFonts w:eastAsia="Calibri"/>
                <w:lang w:eastAsia="en-US"/>
              </w:rPr>
              <w:t>Grozījumi Ministru kabineta 2020.gada 9.jūnija noteikumos Nr.360 “Epidemioloģiskās</w:t>
            </w:r>
            <w:r w:rsidRPr="0021662C">
              <w:t xml:space="preserve"> </w:t>
            </w:r>
            <w:r w:rsidRPr="0021662C">
              <w:rPr>
                <w:rFonts w:eastAsia="Calibri"/>
                <w:lang w:eastAsia="en-US"/>
              </w:rPr>
              <w:t>drošības pasākumi Covid-19 infekcijas izplatības ierobežošanai””</w:t>
            </w:r>
            <w:r w:rsidRPr="0021662C" w:rsidR="009636C6">
              <w:rPr>
                <w:rFonts w:eastAsia="Calibri"/>
                <w:lang w:eastAsia="en-US"/>
              </w:rPr>
              <w:t xml:space="preserve"> (turpmāk – Noteikumu projekts)</w:t>
            </w:r>
            <w:r w:rsidRPr="0021662C">
              <w:rPr>
                <w:rFonts w:eastAsia="Calibri"/>
                <w:lang w:eastAsia="en-US"/>
              </w:rPr>
              <w:t xml:space="preserve"> </w:t>
            </w:r>
            <w:r w:rsidRPr="0021662C" w:rsidR="009752A2">
              <w:rPr>
                <w:rFonts w:eastAsia="Calibri"/>
                <w:lang w:eastAsia="en-US"/>
              </w:rPr>
              <w:t xml:space="preserve"> mērķis</w:t>
            </w:r>
            <w:r w:rsidRPr="0021662C" w:rsidR="00430B9C">
              <w:rPr>
                <w:rFonts w:eastAsia="Calibri"/>
                <w:lang w:eastAsia="en-US"/>
              </w:rPr>
              <w:t xml:space="preserve"> </w:t>
            </w:r>
            <w:r w:rsidRPr="0021662C" w:rsidR="009752A2">
              <w:rPr>
                <w:rFonts w:eastAsia="Calibri"/>
                <w:lang w:eastAsia="en-US"/>
              </w:rPr>
              <w:t>ir</w:t>
            </w:r>
            <w:r w:rsidRPr="0021662C" w:rsidR="001563B8">
              <w:rPr>
                <w:rFonts w:eastAsia="Calibri"/>
                <w:lang w:eastAsia="en-US"/>
              </w:rPr>
              <w:t xml:space="preserve"> </w:t>
            </w:r>
            <w:r w:rsidR="00E27F84">
              <w:rPr>
                <w:rFonts w:eastAsia="Calibri"/>
                <w:lang w:eastAsia="en-US"/>
              </w:rPr>
              <w:t xml:space="preserve">precizēt normas </w:t>
            </w:r>
            <w:r w:rsidR="00E27F84">
              <w:t>attiecībā</w:t>
            </w:r>
            <w:r w:rsidRPr="0021662C" w:rsidR="0021662C">
              <w:t xml:space="preserve"> uz transporta un pasažieru pārvadājumu pakalpojumu sniedzēj</w:t>
            </w:r>
            <w:r w:rsidR="00817300">
              <w:t>u</w:t>
            </w:r>
            <w:r w:rsidRPr="0021662C" w:rsidR="0021662C">
              <w:t xml:space="preserve"> darbiniekiem un pasažieru, kravas vai tehnisko reisu apkalpes locekļiem</w:t>
            </w:r>
            <w:r w:rsidR="00E755CD">
              <w:t xml:space="preserve">, </w:t>
            </w:r>
            <w:r w:rsidRPr="0021662C" w:rsidR="0021662C">
              <w:t xml:space="preserve">lai nodrošinātu Latvijas Republikas transporta nozares darbībai būtisku funkciju </w:t>
            </w:r>
            <w:r w:rsidR="002E365B">
              <w:t>izpildi</w:t>
            </w:r>
            <w:r w:rsidRPr="0021662C" w:rsidR="0021662C">
              <w:t>.</w:t>
            </w:r>
            <w:r w:rsidR="00056ECA">
              <w:t xml:space="preserve"> Noteikumu projekts paredz pienākumu transporta nozares darbiniekiem</w:t>
            </w:r>
            <w:r w:rsidR="00791DF8">
              <w:t xml:space="preserve"> un darba devējiem </w:t>
            </w:r>
            <w:r w:rsidR="00056ECA">
              <w:t xml:space="preserve">uzrādīt </w:t>
            </w:r>
            <w:r w:rsidR="00791DF8">
              <w:t>kontrolējoš</w:t>
            </w:r>
            <w:r w:rsidR="008C45DC">
              <w:t>ā</w:t>
            </w:r>
            <w:r w:rsidR="00791DF8">
              <w:t xml:space="preserve">m institūcijām </w:t>
            </w:r>
            <w:r w:rsidR="00056ECA">
              <w:t>profesionālās darbības veikšanu apliecinošus dokumentus.</w:t>
            </w:r>
            <w:r w:rsidR="00791DF8">
              <w:t xml:space="preserve"> </w:t>
            </w:r>
            <w:r w:rsidR="00E019E1">
              <w:rPr>
                <w:iCs/>
              </w:rPr>
              <w:t>Izmaiņas s</w:t>
            </w:r>
            <w:r w:rsidRPr="00562A30" w:rsidR="00E019E1">
              <w:rPr>
                <w:iCs/>
              </w:rPr>
              <w:t>tāsies spēkā Oficiālo publikāciju un tiesiskās informācijas likumā noteiktajā kārtībā.</w:t>
            </w:r>
          </w:p>
        </w:tc>
      </w:tr>
    </w:tbl>
    <w:p w:rsidRPr="0021662C" w:rsidR="00BD5588" w:rsidP="00396618" w:rsidRDefault="00BD5588" w14:paraId="1C04F689" w14:textId="77777777">
      <w:pPr>
        <w:pStyle w:val="Title"/>
        <w:spacing w:before="130"/>
        <w:ind w:firstLine="539"/>
        <w:jc w:val="both"/>
        <w:rPr>
          <w:sz w:val="24"/>
          <w:szCs w:val="24"/>
        </w:rPr>
      </w:pPr>
    </w:p>
    <w:tbl>
      <w:tblPr>
        <w:tblW w:w="5038"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Look w:val="04A0" w:firstRow="1" w:lastRow="0" w:firstColumn="1" w:lastColumn="0" w:noHBand="0" w:noVBand="1"/>
      </w:tblPr>
      <w:tblGrid>
        <w:gridCol w:w="567"/>
        <w:gridCol w:w="2445"/>
        <w:gridCol w:w="5341"/>
      </w:tblGrid>
      <w:tr w:rsidRPr="0021662C" w:rsidR="0021662C" w:rsidTr="001F4A27" w14:paraId="19A72977" w14:textId="77777777">
        <w:trPr>
          <w:cantSplit/>
          <w:tblCellSpacing w:w="20" w:type="dxa"/>
        </w:trPr>
        <w:tc>
          <w:tcPr>
            <w:tcW w:w="5000" w:type="pct"/>
            <w:gridSpan w:val="3"/>
            <w:vAlign w:val="center"/>
            <w:hideMark/>
          </w:tcPr>
          <w:p w:rsidRPr="0021662C" w:rsidR="00BD5588" w:rsidP="00396618" w:rsidRDefault="00BD5588" w14:paraId="0572A16B" w14:textId="77777777">
            <w:pPr>
              <w:jc w:val="center"/>
              <w:rPr>
                <w:b/>
                <w:bCs/>
              </w:rPr>
            </w:pPr>
            <w:r w:rsidRPr="0021662C">
              <w:rPr>
                <w:b/>
                <w:bCs/>
              </w:rPr>
              <w:t>I. Tiesību akta projekta izstrādes nepieciešamība</w:t>
            </w:r>
          </w:p>
        </w:tc>
      </w:tr>
      <w:tr w:rsidRPr="0021662C" w:rsidR="0021662C" w:rsidTr="001F4A27" w14:paraId="0C5A9522" w14:textId="77777777">
        <w:trPr>
          <w:tblCellSpacing w:w="20" w:type="dxa"/>
        </w:trPr>
        <w:tc>
          <w:tcPr>
            <w:tcW w:w="309" w:type="pct"/>
            <w:hideMark/>
          </w:tcPr>
          <w:p w:rsidRPr="0021662C" w:rsidR="00BD5588" w:rsidP="00396618" w:rsidRDefault="00BD5588" w14:paraId="3CEE786C" w14:textId="77777777">
            <w:pPr>
              <w:jc w:val="center"/>
            </w:pPr>
            <w:r w:rsidRPr="0021662C">
              <w:t>1.</w:t>
            </w:r>
          </w:p>
        </w:tc>
        <w:tc>
          <w:tcPr>
            <w:tcW w:w="1468" w:type="pct"/>
            <w:hideMark/>
          </w:tcPr>
          <w:p w:rsidRPr="0021662C" w:rsidR="00BD5588" w:rsidP="00396618" w:rsidRDefault="00BD5588" w14:paraId="238E97EF" w14:textId="77777777">
            <w:r w:rsidRPr="0021662C">
              <w:t>Pamatojums</w:t>
            </w:r>
          </w:p>
        </w:tc>
        <w:tc>
          <w:tcPr>
            <w:tcW w:w="3223" w:type="pct"/>
            <w:hideMark/>
          </w:tcPr>
          <w:p w:rsidRPr="0021662C" w:rsidR="00BD5588" w:rsidP="00396618" w:rsidRDefault="0015463C" w14:paraId="3067775A" w14:textId="18DEDDE5">
            <w:r w:rsidRPr="0021662C">
              <w:t>Satiksmes</w:t>
            </w:r>
            <w:r w:rsidRPr="0021662C" w:rsidR="002F2029">
              <w:t xml:space="preserve"> ministrijas iniciatīva</w:t>
            </w:r>
            <w:r w:rsidR="00E7019D">
              <w:t>.</w:t>
            </w:r>
          </w:p>
        </w:tc>
      </w:tr>
      <w:tr w:rsidRPr="0021662C" w:rsidR="0021662C" w:rsidTr="001F4A27" w14:paraId="329BA042" w14:textId="77777777">
        <w:trPr>
          <w:tblCellSpacing w:w="20" w:type="dxa"/>
        </w:trPr>
        <w:tc>
          <w:tcPr>
            <w:tcW w:w="309" w:type="pct"/>
            <w:hideMark/>
          </w:tcPr>
          <w:p w:rsidRPr="0021662C" w:rsidR="00BD5588" w:rsidP="00396618" w:rsidRDefault="00BD5588" w14:paraId="0A18003D" w14:textId="77777777">
            <w:pPr>
              <w:jc w:val="center"/>
            </w:pPr>
            <w:bookmarkStart w:name="_Hlk39761266" w:id="0"/>
            <w:r w:rsidRPr="0021662C">
              <w:t>2.</w:t>
            </w:r>
          </w:p>
        </w:tc>
        <w:tc>
          <w:tcPr>
            <w:tcW w:w="1468" w:type="pct"/>
            <w:hideMark/>
          </w:tcPr>
          <w:p w:rsidRPr="0021662C" w:rsidR="00BD5588" w:rsidP="00396618" w:rsidRDefault="00BD5588" w14:paraId="55CDD131" w14:textId="77777777">
            <w:r w:rsidRPr="0021662C">
              <w:t>Pašreizējā situācija un problēmas, kuru risināšanai tiesību akta projekts izstrādāts, tiesiskā regulējuma mērķis un būtība</w:t>
            </w:r>
          </w:p>
        </w:tc>
        <w:tc>
          <w:tcPr>
            <w:tcW w:w="3223" w:type="pct"/>
          </w:tcPr>
          <w:p w:rsidR="0075276E" w:rsidP="00D661CD" w:rsidRDefault="009636C6" w14:paraId="16975944" w14:textId="4DF7AFB8">
            <w:pPr>
              <w:spacing w:after="10" w:line="248" w:lineRule="auto"/>
              <w:jc w:val="both"/>
            </w:pPr>
            <w:r w:rsidRPr="0021662C">
              <w:t>Noteikumu projekt</w:t>
            </w:r>
            <w:r w:rsidR="008C45DC">
              <w:t>s p</w:t>
            </w:r>
            <w:r w:rsidR="00805B25">
              <w:t>apildina</w:t>
            </w:r>
            <w:r w:rsidR="008C45DC">
              <w:t xml:space="preserve"> </w:t>
            </w:r>
            <w:r w:rsidRPr="0021662C" w:rsidR="00817300">
              <w:rPr>
                <w:rFonts w:eastAsia="Calibri"/>
                <w:lang w:eastAsia="en-US"/>
              </w:rPr>
              <w:t>Ministru kabineta 2020.gada 9.jūnija noteikum</w:t>
            </w:r>
            <w:r w:rsidR="00817300">
              <w:rPr>
                <w:rFonts w:eastAsia="Calibri"/>
                <w:lang w:eastAsia="en-US"/>
              </w:rPr>
              <w:t>u</w:t>
            </w:r>
            <w:r w:rsidRPr="0021662C" w:rsidR="00817300">
              <w:rPr>
                <w:rFonts w:eastAsia="Calibri"/>
                <w:lang w:eastAsia="en-US"/>
              </w:rPr>
              <w:t xml:space="preserve"> Nr.360 “Epidemioloģiskās</w:t>
            </w:r>
            <w:r w:rsidRPr="0021662C" w:rsidR="00817300">
              <w:t xml:space="preserve"> </w:t>
            </w:r>
            <w:r w:rsidRPr="0021662C" w:rsidR="00817300">
              <w:rPr>
                <w:rFonts w:eastAsia="Calibri"/>
                <w:lang w:eastAsia="en-US"/>
              </w:rPr>
              <w:t>drošības pasākumi Covid-19 infekcijas izplatības ierobežošanai”</w:t>
            </w:r>
            <w:r w:rsidR="00817300">
              <w:rPr>
                <w:rFonts w:eastAsia="Calibri"/>
                <w:lang w:eastAsia="en-US"/>
              </w:rPr>
              <w:t xml:space="preserve"> </w:t>
            </w:r>
            <w:r w:rsidRPr="0021662C" w:rsidR="0021662C">
              <w:t>35.</w:t>
            </w:r>
            <w:r w:rsidRPr="0021662C" w:rsidR="0021662C">
              <w:rPr>
                <w:vertAlign w:val="superscript"/>
              </w:rPr>
              <w:t>4</w:t>
            </w:r>
            <w:r w:rsidRPr="0021662C" w:rsidR="0021662C">
              <w:t> 3.apakšpunktā noteikt</w:t>
            </w:r>
            <w:r w:rsidR="00E019E1">
              <w:t>o</w:t>
            </w:r>
            <w:r w:rsidRPr="0021662C" w:rsidR="0021662C">
              <w:t xml:space="preserve"> izņēmum</w:t>
            </w:r>
            <w:r w:rsidR="00805B25">
              <w:t>u</w:t>
            </w:r>
            <w:r w:rsidRPr="0021662C" w:rsidR="0021662C">
              <w:t>,</w:t>
            </w:r>
            <w:r w:rsidR="00805B25">
              <w:t xml:space="preserve"> nosakot,</w:t>
            </w:r>
            <w:r w:rsidRPr="0021662C" w:rsidR="0021662C">
              <w:t xml:space="preserve"> ka noteikumu 35.</w:t>
            </w:r>
            <w:r w:rsidRPr="0021662C" w:rsidR="0021662C">
              <w:rPr>
                <w:vertAlign w:val="superscript"/>
              </w:rPr>
              <w:t>3</w:t>
            </w:r>
            <w:r w:rsidRPr="0021662C" w:rsidR="0021662C">
              <w:t>.punkta prasības neattiecas uz transporta un pasažieru pārvadājumu pakalpojumu sniedzēj</w:t>
            </w:r>
            <w:r w:rsidR="00817300">
              <w:t>u</w:t>
            </w:r>
            <w:r w:rsidRPr="0021662C" w:rsidR="0021662C">
              <w:t xml:space="preserve"> darbiniekiem un pasažieru, kravas vai tehnisko reisu apkalpes locekļiem,</w:t>
            </w:r>
            <w:r w:rsidR="00192C8F">
              <w:t xml:space="preserve"> tostarp gadījumos, kad tie</w:t>
            </w:r>
            <w:r w:rsidRPr="005005C6" w:rsidR="005005C6">
              <w:t xml:space="preserve"> dodas uz darba pienākumu veikšanas vietu vai atgriežas no tās.</w:t>
            </w:r>
            <w:r w:rsidR="005005C6">
              <w:t xml:space="preserve"> </w:t>
            </w:r>
            <w:r w:rsidR="009F12CD">
              <w:t>Noteikumu projekts</w:t>
            </w:r>
            <w:r w:rsidR="008C45DC">
              <w:t xml:space="preserve"> paredz pienākumu transporta nozares darbiniekiem un darba devējiem uzrādīt Valsts robežsardzei profesionālās darbības veikšanu apliecinošus dokumentus. </w:t>
            </w:r>
            <w:r w:rsidR="00F06C43">
              <w:t xml:space="preserve">Tādējādi </w:t>
            </w:r>
            <w:r w:rsidR="0075276E">
              <w:t>Valsts robežsardze</w:t>
            </w:r>
            <w:r w:rsidR="00F06C43">
              <w:t xml:space="preserve">s darbiniekiem </w:t>
            </w:r>
            <w:r w:rsidR="0075276E">
              <w:t xml:space="preserve">praksē </w:t>
            </w:r>
            <w:r w:rsidR="00F06C43">
              <w:t xml:space="preserve">neradīsies šaubas, ka </w:t>
            </w:r>
            <w:r w:rsidR="00D96217">
              <w:t xml:space="preserve">persona ceļo uz vai izceļo no Latvijas Republikas </w:t>
            </w:r>
            <w:r w:rsidR="00F466E2">
              <w:t>kā transporta nozarē nodarbinātais.</w:t>
            </w:r>
          </w:p>
          <w:p w:rsidR="002C6534" w:rsidP="00D661CD" w:rsidRDefault="006E2100" w14:paraId="44A50286" w14:textId="19A9897C">
            <w:pPr>
              <w:spacing w:after="10" w:line="248" w:lineRule="auto"/>
              <w:jc w:val="both"/>
            </w:pPr>
            <w:r>
              <w:t>Noteikumu projekts paredz, ka p</w:t>
            </w:r>
            <w:r w:rsidRPr="008E3599">
              <w:t>rofesionālie kravas transportlīdzekļu un autobusu vadītāji pēc Valsts robežsardzes</w:t>
            </w:r>
            <w:r w:rsidR="00ED35DE">
              <w:t xml:space="preserve"> vai Valsts policijas</w:t>
            </w:r>
            <w:r w:rsidRPr="008E3599">
              <w:t xml:space="preserve"> pieprasījuma uzrāda atbilstošas kategorijas vadītāja apliecību un digitālā </w:t>
            </w:r>
            <w:proofErr w:type="spellStart"/>
            <w:r w:rsidRPr="008E3599">
              <w:lastRenderedPageBreak/>
              <w:t>tahogrāfa</w:t>
            </w:r>
            <w:proofErr w:type="spellEnd"/>
            <w:r w:rsidRPr="008E3599">
              <w:t xml:space="preserve"> </w:t>
            </w:r>
            <w:r>
              <w:t xml:space="preserve">vadītāja </w:t>
            </w:r>
            <w:r w:rsidRPr="008E3599">
              <w:t xml:space="preserve">karti vai </w:t>
            </w:r>
            <w:r>
              <w:t xml:space="preserve">pēdējās darba dienas </w:t>
            </w:r>
            <w:proofErr w:type="spellStart"/>
            <w:r w:rsidRPr="008E3599">
              <w:t>tahogrammu</w:t>
            </w:r>
            <w:proofErr w:type="spellEnd"/>
            <w:r w:rsidRPr="008E3599">
              <w:t xml:space="preserve">, kā arī </w:t>
            </w:r>
            <w:r w:rsidRPr="00242B2D">
              <w:t>darba devēja izsniegtu  Starptautiskā transporta darbinieka sertifikātu, kura forma un saturs atbilst  Eiropas Komisijas izstrādātajam paraugam</w:t>
            </w:r>
            <w:r>
              <w:rPr>
                <w:sz w:val="28"/>
                <w:szCs w:val="28"/>
              </w:rPr>
              <w:t>.</w:t>
            </w:r>
            <w:r w:rsidR="00ED35DE">
              <w:t xml:space="preserve"> </w:t>
            </w:r>
            <w:r w:rsidR="005005C6">
              <w:t xml:space="preserve">Savukārt </w:t>
            </w:r>
            <w:r w:rsidRPr="008E3599" w:rsidR="005005C6">
              <w:t>jūrniek</w:t>
            </w:r>
            <w:r w:rsidR="005005C6">
              <w:t>u</w:t>
            </w:r>
            <w:r w:rsidRPr="008E3599" w:rsidR="005005C6">
              <w:t>, kuriem jānokļūst savā darbavietā uz kuģa vai nepieciešams atgriezties no tā</w:t>
            </w:r>
            <w:r w:rsidR="005005C6">
              <w:t>, statusu apliecina</w:t>
            </w:r>
            <w:r w:rsidRPr="008E3599" w:rsidR="005005C6">
              <w:t xml:space="preserve"> jūrnieku </w:t>
            </w:r>
            <w:proofErr w:type="spellStart"/>
            <w:r w:rsidRPr="008E3599" w:rsidR="005005C6">
              <w:t>indentifikācijas</w:t>
            </w:r>
            <w:proofErr w:type="spellEnd"/>
            <w:r w:rsidRPr="008E3599" w:rsidR="005005C6">
              <w:t xml:space="preserve"> dokument</w:t>
            </w:r>
            <w:r w:rsidR="005005C6">
              <w:t>s</w:t>
            </w:r>
            <w:r w:rsidRPr="008E3599" w:rsidR="005005C6">
              <w:t xml:space="preserve"> (jūrnieka grāmatiņ</w:t>
            </w:r>
            <w:r w:rsidR="005005C6">
              <w:t>a, SID</w:t>
            </w:r>
            <w:r w:rsidRPr="008E3599" w:rsidR="005005C6">
              <w:t>) kopā ar darba devēja dokumentu, kas apliecina nepieciešamību doties uz vai no darbavietas</w:t>
            </w:r>
            <w:r w:rsidR="005005C6">
              <w:t xml:space="preserve"> </w:t>
            </w:r>
            <w:r w:rsidRPr="0021662C" w:rsidR="005005C6">
              <w:t xml:space="preserve">(piemēram, attiecīgs ieraksts jūrnieka grāmatiņas sadaļā “Ziņas par darbu uz kuģiem”), tai skaitā naftas atradnēm jūrā, uz kurām strādā jūrnieki. </w:t>
            </w:r>
            <w:r w:rsidR="005005C6">
              <w:t xml:space="preserve"> </w:t>
            </w:r>
            <w:r w:rsidRPr="008E3599" w:rsidR="005005C6">
              <w:t xml:space="preserve"> </w:t>
            </w:r>
          </w:p>
          <w:p w:rsidR="002C6534" w:rsidP="002C6534" w:rsidRDefault="0021662C" w14:paraId="42905A02" w14:textId="77777777">
            <w:pPr>
              <w:jc w:val="both"/>
              <w:rPr>
                <w:sz w:val="22"/>
                <w:szCs w:val="22"/>
              </w:rPr>
            </w:pPr>
            <w:r w:rsidRPr="008E3599">
              <w:t xml:space="preserve"> </w:t>
            </w:r>
            <w:r w:rsidR="002C6534">
              <w:t xml:space="preserve">Saskaņā ar Eiropas Parlamenta un Padomes 2006.gada 15.marta Regulu  Nr. 561/2006 (2006. gada 15. marts), ar ko paredz dažu sociālās jomas tiesību aktu saskaņošanu saistībā ar autotransportu, groza Padomes Regulu (EEK) Nr. 3821/85 un Padomes Regulu (EK) Nr. 2135/98 un atceļ Padomes Regulu (EEK) Nr. 3820/85  pienākums izmantot </w:t>
            </w:r>
            <w:proofErr w:type="spellStart"/>
            <w:r w:rsidR="002C6534">
              <w:t>tahogrāfus</w:t>
            </w:r>
            <w:proofErr w:type="spellEnd"/>
            <w:r w:rsidR="002C6534">
              <w:t xml:space="preserve"> ir:</w:t>
            </w:r>
            <w:r w:rsidR="002C6534">
              <w:br/>
              <w:t>- transportlīdzekļiem, kurus izmanto kravu pārvadājumiem un kuru maksimālā pieļaujamā masa, ieskaitot piekabi vai puspiekabi, pārsniedz 3,5 tonnas;</w:t>
            </w:r>
          </w:p>
          <w:p w:rsidR="0021662C" w:rsidP="002C6534" w:rsidRDefault="002C6534" w14:paraId="7589E567" w14:textId="5BCB1053">
            <w:pPr>
              <w:jc w:val="both"/>
            </w:pPr>
            <w:r>
              <w:t>- pasažieru pārvadāšanai paredzētiem transportlīdzekļiem, kuru konstrukcijas īpašības un aprīkojums ir piemērots vairāk kā deviņu personu pārvadāšanai, ieskaitot transportlīdzekļa vadītāju, un kas ir paredzēti šādam mērķim.</w:t>
            </w:r>
          </w:p>
          <w:p w:rsidRPr="0021662C" w:rsidR="005C66BF" w:rsidP="006E7C7D" w:rsidRDefault="005C66BF" w14:paraId="4FC17C55" w14:textId="7D7A8A01">
            <w:pPr>
              <w:jc w:val="both"/>
            </w:pPr>
            <w:r w:rsidRPr="0021662C">
              <w:t xml:space="preserve">Attiecībā uz starptautiskajiem transporta un pasažieru pārvadājumiem </w:t>
            </w:r>
            <w:r w:rsidR="006E7C7D">
              <w:t>šo n</w:t>
            </w:r>
            <w:r w:rsidRPr="0021662C">
              <w:t>oteikumu 35.</w:t>
            </w:r>
            <w:r w:rsidRPr="0021662C">
              <w:rPr>
                <w:vertAlign w:val="superscript"/>
              </w:rPr>
              <w:t>4</w:t>
            </w:r>
            <w:r w:rsidRPr="0021662C">
              <w:t> 3.apakšpunkts paredz izņēmumus no prasības uzrādīt pasažieru pārvadātājam negatīvu Covid-19 testa rezultātu transporta un pasažieru pārvadājumu pakalpojumu sniedzēja darbiniekiem un pasažieru, kravas vai tehnisko reisu apkalpes locekļiem</w:t>
            </w:r>
            <w:r w:rsidR="009F12CD">
              <w:t>.</w:t>
            </w:r>
          </w:p>
          <w:p w:rsidRPr="0021662C" w:rsidR="005C66BF" w:rsidP="006E7C7D" w:rsidRDefault="005C66BF" w14:paraId="4CCB98AD" w14:textId="104CFDA0">
            <w:pPr>
              <w:jc w:val="both"/>
            </w:pPr>
            <w:r w:rsidRPr="0021662C">
              <w:t>Šie izņēmumi ir interpretējami tādējādi, ka izņēmumu no pienākuma saņemt Medicīnas dokumentu attiecina uz attiecīgajām personām arī laikā, ko transporta darbinieks pavada, dodoties uz kādu vietu, lai pildītu savus darba pienākumus vai atgriežoties no šādas vietas. Transportlīdzekļa vadītājs</w:t>
            </w:r>
            <w:r w:rsidR="00805B25">
              <w:t xml:space="preserve"> vai </w:t>
            </w:r>
            <w:r w:rsidRPr="0021662C">
              <w:t xml:space="preserve">apkalpes loceklis ir uzskatāms par darba devēja (transporta pakalpojuma sniedzēja) norīkotu darbinieku, tāpēc šādos gadījumos ir attiecināms izņēmums no prasības par Medicīnas dokumenta nepieciešamību. </w:t>
            </w:r>
          </w:p>
          <w:p w:rsidRPr="0021662C" w:rsidR="005C66BF" w:rsidP="00DB4CE4" w:rsidRDefault="005C66BF" w14:paraId="39AD0FD9" w14:textId="77777777">
            <w:pPr>
              <w:jc w:val="both"/>
            </w:pPr>
            <w:r w:rsidRPr="0021662C">
              <w:t>Noteikumu Nr. 360 35.</w:t>
            </w:r>
            <w:r w:rsidRPr="0021662C">
              <w:rPr>
                <w:vertAlign w:val="superscript"/>
              </w:rPr>
              <w:t>3</w:t>
            </w:r>
            <w:r w:rsidRPr="0021662C">
              <w:t xml:space="preserve"> punkta prasības neattiecas arī uz transporta un pasažieru pārvadājumu pakalpojumu sniedzēja darbiniekiem un pasažieru, kravas vai </w:t>
            </w:r>
            <w:r w:rsidRPr="0021662C">
              <w:lastRenderedPageBreak/>
              <w:t>tehnisko reisu apkalpes locekļiem, kad tie pilda darba pienākumus.</w:t>
            </w:r>
          </w:p>
          <w:p w:rsidRPr="0021662C" w:rsidR="005C66BF" w:rsidP="000270FA" w:rsidRDefault="005C66BF" w14:paraId="3F45B9FE" w14:textId="74AAA0B7">
            <w:pPr>
              <w:jc w:val="both"/>
            </w:pPr>
            <w:r w:rsidRPr="0021662C">
              <w:t>Saskaņā ar spēkā esošo Eiropas Parlamenta un Padomes 1996. gada 16. decembra Direktīvu 96/71/EK Par darba ņēmēju norīkošanu darbā pakalpojumu sniegšanas jomā vairākas Eiropas Savienības dalībvalstis piemēro atsevišķus tās nosacījumus uz autopārvadājumu veicējiem.  Vienlaikus arī no Eiropas Parlamenta un Padomes 2006.gada 15.marta Regulas (EK) 561/2006, ar ko paredz dažu sociālās jomas tiesību aktu saskaņošanu saistībā ar autotransportu, groza Padomes Regulu (EEK) Nr. 3821/85 un Padomes Regulu (EK) Nr. 2135/98 un atceļ Padomes Regulu (EEK) Nr. 3820/85, un Eiropas līguma attiecībā uz transportlīdzekļu apkalpju darbu starptautiskajos autopārvadājumos (AETR) secināms, ka “cits darbs” nozīmē tādas darbības, kas nav “transportlīdzekļa vadīšana”, tostarp jebkuru darbu tam pašam vai citam darba devējam transporta nozarē vai ārpus tās, un laiks, kas tiek pavadīts, dodoties uz noteiktu vietu, lai pārņemtu transportlīdzekli vai atgriežoties no šādas vietas, nav uzskatāms par atpūtu vai pārtraukumu. Tādējādi norādām, ka, dodoties pārņemt transportlīdzekli vai atgriežoties, ir uzskatāms, ka vadītājs neatrodas atpūtā, bet veic darbības</w:t>
            </w:r>
            <w:r w:rsidR="00805B25">
              <w:t xml:space="preserve"> vai</w:t>
            </w:r>
            <w:r w:rsidRPr="0021662C">
              <w:t xml:space="preserve"> ir </w:t>
            </w:r>
            <w:proofErr w:type="spellStart"/>
            <w:r w:rsidRPr="0021662C">
              <w:t>darbgatavībā</w:t>
            </w:r>
            <w:proofErr w:type="spellEnd"/>
            <w:r w:rsidRPr="0021662C">
              <w:t xml:space="preserve"> pārvadātāja uzdevumā.</w:t>
            </w:r>
          </w:p>
          <w:p w:rsidRPr="0021662C" w:rsidR="006E2100" w:rsidP="006E2100" w:rsidRDefault="006E2100" w14:paraId="04651278" w14:textId="2BB64B93">
            <w:pPr>
              <w:jc w:val="both"/>
            </w:pPr>
            <w:r w:rsidRPr="0021662C">
              <w:t xml:space="preserve">Papildus norādām, ka 2020.gada 31.jūlijā tika publicēti Eiropas Savienības t.s. Mobilitātes </w:t>
            </w:r>
            <w:proofErr w:type="spellStart"/>
            <w:r w:rsidRPr="0021662C">
              <w:t>pakotnes</w:t>
            </w:r>
            <w:proofErr w:type="spellEnd"/>
            <w:r w:rsidRPr="0021662C">
              <w:t xml:space="preserve"> I tiesību akti, kuros iekļauts regulējums par īpašiem noteikumiem autotransporta nozarē strādājošo transportlīdzekļu vadītāju norīkošanai darbā un prasība transportlīdzekļa vadītājam</w:t>
            </w:r>
            <w:r>
              <w:t xml:space="preserve"> atgriezties uzņēmuma reģistrācijas valstī </w:t>
            </w:r>
            <w:r w:rsidRPr="0021662C">
              <w:t xml:space="preserve">ik pēc </w:t>
            </w:r>
            <w:r>
              <w:t>četrām</w:t>
            </w:r>
            <w:r w:rsidRPr="0021662C">
              <w:t xml:space="preserve"> nedēļām</w:t>
            </w:r>
            <w:r>
              <w:t xml:space="preserve">, kas ir spēkā no 2020.gada 20 augusta, un </w:t>
            </w:r>
            <w:r w:rsidRPr="0021662C">
              <w:t xml:space="preserve"> transportlīdzek</w:t>
            </w:r>
            <w:r>
              <w:t xml:space="preserve">li </w:t>
            </w:r>
            <w:r w:rsidRPr="0021662C">
              <w:t>atgrie</w:t>
            </w:r>
            <w:r>
              <w:t xml:space="preserve">zt </w:t>
            </w:r>
            <w:r w:rsidRPr="0021662C">
              <w:t xml:space="preserve">reģistrācijas valstī ik pēc </w:t>
            </w:r>
            <w:r>
              <w:t xml:space="preserve">astoņām </w:t>
            </w:r>
            <w:r w:rsidRPr="0021662C">
              <w:t xml:space="preserve"> nedēļām,</w:t>
            </w:r>
            <w:r>
              <w:t xml:space="preserve"> kas stājas spēkā 2022.gadā.</w:t>
            </w:r>
          </w:p>
          <w:p w:rsidRPr="0021662C" w:rsidR="005C66BF" w:rsidP="000270FA" w:rsidRDefault="005C66BF" w14:paraId="3BDB7379" w14:textId="77777777">
            <w:pPr>
              <w:jc w:val="both"/>
              <w:rPr>
                <w:shd w:val="clear" w:color="auto" w:fill="FFFFFF"/>
              </w:rPr>
            </w:pPr>
            <w:r w:rsidRPr="0021662C">
              <w:t>Šāda nostāja pamatojama arī ar Eiropas Komisijas 2020.gada 28.oktobra paziņojumu</w:t>
            </w:r>
            <w:r w:rsidRPr="0021662C">
              <w:rPr>
                <w:rStyle w:val="FootnoteReference"/>
              </w:rPr>
              <w:footnoteReference w:id="2"/>
            </w:r>
            <w:r w:rsidRPr="0021662C">
              <w:t xml:space="preserve"> (turpmāk – Paziņojums) par transporta zaļo joslu modernizēšanu ar mērķi saglabāt ekonomiku, Covid-19 pandēmijai no jauna pieņemoties spēkā. Paziņojumā Eiropas Komisija uzsvērusi, ka nevajadzētu par galīgu noteikt to profesiju uzskaitījumu, uz kurām attiecināma transporta darbinieku definīcija. Līdztekus transportlīdzekļu vadītājiem, tajos nodarbinātajam personālam, pilotiem, kuģu kapteiņiem un kuģu/gaisa </w:t>
            </w:r>
            <w:r w:rsidRPr="0021662C">
              <w:lastRenderedPageBreak/>
              <w:t xml:space="preserve">kuģu apkalpēm šādu profesiju uzskaitījumā būtu jāiekļauj arī tehniskās apkopes, termināļu un satiksmes vadības personāls, infrastruktūras pārvaldītāju darbinieki, kravu un pasažieru pārvadājumu darbinieki u.c. Visiem šiem darbiniekiem vajadzētu būt iespējai pārvietoties un šķērsot robežas bez jebkādiem ierobežojumiem, tostarp robežas šķērsošanai viņi varētu izmantot jebkādus transportlīdzekļus, ja tas nepieciešams viņu pienākumu izpildei. Minētais paziņojums papildina Eiropas </w:t>
            </w:r>
            <w:r w:rsidRPr="0021662C">
              <w:rPr>
                <w:shd w:val="clear" w:color="auto" w:fill="FFFFFF"/>
              </w:rPr>
              <w:t>Komisijas 2020.gada 24.marta paziņojumā par zaļo joslu ieviešanu atbilstoši Vadlīnijām par robežu pārvaldības pasākumiem veselības aizsardzībai un preču un pamatpakalpojumu pieejamības nodrošināšanai</w:t>
            </w:r>
            <w:r w:rsidRPr="0021662C">
              <w:rPr>
                <w:rStyle w:val="FootnoteReference"/>
                <w:shd w:val="clear" w:color="auto" w:fill="FFFFFF"/>
              </w:rPr>
              <w:footnoteReference w:id="3"/>
            </w:r>
            <w:r w:rsidRPr="0021662C">
              <w:rPr>
                <w:shd w:val="clear" w:color="auto" w:fill="FFFFFF"/>
              </w:rPr>
              <w:t xml:space="preserve"> pausto nostāju. </w:t>
            </w:r>
          </w:p>
          <w:p w:rsidR="009D7AFA" w:rsidP="000270FA" w:rsidRDefault="005C66BF" w14:paraId="02E564A6" w14:textId="77777777">
            <w:pPr>
              <w:jc w:val="both"/>
              <w:rPr>
                <w:shd w:val="clear" w:color="auto" w:fill="FFFFFF"/>
              </w:rPr>
            </w:pPr>
            <w:r w:rsidRPr="0021662C">
              <w:rPr>
                <w:shd w:val="clear" w:color="auto" w:fill="FFFFFF"/>
              </w:rPr>
              <w:t xml:space="preserve">Vienlaikus arī Eiropas Komisijas transporta komisāre </w:t>
            </w:r>
            <w:proofErr w:type="spellStart"/>
            <w:r w:rsidRPr="0021662C">
              <w:rPr>
                <w:shd w:val="clear" w:color="auto" w:fill="FFFFFF"/>
              </w:rPr>
              <w:t>A.Valean</w:t>
            </w:r>
            <w:proofErr w:type="spellEnd"/>
            <w:r w:rsidRPr="0021662C">
              <w:rPr>
                <w:shd w:val="clear" w:color="auto" w:fill="FFFFFF"/>
              </w:rPr>
              <w:t xml:space="preserve"> savā 2021. gada 19.janvāra vēstulē </w:t>
            </w:r>
            <w:proofErr w:type="spellStart"/>
            <w:r w:rsidRPr="0021662C">
              <w:rPr>
                <w:shd w:val="clear" w:color="auto" w:fill="FFFFFF"/>
              </w:rPr>
              <w:t>Nr.Ares</w:t>
            </w:r>
            <w:proofErr w:type="spellEnd"/>
            <w:r w:rsidRPr="0021662C">
              <w:rPr>
                <w:shd w:val="clear" w:color="auto" w:fill="FFFFFF"/>
              </w:rPr>
              <w:t xml:space="preserve"> (2021)436863 ir uzsvērusi transporta darbiniekus kā būtisko funkciju veicējus, lai kravu plūsma netiktu traucēta. Jau 2020. gada pavasarī Latvija bija viena no valstīm, kas pauda stingru nostāju, kam Eiropas Komisija piekrita, ka tie transporta darbinieki, kas izmanto vieglo transportlīdzekli, lai dotos nomaiņā uz Eiropas valsti, arī tiktu uzskatīti par būtisko funkciju veicējiem. Eiropas Komisija apstiprināja šo pieeju.</w:t>
            </w:r>
          </w:p>
          <w:p w:rsidRPr="0021662C" w:rsidR="005005C6" w:rsidP="000270FA" w:rsidRDefault="005005C6" w14:paraId="53DF2502" w14:textId="004902AC">
            <w:pPr>
              <w:jc w:val="both"/>
            </w:pPr>
            <w:r>
              <w:rPr>
                <w:shd w:val="clear" w:color="auto" w:fill="FFFFFF"/>
              </w:rPr>
              <w:t xml:space="preserve">Papildus Noteikumu projekts paredz, ka </w:t>
            </w:r>
            <w:r w:rsidRPr="005005C6">
              <w:rPr>
                <w:shd w:val="clear" w:color="auto" w:fill="FFFFFF"/>
              </w:rPr>
              <w:t>šo noteikumu 35.</w:t>
            </w:r>
            <w:r w:rsidRPr="005005C6">
              <w:rPr>
                <w:shd w:val="clear" w:color="auto" w:fill="FFFFFF"/>
                <w:vertAlign w:val="superscript"/>
              </w:rPr>
              <w:t>3</w:t>
            </w:r>
            <w:r w:rsidRPr="005005C6">
              <w:rPr>
                <w:shd w:val="clear" w:color="auto" w:fill="FFFFFF"/>
              </w:rPr>
              <w:t xml:space="preserve"> 1., 35.</w:t>
            </w:r>
            <w:r w:rsidRPr="005005C6">
              <w:rPr>
                <w:shd w:val="clear" w:color="auto" w:fill="FFFFFF"/>
                <w:vertAlign w:val="superscript"/>
              </w:rPr>
              <w:t>3</w:t>
            </w:r>
            <w:r w:rsidRPr="005005C6">
              <w:rPr>
                <w:shd w:val="clear" w:color="auto" w:fill="FFFFFF"/>
              </w:rPr>
              <w:t xml:space="preserve"> 2., 35.</w:t>
            </w:r>
            <w:r w:rsidRPr="005005C6">
              <w:rPr>
                <w:shd w:val="clear" w:color="auto" w:fill="FFFFFF"/>
                <w:vertAlign w:val="superscript"/>
              </w:rPr>
              <w:t>3</w:t>
            </w:r>
            <w:r w:rsidRPr="005005C6">
              <w:rPr>
                <w:shd w:val="clear" w:color="auto" w:fill="FFFFFF"/>
              </w:rPr>
              <w:t xml:space="preserve"> 3. un 35.</w:t>
            </w:r>
            <w:r w:rsidRPr="005005C6">
              <w:rPr>
                <w:shd w:val="clear" w:color="auto" w:fill="FFFFFF"/>
                <w:vertAlign w:val="superscript"/>
              </w:rPr>
              <w:t>3</w:t>
            </w:r>
            <w:r w:rsidRPr="005005C6">
              <w:rPr>
                <w:shd w:val="clear" w:color="auto" w:fill="FFFFFF"/>
              </w:rPr>
              <w:t xml:space="preserve"> 4. apakšpunktos minētos dokumentus persona var uzrādīt Valsts robežsardzei vai Valsts policijai papīra veidā vai elektroniskā veidā (</w:t>
            </w:r>
            <w:proofErr w:type="spellStart"/>
            <w:r w:rsidRPr="005005C6">
              <w:rPr>
                <w:shd w:val="clear" w:color="auto" w:fill="FFFFFF"/>
              </w:rPr>
              <w:t>viedierīcē</w:t>
            </w:r>
            <w:proofErr w:type="spellEnd"/>
            <w:r>
              <w:rPr>
                <w:shd w:val="clear" w:color="auto" w:fill="FFFFFF"/>
              </w:rPr>
              <w:t>).</w:t>
            </w:r>
          </w:p>
        </w:tc>
      </w:tr>
      <w:bookmarkEnd w:id="0"/>
      <w:tr w:rsidRPr="0021662C" w:rsidR="0021662C" w:rsidTr="001F4A27" w14:paraId="5ED7F9E1" w14:textId="77777777">
        <w:trPr>
          <w:tblCellSpacing w:w="20" w:type="dxa"/>
        </w:trPr>
        <w:tc>
          <w:tcPr>
            <w:tcW w:w="309" w:type="pct"/>
            <w:hideMark/>
          </w:tcPr>
          <w:p w:rsidRPr="0021662C" w:rsidR="00BD5588" w:rsidP="00396618" w:rsidRDefault="00BD5588" w14:paraId="175FD859" w14:textId="032264B0">
            <w:pPr>
              <w:jc w:val="center"/>
            </w:pPr>
            <w:r w:rsidRPr="0021662C">
              <w:lastRenderedPageBreak/>
              <w:t>3.</w:t>
            </w:r>
          </w:p>
        </w:tc>
        <w:tc>
          <w:tcPr>
            <w:tcW w:w="1468" w:type="pct"/>
            <w:hideMark/>
          </w:tcPr>
          <w:p w:rsidRPr="0021662C" w:rsidR="00BD5588" w:rsidP="00396618" w:rsidRDefault="00BD5588" w14:paraId="52FB960A" w14:textId="77777777">
            <w:r w:rsidRPr="0021662C">
              <w:t>Projekta izstrādē iesaistītās institūcijas un publiskas personas kapitālsabiedrības</w:t>
            </w:r>
          </w:p>
        </w:tc>
        <w:tc>
          <w:tcPr>
            <w:tcW w:w="3223" w:type="pct"/>
            <w:hideMark/>
          </w:tcPr>
          <w:p w:rsidRPr="0021662C" w:rsidR="00E50AF2" w:rsidP="00396618" w:rsidRDefault="00956EED" w14:paraId="18B7D0F5" w14:textId="7AF9DCAE">
            <w:r w:rsidRPr="0021662C">
              <w:t xml:space="preserve">Satiksmes ministrija, VSIA “Autotransporta direkcija” </w:t>
            </w:r>
          </w:p>
        </w:tc>
      </w:tr>
      <w:tr w:rsidRPr="0021662C" w:rsidR="00BD5588" w:rsidTr="001F4A27" w14:paraId="54488F2A" w14:textId="77777777">
        <w:trPr>
          <w:cantSplit/>
          <w:tblCellSpacing w:w="20" w:type="dxa"/>
        </w:trPr>
        <w:tc>
          <w:tcPr>
            <w:tcW w:w="309" w:type="pct"/>
            <w:hideMark/>
          </w:tcPr>
          <w:p w:rsidRPr="0021662C" w:rsidR="00BD5588" w:rsidP="00396618" w:rsidRDefault="00BD5588" w14:paraId="1E9A1364" w14:textId="77777777">
            <w:pPr>
              <w:jc w:val="center"/>
            </w:pPr>
            <w:r w:rsidRPr="0021662C">
              <w:t>4.</w:t>
            </w:r>
          </w:p>
        </w:tc>
        <w:tc>
          <w:tcPr>
            <w:tcW w:w="1468" w:type="pct"/>
            <w:hideMark/>
          </w:tcPr>
          <w:p w:rsidRPr="0021662C" w:rsidR="00BD5588" w:rsidP="00396618" w:rsidRDefault="00BD5588" w14:paraId="17E6B753" w14:textId="77777777">
            <w:r w:rsidRPr="0021662C">
              <w:t>Cita informācija</w:t>
            </w:r>
          </w:p>
        </w:tc>
        <w:tc>
          <w:tcPr>
            <w:tcW w:w="3223" w:type="pct"/>
            <w:hideMark/>
          </w:tcPr>
          <w:p w:rsidRPr="0021662C" w:rsidR="00BD5588" w:rsidP="00396618" w:rsidRDefault="00855183" w14:paraId="0913B662" w14:textId="6CB4D6B4">
            <w:r w:rsidRPr="0021662C">
              <w:t>Nav.</w:t>
            </w:r>
          </w:p>
        </w:tc>
      </w:tr>
    </w:tbl>
    <w:p w:rsidRPr="0021662C" w:rsidR="000E3DCC" w:rsidP="00A73798" w:rsidRDefault="000E3DCC" w14:paraId="148E96B2" w14:textId="0D92C499">
      <w:pPr>
        <w:tabs>
          <w:tab w:val="left" w:pos="6379"/>
        </w:tabs>
        <w:jc w:val="both"/>
        <w:rPr>
          <w:lang w:eastAsia="en-US"/>
        </w:rPr>
      </w:pPr>
    </w:p>
    <w:p w:rsidRPr="0021662C" w:rsidR="00A73798" w:rsidP="00596C6D" w:rsidRDefault="00A73798" w14:paraId="528CCBEA" w14:textId="77777777">
      <w:pPr>
        <w:tabs>
          <w:tab w:val="left" w:pos="6379"/>
        </w:tabs>
        <w:jc w:val="both"/>
        <w:rPr>
          <w:lang w:eastAsia="en-US"/>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26"/>
        <w:gridCol w:w="1922"/>
        <w:gridCol w:w="5842"/>
      </w:tblGrid>
      <w:tr w:rsidRPr="0021662C" w:rsidR="0021662C" w:rsidTr="00905712" w14:paraId="535671FD"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21662C" w:rsidR="00A73798" w:rsidP="00A73798" w:rsidRDefault="00A73798" w14:paraId="7E77C1E5" w14:textId="77777777">
            <w:pPr>
              <w:jc w:val="center"/>
              <w:rPr>
                <w:b/>
                <w:bCs/>
                <w:iCs/>
              </w:rPr>
            </w:pPr>
            <w:r w:rsidRPr="0021662C">
              <w:rPr>
                <w:b/>
                <w:bCs/>
                <w:iCs/>
              </w:rPr>
              <w:t>II. Tiesību akta projekta ietekme uz sabiedrību, tautsaimniecības attīstību un administratīvo slogu</w:t>
            </w:r>
          </w:p>
        </w:tc>
      </w:tr>
      <w:tr w:rsidRPr="0021662C" w:rsidR="0021662C" w:rsidTr="00905712" w14:paraId="5254EE08"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21662C" w:rsidR="00A73798" w:rsidP="00A73798" w:rsidRDefault="00A73798" w14:paraId="365FE43B" w14:textId="77777777">
            <w:pPr>
              <w:rPr>
                <w:iCs/>
              </w:rPr>
            </w:pPr>
            <w:r w:rsidRPr="0021662C">
              <w:rPr>
                <w:iCs/>
              </w:rPr>
              <w:t>1.</w:t>
            </w:r>
          </w:p>
        </w:tc>
        <w:tc>
          <w:tcPr>
            <w:tcW w:w="1150" w:type="pct"/>
            <w:tcBorders>
              <w:top w:val="outset" w:color="auto" w:sz="6" w:space="0"/>
              <w:left w:val="outset" w:color="auto" w:sz="6" w:space="0"/>
              <w:bottom w:val="outset" w:color="auto" w:sz="6" w:space="0"/>
              <w:right w:val="outset" w:color="auto" w:sz="6" w:space="0"/>
            </w:tcBorders>
            <w:hideMark/>
          </w:tcPr>
          <w:p w:rsidRPr="0021662C" w:rsidR="00A73798" w:rsidP="00A73798" w:rsidRDefault="00A73798" w14:paraId="17C385CD" w14:textId="77777777">
            <w:pPr>
              <w:rPr>
                <w:iCs/>
              </w:rPr>
            </w:pPr>
            <w:r w:rsidRPr="0021662C">
              <w:rPr>
                <w:iCs/>
              </w:rPr>
              <w:t xml:space="preserve">Sabiedrības </w:t>
            </w:r>
            <w:proofErr w:type="spellStart"/>
            <w:r w:rsidRPr="0021662C">
              <w:rPr>
                <w:iCs/>
              </w:rPr>
              <w:t>mērķgrupas</w:t>
            </w:r>
            <w:proofErr w:type="spellEnd"/>
            <w:r w:rsidRPr="0021662C">
              <w:rPr>
                <w:iCs/>
              </w:rPr>
              <w:t>, kuras tiesiskais regulējums ietekmē vai varētu ietekmēt</w:t>
            </w:r>
          </w:p>
        </w:tc>
        <w:tc>
          <w:tcPr>
            <w:tcW w:w="3492" w:type="pct"/>
            <w:tcBorders>
              <w:top w:val="outset" w:color="auto" w:sz="6" w:space="0"/>
              <w:left w:val="outset" w:color="auto" w:sz="6" w:space="0"/>
              <w:bottom w:val="outset" w:color="auto" w:sz="6" w:space="0"/>
              <w:right w:val="outset" w:color="auto" w:sz="6" w:space="0"/>
            </w:tcBorders>
            <w:hideMark/>
          </w:tcPr>
          <w:p w:rsidRPr="0021662C" w:rsidR="00C665D2" w:rsidP="009932A1" w:rsidRDefault="004D6480" w14:paraId="0988709D" w14:textId="5D2C592B">
            <w:pPr>
              <w:spacing w:after="160" w:line="259" w:lineRule="auto"/>
              <w:jc w:val="both"/>
              <w:rPr>
                <w:noProof/>
              </w:rPr>
            </w:pPr>
            <w:r>
              <w:rPr>
                <w:noProof/>
              </w:rPr>
              <w:t xml:space="preserve">Transporta nozares darbinieki. </w:t>
            </w:r>
          </w:p>
        </w:tc>
      </w:tr>
      <w:tr w:rsidRPr="0021662C" w:rsidR="0021662C" w:rsidTr="00905712" w14:paraId="65046CC1"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21662C" w:rsidR="00A73798" w:rsidP="00A73798" w:rsidRDefault="00A73798" w14:paraId="1F3C8F30" w14:textId="77777777">
            <w:pPr>
              <w:rPr>
                <w:iCs/>
              </w:rPr>
            </w:pPr>
            <w:r w:rsidRPr="0021662C">
              <w:rPr>
                <w:iCs/>
              </w:rPr>
              <w:lastRenderedPageBreak/>
              <w:t>2.</w:t>
            </w:r>
          </w:p>
        </w:tc>
        <w:tc>
          <w:tcPr>
            <w:tcW w:w="1150" w:type="pct"/>
            <w:tcBorders>
              <w:top w:val="outset" w:color="auto" w:sz="6" w:space="0"/>
              <w:left w:val="outset" w:color="auto" w:sz="6" w:space="0"/>
              <w:bottom w:val="outset" w:color="auto" w:sz="6" w:space="0"/>
              <w:right w:val="outset" w:color="auto" w:sz="6" w:space="0"/>
            </w:tcBorders>
            <w:hideMark/>
          </w:tcPr>
          <w:p w:rsidRPr="0021662C" w:rsidR="00A73798" w:rsidP="00A73798" w:rsidRDefault="00A73798" w14:paraId="714DD596" w14:textId="77777777">
            <w:r w:rsidRPr="0021662C">
              <w:rPr>
                <w:iCs/>
              </w:rPr>
              <w:t>Tiesiskā regulējuma ietekme uz tautsaimniecību un administratīvo slogu</w:t>
            </w:r>
          </w:p>
          <w:p w:rsidRPr="0021662C" w:rsidR="00A73798" w:rsidP="00A73798" w:rsidRDefault="00A73798" w14:paraId="5207E1B0" w14:textId="77777777">
            <w:pPr>
              <w:spacing w:after="160" w:line="259" w:lineRule="auto"/>
            </w:pPr>
          </w:p>
        </w:tc>
        <w:tc>
          <w:tcPr>
            <w:tcW w:w="3492" w:type="pct"/>
            <w:tcBorders>
              <w:top w:val="outset" w:color="auto" w:sz="6" w:space="0"/>
              <w:left w:val="outset" w:color="auto" w:sz="6" w:space="0"/>
              <w:bottom w:val="outset" w:color="auto" w:sz="6" w:space="0"/>
              <w:right w:val="outset" w:color="auto" w:sz="6" w:space="0"/>
            </w:tcBorders>
            <w:hideMark/>
          </w:tcPr>
          <w:p w:rsidRPr="0021662C" w:rsidR="00A73798" w:rsidP="00A73798" w:rsidRDefault="007E3609" w14:paraId="136A0311" w14:textId="5605B593">
            <w:pPr>
              <w:jc w:val="both"/>
              <w:rPr>
                <w:rFonts w:eastAsia="Calibri"/>
                <w:lang w:eastAsia="en-US"/>
              </w:rPr>
            </w:pPr>
            <w:r w:rsidRPr="0021662C">
              <w:rPr>
                <w:rFonts w:eastAsia="Calibri"/>
                <w:lang w:eastAsia="en-US"/>
              </w:rPr>
              <w:t>Noteikumu projektā noteikt</w:t>
            </w:r>
            <w:r w:rsidR="009F12CD">
              <w:rPr>
                <w:rFonts w:eastAsia="Calibri"/>
                <w:lang w:eastAsia="en-US"/>
              </w:rPr>
              <w:t>ās</w:t>
            </w:r>
            <w:r w:rsidRPr="0021662C">
              <w:rPr>
                <w:rFonts w:eastAsia="Calibri"/>
                <w:lang w:eastAsia="en-US"/>
              </w:rPr>
              <w:t xml:space="preserve"> prasīb</w:t>
            </w:r>
            <w:r w:rsidR="009F12CD">
              <w:rPr>
                <w:rFonts w:eastAsia="Calibri"/>
                <w:lang w:eastAsia="en-US"/>
              </w:rPr>
              <w:t>as</w:t>
            </w:r>
            <w:r w:rsidRPr="0021662C">
              <w:rPr>
                <w:rFonts w:eastAsia="Calibri"/>
                <w:lang w:eastAsia="en-US"/>
              </w:rPr>
              <w:t xml:space="preserve"> </w:t>
            </w:r>
            <w:r w:rsidR="009F12CD">
              <w:rPr>
                <w:rFonts w:eastAsia="Calibri"/>
                <w:lang w:eastAsia="en-US"/>
              </w:rPr>
              <w:t xml:space="preserve">samazina </w:t>
            </w:r>
            <w:r w:rsidRPr="0021662C">
              <w:rPr>
                <w:rFonts w:eastAsia="Calibri"/>
                <w:lang w:eastAsia="en-US"/>
              </w:rPr>
              <w:t>administratīv</w:t>
            </w:r>
            <w:r w:rsidR="009F12CD">
              <w:rPr>
                <w:rFonts w:eastAsia="Calibri"/>
                <w:lang w:eastAsia="en-US"/>
              </w:rPr>
              <w:t>o</w:t>
            </w:r>
            <w:r w:rsidRPr="0021662C">
              <w:rPr>
                <w:rFonts w:eastAsia="Calibri"/>
                <w:lang w:eastAsia="en-US"/>
              </w:rPr>
              <w:t xml:space="preserve"> slog</w:t>
            </w:r>
            <w:r w:rsidR="009F12CD">
              <w:rPr>
                <w:rFonts w:eastAsia="Calibri"/>
                <w:lang w:eastAsia="en-US"/>
              </w:rPr>
              <w:t xml:space="preserve">u </w:t>
            </w:r>
            <w:r w:rsidRPr="0021662C" w:rsidR="00325490">
              <w:rPr>
                <w:rFonts w:eastAsia="Calibri"/>
                <w:lang w:eastAsia="en-US"/>
              </w:rPr>
              <w:t>un būtiski paātrin</w:t>
            </w:r>
            <w:r w:rsidR="009F12CD">
              <w:rPr>
                <w:rFonts w:eastAsia="Calibri"/>
                <w:lang w:eastAsia="en-US"/>
              </w:rPr>
              <w:t>a</w:t>
            </w:r>
            <w:r w:rsidRPr="0021662C" w:rsidR="00325490">
              <w:rPr>
                <w:rFonts w:eastAsia="Calibri"/>
                <w:lang w:eastAsia="en-US"/>
              </w:rPr>
              <w:t xml:space="preserve"> atbalsta sniegšanu trešo valstu pilsoņu iebraukšanai nepieciešamo dokumentu kārtošanas procesos, jo turpmāk netiktu izvērtēti visi pieteikumi</w:t>
            </w:r>
            <w:r w:rsidRPr="0021662C" w:rsidR="004F5E63">
              <w:rPr>
                <w:rFonts w:eastAsia="Calibri"/>
                <w:lang w:eastAsia="en-US"/>
              </w:rPr>
              <w:t>, bet pieteikumi par Eiropas Savienības dalībvalstu pilsoņiem tiktu pieņemti zināšanai.</w:t>
            </w:r>
          </w:p>
        </w:tc>
      </w:tr>
      <w:tr w:rsidRPr="0021662C" w:rsidR="0021662C" w:rsidTr="00905712" w14:paraId="4B746BE4"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21662C" w:rsidR="00A73798" w:rsidP="00A73798" w:rsidRDefault="00A73798" w14:paraId="75CD1030" w14:textId="77777777">
            <w:pPr>
              <w:rPr>
                <w:iCs/>
              </w:rPr>
            </w:pPr>
            <w:r w:rsidRPr="0021662C">
              <w:rPr>
                <w:iCs/>
              </w:rPr>
              <w:t>3.</w:t>
            </w:r>
          </w:p>
        </w:tc>
        <w:tc>
          <w:tcPr>
            <w:tcW w:w="1150" w:type="pct"/>
            <w:tcBorders>
              <w:top w:val="outset" w:color="auto" w:sz="6" w:space="0"/>
              <w:left w:val="outset" w:color="auto" w:sz="6" w:space="0"/>
              <w:bottom w:val="outset" w:color="auto" w:sz="6" w:space="0"/>
              <w:right w:val="outset" w:color="auto" w:sz="6" w:space="0"/>
            </w:tcBorders>
            <w:hideMark/>
          </w:tcPr>
          <w:p w:rsidRPr="0021662C" w:rsidR="00A73798" w:rsidP="00A73798" w:rsidRDefault="00A73798" w14:paraId="56F2E6BD" w14:textId="77777777">
            <w:pPr>
              <w:rPr>
                <w:iCs/>
              </w:rPr>
            </w:pPr>
            <w:r w:rsidRPr="0021662C">
              <w:rPr>
                <w:iCs/>
              </w:rPr>
              <w:t>Administratīvo izmaksu monetārs novērtējums</w:t>
            </w:r>
          </w:p>
        </w:tc>
        <w:tc>
          <w:tcPr>
            <w:tcW w:w="3492" w:type="pct"/>
            <w:tcBorders>
              <w:top w:val="outset" w:color="auto" w:sz="6" w:space="0"/>
              <w:left w:val="outset" w:color="auto" w:sz="6" w:space="0"/>
              <w:bottom w:val="outset" w:color="auto" w:sz="6" w:space="0"/>
              <w:right w:val="outset" w:color="auto" w:sz="6" w:space="0"/>
            </w:tcBorders>
            <w:hideMark/>
          </w:tcPr>
          <w:p w:rsidRPr="0021662C" w:rsidR="00A73798" w:rsidP="00A73798" w:rsidRDefault="00A73798" w14:paraId="3F8AD0AE" w14:textId="224A664C">
            <w:pPr>
              <w:jc w:val="both"/>
              <w:rPr>
                <w:rFonts w:eastAsia="Calibri"/>
                <w:lang w:eastAsia="en-US"/>
              </w:rPr>
            </w:pPr>
            <w:r w:rsidRPr="0021662C">
              <w:rPr>
                <w:rFonts w:eastAsia="Calibri"/>
                <w:lang w:eastAsia="en-US"/>
              </w:rPr>
              <w:t xml:space="preserve">Tā kā ierobežojumi tiek noteikti uz pagaidu laiku, </w:t>
            </w:r>
            <w:r w:rsidRPr="0021662C" w:rsidR="000C563C">
              <w:rPr>
                <w:rFonts w:eastAsia="Calibri"/>
                <w:lang w:eastAsia="en-US"/>
              </w:rPr>
              <w:t xml:space="preserve">nav iespējams </w:t>
            </w:r>
            <w:r w:rsidRPr="0021662C">
              <w:rPr>
                <w:rFonts w:eastAsia="Calibri"/>
                <w:lang w:eastAsia="en-US"/>
              </w:rPr>
              <w:t>veikt administratīv</w:t>
            </w:r>
            <w:r w:rsidR="00805B25">
              <w:rPr>
                <w:rFonts w:eastAsia="Calibri"/>
                <w:lang w:eastAsia="en-US"/>
              </w:rPr>
              <w:t>o</w:t>
            </w:r>
            <w:r w:rsidRPr="0021662C">
              <w:rPr>
                <w:rFonts w:eastAsia="Calibri"/>
                <w:lang w:eastAsia="en-US"/>
              </w:rPr>
              <w:t xml:space="preserve"> izmaksu </w:t>
            </w:r>
            <w:proofErr w:type="spellStart"/>
            <w:r w:rsidRPr="0021662C">
              <w:rPr>
                <w:rFonts w:eastAsia="Calibri"/>
                <w:lang w:eastAsia="en-US"/>
              </w:rPr>
              <w:t>izvērtējum</w:t>
            </w:r>
            <w:r w:rsidRPr="0021662C" w:rsidR="000C563C">
              <w:rPr>
                <w:rFonts w:eastAsia="Calibri"/>
                <w:lang w:eastAsia="en-US"/>
              </w:rPr>
              <w:t>u</w:t>
            </w:r>
            <w:proofErr w:type="spellEnd"/>
            <w:r w:rsidRPr="0021662C">
              <w:rPr>
                <w:rFonts w:eastAsia="Calibri"/>
                <w:lang w:eastAsia="en-US"/>
              </w:rPr>
              <w:t>.</w:t>
            </w:r>
          </w:p>
        </w:tc>
      </w:tr>
      <w:tr w:rsidRPr="0021662C" w:rsidR="0021662C" w:rsidTr="00905712" w14:paraId="0AFDF9E4"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21662C" w:rsidR="00A73798" w:rsidP="00A73798" w:rsidRDefault="00A73798" w14:paraId="4C5BEB02" w14:textId="77777777">
            <w:pPr>
              <w:rPr>
                <w:iCs/>
              </w:rPr>
            </w:pPr>
            <w:r w:rsidRPr="0021662C">
              <w:rPr>
                <w:iCs/>
              </w:rPr>
              <w:t>4.</w:t>
            </w:r>
          </w:p>
        </w:tc>
        <w:tc>
          <w:tcPr>
            <w:tcW w:w="1150" w:type="pct"/>
            <w:tcBorders>
              <w:top w:val="outset" w:color="auto" w:sz="6" w:space="0"/>
              <w:left w:val="outset" w:color="auto" w:sz="6" w:space="0"/>
              <w:bottom w:val="outset" w:color="auto" w:sz="6" w:space="0"/>
              <w:right w:val="outset" w:color="auto" w:sz="6" w:space="0"/>
            </w:tcBorders>
            <w:hideMark/>
          </w:tcPr>
          <w:p w:rsidRPr="0021662C" w:rsidR="00A73798" w:rsidP="00A73798" w:rsidRDefault="00A73798" w14:paraId="7D539C1E" w14:textId="77777777">
            <w:pPr>
              <w:rPr>
                <w:iCs/>
              </w:rPr>
            </w:pPr>
            <w:r w:rsidRPr="0021662C">
              <w:rPr>
                <w:iCs/>
              </w:rPr>
              <w:t>Atbilstības izmaksu monetārs novērtējums</w:t>
            </w:r>
          </w:p>
        </w:tc>
        <w:tc>
          <w:tcPr>
            <w:tcW w:w="3492" w:type="pct"/>
            <w:tcBorders>
              <w:top w:val="outset" w:color="auto" w:sz="6" w:space="0"/>
              <w:left w:val="outset" w:color="auto" w:sz="6" w:space="0"/>
              <w:bottom w:val="outset" w:color="auto" w:sz="6" w:space="0"/>
              <w:right w:val="outset" w:color="auto" w:sz="6" w:space="0"/>
            </w:tcBorders>
            <w:hideMark/>
          </w:tcPr>
          <w:p w:rsidRPr="0021662C" w:rsidR="00A73798" w:rsidP="00A73798" w:rsidRDefault="00A73798" w14:paraId="0B99166D" w14:textId="77777777">
            <w:pPr>
              <w:jc w:val="both"/>
              <w:rPr>
                <w:rFonts w:eastAsia="Calibri"/>
                <w:lang w:eastAsia="en-US"/>
              </w:rPr>
            </w:pPr>
            <w:r w:rsidRPr="0021662C">
              <w:rPr>
                <w:rFonts w:eastAsia="Calibri"/>
                <w:lang w:eastAsia="en-US"/>
              </w:rPr>
              <w:t>Projekts šo jomu neskar.</w:t>
            </w:r>
          </w:p>
        </w:tc>
      </w:tr>
      <w:tr w:rsidRPr="0021662C" w:rsidR="00A73798" w:rsidTr="00905712" w14:paraId="73DCA943"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21662C" w:rsidR="00A73798" w:rsidP="00A73798" w:rsidRDefault="00A73798" w14:paraId="4C684C56" w14:textId="77777777">
            <w:pPr>
              <w:rPr>
                <w:iCs/>
              </w:rPr>
            </w:pPr>
            <w:r w:rsidRPr="0021662C">
              <w:rPr>
                <w:iCs/>
              </w:rPr>
              <w:t>5.</w:t>
            </w:r>
          </w:p>
        </w:tc>
        <w:tc>
          <w:tcPr>
            <w:tcW w:w="1150" w:type="pct"/>
            <w:tcBorders>
              <w:top w:val="outset" w:color="auto" w:sz="6" w:space="0"/>
              <w:left w:val="outset" w:color="auto" w:sz="6" w:space="0"/>
              <w:bottom w:val="outset" w:color="auto" w:sz="6" w:space="0"/>
              <w:right w:val="outset" w:color="auto" w:sz="6" w:space="0"/>
            </w:tcBorders>
            <w:hideMark/>
          </w:tcPr>
          <w:p w:rsidRPr="0021662C" w:rsidR="00A73798" w:rsidP="00A73798" w:rsidRDefault="00A73798" w14:paraId="58455509" w14:textId="77777777">
            <w:pPr>
              <w:rPr>
                <w:iCs/>
              </w:rPr>
            </w:pPr>
            <w:r w:rsidRPr="0021662C">
              <w:rPr>
                <w:iCs/>
              </w:rPr>
              <w:t>Cita informācija</w:t>
            </w:r>
          </w:p>
        </w:tc>
        <w:tc>
          <w:tcPr>
            <w:tcW w:w="3492" w:type="pct"/>
            <w:tcBorders>
              <w:top w:val="outset" w:color="auto" w:sz="6" w:space="0"/>
              <w:left w:val="outset" w:color="auto" w:sz="6" w:space="0"/>
              <w:bottom w:val="outset" w:color="auto" w:sz="6" w:space="0"/>
              <w:right w:val="outset" w:color="auto" w:sz="6" w:space="0"/>
            </w:tcBorders>
            <w:hideMark/>
          </w:tcPr>
          <w:p w:rsidRPr="0021662C" w:rsidR="00A73798" w:rsidP="00A73798" w:rsidRDefault="00A73798" w14:paraId="76DC1348" w14:textId="3413B042">
            <w:pPr>
              <w:rPr>
                <w:iCs/>
              </w:rPr>
            </w:pPr>
            <w:r w:rsidRPr="0021662C">
              <w:rPr>
                <w:rFonts w:eastAsia="Calibri"/>
                <w:lang w:eastAsia="en-US"/>
              </w:rPr>
              <w:t>Nav</w:t>
            </w:r>
            <w:r w:rsidR="009F12CD">
              <w:rPr>
                <w:rFonts w:eastAsia="Calibri"/>
                <w:lang w:eastAsia="en-US"/>
              </w:rPr>
              <w:t>.</w:t>
            </w:r>
          </w:p>
        </w:tc>
      </w:tr>
    </w:tbl>
    <w:p w:rsidRPr="0021662C" w:rsidR="000E3DCC" w:rsidP="000E3DCC" w:rsidRDefault="000E3DCC" w14:paraId="25BEC0D1" w14:textId="09CB3237">
      <w:pPr>
        <w:tabs>
          <w:tab w:val="left" w:pos="6379"/>
        </w:tabs>
        <w:ind w:firstLine="720"/>
        <w:jc w:val="both"/>
        <w:rPr>
          <w:lang w:eastAsia="en-US"/>
        </w:rPr>
      </w:pPr>
    </w:p>
    <w:p w:rsidRPr="0021662C" w:rsidR="00A73798" w:rsidP="000E3DCC" w:rsidRDefault="00A73798" w14:paraId="53520B92" w14:textId="77777777">
      <w:pPr>
        <w:tabs>
          <w:tab w:val="left" w:pos="6379"/>
        </w:tabs>
        <w:ind w:firstLine="720"/>
        <w:jc w:val="both"/>
        <w:rPr>
          <w:lang w:eastAsia="en-US"/>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290"/>
      </w:tblGrid>
      <w:tr w:rsidRPr="0021662C" w:rsidR="0021662C" w:rsidTr="00905712" w14:paraId="135EFC3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21662C" w:rsidR="00A73798" w:rsidP="00A73798" w:rsidRDefault="00A73798" w14:paraId="5F246C63" w14:textId="77777777">
            <w:pPr>
              <w:jc w:val="center"/>
              <w:rPr>
                <w:b/>
                <w:bCs/>
                <w:iCs/>
              </w:rPr>
            </w:pPr>
            <w:r w:rsidRPr="0021662C">
              <w:rPr>
                <w:b/>
                <w:bCs/>
                <w:iCs/>
              </w:rPr>
              <w:t>III. Tiesību akta projekta ietekme uz valsts budžetu un pašvaldību budžetiem</w:t>
            </w:r>
          </w:p>
        </w:tc>
      </w:tr>
      <w:tr w:rsidRPr="0021662C" w:rsidR="00A73798" w:rsidTr="00905712" w14:paraId="6A615DA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21662C" w:rsidR="00A73798" w:rsidP="00A73798" w:rsidRDefault="00A73798" w14:paraId="3DFE9330" w14:textId="77777777">
            <w:pPr>
              <w:jc w:val="center"/>
              <w:rPr>
                <w:bCs/>
                <w:iCs/>
              </w:rPr>
            </w:pPr>
            <w:r w:rsidRPr="0021662C">
              <w:rPr>
                <w:bCs/>
                <w:iCs/>
              </w:rPr>
              <w:t>Projekts šo jomu neskar</w:t>
            </w:r>
          </w:p>
        </w:tc>
      </w:tr>
    </w:tbl>
    <w:p w:rsidRPr="0021662C" w:rsidR="00A73798" w:rsidP="00A73798" w:rsidRDefault="00A73798" w14:paraId="34536308" w14:textId="77777777">
      <w:pPr>
        <w:rPr>
          <w:iCs/>
        </w:rPr>
      </w:pPr>
    </w:p>
    <w:tbl>
      <w:tblPr>
        <w:tblW w:w="504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356"/>
      </w:tblGrid>
      <w:tr w:rsidRPr="00E529E2" w:rsidR="00805B25" w:rsidTr="006E2100" w14:paraId="65F9051C" w14:textId="77777777">
        <w:trPr>
          <w:tblCellSpacing w:w="15" w:type="dxa"/>
        </w:trPr>
        <w:tc>
          <w:tcPr>
            <w:tcW w:w="4964" w:type="pct"/>
            <w:tcBorders>
              <w:top w:val="outset" w:color="auto" w:sz="6" w:space="0"/>
              <w:left w:val="outset" w:color="auto" w:sz="6" w:space="0"/>
              <w:bottom w:val="outset" w:color="auto" w:sz="6" w:space="0"/>
              <w:right w:val="outset" w:color="auto" w:sz="6" w:space="0"/>
            </w:tcBorders>
            <w:vAlign w:val="center"/>
            <w:hideMark/>
          </w:tcPr>
          <w:p w:rsidRPr="00E529E2" w:rsidR="00805B25" w:rsidP="00640190" w:rsidRDefault="00805B25" w14:paraId="707224C1" w14:textId="77777777">
            <w:pPr>
              <w:jc w:val="center"/>
              <w:rPr>
                <w:b/>
                <w:bCs/>
                <w:iCs/>
              </w:rPr>
            </w:pPr>
            <w:r w:rsidRPr="00F62D1D">
              <w:rPr>
                <w:b/>
                <w:bCs/>
                <w:iCs/>
              </w:rPr>
              <w:t>IV. Tiesību akta projekta ietekme uz spēkā esošo tiesību normu sistēmu</w:t>
            </w:r>
          </w:p>
        </w:tc>
      </w:tr>
      <w:tr w:rsidRPr="00E529E2" w:rsidR="00805B25" w:rsidTr="006E2100" w14:paraId="1E9DF259" w14:textId="77777777">
        <w:trPr>
          <w:tblCellSpacing w:w="15" w:type="dxa"/>
        </w:trPr>
        <w:tc>
          <w:tcPr>
            <w:tcW w:w="4964" w:type="pct"/>
            <w:tcBorders>
              <w:top w:val="outset" w:color="auto" w:sz="6" w:space="0"/>
              <w:left w:val="outset" w:color="auto" w:sz="6" w:space="0"/>
              <w:bottom w:val="outset" w:color="auto" w:sz="6" w:space="0"/>
              <w:right w:val="outset" w:color="auto" w:sz="6" w:space="0"/>
            </w:tcBorders>
            <w:vAlign w:val="center"/>
            <w:hideMark/>
          </w:tcPr>
          <w:p w:rsidRPr="00E529E2" w:rsidR="00805B25" w:rsidP="00640190" w:rsidRDefault="00805B25" w14:paraId="1D45ECE6" w14:textId="77777777">
            <w:pPr>
              <w:jc w:val="center"/>
              <w:rPr>
                <w:bCs/>
                <w:iCs/>
              </w:rPr>
            </w:pPr>
            <w:r w:rsidRPr="00E529E2">
              <w:rPr>
                <w:bCs/>
                <w:iCs/>
              </w:rPr>
              <w:t>Projekts šo jomu neskar.</w:t>
            </w:r>
          </w:p>
        </w:tc>
      </w:tr>
    </w:tbl>
    <w:p w:rsidRPr="0021662C" w:rsidR="00A73798" w:rsidP="00A73798" w:rsidRDefault="00A73798" w14:paraId="1155CDDE" w14:textId="77777777">
      <w:pPr>
        <w:rPr>
          <w:iCs/>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290"/>
      </w:tblGrid>
      <w:tr w:rsidRPr="0021662C" w:rsidR="0021662C" w:rsidTr="00905712" w14:paraId="35CD047A"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21662C" w:rsidR="00A73798" w:rsidP="00A73798" w:rsidRDefault="00A73798" w14:paraId="23C7747F" w14:textId="77777777">
            <w:pPr>
              <w:jc w:val="center"/>
              <w:rPr>
                <w:b/>
                <w:bCs/>
                <w:iCs/>
              </w:rPr>
            </w:pPr>
            <w:r w:rsidRPr="0021662C">
              <w:rPr>
                <w:b/>
                <w:bCs/>
                <w:iCs/>
              </w:rPr>
              <w:t>V. Tiesību akta projekta atbilstība Latvijas Republikas starptautiskajām saistībām</w:t>
            </w:r>
          </w:p>
        </w:tc>
      </w:tr>
      <w:tr w:rsidRPr="0021662C" w:rsidR="0021662C" w:rsidTr="00905712" w14:paraId="2B3D8A5A"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21662C" w:rsidR="00A73798" w:rsidP="00A73798" w:rsidRDefault="00A73798" w14:paraId="15319C15" w14:textId="70D4DE5E">
            <w:pPr>
              <w:jc w:val="center"/>
              <w:rPr>
                <w:bCs/>
                <w:iCs/>
              </w:rPr>
            </w:pPr>
            <w:r w:rsidRPr="0021662C">
              <w:rPr>
                <w:bCs/>
                <w:iCs/>
              </w:rPr>
              <w:t>Projekts šo jomu neskar</w:t>
            </w:r>
            <w:r w:rsidR="003128B9">
              <w:rPr>
                <w:bCs/>
                <w:iCs/>
              </w:rPr>
              <w:t>.</w:t>
            </w:r>
          </w:p>
        </w:tc>
      </w:tr>
    </w:tbl>
    <w:p w:rsidRPr="0021662C" w:rsidR="00B87C51" w:rsidP="00A73798" w:rsidRDefault="00A73798" w14:paraId="2948D85C" w14:textId="77777777">
      <w:pPr>
        <w:rPr>
          <w:iCs/>
        </w:rPr>
      </w:pPr>
      <w:r w:rsidRPr="0021662C">
        <w:rPr>
          <w:iCs/>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8296"/>
      </w:tblGrid>
      <w:tr w:rsidRPr="00B87C51" w:rsidR="00B87C51" w:rsidTr="0083074E" w14:paraId="3DB47826"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B87C51" w:rsidR="00B87C51" w:rsidP="00B87C51" w:rsidRDefault="00B87C51" w14:paraId="6AA1011C" w14:textId="77777777">
            <w:pPr>
              <w:jc w:val="center"/>
              <w:rPr>
                <w:b/>
                <w:bCs/>
                <w:lang w:eastAsia="en-US"/>
              </w:rPr>
            </w:pPr>
            <w:r w:rsidRPr="00B87C51">
              <w:rPr>
                <w:b/>
                <w:bCs/>
                <w:lang w:eastAsia="en-US"/>
              </w:rPr>
              <w:t>VI. Sabiedrības līdzdalība un komunikācijas aktivitātes</w:t>
            </w:r>
          </w:p>
        </w:tc>
      </w:tr>
      <w:tr w:rsidRPr="00B87C51" w:rsidR="00B87C51" w:rsidTr="0083074E" w14:paraId="65CEC524" w14:textId="77777777">
        <w:tc>
          <w:tcPr>
            <w:tcW w:w="5000" w:type="pct"/>
            <w:tcBorders>
              <w:top w:val="single" w:color="auto" w:sz="4" w:space="0"/>
              <w:left w:val="single" w:color="auto" w:sz="4" w:space="0"/>
              <w:bottom w:val="single" w:color="auto" w:sz="4" w:space="0"/>
              <w:right w:val="single" w:color="auto" w:sz="4" w:space="0"/>
            </w:tcBorders>
            <w:vAlign w:val="center"/>
          </w:tcPr>
          <w:p w:rsidRPr="00B87C51" w:rsidR="00B87C51" w:rsidP="00B87C51" w:rsidRDefault="00B87C51" w14:paraId="4F720FA3" w14:textId="77777777">
            <w:pPr>
              <w:jc w:val="center"/>
              <w:rPr>
                <w:bCs/>
                <w:lang w:eastAsia="en-US"/>
              </w:rPr>
            </w:pPr>
            <w:r w:rsidRPr="00B87C51">
              <w:rPr>
                <w:bCs/>
                <w:lang w:eastAsia="en-US"/>
              </w:rPr>
              <w:t>Projekts šo jomu neskar.</w:t>
            </w:r>
          </w:p>
        </w:tc>
      </w:tr>
    </w:tbl>
    <w:p w:rsidRPr="0021662C" w:rsidR="00A73798" w:rsidP="00A73798" w:rsidRDefault="00A73798" w14:paraId="64A6BB6C" w14:textId="40462CA5">
      <w:pPr>
        <w:rPr>
          <w:iCs/>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84"/>
        <w:gridCol w:w="2814"/>
        <w:gridCol w:w="5092"/>
      </w:tblGrid>
      <w:tr w:rsidRPr="0021662C" w:rsidR="0021662C" w:rsidTr="00905712" w14:paraId="68C438BE"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21662C" w:rsidR="00A73798" w:rsidP="00A73798" w:rsidRDefault="00A73798" w14:paraId="6B70FDC4" w14:textId="77777777">
            <w:pPr>
              <w:jc w:val="center"/>
              <w:rPr>
                <w:b/>
                <w:bCs/>
                <w:iCs/>
              </w:rPr>
            </w:pPr>
            <w:r w:rsidRPr="0021662C">
              <w:rPr>
                <w:b/>
                <w:bCs/>
                <w:iCs/>
              </w:rPr>
              <w:t>VII. Tiesību akta projekta izpildes nodrošināšana un tās ietekme uz institūcijām</w:t>
            </w:r>
          </w:p>
        </w:tc>
      </w:tr>
      <w:tr w:rsidRPr="0021662C" w:rsidR="0021662C" w:rsidTr="00C621BC" w14:paraId="3FFE0FE4" w14:textId="77777777">
        <w:trPr>
          <w:tblCellSpacing w:w="15" w:type="dxa"/>
        </w:trPr>
        <w:tc>
          <w:tcPr>
            <w:tcW w:w="206" w:type="pct"/>
            <w:tcBorders>
              <w:top w:val="outset" w:color="auto" w:sz="6" w:space="0"/>
              <w:left w:val="outset" w:color="auto" w:sz="6" w:space="0"/>
              <w:bottom w:val="outset" w:color="auto" w:sz="6" w:space="0"/>
              <w:right w:val="outset" w:color="auto" w:sz="6" w:space="0"/>
            </w:tcBorders>
            <w:hideMark/>
          </w:tcPr>
          <w:p w:rsidRPr="0021662C" w:rsidR="00A73798" w:rsidP="00A73798" w:rsidRDefault="00A73798" w14:paraId="4AC1CAA2" w14:textId="77777777">
            <w:pPr>
              <w:rPr>
                <w:iCs/>
              </w:rPr>
            </w:pPr>
            <w:r w:rsidRPr="0021662C">
              <w:rPr>
                <w:iCs/>
              </w:rPr>
              <w:t>1.</w:t>
            </w:r>
          </w:p>
        </w:tc>
        <w:tc>
          <w:tcPr>
            <w:tcW w:w="1692" w:type="pct"/>
            <w:tcBorders>
              <w:top w:val="outset" w:color="auto" w:sz="6" w:space="0"/>
              <w:left w:val="outset" w:color="auto" w:sz="6" w:space="0"/>
              <w:bottom w:val="outset" w:color="auto" w:sz="6" w:space="0"/>
              <w:right w:val="outset" w:color="auto" w:sz="6" w:space="0"/>
            </w:tcBorders>
            <w:hideMark/>
          </w:tcPr>
          <w:p w:rsidRPr="0021662C" w:rsidR="00A73798" w:rsidP="00A73798" w:rsidRDefault="00A73798" w14:paraId="07877B20" w14:textId="77777777">
            <w:pPr>
              <w:rPr>
                <w:iCs/>
              </w:rPr>
            </w:pPr>
            <w:r w:rsidRPr="0021662C">
              <w:rPr>
                <w:iCs/>
              </w:rPr>
              <w:t>Projekta izpildē iesaistītās institūcijas</w:t>
            </w:r>
          </w:p>
        </w:tc>
        <w:tc>
          <w:tcPr>
            <w:tcW w:w="3035" w:type="pct"/>
            <w:tcBorders>
              <w:top w:val="outset" w:color="auto" w:sz="6" w:space="0"/>
              <w:left w:val="outset" w:color="auto" w:sz="6" w:space="0"/>
              <w:bottom w:val="outset" w:color="auto" w:sz="6" w:space="0"/>
              <w:right w:val="outset" w:color="auto" w:sz="6" w:space="0"/>
            </w:tcBorders>
            <w:shd w:val="clear" w:color="auto" w:fill="auto"/>
            <w:hideMark/>
          </w:tcPr>
          <w:p w:rsidRPr="0021662C" w:rsidR="00A73798" w:rsidP="00A73798" w:rsidRDefault="007C7986" w14:paraId="738B3F08" w14:textId="1CDDB412">
            <w:pPr>
              <w:jc w:val="both"/>
              <w:rPr>
                <w:iCs/>
              </w:rPr>
            </w:pPr>
            <w:r w:rsidRPr="0021662C">
              <w:rPr>
                <w:iCs/>
              </w:rPr>
              <w:t xml:space="preserve">Satiksmes ministrija, Iekšlietu ministrija, Veselības ministrija, </w:t>
            </w:r>
            <w:r w:rsidRPr="0021662C" w:rsidR="00164641">
              <w:rPr>
                <w:iCs/>
              </w:rPr>
              <w:t>Valsts policija, Valsts robežsardze</w:t>
            </w:r>
            <w:r w:rsidRPr="0021662C">
              <w:rPr>
                <w:iCs/>
              </w:rPr>
              <w:t>, VSIA “Autotransporta direkcija”</w:t>
            </w:r>
            <w:r w:rsidRPr="0021662C" w:rsidR="00164641">
              <w:rPr>
                <w:iCs/>
              </w:rPr>
              <w:t xml:space="preserve"> un Slimību profilakses un kontroles centrs</w:t>
            </w:r>
            <w:r w:rsidRPr="0021662C" w:rsidR="00F540DA">
              <w:rPr>
                <w:iCs/>
              </w:rPr>
              <w:t>.</w:t>
            </w:r>
          </w:p>
        </w:tc>
      </w:tr>
      <w:tr w:rsidRPr="0021662C" w:rsidR="0021662C" w:rsidTr="00905712" w14:paraId="39D1E14A" w14:textId="77777777">
        <w:trPr>
          <w:tblCellSpacing w:w="15" w:type="dxa"/>
        </w:trPr>
        <w:tc>
          <w:tcPr>
            <w:tcW w:w="206" w:type="pct"/>
            <w:tcBorders>
              <w:top w:val="outset" w:color="auto" w:sz="6" w:space="0"/>
              <w:left w:val="outset" w:color="auto" w:sz="6" w:space="0"/>
              <w:bottom w:val="outset" w:color="auto" w:sz="6" w:space="0"/>
              <w:right w:val="outset" w:color="auto" w:sz="6" w:space="0"/>
            </w:tcBorders>
            <w:hideMark/>
          </w:tcPr>
          <w:p w:rsidRPr="0021662C" w:rsidR="00A73798" w:rsidP="00A73798" w:rsidRDefault="00A73798" w14:paraId="10B46C95" w14:textId="77777777">
            <w:pPr>
              <w:rPr>
                <w:iCs/>
              </w:rPr>
            </w:pPr>
            <w:r w:rsidRPr="0021662C">
              <w:rPr>
                <w:iCs/>
              </w:rPr>
              <w:t>2.</w:t>
            </w:r>
          </w:p>
        </w:tc>
        <w:tc>
          <w:tcPr>
            <w:tcW w:w="1692" w:type="pct"/>
            <w:tcBorders>
              <w:top w:val="outset" w:color="auto" w:sz="6" w:space="0"/>
              <w:left w:val="outset" w:color="auto" w:sz="6" w:space="0"/>
              <w:bottom w:val="outset" w:color="auto" w:sz="6" w:space="0"/>
              <w:right w:val="outset" w:color="auto" w:sz="6" w:space="0"/>
            </w:tcBorders>
            <w:hideMark/>
          </w:tcPr>
          <w:p w:rsidRPr="0021662C" w:rsidR="00A73798" w:rsidP="00A73798" w:rsidRDefault="00A73798" w14:paraId="74B63FEE" w14:textId="77777777">
            <w:pPr>
              <w:rPr>
                <w:iCs/>
              </w:rPr>
            </w:pPr>
            <w:r w:rsidRPr="0021662C">
              <w:rPr>
                <w:iCs/>
              </w:rPr>
              <w:t>Projekta izpildes ietekme uz pārvaldes funkcijām un institucionālo struktūru.</w:t>
            </w:r>
            <w:r w:rsidRPr="0021662C">
              <w:rPr>
                <w:iCs/>
              </w:rPr>
              <w:br/>
            </w:r>
          </w:p>
          <w:p w:rsidRPr="0021662C" w:rsidR="00A73798" w:rsidP="00A73798" w:rsidRDefault="00A73798" w14:paraId="0EBF8952" w14:textId="77777777">
            <w:pPr>
              <w:rPr>
                <w:iCs/>
              </w:rPr>
            </w:pPr>
            <w:r w:rsidRPr="0021662C">
              <w:rPr>
                <w:iCs/>
              </w:rPr>
              <w:t xml:space="preserve">Jaunu institūciju izveide, esošu institūciju likvidācija vai reorganizācija, to </w:t>
            </w:r>
            <w:r w:rsidRPr="0021662C">
              <w:rPr>
                <w:iCs/>
              </w:rPr>
              <w:lastRenderedPageBreak/>
              <w:t>ietekme uz institūcijas cilvēkresursiem</w:t>
            </w:r>
          </w:p>
        </w:tc>
        <w:tc>
          <w:tcPr>
            <w:tcW w:w="3035" w:type="pct"/>
            <w:tcBorders>
              <w:top w:val="outset" w:color="auto" w:sz="6" w:space="0"/>
              <w:left w:val="outset" w:color="auto" w:sz="6" w:space="0"/>
              <w:bottom w:val="outset" w:color="auto" w:sz="6" w:space="0"/>
              <w:right w:val="outset" w:color="auto" w:sz="6" w:space="0"/>
            </w:tcBorders>
            <w:hideMark/>
          </w:tcPr>
          <w:p w:rsidRPr="0021662C" w:rsidR="00A73798" w:rsidP="00A73798" w:rsidRDefault="00833A28" w14:paraId="30B20E0D" w14:textId="723A1C33">
            <w:pPr>
              <w:spacing w:after="160" w:line="259" w:lineRule="auto"/>
              <w:jc w:val="both"/>
              <w:rPr>
                <w:iCs/>
              </w:rPr>
            </w:pPr>
            <w:r w:rsidRPr="00E529E2">
              <w:rPr>
                <w:iCs/>
              </w:rPr>
              <w:lastRenderedPageBreak/>
              <w:t>Normatīvā akta izpilde tiks nodrošināta anotācijas VII sadaļas 1.punktā minēt</w:t>
            </w:r>
            <w:r>
              <w:rPr>
                <w:iCs/>
              </w:rPr>
              <w:t>o</w:t>
            </w:r>
            <w:r w:rsidRPr="00E529E2">
              <w:rPr>
                <w:iCs/>
              </w:rPr>
              <w:t xml:space="preserve"> institūcij</w:t>
            </w:r>
            <w:r>
              <w:rPr>
                <w:iCs/>
              </w:rPr>
              <w:t>u</w:t>
            </w:r>
            <w:r w:rsidRPr="00E529E2">
              <w:rPr>
                <w:iCs/>
              </w:rPr>
              <w:t xml:space="preserve"> līdzšinējo funkciju ietvaros.</w:t>
            </w:r>
            <w:r>
              <w:t xml:space="preserve"> </w:t>
            </w:r>
            <w:r>
              <w:rPr>
                <w:iCs/>
              </w:rPr>
              <w:t>P</w:t>
            </w:r>
            <w:r w:rsidRPr="00285C3B">
              <w:rPr>
                <w:iCs/>
              </w:rPr>
              <w:t xml:space="preserve">rojekta izpilde </w:t>
            </w:r>
            <w:r>
              <w:rPr>
                <w:iCs/>
              </w:rPr>
              <w:t>ne</w:t>
            </w:r>
            <w:r w:rsidRPr="00285C3B">
              <w:rPr>
                <w:iCs/>
              </w:rPr>
              <w:t>ietekmē</w:t>
            </w:r>
            <w:r>
              <w:rPr>
                <w:iCs/>
              </w:rPr>
              <w:t>s</w:t>
            </w:r>
            <w:r w:rsidRPr="00285C3B">
              <w:rPr>
                <w:iCs/>
              </w:rPr>
              <w:t xml:space="preserve"> </w:t>
            </w:r>
            <w:r>
              <w:rPr>
                <w:iCs/>
              </w:rPr>
              <w:t>minēto</w:t>
            </w:r>
            <w:r w:rsidRPr="00285C3B">
              <w:rPr>
                <w:iCs/>
              </w:rPr>
              <w:t xml:space="preserve"> institūcij</w:t>
            </w:r>
            <w:r>
              <w:rPr>
                <w:iCs/>
              </w:rPr>
              <w:t>u</w:t>
            </w:r>
            <w:r w:rsidRPr="00285C3B">
              <w:rPr>
                <w:iCs/>
              </w:rPr>
              <w:t xml:space="preserve"> funkcijas un uzdevumus, institūcij</w:t>
            </w:r>
            <w:r>
              <w:rPr>
                <w:iCs/>
              </w:rPr>
              <w:t>ām</w:t>
            </w:r>
            <w:r w:rsidRPr="00285C3B">
              <w:rPr>
                <w:iCs/>
              </w:rPr>
              <w:t xml:space="preserve"> pieejamos cilvēkresursus, </w:t>
            </w:r>
            <w:r>
              <w:rPr>
                <w:iCs/>
              </w:rPr>
              <w:t>kā arī</w:t>
            </w:r>
            <w:r w:rsidRPr="00285C3B">
              <w:rPr>
                <w:iCs/>
              </w:rPr>
              <w:t xml:space="preserve"> </w:t>
            </w:r>
            <w:r w:rsidRPr="00285C3B">
              <w:rPr>
                <w:iCs/>
              </w:rPr>
              <w:lastRenderedPageBreak/>
              <w:t xml:space="preserve">saistībā ar projekta izpildi </w:t>
            </w:r>
            <w:r>
              <w:rPr>
                <w:iCs/>
              </w:rPr>
              <w:t xml:space="preserve">nav </w:t>
            </w:r>
            <w:r w:rsidRPr="00285C3B">
              <w:rPr>
                <w:iCs/>
              </w:rPr>
              <w:t>nepieciešams veidot jaunas institūcijas, likvidēt vai reorganizēt esošās.</w:t>
            </w:r>
          </w:p>
        </w:tc>
      </w:tr>
      <w:tr w:rsidRPr="0021662C" w:rsidR="00A73798" w:rsidTr="00905712" w14:paraId="7027E8FC" w14:textId="77777777">
        <w:trPr>
          <w:tblCellSpacing w:w="15" w:type="dxa"/>
        </w:trPr>
        <w:tc>
          <w:tcPr>
            <w:tcW w:w="206" w:type="pct"/>
            <w:tcBorders>
              <w:top w:val="outset" w:color="auto" w:sz="6" w:space="0"/>
              <w:left w:val="outset" w:color="auto" w:sz="6" w:space="0"/>
              <w:bottom w:val="outset" w:color="auto" w:sz="6" w:space="0"/>
              <w:right w:val="outset" w:color="auto" w:sz="6" w:space="0"/>
            </w:tcBorders>
            <w:hideMark/>
          </w:tcPr>
          <w:p w:rsidRPr="0021662C" w:rsidR="00A73798" w:rsidP="00A73798" w:rsidRDefault="00A73798" w14:paraId="43BCA22F" w14:textId="77777777">
            <w:pPr>
              <w:rPr>
                <w:iCs/>
              </w:rPr>
            </w:pPr>
            <w:r w:rsidRPr="0021662C">
              <w:rPr>
                <w:iCs/>
              </w:rPr>
              <w:lastRenderedPageBreak/>
              <w:t>3.</w:t>
            </w:r>
          </w:p>
        </w:tc>
        <w:tc>
          <w:tcPr>
            <w:tcW w:w="1692" w:type="pct"/>
            <w:tcBorders>
              <w:top w:val="outset" w:color="auto" w:sz="6" w:space="0"/>
              <w:left w:val="outset" w:color="auto" w:sz="6" w:space="0"/>
              <w:bottom w:val="outset" w:color="auto" w:sz="6" w:space="0"/>
              <w:right w:val="outset" w:color="auto" w:sz="6" w:space="0"/>
            </w:tcBorders>
            <w:hideMark/>
          </w:tcPr>
          <w:p w:rsidRPr="0021662C" w:rsidR="00A73798" w:rsidP="00A73798" w:rsidRDefault="00A73798" w14:paraId="36A6B7CC" w14:textId="77777777">
            <w:pPr>
              <w:rPr>
                <w:iCs/>
              </w:rPr>
            </w:pPr>
            <w:r w:rsidRPr="0021662C">
              <w:rPr>
                <w:iCs/>
              </w:rPr>
              <w:t>Cita informācija</w:t>
            </w:r>
          </w:p>
        </w:tc>
        <w:tc>
          <w:tcPr>
            <w:tcW w:w="3035" w:type="pct"/>
            <w:tcBorders>
              <w:top w:val="outset" w:color="auto" w:sz="6" w:space="0"/>
              <w:left w:val="outset" w:color="auto" w:sz="6" w:space="0"/>
              <w:bottom w:val="outset" w:color="auto" w:sz="6" w:space="0"/>
              <w:right w:val="outset" w:color="auto" w:sz="6" w:space="0"/>
            </w:tcBorders>
            <w:hideMark/>
          </w:tcPr>
          <w:p w:rsidRPr="0021662C" w:rsidR="00A73798" w:rsidP="00A73798" w:rsidRDefault="00A73798" w14:paraId="34E5D4F7" w14:textId="778E03EC">
            <w:pPr>
              <w:spacing w:line="259" w:lineRule="auto"/>
              <w:jc w:val="both"/>
              <w:rPr>
                <w:rFonts w:eastAsia="Calibri"/>
                <w:iCs/>
                <w:lang w:eastAsia="en-US"/>
              </w:rPr>
            </w:pPr>
            <w:r w:rsidRPr="0021662C">
              <w:rPr>
                <w:rFonts w:eastAsia="Calibri"/>
                <w:lang w:eastAsia="en-US"/>
              </w:rPr>
              <w:t>Nav</w:t>
            </w:r>
            <w:r w:rsidR="00833A28">
              <w:rPr>
                <w:rFonts w:eastAsia="Calibri"/>
                <w:lang w:eastAsia="en-US"/>
              </w:rPr>
              <w:t>.</w:t>
            </w:r>
          </w:p>
        </w:tc>
      </w:tr>
    </w:tbl>
    <w:p w:rsidRPr="0021662C" w:rsidR="00A73798" w:rsidP="00A73798" w:rsidRDefault="00A73798" w14:paraId="462202E8" w14:textId="77777777">
      <w:pPr>
        <w:rPr>
          <w:rFonts w:eastAsia="Calibri"/>
        </w:rPr>
      </w:pPr>
    </w:p>
    <w:p w:rsidRPr="0021662C" w:rsidR="00A73798" w:rsidP="00A73798" w:rsidRDefault="00A73798" w14:paraId="21D665C2" w14:textId="77777777">
      <w:pPr>
        <w:rPr>
          <w:rFonts w:eastAsia="Calibri"/>
        </w:rPr>
      </w:pPr>
    </w:p>
    <w:p w:rsidR="00A73798" w:rsidP="00596C6D" w:rsidRDefault="00691A2B" w14:paraId="390A9766" w14:textId="50E459D7">
      <w:pPr>
        <w:shd w:val="clear" w:color="auto" w:fill="FFFFFF"/>
        <w:spacing w:after="160" w:line="259" w:lineRule="auto"/>
        <w:rPr>
          <w:rFonts w:eastAsia="Calibri"/>
        </w:rPr>
      </w:pPr>
      <w:r>
        <w:rPr>
          <w:rFonts w:eastAsia="Calibri"/>
        </w:rPr>
        <w:t>Satiksmes ministrs</w:t>
      </w:r>
      <w:r w:rsidRPr="0021662C" w:rsidR="000C563C">
        <w:rPr>
          <w:rFonts w:eastAsia="Calibri"/>
        </w:rPr>
        <w:tab/>
      </w:r>
      <w:r w:rsidRPr="0021662C" w:rsidR="000C563C">
        <w:rPr>
          <w:rFonts w:eastAsia="Calibri"/>
        </w:rPr>
        <w:tab/>
      </w:r>
      <w:r w:rsidRPr="0021662C" w:rsidR="000C563C">
        <w:rPr>
          <w:rFonts w:eastAsia="Calibri"/>
        </w:rPr>
        <w:tab/>
      </w:r>
      <w:r w:rsidRPr="0021662C" w:rsidR="000C563C">
        <w:rPr>
          <w:rFonts w:eastAsia="Calibri"/>
        </w:rPr>
        <w:tab/>
      </w:r>
      <w:r w:rsidRPr="0021662C" w:rsidR="000C563C">
        <w:rPr>
          <w:rFonts w:eastAsia="Calibri"/>
        </w:rPr>
        <w:tab/>
      </w:r>
      <w:r w:rsidRPr="0021662C" w:rsidR="000C563C">
        <w:rPr>
          <w:rFonts w:eastAsia="Calibri"/>
        </w:rPr>
        <w:tab/>
      </w:r>
      <w:r w:rsidRPr="0021662C" w:rsidR="000C563C">
        <w:rPr>
          <w:rFonts w:eastAsia="Calibri"/>
        </w:rPr>
        <w:tab/>
      </w:r>
      <w:r w:rsidR="00473656">
        <w:rPr>
          <w:rFonts w:eastAsia="Calibri"/>
        </w:rPr>
        <w:tab/>
      </w:r>
      <w:r>
        <w:rPr>
          <w:rFonts w:eastAsia="Calibri"/>
        </w:rPr>
        <w:t>T. Linkaits</w:t>
      </w:r>
    </w:p>
    <w:p w:rsidR="00ED35DE" w:rsidP="00981DE0" w:rsidRDefault="00ED35DE" w14:paraId="72265A88" w14:textId="77777777">
      <w:pPr>
        <w:jc w:val="both"/>
      </w:pPr>
    </w:p>
    <w:p w:rsidRPr="00981DE0" w:rsidR="00981DE0" w:rsidP="00981DE0" w:rsidRDefault="00981DE0" w14:paraId="3BB2F921" w14:textId="171A972D">
      <w:pPr>
        <w:jc w:val="both"/>
      </w:pPr>
      <w:r w:rsidRPr="00981DE0">
        <w:t xml:space="preserve">Vīza: </w:t>
      </w:r>
    </w:p>
    <w:p w:rsidRPr="00981DE0" w:rsidR="00981DE0" w:rsidP="00981DE0" w:rsidRDefault="00981DE0" w14:paraId="5C0C4D7D" w14:textId="5DB42855">
      <w:pPr>
        <w:jc w:val="both"/>
      </w:pPr>
      <w:r w:rsidRPr="00981DE0">
        <w:t>Valsts sekretāre</w:t>
      </w:r>
      <w:r w:rsidRPr="00981DE0">
        <w:tab/>
      </w:r>
      <w:r w:rsidRPr="00981DE0">
        <w:tab/>
      </w:r>
      <w:r w:rsidRPr="00981DE0">
        <w:tab/>
      </w:r>
      <w:r w:rsidRPr="00981DE0">
        <w:tab/>
      </w:r>
      <w:r w:rsidRPr="00981DE0">
        <w:tab/>
      </w:r>
      <w:r w:rsidRPr="00981DE0">
        <w:tab/>
      </w:r>
      <w:r w:rsidRPr="00981DE0">
        <w:tab/>
      </w:r>
      <w:r w:rsidR="00473656">
        <w:t xml:space="preserve">          </w:t>
      </w:r>
      <w:r w:rsidRPr="00981DE0">
        <w:t>I. Stepanova</w:t>
      </w:r>
    </w:p>
    <w:p w:rsidRPr="00981DE0" w:rsidR="00981DE0" w:rsidP="00596C6D" w:rsidRDefault="00981DE0" w14:paraId="55947756" w14:textId="77777777">
      <w:pPr>
        <w:shd w:val="clear" w:color="auto" w:fill="FFFFFF"/>
        <w:spacing w:after="160" w:line="259" w:lineRule="auto"/>
        <w:rPr>
          <w:rFonts w:eastAsia="Calibri"/>
        </w:rPr>
      </w:pPr>
    </w:p>
    <w:sectPr w:rsidRPr="00981DE0" w:rsidR="00981DE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80B03" w14:textId="77777777" w:rsidR="00DC6DCF" w:rsidRDefault="00DC6DCF" w:rsidP="00A95466">
      <w:r>
        <w:separator/>
      </w:r>
    </w:p>
  </w:endnote>
  <w:endnote w:type="continuationSeparator" w:id="0">
    <w:p w14:paraId="32C8C166" w14:textId="77777777" w:rsidR="00DC6DCF" w:rsidRDefault="00DC6DCF" w:rsidP="00A95466">
      <w:r>
        <w:continuationSeparator/>
      </w:r>
    </w:p>
  </w:endnote>
  <w:endnote w:type="continuationNotice" w:id="1">
    <w:p w14:paraId="3456DF79" w14:textId="77777777" w:rsidR="00DC6DCF" w:rsidRDefault="00DC6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3D4B4" w14:textId="77777777" w:rsidR="00F56C5D" w:rsidRDefault="00F56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89CBE" w14:textId="14835FD5" w:rsidR="00A95466" w:rsidRPr="007A0429" w:rsidRDefault="00815F0E">
    <w:pPr>
      <w:pStyle w:val="Footer"/>
      <w:rPr>
        <w:sz w:val="20"/>
        <w:szCs w:val="20"/>
      </w:rPr>
    </w:pPr>
    <w:r>
      <w:rPr>
        <w:sz w:val="20"/>
        <w:szCs w:val="20"/>
      </w:rPr>
      <w:t>S</w:t>
    </w:r>
    <w:r w:rsidR="008E5112" w:rsidRPr="007A0429">
      <w:rPr>
        <w:sz w:val="20"/>
        <w:szCs w:val="20"/>
      </w:rPr>
      <w:t>Manot_</w:t>
    </w:r>
    <w:r w:rsidR="00F56C5D">
      <w:rPr>
        <w:sz w:val="20"/>
        <w:szCs w:val="20"/>
      </w:rPr>
      <w:t>0202</w:t>
    </w:r>
    <w:r>
      <w:rPr>
        <w:sz w:val="20"/>
        <w:szCs w:val="20"/>
      </w:rPr>
      <w:t>21</w:t>
    </w:r>
    <w:r w:rsidR="008E5112" w:rsidRPr="007A0429">
      <w:rPr>
        <w:sz w:val="20"/>
        <w:szCs w:val="20"/>
      </w:rPr>
      <w:t>_</w:t>
    </w:r>
    <w:r w:rsidR="00596C6D" w:rsidRPr="007A0429">
      <w:rPr>
        <w:sz w:val="20"/>
        <w:szCs w:val="20"/>
      </w:rPr>
      <w:t>MK360</w:t>
    </w:r>
    <w:r w:rsidR="008E5112" w:rsidRPr="007A0429">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71BEF" w14:textId="77777777" w:rsidR="00F56C5D" w:rsidRDefault="00F56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4B65E" w14:textId="77777777" w:rsidR="00DC6DCF" w:rsidRDefault="00DC6DCF" w:rsidP="00A95466">
      <w:r>
        <w:separator/>
      </w:r>
    </w:p>
  </w:footnote>
  <w:footnote w:type="continuationSeparator" w:id="0">
    <w:p w14:paraId="52FED834" w14:textId="77777777" w:rsidR="00DC6DCF" w:rsidRDefault="00DC6DCF" w:rsidP="00A95466">
      <w:r>
        <w:continuationSeparator/>
      </w:r>
    </w:p>
  </w:footnote>
  <w:footnote w:type="continuationNotice" w:id="1">
    <w:p w14:paraId="7CA6800A" w14:textId="77777777" w:rsidR="00DC6DCF" w:rsidRDefault="00DC6DCF"/>
  </w:footnote>
  <w:footnote w:id="2">
    <w:p w14:paraId="280B6170" w14:textId="77777777" w:rsidR="005C66BF" w:rsidRDefault="005C66BF" w:rsidP="005C66BF">
      <w:pPr>
        <w:pStyle w:val="FootnoteText"/>
      </w:pPr>
      <w:r>
        <w:rPr>
          <w:rStyle w:val="FootnoteReference"/>
        </w:rPr>
        <w:footnoteRef/>
      </w:r>
      <w:r>
        <w:t xml:space="preserve"> </w:t>
      </w:r>
      <w:hyperlink r:id="rId1" w:history="1">
        <w:r w:rsidRPr="00B62E0A">
          <w:rPr>
            <w:rStyle w:val="Hyperlink"/>
          </w:rPr>
          <w:t>https://eur-lex.europa.eu/legal-content/LV/TXT/?uri=CELEX%3A52020DC0685&amp;qid=1611644931985</w:t>
        </w:r>
      </w:hyperlink>
      <w:r>
        <w:t xml:space="preserve"> </w:t>
      </w:r>
    </w:p>
  </w:footnote>
  <w:footnote w:id="3">
    <w:p w14:paraId="57A5D855" w14:textId="77777777" w:rsidR="005C66BF" w:rsidRDefault="005C66BF" w:rsidP="005C66BF">
      <w:pPr>
        <w:pStyle w:val="FootnoteText"/>
      </w:pPr>
      <w:r>
        <w:rPr>
          <w:rStyle w:val="FootnoteReference"/>
        </w:rPr>
        <w:footnoteRef/>
      </w:r>
      <w:r>
        <w:t xml:space="preserve"> </w:t>
      </w:r>
      <w:hyperlink r:id="rId2" w:history="1">
        <w:r w:rsidRPr="00B62E0A">
          <w:rPr>
            <w:rStyle w:val="Hyperlink"/>
          </w:rPr>
          <w:t>https://eur-lex.europa.eu/legal-content/LV/TXT/?uri=CELEX%3A52020XC0324%2801%29&amp;qid=1603722703965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6C5D" w:rsidRDefault="00F56C5D" w14:paraId="663A40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6C5D" w:rsidRDefault="00F56C5D" w14:paraId="2797068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6C5D" w:rsidRDefault="00F56C5D" w14:paraId="4404CA4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102DE"/>
    <w:multiLevelType w:val="multilevel"/>
    <w:tmpl w:val="6310ED54"/>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1CD95814"/>
    <w:multiLevelType w:val="hybridMultilevel"/>
    <w:tmpl w:val="208E48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B7325C"/>
    <w:multiLevelType w:val="multilevel"/>
    <w:tmpl w:val="BEE843F0"/>
    <w:lvl w:ilvl="0">
      <w:start w:val="1"/>
      <w:numFmt w:val="decimal"/>
      <w:lvlText w:val="%1."/>
      <w:lvlJc w:val="left"/>
      <w:pPr>
        <w:ind w:left="927" w:hanging="360"/>
      </w:pPr>
      <w:rPr>
        <w:rFonts w:ascii="Times New Roman" w:eastAsia="Calibri"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 w15:restartNumberingAfterBreak="0">
    <w:nsid w:val="513D572C"/>
    <w:multiLevelType w:val="hybridMultilevel"/>
    <w:tmpl w:val="072CA4B6"/>
    <w:lvl w:ilvl="0" w:tplc="E46817A8">
      <w:start w:val="1"/>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B028F9"/>
    <w:multiLevelType w:val="hybridMultilevel"/>
    <w:tmpl w:val="100863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B9539FC"/>
    <w:multiLevelType w:val="hybridMultilevel"/>
    <w:tmpl w:val="0DFA7562"/>
    <w:lvl w:ilvl="0" w:tplc="4250868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E684305"/>
    <w:multiLevelType w:val="hybridMultilevel"/>
    <w:tmpl w:val="A276033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B26"/>
    <w:rsid w:val="00010FEE"/>
    <w:rsid w:val="00011A2B"/>
    <w:rsid w:val="00012927"/>
    <w:rsid w:val="000270FA"/>
    <w:rsid w:val="000271E8"/>
    <w:rsid w:val="00032261"/>
    <w:rsid w:val="00042C31"/>
    <w:rsid w:val="00056ECA"/>
    <w:rsid w:val="00063D77"/>
    <w:rsid w:val="00073E1B"/>
    <w:rsid w:val="00075BCE"/>
    <w:rsid w:val="00081E18"/>
    <w:rsid w:val="000B01CA"/>
    <w:rsid w:val="000B33FE"/>
    <w:rsid w:val="000C563C"/>
    <w:rsid w:val="000E3DCC"/>
    <w:rsid w:val="000E4BBC"/>
    <w:rsid w:val="00102291"/>
    <w:rsid w:val="00104819"/>
    <w:rsid w:val="001176C4"/>
    <w:rsid w:val="00130C97"/>
    <w:rsid w:val="0013181D"/>
    <w:rsid w:val="001339A7"/>
    <w:rsid w:val="00135F78"/>
    <w:rsid w:val="0015463C"/>
    <w:rsid w:val="001561ED"/>
    <w:rsid w:val="001563B8"/>
    <w:rsid w:val="001644A8"/>
    <w:rsid w:val="00164641"/>
    <w:rsid w:val="00173292"/>
    <w:rsid w:val="0017332A"/>
    <w:rsid w:val="001779B4"/>
    <w:rsid w:val="00184CB4"/>
    <w:rsid w:val="00192C8F"/>
    <w:rsid w:val="001C3C00"/>
    <w:rsid w:val="001D15C3"/>
    <w:rsid w:val="001E1BFD"/>
    <w:rsid w:val="001F4A27"/>
    <w:rsid w:val="001F625F"/>
    <w:rsid w:val="002143CB"/>
    <w:rsid w:val="0021662C"/>
    <w:rsid w:val="00220A6D"/>
    <w:rsid w:val="002347EA"/>
    <w:rsid w:val="00240BDD"/>
    <w:rsid w:val="0024110F"/>
    <w:rsid w:val="0024755C"/>
    <w:rsid w:val="00247B44"/>
    <w:rsid w:val="00255A7F"/>
    <w:rsid w:val="00273F4F"/>
    <w:rsid w:val="002745A9"/>
    <w:rsid w:val="002815B2"/>
    <w:rsid w:val="00283A1F"/>
    <w:rsid w:val="0028770E"/>
    <w:rsid w:val="00294CB6"/>
    <w:rsid w:val="002A6A03"/>
    <w:rsid w:val="002A6BF2"/>
    <w:rsid w:val="002B74CF"/>
    <w:rsid w:val="002C6534"/>
    <w:rsid w:val="002D0F4B"/>
    <w:rsid w:val="002E1074"/>
    <w:rsid w:val="002E365B"/>
    <w:rsid w:val="002F1BF1"/>
    <w:rsid w:val="002F2029"/>
    <w:rsid w:val="003128B9"/>
    <w:rsid w:val="00321D39"/>
    <w:rsid w:val="00325490"/>
    <w:rsid w:val="00332561"/>
    <w:rsid w:val="00340C53"/>
    <w:rsid w:val="00346809"/>
    <w:rsid w:val="00387B88"/>
    <w:rsid w:val="00393766"/>
    <w:rsid w:val="00396618"/>
    <w:rsid w:val="003B3EAB"/>
    <w:rsid w:val="003D50F7"/>
    <w:rsid w:val="003F17AB"/>
    <w:rsid w:val="003F4DEF"/>
    <w:rsid w:val="00414490"/>
    <w:rsid w:val="00425702"/>
    <w:rsid w:val="00430B9C"/>
    <w:rsid w:val="00434CC4"/>
    <w:rsid w:val="00447FE2"/>
    <w:rsid w:val="00464FC4"/>
    <w:rsid w:val="00473656"/>
    <w:rsid w:val="00487643"/>
    <w:rsid w:val="004930B8"/>
    <w:rsid w:val="004935FA"/>
    <w:rsid w:val="004A16F3"/>
    <w:rsid w:val="004A62C2"/>
    <w:rsid w:val="004C6E8E"/>
    <w:rsid w:val="004D6480"/>
    <w:rsid w:val="004E5020"/>
    <w:rsid w:val="004F5E63"/>
    <w:rsid w:val="005005C6"/>
    <w:rsid w:val="00510A15"/>
    <w:rsid w:val="00521905"/>
    <w:rsid w:val="00531CD4"/>
    <w:rsid w:val="00541113"/>
    <w:rsid w:val="00563CDC"/>
    <w:rsid w:val="0059586B"/>
    <w:rsid w:val="00596C6D"/>
    <w:rsid w:val="00597C63"/>
    <w:rsid w:val="005C1385"/>
    <w:rsid w:val="005C66BF"/>
    <w:rsid w:val="005D0460"/>
    <w:rsid w:val="005D0F89"/>
    <w:rsid w:val="005D2D45"/>
    <w:rsid w:val="005D3A6A"/>
    <w:rsid w:val="005F0735"/>
    <w:rsid w:val="00606C40"/>
    <w:rsid w:val="0063626E"/>
    <w:rsid w:val="00641686"/>
    <w:rsid w:val="006462B6"/>
    <w:rsid w:val="00660E0E"/>
    <w:rsid w:val="00674AB2"/>
    <w:rsid w:val="00685873"/>
    <w:rsid w:val="00691A2B"/>
    <w:rsid w:val="006E2100"/>
    <w:rsid w:val="006E5706"/>
    <w:rsid w:val="006E7C7D"/>
    <w:rsid w:val="006F7292"/>
    <w:rsid w:val="00703A2B"/>
    <w:rsid w:val="00704805"/>
    <w:rsid w:val="00707C48"/>
    <w:rsid w:val="00713DD0"/>
    <w:rsid w:val="00720DD8"/>
    <w:rsid w:val="00731B33"/>
    <w:rsid w:val="007355D7"/>
    <w:rsid w:val="007449EC"/>
    <w:rsid w:val="0075018E"/>
    <w:rsid w:val="0075276E"/>
    <w:rsid w:val="00781E37"/>
    <w:rsid w:val="00791393"/>
    <w:rsid w:val="00791DF8"/>
    <w:rsid w:val="007A0429"/>
    <w:rsid w:val="007B1AF6"/>
    <w:rsid w:val="007C7986"/>
    <w:rsid w:val="007D14BB"/>
    <w:rsid w:val="007E3609"/>
    <w:rsid w:val="008018CF"/>
    <w:rsid w:val="00805B25"/>
    <w:rsid w:val="00812A4B"/>
    <w:rsid w:val="00814D56"/>
    <w:rsid w:val="00815F0E"/>
    <w:rsid w:val="00817300"/>
    <w:rsid w:val="00821464"/>
    <w:rsid w:val="008231B5"/>
    <w:rsid w:val="00823B9D"/>
    <w:rsid w:val="008271F4"/>
    <w:rsid w:val="00833A28"/>
    <w:rsid w:val="0084412E"/>
    <w:rsid w:val="008448FC"/>
    <w:rsid w:val="00855183"/>
    <w:rsid w:val="00867ECB"/>
    <w:rsid w:val="008729ED"/>
    <w:rsid w:val="00881F8F"/>
    <w:rsid w:val="0089471C"/>
    <w:rsid w:val="0089751E"/>
    <w:rsid w:val="008A0040"/>
    <w:rsid w:val="008A7B79"/>
    <w:rsid w:val="008B59AF"/>
    <w:rsid w:val="008C45DC"/>
    <w:rsid w:val="008D5542"/>
    <w:rsid w:val="008D7B75"/>
    <w:rsid w:val="008E3599"/>
    <w:rsid w:val="008E5112"/>
    <w:rsid w:val="00905712"/>
    <w:rsid w:val="00913331"/>
    <w:rsid w:val="0091343D"/>
    <w:rsid w:val="0092381D"/>
    <w:rsid w:val="009277F7"/>
    <w:rsid w:val="00945F98"/>
    <w:rsid w:val="00950134"/>
    <w:rsid w:val="00951D75"/>
    <w:rsid w:val="00956EED"/>
    <w:rsid w:val="009636C6"/>
    <w:rsid w:val="00971CDA"/>
    <w:rsid w:val="009721A7"/>
    <w:rsid w:val="009752A2"/>
    <w:rsid w:val="00981DE0"/>
    <w:rsid w:val="009866C1"/>
    <w:rsid w:val="00992591"/>
    <w:rsid w:val="009932A1"/>
    <w:rsid w:val="00996D43"/>
    <w:rsid w:val="009A24FB"/>
    <w:rsid w:val="009D2426"/>
    <w:rsid w:val="009D524A"/>
    <w:rsid w:val="009D614E"/>
    <w:rsid w:val="009D7AFA"/>
    <w:rsid w:val="009E2C0D"/>
    <w:rsid w:val="009E46A6"/>
    <w:rsid w:val="009E48A0"/>
    <w:rsid w:val="009E5540"/>
    <w:rsid w:val="009E5E9C"/>
    <w:rsid w:val="009F12CD"/>
    <w:rsid w:val="009F5AD2"/>
    <w:rsid w:val="009F778A"/>
    <w:rsid w:val="00A00481"/>
    <w:rsid w:val="00A03161"/>
    <w:rsid w:val="00A0454F"/>
    <w:rsid w:val="00A05D7A"/>
    <w:rsid w:val="00A526EB"/>
    <w:rsid w:val="00A53003"/>
    <w:rsid w:val="00A70994"/>
    <w:rsid w:val="00A71FA3"/>
    <w:rsid w:val="00A730BE"/>
    <w:rsid w:val="00A73798"/>
    <w:rsid w:val="00A93400"/>
    <w:rsid w:val="00A95466"/>
    <w:rsid w:val="00AA32EC"/>
    <w:rsid w:val="00AA591D"/>
    <w:rsid w:val="00AA7285"/>
    <w:rsid w:val="00AB38C7"/>
    <w:rsid w:val="00AC1D44"/>
    <w:rsid w:val="00B03D4E"/>
    <w:rsid w:val="00B15B76"/>
    <w:rsid w:val="00B21287"/>
    <w:rsid w:val="00B2735D"/>
    <w:rsid w:val="00B316B9"/>
    <w:rsid w:val="00B45995"/>
    <w:rsid w:val="00B52E3A"/>
    <w:rsid w:val="00B54320"/>
    <w:rsid w:val="00B54A03"/>
    <w:rsid w:val="00B655C5"/>
    <w:rsid w:val="00B67900"/>
    <w:rsid w:val="00B7478C"/>
    <w:rsid w:val="00B803F5"/>
    <w:rsid w:val="00B81406"/>
    <w:rsid w:val="00B817C2"/>
    <w:rsid w:val="00B818B6"/>
    <w:rsid w:val="00B82DBC"/>
    <w:rsid w:val="00B87C51"/>
    <w:rsid w:val="00B94112"/>
    <w:rsid w:val="00B9560C"/>
    <w:rsid w:val="00BC3CD4"/>
    <w:rsid w:val="00BC578D"/>
    <w:rsid w:val="00BC638C"/>
    <w:rsid w:val="00BD5588"/>
    <w:rsid w:val="00BF2106"/>
    <w:rsid w:val="00BF7D9F"/>
    <w:rsid w:val="00C06AB4"/>
    <w:rsid w:val="00C071A1"/>
    <w:rsid w:val="00C17E2E"/>
    <w:rsid w:val="00C21E39"/>
    <w:rsid w:val="00C405BE"/>
    <w:rsid w:val="00C540CC"/>
    <w:rsid w:val="00C56054"/>
    <w:rsid w:val="00C57A45"/>
    <w:rsid w:val="00C621BC"/>
    <w:rsid w:val="00C665D2"/>
    <w:rsid w:val="00C73AAA"/>
    <w:rsid w:val="00CA0B0E"/>
    <w:rsid w:val="00CA2D26"/>
    <w:rsid w:val="00CA6C13"/>
    <w:rsid w:val="00CB5E09"/>
    <w:rsid w:val="00CC721C"/>
    <w:rsid w:val="00CD659B"/>
    <w:rsid w:val="00D150B5"/>
    <w:rsid w:val="00D1593B"/>
    <w:rsid w:val="00D17B1A"/>
    <w:rsid w:val="00D21776"/>
    <w:rsid w:val="00D23B25"/>
    <w:rsid w:val="00D410B3"/>
    <w:rsid w:val="00D459EB"/>
    <w:rsid w:val="00D472D3"/>
    <w:rsid w:val="00D573A7"/>
    <w:rsid w:val="00D6208D"/>
    <w:rsid w:val="00D661CD"/>
    <w:rsid w:val="00D70A16"/>
    <w:rsid w:val="00D82960"/>
    <w:rsid w:val="00D87ED1"/>
    <w:rsid w:val="00D93003"/>
    <w:rsid w:val="00D96217"/>
    <w:rsid w:val="00DA2601"/>
    <w:rsid w:val="00DB4CE4"/>
    <w:rsid w:val="00DC5007"/>
    <w:rsid w:val="00DC6DCF"/>
    <w:rsid w:val="00DD1B8C"/>
    <w:rsid w:val="00DE36DC"/>
    <w:rsid w:val="00DF46A6"/>
    <w:rsid w:val="00E0136A"/>
    <w:rsid w:val="00E019E1"/>
    <w:rsid w:val="00E13D3F"/>
    <w:rsid w:val="00E13E02"/>
    <w:rsid w:val="00E27F84"/>
    <w:rsid w:val="00E44472"/>
    <w:rsid w:val="00E44627"/>
    <w:rsid w:val="00E50AF2"/>
    <w:rsid w:val="00E52A2F"/>
    <w:rsid w:val="00E5757E"/>
    <w:rsid w:val="00E57DB1"/>
    <w:rsid w:val="00E629DC"/>
    <w:rsid w:val="00E6701F"/>
    <w:rsid w:val="00E7019D"/>
    <w:rsid w:val="00E71339"/>
    <w:rsid w:val="00E755CD"/>
    <w:rsid w:val="00E77410"/>
    <w:rsid w:val="00E84638"/>
    <w:rsid w:val="00E9063F"/>
    <w:rsid w:val="00EA13E2"/>
    <w:rsid w:val="00EA33B0"/>
    <w:rsid w:val="00ED25A9"/>
    <w:rsid w:val="00ED35DE"/>
    <w:rsid w:val="00EF2E23"/>
    <w:rsid w:val="00EF75D3"/>
    <w:rsid w:val="00F06C43"/>
    <w:rsid w:val="00F13BBF"/>
    <w:rsid w:val="00F179CD"/>
    <w:rsid w:val="00F202F1"/>
    <w:rsid w:val="00F33329"/>
    <w:rsid w:val="00F33A24"/>
    <w:rsid w:val="00F443C2"/>
    <w:rsid w:val="00F466E2"/>
    <w:rsid w:val="00F540DA"/>
    <w:rsid w:val="00F56C5D"/>
    <w:rsid w:val="00F6140D"/>
    <w:rsid w:val="00F8037B"/>
    <w:rsid w:val="00F858F0"/>
    <w:rsid w:val="00FD2856"/>
    <w:rsid w:val="00FD742D"/>
    <w:rsid w:val="00FE6EEE"/>
    <w:rsid w:val="0283F34D"/>
    <w:rsid w:val="04746B06"/>
    <w:rsid w:val="075CD181"/>
    <w:rsid w:val="110BA14D"/>
    <w:rsid w:val="1622FAC5"/>
    <w:rsid w:val="17DB80DA"/>
    <w:rsid w:val="18B46558"/>
    <w:rsid w:val="1B480661"/>
    <w:rsid w:val="1B81043C"/>
    <w:rsid w:val="1DD0FBF8"/>
    <w:rsid w:val="1EEDB26C"/>
    <w:rsid w:val="2138A3BD"/>
    <w:rsid w:val="285A9830"/>
    <w:rsid w:val="29DBF258"/>
    <w:rsid w:val="2A11947E"/>
    <w:rsid w:val="2B474DB6"/>
    <w:rsid w:val="2F15C10F"/>
    <w:rsid w:val="357CE337"/>
    <w:rsid w:val="3718B398"/>
    <w:rsid w:val="390D4063"/>
    <w:rsid w:val="3DE63E1C"/>
    <w:rsid w:val="4645B177"/>
    <w:rsid w:val="482AB9B1"/>
    <w:rsid w:val="483AC693"/>
    <w:rsid w:val="4ABF21E5"/>
    <w:rsid w:val="4D49497A"/>
    <w:rsid w:val="4D8CDE0F"/>
    <w:rsid w:val="50789776"/>
    <w:rsid w:val="597F8BAA"/>
    <w:rsid w:val="59CB7305"/>
    <w:rsid w:val="5B674366"/>
    <w:rsid w:val="5E9EE428"/>
    <w:rsid w:val="5E9FE047"/>
    <w:rsid w:val="6705EA4A"/>
    <w:rsid w:val="68B679AF"/>
    <w:rsid w:val="69F29FD0"/>
    <w:rsid w:val="6A1F6D83"/>
    <w:rsid w:val="6D2A4092"/>
    <w:rsid w:val="6F563697"/>
    <w:rsid w:val="6F98BE03"/>
    <w:rsid w:val="70DF8B8E"/>
    <w:rsid w:val="71C06C95"/>
    <w:rsid w:val="72E98722"/>
    <w:rsid w:val="75681175"/>
    <w:rsid w:val="76AEDF00"/>
    <w:rsid w:val="774FC931"/>
    <w:rsid w:val="789FB237"/>
    <w:rsid w:val="7BCE377E"/>
    <w:rsid w:val="7BE75FDB"/>
    <w:rsid w:val="7D6A07DF"/>
    <w:rsid w:val="7F05D8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3B7E"/>
  <w15:docId w15:val="{ACCCE610-E474-40D5-A9F9-797053B5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2F2029"/>
    <w:pPr>
      <w:ind w:left="720"/>
      <w:contextualSpacing/>
    </w:pPr>
  </w:style>
  <w:style w:type="paragraph" w:styleId="Header">
    <w:name w:val="header"/>
    <w:basedOn w:val="Normal"/>
    <w:link w:val="HeaderChar"/>
    <w:uiPriority w:val="99"/>
    <w:unhideWhenUsed/>
    <w:rsid w:val="00A95466"/>
    <w:pPr>
      <w:tabs>
        <w:tab w:val="center" w:pos="4153"/>
        <w:tab w:val="right" w:pos="8306"/>
      </w:tabs>
    </w:pPr>
  </w:style>
  <w:style w:type="character" w:customStyle="1" w:styleId="HeaderChar">
    <w:name w:val="Header Char"/>
    <w:basedOn w:val="DefaultParagraphFont"/>
    <w:link w:val="Header"/>
    <w:uiPriority w:val="99"/>
    <w:rsid w:val="00A9546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95466"/>
    <w:pPr>
      <w:tabs>
        <w:tab w:val="center" w:pos="4153"/>
        <w:tab w:val="right" w:pos="8306"/>
      </w:tabs>
    </w:pPr>
  </w:style>
  <w:style w:type="character" w:customStyle="1" w:styleId="FooterChar">
    <w:name w:val="Footer Char"/>
    <w:basedOn w:val="DefaultParagraphFont"/>
    <w:link w:val="Footer"/>
    <w:uiPriority w:val="99"/>
    <w:rsid w:val="00A95466"/>
    <w:rPr>
      <w:rFonts w:ascii="Times New Roman" w:eastAsia="Times New Roman" w:hAnsi="Times New Roman" w:cs="Times New Roman"/>
      <w:sz w:val="24"/>
      <w:szCs w:val="24"/>
      <w:lang w:eastAsia="lv-LV"/>
    </w:rPr>
  </w:style>
  <w:style w:type="paragraph" w:customStyle="1" w:styleId="paragraph">
    <w:name w:val="paragraph"/>
    <w:basedOn w:val="Normal"/>
    <w:rsid w:val="00E50AF2"/>
    <w:pPr>
      <w:spacing w:before="100" w:beforeAutospacing="1" w:after="100" w:afterAutospacing="1"/>
    </w:pPr>
  </w:style>
  <w:style w:type="character" w:customStyle="1" w:styleId="normaltextrun">
    <w:name w:val="normaltextrun"/>
    <w:basedOn w:val="DefaultParagraphFont"/>
    <w:rsid w:val="00E50AF2"/>
  </w:style>
  <w:style w:type="character" w:customStyle="1" w:styleId="eop">
    <w:name w:val="eop"/>
    <w:basedOn w:val="DefaultParagraphFont"/>
    <w:rsid w:val="00E50AF2"/>
  </w:style>
  <w:style w:type="paragraph" w:styleId="BalloonText">
    <w:name w:val="Balloon Text"/>
    <w:basedOn w:val="Normal"/>
    <w:link w:val="BalloonTextChar"/>
    <w:uiPriority w:val="99"/>
    <w:semiHidden/>
    <w:unhideWhenUsed/>
    <w:rsid w:val="00184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CB4"/>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DF46A6"/>
    <w:rPr>
      <w:sz w:val="16"/>
      <w:szCs w:val="16"/>
    </w:rPr>
  </w:style>
  <w:style w:type="paragraph" w:styleId="CommentText">
    <w:name w:val="annotation text"/>
    <w:basedOn w:val="Normal"/>
    <w:link w:val="CommentTextChar"/>
    <w:uiPriority w:val="99"/>
    <w:semiHidden/>
    <w:unhideWhenUsed/>
    <w:rsid w:val="00DF46A6"/>
    <w:rPr>
      <w:sz w:val="20"/>
      <w:szCs w:val="20"/>
    </w:rPr>
  </w:style>
  <w:style w:type="character" w:customStyle="1" w:styleId="CommentTextChar">
    <w:name w:val="Comment Text Char"/>
    <w:basedOn w:val="DefaultParagraphFont"/>
    <w:link w:val="CommentText"/>
    <w:uiPriority w:val="99"/>
    <w:semiHidden/>
    <w:rsid w:val="00DF46A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F46A6"/>
    <w:rPr>
      <w:b/>
      <w:bCs/>
    </w:rPr>
  </w:style>
  <w:style w:type="character" w:customStyle="1" w:styleId="CommentSubjectChar">
    <w:name w:val="Comment Subject Char"/>
    <w:basedOn w:val="CommentTextChar"/>
    <w:link w:val="CommentSubject"/>
    <w:uiPriority w:val="99"/>
    <w:semiHidden/>
    <w:rsid w:val="00DF46A6"/>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1176C4"/>
    <w:rPr>
      <w:color w:val="605E5C"/>
      <w:shd w:val="clear" w:color="auto" w:fill="E1DFDD"/>
    </w:rPr>
  </w:style>
  <w:style w:type="paragraph" w:styleId="FootnoteText">
    <w:name w:val="footnote text"/>
    <w:basedOn w:val="Normal"/>
    <w:link w:val="FootnoteTextChar"/>
    <w:semiHidden/>
    <w:unhideWhenUsed/>
    <w:rsid w:val="005C66BF"/>
    <w:rPr>
      <w:sz w:val="20"/>
      <w:szCs w:val="20"/>
    </w:rPr>
  </w:style>
  <w:style w:type="character" w:customStyle="1" w:styleId="FootnoteTextChar">
    <w:name w:val="Footnote Text Char"/>
    <w:basedOn w:val="DefaultParagraphFont"/>
    <w:link w:val="FootnoteText"/>
    <w:semiHidden/>
    <w:rsid w:val="005C66BF"/>
    <w:rPr>
      <w:rFonts w:ascii="Times New Roman" w:eastAsia="Times New Roman" w:hAnsi="Times New Roman" w:cs="Times New Roman"/>
      <w:sz w:val="20"/>
      <w:szCs w:val="20"/>
      <w:lang w:eastAsia="lv-LV"/>
    </w:rPr>
  </w:style>
  <w:style w:type="character" w:styleId="FootnoteReference">
    <w:name w:val="footnote reference"/>
    <w:semiHidden/>
    <w:unhideWhenUsed/>
    <w:rsid w:val="005C66BF"/>
    <w:rPr>
      <w:vertAlign w:val="superscript"/>
    </w:rPr>
  </w:style>
  <w:style w:type="paragraph" w:styleId="Revision">
    <w:name w:val="Revision"/>
    <w:hidden/>
    <w:uiPriority w:val="99"/>
    <w:semiHidden/>
    <w:rsid w:val="00805B25"/>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730192">
      <w:bodyDiv w:val="1"/>
      <w:marLeft w:val="0"/>
      <w:marRight w:val="0"/>
      <w:marTop w:val="0"/>
      <w:marBottom w:val="0"/>
      <w:divBdr>
        <w:top w:val="none" w:sz="0" w:space="0" w:color="auto"/>
        <w:left w:val="none" w:sz="0" w:space="0" w:color="auto"/>
        <w:bottom w:val="none" w:sz="0" w:space="0" w:color="auto"/>
        <w:right w:val="none" w:sz="0" w:space="0" w:color="auto"/>
      </w:divBdr>
      <w:divsChild>
        <w:div w:id="256402805">
          <w:marLeft w:val="0"/>
          <w:marRight w:val="0"/>
          <w:marTop w:val="0"/>
          <w:marBottom w:val="567"/>
          <w:divBdr>
            <w:top w:val="none" w:sz="0" w:space="0" w:color="auto"/>
            <w:left w:val="none" w:sz="0" w:space="0" w:color="auto"/>
            <w:bottom w:val="none" w:sz="0" w:space="0" w:color="auto"/>
            <w:right w:val="none" w:sz="0" w:space="0" w:color="auto"/>
          </w:divBdr>
        </w:div>
        <w:div w:id="615406829">
          <w:marLeft w:val="0"/>
          <w:marRight w:val="0"/>
          <w:marTop w:val="480"/>
          <w:marBottom w:val="240"/>
          <w:divBdr>
            <w:top w:val="none" w:sz="0" w:space="0" w:color="auto"/>
            <w:left w:val="none" w:sz="0" w:space="0" w:color="auto"/>
            <w:bottom w:val="none" w:sz="0" w:space="0" w:color="auto"/>
            <w:right w:val="none" w:sz="0" w:space="0" w:color="auto"/>
          </w:divBdr>
        </w:div>
      </w:divsChild>
    </w:div>
    <w:div w:id="1577470330">
      <w:bodyDiv w:val="1"/>
      <w:marLeft w:val="0"/>
      <w:marRight w:val="0"/>
      <w:marTop w:val="0"/>
      <w:marBottom w:val="0"/>
      <w:divBdr>
        <w:top w:val="none" w:sz="0" w:space="0" w:color="auto"/>
        <w:left w:val="none" w:sz="0" w:space="0" w:color="auto"/>
        <w:bottom w:val="none" w:sz="0" w:space="0" w:color="auto"/>
        <w:right w:val="none" w:sz="0" w:space="0" w:color="auto"/>
      </w:divBdr>
    </w:div>
    <w:div w:id="1707758038">
      <w:bodyDiv w:val="1"/>
      <w:marLeft w:val="0"/>
      <w:marRight w:val="0"/>
      <w:marTop w:val="0"/>
      <w:marBottom w:val="0"/>
      <w:divBdr>
        <w:top w:val="none" w:sz="0" w:space="0" w:color="auto"/>
        <w:left w:val="none" w:sz="0" w:space="0" w:color="auto"/>
        <w:bottom w:val="none" w:sz="0" w:space="0" w:color="auto"/>
        <w:right w:val="none" w:sz="0" w:space="0" w:color="auto"/>
      </w:divBdr>
    </w:div>
    <w:div w:id="2061856762">
      <w:bodyDiv w:val="1"/>
      <w:marLeft w:val="0"/>
      <w:marRight w:val="0"/>
      <w:marTop w:val="0"/>
      <w:marBottom w:val="0"/>
      <w:divBdr>
        <w:top w:val="none" w:sz="0" w:space="0" w:color="auto"/>
        <w:left w:val="none" w:sz="0" w:space="0" w:color="auto"/>
        <w:bottom w:val="none" w:sz="0" w:space="0" w:color="auto"/>
        <w:right w:val="none" w:sz="0" w:space="0" w:color="auto"/>
      </w:divBdr>
      <w:divsChild>
        <w:div w:id="111485257">
          <w:marLeft w:val="0"/>
          <w:marRight w:val="0"/>
          <w:marTop w:val="0"/>
          <w:marBottom w:val="0"/>
          <w:divBdr>
            <w:top w:val="none" w:sz="0" w:space="0" w:color="auto"/>
            <w:left w:val="none" w:sz="0" w:space="0" w:color="auto"/>
            <w:bottom w:val="none" w:sz="0" w:space="0" w:color="auto"/>
            <w:right w:val="none" w:sz="0" w:space="0" w:color="auto"/>
          </w:divBdr>
        </w:div>
        <w:div w:id="200283535">
          <w:marLeft w:val="0"/>
          <w:marRight w:val="0"/>
          <w:marTop w:val="0"/>
          <w:marBottom w:val="0"/>
          <w:divBdr>
            <w:top w:val="none" w:sz="0" w:space="0" w:color="auto"/>
            <w:left w:val="none" w:sz="0" w:space="0" w:color="auto"/>
            <w:bottom w:val="none" w:sz="0" w:space="0" w:color="auto"/>
            <w:right w:val="none" w:sz="0" w:space="0" w:color="auto"/>
          </w:divBdr>
        </w:div>
        <w:div w:id="779303760">
          <w:marLeft w:val="0"/>
          <w:marRight w:val="0"/>
          <w:marTop w:val="0"/>
          <w:marBottom w:val="0"/>
          <w:divBdr>
            <w:top w:val="none" w:sz="0" w:space="0" w:color="auto"/>
            <w:left w:val="none" w:sz="0" w:space="0" w:color="auto"/>
            <w:bottom w:val="none" w:sz="0" w:space="0" w:color="auto"/>
            <w:right w:val="none" w:sz="0" w:space="0" w:color="auto"/>
          </w:divBdr>
        </w:div>
        <w:div w:id="1161119575">
          <w:marLeft w:val="0"/>
          <w:marRight w:val="0"/>
          <w:marTop w:val="0"/>
          <w:marBottom w:val="0"/>
          <w:divBdr>
            <w:top w:val="none" w:sz="0" w:space="0" w:color="auto"/>
            <w:left w:val="none" w:sz="0" w:space="0" w:color="auto"/>
            <w:bottom w:val="none" w:sz="0" w:space="0" w:color="auto"/>
            <w:right w:val="none" w:sz="0" w:space="0" w:color="auto"/>
          </w:divBdr>
        </w:div>
        <w:div w:id="1965847300">
          <w:marLeft w:val="0"/>
          <w:marRight w:val="0"/>
          <w:marTop w:val="0"/>
          <w:marBottom w:val="0"/>
          <w:divBdr>
            <w:top w:val="none" w:sz="0" w:space="0" w:color="auto"/>
            <w:left w:val="none" w:sz="0" w:space="0" w:color="auto"/>
            <w:bottom w:val="none" w:sz="0" w:space="0" w:color="auto"/>
            <w:right w:val="none" w:sz="0" w:space="0" w:color="auto"/>
          </w:divBdr>
        </w:div>
        <w:div w:id="1976830775">
          <w:marLeft w:val="0"/>
          <w:marRight w:val="0"/>
          <w:marTop w:val="0"/>
          <w:marBottom w:val="0"/>
          <w:divBdr>
            <w:top w:val="none" w:sz="0" w:space="0" w:color="auto"/>
            <w:left w:val="none" w:sz="0" w:space="0" w:color="auto"/>
            <w:bottom w:val="none" w:sz="0" w:space="0" w:color="auto"/>
            <w:right w:val="none" w:sz="0" w:space="0" w:color="auto"/>
          </w:divBdr>
        </w:div>
        <w:div w:id="2037924992">
          <w:marLeft w:val="0"/>
          <w:marRight w:val="0"/>
          <w:marTop w:val="0"/>
          <w:marBottom w:val="0"/>
          <w:divBdr>
            <w:top w:val="none" w:sz="0" w:space="0" w:color="auto"/>
            <w:left w:val="none" w:sz="0" w:space="0" w:color="auto"/>
            <w:bottom w:val="none" w:sz="0" w:space="0" w:color="auto"/>
            <w:right w:val="none" w:sz="0" w:space="0" w:color="auto"/>
          </w:divBdr>
        </w:div>
      </w:divsChild>
    </w:div>
    <w:div w:id="20763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LV/TXT/?uri=CELEX%3A52020XC0324%2801%29&amp;qid=1603722703965" TargetMode="External"/><Relationship Id="rId1" Type="http://schemas.openxmlformats.org/officeDocument/2006/relationships/hyperlink" Target="https://eur-lex.europa.eu/legal-content/LV/TXT/?uri=CELEX%3A52020DC0685&amp;qid=1611644931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248A-3E4C-4F02-88DE-227D5A396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6872</Words>
  <Characters>3918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vija.skutane</dc:creator>
  <cp:keywords/>
  <cp:lastModifiedBy>Baiba Jirgena</cp:lastModifiedBy>
  <cp:revision>3</cp:revision>
  <cp:lastPrinted>2020-10-06T18:22:00Z</cp:lastPrinted>
  <dcterms:created xsi:type="dcterms:W3CDTF">2021-02-02T06:39:00Z</dcterms:created>
  <dcterms:modified xsi:type="dcterms:W3CDTF">2021-02-02T06:53:00Z</dcterms:modified>
</cp:coreProperties>
</file>