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CCEF5" w14:textId="029A7C0D" w:rsidR="00E9271C" w:rsidRDefault="00E9271C" w:rsidP="004C12BB">
      <w:pPr>
        <w:tabs>
          <w:tab w:val="left" w:pos="6663"/>
        </w:tabs>
        <w:ind w:firstLine="0"/>
      </w:pPr>
    </w:p>
    <w:p w14:paraId="7B95B3D8" w14:textId="77777777" w:rsidR="00107F3F" w:rsidRDefault="00107F3F" w:rsidP="004C12BB">
      <w:pPr>
        <w:tabs>
          <w:tab w:val="left" w:pos="6663"/>
        </w:tabs>
        <w:ind w:firstLine="0"/>
      </w:pPr>
    </w:p>
    <w:p w14:paraId="29D04239" w14:textId="77777777" w:rsidR="00E9271C" w:rsidRDefault="00E9271C" w:rsidP="004C12BB">
      <w:pPr>
        <w:tabs>
          <w:tab w:val="left" w:pos="6663"/>
        </w:tabs>
        <w:ind w:firstLine="0"/>
      </w:pPr>
    </w:p>
    <w:p w14:paraId="73C37C6D" w14:textId="1EE9B481" w:rsidR="004C12BB" w:rsidRPr="003D1C3C" w:rsidRDefault="004C12BB" w:rsidP="004C12BB">
      <w:pPr>
        <w:tabs>
          <w:tab w:val="left" w:pos="6663"/>
        </w:tabs>
        <w:ind w:firstLine="0"/>
        <w:rPr>
          <w:b/>
        </w:rPr>
      </w:pPr>
      <w:r w:rsidRPr="00AF79EA">
        <w:t>20</w:t>
      </w:r>
      <w:r>
        <w:t>2</w:t>
      </w:r>
      <w:r w:rsidR="007C5A8F">
        <w:t>1</w:t>
      </w:r>
      <w:r w:rsidRPr="00AF79EA">
        <w:t>. gada</w:t>
      </w:r>
      <w:r w:rsidR="000A43D6">
        <w:t xml:space="preserve"> 28. janvārī</w:t>
      </w:r>
      <w:r w:rsidRPr="00AF79EA">
        <w:tab/>
        <w:t>Noteikumi Nr.</w:t>
      </w:r>
      <w:r w:rsidR="000A43D6">
        <w:t> 60</w:t>
      </w:r>
    </w:p>
    <w:p w14:paraId="2D894D59" w14:textId="56D3AE1C" w:rsidR="004C12BB" w:rsidRPr="00AF79EA" w:rsidRDefault="004C12BB" w:rsidP="004C12BB">
      <w:pPr>
        <w:tabs>
          <w:tab w:val="left" w:pos="6663"/>
        </w:tabs>
        <w:ind w:firstLine="0"/>
      </w:pPr>
      <w:r w:rsidRPr="00AF79EA">
        <w:t>Rīgā</w:t>
      </w:r>
      <w:r w:rsidRPr="00AF79EA">
        <w:tab/>
        <w:t>(prot.</w:t>
      </w:r>
      <w:r w:rsidRPr="001C1321">
        <w:t> </w:t>
      </w:r>
      <w:r w:rsidRPr="00AF79EA">
        <w:t>Nr. </w:t>
      </w:r>
      <w:r w:rsidR="000A43D6">
        <w:t>10 14</w:t>
      </w:r>
      <w:bookmarkStart w:id="0" w:name="_GoBack"/>
      <w:bookmarkEnd w:id="0"/>
      <w:r w:rsidRPr="001C1321">
        <w:t>.</w:t>
      </w:r>
      <w:r w:rsidRPr="00AF79EA">
        <w:t> §)</w:t>
      </w:r>
    </w:p>
    <w:p w14:paraId="5BD7DB8E" w14:textId="77777777" w:rsidR="00F928BC" w:rsidRPr="00107F3F" w:rsidRDefault="00F928BC">
      <w:pPr>
        <w:ind w:firstLine="0"/>
      </w:pPr>
    </w:p>
    <w:p w14:paraId="5D65637C" w14:textId="2D2570DD" w:rsidR="00E84007" w:rsidRDefault="00130E27" w:rsidP="00504E4F">
      <w:pPr>
        <w:ind w:firstLine="0"/>
        <w:jc w:val="center"/>
        <w:rPr>
          <w:b/>
          <w:bCs/>
        </w:rPr>
      </w:pPr>
      <w:bookmarkStart w:id="1" w:name="_30j0zll" w:colFirst="0" w:colLast="0"/>
      <w:bookmarkEnd w:id="1"/>
      <w:r>
        <w:rPr>
          <w:b/>
        </w:rPr>
        <w:t xml:space="preserve">Grozījumi Ministru kabineta </w:t>
      </w:r>
      <w:r w:rsidRPr="00130E27">
        <w:rPr>
          <w:b/>
        </w:rPr>
        <w:t>2010.</w:t>
      </w:r>
      <w:r w:rsidR="00504E4F">
        <w:rPr>
          <w:b/>
        </w:rPr>
        <w:t> </w:t>
      </w:r>
      <w:r w:rsidRPr="00130E27">
        <w:rPr>
          <w:b/>
        </w:rPr>
        <w:t>gada 21.</w:t>
      </w:r>
      <w:r w:rsidR="00504E4F">
        <w:rPr>
          <w:b/>
        </w:rPr>
        <w:t> </w:t>
      </w:r>
      <w:r w:rsidRPr="00130E27">
        <w:rPr>
          <w:b/>
        </w:rPr>
        <w:t>decembra</w:t>
      </w:r>
      <w:r w:rsidR="004C12BB">
        <w:t xml:space="preserve"> </w:t>
      </w:r>
      <w:r>
        <w:rPr>
          <w:b/>
        </w:rPr>
        <w:t xml:space="preserve">noteikumos </w:t>
      </w:r>
      <w:r w:rsidRPr="00130E27">
        <w:rPr>
          <w:b/>
          <w:bCs/>
        </w:rPr>
        <w:t>Nr.</w:t>
      </w:r>
      <w:r w:rsidR="00504E4F">
        <w:rPr>
          <w:b/>
          <w:bCs/>
        </w:rPr>
        <w:t> </w:t>
      </w:r>
      <w:r w:rsidRPr="00130E27">
        <w:rPr>
          <w:b/>
          <w:bCs/>
        </w:rPr>
        <w:t>1171</w:t>
      </w:r>
      <w:r>
        <w:rPr>
          <w:b/>
          <w:bCs/>
        </w:rPr>
        <w:t xml:space="preserve"> </w:t>
      </w:r>
      <w:r w:rsidR="00DC4B5B" w:rsidRPr="00AF79EA">
        <w:rPr>
          <w:b/>
        </w:rPr>
        <w:t>"</w:t>
      </w:r>
      <w:r>
        <w:rPr>
          <w:b/>
          <w:bCs/>
        </w:rPr>
        <w:t>Noteikumi par Latvijas ūdeņu</w:t>
      </w:r>
      <w:r w:rsidR="004C12BB">
        <w:rPr>
          <w:b/>
          <w:bCs/>
        </w:rPr>
        <w:t xml:space="preserve"> </w:t>
      </w:r>
      <w:r w:rsidRPr="00130E27">
        <w:rPr>
          <w:b/>
          <w:bCs/>
        </w:rPr>
        <w:t>izmantoša</w:t>
      </w:r>
      <w:r w:rsidR="00E84007">
        <w:rPr>
          <w:b/>
          <w:bCs/>
        </w:rPr>
        <w:t>nas kārtību</w:t>
      </w:r>
      <w:r w:rsidR="00504E4F" w:rsidRPr="00504E4F">
        <w:rPr>
          <w:b/>
          <w:bCs/>
        </w:rPr>
        <w:t xml:space="preserve"> </w:t>
      </w:r>
      <w:r w:rsidR="00504E4F">
        <w:rPr>
          <w:b/>
          <w:bCs/>
        </w:rPr>
        <w:t>un</w:t>
      </w:r>
    </w:p>
    <w:p w14:paraId="030EBCDE" w14:textId="26747CD6" w:rsidR="00F928BC" w:rsidRPr="00130E27" w:rsidRDefault="00130E27" w:rsidP="00130E27">
      <w:pPr>
        <w:ind w:firstLine="0"/>
        <w:jc w:val="center"/>
      </w:pPr>
      <w:r>
        <w:rPr>
          <w:b/>
          <w:bCs/>
        </w:rPr>
        <w:t xml:space="preserve">kuģošanas režīmu </w:t>
      </w:r>
      <w:r w:rsidRPr="00130E27">
        <w:rPr>
          <w:b/>
          <w:bCs/>
        </w:rPr>
        <w:t>tajos</w:t>
      </w:r>
      <w:r w:rsidR="00DC4B5B" w:rsidRPr="00AF79EA">
        <w:rPr>
          <w:b/>
        </w:rPr>
        <w:t>"</w:t>
      </w:r>
    </w:p>
    <w:p w14:paraId="677041CD" w14:textId="6BA9D74A" w:rsidR="00F928BC" w:rsidRPr="00AF79EA" w:rsidRDefault="00F928BC">
      <w:pPr>
        <w:jc w:val="center"/>
      </w:pPr>
    </w:p>
    <w:p w14:paraId="210518C0" w14:textId="77777777" w:rsidR="00A814C8" w:rsidRDefault="00130E27" w:rsidP="00130E27">
      <w:pPr>
        <w:ind w:firstLine="0"/>
        <w:jc w:val="right"/>
        <w:rPr>
          <w:iCs/>
        </w:rPr>
      </w:pPr>
      <w:r w:rsidRPr="00130E27">
        <w:rPr>
          <w:iCs/>
        </w:rPr>
        <w:t>Izdoti saskaņā ar</w:t>
      </w:r>
      <w:r w:rsidR="00A814C8">
        <w:rPr>
          <w:iCs/>
        </w:rPr>
        <w:t xml:space="preserve"> </w:t>
      </w:r>
    </w:p>
    <w:p w14:paraId="197B9A83" w14:textId="4216C3BA" w:rsidR="00130E27" w:rsidRDefault="00130E27" w:rsidP="00A814C8">
      <w:pPr>
        <w:ind w:firstLine="0"/>
        <w:jc w:val="right"/>
        <w:rPr>
          <w:iCs/>
        </w:rPr>
      </w:pPr>
      <w:r>
        <w:rPr>
          <w:iCs/>
        </w:rPr>
        <w:t>Jūrlietu pārvaldes un</w:t>
      </w:r>
      <w:r w:rsidR="00A814C8" w:rsidRPr="00A814C8">
        <w:rPr>
          <w:iCs/>
        </w:rPr>
        <w:t xml:space="preserve"> </w:t>
      </w:r>
      <w:r w:rsidR="00A814C8">
        <w:rPr>
          <w:iCs/>
        </w:rPr>
        <w:t xml:space="preserve">jūras </w:t>
      </w:r>
      <w:r w:rsidR="00A814C8" w:rsidRPr="00130E27">
        <w:rPr>
          <w:iCs/>
        </w:rPr>
        <w:t>drošības</w:t>
      </w:r>
    </w:p>
    <w:p w14:paraId="3AEADAAD" w14:textId="03F8C6B7" w:rsidR="00C730A0" w:rsidRDefault="00130E27" w:rsidP="004C12BB">
      <w:pPr>
        <w:ind w:firstLine="0"/>
        <w:jc w:val="right"/>
        <w:rPr>
          <w:iCs/>
        </w:rPr>
      </w:pPr>
      <w:r w:rsidRPr="00130E27">
        <w:rPr>
          <w:iCs/>
        </w:rPr>
        <w:t>likuma</w:t>
      </w:r>
      <w:r>
        <w:rPr>
          <w:iCs/>
        </w:rPr>
        <w:t xml:space="preserve"> </w:t>
      </w:r>
      <w:r w:rsidRPr="00130E27">
        <w:rPr>
          <w:iCs/>
        </w:rPr>
        <w:t>7.</w:t>
      </w:r>
      <w:r w:rsidR="00A814C8">
        <w:rPr>
          <w:iCs/>
        </w:rPr>
        <w:t> </w:t>
      </w:r>
      <w:r w:rsidRPr="00130E27">
        <w:rPr>
          <w:iCs/>
        </w:rPr>
        <w:t>panta</w:t>
      </w:r>
      <w:r w:rsidR="004C12BB">
        <w:rPr>
          <w:iCs/>
        </w:rPr>
        <w:t> otro daļu</w:t>
      </w:r>
      <w:r w:rsidR="00C730A0">
        <w:rPr>
          <w:iCs/>
        </w:rPr>
        <w:t xml:space="preserve"> </w:t>
      </w:r>
      <w:r w:rsidR="00A814C8" w:rsidRPr="00C730A0">
        <w:rPr>
          <w:iCs/>
        </w:rPr>
        <w:t>un</w:t>
      </w:r>
    </w:p>
    <w:p w14:paraId="04E70A64" w14:textId="102ED003" w:rsidR="00C730A0" w:rsidRDefault="00C730A0" w:rsidP="00A814C8">
      <w:pPr>
        <w:ind w:firstLine="0"/>
        <w:jc w:val="right"/>
        <w:rPr>
          <w:iCs/>
        </w:rPr>
      </w:pPr>
      <w:r w:rsidRPr="00C730A0">
        <w:rPr>
          <w:iCs/>
        </w:rPr>
        <w:t xml:space="preserve">Jūras vides aizsardzības un pārvaldības </w:t>
      </w:r>
    </w:p>
    <w:p w14:paraId="30349AC8" w14:textId="30390F2B" w:rsidR="00137390" w:rsidRPr="00130E27" w:rsidRDefault="00A814C8" w:rsidP="004C12BB">
      <w:pPr>
        <w:ind w:firstLine="0"/>
        <w:jc w:val="right"/>
        <w:rPr>
          <w:iCs/>
        </w:rPr>
      </w:pPr>
      <w:r w:rsidRPr="00C730A0">
        <w:rPr>
          <w:iCs/>
        </w:rPr>
        <w:t>likuma</w:t>
      </w:r>
      <w:r w:rsidR="00C730A0" w:rsidRPr="00C730A0">
        <w:rPr>
          <w:iCs/>
        </w:rPr>
        <w:t xml:space="preserve"> 19.</w:t>
      </w:r>
      <w:r w:rsidR="00C730A0" w:rsidRPr="00C730A0">
        <w:rPr>
          <w:iCs/>
          <w:vertAlign w:val="superscript"/>
        </w:rPr>
        <w:t>1</w:t>
      </w:r>
      <w:r>
        <w:rPr>
          <w:iCs/>
        </w:rPr>
        <w:t> </w:t>
      </w:r>
      <w:r w:rsidR="00C730A0" w:rsidRPr="00C730A0">
        <w:rPr>
          <w:iCs/>
        </w:rPr>
        <w:t>panta sestās daļas 1.</w:t>
      </w:r>
      <w:r>
        <w:rPr>
          <w:iCs/>
        </w:rPr>
        <w:t> </w:t>
      </w:r>
      <w:r w:rsidR="00C730A0" w:rsidRPr="00C730A0">
        <w:rPr>
          <w:iCs/>
        </w:rPr>
        <w:t>punktu</w:t>
      </w:r>
    </w:p>
    <w:p w14:paraId="08DBD492" w14:textId="77777777" w:rsidR="00130E27" w:rsidRPr="00AF79EA" w:rsidRDefault="00130E27" w:rsidP="00137390">
      <w:pPr>
        <w:ind w:firstLine="0"/>
        <w:jc w:val="right"/>
      </w:pPr>
    </w:p>
    <w:p w14:paraId="6D22B0DD" w14:textId="0CDC37C4" w:rsidR="00F928BC" w:rsidRDefault="00DC4B5B" w:rsidP="007317B9">
      <w:r w:rsidRPr="00130E27">
        <w:t xml:space="preserve">Izdarīt Ministru kabineta </w:t>
      </w:r>
      <w:r w:rsidR="00130E27" w:rsidRPr="00130E27">
        <w:t>2010.</w:t>
      </w:r>
      <w:r w:rsidR="00504E4F">
        <w:t> </w:t>
      </w:r>
      <w:r w:rsidR="00130E27" w:rsidRPr="00130E27">
        <w:t>gada 21.</w:t>
      </w:r>
      <w:r w:rsidR="00504E4F">
        <w:t> </w:t>
      </w:r>
      <w:r w:rsidR="00130E27" w:rsidRPr="00130E27">
        <w:t xml:space="preserve">decembra noteikumos </w:t>
      </w:r>
      <w:r w:rsidR="00130E27" w:rsidRPr="00130E27">
        <w:rPr>
          <w:bCs/>
        </w:rPr>
        <w:t>Nr.</w:t>
      </w:r>
      <w:r w:rsidR="00504E4F">
        <w:rPr>
          <w:bCs/>
        </w:rPr>
        <w:t> </w:t>
      </w:r>
      <w:r w:rsidR="00130E27" w:rsidRPr="00130E27">
        <w:rPr>
          <w:bCs/>
        </w:rPr>
        <w:t xml:space="preserve">1171 </w:t>
      </w:r>
      <w:r w:rsidR="00130E27" w:rsidRPr="00130E27">
        <w:t>"</w:t>
      </w:r>
      <w:r w:rsidR="00130E27" w:rsidRPr="00130E27">
        <w:rPr>
          <w:bCs/>
        </w:rPr>
        <w:t>Noteikumi par Latvijas ūdeņu</w:t>
      </w:r>
      <w:r w:rsidR="00130E27" w:rsidRPr="00130E27">
        <w:t xml:space="preserve"> </w:t>
      </w:r>
      <w:r w:rsidR="00130E27" w:rsidRPr="00130E27">
        <w:rPr>
          <w:bCs/>
        </w:rPr>
        <w:t>izmantošanas kārtību un kuģošanas režīmu tajos</w:t>
      </w:r>
      <w:r w:rsidR="00130E27" w:rsidRPr="00130E27">
        <w:t>"</w:t>
      </w:r>
      <w:r w:rsidRPr="00AF79EA">
        <w:t xml:space="preserve"> (</w:t>
      </w:r>
      <w:r w:rsidR="007317B9" w:rsidRPr="007317B9">
        <w:t>Latvijas Vēstnesis, 2011, 3., 127.</w:t>
      </w:r>
      <w:r w:rsidR="00504E4F">
        <w:t> </w:t>
      </w:r>
      <w:r w:rsidR="007317B9" w:rsidRPr="007317B9">
        <w:t>nr.; 2012, 19.</w:t>
      </w:r>
      <w:r w:rsidR="00504E4F">
        <w:t> </w:t>
      </w:r>
      <w:r w:rsidR="007317B9" w:rsidRPr="007317B9">
        <w:t>nr.; 2016, 44., 129.</w:t>
      </w:r>
      <w:r w:rsidR="00504E4F">
        <w:t> </w:t>
      </w:r>
      <w:r w:rsidR="007317B9" w:rsidRPr="007317B9">
        <w:t>nr.</w:t>
      </w:r>
      <w:r w:rsidRPr="00AF79EA">
        <w:t>) šādus grozījumus:</w:t>
      </w:r>
    </w:p>
    <w:p w14:paraId="1CEDD114" w14:textId="77777777" w:rsidR="003C1CE2" w:rsidRDefault="003C1CE2"/>
    <w:p w14:paraId="31D4F966" w14:textId="44F6CE1B" w:rsidR="00504E4F" w:rsidRDefault="00504E4F" w:rsidP="00504E4F">
      <w:pPr>
        <w:pStyle w:val="ListParagraph"/>
        <w:ind w:left="0" w:firstLine="709"/>
      </w:pPr>
      <w:r>
        <w:t>1. </w:t>
      </w:r>
      <w:r w:rsidR="00686520">
        <w:t xml:space="preserve">Aizstāt </w:t>
      </w:r>
      <w:r w:rsidR="008165CE">
        <w:t>noteikumu</w:t>
      </w:r>
      <w:r w:rsidR="003C1CE2">
        <w:t xml:space="preserve"> tekstā</w:t>
      </w:r>
      <w:r>
        <w:t>:</w:t>
      </w:r>
    </w:p>
    <w:p w14:paraId="59AF105D" w14:textId="77777777" w:rsidR="00504E4F" w:rsidRDefault="00504E4F" w:rsidP="00504E4F">
      <w:pPr>
        <w:pStyle w:val="ListParagraph"/>
        <w:ind w:left="0" w:firstLine="709"/>
      </w:pPr>
      <w:r>
        <w:t>1.1. </w:t>
      </w:r>
      <w:r w:rsidR="00FA5694">
        <w:t xml:space="preserve">vārdus </w:t>
      </w:r>
      <w:r w:rsidR="00FA5694" w:rsidRPr="00FA5694">
        <w:t>"</w:t>
      </w:r>
      <w:r w:rsidR="003C1CE2" w:rsidRPr="003C1CE2">
        <w:t>Nacionālo br</w:t>
      </w:r>
      <w:r w:rsidR="00FA5694">
        <w:t>uņoto spēku Jūras spēku flotiles</w:t>
      </w:r>
      <w:r w:rsidR="00FA5694" w:rsidRPr="00FA5694">
        <w:t>"</w:t>
      </w:r>
      <w:r w:rsidR="00FA5694">
        <w:t xml:space="preserve"> ar vārdiem </w:t>
      </w:r>
      <w:r w:rsidR="00FA5694" w:rsidRPr="00FA5694">
        <w:t>"Nacionālo bruņoto spēku Jūras spēku"</w:t>
      </w:r>
      <w:r>
        <w:t>;</w:t>
      </w:r>
    </w:p>
    <w:p w14:paraId="3AAFB8FF" w14:textId="22CFBC43" w:rsidR="005B7628" w:rsidRDefault="00504E4F" w:rsidP="00504E4F">
      <w:pPr>
        <w:pStyle w:val="ListParagraph"/>
        <w:ind w:left="0" w:firstLine="709"/>
      </w:pPr>
      <w:r>
        <w:t>1.2. </w:t>
      </w:r>
      <w:r w:rsidR="00FA5694">
        <w:t xml:space="preserve">vārdus </w:t>
      </w:r>
      <w:r w:rsidR="0066225B" w:rsidRPr="0066225B">
        <w:t>"</w:t>
      </w:r>
      <w:r w:rsidR="005B7628" w:rsidRPr="005B7628">
        <w:t>Valsts vides dienesta</w:t>
      </w:r>
      <w:r w:rsidR="00FA5694">
        <w:t xml:space="preserve"> Jūras un iekšējo ūdeņu pārvalde</w:t>
      </w:r>
      <w:r w:rsidR="0066225B" w:rsidRPr="0066225B">
        <w:t>"</w:t>
      </w:r>
      <w:r w:rsidR="0066225B">
        <w:t xml:space="preserve"> </w:t>
      </w:r>
      <w:r w:rsidR="00FA5694" w:rsidRPr="00FA5694">
        <w:t>(attiecīgā locījumā)</w:t>
      </w:r>
      <w:r w:rsidR="00FA5694">
        <w:t xml:space="preserve"> </w:t>
      </w:r>
      <w:r w:rsidR="0066225B">
        <w:t xml:space="preserve">ar vārdiem </w:t>
      </w:r>
      <w:r w:rsidR="0066225B" w:rsidRPr="0066225B">
        <w:t>"</w:t>
      </w:r>
      <w:r w:rsidR="0066225B">
        <w:t>Valsts vides dienest</w:t>
      </w:r>
      <w:r w:rsidR="00FA5694">
        <w:t>s</w:t>
      </w:r>
      <w:r w:rsidR="0066225B" w:rsidRPr="0066225B">
        <w:t>"</w:t>
      </w:r>
      <w:r w:rsidR="00FA5694">
        <w:t xml:space="preserve"> </w:t>
      </w:r>
      <w:r w:rsidR="00FA5694" w:rsidRPr="00FA5694">
        <w:t>(attiecīgā locījumā)</w:t>
      </w:r>
      <w:r w:rsidR="00BB15C3">
        <w:t>.</w:t>
      </w:r>
    </w:p>
    <w:p w14:paraId="3BE83E44" w14:textId="77777777" w:rsidR="00FA5694" w:rsidRDefault="00FA5694"/>
    <w:p w14:paraId="6FEAE6AC" w14:textId="4CD88F10" w:rsidR="00DB501F" w:rsidRDefault="00B66F53">
      <w:r>
        <w:t>2</w:t>
      </w:r>
      <w:r w:rsidR="00B076C3">
        <w:t>.</w:t>
      </w:r>
      <w:r w:rsidR="00504E4F">
        <w:t> </w:t>
      </w:r>
      <w:r w:rsidR="00DB501F">
        <w:t>Izteikt</w:t>
      </w:r>
      <w:r w:rsidR="00B076C3">
        <w:t xml:space="preserve"> 24.</w:t>
      </w:r>
      <w:r w:rsidR="00504E4F">
        <w:t> </w:t>
      </w:r>
      <w:r w:rsidR="00B076C3">
        <w:t xml:space="preserve">punkta </w:t>
      </w:r>
      <w:r w:rsidR="00DB501F">
        <w:t>otro</w:t>
      </w:r>
      <w:r w:rsidR="00B076C3">
        <w:t xml:space="preserve"> teikumu </w:t>
      </w:r>
      <w:r w:rsidR="00DB501F">
        <w:t>šādā redakcijā:</w:t>
      </w:r>
    </w:p>
    <w:p w14:paraId="52CDB8B4" w14:textId="77777777" w:rsidR="00DB501F" w:rsidRDefault="00DB501F"/>
    <w:p w14:paraId="10CC25CF" w14:textId="7B6EB865" w:rsidR="00DB501F" w:rsidRDefault="00DB501F">
      <w:r w:rsidRPr="00DB501F">
        <w:t>"</w:t>
      </w:r>
      <w:r w:rsidR="00622F81" w:rsidRPr="00622F81">
        <w:t>Reizē ar jūras drošības un navigācijas informāciju koordinācijas centrs izziņo</w:t>
      </w:r>
      <w:r w:rsidRPr="00DB501F">
        <w:t xml:space="preserve"> Vides aizsardzības un reģionālās attīstības ministrijas vai Valsts vides dienesta iesniegto paziņojumu par </w:t>
      </w:r>
      <w:r w:rsidR="000A1BC6">
        <w:t>rajonu</w:t>
      </w:r>
      <w:r w:rsidRPr="00DB501F">
        <w:t>, kur kuģiem ne</w:t>
      </w:r>
      <w:r w:rsidR="00FD1DD3">
        <w:t>vajadzētu uzņemt balasta ūdeni</w:t>
      </w:r>
      <w:r>
        <w:t xml:space="preserve">, kā arī </w:t>
      </w:r>
      <w:r w:rsidR="00622F81" w:rsidRPr="00622F81">
        <w:t>Latvijas Vides, ģeoloģijas un meteoroloģijas centra sagatavotās laika ziņas un vētras brīdinājumus, bet ledus navigācijas periodā – arī operatīvo informāciju par ledus apstākļiem.</w:t>
      </w:r>
      <w:r w:rsidRPr="00DB501F">
        <w:t>"</w:t>
      </w:r>
    </w:p>
    <w:p w14:paraId="6067A4BA" w14:textId="51CCF7BD" w:rsidR="000945F9" w:rsidRDefault="000945F9" w:rsidP="00DB501F">
      <w:pPr>
        <w:ind w:firstLine="0"/>
      </w:pPr>
    </w:p>
    <w:p w14:paraId="7ECDF0DA" w14:textId="54A38827" w:rsidR="0048564D" w:rsidRPr="0020718D" w:rsidRDefault="00B66F53">
      <w:r>
        <w:t>3</w:t>
      </w:r>
      <w:r w:rsidR="0048564D">
        <w:t>.</w:t>
      </w:r>
      <w:r w:rsidR="00107F3F">
        <w:t> </w:t>
      </w:r>
      <w:r w:rsidR="004C5730" w:rsidRPr="0020718D">
        <w:t xml:space="preserve">Izteikt </w:t>
      </w:r>
      <w:r w:rsidR="0048564D" w:rsidRPr="0020718D">
        <w:t>24.</w:t>
      </w:r>
      <w:r w:rsidR="004C5730" w:rsidRPr="0020718D">
        <w:rPr>
          <w:vertAlign w:val="superscript"/>
        </w:rPr>
        <w:t>1</w:t>
      </w:r>
      <w:r w:rsidR="00107F3F">
        <w:t> </w:t>
      </w:r>
      <w:r w:rsidR="0048564D" w:rsidRPr="0020718D">
        <w:t>punktu šādā redakcijā:</w:t>
      </w:r>
    </w:p>
    <w:p w14:paraId="7A9CB75D" w14:textId="77777777" w:rsidR="0048564D" w:rsidRPr="0020718D" w:rsidRDefault="0048564D"/>
    <w:p w14:paraId="03923AB6" w14:textId="09D7D11F" w:rsidR="00315E2F" w:rsidRPr="0020718D" w:rsidRDefault="0048564D" w:rsidP="004C5730">
      <w:r w:rsidRPr="0020718D">
        <w:t>"24.</w:t>
      </w:r>
      <w:r w:rsidR="004C5730" w:rsidRPr="0020718D">
        <w:rPr>
          <w:vertAlign w:val="superscript"/>
        </w:rPr>
        <w:t>1</w:t>
      </w:r>
      <w:r w:rsidRPr="0020718D">
        <w:t> </w:t>
      </w:r>
      <w:r w:rsidR="00315E2F" w:rsidRPr="0020718D">
        <w:t xml:space="preserve">Krasta apsardze, izmantojot Eiropas Savienības sistēmu apmaiņai ar kuģošanas informāciju (Eiropas Savienības </w:t>
      </w:r>
      <w:r w:rsidR="00315E2F" w:rsidRPr="0020718D">
        <w:rPr>
          <w:i/>
        </w:rPr>
        <w:t>SafeSeaNet</w:t>
      </w:r>
      <w:r w:rsidR="00315E2F" w:rsidRPr="0020718D">
        <w:t xml:space="preserve"> sistēma), pēc iespējas </w:t>
      </w:r>
      <w:r w:rsidR="00315E2F" w:rsidRPr="0020718D">
        <w:lastRenderedPageBreak/>
        <w:t xml:space="preserve">ātrāk apmainās ar citas Eiropas Savienības dalībvalsts kompetento iestādi ar informāciju, kas saistīta ar </w:t>
      </w:r>
      <w:r w:rsidR="00315E2F" w:rsidRPr="0020718D">
        <w:rPr>
          <w:bCs/>
        </w:rPr>
        <w:t>jūras negadījumu vai incidentu. Attiecīgās informācijas apmaiņa notiek ar t</w:t>
      </w:r>
      <w:r w:rsidR="00224AB3" w:rsidRPr="0020718D">
        <w:rPr>
          <w:bCs/>
        </w:rPr>
        <w:t>ās</w:t>
      </w:r>
      <w:r w:rsidR="00315E2F" w:rsidRPr="0020718D">
        <w:rPr>
          <w:bCs/>
        </w:rPr>
        <w:t xml:space="preserve"> Eiropas Savienības dalībvalsts kompetento iestādi, kura atrodas kuģa plānotajā maršrutā vai kura ir kuģa karoga valsts, vai kuru ir skāris vai var skart notikušais jūras negadījums vai incidents. </w:t>
      </w:r>
      <w:r w:rsidR="00315E2F" w:rsidRPr="0020718D">
        <w:t xml:space="preserve">Informācija, kas saistīta ar </w:t>
      </w:r>
      <w:r w:rsidR="00315E2F" w:rsidRPr="0020718D">
        <w:rPr>
          <w:bCs/>
        </w:rPr>
        <w:t xml:space="preserve">jūras negadījumu vai incidentu, </w:t>
      </w:r>
      <w:r w:rsidR="00315E2F" w:rsidRPr="0020718D">
        <w:t>ir ziņojumi par:</w:t>
      </w:r>
    </w:p>
    <w:p w14:paraId="30AFBA6A" w14:textId="2C9FBBB1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1.</w:t>
      </w:r>
      <w:r w:rsidR="005466A4">
        <w:t> </w:t>
      </w:r>
      <w:r w:rsidR="004C5730" w:rsidRPr="0020718D">
        <w:t xml:space="preserve">kuģi, </w:t>
      </w:r>
      <w:r w:rsidR="004C5730" w:rsidRPr="0020718D">
        <w:rPr>
          <w:rFonts w:hint="eastAsia"/>
        </w:rPr>
        <w:t>kas reisa laikā</w:t>
      </w:r>
      <w:r w:rsidR="004C5730" w:rsidRPr="0020718D">
        <w:t xml:space="preserve"> bija iesaistīts jebkurā jūras negadījumā vai incidentā, kas samazina kuģa drošību vai apdraud kuģošanas drošību (SITREP)</w:t>
      </w:r>
      <w:r w:rsidRPr="0020718D">
        <w:t>;</w:t>
      </w:r>
    </w:p>
    <w:p w14:paraId="608F3458" w14:textId="735C8088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2.</w:t>
      </w:r>
      <w:r w:rsidR="005466A4">
        <w:t> </w:t>
      </w:r>
      <w:r w:rsidR="004C5730" w:rsidRPr="0020718D">
        <w:t>jebkuru situāciju, kas var izraisīt Eiropas Savienības dalībvalsts ūdeņu vai piekrastes piesārņošanu (piemēram, bīstamo vai piesārņojošo vielu nonākšanu jūrā) (POLREP);</w:t>
      </w:r>
    </w:p>
    <w:p w14:paraId="70D80AE1" w14:textId="489601BD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3.</w:t>
      </w:r>
      <w:r w:rsidR="005466A4">
        <w:t> </w:t>
      </w:r>
      <w:r w:rsidR="004C5730" w:rsidRPr="0020718D">
        <w:t>jebkuru piesārņojošo vielu plankumu, kā arī konteineriem vai iepakojumiem, kas redzēti dreifējam jūrā (POLREP, LOST AND FOUND OBJECTS);</w:t>
      </w:r>
    </w:p>
    <w:p w14:paraId="2B263DB2" w14:textId="7AA28BF4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4.</w:t>
      </w:r>
      <w:r w:rsidR="005466A4">
        <w:t> </w:t>
      </w:r>
      <w:r w:rsidR="004C5730" w:rsidRPr="0020718D">
        <w:t xml:space="preserve">kuģi, kas nav </w:t>
      </w:r>
      <w:r w:rsidR="004C5730" w:rsidRPr="0020718D">
        <w:rPr>
          <w:rFonts w:hint="eastAsia"/>
        </w:rPr>
        <w:t>izpildījis ziņošanas prasības</w:t>
      </w:r>
      <w:r w:rsidR="004C5730" w:rsidRPr="0020718D">
        <w:t xml:space="preserve"> saskaņā ar normatīvajiem aktiem Eiropas Savienības </w:t>
      </w:r>
      <w:r w:rsidR="004C5730" w:rsidRPr="0020718D">
        <w:rPr>
          <w:rFonts w:hint="eastAsia"/>
        </w:rPr>
        <w:t xml:space="preserve">kuģu satiksmes uzraudzības un informācijas sistēmu </w:t>
      </w:r>
      <w:r w:rsidR="00107F3F">
        <w:t xml:space="preserve">jomā, tostarp šo noteikumu </w:t>
      </w:r>
      <w:r w:rsidR="004C5730" w:rsidRPr="0020718D">
        <w:t>17.</w:t>
      </w:r>
      <w:r w:rsidR="00107F3F">
        <w:t xml:space="preserve"> punktā </w:t>
      </w:r>
      <w:r w:rsidR="004C5730" w:rsidRPr="0020718D">
        <w:t>minētās ziņošanas prasības (FAILED NOTIFICATION);</w:t>
      </w:r>
    </w:p>
    <w:p w14:paraId="75199520" w14:textId="4AE202EF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5.</w:t>
      </w:r>
      <w:r w:rsidR="005466A4">
        <w:t> </w:t>
      </w:r>
      <w:r w:rsidR="004C5730" w:rsidRPr="0020718D">
        <w:t>kuģi, kas nav ievērojis normatīvajos aktos par jūrlietu pārvaldi un jūras drošību noteikto kārtību kuģu satiksmes vadības sistēmu darbības zonā (VTS RULES INFRINGEMENT);</w:t>
      </w:r>
    </w:p>
    <w:p w14:paraId="717AE70E" w14:textId="1BF89A36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6.</w:t>
      </w:r>
      <w:r w:rsidR="005466A4">
        <w:t> </w:t>
      </w:r>
      <w:r w:rsidR="004C5730" w:rsidRPr="0020718D">
        <w:t xml:space="preserve">loču vai ostas pārvaldes amatpersonas normatīvajos aktos par ostas valsts kontroli noteiktajā kārtībā </w:t>
      </w:r>
      <w:r w:rsidR="00107F3F">
        <w:t>sniegtajām ziņām</w:t>
      </w:r>
      <w:r w:rsidR="004C5730" w:rsidRPr="0020718D">
        <w:t>, ka kuģim ir acīmredzamas nepilnības, kas kuģošanu varētu padarīt nedrošu vai varētu apdraudēt jūras vidi (PILOT OR PORT);</w:t>
      </w:r>
    </w:p>
    <w:p w14:paraId="12FEFCCC" w14:textId="5CECBD5F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5466A4">
        <w:rPr>
          <w:vertAlign w:val="superscript"/>
        </w:rPr>
        <w:t> </w:t>
      </w:r>
      <w:r w:rsidRPr="0020718D">
        <w:t>7.</w:t>
      </w:r>
      <w:r w:rsidR="00DF0988">
        <w:t> </w:t>
      </w:r>
      <w:r w:rsidR="004C5730" w:rsidRPr="0020718D">
        <w:rPr>
          <w:rFonts w:hint="eastAsia"/>
        </w:rPr>
        <w:t xml:space="preserve">kuģi, attiecībā uz kuru ir pierādījumi vai pieņēmumi par tīšām naftas noplūdēm vai citiem </w:t>
      </w:r>
      <w:r w:rsidR="004C5730" w:rsidRPr="00107F3F">
        <w:rPr>
          <w:rFonts w:hint="eastAsia"/>
        </w:rPr>
        <w:t>MARPOL</w:t>
      </w:r>
      <w:r w:rsidR="004C5730" w:rsidRPr="0020718D">
        <w:rPr>
          <w:rFonts w:hint="eastAsia"/>
          <w:i/>
        </w:rPr>
        <w:t xml:space="preserve"> </w:t>
      </w:r>
      <w:r w:rsidR="004C5730" w:rsidRPr="0020718D">
        <w:rPr>
          <w:rFonts w:hint="eastAsia"/>
        </w:rPr>
        <w:t xml:space="preserve">konvencijas pārkāpumiem </w:t>
      </w:r>
      <w:r w:rsidR="004C5730" w:rsidRPr="0020718D">
        <w:t xml:space="preserve">Latvijas </w:t>
      </w:r>
      <w:r w:rsidR="004C5730" w:rsidRPr="0020718D">
        <w:rPr>
          <w:rFonts w:hint="eastAsia"/>
        </w:rPr>
        <w:t>ūdeņos</w:t>
      </w:r>
      <w:r w:rsidR="004C5730" w:rsidRPr="0020718D">
        <w:t xml:space="preserve"> (POLREP);</w:t>
      </w:r>
    </w:p>
    <w:p w14:paraId="5B34E990" w14:textId="705D7B77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DF0988">
        <w:rPr>
          <w:vertAlign w:val="superscript"/>
        </w:rPr>
        <w:t> </w:t>
      </w:r>
      <w:r w:rsidRPr="0020718D">
        <w:t>8.</w:t>
      </w:r>
      <w:r w:rsidR="00DF0988">
        <w:t> </w:t>
      </w:r>
      <w:r w:rsidR="004C5730" w:rsidRPr="0020718D">
        <w:rPr>
          <w:rFonts w:hint="eastAsia"/>
        </w:rPr>
        <w:t>kuģi, kur</w:t>
      </w:r>
      <w:r w:rsidR="004C5730" w:rsidRPr="0020718D">
        <w:t>am</w:t>
      </w:r>
      <w:r w:rsidR="004C5730" w:rsidRPr="0020718D">
        <w:rPr>
          <w:rFonts w:hint="eastAsia"/>
        </w:rPr>
        <w:t xml:space="preserve"> </w:t>
      </w:r>
      <w:r w:rsidR="004C5730" w:rsidRPr="0020718D">
        <w:t>Eiropas Savienības</w:t>
      </w:r>
      <w:r w:rsidR="004C5730" w:rsidRPr="0020718D">
        <w:rPr>
          <w:rFonts w:hint="eastAsia"/>
        </w:rPr>
        <w:t xml:space="preserve"> dalībvalsts ost</w:t>
      </w:r>
      <w:r w:rsidR="00623610" w:rsidRPr="0020718D">
        <w:t>ā</w:t>
      </w:r>
      <w:r w:rsidR="004C5730" w:rsidRPr="0020718D">
        <w:rPr>
          <w:rFonts w:hint="eastAsia"/>
        </w:rPr>
        <w:t xml:space="preserve"> </w:t>
      </w:r>
      <w:r w:rsidR="006A09CD" w:rsidRPr="0020718D">
        <w:t>ir noteikts</w:t>
      </w:r>
      <w:r w:rsidR="006A09CD" w:rsidRPr="0020718D">
        <w:rPr>
          <w:rFonts w:hint="eastAsia"/>
        </w:rPr>
        <w:t xml:space="preserve"> </w:t>
      </w:r>
      <w:r w:rsidR="006A09CD" w:rsidRPr="0020718D">
        <w:t>ienākšanas aizliegum</w:t>
      </w:r>
      <w:r w:rsidR="00A36AA3" w:rsidRPr="0020718D">
        <w:t>s</w:t>
      </w:r>
      <w:r w:rsidR="006A09CD" w:rsidRPr="0020718D">
        <w:rPr>
          <w:rFonts w:hint="eastAsia"/>
        </w:rPr>
        <w:t xml:space="preserve"> </w:t>
      </w:r>
      <w:r w:rsidR="004C5730" w:rsidRPr="0020718D">
        <w:rPr>
          <w:rFonts w:hint="eastAsia"/>
        </w:rPr>
        <w:t xml:space="preserve">vai </w:t>
      </w:r>
      <w:r w:rsidR="004C5730" w:rsidRPr="0020718D">
        <w:t>kurš pēc ostas valsts kontroles inspekcijas nosūtīts uz kuģu remonta rūpnīcu (BANNED SHIP);</w:t>
      </w:r>
    </w:p>
    <w:p w14:paraId="17F10FC8" w14:textId="389DF083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DF0988">
        <w:rPr>
          <w:vertAlign w:val="superscript"/>
        </w:rPr>
        <w:t> </w:t>
      </w:r>
      <w:r w:rsidRPr="0020718D">
        <w:t>9.</w:t>
      </w:r>
      <w:r w:rsidR="00DF0988">
        <w:t> </w:t>
      </w:r>
      <w:r w:rsidR="004C5730" w:rsidRPr="0020718D">
        <w:t>kuģi, kuram nav šo noteikumu</w:t>
      </w:r>
      <w:r w:rsidR="00107F3F">
        <w:t xml:space="preserve"> </w:t>
      </w:r>
      <w:r w:rsidR="004C5730" w:rsidRPr="0020718D">
        <w:t>4.</w:t>
      </w:r>
      <w:r w:rsidR="00107F3F">
        <w:t> </w:t>
      </w:r>
      <w:r w:rsidR="004C5730" w:rsidRPr="0020718D">
        <w:t>punktā</w:t>
      </w:r>
      <w:r w:rsidR="00107F3F">
        <w:t xml:space="preserve"> </w:t>
      </w:r>
      <w:r w:rsidR="004C5730" w:rsidRPr="0020718D">
        <w:t>minēto dokumentu (INSURANCE FAILURE);</w:t>
      </w:r>
    </w:p>
    <w:p w14:paraId="15F736AA" w14:textId="1A4F1004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DF0988">
        <w:rPr>
          <w:vertAlign w:val="superscript"/>
        </w:rPr>
        <w:t> </w:t>
      </w:r>
      <w:r w:rsidRPr="0020718D">
        <w:t>10.</w:t>
      </w:r>
      <w:r w:rsidR="00DF0988">
        <w:t> </w:t>
      </w:r>
      <w:r w:rsidR="004C5730" w:rsidRPr="0020718D">
        <w:t>kuģi, kas nav nodevis atkritumus vai ziņojis par atkritumu nodošanu (WASTE);</w:t>
      </w:r>
    </w:p>
    <w:p w14:paraId="47F8C46A" w14:textId="110A45A3" w:rsidR="004C5730" w:rsidRPr="0020718D" w:rsidRDefault="00C31BF7" w:rsidP="004C5730">
      <w:r w:rsidRPr="0020718D">
        <w:t>24.</w:t>
      </w:r>
      <w:r w:rsidRPr="0020718D">
        <w:rPr>
          <w:vertAlign w:val="superscript"/>
        </w:rPr>
        <w:t>1</w:t>
      </w:r>
      <w:r w:rsidRPr="00DF0988">
        <w:rPr>
          <w:vertAlign w:val="superscript"/>
        </w:rPr>
        <w:t> </w:t>
      </w:r>
      <w:r w:rsidRPr="0020718D">
        <w:t>11.</w:t>
      </w:r>
      <w:r w:rsidR="00DF0988">
        <w:t> </w:t>
      </w:r>
      <w:r w:rsidR="004C5730" w:rsidRPr="0020718D">
        <w:t xml:space="preserve">citu situāciju, kas saistīta ar kuģa drošību, kuģošanas drošību un jūras vides </w:t>
      </w:r>
      <w:r w:rsidR="00DD621F" w:rsidRPr="0020718D">
        <w:t>apdraudējumu</w:t>
      </w:r>
      <w:r w:rsidR="004C5730" w:rsidRPr="0020718D">
        <w:t xml:space="preserve"> (OTHERS).</w:t>
      </w:r>
      <w:r w:rsidRPr="0020718D">
        <w:t>"</w:t>
      </w:r>
    </w:p>
    <w:p w14:paraId="65B27F19" w14:textId="1AEDA58D" w:rsidR="002650C7" w:rsidRPr="0020718D" w:rsidRDefault="002650C7" w:rsidP="004C5730"/>
    <w:p w14:paraId="6126DD46" w14:textId="2557A34A" w:rsidR="00C31BF7" w:rsidRPr="0020718D" w:rsidRDefault="00C31BF7" w:rsidP="002650C7">
      <w:r w:rsidRPr="0020718D">
        <w:t>4.</w:t>
      </w:r>
      <w:r w:rsidR="00C90751">
        <w:t> </w:t>
      </w:r>
      <w:r w:rsidRPr="0020718D">
        <w:t>Papildināt</w:t>
      </w:r>
      <w:r w:rsidR="000D6CA0">
        <w:t xml:space="preserve"> </w:t>
      </w:r>
      <w:r w:rsidR="000D6CA0" w:rsidRPr="000D6CA0">
        <w:t>VI</w:t>
      </w:r>
      <w:r w:rsidR="000D6CA0" w:rsidRPr="000D6CA0">
        <w:rPr>
          <w:vertAlign w:val="superscript"/>
        </w:rPr>
        <w:t>1</w:t>
      </w:r>
      <w:r w:rsidR="00DF0988">
        <w:t> </w:t>
      </w:r>
      <w:r w:rsidR="000D6CA0">
        <w:t>nodaļu</w:t>
      </w:r>
      <w:r w:rsidRPr="0020718D">
        <w:t xml:space="preserve"> ar </w:t>
      </w:r>
      <w:r w:rsidR="002650C7" w:rsidRPr="0020718D">
        <w:t>24.</w:t>
      </w:r>
      <w:r w:rsidRPr="0020718D">
        <w:rPr>
          <w:vertAlign w:val="superscript"/>
        </w:rPr>
        <w:t>3</w:t>
      </w:r>
      <w:r w:rsidR="00DF0988">
        <w:t> </w:t>
      </w:r>
      <w:r w:rsidRPr="0020718D">
        <w:t>punktu šādā redakcijā:</w:t>
      </w:r>
    </w:p>
    <w:p w14:paraId="48B1C000" w14:textId="77777777" w:rsidR="00C31BF7" w:rsidRPr="0020718D" w:rsidRDefault="00C31BF7" w:rsidP="002650C7"/>
    <w:p w14:paraId="3F3B4327" w14:textId="018DEDD4" w:rsidR="002650C7" w:rsidRPr="0020718D" w:rsidRDefault="00623610" w:rsidP="002650C7">
      <w:r w:rsidRPr="0020718D">
        <w:t>"</w:t>
      </w:r>
      <w:r w:rsidR="00C31BF7" w:rsidRPr="0020718D">
        <w:t>24.</w:t>
      </w:r>
      <w:r w:rsidR="00C31BF7" w:rsidRPr="0020718D">
        <w:rPr>
          <w:vertAlign w:val="superscript"/>
        </w:rPr>
        <w:t>3</w:t>
      </w:r>
      <w:r w:rsidR="00DF0988">
        <w:t> </w:t>
      </w:r>
      <w:r w:rsidR="002650C7" w:rsidRPr="0020718D">
        <w:t xml:space="preserve">Jūrlietu pārvaldes institūcija </w:t>
      </w:r>
      <w:r w:rsidR="00233ED5" w:rsidRPr="0020718D">
        <w:t xml:space="preserve">pēc iespējas </w:t>
      </w:r>
      <w:r w:rsidR="00315E2F" w:rsidRPr="0020718D">
        <w:t>ātrāk</w:t>
      </w:r>
      <w:r w:rsidR="00233ED5" w:rsidRPr="0020718D">
        <w:t xml:space="preserve"> </w:t>
      </w:r>
      <w:r w:rsidR="002650C7" w:rsidRPr="0020718D">
        <w:t>paziņo Krasta apsardzei savas kompetences ietvaros konstatēto šo noteikumu 24.</w:t>
      </w:r>
      <w:r w:rsidR="00C31BF7" w:rsidRPr="0020718D">
        <w:rPr>
          <w:vertAlign w:val="superscript"/>
        </w:rPr>
        <w:t>1</w:t>
      </w:r>
      <w:r w:rsidR="00DF0988">
        <w:t> </w:t>
      </w:r>
      <w:r w:rsidR="002650C7" w:rsidRPr="0020718D">
        <w:t>punktā minēto i</w:t>
      </w:r>
      <w:r w:rsidR="00224AB3" w:rsidRPr="0020718D">
        <w:t>nformāciju, kas paziņojama citai</w:t>
      </w:r>
      <w:r w:rsidR="002650C7" w:rsidRPr="0020718D">
        <w:t xml:space="preserve"> Eiropas Savienības dalī</w:t>
      </w:r>
      <w:r w:rsidR="00233ED5" w:rsidRPr="0020718D">
        <w:t>bvalst</w:t>
      </w:r>
      <w:r w:rsidR="00224AB3" w:rsidRPr="0020718D">
        <w:t>s</w:t>
      </w:r>
      <w:r w:rsidR="00233ED5" w:rsidRPr="0020718D">
        <w:t xml:space="preserve"> kompetentaj</w:t>
      </w:r>
      <w:r w:rsidR="00224AB3" w:rsidRPr="0020718D">
        <w:t>ai iestādei</w:t>
      </w:r>
      <w:r w:rsidR="00233ED5" w:rsidRPr="0020718D">
        <w:t>.</w:t>
      </w:r>
      <w:r w:rsidR="002650C7" w:rsidRPr="0020718D">
        <w:t>"</w:t>
      </w:r>
    </w:p>
    <w:p w14:paraId="641F1BC5" w14:textId="18794064" w:rsidR="00BB15C3" w:rsidRPr="0020718D" w:rsidRDefault="00BB15C3" w:rsidP="002650C7"/>
    <w:p w14:paraId="7EA7FE69" w14:textId="72B94016" w:rsidR="00BB15C3" w:rsidRPr="0020718D" w:rsidRDefault="00C31BF7" w:rsidP="002650C7">
      <w:r w:rsidRPr="0020718D">
        <w:t>5</w:t>
      </w:r>
      <w:r w:rsidR="00BB15C3" w:rsidRPr="0020718D">
        <w:t>.</w:t>
      </w:r>
      <w:r w:rsidR="00DF0988">
        <w:t> </w:t>
      </w:r>
      <w:r w:rsidR="00BB15C3" w:rsidRPr="0020718D">
        <w:t>Aizstāt 42.</w:t>
      </w:r>
      <w:r w:rsidR="00DF0988">
        <w:t> </w:t>
      </w:r>
      <w:r w:rsidR="00BB15C3" w:rsidRPr="0020718D">
        <w:t>punktā vārdus "Valsts kultūras pieminekļu aizsardzības inspekcijas" ar vārdiem "Nacionālā kultūras mantojuma pārvaldes".</w:t>
      </w:r>
    </w:p>
    <w:p w14:paraId="7A6B169B" w14:textId="77777777" w:rsidR="0051013B" w:rsidRPr="0020718D" w:rsidRDefault="0051013B" w:rsidP="0051013B">
      <w:pPr>
        <w:ind w:firstLine="0"/>
      </w:pPr>
    </w:p>
    <w:p w14:paraId="794F3BF4" w14:textId="35E05CDD" w:rsidR="0051013B" w:rsidRPr="0020718D" w:rsidRDefault="00C31BF7" w:rsidP="0051013B">
      <w:r w:rsidRPr="0020718D">
        <w:t>6</w:t>
      </w:r>
      <w:r w:rsidR="0051013B" w:rsidRPr="0020718D">
        <w:t>.</w:t>
      </w:r>
      <w:r w:rsidR="00DF0988">
        <w:t> </w:t>
      </w:r>
      <w:r w:rsidR="0051013B" w:rsidRPr="0020718D">
        <w:t>Papildināt informatīvo atsauci uz Eiropas Savienības direktīvām ar 4. punktu šādā redakcijā:</w:t>
      </w:r>
    </w:p>
    <w:p w14:paraId="1CA8CF75" w14:textId="34684BBA" w:rsidR="0051013B" w:rsidRPr="0020718D" w:rsidRDefault="0051013B" w:rsidP="00E5688E">
      <w:pPr>
        <w:ind w:firstLine="0"/>
      </w:pPr>
    </w:p>
    <w:p w14:paraId="7D0B1AF5" w14:textId="49886F81" w:rsidR="0051013B" w:rsidRPr="0020718D" w:rsidRDefault="0051013B" w:rsidP="0051013B">
      <w:pPr>
        <w:rPr>
          <w:bCs/>
          <w:iCs/>
        </w:rPr>
      </w:pPr>
      <w:r w:rsidRPr="0020718D">
        <w:t>"4)</w:t>
      </w:r>
      <w:r w:rsidR="00DF0988">
        <w:t> </w:t>
      </w:r>
      <w:r w:rsidRPr="0020718D">
        <w:rPr>
          <w:bCs/>
          <w:iCs/>
        </w:rPr>
        <w:t>Komisijas 2014.</w:t>
      </w:r>
      <w:r w:rsidR="00DF0988">
        <w:rPr>
          <w:bCs/>
          <w:iCs/>
        </w:rPr>
        <w:t> </w:t>
      </w:r>
      <w:r w:rsidRPr="0020718D">
        <w:rPr>
          <w:bCs/>
          <w:iCs/>
        </w:rPr>
        <w:t>gada 28.</w:t>
      </w:r>
      <w:r w:rsidR="00DF0988">
        <w:rPr>
          <w:bCs/>
          <w:iCs/>
        </w:rPr>
        <w:t> </w:t>
      </w:r>
      <w:r w:rsidRPr="0020718D">
        <w:rPr>
          <w:bCs/>
          <w:iCs/>
        </w:rPr>
        <w:t>oktobra Direktīvas 2014/100/ES, ar kuru groza Eiropas Parlamenta un Padomes Direktīvu 2002/59/EK, ar ko izveido Kopienas kuģu satiksmes uzraudzības un informācijas sistēmu."</w:t>
      </w:r>
    </w:p>
    <w:p w14:paraId="54AB9BFD" w14:textId="3577BEA6" w:rsidR="00E5688E" w:rsidRDefault="00E5688E" w:rsidP="00E9271C">
      <w:pPr>
        <w:ind w:firstLine="0"/>
      </w:pPr>
    </w:p>
    <w:p w14:paraId="4DD9B7AD" w14:textId="77777777" w:rsidR="00E9271C" w:rsidRDefault="00E9271C" w:rsidP="00E9271C">
      <w:pPr>
        <w:ind w:firstLine="0"/>
      </w:pPr>
    </w:p>
    <w:p w14:paraId="2A25BC19" w14:textId="77777777" w:rsidR="004C12BB" w:rsidRDefault="004C12BB" w:rsidP="00E5688E">
      <w:pPr>
        <w:ind w:firstLine="0"/>
      </w:pPr>
    </w:p>
    <w:p w14:paraId="646B8113" w14:textId="77777777" w:rsidR="00E9271C" w:rsidRPr="00971F76" w:rsidRDefault="00E9271C" w:rsidP="00DF0988">
      <w:pPr>
        <w:tabs>
          <w:tab w:val="left" w:pos="6946"/>
        </w:tabs>
        <w:ind w:firstLine="709"/>
        <w:rPr>
          <w:lang w:eastAsia="zh-TW"/>
        </w:rPr>
      </w:pPr>
      <w:r w:rsidRPr="00971F76">
        <w:rPr>
          <w:lang w:eastAsia="zh-TW"/>
        </w:rPr>
        <w:t xml:space="preserve">Ministru prezidents </w:t>
      </w:r>
      <w:r w:rsidRPr="00971F76">
        <w:rPr>
          <w:lang w:eastAsia="zh-TW"/>
        </w:rPr>
        <w:tab/>
        <w:t>A. K. Kariņš</w:t>
      </w:r>
    </w:p>
    <w:p w14:paraId="0B43A70C" w14:textId="77777777" w:rsidR="00E9271C" w:rsidRDefault="00E9271C" w:rsidP="00DF0988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</w:pPr>
    </w:p>
    <w:p w14:paraId="3D6C357A" w14:textId="77777777" w:rsidR="00E9271C" w:rsidRDefault="00E9271C" w:rsidP="00DF0988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</w:pPr>
    </w:p>
    <w:p w14:paraId="7B4C530C" w14:textId="77777777" w:rsidR="00E9271C" w:rsidRPr="00DF0934" w:rsidRDefault="00E9271C" w:rsidP="00DF0988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</w:pPr>
    </w:p>
    <w:p w14:paraId="3A1AE95F" w14:textId="77777777" w:rsidR="00E9271C" w:rsidRPr="00CD4C1E" w:rsidRDefault="00E9271C" w:rsidP="00DF0988">
      <w:pPr>
        <w:tabs>
          <w:tab w:val="left" w:pos="6946"/>
        </w:tabs>
        <w:ind w:firstLine="709"/>
      </w:pPr>
      <w:r w:rsidRPr="00CD4C1E">
        <w:t>Satiksmes ministrs</w:t>
      </w:r>
      <w:r w:rsidRPr="00CD4C1E">
        <w:tab/>
        <w:t>T. Linkaits</w:t>
      </w:r>
    </w:p>
    <w:sectPr w:rsidR="00E9271C" w:rsidRPr="00CD4C1E" w:rsidSect="00E927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FF13" w14:textId="77777777" w:rsidR="00224AB3" w:rsidRDefault="00224AB3">
      <w:r>
        <w:separator/>
      </w:r>
    </w:p>
  </w:endnote>
  <w:endnote w:type="continuationSeparator" w:id="0">
    <w:p w14:paraId="7303A1CF" w14:textId="77777777" w:rsidR="00224AB3" w:rsidRDefault="0022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0E0D" w14:textId="00613E60" w:rsidR="00224AB3" w:rsidRPr="00E9271C" w:rsidRDefault="00E9271C" w:rsidP="00E9271C">
    <w:pPr>
      <w:pStyle w:val="Footer"/>
      <w:ind w:firstLine="0"/>
      <w:rPr>
        <w:sz w:val="16"/>
        <w:szCs w:val="16"/>
      </w:rPr>
    </w:pPr>
    <w:r w:rsidRPr="00E9271C">
      <w:rPr>
        <w:sz w:val="16"/>
        <w:szCs w:val="16"/>
      </w:rPr>
      <w:t>N2583_0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A440" w14:textId="40980627" w:rsidR="00224AB3" w:rsidRPr="00E9271C" w:rsidRDefault="00E9271C" w:rsidP="00E9271C">
    <w:pPr>
      <w:pStyle w:val="Footer"/>
      <w:ind w:firstLine="0"/>
      <w:rPr>
        <w:sz w:val="16"/>
        <w:szCs w:val="16"/>
      </w:rPr>
    </w:pPr>
    <w:r w:rsidRPr="00E9271C">
      <w:rPr>
        <w:sz w:val="16"/>
        <w:szCs w:val="16"/>
      </w:rPr>
      <w:t>N2583_0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3998" w14:textId="77777777" w:rsidR="00224AB3" w:rsidRDefault="00224AB3">
      <w:r>
        <w:separator/>
      </w:r>
    </w:p>
  </w:footnote>
  <w:footnote w:type="continuationSeparator" w:id="0">
    <w:p w14:paraId="5AE926B7" w14:textId="77777777" w:rsidR="00224AB3" w:rsidRDefault="0022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EDB5" w14:textId="253CA1A4" w:rsidR="00224AB3" w:rsidRDefault="00224AB3" w:rsidP="00E927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56E6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770503AE" w14:textId="77777777" w:rsidR="00224AB3" w:rsidRDefault="00224AB3" w:rsidP="00E927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3E36" w14:textId="77777777" w:rsidR="00E9271C" w:rsidRDefault="00E9271C" w:rsidP="00E9271C">
    <w:pPr>
      <w:pStyle w:val="Header"/>
      <w:ind w:firstLine="0"/>
      <w:rPr>
        <w:noProof/>
      </w:rPr>
    </w:pPr>
  </w:p>
  <w:p w14:paraId="7E566105" w14:textId="2237E218" w:rsidR="00E9271C" w:rsidRDefault="00E9271C" w:rsidP="00E9271C">
    <w:pPr>
      <w:pStyle w:val="Header"/>
      <w:ind w:firstLine="0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42426AA5" wp14:editId="09020EE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DC6"/>
    <w:multiLevelType w:val="hybridMultilevel"/>
    <w:tmpl w:val="FBFC7EBA"/>
    <w:lvl w:ilvl="0" w:tplc="5BFC27CA">
      <w:start w:val="1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82"/>
    <w:multiLevelType w:val="hybridMultilevel"/>
    <w:tmpl w:val="7BFE2460"/>
    <w:lvl w:ilvl="0" w:tplc="DBC49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63179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342F"/>
    <w:multiLevelType w:val="hybridMultilevel"/>
    <w:tmpl w:val="6F184866"/>
    <w:lvl w:ilvl="0" w:tplc="F1DE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84519"/>
    <w:multiLevelType w:val="hybridMultilevel"/>
    <w:tmpl w:val="A4E8CFDA"/>
    <w:lvl w:ilvl="0" w:tplc="DFB0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60BB3"/>
    <w:multiLevelType w:val="hybridMultilevel"/>
    <w:tmpl w:val="B9406790"/>
    <w:lvl w:ilvl="0" w:tplc="4F0AAB0A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18EC6CF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FF2106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ECB21DB4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3644FB2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B0FA0698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C9A36B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EA2EF7C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727204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C"/>
    <w:rsid w:val="00000146"/>
    <w:rsid w:val="00000CC1"/>
    <w:rsid w:val="00001063"/>
    <w:rsid w:val="000017D3"/>
    <w:rsid w:val="00013F22"/>
    <w:rsid w:val="00020AA8"/>
    <w:rsid w:val="000264F2"/>
    <w:rsid w:val="0004120B"/>
    <w:rsid w:val="0004252A"/>
    <w:rsid w:val="000434E0"/>
    <w:rsid w:val="00077912"/>
    <w:rsid w:val="00084FB7"/>
    <w:rsid w:val="00086346"/>
    <w:rsid w:val="00091D34"/>
    <w:rsid w:val="000945F9"/>
    <w:rsid w:val="0009496A"/>
    <w:rsid w:val="000950C4"/>
    <w:rsid w:val="000952E7"/>
    <w:rsid w:val="00095496"/>
    <w:rsid w:val="00095D35"/>
    <w:rsid w:val="000A1BC6"/>
    <w:rsid w:val="000A43D6"/>
    <w:rsid w:val="000B04DD"/>
    <w:rsid w:val="000C57B5"/>
    <w:rsid w:val="000D6CA0"/>
    <w:rsid w:val="000E2386"/>
    <w:rsid w:val="000E51CF"/>
    <w:rsid w:val="000E5512"/>
    <w:rsid w:val="000F6399"/>
    <w:rsid w:val="0010588E"/>
    <w:rsid w:val="00107F3F"/>
    <w:rsid w:val="001100BF"/>
    <w:rsid w:val="0011228E"/>
    <w:rsid w:val="0011525E"/>
    <w:rsid w:val="0012295D"/>
    <w:rsid w:val="0012603E"/>
    <w:rsid w:val="00130E27"/>
    <w:rsid w:val="00131DDD"/>
    <w:rsid w:val="00137390"/>
    <w:rsid w:val="00143CAB"/>
    <w:rsid w:val="001469B1"/>
    <w:rsid w:val="00146D55"/>
    <w:rsid w:val="00153445"/>
    <w:rsid w:val="00187EFA"/>
    <w:rsid w:val="001A21E6"/>
    <w:rsid w:val="001A2C51"/>
    <w:rsid w:val="001B7671"/>
    <w:rsid w:val="001C7951"/>
    <w:rsid w:val="001D0C91"/>
    <w:rsid w:val="001D40FA"/>
    <w:rsid w:val="001E7D4E"/>
    <w:rsid w:val="001F2297"/>
    <w:rsid w:val="001F7D07"/>
    <w:rsid w:val="001F7D12"/>
    <w:rsid w:val="00204CF3"/>
    <w:rsid w:val="0020718D"/>
    <w:rsid w:val="00212A14"/>
    <w:rsid w:val="00224AB3"/>
    <w:rsid w:val="0023344B"/>
    <w:rsid w:val="00233ED5"/>
    <w:rsid w:val="0024042F"/>
    <w:rsid w:val="00240A34"/>
    <w:rsid w:val="002532C2"/>
    <w:rsid w:val="002579C3"/>
    <w:rsid w:val="002650C7"/>
    <w:rsid w:val="00277D12"/>
    <w:rsid w:val="0028243F"/>
    <w:rsid w:val="00283F48"/>
    <w:rsid w:val="0028400A"/>
    <w:rsid w:val="00286277"/>
    <w:rsid w:val="002A0889"/>
    <w:rsid w:val="002A0BB7"/>
    <w:rsid w:val="002A1E9F"/>
    <w:rsid w:val="002A2CE7"/>
    <w:rsid w:val="002A7459"/>
    <w:rsid w:val="002C21CA"/>
    <w:rsid w:val="002C5550"/>
    <w:rsid w:val="002C5662"/>
    <w:rsid w:val="002E0372"/>
    <w:rsid w:val="002E0E69"/>
    <w:rsid w:val="002E197F"/>
    <w:rsid w:val="002E66A1"/>
    <w:rsid w:val="002F239C"/>
    <w:rsid w:val="002F7ACD"/>
    <w:rsid w:val="003014C8"/>
    <w:rsid w:val="00302608"/>
    <w:rsid w:val="00306945"/>
    <w:rsid w:val="0031116A"/>
    <w:rsid w:val="00313364"/>
    <w:rsid w:val="00315E2F"/>
    <w:rsid w:val="00317F7A"/>
    <w:rsid w:val="00323DBF"/>
    <w:rsid w:val="00336D88"/>
    <w:rsid w:val="00336FFA"/>
    <w:rsid w:val="0034540A"/>
    <w:rsid w:val="00352493"/>
    <w:rsid w:val="00352927"/>
    <w:rsid w:val="003529E7"/>
    <w:rsid w:val="00353338"/>
    <w:rsid w:val="003539DA"/>
    <w:rsid w:val="003577DF"/>
    <w:rsid w:val="00382733"/>
    <w:rsid w:val="00386939"/>
    <w:rsid w:val="003871B4"/>
    <w:rsid w:val="00394761"/>
    <w:rsid w:val="00397FC4"/>
    <w:rsid w:val="003A3C67"/>
    <w:rsid w:val="003B2A29"/>
    <w:rsid w:val="003B505F"/>
    <w:rsid w:val="003C0FD1"/>
    <w:rsid w:val="003C1CE2"/>
    <w:rsid w:val="003C5A27"/>
    <w:rsid w:val="003E3754"/>
    <w:rsid w:val="003E768B"/>
    <w:rsid w:val="003F0EDE"/>
    <w:rsid w:val="003F388D"/>
    <w:rsid w:val="003F60E5"/>
    <w:rsid w:val="0040278B"/>
    <w:rsid w:val="004028E1"/>
    <w:rsid w:val="004075F4"/>
    <w:rsid w:val="00413232"/>
    <w:rsid w:val="00413D84"/>
    <w:rsid w:val="004144C5"/>
    <w:rsid w:val="00417394"/>
    <w:rsid w:val="004355D6"/>
    <w:rsid w:val="00435C17"/>
    <w:rsid w:val="00446624"/>
    <w:rsid w:val="004506C3"/>
    <w:rsid w:val="004529B6"/>
    <w:rsid w:val="00473652"/>
    <w:rsid w:val="0048564D"/>
    <w:rsid w:val="00492B47"/>
    <w:rsid w:val="004A6496"/>
    <w:rsid w:val="004B0A12"/>
    <w:rsid w:val="004B63A7"/>
    <w:rsid w:val="004C12BB"/>
    <w:rsid w:val="004C2A62"/>
    <w:rsid w:val="004C2EFD"/>
    <w:rsid w:val="004C5730"/>
    <w:rsid w:val="004D14A8"/>
    <w:rsid w:val="004D21E0"/>
    <w:rsid w:val="004D6A0C"/>
    <w:rsid w:val="004F686A"/>
    <w:rsid w:val="005019A0"/>
    <w:rsid w:val="00503C39"/>
    <w:rsid w:val="00504E4F"/>
    <w:rsid w:val="0051013B"/>
    <w:rsid w:val="005326AB"/>
    <w:rsid w:val="00533209"/>
    <w:rsid w:val="005466A4"/>
    <w:rsid w:val="005511F1"/>
    <w:rsid w:val="00557B59"/>
    <w:rsid w:val="005606EF"/>
    <w:rsid w:val="00563588"/>
    <w:rsid w:val="00564046"/>
    <w:rsid w:val="00571214"/>
    <w:rsid w:val="005765ED"/>
    <w:rsid w:val="00577209"/>
    <w:rsid w:val="0058215B"/>
    <w:rsid w:val="00586456"/>
    <w:rsid w:val="00590B6E"/>
    <w:rsid w:val="0059275E"/>
    <w:rsid w:val="00597CB5"/>
    <w:rsid w:val="005A4BF5"/>
    <w:rsid w:val="005A6646"/>
    <w:rsid w:val="005B7628"/>
    <w:rsid w:val="005B7A37"/>
    <w:rsid w:val="005C65B5"/>
    <w:rsid w:val="005D1D32"/>
    <w:rsid w:val="005E160F"/>
    <w:rsid w:val="005F20D7"/>
    <w:rsid w:val="005F5971"/>
    <w:rsid w:val="00600842"/>
    <w:rsid w:val="00601640"/>
    <w:rsid w:val="00615891"/>
    <w:rsid w:val="006176D4"/>
    <w:rsid w:val="00620601"/>
    <w:rsid w:val="00621B93"/>
    <w:rsid w:val="00622B33"/>
    <w:rsid w:val="00622DCE"/>
    <w:rsid w:val="00622F81"/>
    <w:rsid w:val="00623610"/>
    <w:rsid w:val="006253E4"/>
    <w:rsid w:val="0064167D"/>
    <w:rsid w:val="00647A38"/>
    <w:rsid w:val="00647A6D"/>
    <w:rsid w:val="0066225B"/>
    <w:rsid w:val="00663DD2"/>
    <w:rsid w:val="00674679"/>
    <w:rsid w:val="0068012B"/>
    <w:rsid w:val="00686520"/>
    <w:rsid w:val="006A09CD"/>
    <w:rsid w:val="006A3567"/>
    <w:rsid w:val="006B455D"/>
    <w:rsid w:val="006C1060"/>
    <w:rsid w:val="006D178F"/>
    <w:rsid w:val="006E2CD3"/>
    <w:rsid w:val="006E7D92"/>
    <w:rsid w:val="0070751F"/>
    <w:rsid w:val="007103DF"/>
    <w:rsid w:val="00713BC0"/>
    <w:rsid w:val="00720B3B"/>
    <w:rsid w:val="00724B25"/>
    <w:rsid w:val="007317B9"/>
    <w:rsid w:val="00731C07"/>
    <w:rsid w:val="007340D6"/>
    <w:rsid w:val="007433E9"/>
    <w:rsid w:val="007467A2"/>
    <w:rsid w:val="00751560"/>
    <w:rsid w:val="0075553A"/>
    <w:rsid w:val="007626F2"/>
    <w:rsid w:val="007745EF"/>
    <w:rsid w:val="00780C23"/>
    <w:rsid w:val="00781D2E"/>
    <w:rsid w:val="00786FBE"/>
    <w:rsid w:val="00797280"/>
    <w:rsid w:val="007A6B9C"/>
    <w:rsid w:val="007A7E54"/>
    <w:rsid w:val="007B4C0B"/>
    <w:rsid w:val="007C38E4"/>
    <w:rsid w:val="007C57F5"/>
    <w:rsid w:val="007C5A8F"/>
    <w:rsid w:val="007D2827"/>
    <w:rsid w:val="007E0550"/>
    <w:rsid w:val="007E5AD7"/>
    <w:rsid w:val="008009BB"/>
    <w:rsid w:val="008025FC"/>
    <w:rsid w:val="0081090B"/>
    <w:rsid w:val="008113DB"/>
    <w:rsid w:val="008165CE"/>
    <w:rsid w:val="00820A99"/>
    <w:rsid w:val="00820B31"/>
    <w:rsid w:val="008215B7"/>
    <w:rsid w:val="008316BB"/>
    <w:rsid w:val="00834E5F"/>
    <w:rsid w:val="0083669F"/>
    <w:rsid w:val="00841724"/>
    <w:rsid w:val="0084521E"/>
    <w:rsid w:val="00846732"/>
    <w:rsid w:val="00855973"/>
    <w:rsid w:val="00860A44"/>
    <w:rsid w:val="00865AB0"/>
    <w:rsid w:val="00865BC5"/>
    <w:rsid w:val="00866E35"/>
    <w:rsid w:val="00870076"/>
    <w:rsid w:val="00871777"/>
    <w:rsid w:val="00871840"/>
    <w:rsid w:val="00877D82"/>
    <w:rsid w:val="0088175D"/>
    <w:rsid w:val="00885189"/>
    <w:rsid w:val="00892DB6"/>
    <w:rsid w:val="008A274A"/>
    <w:rsid w:val="008A5F10"/>
    <w:rsid w:val="008B487E"/>
    <w:rsid w:val="008D2B0A"/>
    <w:rsid w:val="008D3246"/>
    <w:rsid w:val="008E51BE"/>
    <w:rsid w:val="008F4EB3"/>
    <w:rsid w:val="008F5692"/>
    <w:rsid w:val="00901BEA"/>
    <w:rsid w:val="00907135"/>
    <w:rsid w:val="00923333"/>
    <w:rsid w:val="009335C1"/>
    <w:rsid w:val="00937245"/>
    <w:rsid w:val="009414D2"/>
    <w:rsid w:val="009434B6"/>
    <w:rsid w:val="00944BFD"/>
    <w:rsid w:val="0095163F"/>
    <w:rsid w:val="009519F9"/>
    <w:rsid w:val="00956A92"/>
    <w:rsid w:val="0096353C"/>
    <w:rsid w:val="009667F8"/>
    <w:rsid w:val="00985279"/>
    <w:rsid w:val="00992C73"/>
    <w:rsid w:val="009945C4"/>
    <w:rsid w:val="009A1698"/>
    <w:rsid w:val="009A1A39"/>
    <w:rsid w:val="009A330A"/>
    <w:rsid w:val="009C16DF"/>
    <w:rsid w:val="009E3C51"/>
    <w:rsid w:val="009E759E"/>
    <w:rsid w:val="009F1662"/>
    <w:rsid w:val="009F3BFB"/>
    <w:rsid w:val="00A06BF9"/>
    <w:rsid w:val="00A1477D"/>
    <w:rsid w:val="00A152AE"/>
    <w:rsid w:val="00A20D97"/>
    <w:rsid w:val="00A23FAD"/>
    <w:rsid w:val="00A331A8"/>
    <w:rsid w:val="00A36AA3"/>
    <w:rsid w:val="00A422B9"/>
    <w:rsid w:val="00A52164"/>
    <w:rsid w:val="00A5778A"/>
    <w:rsid w:val="00A60BE4"/>
    <w:rsid w:val="00A60EC2"/>
    <w:rsid w:val="00A617E1"/>
    <w:rsid w:val="00A61F86"/>
    <w:rsid w:val="00A64579"/>
    <w:rsid w:val="00A66FF5"/>
    <w:rsid w:val="00A70D0A"/>
    <w:rsid w:val="00A736F3"/>
    <w:rsid w:val="00A814C8"/>
    <w:rsid w:val="00A820F8"/>
    <w:rsid w:val="00A9354F"/>
    <w:rsid w:val="00AA2F38"/>
    <w:rsid w:val="00AA309C"/>
    <w:rsid w:val="00AB0123"/>
    <w:rsid w:val="00AB22B4"/>
    <w:rsid w:val="00AB6931"/>
    <w:rsid w:val="00AC1417"/>
    <w:rsid w:val="00AC1B70"/>
    <w:rsid w:val="00AC32FC"/>
    <w:rsid w:val="00AD3322"/>
    <w:rsid w:val="00AD712D"/>
    <w:rsid w:val="00AE199A"/>
    <w:rsid w:val="00AE420D"/>
    <w:rsid w:val="00AE6AAF"/>
    <w:rsid w:val="00AF3EFB"/>
    <w:rsid w:val="00AF79EA"/>
    <w:rsid w:val="00B058A5"/>
    <w:rsid w:val="00B06212"/>
    <w:rsid w:val="00B076C3"/>
    <w:rsid w:val="00B10B7D"/>
    <w:rsid w:val="00B1466C"/>
    <w:rsid w:val="00B36F3A"/>
    <w:rsid w:val="00B50F39"/>
    <w:rsid w:val="00B56BD3"/>
    <w:rsid w:val="00B57409"/>
    <w:rsid w:val="00B6078E"/>
    <w:rsid w:val="00B66F53"/>
    <w:rsid w:val="00B71197"/>
    <w:rsid w:val="00B736C6"/>
    <w:rsid w:val="00B82270"/>
    <w:rsid w:val="00B82958"/>
    <w:rsid w:val="00B91901"/>
    <w:rsid w:val="00BA0BE6"/>
    <w:rsid w:val="00BA2E9A"/>
    <w:rsid w:val="00BA4FCD"/>
    <w:rsid w:val="00BB15C3"/>
    <w:rsid w:val="00BB2C11"/>
    <w:rsid w:val="00BB395E"/>
    <w:rsid w:val="00BB449C"/>
    <w:rsid w:val="00BB6FCB"/>
    <w:rsid w:val="00BC6E0B"/>
    <w:rsid w:val="00BD6F00"/>
    <w:rsid w:val="00BE15AA"/>
    <w:rsid w:val="00BF0FCC"/>
    <w:rsid w:val="00C009AC"/>
    <w:rsid w:val="00C033A1"/>
    <w:rsid w:val="00C10EBC"/>
    <w:rsid w:val="00C17634"/>
    <w:rsid w:val="00C21A81"/>
    <w:rsid w:val="00C275C2"/>
    <w:rsid w:val="00C3131E"/>
    <w:rsid w:val="00C31BF7"/>
    <w:rsid w:val="00C33566"/>
    <w:rsid w:val="00C34206"/>
    <w:rsid w:val="00C52CEE"/>
    <w:rsid w:val="00C532B8"/>
    <w:rsid w:val="00C55AC9"/>
    <w:rsid w:val="00C6608D"/>
    <w:rsid w:val="00C70BF1"/>
    <w:rsid w:val="00C730A0"/>
    <w:rsid w:val="00C801D0"/>
    <w:rsid w:val="00C84624"/>
    <w:rsid w:val="00C90751"/>
    <w:rsid w:val="00C937B6"/>
    <w:rsid w:val="00C96552"/>
    <w:rsid w:val="00CA40E0"/>
    <w:rsid w:val="00CB3095"/>
    <w:rsid w:val="00CB7774"/>
    <w:rsid w:val="00CB7E64"/>
    <w:rsid w:val="00CC11BF"/>
    <w:rsid w:val="00CC2D54"/>
    <w:rsid w:val="00CC54F4"/>
    <w:rsid w:val="00CD1306"/>
    <w:rsid w:val="00CD6F25"/>
    <w:rsid w:val="00CD7C85"/>
    <w:rsid w:val="00CF2B79"/>
    <w:rsid w:val="00CF6B8F"/>
    <w:rsid w:val="00D0671A"/>
    <w:rsid w:val="00D070D3"/>
    <w:rsid w:val="00D30920"/>
    <w:rsid w:val="00D33AD4"/>
    <w:rsid w:val="00D41BB8"/>
    <w:rsid w:val="00D44AE2"/>
    <w:rsid w:val="00D44F4F"/>
    <w:rsid w:val="00D46C92"/>
    <w:rsid w:val="00D55EAB"/>
    <w:rsid w:val="00D57AAF"/>
    <w:rsid w:val="00D608BC"/>
    <w:rsid w:val="00D63F82"/>
    <w:rsid w:val="00D67BD4"/>
    <w:rsid w:val="00D7580F"/>
    <w:rsid w:val="00D8136E"/>
    <w:rsid w:val="00D84D6A"/>
    <w:rsid w:val="00D861E5"/>
    <w:rsid w:val="00D9775F"/>
    <w:rsid w:val="00DA0BB3"/>
    <w:rsid w:val="00DA4E61"/>
    <w:rsid w:val="00DA5C06"/>
    <w:rsid w:val="00DB029B"/>
    <w:rsid w:val="00DB501F"/>
    <w:rsid w:val="00DC4B5B"/>
    <w:rsid w:val="00DD54F8"/>
    <w:rsid w:val="00DD621F"/>
    <w:rsid w:val="00DE4C8E"/>
    <w:rsid w:val="00DE7901"/>
    <w:rsid w:val="00DE7DE5"/>
    <w:rsid w:val="00DF0988"/>
    <w:rsid w:val="00E10966"/>
    <w:rsid w:val="00E137D2"/>
    <w:rsid w:val="00E278E4"/>
    <w:rsid w:val="00E404D8"/>
    <w:rsid w:val="00E5688E"/>
    <w:rsid w:val="00E56E6D"/>
    <w:rsid w:val="00E74C5C"/>
    <w:rsid w:val="00E84007"/>
    <w:rsid w:val="00E85631"/>
    <w:rsid w:val="00E91FB1"/>
    <w:rsid w:val="00E9271C"/>
    <w:rsid w:val="00E97899"/>
    <w:rsid w:val="00EA5706"/>
    <w:rsid w:val="00EA5DF7"/>
    <w:rsid w:val="00EA63CB"/>
    <w:rsid w:val="00EB59F3"/>
    <w:rsid w:val="00EB6E75"/>
    <w:rsid w:val="00EB6F9A"/>
    <w:rsid w:val="00EC11A5"/>
    <w:rsid w:val="00ED782A"/>
    <w:rsid w:val="00EE56C5"/>
    <w:rsid w:val="00F04586"/>
    <w:rsid w:val="00F151C5"/>
    <w:rsid w:val="00F1542B"/>
    <w:rsid w:val="00F166A1"/>
    <w:rsid w:val="00F25151"/>
    <w:rsid w:val="00F641E5"/>
    <w:rsid w:val="00F7429C"/>
    <w:rsid w:val="00F74ABF"/>
    <w:rsid w:val="00F76F79"/>
    <w:rsid w:val="00F824B6"/>
    <w:rsid w:val="00F9033B"/>
    <w:rsid w:val="00F915A2"/>
    <w:rsid w:val="00F928BC"/>
    <w:rsid w:val="00F94AE8"/>
    <w:rsid w:val="00F96CEB"/>
    <w:rsid w:val="00FA5694"/>
    <w:rsid w:val="00FB0E00"/>
    <w:rsid w:val="00FB15A1"/>
    <w:rsid w:val="00FB513B"/>
    <w:rsid w:val="00FB5BE6"/>
    <w:rsid w:val="00FD0DE2"/>
    <w:rsid w:val="00FD1DD3"/>
    <w:rsid w:val="00FD243F"/>
    <w:rsid w:val="00FD7571"/>
    <w:rsid w:val="00FE2676"/>
    <w:rsid w:val="00FE5B43"/>
    <w:rsid w:val="00FF744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593ABB"/>
  <w15:docId w15:val="{B7E44F62-E0A1-4059-845B-D605231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30E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13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6A"/>
  </w:style>
  <w:style w:type="paragraph" w:styleId="Footer">
    <w:name w:val="footer"/>
    <w:basedOn w:val="Normal"/>
    <w:link w:val="Foot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6A"/>
  </w:style>
  <w:style w:type="paragraph" w:styleId="BalloonText">
    <w:name w:val="Balloon Text"/>
    <w:basedOn w:val="Normal"/>
    <w:link w:val="BalloonTextChar"/>
    <w:uiPriority w:val="99"/>
    <w:semiHidden/>
    <w:unhideWhenUsed/>
    <w:rsid w:val="00A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2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DA92-FD48-4E3A-8376-53F3D26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2942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21. decembra noteikumos Nr. 1171 "Noteikumi par Latvijas ūdeņu izmantošanas kārtību un kuģošanas režīmu tajos"</vt:lpstr>
      <vt:lpstr>Grozījumi Ministru kabineta 2012. gada 15. maija noteikumos Nr. 339 "Noteikumi par ostu formalitātēm"</vt:lpstr>
    </vt:vector>
  </TitlesOfParts>
  <Company>Satiksmes ministrija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21. decembra noteikumos Nr. 1171 "Noteikumi par Latvijas ūdeņu izmantošanas kārtību un kuģošanas režīmu tajos"</dc:title>
  <dc:subject>Noteikumu projekts</dc:subject>
  <dc:creator>Viesturs Ruško</dc:creator>
  <dc:description>67062127, viesturs.rusko@lja.lv</dc:description>
  <cp:lastModifiedBy>Leontine Babkina</cp:lastModifiedBy>
  <cp:revision>14</cp:revision>
  <cp:lastPrinted>2020-10-02T09:47:00Z</cp:lastPrinted>
  <dcterms:created xsi:type="dcterms:W3CDTF">2020-12-10T13:30:00Z</dcterms:created>
  <dcterms:modified xsi:type="dcterms:W3CDTF">2021-02-02T07:29:00Z</dcterms:modified>
</cp:coreProperties>
</file>